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A8D" w:rsidRDefault="00D61A8D" w:rsidP="00D61A8D">
      <w:pPr>
        <w:pStyle w:val="Pa17"/>
        <w:spacing w:after="240"/>
        <w:rPr>
          <w:rFonts w:ascii="Arial" w:hAnsi="Arial" w:cs="Arial"/>
          <w:b/>
          <w:bCs/>
          <w:color w:val="000000"/>
          <w:sz w:val="20"/>
          <w:szCs w:val="20"/>
        </w:rPr>
      </w:pPr>
      <w:r>
        <w:rPr>
          <w:rFonts w:ascii="Arial" w:hAnsi="Arial" w:cs="Arial"/>
          <w:b/>
          <w:bCs/>
          <w:color w:val="000000"/>
          <w:sz w:val="20"/>
          <w:szCs w:val="20"/>
        </w:rPr>
        <w:t>Information from the Report</w:t>
      </w:r>
    </w:p>
    <w:p w:rsidR="00D61A8D" w:rsidRDefault="00D61A8D" w:rsidP="00D61A8D">
      <w:pPr>
        <w:pStyle w:val="Pa17"/>
        <w:spacing w:after="240"/>
        <w:rPr>
          <w:rFonts w:ascii="Arial" w:hAnsi="Arial" w:cs="Arial"/>
          <w:color w:val="000000"/>
          <w:sz w:val="20"/>
          <w:szCs w:val="20"/>
        </w:rPr>
      </w:pPr>
      <w:r>
        <w:rPr>
          <w:rFonts w:ascii="Arial" w:hAnsi="Arial" w:cs="Arial"/>
          <w:color w:val="000000"/>
          <w:sz w:val="20"/>
          <w:szCs w:val="20"/>
        </w:rPr>
        <w:t xml:space="preserve">Develop the Farmers First For Farm Data Principles &amp; Prototype Rating Tool. </w:t>
      </w:r>
    </w:p>
    <w:p w:rsidR="00D61A8D" w:rsidRDefault="00D61A8D" w:rsidP="00D61A8D">
      <w:pPr>
        <w:pStyle w:val="Pa2"/>
        <w:spacing w:after="240"/>
        <w:rPr>
          <w:rFonts w:ascii="Arial" w:hAnsi="Arial" w:cs="Arial"/>
          <w:color w:val="000000"/>
          <w:sz w:val="20"/>
          <w:szCs w:val="20"/>
        </w:rPr>
      </w:pPr>
      <w:r>
        <w:rPr>
          <w:rFonts w:ascii="Arial" w:hAnsi="Arial" w:cs="Arial"/>
          <w:color w:val="000000"/>
          <w:sz w:val="20"/>
          <w:szCs w:val="20"/>
        </w:rPr>
        <w:t xml:space="preserve">Use relevant projects to develop and refine a Data Principles and Rating Tool. This is a critical project stream cutting across all sectors and every big data, AI and </w:t>
      </w:r>
      <w:proofErr w:type="spellStart"/>
      <w:r>
        <w:rPr>
          <w:rFonts w:ascii="Arial" w:hAnsi="Arial" w:cs="Arial"/>
          <w:color w:val="000000"/>
          <w:sz w:val="20"/>
          <w:szCs w:val="20"/>
        </w:rPr>
        <w:t>blockchain</w:t>
      </w:r>
      <w:proofErr w:type="spellEnd"/>
      <w:r>
        <w:rPr>
          <w:rFonts w:ascii="Arial" w:hAnsi="Arial" w:cs="Arial"/>
          <w:color w:val="000000"/>
          <w:sz w:val="20"/>
          <w:szCs w:val="20"/>
        </w:rPr>
        <w:t xml:space="preserve"> project that would need to source on farm data. </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Define the initial scope of the project that should focus on rapidly delivering a “straw man set of data principles</w:t>
      </w:r>
      <w:proofErr w:type="gramStart"/>
      <w:r>
        <w:rPr>
          <w:rStyle w:val="A7"/>
          <w:rFonts w:ascii="Arial" w:hAnsi="Arial" w:cs="Arial"/>
          <w:sz w:val="20"/>
          <w:szCs w:val="20"/>
        </w:rPr>
        <w:t>” .</w:t>
      </w:r>
      <w:proofErr w:type="gramEnd"/>
      <w:r>
        <w:rPr>
          <w:rStyle w:val="A7"/>
          <w:rFonts w:ascii="Arial" w:hAnsi="Arial" w:cs="Arial"/>
          <w:sz w:val="20"/>
          <w:szCs w:val="20"/>
        </w:rPr>
        <w:t xml:space="preserve"> This work stream should frame how data is owned, stored / handled, shared / flows in any project </w:t>
      </w:r>
      <w:proofErr w:type="spellStart"/>
      <w:r>
        <w:rPr>
          <w:rStyle w:val="A7"/>
          <w:rFonts w:ascii="Arial" w:hAnsi="Arial" w:cs="Arial"/>
          <w:sz w:val="20"/>
          <w:szCs w:val="20"/>
        </w:rPr>
        <w:t>etc</w:t>
      </w:r>
      <w:proofErr w:type="spellEnd"/>
      <w:r>
        <w:rPr>
          <w:rStyle w:val="A7"/>
          <w:rFonts w:ascii="Arial" w:hAnsi="Arial" w:cs="Arial"/>
          <w:sz w:val="20"/>
          <w:szCs w:val="20"/>
        </w:rPr>
        <w:t xml:space="preserve"> in any given service.</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Project lead should be the most knowledgeable person on GDPR and related data issues and a good communicator.</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The objective is to develop a simple set of farm data principles and to start scoping a rating tool which helps farmers understand how different parties are using their data.</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 xml:space="preserve">The principles developed should be aligned to GDPR regulation and take account of the work being done in other relevant </w:t>
      </w:r>
      <w:proofErr w:type="gramStart"/>
      <w:r>
        <w:rPr>
          <w:rStyle w:val="A7"/>
          <w:rFonts w:ascii="Arial" w:hAnsi="Arial" w:cs="Arial"/>
          <w:sz w:val="20"/>
          <w:szCs w:val="20"/>
        </w:rPr>
        <w:t>ag</w:t>
      </w:r>
      <w:proofErr w:type="gramEnd"/>
      <w:r>
        <w:rPr>
          <w:rStyle w:val="A7"/>
          <w:rFonts w:ascii="Arial" w:hAnsi="Arial" w:cs="Arial"/>
          <w:sz w:val="20"/>
          <w:szCs w:val="20"/>
        </w:rPr>
        <w:t xml:space="preserve"> data standard setting initiatives.</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“EIP-AGRI Workshop: Data sharing for digitisation benefits in agriculture”. This is a good initial discussion process raising the relevant question. However, it is a pan European initiative aiming to create European scale legislation. (</w:t>
      </w:r>
      <w:hyperlink r:id="rId5" w:history="1">
        <w:r>
          <w:rPr>
            <w:rStyle w:val="Hyperlink"/>
            <w:rFonts w:ascii="Arial" w:hAnsi="Arial" w:cs="Arial"/>
            <w:sz w:val="20"/>
            <w:szCs w:val="20"/>
          </w:rPr>
          <w:t>www.eip-agri.eu</w:t>
        </w:r>
      </w:hyperlink>
      <w:r>
        <w:rPr>
          <w:rStyle w:val="A7"/>
          <w:rFonts w:ascii="Arial" w:hAnsi="Arial" w:cs="Arial"/>
          <w:sz w:val="20"/>
          <w:szCs w:val="20"/>
        </w:rPr>
        <w:t>)</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 xml:space="preserve">AHDB has the opportunity to help forge a practical set of principles derived from project level work which can run ahead of any EU or more likely UK legislation. </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Working examples will demonstrate leadership in this field and help prove the concept through practical application.</w:t>
      </w:r>
    </w:p>
    <w:p w:rsidR="00D61A8D" w:rsidRDefault="00D61A8D" w:rsidP="00D61A8D">
      <w:pPr>
        <w:pStyle w:val="Default"/>
        <w:numPr>
          <w:ilvl w:val="0"/>
          <w:numId w:val="1"/>
        </w:numPr>
        <w:ind w:left="360" w:hanging="360"/>
        <w:rPr>
          <w:rFonts w:ascii="Arial" w:hAnsi="Arial" w:cs="Arial"/>
          <w:sz w:val="20"/>
          <w:szCs w:val="20"/>
        </w:rPr>
      </w:pPr>
      <w:r>
        <w:rPr>
          <w:rStyle w:val="A7"/>
          <w:rFonts w:ascii="Arial" w:hAnsi="Arial" w:cs="Arial"/>
          <w:sz w:val="20"/>
          <w:szCs w:val="20"/>
        </w:rPr>
        <w:t xml:space="preserve">This will be legally intensive work and will require specialist legal support so the requirements will need to be scoped </w:t>
      </w:r>
      <w:r>
        <w:rPr>
          <w:rFonts w:ascii="Arial" w:hAnsi="Arial" w:cs="Arial"/>
          <w:sz w:val="20"/>
          <w:szCs w:val="20"/>
        </w:rPr>
        <w:t xml:space="preserve">budgeted and commented on. A very tight scope and tender document would need to be put in place prior to selection of the best legal service provider. </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Alignment and potentially co-development should ideally include the NFU, Ag Innovation Centres and DEFRA data scientists for comment and validation. This is consistent with interview findings.</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Once pilot principles have been produced it should be road tested with some key industry participants (input, machinery, trade, processing, retail), farmer levy payers and ODI/GODAN.</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Use specific projects to road test and refine both the principles and rating tool. Practical examples are far more informative than theoretical constructs.</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Define timeline, specific deliverables, resources, budgets and accountabilities</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Present to the Board for approval and to garner support. We suggest a succinct business case for doing this should be developed and presented to key collaborators in the chain and at DEFRA</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 xml:space="preserve">Access to farm data is a critical bottleneck to creating an efficient and productive UK </w:t>
      </w:r>
      <w:proofErr w:type="spellStart"/>
      <w:r>
        <w:rPr>
          <w:rFonts w:ascii="Arial" w:hAnsi="Arial" w:cs="Arial"/>
          <w:sz w:val="20"/>
          <w:szCs w:val="20"/>
        </w:rPr>
        <w:t>agri</w:t>
      </w:r>
      <w:proofErr w:type="spellEnd"/>
      <w:r>
        <w:rPr>
          <w:rFonts w:ascii="Arial" w:hAnsi="Arial" w:cs="Arial"/>
          <w:sz w:val="20"/>
          <w:szCs w:val="20"/>
        </w:rPr>
        <w:t xml:space="preserve"> data ecosystem. It will take a lot of time, collaboration, resource and persistence. It therefore needs senior support and commitment from the outset.</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 xml:space="preserve">Given the growing concerns surrounding use, application of data and legal complexities across all industries; the role of an independent </w:t>
      </w:r>
      <w:proofErr w:type="gramStart"/>
      <w:r>
        <w:rPr>
          <w:rFonts w:ascii="Arial" w:hAnsi="Arial" w:cs="Arial"/>
          <w:sz w:val="20"/>
          <w:szCs w:val="20"/>
        </w:rPr>
        <w:t>ag</w:t>
      </w:r>
      <w:proofErr w:type="gramEnd"/>
      <w:r>
        <w:rPr>
          <w:rFonts w:ascii="Arial" w:hAnsi="Arial" w:cs="Arial"/>
          <w:sz w:val="20"/>
          <w:szCs w:val="20"/>
        </w:rPr>
        <w:t xml:space="preserve"> data ombudsman to arbitrate contentious test case issues should be considered. </w:t>
      </w:r>
    </w:p>
    <w:p w:rsidR="00D61A8D" w:rsidRDefault="00D61A8D" w:rsidP="00D61A8D">
      <w:pPr>
        <w:pStyle w:val="Default"/>
        <w:numPr>
          <w:ilvl w:val="0"/>
          <w:numId w:val="1"/>
        </w:numPr>
        <w:ind w:left="360" w:hanging="360"/>
        <w:rPr>
          <w:rFonts w:ascii="Arial" w:hAnsi="Arial" w:cs="Arial"/>
          <w:sz w:val="20"/>
          <w:szCs w:val="20"/>
        </w:rPr>
      </w:pPr>
      <w:r>
        <w:rPr>
          <w:rFonts w:ascii="Arial" w:hAnsi="Arial" w:cs="Arial"/>
          <w:sz w:val="20"/>
          <w:szCs w:val="20"/>
        </w:rPr>
        <w:t>This role might be best situated in the office of the Information Commissioner. Given budgetary constraints it would have to be funded.</w:t>
      </w:r>
    </w:p>
    <w:p w:rsidR="00D61A8D" w:rsidRDefault="00D61A8D" w:rsidP="00D61A8D">
      <w:pPr>
        <w:pStyle w:val="Default"/>
        <w:rPr>
          <w:rFonts w:ascii="Arial" w:hAnsi="Arial" w:cs="Arial"/>
          <w:sz w:val="20"/>
          <w:szCs w:val="20"/>
        </w:rPr>
      </w:pPr>
    </w:p>
    <w:p w:rsidR="00D61A8D" w:rsidRDefault="00D61A8D" w:rsidP="00D61A8D">
      <w:pPr>
        <w:rPr>
          <w:rFonts w:ascii="Arial" w:hAnsi="Arial" w:cs="Arial"/>
          <w:color w:val="000000"/>
          <w:sz w:val="20"/>
          <w:szCs w:val="20"/>
        </w:rPr>
      </w:pPr>
    </w:p>
    <w:p w:rsidR="00D61A8D" w:rsidRDefault="00D61A8D" w:rsidP="00D61A8D">
      <w:pPr>
        <w:pStyle w:val="Pa17"/>
        <w:spacing w:after="240"/>
        <w:rPr>
          <w:rFonts w:ascii="Arial" w:hAnsi="Arial" w:cs="Arial"/>
          <w:b/>
          <w:bCs/>
          <w:color w:val="000000"/>
          <w:sz w:val="20"/>
          <w:szCs w:val="20"/>
        </w:rPr>
      </w:pPr>
      <w:r>
        <w:rPr>
          <w:rFonts w:ascii="Arial" w:hAnsi="Arial" w:cs="Arial"/>
          <w:b/>
          <w:bCs/>
          <w:color w:val="000000"/>
          <w:sz w:val="20"/>
          <w:szCs w:val="20"/>
        </w:rPr>
        <w:t>Information from the Workshop</w:t>
      </w:r>
    </w:p>
    <w:p w:rsidR="00D61A8D" w:rsidRDefault="00D61A8D" w:rsidP="00D61A8D">
      <w:pPr>
        <w:pStyle w:val="ListParagraph"/>
        <w:numPr>
          <w:ilvl w:val="0"/>
          <w:numId w:val="2"/>
        </w:numPr>
        <w:spacing w:after="240"/>
        <w:contextualSpacing/>
        <w:rPr>
          <w:rFonts w:ascii="Arial" w:hAnsi="Arial" w:cs="Arial"/>
          <w:sz w:val="20"/>
          <w:szCs w:val="20"/>
        </w:rPr>
      </w:pPr>
      <w:r>
        <w:rPr>
          <w:rFonts w:ascii="Arial" w:hAnsi="Arial" w:cs="Arial"/>
          <w:sz w:val="20"/>
          <w:szCs w:val="20"/>
        </w:rPr>
        <w:t>There was a consensus amongst the group that one of AHDB’s clear aims should pursue the “Farmers First for Farm Data” initiative and look to produce a set of data standards or a code of conduct to facilitate data sharing. This would help overcome the trust deficit that inhibits the willingness amongst farmers and growers to share data. It was agreed that these standards should be comprehensive but not unusable.</w:t>
      </w:r>
      <w:r>
        <w:rPr>
          <w:rFonts w:ascii="Arial" w:hAnsi="Arial" w:cs="Arial"/>
          <w:sz w:val="20"/>
          <w:szCs w:val="20"/>
        </w:rPr>
        <w:t xml:space="preserve"> </w:t>
      </w:r>
      <w:r>
        <w:rPr>
          <w:rFonts w:ascii="Arial" w:hAnsi="Arial" w:cs="Arial"/>
          <w:sz w:val="20"/>
          <w:szCs w:val="20"/>
        </w:rPr>
        <w:t>In order to move this forward the following questions need to be addressed:</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 xml:space="preserve">Which organisations should AHDB partner with to produce the data standards? </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What has stopped these standards being produced already? Are there any particular blockages?</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Where should AHDB take inspiration from? Who is doing it w</w:t>
      </w:r>
      <w:bookmarkStart w:id="0" w:name="_GoBack"/>
      <w:bookmarkEnd w:id="0"/>
      <w:r>
        <w:rPr>
          <w:rFonts w:ascii="Arial" w:hAnsi="Arial" w:cs="Arial"/>
          <w:sz w:val="20"/>
          <w:szCs w:val="20"/>
        </w:rPr>
        <w:t>ell now?</w:t>
      </w:r>
      <w:r>
        <w:rPr>
          <w:sz w:val="20"/>
          <w:szCs w:val="20"/>
        </w:rPr>
        <w:t xml:space="preserve"> </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Are there any GDPR considerations?</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lastRenderedPageBreak/>
        <w:t xml:space="preserve">What are appropriate timeframes? </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How will AHDB know if this has been successful (appropriate KPIs)</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Which partners should AHDB engage with to communicate the value of these standards to the industry?</w:t>
      </w:r>
    </w:p>
    <w:p w:rsidR="00D61A8D" w:rsidRDefault="00D61A8D" w:rsidP="00D61A8D">
      <w:pPr>
        <w:pStyle w:val="ListParagraph"/>
        <w:numPr>
          <w:ilvl w:val="1"/>
          <w:numId w:val="2"/>
        </w:numPr>
        <w:contextualSpacing/>
        <w:rPr>
          <w:rFonts w:ascii="Arial" w:hAnsi="Arial" w:cs="Arial"/>
          <w:sz w:val="20"/>
          <w:szCs w:val="20"/>
        </w:rPr>
      </w:pPr>
      <w:r>
        <w:rPr>
          <w:rFonts w:ascii="Arial" w:hAnsi="Arial" w:cs="Arial"/>
          <w:sz w:val="20"/>
          <w:szCs w:val="20"/>
        </w:rPr>
        <w:t>Which partners should AHDB work with to demonstrate the benefits?</w:t>
      </w:r>
    </w:p>
    <w:p w:rsidR="00B32592" w:rsidRDefault="00B32592"/>
    <w:sectPr w:rsidR="00B32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XDBSPM+HelveticaNeue">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5DC59"/>
    <w:multiLevelType w:val="hybridMultilevel"/>
    <w:tmpl w:val="F8DE39BD"/>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7C895FC3"/>
    <w:multiLevelType w:val="hybridMultilevel"/>
    <w:tmpl w:val="74707F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A8D"/>
    <w:rsid w:val="00B32592"/>
    <w:rsid w:val="00D61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D1BF"/>
  <w15:chartTrackingRefBased/>
  <w15:docId w15:val="{FA13854C-B840-496A-A628-18DB685D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A8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1A8D"/>
    <w:rPr>
      <w:color w:val="0563C1"/>
      <w:u w:val="single"/>
    </w:rPr>
  </w:style>
  <w:style w:type="paragraph" w:styleId="ListParagraph">
    <w:name w:val="List Paragraph"/>
    <w:basedOn w:val="Normal"/>
    <w:uiPriority w:val="34"/>
    <w:qFormat/>
    <w:rsid w:val="00D61A8D"/>
    <w:pPr>
      <w:ind w:left="720"/>
    </w:pPr>
  </w:style>
  <w:style w:type="paragraph" w:customStyle="1" w:styleId="Default">
    <w:name w:val="Default"/>
    <w:basedOn w:val="Normal"/>
    <w:rsid w:val="00D61A8D"/>
    <w:pPr>
      <w:autoSpaceDE w:val="0"/>
      <w:autoSpaceDN w:val="0"/>
    </w:pPr>
    <w:rPr>
      <w:rFonts w:ascii="XDBSPM+HelveticaNeue" w:hAnsi="XDBSPM+HelveticaNeue"/>
      <w:color w:val="000000"/>
      <w:lang w:eastAsia="en-US"/>
    </w:rPr>
  </w:style>
  <w:style w:type="paragraph" w:customStyle="1" w:styleId="Pa17">
    <w:name w:val="Pa17"/>
    <w:basedOn w:val="Normal"/>
    <w:uiPriority w:val="99"/>
    <w:rsid w:val="00D61A8D"/>
    <w:pPr>
      <w:autoSpaceDE w:val="0"/>
      <w:autoSpaceDN w:val="0"/>
      <w:spacing w:line="261" w:lineRule="atLeast"/>
    </w:pPr>
    <w:rPr>
      <w:rFonts w:ascii="XDBSPM+HelveticaNeue" w:hAnsi="XDBSPM+HelveticaNeue"/>
      <w:lang w:eastAsia="en-US"/>
    </w:rPr>
  </w:style>
  <w:style w:type="paragraph" w:customStyle="1" w:styleId="Pa2">
    <w:name w:val="Pa2"/>
    <w:basedOn w:val="Normal"/>
    <w:uiPriority w:val="99"/>
    <w:rsid w:val="00D61A8D"/>
    <w:pPr>
      <w:autoSpaceDE w:val="0"/>
      <w:autoSpaceDN w:val="0"/>
      <w:spacing w:line="241" w:lineRule="atLeast"/>
    </w:pPr>
    <w:rPr>
      <w:rFonts w:ascii="XDBSPM+HelveticaNeue" w:hAnsi="XDBSPM+HelveticaNeue"/>
      <w:lang w:eastAsia="en-US"/>
    </w:rPr>
  </w:style>
  <w:style w:type="character" w:customStyle="1" w:styleId="A7">
    <w:name w:val="A7"/>
    <w:basedOn w:val="DefaultParagraphFont"/>
    <w:uiPriority w:val="99"/>
    <w:rsid w:val="00D61A8D"/>
    <w:rPr>
      <w:rFonts w:ascii="XDBSPM+HelveticaNeue" w:hAnsi="XDBSPM+HelveticaNeue"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1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p-agri.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Bull</dc:creator>
  <cp:keywords/>
  <dc:description/>
  <cp:lastModifiedBy>Ashleigh Bull</cp:lastModifiedBy>
  <cp:revision>1</cp:revision>
  <dcterms:created xsi:type="dcterms:W3CDTF">2018-04-18T09:23:00Z</dcterms:created>
  <dcterms:modified xsi:type="dcterms:W3CDTF">2018-04-18T09:37:00Z</dcterms:modified>
</cp:coreProperties>
</file>