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F76" w:rsidRDefault="005D6F7D" w14:paraId="3569FCA1" w14:textId="07D25DC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Public Health Funerals</w:t>
      </w:r>
      <w:r w:rsidR="00C62593">
        <w:rPr>
          <w:b/>
          <w:bCs/>
          <w:sz w:val="32"/>
          <w:szCs w:val="32"/>
          <w:u w:val="single"/>
        </w:rPr>
        <w:t xml:space="preserve"> Early Market Engagement Questionnaire</w:t>
      </w:r>
    </w:p>
    <w:p w:rsidRPr="007433C9" w:rsidR="00616F76" w:rsidP="00616F76" w:rsidRDefault="00616F76" w14:paraId="56BA6B21" w14:textId="3C7174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6F76">
        <w:rPr>
          <w:rFonts w:ascii="Tahoma" w:hAnsi="Tahoma" w:cs="Tahoma"/>
        </w:rPr>
        <w:t>Which one of these Contract lengths would be most preferable</w:t>
      </w:r>
      <w:r w:rsidR="00526752">
        <w:rPr>
          <w:rFonts w:ascii="Tahoma" w:hAnsi="Tahoma" w:cs="Tahoma"/>
        </w:rPr>
        <w:t xml:space="preserve"> and why?</w:t>
      </w:r>
      <w:r w:rsidRPr="00616F76">
        <w:rPr>
          <w:rFonts w:ascii="Tahoma" w:hAnsi="Tahoma" w:cs="Tahoma"/>
        </w:rPr>
        <w:t xml:space="preserve"> 2 years, 3 years, 4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33C9" w:rsidTr="007433C9" w14:paraId="4BA65347" w14:textId="77777777">
        <w:trPr>
          <w:trHeight w:val="506"/>
        </w:trPr>
        <w:tc>
          <w:tcPr>
            <w:tcW w:w="9016" w:type="dxa"/>
          </w:tcPr>
          <w:p w:rsidR="007433C9" w:rsidP="007433C9" w:rsidRDefault="007433C9" w14:paraId="3E443517" w14:textId="77777777">
            <w:pPr>
              <w:rPr>
                <w:sz w:val="24"/>
                <w:szCs w:val="24"/>
              </w:rPr>
            </w:pPr>
          </w:p>
          <w:p w:rsidR="003467DD" w:rsidP="007433C9" w:rsidRDefault="003467DD" w14:paraId="23BA5710" w14:textId="77777777">
            <w:pPr>
              <w:rPr>
                <w:sz w:val="24"/>
                <w:szCs w:val="24"/>
              </w:rPr>
            </w:pPr>
          </w:p>
          <w:p w:rsidR="003467DD" w:rsidP="007433C9" w:rsidRDefault="003467DD" w14:paraId="3A739746" w14:textId="77777777">
            <w:pPr>
              <w:rPr>
                <w:sz w:val="24"/>
                <w:szCs w:val="24"/>
              </w:rPr>
            </w:pPr>
          </w:p>
          <w:p w:rsidR="003467DD" w:rsidP="007433C9" w:rsidRDefault="003467DD" w14:paraId="2136BABB" w14:textId="77777777">
            <w:pPr>
              <w:rPr>
                <w:sz w:val="24"/>
                <w:szCs w:val="24"/>
              </w:rPr>
            </w:pPr>
          </w:p>
        </w:tc>
      </w:tr>
    </w:tbl>
    <w:p w:rsidR="00C62593" w:rsidP="00C62593" w:rsidRDefault="00C62593" w14:paraId="01B92369" w14:textId="77777777">
      <w:pPr>
        <w:pStyle w:val="ListParagraph"/>
        <w:rPr>
          <w:rFonts w:ascii="Tahoma" w:hAnsi="Tahoma" w:cs="Tahoma"/>
        </w:rPr>
      </w:pPr>
    </w:p>
    <w:p w:rsidR="007433C9" w:rsidP="007433C9" w:rsidRDefault="007433C9" w14:paraId="6460DADA" w14:textId="77777777">
      <w:pPr>
        <w:pStyle w:val="ListParagraph"/>
        <w:rPr>
          <w:rFonts w:ascii="Tahoma" w:hAnsi="Tahoma" w:cs="Tahoma"/>
        </w:rPr>
      </w:pPr>
    </w:p>
    <w:p w:rsidR="005D6F7D" w:rsidP="00C81F42" w:rsidRDefault="00616F76" w14:paraId="4ED46F00" w14:textId="25DD244F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8D66042" w:rsidR="00616F76">
        <w:rPr>
          <w:rFonts w:ascii="Tahoma" w:hAnsi="Tahoma" w:cs="Tahoma"/>
        </w:rPr>
        <w:t xml:space="preserve">The </w:t>
      </w:r>
      <w:r w:rsidRPr="08D66042" w:rsidR="00E12193">
        <w:rPr>
          <w:rFonts w:ascii="Tahoma" w:hAnsi="Tahoma" w:cs="Tahoma"/>
        </w:rPr>
        <w:t xml:space="preserve">Council has specified the following collection arrangement previously </w:t>
      </w:r>
      <w:r w:rsidRPr="08D66042" w:rsidR="569BDF93">
        <w:rPr>
          <w:rFonts w:ascii="Tahoma" w:hAnsi="Tahoma" w:cs="Tahoma"/>
        </w:rPr>
        <w:t>for</w:t>
      </w:r>
      <w:r w:rsidRPr="08D66042" w:rsidR="005D6F7D">
        <w:rPr>
          <w:rFonts w:ascii="Tahoma" w:hAnsi="Tahoma" w:cs="Tahoma"/>
        </w:rPr>
        <w:t xml:space="preserve"> </w:t>
      </w:r>
      <w:r w:rsidRPr="08D66042" w:rsidR="005D6F7D">
        <w:rPr>
          <w:rFonts w:ascii="Tahoma" w:hAnsi="Tahoma" w:cs="Tahoma"/>
        </w:rPr>
        <w:t>funerals</w:t>
      </w:r>
      <w:r w:rsidRPr="08D66042" w:rsidR="7D503805">
        <w:rPr>
          <w:rFonts w:ascii="Tahoma" w:hAnsi="Tahoma" w:cs="Tahoma"/>
        </w:rPr>
        <w:t>:</w:t>
      </w:r>
    </w:p>
    <w:p w:rsidRPr="00E12193" w:rsidR="00E12193" w:rsidP="00E12193" w:rsidRDefault="00E12193" w14:paraId="1397E91C" w14:textId="77777777">
      <w:pPr>
        <w:pStyle w:val="ListParagraph"/>
        <w:rPr>
          <w:rFonts w:ascii="Tahoma" w:hAnsi="Tahoma" w:cs="Tahoma"/>
        </w:rPr>
      </w:pPr>
    </w:p>
    <w:p w:rsidRPr="00E12193" w:rsidR="00E12193" w:rsidP="00E12193" w:rsidRDefault="00E12193" w14:paraId="11CEDB77" w14:textId="77777777">
      <w:pPr>
        <w:pStyle w:val="ListParagraph"/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 w:rsidRPr="00E12193">
        <w:rPr>
          <w:rFonts w:ascii="Arial" w:hAnsi="Arial" w:cs="Arial"/>
        </w:rPr>
        <w:t>From mortuary facilities, within 24 hours at the request of the Contract Manager, Monday – Friday 0900 – 1700hrs.</w:t>
      </w:r>
    </w:p>
    <w:p w:rsidRPr="00E12193" w:rsidR="00E12193" w:rsidP="00E12193" w:rsidRDefault="00E12193" w14:paraId="18CFA6AA" w14:textId="552EC260">
      <w:pPr>
        <w:pStyle w:val="ListParagraph"/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 w:rsidRPr="00E12193">
        <w:rPr>
          <w:rFonts w:ascii="Arial" w:hAnsi="Arial" w:cs="Arial"/>
        </w:rPr>
        <w:t>From a Nursing or Residential Home, within 2 hours at the request of the Contract Manager or the staff of the Home, at on any day (i.e. 24 hours/365 days per year)</w:t>
      </w:r>
    </w:p>
    <w:p w:rsidRPr="00E12193" w:rsidR="00E12193" w:rsidP="00E12193" w:rsidRDefault="00E12193" w14:paraId="48CB9558" w14:textId="61924C28">
      <w:pPr>
        <w:pStyle w:val="ListParagraph"/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 w:rsidRPr="00E12193">
        <w:rPr>
          <w:rFonts w:ascii="Arial" w:hAnsi="Arial" w:cs="Arial"/>
        </w:rPr>
        <w:t>From a private residence or any other location, within 2 hours at the request of the Contract Manager or other responsible party (i.e. Police, Social Services) at any time of any day (i.e. 24 hours/365 days per year), provided access is made available.</w:t>
      </w:r>
    </w:p>
    <w:p w:rsidR="00E12193" w:rsidP="00E12193" w:rsidRDefault="00E12193" w14:paraId="33B0757C" w14:textId="22D736FB">
      <w:pPr>
        <w:ind w:left="709"/>
        <w:rPr>
          <w:rFonts w:ascii="Tahoma" w:hAnsi="Tahoma" w:cs="Tahoma"/>
        </w:rPr>
      </w:pPr>
      <w:r>
        <w:rPr>
          <w:rFonts w:ascii="Tahoma" w:hAnsi="Tahoma" w:cs="Tahoma"/>
        </w:rPr>
        <w:t>Would you be able to fulfil such arrangements</w:t>
      </w:r>
      <w:r w:rsidR="000B239E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and if not,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33C9" w:rsidTr="007433C9" w14:paraId="046B9FC9" w14:textId="77777777">
        <w:tc>
          <w:tcPr>
            <w:tcW w:w="9016" w:type="dxa"/>
          </w:tcPr>
          <w:p w:rsidR="007433C9" w:rsidP="00C62593" w:rsidRDefault="007433C9" w14:paraId="7482BA10" w14:textId="77777777">
            <w:pPr>
              <w:rPr>
                <w:rFonts w:ascii="Tahoma" w:hAnsi="Tahoma" w:cs="Tahoma"/>
              </w:rPr>
            </w:pPr>
          </w:p>
          <w:p w:rsidR="007433C9" w:rsidP="00C62593" w:rsidRDefault="007433C9" w14:paraId="7AD6D92F" w14:textId="77777777">
            <w:pPr>
              <w:rPr>
                <w:rFonts w:ascii="Tahoma" w:hAnsi="Tahoma" w:cs="Tahoma"/>
              </w:rPr>
            </w:pPr>
          </w:p>
          <w:p w:rsidR="007433C9" w:rsidP="00C62593" w:rsidRDefault="007433C9" w14:paraId="5FA25B19" w14:textId="77777777">
            <w:pPr>
              <w:rPr>
                <w:rFonts w:ascii="Tahoma" w:hAnsi="Tahoma" w:cs="Tahoma"/>
              </w:rPr>
            </w:pPr>
          </w:p>
          <w:p w:rsidR="007433C9" w:rsidP="00C62593" w:rsidRDefault="007433C9" w14:paraId="40DCE9FB" w14:textId="77777777">
            <w:pPr>
              <w:rPr>
                <w:rFonts w:ascii="Tahoma" w:hAnsi="Tahoma" w:cs="Tahoma"/>
              </w:rPr>
            </w:pPr>
          </w:p>
          <w:p w:rsidR="007433C9" w:rsidP="00C62593" w:rsidRDefault="007433C9" w14:paraId="58848CD5" w14:textId="77777777">
            <w:pPr>
              <w:rPr>
                <w:rFonts w:ascii="Tahoma" w:hAnsi="Tahoma" w:cs="Tahoma"/>
              </w:rPr>
            </w:pPr>
          </w:p>
          <w:p w:rsidR="007433C9" w:rsidP="00C62593" w:rsidRDefault="007433C9" w14:paraId="6E413BCF" w14:textId="77777777">
            <w:pPr>
              <w:rPr>
                <w:rFonts w:ascii="Tahoma" w:hAnsi="Tahoma" w:cs="Tahoma"/>
              </w:rPr>
            </w:pPr>
          </w:p>
          <w:p w:rsidR="007433C9" w:rsidP="00C62593" w:rsidRDefault="007433C9" w14:paraId="3D9393B9" w14:textId="77777777">
            <w:pPr>
              <w:rPr>
                <w:rFonts w:ascii="Tahoma" w:hAnsi="Tahoma" w:cs="Tahoma"/>
              </w:rPr>
            </w:pPr>
          </w:p>
          <w:p w:rsidR="007433C9" w:rsidP="00C62593" w:rsidRDefault="007433C9" w14:paraId="5EF8A8AB" w14:textId="77777777">
            <w:pPr>
              <w:rPr>
                <w:rFonts w:ascii="Tahoma" w:hAnsi="Tahoma" w:cs="Tahoma"/>
              </w:rPr>
            </w:pPr>
          </w:p>
        </w:tc>
      </w:tr>
    </w:tbl>
    <w:p w:rsidR="007433C9" w:rsidP="00C62593" w:rsidRDefault="007433C9" w14:paraId="29F9BBA1" w14:textId="77777777">
      <w:pPr>
        <w:rPr>
          <w:rFonts w:ascii="Tahoma" w:hAnsi="Tahoma" w:cs="Tahoma"/>
        </w:rPr>
      </w:pPr>
    </w:p>
    <w:p w:rsidR="00616F76" w:rsidP="00616F76" w:rsidRDefault="00616F76" w14:paraId="7FCB3087" w14:textId="473A2916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616F76">
        <w:rPr>
          <w:rFonts w:ascii="Tahoma" w:hAnsi="Tahoma" w:cs="Tahoma"/>
        </w:rPr>
        <w:t xml:space="preserve">The contract will cover all areas of </w:t>
      </w:r>
      <w:proofErr w:type="gramStart"/>
      <w:r w:rsidRPr="00616F76">
        <w:rPr>
          <w:rFonts w:ascii="Tahoma" w:hAnsi="Tahoma" w:cs="Tahoma"/>
        </w:rPr>
        <w:t>WNC</w:t>
      </w:r>
      <w:proofErr w:type="gramEnd"/>
      <w:r w:rsidRPr="00616F76">
        <w:rPr>
          <w:rFonts w:ascii="Tahoma" w:hAnsi="Tahoma" w:cs="Tahoma"/>
        </w:rPr>
        <w:t xml:space="preserve"> but we are looking at the possibility of zoning the contract. The zones we have identified are set out in the accompanying </w:t>
      </w:r>
      <w:r w:rsidR="00A05E9A">
        <w:rPr>
          <w:rFonts w:ascii="Tahoma" w:hAnsi="Tahoma" w:cs="Tahoma"/>
        </w:rPr>
        <w:t xml:space="preserve">PDF </w:t>
      </w:r>
      <w:r w:rsidRPr="00616F76">
        <w:rPr>
          <w:rFonts w:ascii="Tahoma" w:hAnsi="Tahoma" w:cs="Tahoma"/>
        </w:rPr>
        <w:t xml:space="preserve">diagram. Are these zones areas that could work for this service? Would certain zones in West Northamptonshire be more attractive than others? If so, why? Could you run a service that covers </w:t>
      </w:r>
      <w:proofErr w:type="gramStart"/>
      <w:r w:rsidRPr="00616F76">
        <w:rPr>
          <w:rFonts w:ascii="Tahoma" w:hAnsi="Tahoma" w:cs="Tahoma"/>
        </w:rPr>
        <w:t>all of</w:t>
      </w:r>
      <w:proofErr w:type="gramEnd"/>
      <w:r w:rsidRPr="00616F76">
        <w:rPr>
          <w:rFonts w:ascii="Tahoma" w:hAnsi="Tahoma" w:cs="Tahoma"/>
        </w:rPr>
        <w:t xml:space="preserve"> the zones?</w:t>
      </w:r>
      <w:r w:rsidR="008961F8">
        <w:rPr>
          <w:rFonts w:ascii="Tahoma" w:hAnsi="Tahoma" w:cs="Tahoma"/>
        </w:rPr>
        <w:t xml:space="preserve"> Should the </w:t>
      </w:r>
      <w:r w:rsidR="00E57D5A">
        <w:rPr>
          <w:rFonts w:ascii="Tahoma" w:hAnsi="Tahoma" w:cs="Tahoma"/>
        </w:rPr>
        <w:t>zones be smaller?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33C9" w:rsidTr="007433C9" w14:paraId="0C4306E9" w14:textId="77777777">
        <w:trPr>
          <w:trHeight w:val="2066"/>
        </w:trPr>
        <w:tc>
          <w:tcPr>
            <w:tcW w:w="9016" w:type="dxa"/>
          </w:tcPr>
          <w:p w:rsidR="007433C9" w:rsidP="00B10322" w:rsidRDefault="007433C9" w14:paraId="085A5387" w14:textId="77777777">
            <w:pPr>
              <w:rPr>
                <w:rFonts w:ascii="Tahoma" w:hAnsi="Tahoma" w:cs="Tahoma"/>
              </w:rPr>
            </w:pPr>
          </w:p>
        </w:tc>
      </w:tr>
    </w:tbl>
    <w:p w:rsidR="007433C9" w:rsidP="00B10322" w:rsidRDefault="007433C9" w14:paraId="4AF88DB9" w14:textId="77777777">
      <w:pPr>
        <w:rPr>
          <w:rFonts w:ascii="Tahoma" w:hAnsi="Tahoma" w:cs="Tahoma"/>
        </w:rPr>
      </w:pPr>
    </w:p>
    <w:p w:rsidR="00B10322" w:rsidP="00B10322" w:rsidRDefault="00B10322" w14:paraId="2A1D305B" w14:textId="77777777">
      <w:pPr>
        <w:rPr>
          <w:rFonts w:ascii="Tahoma" w:hAnsi="Tahoma" w:cs="Tahoma"/>
        </w:rPr>
      </w:pPr>
    </w:p>
    <w:p w:rsidR="007433C9" w:rsidP="00B10322" w:rsidRDefault="007433C9" w14:paraId="6BA47C81" w14:textId="77777777">
      <w:pPr>
        <w:rPr>
          <w:rFonts w:ascii="Tahoma" w:hAnsi="Tahoma" w:cs="Tahoma"/>
        </w:rPr>
      </w:pPr>
    </w:p>
    <w:p w:rsidRPr="00C62593" w:rsidR="00C62593" w:rsidP="00C62593" w:rsidRDefault="00A05E9A" w14:paraId="25F0DEB7" w14:textId="188E6DDA">
      <w:pPr>
        <w:pStyle w:val="ListParagraph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>
        <w:rPr>
          <w:rFonts w:ascii="Tahoma" w:hAnsi="Tahoma" w:cs="Tahoma"/>
        </w:rPr>
        <w:t>To help us understand indicative costs</w:t>
      </w:r>
      <w:r w:rsidR="00370AE2">
        <w:rPr>
          <w:rFonts w:ascii="Tahoma" w:hAnsi="Tahoma" w:cs="Tahoma"/>
        </w:rPr>
        <w:t xml:space="preserve"> and create pricing templates</w:t>
      </w:r>
      <w:r>
        <w:rPr>
          <w:rFonts w:ascii="Tahoma" w:hAnsi="Tahoma" w:cs="Tahoma"/>
        </w:rPr>
        <w:t xml:space="preserve"> please tell us </w:t>
      </w:r>
      <w:r w:rsidR="00276990">
        <w:rPr>
          <w:rFonts w:ascii="Tahoma" w:hAnsi="Tahoma" w:cs="Tahoma"/>
        </w:rPr>
        <w:t>about how you charge?</w:t>
      </w:r>
      <w:r w:rsidRPr="00616F76" w:rsidR="00616F76">
        <w:rPr>
          <w:rFonts w:ascii="Tahoma" w:hAnsi="Tahoma" w:cs="Tahoma"/>
        </w:rPr>
        <w:t xml:space="preserve"> </w:t>
      </w:r>
      <w:r w:rsidR="00276990">
        <w:rPr>
          <w:rFonts w:ascii="Tahoma" w:hAnsi="Tahoma" w:cs="Tahoma"/>
        </w:rPr>
        <w:t>W</w:t>
      </w:r>
      <w:r w:rsidRPr="00616F76" w:rsidR="00616F76">
        <w:rPr>
          <w:rFonts w:ascii="Tahoma" w:hAnsi="Tahoma" w:cs="Tahoma"/>
        </w:rPr>
        <w:t xml:space="preserve">ould there be different charges for different areas/zones. What would your standard charges for </w:t>
      </w:r>
      <w:r w:rsidR="005D6F7D">
        <w:rPr>
          <w:rFonts w:ascii="Tahoma" w:hAnsi="Tahoma" w:cs="Tahoma"/>
        </w:rPr>
        <w:t>a public health funeral</w:t>
      </w:r>
      <w:r w:rsidRPr="00616F76" w:rsidR="00616F76">
        <w:rPr>
          <w:rFonts w:ascii="Tahoma" w:hAnsi="Tahoma" w:cs="Tahoma"/>
        </w:rPr>
        <w:t xml:space="preserve"> be?</w:t>
      </w:r>
    </w:p>
    <w:p w:rsidRPr="00B10322" w:rsidR="00616F76" w:rsidP="00A05E9A" w:rsidRDefault="005D6F7D" w14:paraId="1B96ADA2" w14:textId="67D5203C">
      <w:pPr>
        <w:ind w:left="714"/>
        <w:rPr>
          <w:rFonts w:ascii="Tahoma" w:hAnsi="Tahoma" w:cs="Tahoma"/>
        </w:rPr>
      </w:pPr>
      <w:r w:rsidRPr="00B10322">
        <w:rPr>
          <w:rFonts w:ascii="Tahoma" w:hAnsi="Tahoma" w:cs="Tahoma"/>
        </w:rPr>
        <w:t>Below are details of the numbers of public health funerals conducted over the past 4 years</w:t>
      </w:r>
      <w:r w:rsidR="00A05E9A">
        <w:rPr>
          <w:rFonts w:ascii="Tahoma" w:hAnsi="Tahoma" w:cs="Tahoma"/>
        </w:rPr>
        <w:t xml:space="preserve"> to support your response:</w:t>
      </w:r>
    </w:p>
    <w:tbl>
      <w:tblPr>
        <w:tblW w:w="8505" w:type="dxa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1559"/>
        <w:gridCol w:w="1559"/>
        <w:gridCol w:w="1701"/>
      </w:tblGrid>
      <w:tr w:rsidRPr="00B10322" w:rsidR="005D6F7D" w:rsidTr="00A05E9A" w14:paraId="4C5D2071" w14:textId="7777777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10322" w:rsidR="005D6F7D" w:rsidRDefault="005D6F7D" w14:paraId="3DEB5CBF" w14:textId="40C801D1">
            <w:pPr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 xml:space="preserve"> Year</w:t>
            </w:r>
          </w:p>
        </w:tc>
        <w:tc>
          <w:tcPr>
            <w:tcW w:w="1276" w:type="dxa"/>
          </w:tcPr>
          <w:p w:rsidRPr="00B10322" w:rsidR="005D6F7D" w:rsidRDefault="005D6F7D" w14:paraId="4D020C63" w14:textId="376A5FD4">
            <w:pPr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Total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10322" w:rsidR="005D6F7D" w:rsidRDefault="005D6F7D" w14:paraId="0951DD5D" w14:textId="07AA5223">
            <w:pPr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 xml:space="preserve">Zone </w:t>
            </w:r>
            <w:r w:rsidRPr="00B10322" w:rsidR="00AA27D4">
              <w:rPr>
                <w:rFonts w:ascii="Tahoma" w:hAnsi="Tahoma" w:cs="Tahoma"/>
              </w:rPr>
              <w:t>2</w:t>
            </w:r>
            <w:r w:rsidRPr="00B10322" w:rsidR="00AE79B6">
              <w:rPr>
                <w:rFonts w:ascii="Tahoma" w:hAnsi="Tahoma" w:cs="Tahoma"/>
              </w:rPr>
              <w:t xml:space="preserve"> (DDC)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10322" w:rsidR="005D6F7D" w:rsidRDefault="005D6F7D" w14:paraId="24A5E153" w14:textId="1633193E">
            <w:pPr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 xml:space="preserve">Zone </w:t>
            </w:r>
            <w:r w:rsidRPr="00B10322" w:rsidR="00AA27D4">
              <w:rPr>
                <w:rFonts w:ascii="Tahoma" w:hAnsi="Tahoma" w:cs="Tahoma"/>
              </w:rPr>
              <w:t>1</w:t>
            </w:r>
            <w:r w:rsidRPr="00B10322" w:rsidR="00AE79B6">
              <w:rPr>
                <w:rFonts w:ascii="Tahoma" w:hAnsi="Tahoma" w:cs="Tahoma"/>
              </w:rPr>
              <w:t xml:space="preserve"> (NBC)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10322" w:rsidR="005D6F7D" w:rsidRDefault="005D6F7D" w14:paraId="0AC1EAE6" w14:textId="4C96E9B7">
            <w:pPr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Zone 3</w:t>
            </w:r>
            <w:r w:rsidRPr="00B10322" w:rsidR="00AE79B6">
              <w:rPr>
                <w:rFonts w:ascii="Tahoma" w:hAnsi="Tahoma" w:cs="Tahoma"/>
              </w:rPr>
              <w:t xml:space="preserve"> (SNC)</w:t>
            </w:r>
          </w:p>
        </w:tc>
      </w:tr>
      <w:tr w:rsidRPr="00B10322" w:rsidR="005D6F7D" w:rsidTr="00A05E9A" w14:paraId="1D049D35" w14:textId="7777777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10322" w:rsidR="005D6F7D" w:rsidRDefault="005D6F7D" w14:paraId="2BB2734E" w14:textId="5E698E08">
            <w:pPr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 xml:space="preserve">April 2020 to April 2021              </w:t>
            </w:r>
          </w:p>
        </w:tc>
        <w:tc>
          <w:tcPr>
            <w:tcW w:w="1276" w:type="dxa"/>
          </w:tcPr>
          <w:p w:rsidRPr="00B10322" w:rsidR="005D6F7D" w:rsidP="005D6F7D" w:rsidRDefault="005D6F7D" w14:paraId="7E668719" w14:textId="3CC5BBF0">
            <w:pPr>
              <w:jc w:val="center"/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20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10322" w:rsidR="005D6F7D" w:rsidP="00AA27D4" w:rsidRDefault="00F466D0" w14:paraId="77FE5285" w14:textId="2C791E77">
            <w:pPr>
              <w:jc w:val="center"/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3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10322" w:rsidR="005D6F7D" w:rsidP="00AA27D4" w:rsidRDefault="00F466D0" w14:paraId="72B0BAB0" w14:textId="27253ACC">
            <w:pPr>
              <w:jc w:val="center"/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16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10322" w:rsidR="005D6F7D" w:rsidP="00AA27D4" w:rsidRDefault="00F466D0" w14:paraId="00F6F43E" w14:textId="7F655851">
            <w:pPr>
              <w:jc w:val="center"/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1</w:t>
            </w:r>
          </w:p>
        </w:tc>
      </w:tr>
      <w:tr w:rsidRPr="00B10322" w:rsidR="005D6F7D" w:rsidTr="00A05E9A" w14:paraId="15728111" w14:textId="7777777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10322" w:rsidR="005D6F7D" w:rsidRDefault="005D6F7D" w14:paraId="550FB3F3" w14:textId="7D3B7A61">
            <w:pPr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April 2021 to April 2022</w:t>
            </w:r>
          </w:p>
        </w:tc>
        <w:tc>
          <w:tcPr>
            <w:tcW w:w="1276" w:type="dxa"/>
          </w:tcPr>
          <w:p w:rsidRPr="00B10322" w:rsidR="005D6F7D" w:rsidP="005D6F7D" w:rsidRDefault="005D6F7D" w14:paraId="15BAC3F5" w14:textId="5E5A1442">
            <w:pPr>
              <w:jc w:val="center"/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10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10322" w:rsidR="005D6F7D" w:rsidP="00AA27D4" w:rsidRDefault="00F466D0" w14:paraId="5677515F" w14:textId="3D927FF1">
            <w:pPr>
              <w:jc w:val="center"/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3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10322" w:rsidR="005D6F7D" w:rsidP="00AA27D4" w:rsidRDefault="00F466D0" w14:paraId="3A7994CF" w14:textId="384309AE">
            <w:pPr>
              <w:jc w:val="center"/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5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10322" w:rsidR="005D6F7D" w:rsidP="00AA27D4" w:rsidRDefault="00F466D0" w14:paraId="654EA73B" w14:textId="6DFA0AB1">
            <w:pPr>
              <w:jc w:val="center"/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2</w:t>
            </w:r>
          </w:p>
        </w:tc>
      </w:tr>
      <w:tr w:rsidRPr="00B10322" w:rsidR="005D6F7D" w:rsidTr="00A05E9A" w14:paraId="0DB51CE0" w14:textId="7777777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10322" w:rsidR="005D6F7D" w:rsidRDefault="005D6F7D" w14:paraId="64CE1B9A" w14:textId="49194099">
            <w:pPr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April 2022 to April 2023</w:t>
            </w:r>
          </w:p>
        </w:tc>
        <w:tc>
          <w:tcPr>
            <w:tcW w:w="1276" w:type="dxa"/>
          </w:tcPr>
          <w:p w:rsidRPr="00B10322" w:rsidR="005D6F7D" w:rsidP="005D6F7D" w:rsidRDefault="005D6F7D" w14:paraId="4093FB6A" w14:textId="4CEFA9C2">
            <w:pPr>
              <w:jc w:val="center"/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14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10322" w:rsidR="005D6F7D" w:rsidP="00AA27D4" w:rsidRDefault="00AE79B6" w14:paraId="5205C626" w14:textId="5915FE23">
            <w:pPr>
              <w:jc w:val="center"/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3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10322" w:rsidR="005D6F7D" w:rsidP="00AA27D4" w:rsidRDefault="00AE79B6" w14:paraId="428F8C87" w14:textId="53B8809B">
            <w:pPr>
              <w:jc w:val="center"/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10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10322" w:rsidR="005D6F7D" w:rsidP="00AA27D4" w:rsidRDefault="00AE79B6" w14:paraId="180EE007" w14:textId="5490FBBA">
            <w:pPr>
              <w:jc w:val="center"/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1</w:t>
            </w:r>
          </w:p>
        </w:tc>
      </w:tr>
      <w:tr w:rsidRPr="00B10322" w:rsidR="005D6F7D" w:rsidTr="00A05E9A" w14:paraId="2773B575" w14:textId="77777777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10322" w:rsidR="005D6F7D" w:rsidRDefault="005D6F7D" w14:paraId="782176EB" w14:textId="0E767FDD">
            <w:pPr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April 2023 to April 2024</w:t>
            </w:r>
          </w:p>
        </w:tc>
        <w:tc>
          <w:tcPr>
            <w:tcW w:w="1276" w:type="dxa"/>
          </w:tcPr>
          <w:p w:rsidRPr="00B10322" w:rsidR="005D6F7D" w:rsidP="005D6F7D" w:rsidRDefault="005D6F7D" w14:paraId="741C4E0B" w14:textId="05AA7F6A">
            <w:pPr>
              <w:jc w:val="center"/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28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10322" w:rsidR="005D6F7D" w:rsidP="00AA27D4" w:rsidRDefault="00AE79B6" w14:paraId="36DC0265" w14:textId="6D7DBFAF">
            <w:pPr>
              <w:jc w:val="center"/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4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10322" w:rsidR="005D6F7D" w:rsidP="00AA27D4" w:rsidRDefault="00AE79B6" w14:paraId="31549B42" w14:textId="4ABDC6BB">
            <w:pPr>
              <w:jc w:val="center"/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19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10322" w:rsidR="005D6F7D" w:rsidP="00AA27D4" w:rsidRDefault="00AE79B6" w14:paraId="15D50028" w14:textId="3BFB0045">
            <w:pPr>
              <w:jc w:val="center"/>
              <w:rPr>
                <w:rFonts w:ascii="Tahoma" w:hAnsi="Tahoma" w:cs="Tahoma"/>
              </w:rPr>
            </w:pPr>
            <w:r w:rsidRPr="00B10322">
              <w:rPr>
                <w:rFonts w:ascii="Tahoma" w:hAnsi="Tahoma" w:cs="Tahoma"/>
              </w:rPr>
              <w:t>5</w:t>
            </w:r>
          </w:p>
        </w:tc>
      </w:tr>
    </w:tbl>
    <w:p w:rsidR="00D01A4D" w:rsidP="00616F76" w:rsidRDefault="00D01A4D" w14:paraId="4F026A89" w14:textId="2049503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33C9" w:rsidTr="007433C9" w14:paraId="3E4E4A75" w14:textId="77777777">
        <w:trPr>
          <w:trHeight w:val="1972"/>
        </w:trPr>
        <w:tc>
          <w:tcPr>
            <w:tcW w:w="9016" w:type="dxa"/>
          </w:tcPr>
          <w:p w:rsidR="007433C9" w:rsidP="00616F76" w:rsidRDefault="007433C9" w14:paraId="7BBDE02E" w14:textId="77777777">
            <w:pPr>
              <w:rPr>
                <w:sz w:val="24"/>
                <w:szCs w:val="24"/>
              </w:rPr>
            </w:pPr>
          </w:p>
        </w:tc>
      </w:tr>
    </w:tbl>
    <w:p w:rsidR="007433C9" w:rsidP="00616F76" w:rsidRDefault="007433C9" w14:paraId="345C96FE" w14:textId="77777777">
      <w:pPr>
        <w:rPr>
          <w:sz w:val="24"/>
          <w:szCs w:val="24"/>
        </w:rPr>
      </w:pPr>
    </w:p>
    <w:p w:rsidR="00D01A4D" w:rsidP="00616F76" w:rsidRDefault="00D01A4D" w14:paraId="50FFD2C9" w14:textId="0AAA3B7F">
      <w:pPr>
        <w:rPr>
          <w:sz w:val="24"/>
          <w:szCs w:val="24"/>
        </w:rPr>
      </w:pPr>
      <w:r>
        <w:rPr>
          <w:sz w:val="24"/>
          <w:szCs w:val="24"/>
        </w:rPr>
        <w:t xml:space="preserve">Please submit your responses to </w:t>
      </w:r>
      <w:hyperlink w:history="1" r:id="rId10">
        <w:r w:rsidRPr="002D1163">
          <w:rPr>
            <w:rStyle w:val="Hyperlink"/>
            <w:sz w:val="24"/>
            <w:szCs w:val="24"/>
          </w:rPr>
          <w:t>procurement@westnorthants.gov.uk</w:t>
        </w:r>
      </w:hyperlink>
    </w:p>
    <w:p w:rsidRPr="00616F76" w:rsidR="00D01A4D" w:rsidP="00616F76" w:rsidRDefault="00D01A4D" w14:paraId="7C92B47D" w14:textId="51180583">
      <w:pPr>
        <w:rPr>
          <w:sz w:val="24"/>
          <w:szCs w:val="24"/>
        </w:rPr>
      </w:pPr>
      <w:r>
        <w:rPr>
          <w:sz w:val="24"/>
          <w:szCs w:val="24"/>
        </w:rPr>
        <w:t xml:space="preserve">Thank </w:t>
      </w:r>
      <w:proofErr w:type="gramStart"/>
      <w:r>
        <w:rPr>
          <w:sz w:val="24"/>
          <w:szCs w:val="24"/>
        </w:rPr>
        <w:t>you</w:t>
      </w:r>
      <w:proofErr w:type="gramEnd"/>
    </w:p>
    <w:sectPr w:rsidRPr="00616F76" w:rsidR="00D01A4D" w:rsidSect="00B10322">
      <w:headerReference w:type="default" r:id="rId11"/>
      <w:pgSz w:w="11906" w:h="16838" w:orient="portrait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0E51" w:rsidP="00616F76" w:rsidRDefault="00E00E51" w14:paraId="7581DD2C" w14:textId="77777777">
      <w:pPr>
        <w:spacing w:after="0" w:line="240" w:lineRule="auto"/>
      </w:pPr>
      <w:r>
        <w:separator/>
      </w:r>
    </w:p>
  </w:endnote>
  <w:endnote w:type="continuationSeparator" w:id="0">
    <w:p w:rsidR="00E00E51" w:rsidP="00616F76" w:rsidRDefault="00E00E51" w14:paraId="5D1040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0E51" w:rsidP="00616F76" w:rsidRDefault="00E00E51" w14:paraId="641971E2" w14:textId="77777777">
      <w:pPr>
        <w:spacing w:after="0" w:line="240" w:lineRule="auto"/>
      </w:pPr>
      <w:r>
        <w:separator/>
      </w:r>
    </w:p>
  </w:footnote>
  <w:footnote w:type="continuationSeparator" w:id="0">
    <w:p w:rsidR="00E00E51" w:rsidP="00616F76" w:rsidRDefault="00E00E51" w14:paraId="1C6EE4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16F76" w:rsidRDefault="00616F76" w14:paraId="07AB20D6" w14:textId="3AEB219D">
    <w:pPr>
      <w:pStyle w:val="Header"/>
    </w:pPr>
    <w:r>
      <w:rPr>
        <w:noProof/>
      </w:rPr>
      <w:drawing>
        <wp:inline distT="0" distB="0" distL="0" distR="0" wp14:anchorId="58486DCB" wp14:editId="6DA8E793">
          <wp:extent cx="3438442" cy="1018120"/>
          <wp:effectExtent l="0" t="0" r="0" b="0"/>
          <wp:docPr id="311273434" name="Picture 31127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8442" cy="101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6F76" w:rsidRDefault="00616F76" w14:paraId="1F1562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2D6"/>
    <w:multiLevelType w:val="hybridMultilevel"/>
    <w:tmpl w:val="EEAC046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411D3A4E"/>
    <w:multiLevelType w:val="hybridMultilevel"/>
    <w:tmpl w:val="9DCAE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934209">
    <w:abstractNumId w:val="1"/>
  </w:num>
  <w:num w:numId="2" w16cid:durableId="78769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76"/>
    <w:rsid w:val="000B239E"/>
    <w:rsid w:val="0013263F"/>
    <w:rsid w:val="00276990"/>
    <w:rsid w:val="003467DD"/>
    <w:rsid w:val="00370AE2"/>
    <w:rsid w:val="00460E8A"/>
    <w:rsid w:val="00526752"/>
    <w:rsid w:val="005D6F7D"/>
    <w:rsid w:val="00616F76"/>
    <w:rsid w:val="006203F8"/>
    <w:rsid w:val="007433C9"/>
    <w:rsid w:val="008961F8"/>
    <w:rsid w:val="00A05E9A"/>
    <w:rsid w:val="00A473C1"/>
    <w:rsid w:val="00AA27D4"/>
    <w:rsid w:val="00AE79B6"/>
    <w:rsid w:val="00B10322"/>
    <w:rsid w:val="00C62593"/>
    <w:rsid w:val="00D01A4D"/>
    <w:rsid w:val="00E00E51"/>
    <w:rsid w:val="00E07975"/>
    <w:rsid w:val="00E12193"/>
    <w:rsid w:val="00E57D5A"/>
    <w:rsid w:val="00EA275A"/>
    <w:rsid w:val="00F466D0"/>
    <w:rsid w:val="08D66042"/>
    <w:rsid w:val="569BDF93"/>
    <w:rsid w:val="7D50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497E"/>
  <w15:chartTrackingRefBased/>
  <w15:docId w15:val="{11CFB440-64C2-4E0A-9737-A4BAB629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F7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16F76"/>
  </w:style>
  <w:style w:type="paragraph" w:styleId="Footer">
    <w:name w:val="footer"/>
    <w:basedOn w:val="Normal"/>
    <w:link w:val="FooterChar"/>
    <w:uiPriority w:val="99"/>
    <w:unhideWhenUsed/>
    <w:rsid w:val="00616F7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16F76"/>
  </w:style>
  <w:style w:type="paragraph" w:styleId="ListParagraph">
    <w:name w:val="List Paragraph"/>
    <w:basedOn w:val="Normal"/>
    <w:uiPriority w:val="34"/>
    <w:qFormat/>
    <w:rsid w:val="00616F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A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A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33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procurement@westnorthants.gov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55330FF9FC94FB70CAAD6F115C9A6" ma:contentTypeVersion="19" ma:contentTypeDescription="Create a new document." ma:contentTypeScope="" ma:versionID="001182308915f69144ea0ab7fcda1642">
  <xsd:schema xmlns:xsd="http://www.w3.org/2001/XMLSchema" xmlns:xs="http://www.w3.org/2001/XMLSchema" xmlns:p="http://schemas.microsoft.com/office/2006/metadata/properties" xmlns:ns2="5ad91eb0-fbcf-45fa-a26e-ab4842738391" xmlns:ns3="8be84246-6fab-476c-af9b-830f6921e22d" targetNamespace="http://schemas.microsoft.com/office/2006/metadata/properties" ma:root="true" ma:fieldsID="e54f8707ba238d3af88a829b0d19bea8" ns2:_="" ns3:_="">
    <xsd:import namespace="5ad91eb0-fbcf-45fa-a26e-ab4842738391"/>
    <xsd:import namespace="8be84246-6fab-476c-af9b-830f6921e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91eb0-fbcf-45fa-a26e-ab4842738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84246-6fab-476c-af9b-830f6921e2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22736a-e8fe-4874-b1f8-0fe5d527c8d2}" ma:internalName="TaxCatchAll" ma:showField="CatchAllData" ma:web="8be84246-6fab-476c-af9b-830f6921e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84246-6fab-476c-af9b-830f6921e22d" xsi:nil="true"/>
    <lcf76f155ced4ddcb4097134ff3c332f xmlns="5ad91eb0-fbcf-45fa-a26e-ab4842738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719E3F-ACDF-4E4E-A37F-6D278BEA9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D23BE-A3D0-47B3-BCC2-DFE7B9585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91eb0-fbcf-45fa-a26e-ab4842738391"/>
    <ds:schemaRef ds:uri="8be84246-6fab-476c-af9b-830f6921e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A8784-F2AE-4CCE-9F1E-2B712718C0A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5ad91eb0-fbcf-45fa-a26e-ab4842738391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be84246-6fab-476c-af9b-830f6921e22d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Stacey Midson</dc:creator>
  <keywords/>
  <dc:description/>
  <lastModifiedBy>Jason Shanks</lastModifiedBy>
  <revision>8</revision>
  <dcterms:created xsi:type="dcterms:W3CDTF">2024-10-18T15:16:00.0000000Z</dcterms:created>
  <dcterms:modified xsi:type="dcterms:W3CDTF">2024-10-21T13:21:20.2322235Z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0x0101001BB55330FF9FC94FB70CAAD6F115C9A6</vt:lpwstr>
  </property>
  <property fmtid="{D5CDD505-2E9C-101B-9397-08002B2CF9AE}" pid="3" name="MediaServiceImageTags">
    <vt:lpwstr/>
  </property>
</Properties>
</file>