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32BB" w:rsidRDefault="00C232BB">
      <w:pPr>
        <w:pBdr>
          <w:top w:val="nil"/>
          <w:left w:val="nil"/>
          <w:bottom w:val="nil"/>
          <w:right w:val="nil"/>
          <w:between w:val="nil"/>
        </w:pBdr>
        <w:tabs>
          <w:tab w:val="left" w:pos="1134"/>
          <w:tab w:val="left" w:pos="567"/>
        </w:tabs>
        <w:spacing w:before="120" w:after="120" w:line="240" w:lineRule="auto"/>
        <w:jc w:val="both"/>
        <w:rPr>
          <w:rFonts w:ascii="Arial" w:eastAsia="Arial" w:hAnsi="Arial" w:cs="Arial"/>
          <w:b/>
          <w:sz w:val="36"/>
          <w:szCs w:val="36"/>
        </w:rPr>
      </w:pPr>
    </w:p>
    <w:p w:rsidR="00C232BB" w:rsidRDefault="00EE6336">
      <w:pPr>
        <w:pBdr>
          <w:top w:val="nil"/>
          <w:left w:val="nil"/>
          <w:bottom w:val="nil"/>
          <w:right w:val="nil"/>
          <w:between w:val="nil"/>
        </w:pBdr>
        <w:tabs>
          <w:tab w:val="left" w:pos="1134"/>
          <w:tab w:val="left" w:pos="567"/>
        </w:tabs>
        <w:spacing w:before="120" w:after="120" w:line="240" w:lineRule="auto"/>
        <w:jc w:val="both"/>
        <w:rPr>
          <w:rFonts w:ascii="Arial" w:eastAsia="Arial" w:hAnsi="Arial" w:cs="Arial"/>
          <w:b/>
          <w:color w:val="000000"/>
          <w:sz w:val="36"/>
          <w:szCs w:val="36"/>
        </w:rPr>
      </w:pPr>
      <w:r>
        <w:rPr>
          <w:rFonts w:ascii="Arial" w:eastAsia="Arial" w:hAnsi="Arial" w:cs="Arial"/>
          <w:b/>
          <w:color w:val="000000"/>
          <w:sz w:val="36"/>
          <w:szCs w:val="36"/>
        </w:rPr>
        <w:t>Joint Schedule 1 (Definitions)</w:t>
      </w:r>
    </w:p>
    <w:p w:rsidR="00C232BB" w:rsidRDefault="00C232BB">
      <w:pPr>
        <w:pBdr>
          <w:top w:val="nil"/>
          <w:left w:val="nil"/>
          <w:bottom w:val="nil"/>
          <w:right w:val="nil"/>
          <w:between w:val="nil"/>
        </w:pBdr>
        <w:tabs>
          <w:tab w:val="left" w:pos="1134"/>
          <w:tab w:val="left" w:pos="567"/>
        </w:tabs>
        <w:spacing w:before="120" w:after="120" w:line="240" w:lineRule="auto"/>
        <w:jc w:val="both"/>
        <w:rPr>
          <w:rFonts w:ascii="Arial" w:eastAsia="Arial" w:hAnsi="Arial" w:cs="Arial"/>
          <w:b/>
          <w:color w:val="000000"/>
          <w:sz w:val="36"/>
          <w:szCs w:val="36"/>
        </w:rPr>
      </w:pPr>
    </w:p>
    <w:p w:rsidR="00C232BB" w:rsidRDefault="00EE6336">
      <w:pPr>
        <w:numPr>
          <w:ilvl w:val="0"/>
          <w:numId w:val="1"/>
        </w:numPr>
        <w:pBdr>
          <w:top w:val="nil"/>
          <w:left w:val="nil"/>
          <w:bottom w:val="nil"/>
          <w:right w:val="nil"/>
          <w:between w:val="nil"/>
        </w:pBdr>
        <w:tabs>
          <w:tab w:val="left" w:pos="1134"/>
          <w:tab w:val="left" w:pos="567"/>
        </w:tabs>
        <w:spacing w:before="120" w:after="120" w:line="240" w:lineRule="auto"/>
        <w:ind w:left="142" w:hanging="568"/>
        <w:jc w:val="both"/>
        <w:rPr>
          <w:rFonts w:ascii="Arial" w:eastAsia="Arial" w:hAnsi="Arial" w:cs="Arial"/>
          <w:b/>
          <w:color w:val="000000"/>
          <w:sz w:val="24"/>
          <w:szCs w:val="24"/>
        </w:rPr>
      </w:pPr>
      <w:r>
        <w:rPr>
          <w:rFonts w:ascii="Arial" w:eastAsia="Arial" w:hAnsi="Arial" w:cs="Arial"/>
          <w:b/>
          <w:color w:val="000000"/>
          <w:sz w:val="24"/>
          <w:szCs w:val="24"/>
        </w:rPr>
        <w:t>Definitions</w:t>
      </w:r>
    </w:p>
    <w:p w:rsidR="00C232BB" w:rsidRDefault="00EE6336">
      <w:pPr>
        <w:numPr>
          <w:ilvl w:val="1"/>
          <w:numId w:val="1"/>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0" w:name="bookmark=id.gjdgxs" w:colFirst="0" w:colLast="0"/>
      <w:bookmarkEnd w:id="0"/>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C232BB" w:rsidRDefault="00EE6336">
      <w:pPr>
        <w:numPr>
          <w:ilvl w:val="1"/>
          <w:numId w:val="1"/>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C232BB" w:rsidRDefault="00EE6336">
      <w:pPr>
        <w:numPr>
          <w:ilvl w:val="1"/>
          <w:numId w:val="1"/>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 xml:space="preserve">a reference to any Law includes a reference to that Law as amended, extended, </w:t>
      </w:r>
      <w:proofErr w:type="gramStart"/>
      <w:r>
        <w:rPr>
          <w:rFonts w:ascii="Arial" w:eastAsia="Arial" w:hAnsi="Arial" w:cs="Arial"/>
          <w:color w:val="000000"/>
          <w:sz w:val="24"/>
          <w:szCs w:val="24"/>
        </w:rPr>
        <w:t>consolidated</w:t>
      </w:r>
      <w:proofErr w:type="gramEnd"/>
      <w:r>
        <w:rPr>
          <w:rFonts w:ascii="Arial" w:eastAsia="Arial" w:hAnsi="Arial" w:cs="Arial"/>
          <w:color w:val="000000"/>
          <w:sz w:val="24"/>
          <w:szCs w:val="24"/>
        </w:rPr>
        <w:t xml:space="preserve"> or re-enacted from time to time;</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xml:space="preserve">" include typing, printing, lithography, photography, display on a screen, electronic and facsimile </w:t>
      </w:r>
      <w:proofErr w:type="gramStart"/>
      <w:r>
        <w:rPr>
          <w:rFonts w:ascii="Arial" w:eastAsia="Arial" w:hAnsi="Arial" w:cs="Arial"/>
          <w:color w:val="000000"/>
          <w:sz w:val="24"/>
          <w:szCs w:val="24"/>
        </w:rPr>
        <w:t>transmission</w:t>
      </w:r>
      <w:proofErr w:type="gramEnd"/>
      <w:r>
        <w:rPr>
          <w:rFonts w:ascii="Arial" w:eastAsia="Arial" w:hAnsi="Arial" w:cs="Arial"/>
          <w:color w:val="000000"/>
          <w:sz w:val="24"/>
          <w:szCs w:val="24"/>
        </w:rPr>
        <w:t xml:space="preserve"> and other modes of representing or reproducing words in a visible form, and expressions referring to writing shall be construed accordingly;</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w:t>
      </w:r>
      <w:proofErr w:type="gramStart"/>
      <w:r>
        <w:rPr>
          <w:rFonts w:ascii="Arial" w:eastAsia="Arial" w:hAnsi="Arial" w:cs="Arial"/>
          <w:color w:val="000000"/>
          <w:sz w:val="24"/>
          <w:szCs w:val="24"/>
        </w:rPr>
        <w:t>annexes</w:t>
      </w:r>
      <w:proofErr w:type="gramEnd"/>
      <w:r>
        <w:rPr>
          <w:rFonts w:ascii="Arial" w:eastAsia="Arial" w:hAnsi="Arial" w:cs="Arial"/>
          <w:color w:val="000000"/>
          <w:sz w:val="24"/>
          <w:szCs w:val="24"/>
        </w:rPr>
        <w:t xml:space="preserve"> and tables are, unless otherwise provided, references to the parts, paragraphs, annexes and tables of the Schedule in which these references appear; </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the headings in each Contract are for ease of reference only and shall not affect the interpretation or construction of a Contract; </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rsidR="00C232BB" w:rsidRDefault="00EE6336">
      <w:pPr>
        <w:numPr>
          <w:ilvl w:val="3"/>
          <w:numId w:val="1"/>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C232BB" w:rsidRDefault="00EE6336">
      <w:pPr>
        <w:numPr>
          <w:ilvl w:val="3"/>
          <w:numId w:val="1"/>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 xml:space="preserve">any EU institution or EU authority or other such EU body shall be read on and after Exit Day as a reference to the UK institution, </w:t>
      </w:r>
      <w:proofErr w:type="gramStart"/>
      <w:r>
        <w:rPr>
          <w:rFonts w:ascii="Arial" w:eastAsia="Arial" w:hAnsi="Arial" w:cs="Arial"/>
          <w:color w:val="000000"/>
          <w:sz w:val="24"/>
          <w:szCs w:val="24"/>
        </w:rPr>
        <w:t>authority</w:t>
      </w:r>
      <w:proofErr w:type="gramEnd"/>
      <w:r>
        <w:rPr>
          <w:rFonts w:ascii="Arial" w:eastAsia="Arial" w:hAnsi="Arial" w:cs="Arial"/>
          <w:color w:val="000000"/>
          <w:sz w:val="24"/>
          <w:szCs w:val="24"/>
        </w:rPr>
        <w:t xml:space="preserve"> or body to which its functions were transferred; and</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rsidR="00C232BB" w:rsidRDefault="00EE6336">
      <w:pPr>
        <w:numPr>
          <w:ilvl w:val="2"/>
          <w:numId w:val="1"/>
        </w:numPr>
        <w:pBdr>
          <w:top w:val="nil"/>
          <w:left w:val="nil"/>
          <w:bottom w:val="nil"/>
          <w:right w:val="nil"/>
          <w:between w:val="nil"/>
        </w:pBdr>
        <w:tabs>
          <w:tab w:val="left" w:pos="1985"/>
          <w:tab w:val="left" w:pos="2127"/>
        </w:tabs>
        <w:spacing w:before="120" w:after="120" w:line="240" w:lineRule="auto"/>
        <w:ind w:left="1985" w:hanging="1134"/>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rsidR="00C232BB" w:rsidRDefault="00EE6336">
      <w:pPr>
        <w:numPr>
          <w:ilvl w:val="1"/>
          <w:numId w:val="1"/>
        </w:numPr>
        <w:pBdr>
          <w:top w:val="nil"/>
          <w:left w:val="nil"/>
          <w:bottom w:val="nil"/>
          <w:right w:val="nil"/>
          <w:between w:val="nil"/>
        </w:pBdr>
        <w:tabs>
          <w:tab w:val="left" w:pos="1134"/>
          <w:tab w:val="left" w:pos="567"/>
        </w:tabs>
        <w:spacing w:before="120" w:after="12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tbl>
      <w:tblPr>
        <w:tblStyle w:val="a6"/>
        <w:tblW w:w="89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663"/>
      </w:tblGrid>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bookmarkStart w:id="3" w:name="_heading=h.3znysh7" w:colFirst="0" w:colLast="0"/>
            <w:bookmarkEnd w:id="3"/>
            <w:r>
              <w:rPr>
                <w:rFonts w:ascii="Arial" w:eastAsia="Arial" w:hAnsi="Arial" w:cs="Arial"/>
                <w:b/>
                <w:color w:val="000000"/>
                <w:sz w:val="24"/>
                <w:szCs w:val="24"/>
              </w:rPr>
              <w:t>"Achieve"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"Admin Fee”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"Affected Party"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"Affiliates"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“Annex”</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"Approval"</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"Audit"</w:t>
            </w:r>
          </w:p>
        </w:tc>
        <w:tc>
          <w:tcPr>
            <w:tcW w:w="6663" w:type="dxa"/>
          </w:tcPr>
          <w:p w:rsidR="00C232BB" w:rsidRDefault="00EE6336">
            <w:p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where the Relevant Authority is a Buyer, and the value of the relevant Call-Off Contract is greater than £3million, verify the Open Book Data;</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 xml:space="preserve">obtain such information as is necessary to fulfil the Relevant Authority’s obligations to supply information for parliamentary, ministerial, </w:t>
            </w:r>
            <w:proofErr w:type="gramStart"/>
            <w:r>
              <w:rPr>
                <w:rFonts w:ascii="Arial" w:eastAsia="Arial" w:hAnsi="Arial" w:cs="Arial"/>
                <w:color w:val="000000"/>
                <w:sz w:val="24"/>
                <w:szCs w:val="24"/>
              </w:rPr>
              <w:t>judicial</w:t>
            </w:r>
            <w:proofErr w:type="gramEnd"/>
            <w:r>
              <w:rPr>
                <w:rFonts w:ascii="Arial" w:eastAsia="Arial" w:hAnsi="Arial" w:cs="Arial"/>
                <w:color w:val="000000"/>
                <w:sz w:val="24"/>
                <w:szCs w:val="24"/>
              </w:rPr>
              <w:t xml:space="preserve"> or administrative purposes including the supply of information to the Comptroller and Auditor General;</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 xml:space="preserve">carry out the Relevant Authority’s internal and statutory audits and to prepare, examine and/or certify the </w:t>
            </w:r>
            <w:r>
              <w:rPr>
                <w:rFonts w:ascii="Arial" w:eastAsia="Arial" w:hAnsi="Arial" w:cs="Arial"/>
                <w:color w:val="000000"/>
                <w:sz w:val="24"/>
                <w:szCs w:val="24"/>
              </w:rPr>
              <w:lastRenderedPageBreak/>
              <w:t>Relevant Authority's annual and interim reports and accounts;</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 xml:space="preserve">enable the National Audit Office to carry out an examination pursuant to Section 6(1) of the National Audit Act 1983 of the economy, </w:t>
            </w:r>
            <w:proofErr w:type="gramStart"/>
            <w:r>
              <w:rPr>
                <w:rFonts w:ascii="Arial" w:eastAsia="Arial" w:hAnsi="Arial" w:cs="Arial"/>
                <w:color w:val="000000"/>
                <w:sz w:val="24"/>
                <w:szCs w:val="24"/>
              </w:rPr>
              <w:t>efficiency</w:t>
            </w:r>
            <w:proofErr w:type="gramEnd"/>
            <w:r>
              <w:rPr>
                <w:rFonts w:ascii="Arial" w:eastAsia="Arial" w:hAnsi="Arial" w:cs="Arial"/>
                <w:color w:val="000000"/>
                <w:sz w:val="24"/>
                <w:szCs w:val="24"/>
              </w:rPr>
              <w:t xml:space="preserve"> and effectiveness with which the Relevant Authority has used its resources; or</w:t>
            </w:r>
          </w:p>
          <w:p w:rsidR="00C232BB" w:rsidRDefault="00EE6336">
            <w:pPr>
              <w:numPr>
                <w:ilvl w:val="0"/>
                <w:numId w:val="13"/>
              </w:numPr>
              <w:pBdr>
                <w:top w:val="nil"/>
                <w:left w:val="nil"/>
                <w:bottom w:val="nil"/>
                <w:right w:val="nil"/>
                <w:between w:val="nil"/>
              </w:pBdr>
              <w:tabs>
                <w:tab w:val="left" w:pos="-179"/>
                <w:tab w:val="left" w:pos="-9"/>
              </w:tabs>
              <w:spacing w:after="120"/>
              <w:ind w:left="624" w:hanging="426"/>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w:t>
            </w:r>
          </w:p>
          <w:p w:rsidR="00C232BB" w:rsidRDefault="00EE6336">
            <w:pPr>
              <w:numPr>
                <w:ilvl w:val="0"/>
                <w:numId w:val="9"/>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rsidR="00C232BB" w:rsidRDefault="00EE6336">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b) </w:t>
            </w:r>
            <w:r>
              <w:rPr>
                <w:rFonts w:ascii="Arial" w:eastAsia="Arial" w:hAnsi="Arial" w:cs="Arial"/>
                <w:color w:val="000000"/>
                <w:sz w:val="24"/>
                <w:szCs w:val="24"/>
              </w:rPr>
              <w:t>the Relevant Authority’s statutory or regulatory auditors;</w:t>
            </w:r>
          </w:p>
          <w:p w:rsidR="00C232BB" w:rsidRDefault="00EE6336">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c)</w:t>
            </w:r>
            <w:r>
              <w:rPr>
                <w:rFonts w:ascii="Arial" w:eastAsia="Arial" w:hAnsi="Arial" w:cs="Arial"/>
                <w:color w:val="000000"/>
                <w:sz w:val="24"/>
                <w:szCs w:val="24"/>
              </w:rPr>
              <w:t>the Comptroller and Auditor General, their staff and/or any appointed representatives of the National Audit Office;</w:t>
            </w:r>
          </w:p>
          <w:p w:rsidR="00C232BB" w:rsidRDefault="00EE6336">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d) </w:t>
            </w:r>
            <w:r>
              <w:rPr>
                <w:rFonts w:ascii="Arial" w:eastAsia="Arial" w:hAnsi="Arial" w:cs="Arial"/>
                <w:color w:val="000000"/>
                <w:sz w:val="24"/>
                <w:szCs w:val="24"/>
              </w:rPr>
              <w:t>HM Treasury or the Cabinet Office;</w:t>
            </w:r>
          </w:p>
          <w:p w:rsidR="00C232BB" w:rsidRDefault="00EE6336">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e) </w:t>
            </w:r>
            <w:r>
              <w:rPr>
                <w:rFonts w:ascii="Arial" w:eastAsia="Arial" w:hAnsi="Arial" w:cs="Arial"/>
                <w:color w:val="000000"/>
                <w:sz w:val="24"/>
                <w:szCs w:val="24"/>
              </w:rPr>
              <w:t xml:space="preserve">any party formally appointed by the Relevant Authority </w:t>
            </w:r>
            <w:proofErr w:type="gramStart"/>
            <w:r>
              <w:rPr>
                <w:rFonts w:ascii="Arial" w:eastAsia="Arial" w:hAnsi="Arial" w:cs="Arial"/>
                <w:color w:val="000000"/>
                <w:sz w:val="24"/>
                <w:szCs w:val="24"/>
              </w:rPr>
              <w:t>to  carry</w:t>
            </w:r>
            <w:proofErr w:type="gramEnd"/>
            <w:r>
              <w:rPr>
                <w:rFonts w:ascii="Arial" w:eastAsia="Arial" w:hAnsi="Arial" w:cs="Arial"/>
                <w:color w:val="000000"/>
                <w:sz w:val="24"/>
                <w:szCs w:val="24"/>
              </w:rPr>
              <w:t xml:space="preserve"> out audit or similar review functions; and</w:t>
            </w:r>
          </w:p>
          <w:p w:rsidR="00C232BB" w:rsidRDefault="00EE6336">
            <w:p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sz w:val="24"/>
                <w:szCs w:val="24"/>
              </w:rPr>
              <w:t xml:space="preserve"> f) </w:t>
            </w:r>
            <w:r>
              <w:rPr>
                <w:rFonts w:ascii="Arial" w:eastAsia="Arial" w:hAnsi="Arial" w:cs="Arial"/>
                <w:color w:val="000000"/>
                <w:sz w:val="24"/>
                <w:szCs w:val="24"/>
              </w:rPr>
              <w:t>successors or assigns of any of the above;</w:t>
            </w:r>
          </w:p>
        </w:tc>
      </w:tr>
      <w:tr w:rsidR="00C232BB">
        <w:trPr>
          <w:trHeight w:val="601"/>
        </w:trPr>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"Authority"</w:t>
            </w:r>
          </w:p>
        </w:tc>
        <w:tc>
          <w:tcPr>
            <w:tcW w:w="6663" w:type="dxa"/>
          </w:tcPr>
          <w:p w:rsidR="00C232BB" w:rsidRDefault="00EE6336">
            <w:pPr>
              <w:ind w:left="142"/>
              <w:rPr>
                <w:rFonts w:ascii="Arial" w:eastAsia="Arial" w:hAnsi="Arial" w:cs="Arial"/>
                <w:sz w:val="24"/>
                <w:szCs w:val="24"/>
              </w:rPr>
            </w:pPr>
            <w:r>
              <w:rPr>
                <w:rFonts w:ascii="Arial" w:eastAsia="Arial" w:hAnsi="Arial" w:cs="Arial"/>
                <w:sz w:val="24"/>
                <w:szCs w:val="24"/>
              </w:rPr>
              <w:t>CCS and each Buyer;</w:t>
            </w:r>
          </w:p>
        </w:tc>
      </w:tr>
      <w:tr w:rsidR="00C232BB">
        <w:tc>
          <w:tcPr>
            <w:tcW w:w="2268" w:type="dxa"/>
          </w:tcPr>
          <w:p w:rsidR="00C232BB" w:rsidRDefault="00EE6336">
            <w:pPr>
              <w:pBdr>
                <w:top w:val="nil"/>
                <w:left w:val="nil"/>
                <w:bottom w:val="nil"/>
                <w:right w:val="nil"/>
                <w:between w:val="nil"/>
              </w:pBdr>
              <w:ind w:left="142"/>
              <w:rPr>
                <w:rFonts w:ascii="Arial" w:eastAsia="Arial" w:hAnsi="Arial" w:cs="Arial"/>
                <w:b/>
                <w:color w:val="000000"/>
                <w:sz w:val="24"/>
                <w:szCs w:val="24"/>
              </w:rPr>
            </w:pPr>
            <w:r>
              <w:rPr>
                <w:rFonts w:ascii="Arial" w:eastAsia="Arial" w:hAnsi="Arial" w:cs="Arial"/>
                <w:b/>
                <w:color w:val="000000"/>
                <w:sz w:val="24"/>
                <w:szCs w:val="24"/>
              </w:rPr>
              <w:t>"Authority Cause"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breach of the obligations of the Relevant Authority or any other default, act, omission, </w:t>
            </w:r>
            <w:proofErr w:type="gramStart"/>
            <w:r>
              <w:rPr>
                <w:rFonts w:ascii="Arial" w:eastAsia="Arial" w:hAnsi="Arial" w:cs="Arial"/>
                <w:color w:val="000000"/>
                <w:sz w:val="24"/>
                <w:szCs w:val="24"/>
              </w:rPr>
              <w:t>negligence</w:t>
            </w:r>
            <w:proofErr w:type="gramEnd"/>
            <w:r>
              <w:rPr>
                <w:rFonts w:ascii="Arial" w:eastAsia="Arial" w:hAnsi="Arial" w:cs="Arial"/>
                <w:color w:val="000000"/>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"BACS"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"Beneficiary"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“Business Hours”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sz w:val="24"/>
                <w:szCs w:val="24"/>
              </w:rPr>
            </w:pPr>
            <w:r>
              <w:rPr>
                <w:rFonts w:ascii="Arial" w:eastAsia="Arial" w:hAnsi="Arial" w:cs="Arial"/>
                <w:sz w:val="24"/>
                <w:szCs w:val="24"/>
                <w:highlight w:val="white"/>
              </w:rPr>
              <w:t>standard business hours from 0800 to 1800 Monday to Friday, excluding bank holidays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C232BB">
        <w:tc>
          <w:tcPr>
            <w:tcW w:w="2268" w:type="dxa"/>
          </w:tcPr>
          <w:p w:rsidR="00C232BB" w:rsidRDefault="00EE6336">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"Buyer Assets"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Buyer’s infrastructure, data, software, materials, assets, </w:t>
            </w:r>
            <w:proofErr w:type="gramStart"/>
            <w:r>
              <w:rPr>
                <w:rFonts w:ascii="Arial" w:eastAsia="Arial" w:hAnsi="Arial" w:cs="Arial"/>
                <w:color w:val="000000"/>
                <w:sz w:val="24"/>
                <w:szCs w:val="24"/>
              </w:rPr>
              <w:t>equipment</w:t>
            </w:r>
            <w:proofErr w:type="gramEnd"/>
            <w:r>
              <w:rPr>
                <w:rFonts w:ascii="Arial" w:eastAsia="Arial" w:hAnsi="Arial" w:cs="Arial"/>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"Buyer Premises"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premises owned, </w:t>
            </w:r>
            <w:proofErr w:type="gramStart"/>
            <w:r>
              <w:rPr>
                <w:rFonts w:ascii="Arial" w:eastAsia="Arial" w:hAnsi="Arial" w:cs="Arial"/>
                <w:color w:val="000000"/>
                <w:sz w:val="24"/>
                <w:szCs w:val="24"/>
              </w:rPr>
              <w:t>controlled</w:t>
            </w:r>
            <w:proofErr w:type="gramEnd"/>
            <w:r>
              <w:rPr>
                <w:rFonts w:ascii="Arial" w:eastAsia="Arial" w:hAnsi="Arial" w:cs="Arial"/>
                <w:color w:val="000000"/>
                <w:sz w:val="24"/>
                <w:szCs w:val="24"/>
              </w:rPr>
              <w:t xml:space="preserve"> or occupied by the Buyer which are made available for use by the Supplier or its Subcontractors for the provision of the Deliverables (or any of them);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up to a maximum of the number of years in total specified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"Call-Off Tender"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“Catalogue”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sz w:val="24"/>
                <w:szCs w:val="24"/>
              </w:rPr>
              <w:t>the Supplier’s catalogue of Deliverables available to Buyers in relation to Lot 1 only to order without Further Competition;</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“Catalogue Publication Portal”</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sz w:val="24"/>
                <w:szCs w:val="24"/>
              </w:rPr>
              <w:t>the CCS online publication channel via which Buyers can view the Catalogue;</w:t>
            </w:r>
            <w:r>
              <w:rPr>
                <w:rFonts w:ascii="Arial" w:eastAsia="Arial" w:hAnsi="Arial" w:cs="Arial"/>
                <w:sz w:val="24"/>
                <w:szCs w:val="24"/>
              </w:rPr>
              <w:tab/>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C232BB">
        <w:tc>
          <w:tcPr>
            <w:tcW w:w="2268" w:type="dxa"/>
          </w:tcPr>
          <w:p w:rsidR="00C232BB" w:rsidRDefault="00EE6336">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C232BB" w:rsidRDefault="00EE6336">
            <w:pPr>
              <w:numPr>
                <w:ilvl w:val="0"/>
                <w:numId w:val="18"/>
              </w:numPr>
              <w:pBdr>
                <w:top w:val="nil"/>
                <w:left w:val="nil"/>
                <w:bottom w:val="nil"/>
                <w:right w:val="nil"/>
                <w:between w:val="nil"/>
              </w:pBdr>
              <w:tabs>
                <w:tab w:val="left" w:pos="-2316"/>
                <w:tab w:val="left" w:pos="-2100"/>
                <w:tab w:val="left" w:pos="-179"/>
                <w:tab w:val="left" w:pos="-9"/>
              </w:tabs>
              <w:jc w:val="both"/>
              <w:rPr>
                <w:rFonts w:ascii="Arial" w:eastAsia="Arial" w:hAnsi="Arial" w:cs="Arial"/>
                <w:color w:val="000000"/>
                <w:sz w:val="24"/>
                <w:szCs w:val="24"/>
              </w:rPr>
            </w:pPr>
            <w:r>
              <w:rPr>
                <w:rFonts w:ascii="Arial" w:eastAsia="Arial" w:hAnsi="Arial" w:cs="Arial"/>
                <w:color w:val="000000"/>
                <w:sz w:val="24"/>
                <w:szCs w:val="24"/>
              </w:rPr>
              <w:t>Government Department;</w:t>
            </w:r>
          </w:p>
          <w:p w:rsidR="00C232BB" w:rsidRDefault="00EE6336">
            <w:pPr>
              <w:numPr>
                <w:ilvl w:val="0"/>
                <w:numId w:val="18"/>
              </w:numPr>
              <w:pBdr>
                <w:top w:val="nil"/>
                <w:left w:val="nil"/>
                <w:bottom w:val="nil"/>
                <w:right w:val="nil"/>
                <w:between w:val="nil"/>
              </w:pBdr>
              <w:tabs>
                <w:tab w:val="left" w:pos="-2316"/>
                <w:tab w:val="left" w:pos="-2100"/>
                <w:tab w:val="left" w:pos="-179"/>
                <w:tab w:val="left" w:pos="-9"/>
              </w:tabs>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rsidR="00C232BB" w:rsidRDefault="00EE6336">
            <w:pPr>
              <w:numPr>
                <w:ilvl w:val="0"/>
                <w:numId w:val="18"/>
              </w:numPr>
              <w:pBdr>
                <w:top w:val="nil"/>
                <w:left w:val="nil"/>
                <w:bottom w:val="nil"/>
                <w:right w:val="nil"/>
                <w:between w:val="nil"/>
              </w:pBdr>
              <w:tabs>
                <w:tab w:val="left" w:pos="-2316"/>
                <w:tab w:val="left" w:pos="-2100"/>
                <w:tab w:val="left" w:pos="-179"/>
                <w:tab w:val="left" w:pos="-9"/>
              </w:tabs>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rsidR="00C232BB" w:rsidRDefault="00EE6336">
            <w:pPr>
              <w:numPr>
                <w:ilvl w:val="0"/>
                <w:numId w:val="1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"Change in Law"</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"Charges"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"Claim"</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"Compliance Officer"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C232BB">
        <w:tc>
          <w:tcPr>
            <w:tcW w:w="2268" w:type="dxa"/>
          </w:tcPr>
          <w:p w:rsidR="00C232BB" w:rsidRDefault="00EE6336">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Period"</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applicable Start Date; or</w:t>
            </w:r>
          </w:p>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b) the Effective Date</w:t>
            </w:r>
          </w:p>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Value"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"Contract Year"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"Control"</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“Controller”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t>“Core Network”</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sz w:val="24"/>
                <w:szCs w:val="24"/>
              </w:rPr>
              <w:t>the provision of any shared central core network capability forming part of the overall Services delivered to the Buyer, which is not specific or exclusive to a specific Call-Off Contract, and excludes any configuration information specifically associated with a specific Call-Off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“Core Terms”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"Costs"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C232BB" w:rsidRDefault="00EE6336">
            <w:pPr>
              <w:numPr>
                <w:ilvl w:val="0"/>
                <w:numId w:val="2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the cost to the Supplier or the Key Subcontractor (as the context requires), calculated per Work Day, of engaging the Supplier Staff, including:</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base salary paid to the Supplier Staff;</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 employer’s National Insurance contributions;</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(iii) pension contributions;</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(iv) car allowances; </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 any other contractual employment benefits;</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(vi) staff training;</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(vii) </w:t>
            </w:r>
            <w:r>
              <w:rPr>
                <w:rFonts w:ascii="Arial" w:eastAsia="Arial" w:hAnsi="Arial" w:cs="Arial"/>
                <w:sz w:val="24"/>
                <w:szCs w:val="24"/>
              </w:rPr>
              <w:t>workplace</w:t>
            </w:r>
            <w:r>
              <w:rPr>
                <w:rFonts w:ascii="Arial" w:eastAsia="Arial" w:hAnsi="Arial" w:cs="Arial"/>
                <w:color w:val="000000"/>
                <w:sz w:val="24"/>
                <w:szCs w:val="24"/>
              </w:rPr>
              <w:t xml:space="preserve"> accommodation;</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(viii) </w:t>
            </w:r>
            <w:r>
              <w:rPr>
                <w:rFonts w:ascii="Arial" w:eastAsia="Arial" w:hAnsi="Arial" w:cs="Arial"/>
                <w:sz w:val="24"/>
                <w:szCs w:val="24"/>
              </w:rPr>
              <w:t>workplace</w:t>
            </w:r>
            <w:r>
              <w:rPr>
                <w:rFonts w:ascii="Arial" w:eastAsia="Arial" w:hAnsi="Arial" w:cs="Arial"/>
                <w:color w:val="000000"/>
                <w:sz w:val="24"/>
                <w:szCs w:val="24"/>
              </w:rPr>
              <w:t xml:space="preserve"> IT equipment and tools reasonably necessary to provide the Deliverables (but not including items included within limb (b) below); and</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(ix) reasonable recruitment costs, as agreed with the Buyer; </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but excluding:</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Overhead;</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 financing or similar costs;</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(iii) maintenance and support costs to the extent that these relate to maintenance and/or support Deliverables provided beyond the Call-Off Contract Period whether in relation to Supplier Assets or otherwise;</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(iv) taxation;</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(v) fines and penalties;</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lastRenderedPageBreak/>
              <w:t>(vi) amounts payable under Call-Off Schedule 16 (Benchmarking) where such Schedule is used; and</w:t>
            </w:r>
          </w:p>
          <w:p w:rsidR="00C232BB" w:rsidRDefault="00EE6336">
            <w:pPr>
              <w:pBdr>
                <w:top w:val="nil"/>
                <w:left w:val="nil"/>
                <w:bottom w:val="nil"/>
                <w:right w:val="nil"/>
                <w:between w:val="nil"/>
              </w:pBdr>
              <w:tabs>
                <w:tab w:val="left" w:pos="-2316"/>
                <w:tab w:val="left" w:pos="-2100"/>
                <w:tab w:val="left" w:pos="-179"/>
                <w:tab w:val="left" w:pos="-9"/>
              </w:tabs>
              <w:spacing w:after="120"/>
              <w:ind w:left="890" w:hanging="262"/>
              <w:jc w:val="both"/>
              <w:rPr>
                <w:rFonts w:ascii="Arial" w:eastAsia="Arial" w:hAnsi="Arial" w:cs="Arial"/>
                <w:color w:val="000000"/>
                <w:sz w:val="24"/>
                <w:szCs w:val="24"/>
              </w:rPr>
            </w:pPr>
            <w:r>
              <w:rPr>
                <w:rFonts w:ascii="Arial" w:eastAsia="Arial" w:hAnsi="Arial" w:cs="Arial"/>
                <w:color w:val="000000"/>
                <w:sz w:val="24"/>
                <w:szCs w:val="24"/>
              </w:rPr>
              <w:t xml:space="preserve">(vii) non-cash items (including depreciation, amortisation, </w:t>
            </w:r>
            <w:proofErr w:type="gramStart"/>
            <w:r>
              <w:rPr>
                <w:rFonts w:ascii="Arial" w:eastAsia="Arial" w:hAnsi="Arial" w:cs="Arial"/>
                <w:color w:val="000000"/>
                <w:sz w:val="24"/>
                <w:szCs w:val="24"/>
              </w:rPr>
              <w:t>impairments</w:t>
            </w:r>
            <w:proofErr w:type="gramEnd"/>
            <w:r>
              <w:rPr>
                <w:rFonts w:ascii="Arial" w:eastAsia="Arial" w:hAnsi="Arial" w:cs="Arial"/>
                <w:color w:val="000000"/>
                <w:sz w:val="24"/>
                <w:szCs w:val="24"/>
              </w:rPr>
              <w:t xml:space="preserve"> and movements in provisions);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"Deductions"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breach of the obligations of the Supplier (including abandonment of a Contract in breach of its terms) or any other default (including material default), act, omission, </w:t>
            </w:r>
            <w:proofErr w:type="gramStart"/>
            <w:r>
              <w:rPr>
                <w:rFonts w:ascii="Arial" w:eastAsia="Arial" w:hAnsi="Arial" w:cs="Arial"/>
                <w:color w:val="000000"/>
                <w:sz w:val="24"/>
                <w:szCs w:val="24"/>
              </w:rPr>
              <w:t>negligence</w:t>
            </w:r>
            <w:proofErr w:type="gramEnd"/>
            <w:r>
              <w:rPr>
                <w:rFonts w:ascii="Arial" w:eastAsia="Arial" w:hAnsi="Arial" w:cs="Arial"/>
                <w:color w:val="000000"/>
                <w:sz w:val="24"/>
                <w:szCs w:val="24"/>
              </w:rPr>
              <w:t xml:space="preserve"> or statement of the Supplier, of its Subcontractors or any Supplier Staff howsoever arising in connection with or in relation to the subject-matter of a Contract and in respect of which the Supplier is liable to the Relevant Authority;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"Delay Payments"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"Deliverables"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"Delivery"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delivery of the relevant Deliverable or Milestone in accordance with the terms of a Call-Off Contract as confirmed and accepted by the Buyer by the either (a) </w:t>
            </w:r>
            <w:r>
              <w:rPr>
                <w:rFonts w:ascii="Arial" w:eastAsia="Arial" w:hAnsi="Arial" w:cs="Arial"/>
                <w:color w:val="000000"/>
                <w:sz w:val="24"/>
                <w:szCs w:val="24"/>
              </w:rPr>
              <w:lastRenderedPageBreak/>
              <w:t>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“Direct Award Criteria”</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award criteria to be applied for the direct award of Call-Off Contracts following the process set out in Framework Schedule 7(Cal-Off Award Procedure);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"Disclosing Party"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C232BB">
        <w:tc>
          <w:tcPr>
            <w:tcW w:w="2268" w:type="dxa"/>
          </w:tcPr>
          <w:p w:rsidR="00C232BB" w:rsidRDefault="00EE6336">
            <w:pPr>
              <w:keepNext/>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claim, </w:t>
            </w:r>
            <w:proofErr w:type="gramStart"/>
            <w:r>
              <w:rPr>
                <w:rFonts w:ascii="Arial" w:eastAsia="Arial" w:hAnsi="Arial" w:cs="Arial"/>
                <w:color w:val="000000"/>
                <w:sz w:val="24"/>
                <w:szCs w:val="24"/>
              </w:rPr>
              <w:t>dispute</w:t>
            </w:r>
            <w:proofErr w:type="gramEnd"/>
            <w:r>
              <w:rPr>
                <w:rFonts w:ascii="Arial" w:eastAsia="Arial" w:hAnsi="Arial" w:cs="Arial"/>
                <w:color w:val="000000"/>
                <w:sz w:val="24"/>
                <w:szCs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"Documentation"</w:t>
            </w:r>
          </w:p>
        </w:tc>
        <w:tc>
          <w:tcPr>
            <w:tcW w:w="6663" w:type="dxa"/>
          </w:tcPr>
          <w:p w:rsidR="00C232BB" w:rsidRDefault="00EE6336">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 xml:space="preserve">would reasonably be required by a competent third party capable of Good Industry Practice contracted by the Buyer to develop, configure, build, deploy, run, maintain, </w:t>
            </w:r>
            <w:proofErr w:type="gramStart"/>
            <w:r>
              <w:rPr>
                <w:rFonts w:ascii="Arial" w:eastAsia="Arial" w:hAnsi="Arial" w:cs="Arial"/>
                <w:color w:val="000000"/>
                <w:sz w:val="24"/>
                <w:szCs w:val="24"/>
              </w:rPr>
              <w:t>upgrade</w:t>
            </w:r>
            <w:proofErr w:type="gramEnd"/>
            <w:r>
              <w:rPr>
                <w:rFonts w:ascii="Arial" w:eastAsia="Arial" w:hAnsi="Arial" w:cs="Arial"/>
                <w:color w:val="000000"/>
                <w:sz w:val="24"/>
                <w:szCs w:val="24"/>
              </w:rPr>
              <w:t xml:space="preserve"> and test the individual systems that provide the Deliverables</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"DOTAS"</w:t>
            </w:r>
          </w:p>
        </w:tc>
        <w:tc>
          <w:tcPr>
            <w:tcW w:w="6663" w:type="dxa"/>
          </w:tcPr>
          <w:p w:rsidR="00C232BB" w:rsidRDefault="00EE6336">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“DPA 2018”</w:t>
            </w:r>
          </w:p>
        </w:tc>
        <w:tc>
          <w:tcPr>
            <w:tcW w:w="6663" w:type="dxa"/>
          </w:tcPr>
          <w:p w:rsidR="00C232BB" w:rsidRDefault="00EE6336">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"Due Diligence Information"</w:t>
            </w:r>
          </w:p>
        </w:tc>
        <w:tc>
          <w:tcPr>
            <w:tcW w:w="6663" w:type="dxa"/>
          </w:tcPr>
          <w:p w:rsidR="00C232BB" w:rsidRDefault="00EE6336">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“Effective Date”</w:t>
            </w:r>
          </w:p>
        </w:tc>
        <w:tc>
          <w:tcPr>
            <w:tcW w:w="6663" w:type="dxa"/>
          </w:tcPr>
          <w:p w:rsidR="00C232BB" w:rsidRDefault="00EE6336">
            <w:pPr>
              <w:pBdr>
                <w:top w:val="nil"/>
                <w:left w:val="nil"/>
                <w:bottom w:val="nil"/>
                <w:right w:val="nil"/>
                <w:between w:val="nil"/>
              </w:pBdr>
              <w:tabs>
                <w:tab w:val="left" w:pos="-576"/>
                <w:tab w:val="left" w:pos="144"/>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"EIR"</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 invoice which has been issued, transmitted and received in a structured electronic format which allows for its automatic and electronic </w:t>
            </w:r>
            <w:proofErr w:type="gramStart"/>
            <w:r>
              <w:rPr>
                <w:rFonts w:ascii="Arial" w:eastAsia="Arial" w:hAnsi="Arial" w:cs="Arial"/>
                <w:color w:val="000000"/>
                <w:sz w:val="24"/>
                <w:szCs w:val="24"/>
              </w:rPr>
              <w:t>processing</w:t>
            </w:r>
            <w:proofErr w:type="gramEnd"/>
            <w:r>
              <w:rPr>
                <w:rFonts w:ascii="Arial" w:eastAsia="Arial" w:hAnsi="Arial" w:cs="Arial"/>
                <w:color w:val="000000"/>
                <w:sz w:val="24"/>
                <w:szCs w:val="24"/>
              </w:rPr>
              <w:t xml:space="preserve"> and which complies with (a) the European standard and (b) any of the syntaxes published in Commission Implementing Decision (EU) 2017/1870;</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6663" w:type="dxa"/>
          </w:tcPr>
          <w:p w:rsidR="00C232BB" w:rsidRDefault="00EE6336">
            <w:pPr>
              <w:pBdr>
                <w:top w:val="nil"/>
                <w:left w:val="nil"/>
                <w:bottom w:val="nil"/>
                <w:right w:val="nil"/>
                <w:between w:val="nil"/>
              </w:pBdr>
              <w:tabs>
                <w:tab w:val="left" w:pos="-576"/>
                <w:tab w:val="left" w:pos="144"/>
              </w:tabs>
              <w:spacing w:after="120"/>
              <w:ind w:left="142" w:firstLine="140"/>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rsidR="00C232BB" w:rsidRDefault="00EE6336">
            <w:pPr>
              <w:pBdr>
                <w:top w:val="nil"/>
                <w:left w:val="nil"/>
                <w:bottom w:val="nil"/>
                <w:right w:val="nil"/>
                <w:between w:val="nil"/>
              </w:pBdr>
              <w:tabs>
                <w:tab w:val="left" w:pos="-2316"/>
                <w:tab w:val="left" w:pos="-2100"/>
                <w:tab w:val="left" w:pos="-179"/>
                <w:tab w:val="left" w:pos="-9"/>
              </w:tabs>
              <w:spacing w:after="120"/>
              <w:ind w:left="432"/>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to conserve energy, water, wood, </w:t>
            </w:r>
            <w:proofErr w:type="gramStart"/>
            <w:r>
              <w:rPr>
                <w:rFonts w:ascii="Arial" w:eastAsia="Arial" w:hAnsi="Arial" w:cs="Arial"/>
                <w:color w:val="000000"/>
                <w:sz w:val="24"/>
                <w:szCs w:val="24"/>
              </w:rPr>
              <w:t>paper</w:t>
            </w:r>
            <w:proofErr w:type="gramEnd"/>
            <w:r>
              <w:rPr>
                <w:rFonts w:ascii="Arial" w:eastAsia="Arial" w:hAnsi="Arial" w:cs="Arial"/>
                <w:color w:val="000000"/>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6663" w:type="dxa"/>
          </w:tcPr>
          <w:p w:rsidR="00C232BB" w:rsidRDefault="00EE6336">
            <w:pPr>
              <w:pBdr>
                <w:top w:val="nil"/>
                <w:left w:val="nil"/>
                <w:bottom w:val="nil"/>
                <w:right w:val="nil"/>
                <w:between w:val="nil"/>
              </w:pBdr>
              <w:tabs>
                <w:tab w:val="left" w:pos="-179"/>
                <w:tab w:val="left" w:pos="-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C232BB">
        <w:tc>
          <w:tcPr>
            <w:tcW w:w="2268" w:type="dxa"/>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6663" w:type="dxa"/>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means for the purposes of calculating each Party’s annual liability under clause </w:t>
            </w:r>
            <w:proofErr w:type="gramStart"/>
            <w:r>
              <w:rPr>
                <w:rFonts w:ascii="Arial" w:eastAsia="Arial" w:hAnsi="Arial" w:cs="Arial"/>
                <w:color w:val="000000"/>
                <w:sz w:val="24"/>
                <w:szCs w:val="24"/>
              </w:rPr>
              <w:t>11.2 :</w:t>
            </w:r>
            <w:proofErr w:type="gramEnd"/>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iii) after the end of the Call-off Contract, the Charges paid or payable in the last Contract Year during the Call-off Contract Period;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“Exempt Buyer”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rsidR="00C232BB" w:rsidRDefault="00EE6336">
            <w:pPr>
              <w:numPr>
                <w:ilvl w:val="0"/>
                <w:numId w:val="2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eligible to use the Framework Contract; and</w:t>
            </w:r>
          </w:p>
          <w:p w:rsidR="00C232BB" w:rsidRDefault="00EE6336">
            <w:pPr>
              <w:numPr>
                <w:ilvl w:val="0"/>
                <w:numId w:val="2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is entering into an Exempt Call-off Contract that is not subject to (as applicable) any of:</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the Regulations;</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the Concession Contracts Regulations 2016 (SI 2016/273);</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the Utilities Contracts Regulations 2016 (SI 2016/274);</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the Defence and Security Public Contracts Regulations 2011 (SI 2011/1848);</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the Remedies Directive (2007/66/EC);</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Directive 2014/23/EU of the European Parliament and Council;</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Directive 2014/24/EU of the European Parliament and Council;</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Directive 2014/25/EU of the European Parliament and Council; or</w:t>
            </w:r>
          </w:p>
          <w:p w:rsidR="00C232BB" w:rsidRDefault="00EE6336">
            <w:pPr>
              <w:numPr>
                <w:ilvl w:val="1"/>
                <w:numId w:val="15"/>
              </w:numPr>
              <w:pBdr>
                <w:top w:val="nil"/>
                <w:left w:val="nil"/>
                <w:bottom w:val="nil"/>
                <w:right w:val="nil"/>
                <w:between w:val="nil"/>
              </w:pBdr>
              <w:tabs>
                <w:tab w:val="left" w:pos="-179"/>
                <w:tab w:val="left" w:pos="1025"/>
              </w:tabs>
              <w:spacing w:after="120"/>
              <w:ind w:left="1025" w:hanging="567"/>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“Exempt Call-off Contract”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contract between the Exempt Buyer and the Supplier for Deliverables which consists of the terms set out and referred to in the Order Form incorporating and, where necessary, amending, </w:t>
            </w:r>
            <w:proofErr w:type="gramStart"/>
            <w:r>
              <w:rPr>
                <w:rFonts w:ascii="Arial" w:eastAsia="Arial" w:hAnsi="Arial" w:cs="Arial"/>
                <w:color w:val="000000"/>
                <w:sz w:val="24"/>
                <w:szCs w:val="24"/>
              </w:rPr>
              <w:t>refining</w:t>
            </w:r>
            <w:proofErr w:type="gramEnd"/>
            <w:r>
              <w:rPr>
                <w:rFonts w:ascii="Arial" w:eastAsia="Arial" w:hAnsi="Arial" w:cs="Arial"/>
                <w:color w:val="000000"/>
                <w:sz w:val="24"/>
                <w:szCs w:val="24"/>
              </w:rPr>
              <w:t xml:space="preserve"> or adding to the terms of the Framework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“Exempt Procurement Amendments”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amendments, </w:t>
            </w:r>
            <w:proofErr w:type="gramStart"/>
            <w:r>
              <w:rPr>
                <w:rFonts w:ascii="Arial" w:eastAsia="Arial" w:hAnsi="Arial" w:cs="Arial"/>
                <w:color w:val="000000"/>
                <w:sz w:val="24"/>
                <w:szCs w:val="24"/>
              </w:rPr>
              <w:t>refinements</w:t>
            </w:r>
            <w:proofErr w:type="gramEnd"/>
            <w:r>
              <w:rPr>
                <w:rFonts w:ascii="Arial" w:eastAsia="Arial" w:hAnsi="Arial" w:cs="Arial"/>
                <w:color w:val="000000"/>
                <w:sz w:val="24"/>
                <w:szCs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"Existing IPR"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“Exit Day”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"Expiry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"FOIA"</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Freedom of Information Act 2000 (as amended from time to time) and any subordinate legislation made under that Act from time to time together with any guidance and/or codes of practice issued by the Information Commissioner </w:t>
            </w:r>
            <w:r>
              <w:rPr>
                <w:rFonts w:ascii="Arial" w:eastAsia="Arial" w:hAnsi="Arial" w:cs="Arial"/>
                <w:color w:val="000000"/>
                <w:sz w:val="24"/>
                <w:szCs w:val="24"/>
              </w:rPr>
              <w:lastRenderedPageBreak/>
              <w:t>or relevant Government department in relation to such legislation;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event outside the reasonable control of either Party affecting its performance of its obligations under the Contract arising from acts, events, omissions, </w:t>
            </w:r>
            <w:proofErr w:type="gramStart"/>
            <w:r>
              <w:rPr>
                <w:rFonts w:ascii="Arial" w:eastAsia="Arial" w:hAnsi="Arial" w:cs="Arial"/>
                <w:color w:val="000000"/>
                <w:sz w:val="24"/>
                <w:szCs w:val="24"/>
              </w:rPr>
              <w:t>happenings</w:t>
            </w:r>
            <w:proofErr w:type="gramEnd"/>
            <w:r>
              <w:rPr>
                <w:rFonts w:ascii="Arial" w:eastAsia="Arial" w:hAnsi="Arial" w:cs="Arial"/>
                <w:color w:val="000000"/>
                <w:sz w:val="24"/>
                <w:szCs w:val="24"/>
              </w:rPr>
              <w:t xml:space="preserve"> or non-happenings beyond its reasonable control and which are not attributable to any wilful act, neglect or failure to take reasonable preventative action by that Party, including:</w:t>
            </w:r>
          </w:p>
          <w:p w:rsidR="00C232BB" w:rsidRDefault="00EE6336">
            <w:pPr>
              <w:numPr>
                <w:ilvl w:val="0"/>
                <w:numId w:val="4"/>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riots, civil commotion, </w:t>
            </w:r>
            <w:proofErr w:type="gramStart"/>
            <w:r>
              <w:rPr>
                <w:rFonts w:ascii="Arial" w:eastAsia="Arial" w:hAnsi="Arial" w:cs="Arial"/>
                <w:color w:val="000000"/>
                <w:sz w:val="24"/>
                <w:szCs w:val="24"/>
              </w:rPr>
              <w:t>war</w:t>
            </w:r>
            <w:proofErr w:type="gramEnd"/>
            <w:r>
              <w:rPr>
                <w:rFonts w:ascii="Arial" w:eastAsia="Arial" w:hAnsi="Arial" w:cs="Arial"/>
                <w:color w:val="000000"/>
                <w:sz w:val="24"/>
                <w:szCs w:val="24"/>
              </w:rPr>
              <w:t xml:space="preserve"> or armed conflict;</w:t>
            </w:r>
          </w:p>
          <w:p w:rsidR="00C232BB" w:rsidRDefault="00EE6336">
            <w:pPr>
              <w:numPr>
                <w:ilvl w:val="0"/>
                <w:numId w:val="2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acts of terrorism;</w:t>
            </w:r>
          </w:p>
          <w:p w:rsidR="00C232BB" w:rsidRDefault="00EE6336">
            <w:pPr>
              <w:numPr>
                <w:ilvl w:val="0"/>
                <w:numId w:val="2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acts of government, local </w:t>
            </w:r>
            <w:proofErr w:type="gramStart"/>
            <w:r>
              <w:rPr>
                <w:rFonts w:ascii="Arial" w:eastAsia="Arial" w:hAnsi="Arial" w:cs="Arial"/>
                <w:color w:val="000000"/>
                <w:sz w:val="24"/>
                <w:szCs w:val="24"/>
              </w:rPr>
              <w:t>government</w:t>
            </w:r>
            <w:proofErr w:type="gramEnd"/>
            <w:r>
              <w:rPr>
                <w:rFonts w:ascii="Arial" w:eastAsia="Arial" w:hAnsi="Arial" w:cs="Arial"/>
                <w:color w:val="000000"/>
                <w:sz w:val="24"/>
                <w:szCs w:val="24"/>
              </w:rPr>
              <w:t xml:space="preserve"> or regulatory bodies;</w:t>
            </w:r>
          </w:p>
          <w:p w:rsidR="00C232BB" w:rsidRDefault="00EE6336">
            <w:pPr>
              <w:numPr>
                <w:ilvl w:val="0"/>
                <w:numId w:val="2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Initial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initial period of the Framework Contract as specified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Price(s)"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"Framework Special Terms"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"UK GDPR"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rsidR="00C232BB" w:rsidRDefault="00EE6336">
            <w:pPr>
              <w:numPr>
                <w:ilvl w:val="0"/>
                <w:numId w:val="4"/>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standards, practices, </w:t>
            </w:r>
            <w:proofErr w:type="gramStart"/>
            <w:r>
              <w:rPr>
                <w:rFonts w:ascii="Arial" w:eastAsia="Arial" w:hAnsi="Arial" w:cs="Arial"/>
                <w:color w:val="000000"/>
                <w:sz w:val="24"/>
                <w:szCs w:val="24"/>
              </w:rPr>
              <w:t>methods</w:t>
            </w:r>
            <w:proofErr w:type="gramEnd"/>
            <w:r>
              <w:rPr>
                <w:rFonts w:ascii="Arial" w:eastAsia="Arial" w:hAnsi="Arial" w:cs="Arial"/>
                <w:color w:val="000000"/>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"Government"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government of the United Kingdom (including the Northern Ireland Assembly and Executive Committee, the Scottish </w:t>
            </w:r>
            <w:proofErr w:type="gramStart"/>
            <w:r>
              <w:rPr>
                <w:rFonts w:ascii="Arial" w:eastAsia="Arial" w:hAnsi="Arial" w:cs="Arial"/>
                <w:color w:val="000000"/>
                <w:sz w:val="24"/>
                <w:szCs w:val="24"/>
              </w:rPr>
              <w:t>Government</w:t>
            </w:r>
            <w:proofErr w:type="gramEnd"/>
            <w:r>
              <w:rPr>
                <w:rFonts w:ascii="Arial" w:eastAsia="Arial" w:hAnsi="Arial" w:cs="Arial"/>
                <w:color w:val="000000"/>
                <w:sz w:val="24"/>
                <w:szCs w:val="24"/>
              </w:rPr>
              <w:t xml:space="preserve"> and the National Assembly for Wales), including government ministers and government departments and other bodies, persons, commissions or agencies from time to time carrying out functions on its behalf;</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"Government Data"</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data, text, drawings, diagrams, </w:t>
            </w:r>
            <w:proofErr w:type="gramStart"/>
            <w:r>
              <w:rPr>
                <w:rFonts w:ascii="Arial" w:eastAsia="Arial" w:hAnsi="Arial" w:cs="Arial"/>
                <w:color w:val="000000"/>
                <w:sz w:val="24"/>
                <w:szCs w:val="24"/>
              </w:rPr>
              <w:t>images</w:t>
            </w:r>
            <w:proofErr w:type="gramEnd"/>
            <w:r>
              <w:rPr>
                <w:rFonts w:ascii="Arial" w:eastAsia="Arial" w:hAnsi="Arial" w:cs="Arial"/>
                <w:color w:val="000000"/>
                <w:sz w:val="24"/>
                <w:szCs w:val="24"/>
              </w:rPr>
              <w:t xml:space="preserve"> or sounds (together with any database made up of any of these) which are embodied in any electronic, magnetic, optical or tangible media, including any of the Authority’s Confidential Information, and which:</w:t>
            </w:r>
          </w:p>
          <w:p w:rsidR="00C232BB" w:rsidRDefault="00EE6336">
            <w:pPr>
              <w:numPr>
                <w:ilvl w:val="0"/>
                <w:numId w:val="31"/>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is required to generate, process, store or transmit pursuant to a Contract;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"Guarantor"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"HMRC"</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Environment”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ICT systems used in the delivery of the Services as described in Call-Off Schedule 6 (ICT Services);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Policy"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“ICT Services”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ICT related Services to be delivered under a Call-Off Contract as described in Call-Off Schedule 6 (ICT Services);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rsidR="00C232BB" w:rsidRDefault="00EE6336">
            <w:pPr>
              <w:numPr>
                <w:ilvl w:val="0"/>
                <w:numId w:val="3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rsidR="00C232BB" w:rsidRDefault="00EE6336">
            <w:pPr>
              <w:numPr>
                <w:ilvl w:val="0"/>
                <w:numId w:val="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"Indemnifier"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where a Controller has provided Personal Data to another Party which is not a Processor or a Joint Controller because </w:t>
            </w:r>
            <w:r>
              <w:rPr>
                <w:rFonts w:ascii="Arial" w:eastAsia="Arial" w:hAnsi="Arial" w:cs="Arial"/>
                <w:color w:val="000000"/>
                <w:sz w:val="24"/>
                <w:szCs w:val="24"/>
              </w:rPr>
              <w:lastRenderedPageBreak/>
              <w:t>the recipient itself determines the purposes and means of Processing but does so separately from the Controller providing it with Personal Data and “Independent Controller” shall be construed accordingly;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"Initial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"Insolvency Event"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that person suspends, or threatens to suspend, payment of its debts, or is unable to pay its debts as they fall due or admits inability to pay its debts, or:</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 xml:space="preserve">(being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(being a partnership) is deemed unable to pay its debts within the meaning of section 222 of the Insolvency Act 1986;</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another person becomes entitled to appoint a receiver over the assets of that person or a receiver is appointed over the assets of that person;</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that person suspends or ceases, or threatens to suspend or cease, carrying on all or a substantial part of its business;</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t>an application is made to court, or an order is made, for the appointment of an administrator, or if a notice of intention to appoint an administrator is filed at Court or given or if an administrator is appointed, over that person;</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t xml:space="preserve">(being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rsidR="00C232BB" w:rsidRDefault="00EE6336">
            <w:pPr>
              <w:pBdr>
                <w:top w:val="nil"/>
                <w:left w:val="nil"/>
                <w:bottom w:val="nil"/>
                <w:right w:val="nil"/>
                <w:between w:val="nil"/>
              </w:pBdr>
              <w:tabs>
                <w:tab w:val="left" w:pos="-179"/>
              </w:tabs>
              <w:spacing w:after="120"/>
              <w:ind w:left="889" w:hanging="426"/>
              <w:jc w:val="both"/>
              <w:rPr>
                <w:rFonts w:ascii="Arial" w:eastAsia="Arial" w:hAnsi="Arial" w:cs="Arial"/>
                <w:color w:val="000000"/>
                <w:sz w:val="24"/>
                <w:szCs w:val="24"/>
              </w:rPr>
            </w:pPr>
            <w:r>
              <w:rPr>
                <w:rFonts w:ascii="Arial" w:eastAsia="Arial" w:hAnsi="Arial" w:cs="Arial"/>
                <w:color w:val="000000"/>
                <w:sz w:val="24"/>
                <w:szCs w:val="24"/>
              </w:rPr>
              <w:t>(iv)</w:t>
            </w:r>
            <w:r>
              <w:rPr>
                <w:rFonts w:ascii="Arial" w:eastAsia="Arial" w:hAnsi="Arial" w:cs="Arial"/>
                <w:color w:val="000000"/>
                <w:sz w:val="24"/>
                <w:szCs w:val="24"/>
              </w:rPr>
              <w:tab/>
              <w:t>(being a partnership) the holder of an agricultural floating charge over the assets of that person has become entitled to appoint or has appointed an agricultural receiver; or</w:t>
            </w:r>
          </w:p>
          <w:p w:rsidR="00C232BB" w:rsidRDefault="00EE6336">
            <w:pPr>
              <w:numPr>
                <w:ilvl w:val="0"/>
                <w:numId w:val="2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event occurs, or proceeding is taken, with respect to that person in any jurisdiction to which it is subject that has an effect equivalent or similar to any of the events mentioned above;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24"/>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C232BB" w:rsidRDefault="00EE6336">
            <w:pPr>
              <w:numPr>
                <w:ilvl w:val="0"/>
                <w:numId w:val="3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rsidR="00C232BB" w:rsidRDefault="00EE6336">
            <w:pPr>
              <w:numPr>
                <w:ilvl w:val="0"/>
                <w:numId w:val="3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"Invoicing Address"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"IPR Claim"</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"IR35"</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8">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(Processing Data);</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Staff"</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Subcontractor:</w:t>
            </w:r>
          </w:p>
          <w:p w:rsidR="00C232BB" w:rsidRDefault="00EE6336">
            <w:pPr>
              <w:numPr>
                <w:ilvl w:val="0"/>
                <w:numId w:val="2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rsidR="00C232BB" w:rsidRDefault="00EE6336">
            <w:pPr>
              <w:numPr>
                <w:ilvl w:val="0"/>
                <w:numId w:val="3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rsidR="00C232BB" w:rsidRDefault="00EE6336">
            <w:pPr>
              <w:numPr>
                <w:ilvl w:val="0"/>
                <w:numId w:val="3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"Know-How"</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"Law"</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law, subordinate legislation within the meaning of Section 21(1) of the Interpretation Act 1978, </w:t>
            </w:r>
            <w:proofErr w:type="gramStart"/>
            <w:r>
              <w:rPr>
                <w:rFonts w:ascii="Arial" w:eastAsia="Arial" w:hAnsi="Arial" w:cs="Arial"/>
                <w:color w:val="000000"/>
                <w:sz w:val="24"/>
                <w:szCs w:val="24"/>
              </w:rPr>
              <w:t>bye-law</w:t>
            </w:r>
            <w:proofErr w:type="gramEnd"/>
            <w:r>
              <w:rPr>
                <w:rFonts w:ascii="Arial" w:eastAsia="Arial" w:hAnsi="Arial" w:cs="Arial"/>
                <w:color w:val="000000"/>
                <w:sz w:val="24"/>
                <w:szCs w:val="24"/>
              </w:rPr>
              <w:t xml:space="preserve">, enforceable right within the meaning of Section 2 of the European Communities Act 1972, regulation, order, regulatory policy, mandatory guidance or code of practice, </w:t>
            </w:r>
            <w:r>
              <w:rPr>
                <w:rFonts w:ascii="Arial" w:eastAsia="Arial" w:hAnsi="Arial" w:cs="Arial"/>
                <w:sz w:val="24"/>
                <w:szCs w:val="24"/>
              </w:rPr>
              <w:lastRenderedPageBreak/>
              <w:t>judgement</w:t>
            </w:r>
            <w:r>
              <w:rPr>
                <w:rFonts w:ascii="Arial" w:eastAsia="Arial" w:hAnsi="Arial" w:cs="Arial"/>
                <w:color w:val="000000"/>
                <w:sz w:val="24"/>
                <w:szCs w:val="24"/>
              </w:rPr>
              <w:t xml:space="preserve"> of a relevant court of law, or directives or requirements with which the relevant Party is bound to comply;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"Losses"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all losses, liabilities, damages, costs, expenses (including legal fees), disbursements, costs of investigation, litigation, settlement, </w:t>
            </w:r>
            <w:r>
              <w:rPr>
                <w:rFonts w:ascii="Arial" w:eastAsia="Arial" w:hAnsi="Arial" w:cs="Arial"/>
                <w:sz w:val="24"/>
                <w:szCs w:val="24"/>
              </w:rPr>
              <w:t>judgement</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interest</w:t>
            </w:r>
            <w:proofErr w:type="gramEnd"/>
            <w:r>
              <w:rPr>
                <w:rFonts w:ascii="Arial" w:eastAsia="Arial" w:hAnsi="Arial" w:cs="Arial"/>
                <w:color w:val="000000"/>
                <w:sz w:val="24"/>
                <w:szCs w:val="24"/>
              </w:rPr>
              <w:t xml:space="preserve"> and penalties whether arising in contract, tort (including negligence), breach of statutory duty, misrepresentation or otherwise and "Loss" shall be interpreted accordingly;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"Lots"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Default”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when two (2) MI Reports are not provided in any rolling six (6) month period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Failure"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when an MI report:</w:t>
            </w:r>
          </w:p>
          <w:p w:rsidR="00C232BB" w:rsidRDefault="00EE6336">
            <w:pPr>
              <w:numPr>
                <w:ilvl w:val="0"/>
                <w:numId w:val="2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rsidR="00C232BB" w:rsidRDefault="00EE6336">
            <w:pPr>
              <w:numPr>
                <w:ilvl w:val="0"/>
                <w:numId w:val="2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rsidR="00C232BB" w:rsidRDefault="00EE6336">
            <w:pPr>
              <w:numPr>
                <w:ilvl w:val="0"/>
                <w:numId w:val="2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Report"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"Milestone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"Month"</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calendar month and "Monthly" shall be interpreted accordingly;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"New IPR"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C232BB" w:rsidRDefault="00EE6336">
            <w:pPr>
              <w:numPr>
                <w:ilvl w:val="0"/>
                <w:numId w:val="2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rsidR="00C232BB" w:rsidRDefault="00EE6336">
            <w:pPr>
              <w:numPr>
                <w:ilvl w:val="0"/>
                <w:numId w:val="2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ind w:left="142"/>
              <w:rPr>
                <w:rFonts w:ascii="Arial" w:eastAsia="Arial" w:hAnsi="Arial" w:cs="Arial"/>
                <w:color w:val="000000"/>
                <w:sz w:val="24"/>
                <w:szCs w:val="24"/>
              </w:rPr>
            </w:pPr>
            <w:r>
              <w:rPr>
                <w:rFonts w:ascii="Arial" w:eastAsia="Arial" w:hAnsi="Arial" w:cs="Arial"/>
                <w:color w:val="000000"/>
                <w:sz w:val="24"/>
                <w:szCs w:val="24"/>
              </w:rPr>
              <w:t xml:space="preserve">where: </w:t>
            </w:r>
          </w:p>
          <w:p w:rsidR="00C232BB" w:rsidRDefault="00EE6336">
            <w:pPr>
              <w:numPr>
                <w:ilvl w:val="0"/>
                <w:numId w:val="14"/>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"Open Book Data"</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C232BB" w:rsidRDefault="00EE6336">
            <w:pPr>
              <w:numPr>
                <w:ilvl w:val="0"/>
                <w:numId w:val="2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rsidR="00C232BB" w:rsidRDefault="00EE6336">
            <w:pPr>
              <w:numPr>
                <w:ilvl w:val="2"/>
                <w:numId w:val="11"/>
              </w:numPr>
              <w:pBdr>
                <w:top w:val="nil"/>
                <w:left w:val="nil"/>
                <w:bottom w:val="nil"/>
                <w:right w:val="nil"/>
                <w:between w:val="nil"/>
              </w:pBdr>
              <w:tabs>
                <w:tab w:val="left" w:pos="-576"/>
                <w:tab w:val="left" w:pos="1002"/>
              </w:tabs>
              <w:spacing w:after="120"/>
              <w:ind w:left="1002" w:hanging="567"/>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rsidR="00C232BB" w:rsidRDefault="00EE6336">
            <w:pPr>
              <w:numPr>
                <w:ilvl w:val="2"/>
                <w:numId w:val="11"/>
              </w:numPr>
              <w:pBdr>
                <w:top w:val="nil"/>
                <w:left w:val="nil"/>
                <w:bottom w:val="nil"/>
                <w:right w:val="nil"/>
                <w:between w:val="nil"/>
              </w:pBdr>
              <w:tabs>
                <w:tab w:val="left" w:pos="-576"/>
                <w:tab w:val="left" w:pos="1002"/>
              </w:tabs>
              <w:spacing w:after="120"/>
              <w:ind w:left="1002" w:hanging="567"/>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C232BB" w:rsidRDefault="00EE6336">
            <w:pPr>
              <w:numPr>
                <w:ilvl w:val="2"/>
                <w:numId w:val="11"/>
              </w:numPr>
              <w:pBdr>
                <w:top w:val="nil"/>
                <w:left w:val="nil"/>
                <w:bottom w:val="nil"/>
                <w:right w:val="nil"/>
                <w:between w:val="nil"/>
              </w:pBdr>
              <w:tabs>
                <w:tab w:val="left" w:pos="-576"/>
                <w:tab w:val="left" w:pos="1002"/>
              </w:tabs>
              <w:spacing w:after="120"/>
              <w:ind w:left="1002" w:hanging="567"/>
              <w:jc w:val="both"/>
              <w:rPr>
                <w:rFonts w:ascii="Arial" w:eastAsia="Arial" w:hAnsi="Arial" w:cs="Arial"/>
                <w:color w:val="000000"/>
                <w:sz w:val="24"/>
                <w:szCs w:val="24"/>
              </w:rPr>
            </w:pPr>
            <w:r>
              <w:rPr>
                <w:rFonts w:ascii="Arial" w:eastAsia="Arial" w:hAnsi="Arial" w:cs="Arial"/>
                <w:color w:val="000000"/>
                <w:sz w:val="24"/>
                <w:szCs w:val="24"/>
              </w:rPr>
              <w:lastRenderedPageBreak/>
              <w:t>a list of Costs underpinning those rates for each grade, being the agreed rate less the Supplier Profit Margin; and</w:t>
            </w:r>
          </w:p>
          <w:p w:rsidR="00C232BB" w:rsidRDefault="00EE6336">
            <w:pPr>
              <w:numPr>
                <w:ilvl w:val="2"/>
                <w:numId w:val="11"/>
              </w:numPr>
              <w:pBdr>
                <w:top w:val="nil"/>
                <w:left w:val="nil"/>
                <w:bottom w:val="nil"/>
                <w:right w:val="nil"/>
                <w:between w:val="nil"/>
              </w:pBdr>
              <w:tabs>
                <w:tab w:val="left" w:pos="-576"/>
                <w:tab w:val="left" w:pos="1002"/>
              </w:tabs>
              <w:spacing w:after="120"/>
              <w:ind w:left="1002" w:hanging="567"/>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rsidR="00C232BB" w:rsidRDefault="00EE6336">
            <w:pPr>
              <w:numPr>
                <w:ilvl w:val="0"/>
                <w:numId w:val="2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sz w:val="24"/>
                <w:szCs w:val="24"/>
              </w:rPr>
              <w:lastRenderedPageBreak/>
              <w:t>“Operational Hours”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jc w:val="both"/>
              <w:rPr>
                <w:rFonts w:ascii="Arial" w:eastAsia="Arial" w:hAnsi="Arial" w:cs="Arial"/>
                <w:sz w:val="24"/>
                <w:szCs w:val="24"/>
              </w:rPr>
            </w:pPr>
            <w:r>
              <w:rPr>
                <w:rFonts w:ascii="Arial" w:eastAsia="Arial" w:hAnsi="Arial" w:cs="Arial"/>
                <w:sz w:val="24"/>
                <w:szCs w:val="24"/>
                <w:highlight w:val="white"/>
              </w:rPr>
              <w:t xml:space="preserve">24 hours a day, 7 days a week, 365 days out of the year, less any down time in the case of the </w:t>
            </w:r>
            <w:proofErr w:type="spellStart"/>
            <w:proofErr w:type="gramStart"/>
            <w:r>
              <w:rPr>
                <w:rFonts w:ascii="Arial" w:eastAsia="Arial" w:hAnsi="Arial" w:cs="Arial"/>
                <w:sz w:val="24"/>
                <w:szCs w:val="24"/>
                <w:highlight w:val="white"/>
              </w:rPr>
              <w:t>self service</w:t>
            </w:r>
            <w:proofErr w:type="spellEnd"/>
            <w:proofErr w:type="gramEnd"/>
            <w:r>
              <w:rPr>
                <w:rFonts w:ascii="Arial" w:eastAsia="Arial" w:hAnsi="Arial" w:cs="Arial"/>
                <w:sz w:val="24"/>
                <w:szCs w:val="24"/>
                <w:highlight w:val="white"/>
              </w:rPr>
              <w:t xml:space="preserve"> portal</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“Optional Services”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means those services [</w:t>
            </w:r>
            <w:r>
              <w:rPr>
                <w:rFonts w:ascii="Arial" w:eastAsia="Arial" w:hAnsi="Arial" w:cs="Arial"/>
                <w:color w:val="000000"/>
                <w:sz w:val="24"/>
                <w:szCs w:val="24"/>
                <w:highlight w:val="yellow"/>
              </w:rPr>
              <w:t>set out in [</w:t>
            </w:r>
            <w:r>
              <w:rPr>
                <w:rFonts w:ascii="Arial" w:eastAsia="Arial" w:hAnsi="Arial" w:cs="Arial"/>
                <w:b/>
                <w:color w:val="000000"/>
                <w:sz w:val="24"/>
                <w:szCs w:val="24"/>
                <w:highlight w:val="yellow"/>
              </w:rPr>
              <w:t xml:space="preserve">insert </w:t>
            </w:r>
            <w:r>
              <w:rPr>
                <w:rFonts w:ascii="Arial" w:eastAsia="Arial" w:hAnsi="Arial" w:cs="Arial"/>
                <w:color w:val="000000"/>
                <w:sz w:val="24"/>
                <w:szCs w:val="24"/>
                <w:highlight w:val="yellow"/>
              </w:rPr>
              <w:t>relevant paragraphs of Schedule 20 which describe the optional Services] OR described in the Catalogue</w:t>
            </w:r>
            <w:r>
              <w:rPr>
                <w:rFonts w:ascii="Arial" w:eastAsia="Arial" w:hAnsi="Arial" w:cs="Arial"/>
                <w:color w:val="000000"/>
                <w:sz w:val="24"/>
                <w:szCs w:val="24"/>
              </w:rPr>
              <w:t>] which the Buyer may require the Supplier to perform in accordance with Clause 24.9;</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 Form"</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"Overhead"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w:t>
            </w:r>
            <w:r>
              <w:rPr>
                <w:rFonts w:ascii="Arial" w:eastAsia="Arial" w:hAnsi="Arial" w:cs="Arial"/>
                <w:color w:val="000000"/>
                <w:sz w:val="24"/>
                <w:szCs w:val="24"/>
              </w:rPr>
              <w:lastRenderedPageBreak/>
              <w:t>accordingly included within limb (a) of the definition of "Costs";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"Parliament"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"Party"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in the context of the Framework Contract, </w:t>
            </w:r>
            <w:proofErr w:type="gramStart"/>
            <w:r>
              <w:rPr>
                <w:rFonts w:ascii="Arial" w:eastAsia="Arial" w:hAnsi="Arial" w:cs="Arial"/>
                <w:color w:val="000000"/>
                <w:sz w:val="24"/>
                <w:szCs w:val="24"/>
              </w:rPr>
              <w:t>CCS</w:t>
            </w:r>
            <w:proofErr w:type="gramEnd"/>
            <w:r>
              <w:rPr>
                <w:rFonts w:ascii="Arial" w:eastAsia="Arial" w:hAnsi="Arial" w:cs="Arial"/>
                <w:color w:val="000000"/>
                <w:sz w:val="24"/>
                <w:szCs w:val="24"/>
              </w:rPr>
              <w:t xml:space="preserve"> or the Supplier, and </w:t>
            </w:r>
            <w:r>
              <w:rPr>
                <w:rFonts w:ascii="Arial" w:eastAsia="Arial" w:hAnsi="Arial" w:cs="Arial"/>
                <w:sz w:val="24"/>
                <w:szCs w:val="24"/>
              </w:rPr>
              <w:t>in the</w:t>
            </w:r>
            <w:r>
              <w:rPr>
                <w:rFonts w:ascii="Arial" w:eastAsia="Arial" w:hAnsi="Arial" w:cs="Arial"/>
                <w:color w:val="000000"/>
                <w:sz w:val="24"/>
                <w:szCs w:val="24"/>
              </w:rPr>
              <w:t xml:space="preserve"> context of a Call-Off Contract the Buyer or the Supplier. "Parties" shall mean both of them where the context permits;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“Personnel”</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“Processing”</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“Processor”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“Prohibited Acts”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C232BB" w:rsidRDefault="00EE6336">
            <w:pPr>
              <w:numPr>
                <w:ilvl w:val="2"/>
                <w:numId w:val="2"/>
              </w:numPr>
              <w:pBdr>
                <w:top w:val="nil"/>
                <w:left w:val="nil"/>
                <w:bottom w:val="nil"/>
                <w:right w:val="nil"/>
                <w:between w:val="nil"/>
              </w:pBdr>
              <w:tabs>
                <w:tab w:val="left" w:pos="-179"/>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rsidR="00C232BB" w:rsidRDefault="00EE6336">
            <w:pPr>
              <w:numPr>
                <w:ilvl w:val="2"/>
                <w:numId w:val="2"/>
              </w:numPr>
              <w:pBdr>
                <w:top w:val="nil"/>
                <w:left w:val="nil"/>
                <w:bottom w:val="nil"/>
                <w:right w:val="nil"/>
                <w:between w:val="nil"/>
              </w:pBdr>
              <w:tabs>
                <w:tab w:val="left" w:pos="-179"/>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reward that person for improper performance of a relevant function or activity; </w:t>
            </w:r>
          </w:p>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rsidR="00C232BB" w:rsidRDefault="00EE6336">
            <w:pPr>
              <w:numPr>
                <w:ilvl w:val="2"/>
                <w:numId w:val="2"/>
              </w:numPr>
              <w:pBdr>
                <w:top w:val="nil"/>
                <w:left w:val="nil"/>
                <w:bottom w:val="nil"/>
                <w:right w:val="nil"/>
                <w:between w:val="nil"/>
              </w:pBdr>
              <w:tabs>
                <w:tab w:val="left" w:pos="-179"/>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rsidR="00C232BB" w:rsidRDefault="00EE6336">
            <w:pPr>
              <w:numPr>
                <w:ilvl w:val="2"/>
                <w:numId w:val="2"/>
              </w:numPr>
              <w:pBdr>
                <w:top w:val="nil"/>
                <w:left w:val="nil"/>
                <w:bottom w:val="nil"/>
                <w:right w:val="nil"/>
                <w:between w:val="nil"/>
              </w:pBdr>
              <w:tabs>
                <w:tab w:val="left" w:pos="-179"/>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rsidR="00C232BB" w:rsidRDefault="00EE6336">
            <w:pPr>
              <w:numPr>
                <w:ilvl w:val="2"/>
                <w:numId w:val="2"/>
              </w:numPr>
              <w:pBdr>
                <w:top w:val="nil"/>
                <w:left w:val="nil"/>
                <w:bottom w:val="nil"/>
                <w:right w:val="nil"/>
                <w:between w:val="nil"/>
              </w:pBdr>
              <w:tabs>
                <w:tab w:val="left" w:pos="-179"/>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rsidR="00C232BB" w:rsidRDefault="00EE6336">
            <w:pPr>
              <w:numPr>
                <w:ilvl w:val="1"/>
                <w:numId w:val="2"/>
              </w:numPr>
              <w:pBdr>
                <w:top w:val="nil"/>
                <w:left w:val="nil"/>
                <w:bottom w:val="nil"/>
                <w:right w:val="nil"/>
                <w:between w:val="nil"/>
              </w:pBdr>
              <w:tabs>
                <w:tab w:val="left" w:pos="-576"/>
                <w:tab w:val="left" w:pos="144"/>
                <w:tab w:val="left" w:pos="861"/>
              </w:tabs>
              <w:spacing w:after="120"/>
              <w:ind w:left="861" w:hanging="426"/>
              <w:jc w:val="both"/>
              <w:rPr>
                <w:rFonts w:ascii="Arial" w:eastAsia="Arial" w:hAnsi="Arial" w:cs="Arial"/>
                <w:color w:val="000000"/>
                <w:sz w:val="24"/>
                <w:szCs w:val="24"/>
              </w:rPr>
            </w:pPr>
            <w:r>
              <w:rPr>
                <w:rFonts w:ascii="Arial" w:eastAsia="Arial" w:hAnsi="Arial" w:cs="Arial"/>
                <w:color w:val="000000"/>
                <w:sz w:val="24"/>
                <w:szCs w:val="24"/>
              </w:rPr>
              <w:t xml:space="preserve">any activity, practice or conduct which would constitute one of the offences listed under (c) above if such activity, </w:t>
            </w:r>
            <w:proofErr w:type="gramStart"/>
            <w:r>
              <w:rPr>
                <w:rFonts w:ascii="Arial" w:eastAsia="Arial" w:hAnsi="Arial" w:cs="Arial"/>
                <w:color w:val="000000"/>
                <w:sz w:val="24"/>
                <w:szCs w:val="24"/>
              </w:rPr>
              <w:t>practice</w:t>
            </w:r>
            <w:proofErr w:type="gramEnd"/>
            <w:r>
              <w:rPr>
                <w:rFonts w:ascii="Arial" w:eastAsia="Arial" w:hAnsi="Arial" w:cs="Arial"/>
                <w:color w:val="000000"/>
                <w:sz w:val="24"/>
                <w:szCs w:val="24"/>
              </w:rPr>
              <w:t xml:space="preserve"> or conduct had been carried out in the UK;</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“Recall”</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"Recipient Party"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rsidR="00C232BB" w:rsidRDefault="00EE6336">
            <w:pPr>
              <w:numPr>
                <w:ilvl w:val="0"/>
                <w:numId w:val="30"/>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"Rectification Plan Process"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"Regulations"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updated from time to time (as the context requires);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C232BB" w:rsidRDefault="00EE6336">
            <w:pPr>
              <w:numPr>
                <w:ilvl w:val="0"/>
                <w:numId w:val="1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C232BB" w:rsidRDefault="00EE6336">
            <w:pPr>
              <w:numPr>
                <w:ilvl w:val="0"/>
                <w:numId w:val="2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1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C232BB" w:rsidRDefault="00EE6336">
            <w:pPr>
              <w:numPr>
                <w:ilvl w:val="0"/>
                <w:numId w:val="16"/>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rsidR="00C232BB" w:rsidRDefault="00EE6336">
            <w:pPr>
              <w:ind w:left="142"/>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all applicable Law relating to bribery, </w:t>
            </w:r>
            <w:proofErr w:type="gramStart"/>
            <w:r>
              <w:rPr>
                <w:rFonts w:ascii="Arial" w:eastAsia="Arial" w:hAnsi="Arial" w:cs="Arial"/>
                <w:color w:val="000000"/>
                <w:sz w:val="24"/>
                <w:szCs w:val="24"/>
              </w:rPr>
              <w:t>corruption</w:t>
            </w:r>
            <w:proofErr w:type="gramEnd"/>
            <w:r>
              <w:rPr>
                <w:rFonts w:ascii="Arial" w:eastAsia="Arial" w:hAnsi="Arial" w:cs="Arial"/>
                <w:color w:val="000000"/>
                <w:sz w:val="24"/>
                <w:szCs w:val="24"/>
              </w:rPr>
              <w:t xml:space="preserve"> and fraud, including the Bribery Act 2010 and any guidance issued by the Secretary of State pursuant to section 9 of the Bribery Act 2010;</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"Reminder Notice"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deliverables which are substantially similar to any of the Deliverables and which the Buyer receives in substitution for any of the Deliverables following the Call-Off Expiry Date, </w:t>
            </w:r>
            <w:r>
              <w:rPr>
                <w:rFonts w:ascii="Arial" w:eastAsia="Arial" w:hAnsi="Arial" w:cs="Arial"/>
                <w:color w:val="000000"/>
                <w:sz w:val="24"/>
                <w:szCs w:val="24"/>
              </w:rPr>
              <w:lastRenderedPageBreak/>
              <w:t>whether those goods are provided by the Buyer internally and/or by any third party;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"Replacement Subcontractor"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insurances required by Joint Schedule 3 (Insurance Requirements</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or any additional insurances specified in the Order Form;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w:t>
            </w:r>
            <w:proofErr w:type="gramStart"/>
            <w:r>
              <w:rPr>
                <w:rFonts w:ascii="Arial" w:eastAsia="Arial" w:hAnsi="Arial" w:cs="Arial"/>
                <w:color w:val="000000"/>
                <w:sz w:val="24"/>
                <w:szCs w:val="24"/>
              </w:rPr>
              <w:t>Milestone</w:t>
            </w:r>
            <w:proofErr w:type="gramEnd"/>
            <w:r>
              <w:rPr>
                <w:rFonts w:ascii="Arial" w:eastAsia="Arial" w:hAnsi="Arial" w:cs="Arial"/>
                <w:color w:val="000000"/>
                <w:sz w:val="24"/>
                <w:szCs w:val="24"/>
              </w:rPr>
              <w:t xml:space="preserve"> or a Test;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"Security Policy"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Buyer's security policy, referred to in the Order Form, in force as at the Call-Off Start Date (a copy of which has been supplied to the Supplier), as updated from time to </w:t>
            </w:r>
            <w:proofErr w:type="gramStart"/>
            <w:r>
              <w:rPr>
                <w:rFonts w:ascii="Arial" w:eastAsia="Arial" w:hAnsi="Arial" w:cs="Arial"/>
                <w:color w:val="000000"/>
                <w:sz w:val="24"/>
                <w:szCs w:val="24"/>
              </w:rPr>
              <w:t>time</w:t>
            </w:r>
            <w:proofErr w:type="gramEnd"/>
            <w:r>
              <w:rPr>
                <w:rFonts w:ascii="Arial" w:eastAsia="Arial" w:hAnsi="Arial" w:cs="Arial"/>
                <w:color w:val="000000"/>
                <w:sz w:val="24"/>
                <w:szCs w:val="24"/>
              </w:rPr>
              <w:t xml:space="preserve"> and notified to the Supplier;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Levels”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Deliverable made available to Buyers by the Supplier via the Catalogue;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“Service Offer Effective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when the Service Offer will be available to Buyers on the Catalogue;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 Expiry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the Service Offer will be/was removed from the Catalogue;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 Price Card”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means a list </w:t>
            </w:r>
            <w:proofErr w:type="gramStart"/>
            <w:r>
              <w:rPr>
                <w:rFonts w:ascii="Arial" w:eastAsia="Arial" w:hAnsi="Arial" w:cs="Arial"/>
                <w:color w:val="000000"/>
                <w:sz w:val="24"/>
                <w:szCs w:val="24"/>
              </w:rPr>
              <w:t>of  prices</w:t>
            </w:r>
            <w:proofErr w:type="gramEnd"/>
            <w:r>
              <w:rPr>
                <w:rFonts w:ascii="Arial" w:eastAsia="Arial" w:hAnsi="Arial" w:cs="Arial"/>
                <w:color w:val="000000"/>
                <w:sz w:val="24"/>
                <w:szCs w:val="24"/>
              </w:rPr>
              <w:t>, rates and other amounts for a specific Service Offer;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Offer Template”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template set out at Annex 1 to Part B of Framework Schedule 3 (Framework Prices);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Period"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"Service Transfer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"Sites"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ind w:left="142"/>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rsidR="00C232BB" w:rsidRDefault="00EE6336">
            <w:pPr>
              <w:numPr>
                <w:ilvl w:val="0"/>
                <w:numId w:val="1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Supplier manages, </w:t>
            </w:r>
            <w:proofErr w:type="gramStart"/>
            <w:r>
              <w:rPr>
                <w:rFonts w:ascii="Arial" w:eastAsia="Arial" w:hAnsi="Arial" w:cs="Arial"/>
                <w:color w:val="000000"/>
                <w:sz w:val="24"/>
                <w:szCs w:val="24"/>
              </w:rPr>
              <w:t>organises</w:t>
            </w:r>
            <w:proofErr w:type="gramEnd"/>
            <w:r>
              <w:rPr>
                <w:rFonts w:ascii="Arial" w:eastAsia="Arial" w:hAnsi="Arial" w:cs="Arial"/>
                <w:color w:val="000000"/>
                <w:sz w:val="24"/>
                <w:szCs w:val="24"/>
              </w:rPr>
              <w:t xml:space="preserve"> or otherwise directs the provision or the use of the Deliverables;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"SME"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"Special Terms"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"Specification"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"Standards"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w:t>
            </w:r>
          </w:p>
          <w:p w:rsidR="00C232BB" w:rsidRDefault="00EE6336">
            <w:pPr>
              <w:numPr>
                <w:ilvl w:val="0"/>
                <w:numId w:val="7"/>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w:t>
            </w:r>
            <w:r>
              <w:rPr>
                <w:rFonts w:ascii="Arial" w:eastAsia="Arial" w:hAnsi="Arial" w:cs="Arial"/>
                <w:color w:val="000000"/>
                <w:sz w:val="24"/>
                <w:szCs w:val="24"/>
              </w:rPr>
              <w:lastRenderedPageBreak/>
              <w:t xml:space="preserve">same type of industry or business sector as the Supplier would reasonably and ordinarily be expected to comply with; </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"Storage Media"</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C232BB" w:rsidRDefault="00EE6336">
            <w:pPr>
              <w:numPr>
                <w:ilvl w:val="0"/>
                <w:numId w:val="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rsidR="00C232BB" w:rsidRDefault="00EE6336">
            <w:pPr>
              <w:numPr>
                <w:ilvl w:val="0"/>
                <w:numId w:val="5"/>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is responsible for the management, </w:t>
            </w:r>
            <w:proofErr w:type="gramStart"/>
            <w:r>
              <w:rPr>
                <w:rFonts w:ascii="Arial" w:eastAsia="Arial" w:hAnsi="Arial" w:cs="Arial"/>
                <w:color w:val="000000"/>
                <w:sz w:val="24"/>
                <w:szCs w:val="24"/>
              </w:rPr>
              <w:t>direction</w:t>
            </w:r>
            <w:proofErr w:type="gramEnd"/>
            <w:r>
              <w:rPr>
                <w:rFonts w:ascii="Arial" w:eastAsia="Arial" w:hAnsi="Arial" w:cs="Arial"/>
                <w:color w:val="000000"/>
                <w:sz w:val="24"/>
                <w:szCs w:val="24"/>
              </w:rPr>
              <w:t xml:space="preserve"> or control of the provision of the Deliverables (or any part of them);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"Subcontractor"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Assets"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10"/>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information,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rsidR="00C232BB" w:rsidRDefault="00EE6336">
            <w:pPr>
              <w:numPr>
                <w:ilvl w:val="0"/>
                <w:numId w:val="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lastRenderedPageBreak/>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C232BB" w:rsidRDefault="00EE6336">
            <w:pPr>
              <w:numPr>
                <w:ilvl w:val="0"/>
                <w:numId w:val="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Supplier's hardware, computer and telecoms devices, equipment, plant, </w:t>
            </w:r>
            <w:proofErr w:type="gramStart"/>
            <w:r>
              <w:rPr>
                <w:rFonts w:ascii="Arial" w:eastAsia="Arial" w:hAnsi="Arial" w:cs="Arial"/>
                <w:color w:val="000000"/>
                <w:sz w:val="24"/>
                <w:szCs w:val="24"/>
              </w:rPr>
              <w:t>materials</w:t>
            </w:r>
            <w:proofErr w:type="gramEnd"/>
            <w:r>
              <w:rPr>
                <w:rFonts w:ascii="Arial" w:eastAsia="Arial" w:hAnsi="Arial" w:cs="Arial"/>
                <w:color w:val="000000"/>
                <w:sz w:val="24"/>
                <w:szCs w:val="24"/>
              </w:rPr>
              <w:t xml:space="preserve"> and such other items supplied and used by the Supplier (but not hired, leased or loaned from the Buyer) in the performance of its obligations under this Call-Off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rsidR="00C232BB" w:rsidRDefault="00EE6336">
            <w:pPr>
              <w:numPr>
                <w:ilvl w:val="0"/>
                <w:numId w:val="1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rsidR="00C232BB" w:rsidRDefault="00EE6336">
            <w:pPr>
              <w:numPr>
                <w:ilvl w:val="0"/>
                <w:numId w:val="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rsidR="00C232BB" w:rsidRDefault="00EE6336">
            <w:pPr>
              <w:numPr>
                <w:ilvl w:val="0"/>
                <w:numId w:val="8"/>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Prospectus”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means the written description of the Supplier’s functionality of the Deliverables and Supplier Staff and in the format as notified by the Authority to the Suppl</w:t>
            </w:r>
            <w:r>
              <w:rPr>
                <w:rFonts w:ascii="Arial" w:eastAsia="Arial" w:hAnsi="Arial" w:cs="Arial"/>
                <w:sz w:val="24"/>
                <w:szCs w:val="24"/>
              </w:rPr>
              <w:t>ier</w:t>
            </w:r>
            <w:r>
              <w:rPr>
                <w:rFonts w:ascii="Arial" w:eastAsia="Arial" w:hAnsi="Arial" w:cs="Arial"/>
                <w:color w:val="000000"/>
                <w:sz w:val="24"/>
                <w:szCs w:val="24"/>
              </w:rPr>
              <w:t>, as the same may be amended or updated from time to time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"Supplier Staff"</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contractors of the Supplier and/or of any Subcontractor engaged in the performance of the Supplier’s obligations under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"Supporting Documentation"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sufficient information in writing to enable the Buyer to reasonably assess whether the Charges, Reimbursable </w:t>
            </w:r>
            <w:proofErr w:type="gramStart"/>
            <w:r>
              <w:rPr>
                <w:rFonts w:ascii="Arial" w:eastAsia="Arial" w:hAnsi="Arial" w:cs="Arial"/>
                <w:color w:val="000000"/>
                <w:sz w:val="24"/>
                <w:szCs w:val="24"/>
              </w:rPr>
              <w:t>Expenses</w:t>
            </w:r>
            <w:proofErr w:type="gramEnd"/>
            <w:r>
              <w:rPr>
                <w:rFonts w:ascii="Arial" w:eastAsia="Arial" w:hAnsi="Arial" w:cs="Arial"/>
                <w:color w:val="000000"/>
                <w:sz w:val="24"/>
                <w:szCs w:val="24"/>
              </w:rPr>
              <w:t xml:space="preserve"> and other sums due from the Buyer under the Call-Off Contract detailed in the information are properly payable;</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“Tax”</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numPr>
                <w:ilvl w:val="0"/>
                <w:numId w:val="1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rsidR="00C232BB" w:rsidRDefault="00EE6336">
            <w:pPr>
              <w:numPr>
                <w:ilvl w:val="0"/>
                <w:numId w:val="1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rsidR="00C232BB" w:rsidRDefault="00EE6336">
            <w:pPr>
              <w:numPr>
                <w:ilvl w:val="0"/>
                <w:numId w:val="1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rsidR="00C232BB" w:rsidRDefault="00EE6336">
            <w:pPr>
              <w:numPr>
                <w:ilvl w:val="0"/>
                <w:numId w:val="12"/>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penalty, fine, surcharge, interest, </w:t>
            </w:r>
            <w:proofErr w:type="gramStart"/>
            <w:r>
              <w:rPr>
                <w:rFonts w:ascii="Arial" w:eastAsia="Arial" w:hAnsi="Arial" w:cs="Arial"/>
                <w:color w:val="000000"/>
                <w:sz w:val="24"/>
                <w:szCs w:val="24"/>
              </w:rPr>
              <w:t>charges</w:t>
            </w:r>
            <w:proofErr w:type="gramEnd"/>
            <w:r>
              <w:rPr>
                <w:rFonts w:ascii="Arial" w:eastAsia="Arial" w:hAnsi="Arial" w:cs="Arial"/>
                <w:color w:val="000000"/>
                <w:sz w:val="24"/>
                <w:szCs w:val="24"/>
              </w:rPr>
              <w:t xml:space="preserve"> or costs relating to any of the above,</w:t>
            </w:r>
          </w:p>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“TEM Provider”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means a Supplier appointed by CCS to provide telecoms expense management;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 Issue"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 Plan"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 plan:</w:t>
            </w:r>
          </w:p>
          <w:p w:rsidR="00C232BB" w:rsidRDefault="00EE6336">
            <w:pPr>
              <w:numPr>
                <w:ilvl w:val="0"/>
                <w:numId w:val="20"/>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rsidR="00C232BB" w:rsidRDefault="00EE6336">
            <w:pPr>
              <w:numPr>
                <w:ilvl w:val="0"/>
                <w:numId w:val="19"/>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"Tests "</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"Tested" and “Testing” shall be construed accordingly;</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"Third Party IPR"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“Time and Materials”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pricing mechanism whereby the Buyer agrees to pay the Supplier based upon the work performed by the Supplier’s employees and Sub-Contractors, and for materials used in </w:t>
            </w:r>
            <w:proofErr w:type="gramStart"/>
            <w:r>
              <w:rPr>
                <w:rFonts w:ascii="Arial" w:eastAsia="Arial" w:hAnsi="Arial" w:cs="Arial"/>
                <w:color w:val="000000"/>
                <w:sz w:val="24"/>
                <w:szCs w:val="24"/>
              </w:rPr>
              <w:t>the  project</w:t>
            </w:r>
            <w:proofErr w:type="gramEnd"/>
            <w:r>
              <w:rPr>
                <w:rFonts w:ascii="Arial" w:eastAsia="Arial" w:hAnsi="Arial" w:cs="Arial"/>
                <w:color w:val="000000"/>
                <w:sz w:val="24"/>
                <w:szCs w:val="24"/>
              </w:rPr>
              <w:t>, no matter how much work is required to complete the project;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"Transferring Supplier Employees"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C232BB" w:rsidRDefault="00EE6336">
            <w:pPr>
              <w:numPr>
                <w:ilvl w:val="0"/>
                <w:numId w:val="3"/>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any information which is exempt from disclosure in accordance with the provisions of the FOIA, which shall be determined by the Relevant Authority; and</w:t>
            </w:r>
          </w:p>
          <w:p w:rsidR="00C232BB" w:rsidRDefault="00EE6336">
            <w:pPr>
              <w:numPr>
                <w:ilvl w:val="0"/>
                <w:numId w:val="20"/>
              </w:numPr>
              <w:pBdr>
                <w:top w:val="nil"/>
                <w:left w:val="nil"/>
                <w:bottom w:val="nil"/>
                <w:right w:val="nil"/>
                <w:between w:val="nil"/>
              </w:pBdr>
              <w:tabs>
                <w:tab w:val="left" w:pos="-2316"/>
                <w:tab w:val="left" w:pos="-2100"/>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 Commercially Sensitive Information;</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 Form"</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"VAT"</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"VCSE"</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 xml:space="preserve">a non-governmental organisation that is value-driven and which principally reinvests its surpluses to further social, </w:t>
            </w:r>
            <w:proofErr w:type="gramStart"/>
            <w:r>
              <w:rPr>
                <w:rFonts w:ascii="Arial" w:eastAsia="Arial" w:hAnsi="Arial" w:cs="Arial"/>
                <w:color w:val="000000"/>
                <w:sz w:val="24"/>
                <w:szCs w:val="24"/>
              </w:rPr>
              <w:t>environmental</w:t>
            </w:r>
            <w:proofErr w:type="gramEnd"/>
            <w:r>
              <w:rPr>
                <w:rFonts w:ascii="Arial" w:eastAsia="Arial" w:hAnsi="Arial" w:cs="Arial"/>
                <w:color w:val="000000"/>
                <w:sz w:val="24"/>
                <w:szCs w:val="24"/>
              </w:rPr>
              <w:t xml:space="preserve"> or cultural objectives;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“Volume Discount(s)”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discounted price(s) applicable to purchases which exceed a Volume Discount Threshold;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“Volume Discount Threshold”</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has the meaning set out in paragraph 7 of Framework Schedule 3;</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"Worker"</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"Working Day"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t>"Work Day"</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C232BB">
        <w:tc>
          <w:tcPr>
            <w:tcW w:w="2268"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spacing w:after="120"/>
              <w:ind w:left="142"/>
              <w:rPr>
                <w:rFonts w:ascii="Arial" w:eastAsia="Arial" w:hAnsi="Arial" w:cs="Arial"/>
                <w:b/>
                <w:color w:val="000000"/>
                <w:sz w:val="24"/>
                <w:szCs w:val="24"/>
              </w:rPr>
            </w:pPr>
            <w:r>
              <w:rPr>
                <w:rFonts w:ascii="Arial" w:eastAsia="Arial" w:hAnsi="Arial" w:cs="Arial"/>
                <w:b/>
                <w:color w:val="000000"/>
                <w:sz w:val="24"/>
                <w:szCs w:val="24"/>
              </w:rPr>
              <w:lastRenderedPageBreak/>
              <w:t>"Work Hours"</w:t>
            </w:r>
          </w:p>
        </w:tc>
        <w:tc>
          <w:tcPr>
            <w:tcW w:w="6663" w:type="dxa"/>
            <w:tcBorders>
              <w:top w:val="single" w:sz="4" w:space="0" w:color="000000"/>
              <w:left w:val="single" w:sz="4" w:space="0" w:color="000000"/>
              <w:bottom w:val="single" w:sz="4" w:space="0" w:color="000000"/>
              <w:right w:val="single" w:sz="4" w:space="0" w:color="000000"/>
            </w:tcBorders>
          </w:tcPr>
          <w:p w:rsidR="00C232BB" w:rsidRDefault="00EE6336">
            <w:pPr>
              <w:pBdr>
                <w:top w:val="nil"/>
                <w:left w:val="nil"/>
                <w:bottom w:val="nil"/>
                <w:right w:val="nil"/>
                <w:between w:val="nil"/>
              </w:pBdr>
              <w:tabs>
                <w:tab w:val="left" w:pos="-179"/>
              </w:tabs>
              <w:spacing w:after="120"/>
              <w:ind w:left="142"/>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rsidR="00C232BB" w:rsidRDefault="00C232BB">
      <w:pPr>
        <w:spacing w:after="0" w:line="240" w:lineRule="auto"/>
        <w:ind w:left="142"/>
        <w:rPr>
          <w:rFonts w:ascii="Arial" w:eastAsia="Arial" w:hAnsi="Arial" w:cs="Arial"/>
          <w:sz w:val="24"/>
          <w:szCs w:val="24"/>
        </w:rPr>
      </w:pPr>
      <w:bookmarkStart w:id="5" w:name="_heading=h.gjdgxs" w:colFirst="0" w:colLast="0"/>
      <w:bookmarkEnd w:id="5"/>
    </w:p>
    <w:sectPr w:rsidR="00C232BB">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6336" w:rsidRDefault="00EE6336">
      <w:pPr>
        <w:spacing w:after="0" w:line="240" w:lineRule="auto"/>
      </w:pPr>
      <w:r>
        <w:separator/>
      </w:r>
    </w:p>
  </w:endnote>
  <w:endnote w:type="continuationSeparator" w:id="0">
    <w:p w:rsidR="00EE6336" w:rsidRDefault="00EE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Tahoma">
    <w:panose1 w:val="020B0604030504040204"/>
    <w:charset w:val="00"/>
    <w:family w:val="roman"/>
    <w:notTrueType/>
    <w:pitch w:val="default"/>
  </w:font>
  <w:font w:name="Arial Bold">
    <w:panose1 w:val="020B0704020202020204"/>
    <w:charset w:val="00"/>
    <w:family w:val="roman"/>
    <w:notTrueType/>
    <w:pitch w:val="default"/>
  </w:font>
  <w:font w:name="STZhongsong">
    <w:panose1 w:val="00000000000000000000"/>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32BB" w:rsidRDefault="00EE633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rsidR="00C232BB" w:rsidRDefault="00EE63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w:t>
    </w:r>
    <w:r w:rsidR="000774EE">
      <w:rPr>
        <w:rFonts w:ascii="Arial" w:eastAsia="Arial" w:hAnsi="Arial" w:cs="Arial"/>
        <w:color w:val="000000"/>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774EE">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232BB" w:rsidRDefault="00EE6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32BB" w:rsidRDefault="00EE6336">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C232BB" w:rsidRDefault="00EE6336">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C232BB" w:rsidRDefault="00EE63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6336" w:rsidRDefault="00EE6336">
      <w:pPr>
        <w:spacing w:after="0" w:line="240" w:lineRule="auto"/>
      </w:pPr>
      <w:r>
        <w:separator/>
      </w:r>
    </w:p>
  </w:footnote>
  <w:footnote w:type="continuationSeparator" w:id="0">
    <w:p w:rsidR="00EE6336" w:rsidRDefault="00EE6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32BB" w:rsidRDefault="00EE633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rsidR="00C232BB" w:rsidRDefault="00EE6336">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w:t>
    </w:r>
    <w:r>
      <w:rPr>
        <w:rFonts w:ascii="Arial" w:eastAsia="Arial" w:hAnsi="Arial" w:cs="Arial"/>
        <w:sz w:val="20"/>
        <w:szCs w:val="20"/>
      </w:rPr>
      <w:t>22</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32BB" w:rsidRDefault="00EE6336">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rsidR="00C232BB" w:rsidRDefault="00EE6336">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474"/>
    <w:multiLevelType w:val="multilevel"/>
    <w:tmpl w:val="52D060D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 w15:restartNumberingAfterBreak="0">
    <w:nsid w:val="0DB46A79"/>
    <w:multiLevelType w:val="multilevel"/>
    <w:tmpl w:val="D5A2248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10BA57C7"/>
    <w:multiLevelType w:val="multilevel"/>
    <w:tmpl w:val="799E068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16865587"/>
    <w:multiLevelType w:val="multilevel"/>
    <w:tmpl w:val="A814A67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185B1DD2"/>
    <w:multiLevelType w:val="multilevel"/>
    <w:tmpl w:val="73F2A59A"/>
    <w:lvl w:ilvl="0">
      <w:start w:val="1"/>
      <w:numFmt w:val="lowerLetter"/>
      <w:pStyle w:val="ORDERFORML1PraraNo"/>
      <w:lvlText w:val="%1)"/>
      <w:lvlJc w:val="left"/>
      <w:pPr>
        <w:ind w:left="432" w:hanging="262"/>
      </w:pPr>
      <w:rPr>
        <w:sz w:val="22"/>
        <w:szCs w:val="22"/>
      </w:rPr>
    </w:lvl>
    <w:lvl w:ilvl="1">
      <w:start w:val="1"/>
      <w:numFmt w:val="lowerLetter"/>
      <w:pStyle w:val="ORDERFORML2Titl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 w15:restartNumberingAfterBreak="0">
    <w:nsid w:val="192D1A42"/>
    <w:multiLevelType w:val="multilevel"/>
    <w:tmpl w:val="245E750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 w15:restartNumberingAfterBreak="0">
    <w:nsid w:val="1DC53A80"/>
    <w:multiLevelType w:val="multilevel"/>
    <w:tmpl w:val="EAFC872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1FA93F2E"/>
    <w:multiLevelType w:val="multilevel"/>
    <w:tmpl w:val="EE22359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 w15:restartNumberingAfterBreak="0">
    <w:nsid w:val="20B73863"/>
    <w:multiLevelType w:val="multilevel"/>
    <w:tmpl w:val="F316168E"/>
    <w:lvl w:ilvl="0">
      <w:start w:val="1"/>
      <w:numFmt w:val="decimal"/>
      <w:pStyle w:val="GPSDefinitionL4"/>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9421619"/>
    <w:multiLevelType w:val="multilevel"/>
    <w:tmpl w:val="C38EBDD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2A111309"/>
    <w:multiLevelType w:val="multilevel"/>
    <w:tmpl w:val="F6CA6DA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 w15:restartNumberingAfterBreak="0">
    <w:nsid w:val="2C4351B6"/>
    <w:multiLevelType w:val="multilevel"/>
    <w:tmpl w:val="F086F04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2E616DB7"/>
    <w:multiLevelType w:val="multilevel"/>
    <w:tmpl w:val="952E997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3" w15:restartNumberingAfterBreak="0">
    <w:nsid w:val="31942AD3"/>
    <w:multiLevelType w:val="multilevel"/>
    <w:tmpl w:val="5A48CDE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4" w15:restartNumberingAfterBreak="0">
    <w:nsid w:val="33760463"/>
    <w:multiLevelType w:val="multilevel"/>
    <w:tmpl w:val="02560D6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 w15:restartNumberingAfterBreak="0">
    <w:nsid w:val="35EB3E05"/>
    <w:multiLevelType w:val="multilevel"/>
    <w:tmpl w:val="F6D4E7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8234577"/>
    <w:multiLevelType w:val="multilevel"/>
    <w:tmpl w:val="2F567BD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 w15:restartNumberingAfterBreak="0">
    <w:nsid w:val="411C174B"/>
    <w:multiLevelType w:val="multilevel"/>
    <w:tmpl w:val="AE26983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29D4376"/>
    <w:multiLevelType w:val="multilevel"/>
    <w:tmpl w:val="AD7273D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9" w15:restartNumberingAfterBreak="0">
    <w:nsid w:val="46B142E2"/>
    <w:multiLevelType w:val="multilevel"/>
    <w:tmpl w:val="2FC0659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46BE217A"/>
    <w:multiLevelType w:val="multilevel"/>
    <w:tmpl w:val="DD4EB16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 w15:restartNumberingAfterBreak="0">
    <w:nsid w:val="483013B9"/>
    <w:multiLevelType w:val="multilevel"/>
    <w:tmpl w:val="A6F4685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5525239F"/>
    <w:multiLevelType w:val="multilevel"/>
    <w:tmpl w:val="880A696A"/>
    <w:lvl w:ilvl="0">
      <w:start w:val="1"/>
      <w:numFmt w:val="lowerLetter"/>
      <w:pStyle w:val="GPSL2GuidanceNumbered"/>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3" w15:restartNumberingAfterBreak="0">
    <w:nsid w:val="58B14E77"/>
    <w:multiLevelType w:val="multilevel"/>
    <w:tmpl w:val="EA26421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58E75D29"/>
    <w:multiLevelType w:val="multilevel"/>
    <w:tmpl w:val="6A80118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66319E"/>
    <w:multiLevelType w:val="multilevel"/>
    <w:tmpl w:val="50B001B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6" w15:restartNumberingAfterBreak="0">
    <w:nsid w:val="62366B2A"/>
    <w:multiLevelType w:val="multilevel"/>
    <w:tmpl w:val="D3F8667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74A077CE"/>
    <w:multiLevelType w:val="multilevel"/>
    <w:tmpl w:val="B4D010CE"/>
    <w:lvl w:ilvl="0">
      <w:start w:val="1"/>
      <w:numFmt w:val="lowerLetter"/>
      <w:pStyle w:val="GPSL1CLAUSEHEADING"/>
      <w:lvlText w:val="%1)"/>
      <w:lvlJc w:val="left"/>
      <w:pPr>
        <w:ind w:left="432" w:hanging="262"/>
      </w:pPr>
      <w:rPr>
        <w:sz w:val="22"/>
        <w:szCs w:val="22"/>
      </w:rPr>
    </w:lvl>
    <w:lvl w:ilvl="1">
      <w:start w:val="1"/>
      <w:numFmt w:val="lowerLetter"/>
      <w:pStyle w:val="GPSL2numberedclaus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GPSL3numberedclause"/>
      <w:lvlText w:val="%3)"/>
      <w:lvlJc w:val="left"/>
      <w:pPr>
        <w:ind w:left="1250" w:hanging="360"/>
      </w:pPr>
      <w:rPr>
        <w:rFonts w:ascii="Arial" w:eastAsia="Arial" w:hAnsi="Arial" w:cs="Arial"/>
        <w:sz w:val="22"/>
        <w:szCs w:val="22"/>
      </w:rPr>
    </w:lvl>
    <w:lvl w:ilvl="3">
      <w:start w:val="1"/>
      <w:numFmt w:val="decimal"/>
      <w:pStyle w:val="GPSL4numberedclause"/>
      <w:lvlText w:val="(%4)"/>
      <w:lvlJc w:val="left"/>
      <w:pPr>
        <w:ind w:left="1610" w:hanging="360"/>
      </w:pPr>
    </w:lvl>
    <w:lvl w:ilvl="4">
      <w:start w:val="1"/>
      <w:numFmt w:val="lowerLetter"/>
      <w:pStyle w:val="GPSL5numberedclause"/>
      <w:lvlText w:val="(%5)"/>
      <w:lvlJc w:val="left"/>
      <w:pPr>
        <w:ind w:left="1970" w:hanging="360"/>
      </w:pPr>
    </w:lvl>
    <w:lvl w:ilvl="5">
      <w:start w:val="1"/>
      <w:numFmt w:val="lowerRoman"/>
      <w:pStyle w:val="GPSL6numbered"/>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 w15:restartNumberingAfterBreak="0">
    <w:nsid w:val="7A735C4B"/>
    <w:multiLevelType w:val="multilevel"/>
    <w:tmpl w:val="F912D7F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 w15:restartNumberingAfterBreak="0">
    <w:nsid w:val="7C9D5FF9"/>
    <w:multiLevelType w:val="multilevel"/>
    <w:tmpl w:val="5024CEA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0" w15:restartNumberingAfterBreak="0">
    <w:nsid w:val="7F1D40B5"/>
    <w:multiLevelType w:val="multilevel"/>
    <w:tmpl w:val="1E0E4BE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1" w15:restartNumberingAfterBreak="0">
    <w:nsid w:val="7FCA3A11"/>
    <w:multiLevelType w:val="multilevel"/>
    <w:tmpl w:val="9EAA86E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num w:numId="1" w16cid:durableId="522548990">
    <w:abstractNumId w:val="8"/>
  </w:num>
  <w:num w:numId="2" w16cid:durableId="1789815392">
    <w:abstractNumId w:val="24"/>
  </w:num>
  <w:num w:numId="3" w16cid:durableId="555623124">
    <w:abstractNumId w:val="22"/>
  </w:num>
  <w:num w:numId="4" w16cid:durableId="274561578">
    <w:abstractNumId w:val="14"/>
  </w:num>
  <w:num w:numId="5" w16cid:durableId="119613424">
    <w:abstractNumId w:val="27"/>
  </w:num>
  <w:num w:numId="6" w16cid:durableId="237831037">
    <w:abstractNumId w:val="4"/>
  </w:num>
  <w:num w:numId="7" w16cid:durableId="469246720">
    <w:abstractNumId w:val="20"/>
  </w:num>
  <w:num w:numId="8" w16cid:durableId="898175598">
    <w:abstractNumId w:val="18"/>
  </w:num>
  <w:num w:numId="9" w16cid:durableId="332101497">
    <w:abstractNumId w:val="7"/>
  </w:num>
  <w:num w:numId="10" w16cid:durableId="1609116334">
    <w:abstractNumId w:val="5"/>
  </w:num>
  <w:num w:numId="11" w16cid:durableId="1455556764">
    <w:abstractNumId w:val="17"/>
  </w:num>
  <w:num w:numId="12" w16cid:durableId="577709321">
    <w:abstractNumId w:val="16"/>
  </w:num>
  <w:num w:numId="13" w16cid:durableId="563416939">
    <w:abstractNumId w:val="6"/>
  </w:num>
  <w:num w:numId="14" w16cid:durableId="1100029362">
    <w:abstractNumId w:val="21"/>
  </w:num>
  <w:num w:numId="15" w16cid:durableId="919603214">
    <w:abstractNumId w:val="29"/>
  </w:num>
  <w:num w:numId="16" w16cid:durableId="504591044">
    <w:abstractNumId w:val="13"/>
  </w:num>
  <w:num w:numId="17" w16cid:durableId="1191145526">
    <w:abstractNumId w:val="25"/>
  </w:num>
  <w:num w:numId="18" w16cid:durableId="918441245">
    <w:abstractNumId w:val="15"/>
  </w:num>
  <w:num w:numId="19" w16cid:durableId="632757510">
    <w:abstractNumId w:val="3"/>
  </w:num>
  <w:num w:numId="20" w16cid:durableId="1441298752">
    <w:abstractNumId w:val="9"/>
  </w:num>
  <w:num w:numId="21" w16cid:durableId="216551800">
    <w:abstractNumId w:val="28"/>
  </w:num>
  <w:num w:numId="22" w16cid:durableId="1445226796">
    <w:abstractNumId w:val="23"/>
  </w:num>
  <w:num w:numId="23" w16cid:durableId="1039433153">
    <w:abstractNumId w:val="0"/>
  </w:num>
  <w:num w:numId="24" w16cid:durableId="1623806927">
    <w:abstractNumId w:val="11"/>
  </w:num>
  <w:num w:numId="25" w16cid:durableId="1580092078">
    <w:abstractNumId w:val="2"/>
  </w:num>
  <w:num w:numId="26" w16cid:durableId="1075321084">
    <w:abstractNumId w:val="10"/>
  </w:num>
  <w:num w:numId="27" w16cid:durableId="1514228111">
    <w:abstractNumId w:val="31"/>
  </w:num>
  <w:num w:numId="28" w16cid:durableId="1615746067">
    <w:abstractNumId w:val="1"/>
  </w:num>
  <w:num w:numId="29" w16cid:durableId="871041969">
    <w:abstractNumId w:val="26"/>
  </w:num>
  <w:num w:numId="30" w16cid:durableId="493111812">
    <w:abstractNumId w:val="19"/>
  </w:num>
  <w:num w:numId="31" w16cid:durableId="1387486436">
    <w:abstractNumId w:val="30"/>
  </w:num>
  <w:num w:numId="32" w16cid:durableId="1036587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2BB"/>
    <w:rsid w:val="000774EE"/>
    <w:rsid w:val="005616C8"/>
    <w:rsid w:val="00C232BB"/>
    <w:rsid w:val="00EE6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59700-9D79-413C-B0B0-E0178B6C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3"/>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5"/>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eastAsia="Times New Roman"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eastAsia="Times New Roman" w:cs="Arial"/>
      <w:lang w:eastAsia="zh-CN"/>
    </w:rPr>
  </w:style>
  <w:style w:type="paragraph" w:customStyle="1" w:styleId="ORDERFORML1PraraNo">
    <w:name w:val="ORDER FORM L1 Prara No"/>
    <w:basedOn w:val="Normal"/>
    <w:qFormat/>
    <w:pPr>
      <w:numPr>
        <w:numId w:val="6"/>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6"/>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eastAsia="Times New Roman" w:cs="Arial"/>
      <w:lang w:eastAsia="zh-CN"/>
    </w:rPr>
  </w:style>
  <w:style w:type="character" w:customStyle="1" w:styleId="GPSL5numberedclauseChar">
    <w:name w:val="GPS L5 numbered clause Char"/>
    <w:link w:val="GPSL5numberedclause"/>
    <w:rPr>
      <w:rFonts w:eastAsia="Times New Roman"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qyheL+q4qYW3HX7RvtcMmIThkQ==">AMUW2mVSE7yibCIL2llcktzRcK9ZktIYG6IbGfTKDqrsHkHjRud9i3mTmkTWbL+iUE4yitPKKgSY/F1jT9CK6aic1du4tHOgZmE9ijpYe/q3y9oKCDKIqtYP2Y+N5+/ivBn0Yx1I3iYCWdW8ndBadgQrsLPTMDd2aqX9sSh07hHXl7uR5l9HhcxKcQQoKJdAuPiT08E0WY6m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9814</Words>
  <Characters>55944</Characters>
  <Application>Microsoft Office Word</Application>
  <DocSecurity>0</DocSecurity>
  <Lines>466</Lines>
  <Paragraphs>131</Paragraphs>
  <ScaleCrop>false</ScaleCrop>
  <Company/>
  <LinksUpToDate>false</LinksUpToDate>
  <CharactersWithSpaces>65627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Laurence Gregory</cp:lastModifiedBy>
  <cp:revision>2</cp:revision>
  <dcterms:created xsi:type="dcterms:W3CDTF">2024-05-15T15:06:00Z</dcterms:created>
  <dcterms:modified xsi:type="dcterms:W3CDTF">2024-05-15T15:06:00Z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