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A6A983B" w:rsidR="00A57128" w:rsidRPr="007E0083" w:rsidRDefault="00A57128" w:rsidP="00EE71A2">
      <w:pPr>
        <w:pStyle w:val="Heading1"/>
      </w:pPr>
      <w:r w:rsidRPr="007E0083">
        <w:t>Title:</w:t>
      </w:r>
      <w:r w:rsidR="008147AC">
        <w:t xml:space="preserve"> Taking Teaching Further Evaluation </w:t>
      </w:r>
    </w:p>
    <w:p w14:paraId="2B434E3D" w14:textId="73DA40DB" w:rsidR="00A57128" w:rsidRPr="007E0083" w:rsidRDefault="00A57128" w:rsidP="00A57128">
      <w:pPr>
        <w:rPr>
          <w:b/>
        </w:rPr>
      </w:pPr>
      <w:r w:rsidRPr="007E0083">
        <w:rPr>
          <w:b/>
        </w:rPr>
        <w:t xml:space="preserve">Project reference: </w:t>
      </w:r>
      <w:r w:rsidR="00294799">
        <w:rPr>
          <w:b/>
        </w:rPr>
        <w:t>DFERPPU/2018077</w:t>
      </w:r>
    </w:p>
    <w:p w14:paraId="501D40E4" w14:textId="6CB0E4C4" w:rsidR="00A57128" w:rsidRPr="007E0083" w:rsidRDefault="00A57128" w:rsidP="00A57128">
      <w:pPr>
        <w:rPr>
          <w:b/>
        </w:rPr>
      </w:pPr>
      <w:r w:rsidRPr="007E0083">
        <w:rPr>
          <w:b/>
        </w:rPr>
        <w:t>Deadline for expressions of interest:</w:t>
      </w:r>
      <w:r w:rsidR="008147AC">
        <w:rPr>
          <w:b/>
        </w:rPr>
        <w:t xml:space="preserve"> </w:t>
      </w:r>
      <w:r w:rsidR="00294799">
        <w:rPr>
          <w:b/>
        </w:rPr>
        <w:t xml:space="preserve">Tuesday </w:t>
      </w:r>
      <w:r w:rsidR="002A601D">
        <w:rPr>
          <w:b/>
        </w:rPr>
        <w:t>15</w:t>
      </w:r>
      <w:r w:rsidR="008147AC" w:rsidRPr="008147AC">
        <w:rPr>
          <w:b/>
          <w:vertAlign w:val="superscript"/>
        </w:rPr>
        <w:t>th</w:t>
      </w:r>
      <w:r w:rsidR="008147AC">
        <w:rPr>
          <w:b/>
        </w:rPr>
        <w:t xml:space="preserve"> Jan</w:t>
      </w:r>
      <w:r w:rsidR="00294799">
        <w:rPr>
          <w:b/>
        </w:rPr>
        <w:t xml:space="preserve"> 2019, 1pm</w:t>
      </w:r>
    </w:p>
    <w:p w14:paraId="0CFBF484" w14:textId="184FA1CF" w:rsidR="00A57128" w:rsidRPr="001F2CE2" w:rsidRDefault="00A57128" w:rsidP="001F2CE2">
      <w:pPr>
        <w:pStyle w:val="Heading2"/>
      </w:pPr>
      <w:r w:rsidRPr="001F2CE2">
        <w:t>Summary</w:t>
      </w:r>
    </w:p>
    <w:p w14:paraId="7984ADEC" w14:textId="3B71784B" w:rsidR="00564FD8" w:rsidRPr="002C4629" w:rsidRDefault="00564FD8" w:rsidP="00564FD8">
      <w:pPr>
        <w:rPr>
          <w:szCs w:val="22"/>
        </w:rPr>
      </w:pPr>
      <w:r w:rsidRPr="003E05F9">
        <w:rPr>
          <w:szCs w:val="22"/>
        </w:rPr>
        <w:t>Expressions of interest are sought</w:t>
      </w:r>
      <w:r>
        <w:rPr>
          <w:szCs w:val="22"/>
        </w:rPr>
        <w:t xml:space="preserve"> to undertake an evaluation of the Taking Teacher Fu</w:t>
      </w:r>
      <w:r w:rsidR="00807991">
        <w:rPr>
          <w:szCs w:val="22"/>
        </w:rPr>
        <w:t>r</w:t>
      </w:r>
      <w:r>
        <w:rPr>
          <w:szCs w:val="22"/>
        </w:rPr>
        <w:t xml:space="preserve">ther Programme between </w:t>
      </w:r>
      <w:r w:rsidR="00C641F4">
        <w:rPr>
          <w:szCs w:val="22"/>
        </w:rPr>
        <w:t>20</w:t>
      </w:r>
      <w:r>
        <w:rPr>
          <w:szCs w:val="22"/>
        </w:rPr>
        <w:t>1</w:t>
      </w:r>
      <w:r w:rsidR="00807991">
        <w:rPr>
          <w:szCs w:val="22"/>
        </w:rPr>
        <w:t>8</w:t>
      </w:r>
      <w:r>
        <w:rPr>
          <w:szCs w:val="22"/>
        </w:rPr>
        <w:t>-</w:t>
      </w:r>
      <w:r w:rsidRPr="00992BC4">
        <w:rPr>
          <w:szCs w:val="22"/>
        </w:rPr>
        <w:t>1</w:t>
      </w:r>
      <w:r w:rsidR="00807991">
        <w:rPr>
          <w:szCs w:val="22"/>
        </w:rPr>
        <w:t>9</w:t>
      </w:r>
      <w:r>
        <w:rPr>
          <w:szCs w:val="22"/>
        </w:rPr>
        <w:t xml:space="preserve"> and </w:t>
      </w:r>
      <w:r w:rsidR="00C641F4">
        <w:rPr>
          <w:szCs w:val="22"/>
        </w:rPr>
        <w:t>20</w:t>
      </w:r>
      <w:r>
        <w:rPr>
          <w:szCs w:val="22"/>
        </w:rPr>
        <w:t xml:space="preserve">20-21. </w:t>
      </w:r>
    </w:p>
    <w:p w14:paraId="0BF9ADD3" w14:textId="1A5D6761" w:rsidR="00A57128" w:rsidRDefault="00A57128" w:rsidP="001F2CE2">
      <w:pPr>
        <w:pStyle w:val="Heading2"/>
      </w:pPr>
      <w:r>
        <w:t>Background</w:t>
      </w:r>
    </w:p>
    <w:p w14:paraId="056A1AFF" w14:textId="31938B43" w:rsidR="00B9305E" w:rsidRPr="00B9305E" w:rsidRDefault="00B9305E" w:rsidP="00916F2B">
      <w:pPr>
        <w:rPr>
          <w:b/>
        </w:rPr>
      </w:pPr>
      <w:r w:rsidRPr="00B9305E">
        <w:t>The Taking Teacher Further programme is a national initiative to attract experienced industry professionals with expert technical knowledge and skills to work in Further Education</w:t>
      </w:r>
      <w:r w:rsidR="00A2427B">
        <w:t xml:space="preserve"> (FE)</w:t>
      </w:r>
      <w:r w:rsidRPr="00B9305E">
        <w:t xml:space="preserve">. The programme is initially running for two years to pilot how to </w:t>
      </w:r>
      <w:r w:rsidR="00C641F4">
        <w:t xml:space="preserve">most </w:t>
      </w:r>
      <w:r w:rsidRPr="00B9305E">
        <w:t xml:space="preserve">effectively encourage and support experienced industry professionals from key sectors into full or part time FE teaching roles.  The programme will also support the ongoing exchange between FE providers and industry so that </w:t>
      </w:r>
      <w:r w:rsidR="00ED0BB5">
        <w:t>learners</w:t>
      </w:r>
      <w:r w:rsidR="00ED0BB5" w:rsidRPr="00B9305E">
        <w:t xml:space="preserve"> </w:t>
      </w:r>
      <w:r w:rsidRPr="00B9305E">
        <w:t>can gain the knowledge and skills that employers need.</w:t>
      </w:r>
    </w:p>
    <w:p w14:paraId="08144778" w14:textId="01623FBA" w:rsidR="00B9305E" w:rsidRDefault="00B9305E" w:rsidP="00916F2B">
      <w:pPr>
        <w:rPr>
          <w:b/>
        </w:rPr>
      </w:pPr>
      <w:r w:rsidRPr="00B9305E">
        <w:t xml:space="preserve">The programme is divided into two strands: one to provide financial support for up to 150 industry </w:t>
      </w:r>
      <w:r w:rsidR="00A2427B">
        <w:t>professionals</w:t>
      </w:r>
      <w:r w:rsidR="00A2427B" w:rsidRPr="00B9305E">
        <w:t xml:space="preserve"> </w:t>
      </w:r>
      <w:r w:rsidRPr="00B9305E">
        <w:t xml:space="preserve">to become FE teachers, covering the course </w:t>
      </w:r>
      <w:r>
        <w:t>co</w:t>
      </w:r>
      <w:r w:rsidRPr="00B9305E">
        <w:t xml:space="preserve">sts of teacher training as well as support and mentoring; and another </w:t>
      </w:r>
      <w:r w:rsidR="00C641F4">
        <w:t xml:space="preserve">strand </w:t>
      </w:r>
      <w:r w:rsidRPr="00B9305E">
        <w:t>to support up to 40 innovative and scalable projects that help develop local partnerships and collaborations.</w:t>
      </w:r>
    </w:p>
    <w:p w14:paraId="75650EAA" w14:textId="49D81C31" w:rsidR="00916F2B" w:rsidRDefault="00916F2B" w:rsidP="00916F2B">
      <w:r>
        <w:t xml:space="preserve">Allocations for the first round completed in September 2018, with 26 </w:t>
      </w:r>
      <w:r w:rsidR="00A2427B">
        <w:t xml:space="preserve">FE </w:t>
      </w:r>
      <w:r>
        <w:t xml:space="preserve">providers given the ‘go ahead’ to fill 80 ITE places (although only 50 teachers are expected to complete because of vacancies going unfilled and attrition) and 20 collaboration projects. New recruits are to be in post and projects to commence before the end of the 18-19 financial year. </w:t>
      </w:r>
    </w:p>
    <w:p w14:paraId="1DF8BAFB" w14:textId="3984C3EB" w:rsidR="00916F2B" w:rsidRDefault="00916F2B" w:rsidP="00916F2B">
      <w:r>
        <w:t>Applications for the second round will open i</w:t>
      </w:r>
      <w:r w:rsidR="00ED0BB5">
        <w:t>mminently</w:t>
      </w:r>
      <w:r>
        <w:t xml:space="preserve">, with collaboration projects expected to start from April 2019 and new ITE trainees expected in post from September 2019. </w:t>
      </w:r>
    </w:p>
    <w:p w14:paraId="53162B01" w14:textId="313372D3" w:rsidR="00B9305E" w:rsidRDefault="00ED0BB5" w:rsidP="00916F2B">
      <w:r>
        <w:t xml:space="preserve">The </w:t>
      </w:r>
      <w:proofErr w:type="spellStart"/>
      <w:r>
        <w:t>Eduction</w:t>
      </w:r>
      <w:proofErr w:type="spellEnd"/>
      <w:r>
        <w:t xml:space="preserve"> and Trainin</w:t>
      </w:r>
      <w:r w:rsidR="00D87EC8">
        <w:t>g</w:t>
      </w:r>
      <w:r>
        <w:t xml:space="preserve"> Foundation (ETF) are </w:t>
      </w:r>
      <w:r w:rsidR="00A2427B">
        <w:t xml:space="preserve">delivering and </w:t>
      </w:r>
      <w:r>
        <w:t xml:space="preserve">monitoring the programme on behalf of the Department for Education (DfE). </w:t>
      </w:r>
      <w:r w:rsidR="00B9305E">
        <w:t xml:space="preserve">More information can be found </w:t>
      </w:r>
      <w:hyperlink r:id="rId14" w:history="1">
        <w:r w:rsidR="00B9305E" w:rsidRPr="00B9305E">
          <w:rPr>
            <w:rStyle w:val="Hyperlink"/>
            <w:sz w:val="22"/>
          </w:rPr>
          <w:t>here</w:t>
        </w:r>
      </w:hyperlink>
      <w:r w:rsidR="00B9305E">
        <w:t xml:space="preserve">. </w:t>
      </w:r>
    </w:p>
    <w:p w14:paraId="2DA3BB87" w14:textId="07682E48" w:rsidR="00A57128" w:rsidRDefault="00A57128" w:rsidP="00B9305E">
      <w:pPr>
        <w:pStyle w:val="Heading2"/>
      </w:pPr>
      <w:r w:rsidRPr="003E05F9">
        <w:lastRenderedPageBreak/>
        <w:t>Evaluation aims</w:t>
      </w:r>
    </w:p>
    <w:p w14:paraId="402D5CE7" w14:textId="4CBFF61C" w:rsidR="004A600B" w:rsidRDefault="009A55A9" w:rsidP="004A600B">
      <w:r>
        <w:t xml:space="preserve">The evaluation will </w:t>
      </w:r>
      <w:r w:rsidR="006E267E">
        <w:t xml:space="preserve">treat the two strands separately. Research questions for each strand include: </w:t>
      </w:r>
    </w:p>
    <w:p w14:paraId="1527DEB1" w14:textId="3CEF59EB" w:rsidR="006E267E" w:rsidRDefault="006E267E" w:rsidP="00E26818">
      <w:pPr>
        <w:pStyle w:val="Heading4"/>
      </w:pPr>
      <w:r>
        <w:t>Strand 1: Teacher Training Support</w:t>
      </w:r>
    </w:p>
    <w:p w14:paraId="72976152" w14:textId="034EB74E" w:rsidR="006E267E" w:rsidRPr="00181DAC" w:rsidRDefault="006E267E" w:rsidP="00BD2CA6">
      <w:pPr>
        <w:pStyle w:val="ListParagraph"/>
        <w:numPr>
          <w:ilvl w:val="0"/>
          <w:numId w:val="24"/>
        </w:numPr>
        <w:spacing w:after="160" w:line="259" w:lineRule="auto"/>
        <w:rPr>
          <w:rFonts w:cs="Arial"/>
          <w:color w:val="000000" w:themeColor="text1"/>
        </w:rPr>
      </w:pPr>
      <w:r w:rsidRPr="00181DAC">
        <w:rPr>
          <w:rFonts w:cs="Arial"/>
          <w:color w:val="000000" w:themeColor="text1"/>
        </w:rPr>
        <w:t xml:space="preserve">Does it </w:t>
      </w:r>
      <w:r w:rsidR="00CE1523">
        <w:rPr>
          <w:rFonts w:cs="Arial"/>
          <w:color w:val="000000" w:themeColor="text1"/>
        </w:rPr>
        <w:t>assist providers to fill vacancies</w:t>
      </w:r>
      <w:r w:rsidRPr="00181DAC">
        <w:rPr>
          <w:rFonts w:cs="Arial"/>
          <w:color w:val="000000" w:themeColor="text1"/>
        </w:rPr>
        <w:t xml:space="preserve">? </w:t>
      </w:r>
    </w:p>
    <w:p w14:paraId="4A806055" w14:textId="51852884" w:rsidR="006E267E" w:rsidRPr="006E267E" w:rsidRDefault="006E267E" w:rsidP="00BD2CA6">
      <w:pPr>
        <w:pStyle w:val="ListParagraph"/>
        <w:numPr>
          <w:ilvl w:val="0"/>
          <w:numId w:val="24"/>
        </w:numPr>
        <w:spacing w:after="120" w:line="259" w:lineRule="auto"/>
        <w:rPr>
          <w:color w:val="000000" w:themeColor="text1"/>
        </w:rPr>
      </w:pPr>
      <w:r w:rsidRPr="00181DAC">
        <w:rPr>
          <w:rFonts w:cs="Arial"/>
          <w:color w:val="000000" w:themeColor="text1"/>
        </w:rPr>
        <w:t>What are the perceptions of how it overcomes barriers to recruitment?</w:t>
      </w:r>
    </w:p>
    <w:p w14:paraId="39FC86D4" w14:textId="77777777" w:rsidR="006E267E" w:rsidRPr="00181DAC" w:rsidRDefault="006E267E" w:rsidP="00BD2CA6">
      <w:pPr>
        <w:pStyle w:val="ListParagraph"/>
        <w:numPr>
          <w:ilvl w:val="0"/>
          <w:numId w:val="24"/>
        </w:numPr>
        <w:spacing w:after="160" w:line="259" w:lineRule="auto"/>
        <w:rPr>
          <w:rFonts w:cs="Arial"/>
          <w:color w:val="000000" w:themeColor="text1"/>
        </w:rPr>
      </w:pPr>
      <w:r w:rsidRPr="00181DAC">
        <w:rPr>
          <w:rFonts w:cs="Arial"/>
          <w:color w:val="000000" w:themeColor="text1"/>
        </w:rPr>
        <w:t>Do new teachers recruited through TTF have a lower rate of attrition than non-TTF new teachers?</w:t>
      </w:r>
    </w:p>
    <w:p w14:paraId="739AA8C9" w14:textId="7DA52128" w:rsidR="006E267E" w:rsidRPr="006E267E" w:rsidRDefault="006E267E" w:rsidP="00BD2CA6">
      <w:pPr>
        <w:pStyle w:val="ListParagraph"/>
        <w:numPr>
          <w:ilvl w:val="0"/>
          <w:numId w:val="24"/>
        </w:numPr>
        <w:spacing w:after="160" w:line="259" w:lineRule="auto"/>
        <w:rPr>
          <w:rFonts w:cs="Arial"/>
          <w:color w:val="000000" w:themeColor="text1"/>
        </w:rPr>
      </w:pPr>
      <w:r w:rsidRPr="00181DAC">
        <w:rPr>
          <w:rFonts w:cs="Arial"/>
          <w:color w:val="000000" w:themeColor="text1"/>
        </w:rPr>
        <w:t>What are the perceptions of how it overcomes barriers to new teacher retention?</w:t>
      </w:r>
    </w:p>
    <w:p w14:paraId="0F4A2341" w14:textId="1CA52E75" w:rsidR="006E267E" w:rsidRPr="00181DAC" w:rsidRDefault="00CE1523" w:rsidP="00BD2CA6">
      <w:pPr>
        <w:pStyle w:val="ListParagraph"/>
        <w:numPr>
          <w:ilvl w:val="0"/>
          <w:numId w:val="24"/>
        </w:numPr>
        <w:spacing w:after="160" w:line="259" w:lineRule="auto"/>
        <w:rPr>
          <w:rFonts w:cs="Arial"/>
          <w:color w:val="000000" w:themeColor="text1"/>
        </w:rPr>
      </w:pPr>
      <w:r>
        <w:rPr>
          <w:rFonts w:cs="Arial"/>
          <w:color w:val="000000" w:themeColor="text1"/>
        </w:rPr>
        <w:t>How d</w:t>
      </w:r>
      <w:r w:rsidR="006E267E" w:rsidRPr="00181DAC">
        <w:rPr>
          <w:rFonts w:cs="Arial"/>
          <w:color w:val="000000" w:themeColor="text1"/>
        </w:rPr>
        <w:t xml:space="preserve">oes it </w:t>
      </w:r>
      <w:r>
        <w:rPr>
          <w:rFonts w:cs="Arial"/>
          <w:color w:val="000000" w:themeColor="text1"/>
        </w:rPr>
        <w:t>affect</w:t>
      </w:r>
      <w:r w:rsidR="006E267E" w:rsidRPr="00181DAC">
        <w:rPr>
          <w:rFonts w:cs="Arial"/>
          <w:color w:val="000000" w:themeColor="text1"/>
        </w:rPr>
        <w:t xml:space="preserve"> the likelihood of new teachers having prior relevant industry experience? </w:t>
      </w:r>
    </w:p>
    <w:p w14:paraId="0BE080D4" w14:textId="04673A7E" w:rsidR="00013F73" w:rsidRDefault="006E267E" w:rsidP="00BD2CA6">
      <w:pPr>
        <w:pStyle w:val="ListParagraph"/>
        <w:numPr>
          <w:ilvl w:val="0"/>
          <w:numId w:val="24"/>
        </w:numPr>
        <w:spacing w:after="160" w:line="259" w:lineRule="auto"/>
        <w:rPr>
          <w:rFonts w:cs="Arial"/>
          <w:color w:val="000000" w:themeColor="text1"/>
        </w:rPr>
      </w:pPr>
      <w:r w:rsidRPr="00181DAC">
        <w:rPr>
          <w:rFonts w:cs="Arial"/>
          <w:color w:val="000000" w:themeColor="text1"/>
        </w:rPr>
        <w:t>What are the perceptions of how it attracted new teachers with relevant industry experience?</w:t>
      </w:r>
    </w:p>
    <w:p w14:paraId="073BB198" w14:textId="502A783F" w:rsidR="000D5B92" w:rsidRPr="00013F73" w:rsidRDefault="000D5B92" w:rsidP="00BD2CA6">
      <w:pPr>
        <w:pStyle w:val="ListParagraph"/>
        <w:numPr>
          <w:ilvl w:val="0"/>
          <w:numId w:val="24"/>
        </w:numPr>
        <w:spacing w:after="160" w:line="259" w:lineRule="auto"/>
        <w:rPr>
          <w:rFonts w:cs="Arial"/>
          <w:color w:val="000000" w:themeColor="text1"/>
        </w:rPr>
      </w:pPr>
      <w:r>
        <w:rPr>
          <w:rFonts w:cs="Arial"/>
          <w:color w:val="000000" w:themeColor="text1"/>
        </w:rPr>
        <w:t>What are the perceptions of how industry experience benefits learners?</w:t>
      </w:r>
    </w:p>
    <w:p w14:paraId="3EFFC0C0" w14:textId="5033AD43" w:rsidR="006E267E" w:rsidRPr="00181DAC" w:rsidRDefault="006E267E" w:rsidP="00BD2CA6">
      <w:pPr>
        <w:pStyle w:val="ListParagraph"/>
        <w:numPr>
          <w:ilvl w:val="0"/>
          <w:numId w:val="24"/>
        </w:numPr>
        <w:spacing w:after="160" w:line="259" w:lineRule="auto"/>
        <w:rPr>
          <w:rFonts w:cs="Arial"/>
          <w:color w:val="000000" w:themeColor="text1"/>
        </w:rPr>
      </w:pPr>
      <w:r w:rsidRPr="00181DAC">
        <w:rPr>
          <w:rFonts w:cs="Arial"/>
          <w:color w:val="000000" w:themeColor="text1"/>
        </w:rPr>
        <w:t>How does the experience of new teachers funded through the scheme differ to teachers recruited through other means? For example, do they receive more training, more CPD opportunities, greater job satisfaction?</w:t>
      </w:r>
    </w:p>
    <w:p w14:paraId="74924D14" w14:textId="050B0FBB" w:rsidR="006E267E" w:rsidRPr="00955305" w:rsidRDefault="006E267E" w:rsidP="00BD2CA6">
      <w:pPr>
        <w:pStyle w:val="ListParagraph"/>
        <w:numPr>
          <w:ilvl w:val="0"/>
          <w:numId w:val="24"/>
        </w:numPr>
        <w:spacing w:after="120" w:line="259" w:lineRule="auto"/>
        <w:rPr>
          <w:color w:val="000000" w:themeColor="text1"/>
        </w:rPr>
      </w:pPr>
      <w:r w:rsidRPr="00181DAC">
        <w:rPr>
          <w:rFonts w:cs="Arial"/>
          <w:color w:val="000000" w:themeColor="text1"/>
        </w:rPr>
        <w:t>What is the perceived benefit of any such changes?</w:t>
      </w:r>
    </w:p>
    <w:p w14:paraId="1467381A" w14:textId="002E5A4D" w:rsidR="00955305" w:rsidRPr="00D37A7E" w:rsidRDefault="00955305" w:rsidP="00BD2CA6">
      <w:pPr>
        <w:pStyle w:val="ListParagraph"/>
        <w:numPr>
          <w:ilvl w:val="0"/>
          <w:numId w:val="24"/>
        </w:numPr>
        <w:spacing w:after="120" w:line="259" w:lineRule="auto"/>
        <w:rPr>
          <w:color w:val="000000" w:themeColor="text1"/>
        </w:rPr>
      </w:pPr>
      <w:r>
        <w:rPr>
          <w:rFonts w:cs="Arial"/>
          <w:color w:val="000000" w:themeColor="text1"/>
        </w:rPr>
        <w:t>What are the perceived wider benefits of the strand as a whole?</w:t>
      </w:r>
    </w:p>
    <w:p w14:paraId="45597100" w14:textId="44BE7877" w:rsidR="006E267E" w:rsidRDefault="006E267E" w:rsidP="00E26818">
      <w:pPr>
        <w:pStyle w:val="Heading4"/>
      </w:pPr>
      <w:r>
        <w:t>Strand 2: Innovation Strand</w:t>
      </w:r>
    </w:p>
    <w:p w14:paraId="6E1960EC"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Does it increase examples of collaboration?</w:t>
      </w:r>
    </w:p>
    <w:p w14:paraId="5EA83312"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What form do these examples take? And which models best achieve their aims?</w:t>
      </w:r>
    </w:p>
    <w:p w14:paraId="75BC24C2"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What perceived effect does increased and/or more varied collaboration have?</w:t>
      </w:r>
    </w:p>
    <w:p w14:paraId="6AFD57D1"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Does it increase secondment opportunities?</w:t>
      </w:r>
    </w:p>
    <w:p w14:paraId="141ED348"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What is the perceived effect of these new secondment opportunities?</w:t>
      </w:r>
    </w:p>
    <w:p w14:paraId="6AEE243F"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Does it increase the CPD opportunities available to and taken advantage of by FE teachers?</w:t>
      </w:r>
    </w:p>
    <w:p w14:paraId="4CF16339"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What form do these new opportunities take?</w:t>
      </w:r>
    </w:p>
    <w:p w14:paraId="63784F8E"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What is the perceived effect of these new CPD opportunities</w:t>
      </w:r>
    </w:p>
    <w:p w14:paraId="685C9B4A"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Does it increase teacher recruitment and retention?</w:t>
      </w:r>
    </w:p>
    <w:p w14:paraId="7565C4F4" w14:textId="4811796A" w:rsidR="006E267E" w:rsidRPr="006E267E"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What is the perceived explanation for any change?</w:t>
      </w:r>
    </w:p>
    <w:p w14:paraId="5C41B495" w14:textId="77777777" w:rsidR="006E267E" w:rsidRPr="00181DAC"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Does it influence the level of learners’ exposure to local employers?</w:t>
      </w:r>
    </w:p>
    <w:p w14:paraId="5FB9A05A" w14:textId="45B2BCA9" w:rsidR="006E267E" w:rsidRDefault="006E267E" w:rsidP="00BD2CA6">
      <w:pPr>
        <w:pStyle w:val="ListParagraph"/>
        <w:numPr>
          <w:ilvl w:val="0"/>
          <w:numId w:val="25"/>
        </w:numPr>
        <w:spacing w:after="160" w:line="259" w:lineRule="auto"/>
        <w:rPr>
          <w:rFonts w:cs="Arial"/>
          <w:color w:val="000000" w:themeColor="text1"/>
        </w:rPr>
      </w:pPr>
      <w:r w:rsidRPr="00181DAC">
        <w:rPr>
          <w:rFonts w:cs="Arial"/>
          <w:color w:val="000000" w:themeColor="text1"/>
        </w:rPr>
        <w:t>What is the perceived effect on learner experience?</w:t>
      </w:r>
    </w:p>
    <w:p w14:paraId="74FC691F" w14:textId="733CA3E7" w:rsidR="00955305" w:rsidRPr="00955305" w:rsidRDefault="00955305" w:rsidP="00BD2CA6">
      <w:pPr>
        <w:pStyle w:val="ListParagraph"/>
        <w:numPr>
          <w:ilvl w:val="0"/>
          <w:numId w:val="25"/>
        </w:numPr>
        <w:spacing w:after="120" w:line="259" w:lineRule="auto"/>
        <w:rPr>
          <w:color w:val="000000" w:themeColor="text1"/>
        </w:rPr>
      </w:pPr>
      <w:r>
        <w:rPr>
          <w:rFonts w:cs="Arial"/>
          <w:color w:val="000000" w:themeColor="text1"/>
        </w:rPr>
        <w:t>What are the perceived wider benefits of the strand as a whole?</w:t>
      </w:r>
    </w:p>
    <w:p w14:paraId="0E6B3F4B" w14:textId="3AEC1079" w:rsidR="004A600B" w:rsidRDefault="004A600B" w:rsidP="001F2CE2">
      <w:pPr>
        <w:pStyle w:val="Heading2"/>
      </w:pPr>
      <w:r>
        <w:t>Methodology</w:t>
      </w:r>
    </w:p>
    <w:p w14:paraId="59F66775" w14:textId="029607D4" w:rsidR="00916F2B" w:rsidRDefault="008A11D2" w:rsidP="006E267E">
      <w:r>
        <w:t xml:space="preserve">The </w:t>
      </w:r>
      <w:r w:rsidR="00597C24">
        <w:t>e</w:t>
      </w:r>
      <w:r w:rsidR="00E26818">
        <w:t xml:space="preserve">valuation will </w:t>
      </w:r>
      <w:r w:rsidR="00BD2CA6">
        <w:t>approach</w:t>
      </w:r>
      <w:r w:rsidR="00E26818">
        <w:t xml:space="preserve"> each strand separately. However, as some providers will be in receipt of funding from both strands, some data collection activity will make efficiencies by addressing both simultaneously. </w:t>
      </w:r>
      <w:r w:rsidR="00916F2B">
        <w:t>Across both strands and rounds ETF are collecting ke</w:t>
      </w:r>
      <w:r w:rsidR="00955305">
        <w:t>y monitoring information to assist their delivery of the programme</w:t>
      </w:r>
      <w:r w:rsidR="003D779D">
        <w:t xml:space="preserve"> on a monthly basis</w:t>
      </w:r>
      <w:r w:rsidR="00955305">
        <w:t>. The successful bidder will make use of this data as far as possible in their research designs so as to minimise burden on providers</w:t>
      </w:r>
      <w:r w:rsidR="00597C24">
        <w:t xml:space="preserve"> and reduce costs</w:t>
      </w:r>
      <w:r w:rsidR="00955305">
        <w:t>. Copies</w:t>
      </w:r>
      <w:r w:rsidR="00BD2CA6">
        <w:t xml:space="preserve"> of the monitoring forms</w:t>
      </w:r>
      <w:r w:rsidR="00955305">
        <w:t xml:space="preserve"> will be shared with the ITT in confidence. </w:t>
      </w:r>
    </w:p>
    <w:p w14:paraId="0D40D6F7" w14:textId="6914B1D0" w:rsidR="006E267E" w:rsidRPr="006E267E" w:rsidRDefault="00E26818" w:rsidP="006E267E">
      <w:r>
        <w:t xml:space="preserve">The below is our broad suggested evaluation strategy, however in the ITT we will invite bidders to suggest other alternative methodologies they believe will </w:t>
      </w:r>
      <w:r w:rsidR="00AE533B">
        <w:t>better address</w:t>
      </w:r>
      <w:r>
        <w:t xml:space="preserve"> the research q</w:t>
      </w:r>
      <w:r w:rsidR="00AE533B">
        <w:t>uestions.</w:t>
      </w:r>
    </w:p>
    <w:p w14:paraId="264DB249" w14:textId="02F95A41" w:rsidR="00E26818" w:rsidRDefault="00E26818" w:rsidP="00916F2B">
      <w:pPr>
        <w:pStyle w:val="Heading4"/>
      </w:pPr>
      <w:r>
        <w:lastRenderedPageBreak/>
        <w:t>Strand 1: Teacher Training Support</w:t>
      </w:r>
    </w:p>
    <w:p w14:paraId="21816AB1" w14:textId="0DEF5833" w:rsidR="007E3679" w:rsidRDefault="00ED0BB5" w:rsidP="00916F2B">
      <w:r>
        <w:t>We plan to run a randomised control trial (RCT) to establish whether this strand is successful in meeting its sta</w:t>
      </w:r>
      <w:r w:rsidR="00D87EC8">
        <w:t>t</w:t>
      </w:r>
      <w:r>
        <w:t xml:space="preserve">ed aims. Key indicators can be collected through </w:t>
      </w:r>
      <w:r w:rsidR="00916F2B">
        <w:t>ETF</w:t>
      </w:r>
      <w:r>
        <w:t>’s</w:t>
      </w:r>
      <w:r w:rsidR="00955305">
        <w:t xml:space="preserve"> monitoring information</w:t>
      </w:r>
      <w:r>
        <w:t xml:space="preserve"> and bespoke surveys. In addition this will be supported by qualitative work (depth interviews and focus groups). </w:t>
      </w:r>
    </w:p>
    <w:p w14:paraId="11A312F8" w14:textId="109B6297" w:rsidR="00E26818" w:rsidRDefault="007E3679" w:rsidP="003D779D">
      <w:r>
        <w:t xml:space="preserve">Fieldwork will be carried out with teachers and providers in the treatment and control groups. We also want to explore seeking the views of industry professionals who have considered but not yet moved into FE teaching, to get a better understanding of barriers. All qualitative work in this strand should be undertaken using a recognised framework of behavioural science. </w:t>
      </w:r>
    </w:p>
    <w:p w14:paraId="53EA603B" w14:textId="77777777" w:rsidR="003D779D" w:rsidRDefault="003D779D" w:rsidP="003D779D">
      <w:pPr>
        <w:pStyle w:val="Heading4"/>
      </w:pPr>
      <w:r>
        <w:t>Strand 2: Innovation Strand</w:t>
      </w:r>
    </w:p>
    <w:p w14:paraId="28672A38" w14:textId="3421EDCF" w:rsidR="00C81182" w:rsidRDefault="00C81182" w:rsidP="003D779D">
      <w:r>
        <w:t xml:space="preserve">To evaluate this strand we expect a synthesis of </w:t>
      </w:r>
      <w:r w:rsidR="003D779D">
        <w:t>ETF</w:t>
      </w:r>
      <w:r>
        <w:t>’s</w:t>
      </w:r>
      <w:r w:rsidR="003D779D">
        <w:t xml:space="preserve"> monitoring information</w:t>
      </w:r>
      <w:r>
        <w:t xml:space="preserve">, available secondary data and bespoke surveys. On the basis of this we will carry out case studies with providers for further, in depth investigation. These could consist of site visits, secondary data analysis and qualitative work (depth interviews and focus groups) with providers, employers and learners. </w:t>
      </w:r>
    </w:p>
    <w:p w14:paraId="502BE6FA" w14:textId="3DFF7B54" w:rsidR="004A600B" w:rsidRDefault="004A600B" w:rsidP="001F2CE2">
      <w:pPr>
        <w:pStyle w:val="Heading2"/>
      </w:pPr>
      <w:r>
        <w:t>Timing</w:t>
      </w:r>
    </w:p>
    <w:p w14:paraId="6DB3DA3D" w14:textId="66DA256A" w:rsidR="007E0083" w:rsidRPr="007E0083" w:rsidRDefault="00053355" w:rsidP="007E0083">
      <w:pPr>
        <w:pStyle w:val="ListParagraph"/>
        <w:numPr>
          <w:ilvl w:val="0"/>
          <w:numId w:val="18"/>
        </w:numPr>
      </w:pPr>
      <w:r>
        <w:t>Deadline for EOIs - Tuesday 15</w:t>
      </w:r>
      <w:r w:rsidRPr="00053355">
        <w:rPr>
          <w:vertAlign w:val="superscript"/>
        </w:rPr>
        <w:t>th</w:t>
      </w:r>
      <w:r>
        <w:t xml:space="preserve"> Jan </w:t>
      </w:r>
      <w:r w:rsidR="00BD2CA6">
        <w:t xml:space="preserve">2019, </w:t>
      </w:r>
      <w:r>
        <w:t xml:space="preserve">1pm </w:t>
      </w:r>
    </w:p>
    <w:p w14:paraId="7E308380" w14:textId="354C94CB" w:rsidR="00053355" w:rsidRDefault="00053355" w:rsidP="00053355">
      <w:pPr>
        <w:pStyle w:val="ListParagraph"/>
        <w:numPr>
          <w:ilvl w:val="0"/>
          <w:numId w:val="18"/>
        </w:numPr>
      </w:pPr>
      <w:r>
        <w:t>ITT sen</w:t>
      </w:r>
      <w:r w:rsidR="00D52633">
        <w:t>t</w:t>
      </w:r>
      <w:r>
        <w:t xml:space="preserve"> – Tuesday 22</w:t>
      </w:r>
      <w:r w:rsidRPr="00053355">
        <w:rPr>
          <w:vertAlign w:val="superscript"/>
        </w:rPr>
        <w:t>nd</w:t>
      </w:r>
      <w:r>
        <w:t xml:space="preserve"> Jan</w:t>
      </w:r>
      <w:r w:rsidR="00294799">
        <w:t xml:space="preserve"> 2019</w:t>
      </w:r>
    </w:p>
    <w:p w14:paraId="658500A9" w14:textId="45DE5D31" w:rsidR="007E0083" w:rsidRPr="007E0083" w:rsidRDefault="00053355" w:rsidP="007E0083">
      <w:pPr>
        <w:pStyle w:val="ListParagraph"/>
        <w:numPr>
          <w:ilvl w:val="0"/>
          <w:numId w:val="18"/>
        </w:numPr>
      </w:pPr>
      <w:r>
        <w:t xml:space="preserve">Deadline for Tenders – </w:t>
      </w:r>
      <w:r w:rsidR="00D52633">
        <w:t>Monday</w:t>
      </w:r>
      <w:r>
        <w:t xml:space="preserve"> </w:t>
      </w:r>
      <w:r w:rsidR="00D52633">
        <w:t>18</w:t>
      </w:r>
      <w:r w:rsidRPr="00053355">
        <w:rPr>
          <w:vertAlign w:val="superscript"/>
        </w:rPr>
        <w:t>th</w:t>
      </w:r>
      <w:r>
        <w:t xml:space="preserve"> </w:t>
      </w:r>
      <w:r w:rsidR="00D52633">
        <w:t>Feb</w:t>
      </w:r>
      <w:r w:rsidR="00294799">
        <w:t xml:space="preserve"> </w:t>
      </w:r>
      <w:proofErr w:type="gramStart"/>
      <w:r w:rsidR="00294799">
        <w:t xml:space="preserve">2019 </w:t>
      </w:r>
      <w:r w:rsidR="00BD2CA6">
        <w:t>,</w:t>
      </w:r>
      <w:proofErr w:type="gramEnd"/>
      <w:r w:rsidR="00D52633">
        <w:t xml:space="preserve"> </w:t>
      </w:r>
      <w:r>
        <w:t xml:space="preserve">5pm </w:t>
      </w:r>
    </w:p>
    <w:p w14:paraId="3A773CBF" w14:textId="31864D44" w:rsidR="007E0083" w:rsidRDefault="00053355" w:rsidP="007E0083">
      <w:pPr>
        <w:pStyle w:val="ListParagraph"/>
        <w:numPr>
          <w:ilvl w:val="0"/>
          <w:numId w:val="18"/>
        </w:numPr>
      </w:pPr>
      <w:r>
        <w:t xml:space="preserve">Clarification interviews – </w:t>
      </w:r>
      <w:r w:rsidR="00D52633">
        <w:t>Thursday 28</w:t>
      </w:r>
      <w:r w:rsidR="00D52633" w:rsidRPr="00D52633">
        <w:rPr>
          <w:vertAlign w:val="superscript"/>
        </w:rPr>
        <w:t>th</w:t>
      </w:r>
      <w:r w:rsidR="00D52633">
        <w:t xml:space="preserve"> Feb</w:t>
      </w:r>
      <w:r>
        <w:t xml:space="preserve"> </w:t>
      </w:r>
      <w:r w:rsidR="00294799">
        <w:t>2019</w:t>
      </w:r>
    </w:p>
    <w:p w14:paraId="0B622DB4" w14:textId="6842D9EC" w:rsidR="007E0083" w:rsidRPr="007E0083" w:rsidRDefault="00D52633" w:rsidP="00D52633">
      <w:pPr>
        <w:pStyle w:val="ListParagraph"/>
        <w:numPr>
          <w:ilvl w:val="0"/>
          <w:numId w:val="18"/>
        </w:numPr>
      </w:pPr>
      <w:r>
        <w:t>Contract Awarded and inception meeting – w/c 4</w:t>
      </w:r>
      <w:r w:rsidRPr="00D52633">
        <w:rPr>
          <w:vertAlign w:val="superscript"/>
        </w:rPr>
        <w:t>th</w:t>
      </w:r>
      <w:r>
        <w:t xml:space="preserve"> March </w:t>
      </w:r>
      <w:r w:rsidR="00294799">
        <w:t>2019</w:t>
      </w:r>
      <w:bookmarkStart w:id="0" w:name="_GoBack"/>
      <w:bookmarkEnd w:id="0"/>
    </w:p>
    <w:p w14:paraId="0D2B2C65" w14:textId="41DF3DE1" w:rsidR="004A600B" w:rsidRPr="004A600B" w:rsidRDefault="004A600B" w:rsidP="007E0083">
      <w:pPr>
        <w:pStyle w:val="Heading2"/>
      </w:pPr>
      <w:r w:rsidRPr="004A600B">
        <w:t>Assessment criteria</w:t>
      </w:r>
    </w:p>
    <w:p w14:paraId="351BF017" w14:textId="28ECF5FA" w:rsidR="004A600B" w:rsidRDefault="006D7ADC" w:rsidP="006D7ADC">
      <w:pPr>
        <w:pStyle w:val="ListParagraph"/>
        <w:numPr>
          <w:ilvl w:val="0"/>
          <w:numId w:val="26"/>
        </w:numPr>
      </w:pPr>
      <w:r>
        <w:t>Evidence of suppliers knowledge of the policy area</w:t>
      </w:r>
    </w:p>
    <w:p w14:paraId="25A54FF0" w14:textId="4630B66D" w:rsidR="006D7ADC" w:rsidRDefault="006D7ADC" w:rsidP="006D7ADC">
      <w:pPr>
        <w:pStyle w:val="ListParagraph"/>
        <w:numPr>
          <w:ilvl w:val="0"/>
          <w:numId w:val="26"/>
        </w:numPr>
      </w:pPr>
      <w:r>
        <w:t>Evidence of technical knowledge and professional expertise in designing and carrying out Randomised Control Trials</w:t>
      </w:r>
    </w:p>
    <w:p w14:paraId="379AC18D" w14:textId="437903BC" w:rsidR="006D7ADC" w:rsidRDefault="006D7ADC" w:rsidP="006D7ADC">
      <w:pPr>
        <w:pStyle w:val="ListParagraph"/>
        <w:numPr>
          <w:ilvl w:val="0"/>
          <w:numId w:val="26"/>
        </w:numPr>
      </w:pPr>
      <w:r>
        <w:t xml:space="preserve">Evidence of technical knowledge and professional expertise in designing and carrying out evaluations of innovation funds or similar policies. </w:t>
      </w:r>
    </w:p>
    <w:p w14:paraId="72FD81A9" w14:textId="58BC9394" w:rsidR="006D7ADC" w:rsidRDefault="006D7ADC" w:rsidP="006D7ADC">
      <w:pPr>
        <w:pStyle w:val="ListParagraph"/>
        <w:numPr>
          <w:ilvl w:val="0"/>
          <w:numId w:val="26"/>
        </w:numPr>
      </w:pPr>
      <w:r>
        <w:t>Evidence of technical knowledge and professional expertise in frameworks of behavioural science</w:t>
      </w:r>
    </w:p>
    <w:p w14:paraId="36F1587B" w14:textId="7F24DAAE" w:rsidR="00CE1523" w:rsidRDefault="00CE1523" w:rsidP="00CE1523">
      <w:r>
        <w:t xml:space="preserve">Scoring: </w:t>
      </w:r>
    </w:p>
    <w:p w14:paraId="63DC3C40" w14:textId="77777777" w:rsidR="00CE1523" w:rsidRPr="00CE1523" w:rsidRDefault="00CE1523" w:rsidP="00CE1523">
      <w:pPr>
        <w:spacing w:line="240" w:lineRule="auto"/>
        <w:rPr>
          <w:szCs w:val="22"/>
        </w:rPr>
      </w:pPr>
      <w:r w:rsidRPr="00CE1523">
        <w:rPr>
          <w:szCs w:val="22"/>
        </w:rPr>
        <w:t>1.    No evidence/very poor</w:t>
      </w:r>
    </w:p>
    <w:p w14:paraId="13004DBA" w14:textId="77777777" w:rsidR="00CE1523" w:rsidRPr="00CE1523" w:rsidRDefault="00CE1523" w:rsidP="00CE1523">
      <w:pPr>
        <w:spacing w:line="240" w:lineRule="auto"/>
        <w:rPr>
          <w:szCs w:val="22"/>
        </w:rPr>
      </w:pPr>
      <w:r w:rsidRPr="00CE1523">
        <w:rPr>
          <w:szCs w:val="22"/>
        </w:rPr>
        <w:t>2.    Poor evidence</w:t>
      </w:r>
    </w:p>
    <w:p w14:paraId="0DB29052" w14:textId="77777777" w:rsidR="00CE1523" w:rsidRPr="00CE1523" w:rsidRDefault="00CE1523" w:rsidP="00CE1523">
      <w:pPr>
        <w:spacing w:line="240" w:lineRule="auto"/>
        <w:rPr>
          <w:szCs w:val="22"/>
        </w:rPr>
      </w:pPr>
      <w:r w:rsidRPr="00CE1523">
        <w:rPr>
          <w:szCs w:val="22"/>
        </w:rPr>
        <w:t>3.    Some evidence</w:t>
      </w:r>
    </w:p>
    <w:p w14:paraId="165752AA" w14:textId="77777777" w:rsidR="00CE1523" w:rsidRPr="00CE1523" w:rsidRDefault="00CE1523" w:rsidP="00CE1523">
      <w:pPr>
        <w:spacing w:line="240" w:lineRule="auto"/>
        <w:rPr>
          <w:szCs w:val="22"/>
        </w:rPr>
      </w:pPr>
      <w:r w:rsidRPr="00CE1523">
        <w:rPr>
          <w:szCs w:val="22"/>
        </w:rPr>
        <w:t>4.    Good evidence</w:t>
      </w:r>
    </w:p>
    <w:p w14:paraId="41B1C532" w14:textId="77777777" w:rsidR="00CE1523" w:rsidRPr="00CE1523" w:rsidRDefault="00CE1523" w:rsidP="00CE1523">
      <w:pPr>
        <w:pStyle w:val="Default"/>
        <w:spacing w:before="240" w:after="100" w:afterAutospacing="1"/>
        <w:rPr>
          <w:sz w:val="22"/>
          <w:szCs w:val="22"/>
        </w:rPr>
      </w:pPr>
      <w:r w:rsidRPr="00CE1523">
        <w:rPr>
          <w:sz w:val="22"/>
          <w:szCs w:val="22"/>
        </w:rPr>
        <w:t>5.    Excellent evidence</w:t>
      </w:r>
    </w:p>
    <w:p w14:paraId="2105F840" w14:textId="25FEF961" w:rsidR="007E3679" w:rsidRPr="001B302B" w:rsidRDefault="007E3679" w:rsidP="007E3679">
      <w:pPr>
        <w:pStyle w:val="Default"/>
        <w:spacing w:before="240" w:after="100" w:afterAutospacing="1" w:line="288" w:lineRule="auto"/>
        <w:rPr>
          <w:sz w:val="22"/>
          <w:szCs w:val="22"/>
        </w:rPr>
      </w:pPr>
      <w:r w:rsidRPr="001B302B">
        <w:rPr>
          <w:b/>
          <w:bCs/>
          <w:sz w:val="22"/>
          <w:szCs w:val="22"/>
        </w:rPr>
        <w:t xml:space="preserve">Each one of these criteria has equal weighting. </w:t>
      </w:r>
    </w:p>
    <w:p w14:paraId="16CEA8AA" w14:textId="77777777" w:rsidR="007E3679" w:rsidRDefault="007E3679" w:rsidP="00E9134C"/>
    <w:p w14:paraId="119E90EF" w14:textId="77777777" w:rsidR="006D7ADC" w:rsidRPr="006D7ADC" w:rsidRDefault="006D7ADC" w:rsidP="006D7ADC">
      <w:pPr>
        <w:rPr>
          <w:b/>
        </w:rPr>
      </w:pPr>
      <w:r w:rsidRPr="006D7ADC">
        <w:rPr>
          <w:b/>
        </w:rPr>
        <w:t>CVs and references are not required at this stage</w:t>
      </w:r>
    </w:p>
    <w:p w14:paraId="40F6F47F" w14:textId="0AB566F6" w:rsidR="00915C18" w:rsidRPr="006D7ADC" w:rsidRDefault="006D7ADC" w:rsidP="00915C18">
      <w:pPr>
        <w:rPr>
          <w:b/>
        </w:rPr>
      </w:pPr>
      <w:r w:rsidRPr="006D7ADC">
        <w:rPr>
          <w:b/>
        </w:rPr>
        <w:t>Please note there is a 1000 word limit for Expressions of Interest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5E03B0C" w:rsidR="00915C18" w:rsidRDefault="00915C18" w:rsidP="00915C18">
            <w:pPr>
              <w:spacing w:before="160"/>
              <w:rPr>
                <w:b/>
                <w:bCs/>
                <w:sz w:val="28"/>
                <w:szCs w:val="20"/>
              </w:rPr>
            </w:pPr>
            <w:r w:rsidRPr="00915C18">
              <w:rPr>
                <w:b/>
                <w:bCs/>
                <w:sz w:val="28"/>
                <w:szCs w:val="20"/>
              </w:rPr>
              <w:t>Closing date for EOIs:</w:t>
            </w:r>
            <w:r w:rsidR="00BD2CA6">
              <w:rPr>
                <w:b/>
                <w:bCs/>
                <w:sz w:val="28"/>
                <w:szCs w:val="20"/>
              </w:rPr>
              <w:t xml:space="preserve"> Tuesday 15</w:t>
            </w:r>
            <w:r w:rsidR="00BD2CA6" w:rsidRPr="00BD2CA6">
              <w:rPr>
                <w:b/>
                <w:bCs/>
                <w:sz w:val="28"/>
                <w:szCs w:val="20"/>
                <w:vertAlign w:val="superscript"/>
              </w:rPr>
              <w:t>th</w:t>
            </w:r>
            <w:r w:rsidR="00BD2CA6">
              <w:rPr>
                <w:b/>
                <w:bCs/>
                <w:sz w:val="28"/>
                <w:szCs w:val="20"/>
              </w:rPr>
              <w:t xml:space="preserve"> January 2019, 1pm </w:t>
            </w:r>
          </w:p>
          <w:p w14:paraId="5178F3E6" w14:textId="772442D2" w:rsidR="00A85EBD" w:rsidRDefault="00915C18" w:rsidP="00BD2CA6">
            <w:pPr>
              <w:rPr>
                <w:rFonts w:ascii="Calibri" w:hAnsi="Calibri"/>
              </w:rPr>
            </w:pPr>
            <w:r w:rsidRPr="00915C18">
              <w:rPr>
                <w:b/>
                <w:bCs/>
                <w:sz w:val="28"/>
                <w:szCs w:val="20"/>
              </w:rPr>
              <w:t>Send your EOI form to:</w:t>
            </w:r>
            <w:r w:rsidR="00BD2CA6">
              <w:rPr>
                <w:b/>
                <w:bCs/>
                <w:sz w:val="28"/>
                <w:szCs w:val="20"/>
              </w:rPr>
              <w:t xml:space="preserve"> ben.jenkins@education.gov.uk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6B3A780E" w:rsidR="005D3B59" w:rsidRPr="00531385" w:rsidRDefault="00C2496D" w:rsidP="005D3B59">
      <w:r w:rsidRPr="00995398">
        <w:t>©</w:t>
      </w:r>
      <w:r w:rsidR="005D3B59" w:rsidRPr="005D3B59">
        <w:t xml:space="preserve"> </w:t>
      </w:r>
      <w:r w:rsidR="00EE71A2">
        <w:t xml:space="preserve">Crown copyright </w:t>
      </w:r>
      <w:r w:rsidR="00BD2CA6">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9C7BE" w14:textId="77777777" w:rsidR="00DD738A" w:rsidRDefault="00DD738A" w:rsidP="002B6D93">
      <w:r>
        <w:separator/>
      </w:r>
    </w:p>
    <w:p w14:paraId="30809612" w14:textId="77777777" w:rsidR="00DD738A" w:rsidRDefault="00DD738A"/>
  </w:endnote>
  <w:endnote w:type="continuationSeparator" w:id="0">
    <w:p w14:paraId="2BA4A3C4" w14:textId="77777777" w:rsidR="00DD738A" w:rsidRDefault="00DD738A" w:rsidP="002B6D93">
      <w:r>
        <w:continuationSeparator/>
      </w:r>
    </w:p>
    <w:p w14:paraId="662B63D4" w14:textId="77777777" w:rsidR="00DD738A" w:rsidRDefault="00DD7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3AAB2E25"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E1523">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1D2C9765" w:rsidR="00DA0AD5" w:rsidRPr="006E6ADB" w:rsidRDefault="00DA0AD5" w:rsidP="004A3626">
    <w:pPr>
      <w:tabs>
        <w:tab w:val="left" w:pos="7088"/>
      </w:tabs>
      <w:spacing w:before="240"/>
      <w:rPr>
        <w:szCs w:val="20"/>
      </w:rPr>
    </w:pPr>
    <w:r w:rsidRPr="006E6ADB">
      <w:rPr>
        <w:szCs w:val="20"/>
      </w:rPr>
      <w:tab/>
      <w:t xml:space="preserve">Published: </w:t>
    </w:r>
    <w:r w:rsidR="006D7F3A">
      <w:rPr>
        <w:szCs w:val="20"/>
      </w:rPr>
      <w:t>Dec</w:t>
    </w:r>
    <w:r w:rsidR="00F85AA7">
      <w:rPr>
        <w:szCs w:val="20"/>
      </w:rPr>
      <w:t xml:space="preserve"> </w:t>
    </w:r>
    <w:r>
      <w:rPr>
        <w:szCs w:val="20"/>
      </w:rPr>
      <w:t>201</w:t>
    </w:r>
    <w:r w:rsidR="006D7F3A">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244E" w14:textId="77777777" w:rsidR="00DD738A" w:rsidRDefault="00DD738A" w:rsidP="002B6D93">
      <w:r>
        <w:separator/>
      </w:r>
    </w:p>
    <w:p w14:paraId="1FA1A3B9" w14:textId="77777777" w:rsidR="00DD738A" w:rsidRDefault="00DD738A"/>
  </w:footnote>
  <w:footnote w:type="continuationSeparator" w:id="0">
    <w:p w14:paraId="426E931D" w14:textId="77777777" w:rsidR="00DD738A" w:rsidRDefault="00DD738A" w:rsidP="002B6D93">
      <w:r>
        <w:continuationSeparator/>
      </w:r>
    </w:p>
    <w:p w14:paraId="270EA97C" w14:textId="77777777" w:rsidR="00DD738A" w:rsidRDefault="00DD7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D438E0"/>
    <w:multiLevelType w:val="hybridMultilevel"/>
    <w:tmpl w:val="4AFC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5414A"/>
    <w:multiLevelType w:val="hybridMultilevel"/>
    <w:tmpl w:val="C80E7E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000B5A"/>
    <w:multiLevelType w:val="hybridMultilevel"/>
    <w:tmpl w:val="78EA09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E4922"/>
    <w:multiLevelType w:val="hybridMultilevel"/>
    <w:tmpl w:val="329ACC7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A1859"/>
    <w:multiLevelType w:val="hybridMultilevel"/>
    <w:tmpl w:val="329ACC7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16069"/>
    <w:multiLevelType w:val="hybridMultilevel"/>
    <w:tmpl w:val="DBFA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02D30C4"/>
    <w:multiLevelType w:val="hybridMultilevel"/>
    <w:tmpl w:val="298E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74C27"/>
    <w:multiLevelType w:val="hybridMultilevel"/>
    <w:tmpl w:val="7A3E13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3"/>
  </w:num>
  <w:num w:numId="5">
    <w:abstractNumId w:val="9"/>
  </w:num>
  <w:num w:numId="6">
    <w:abstractNumId w:val="17"/>
  </w:num>
  <w:num w:numId="7">
    <w:abstractNumId w:val="3"/>
  </w:num>
  <w:num w:numId="8">
    <w:abstractNumId w:val="1"/>
  </w:num>
  <w:num w:numId="9">
    <w:abstractNumId w:val="0"/>
  </w:num>
  <w:num w:numId="10">
    <w:abstractNumId w:val="18"/>
  </w:num>
  <w:num w:numId="11">
    <w:abstractNumId w:val="17"/>
  </w:num>
  <w:num w:numId="12">
    <w:abstractNumId w:val="23"/>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4"/>
  </w:num>
  <w:num w:numId="19">
    <w:abstractNumId w:val="21"/>
  </w:num>
  <w:num w:numId="20">
    <w:abstractNumId w:val="16"/>
  </w:num>
  <w:num w:numId="21">
    <w:abstractNumId w:val="11"/>
  </w:num>
  <w:num w:numId="22">
    <w:abstractNumId w:val="6"/>
  </w:num>
  <w:num w:numId="23">
    <w:abstractNumId w:val="15"/>
  </w:num>
  <w:num w:numId="24">
    <w:abstractNumId w:val="22"/>
  </w:num>
  <w:num w:numId="25">
    <w:abstractNumId w:val="10"/>
  </w:num>
  <w:num w:numId="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3F73"/>
    <w:rsid w:val="0002203B"/>
    <w:rsid w:val="00031F36"/>
    <w:rsid w:val="000442BD"/>
    <w:rsid w:val="00053355"/>
    <w:rsid w:val="00057100"/>
    <w:rsid w:val="00065E86"/>
    <w:rsid w:val="00066B1C"/>
    <w:rsid w:val="000720CD"/>
    <w:rsid w:val="00083A73"/>
    <w:rsid w:val="00094338"/>
    <w:rsid w:val="000A10F4"/>
    <w:rsid w:val="000B3DE0"/>
    <w:rsid w:val="000D1D30"/>
    <w:rsid w:val="000D4433"/>
    <w:rsid w:val="000D5B92"/>
    <w:rsid w:val="000E3350"/>
    <w:rsid w:val="000F24F4"/>
    <w:rsid w:val="000F58A5"/>
    <w:rsid w:val="000F73F3"/>
    <w:rsid w:val="00103E77"/>
    <w:rsid w:val="0011494F"/>
    <w:rsid w:val="00121C6C"/>
    <w:rsid w:val="00125605"/>
    <w:rsid w:val="001264D9"/>
    <w:rsid w:val="001272A9"/>
    <w:rsid w:val="00133075"/>
    <w:rsid w:val="00147214"/>
    <w:rsid w:val="00147697"/>
    <w:rsid w:val="001534B2"/>
    <w:rsid w:val="001540AB"/>
    <w:rsid w:val="001612C8"/>
    <w:rsid w:val="001747E2"/>
    <w:rsid w:val="00176EB9"/>
    <w:rsid w:val="0017793A"/>
    <w:rsid w:val="00180664"/>
    <w:rsid w:val="00190C3A"/>
    <w:rsid w:val="00196306"/>
    <w:rsid w:val="001975D1"/>
    <w:rsid w:val="001A3A04"/>
    <w:rsid w:val="001B2AE2"/>
    <w:rsid w:val="001B4452"/>
    <w:rsid w:val="001B5C15"/>
    <w:rsid w:val="001B796F"/>
    <w:rsid w:val="001C5A63"/>
    <w:rsid w:val="001C5EB6"/>
    <w:rsid w:val="001D5770"/>
    <w:rsid w:val="001F1B30"/>
    <w:rsid w:val="001F2CE2"/>
    <w:rsid w:val="001F6CBD"/>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94799"/>
    <w:rsid w:val="002A28F7"/>
    <w:rsid w:val="002A3153"/>
    <w:rsid w:val="002A5858"/>
    <w:rsid w:val="002A601D"/>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D779D"/>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64FD8"/>
    <w:rsid w:val="0057250B"/>
    <w:rsid w:val="00574294"/>
    <w:rsid w:val="005749C5"/>
    <w:rsid w:val="0057670A"/>
    <w:rsid w:val="00581D79"/>
    <w:rsid w:val="005905B1"/>
    <w:rsid w:val="005914F1"/>
    <w:rsid w:val="005946C7"/>
    <w:rsid w:val="00597C24"/>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D7ADC"/>
    <w:rsid w:val="006D7F3A"/>
    <w:rsid w:val="006E267E"/>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62A3"/>
    <w:rsid w:val="007D080B"/>
    <w:rsid w:val="007E0083"/>
    <w:rsid w:val="007E3679"/>
    <w:rsid w:val="007F5022"/>
    <w:rsid w:val="00807991"/>
    <w:rsid w:val="008147AC"/>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11D2"/>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0E42"/>
    <w:rsid w:val="00915C18"/>
    <w:rsid w:val="00916F2B"/>
    <w:rsid w:val="00917E9C"/>
    <w:rsid w:val="00926A3C"/>
    <w:rsid w:val="0093027C"/>
    <w:rsid w:val="0094189B"/>
    <w:rsid w:val="00951C56"/>
    <w:rsid w:val="00952FB9"/>
    <w:rsid w:val="00955305"/>
    <w:rsid w:val="0095599F"/>
    <w:rsid w:val="0096424B"/>
    <w:rsid w:val="009701C8"/>
    <w:rsid w:val="00972EFD"/>
    <w:rsid w:val="00986616"/>
    <w:rsid w:val="00995398"/>
    <w:rsid w:val="009A55A9"/>
    <w:rsid w:val="009B32FA"/>
    <w:rsid w:val="009C2C02"/>
    <w:rsid w:val="009C73CF"/>
    <w:rsid w:val="009E00AE"/>
    <w:rsid w:val="009E09D3"/>
    <w:rsid w:val="009E6E74"/>
    <w:rsid w:val="009E7EE1"/>
    <w:rsid w:val="009E7F32"/>
    <w:rsid w:val="00A0541C"/>
    <w:rsid w:val="00A2427B"/>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6801"/>
    <w:rsid w:val="00AA3484"/>
    <w:rsid w:val="00AA7E7B"/>
    <w:rsid w:val="00AB6D0F"/>
    <w:rsid w:val="00AB7858"/>
    <w:rsid w:val="00AC61A6"/>
    <w:rsid w:val="00AD1BE5"/>
    <w:rsid w:val="00AD1DD2"/>
    <w:rsid w:val="00AD2062"/>
    <w:rsid w:val="00AD2F1D"/>
    <w:rsid w:val="00AE1E46"/>
    <w:rsid w:val="00AE4296"/>
    <w:rsid w:val="00AE533B"/>
    <w:rsid w:val="00AF0989"/>
    <w:rsid w:val="00AF2191"/>
    <w:rsid w:val="00AF785C"/>
    <w:rsid w:val="00B312F3"/>
    <w:rsid w:val="00B336AF"/>
    <w:rsid w:val="00B3498C"/>
    <w:rsid w:val="00B43CAD"/>
    <w:rsid w:val="00B53333"/>
    <w:rsid w:val="00B55A49"/>
    <w:rsid w:val="00B64265"/>
    <w:rsid w:val="00B67F76"/>
    <w:rsid w:val="00B70EFF"/>
    <w:rsid w:val="00B7558C"/>
    <w:rsid w:val="00B80EA5"/>
    <w:rsid w:val="00B818C3"/>
    <w:rsid w:val="00B9194F"/>
    <w:rsid w:val="00B9305E"/>
    <w:rsid w:val="00BA003B"/>
    <w:rsid w:val="00BB05E2"/>
    <w:rsid w:val="00BD0F5C"/>
    <w:rsid w:val="00BD1111"/>
    <w:rsid w:val="00BD26B6"/>
    <w:rsid w:val="00BD2CA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41F4"/>
    <w:rsid w:val="00C71238"/>
    <w:rsid w:val="00C71561"/>
    <w:rsid w:val="00C76325"/>
    <w:rsid w:val="00C81182"/>
    <w:rsid w:val="00C8124F"/>
    <w:rsid w:val="00C81513"/>
    <w:rsid w:val="00C84637"/>
    <w:rsid w:val="00C92AD3"/>
    <w:rsid w:val="00CA1009"/>
    <w:rsid w:val="00CA1F32"/>
    <w:rsid w:val="00CA2D5D"/>
    <w:rsid w:val="00CA30B4"/>
    <w:rsid w:val="00CA610B"/>
    <w:rsid w:val="00CA72FC"/>
    <w:rsid w:val="00CB56F5"/>
    <w:rsid w:val="00CB6E04"/>
    <w:rsid w:val="00CC2512"/>
    <w:rsid w:val="00CC547F"/>
    <w:rsid w:val="00CD5D21"/>
    <w:rsid w:val="00CE1523"/>
    <w:rsid w:val="00CE2652"/>
    <w:rsid w:val="00CE7906"/>
    <w:rsid w:val="00CF0E19"/>
    <w:rsid w:val="00D11353"/>
    <w:rsid w:val="00D27D9B"/>
    <w:rsid w:val="00D376DB"/>
    <w:rsid w:val="00D408A5"/>
    <w:rsid w:val="00D40DE9"/>
    <w:rsid w:val="00D41212"/>
    <w:rsid w:val="00D42B45"/>
    <w:rsid w:val="00D52633"/>
    <w:rsid w:val="00D57EE0"/>
    <w:rsid w:val="00D660A1"/>
    <w:rsid w:val="00D75416"/>
    <w:rsid w:val="00D87EC8"/>
    <w:rsid w:val="00D9145F"/>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38A"/>
    <w:rsid w:val="00DD788A"/>
    <w:rsid w:val="00DE2205"/>
    <w:rsid w:val="00DE6998"/>
    <w:rsid w:val="00DF0054"/>
    <w:rsid w:val="00DF3309"/>
    <w:rsid w:val="00DF5124"/>
    <w:rsid w:val="00DF7F39"/>
    <w:rsid w:val="00E1702C"/>
    <w:rsid w:val="00E20B43"/>
    <w:rsid w:val="00E22EE8"/>
    <w:rsid w:val="00E23ABB"/>
    <w:rsid w:val="00E23E99"/>
    <w:rsid w:val="00E26818"/>
    <w:rsid w:val="00E3093A"/>
    <w:rsid w:val="00E33078"/>
    <w:rsid w:val="00E335AB"/>
    <w:rsid w:val="00E33AB6"/>
    <w:rsid w:val="00E4012C"/>
    <w:rsid w:val="00E42A8F"/>
    <w:rsid w:val="00E5223F"/>
    <w:rsid w:val="00E534F0"/>
    <w:rsid w:val="00E66B4F"/>
    <w:rsid w:val="00E741D5"/>
    <w:rsid w:val="00E74474"/>
    <w:rsid w:val="00E87A6A"/>
    <w:rsid w:val="00E9134C"/>
    <w:rsid w:val="00E9232A"/>
    <w:rsid w:val="00EA4D1B"/>
    <w:rsid w:val="00EB1D11"/>
    <w:rsid w:val="00EB5B3F"/>
    <w:rsid w:val="00EC34D0"/>
    <w:rsid w:val="00EC3DC1"/>
    <w:rsid w:val="00ED0BB5"/>
    <w:rsid w:val="00ED2F1C"/>
    <w:rsid w:val="00ED3BFA"/>
    <w:rsid w:val="00ED3D05"/>
    <w:rsid w:val="00EE64AE"/>
    <w:rsid w:val="00EE71A2"/>
    <w:rsid w:val="00F06445"/>
    <w:rsid w:val="00F07114"/>
    <w:rsid w:val="00F206A7"/>
    <w:rsid w:val="00F3105E"/>
    <w:rsid w:val="00F41591"/>
    <w:rsid w:val="00F41A63"/>
    <w:rsid w:val="00F45BEB"/>
    <w:rsid w:val="00F538E8"/>
    <w:rsid w:val="00F54523"/>
    <w:rsid w:val="00F54B50"/>
    <w:rsid w:val="00F7403F"/>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17567874">
      <w:bodyDiv w:val="1"/>
      <w:marLeft w:val="0"/>
      <w:marRight w:val="0"/>
      <w:marTop w:val="0"/>
      <w:marBottom w:val="0"/>
      <w:divBdr>
        <w:top w:val="none" w:sz="0" w:space="0" w:color="auto"/>
        <w:left w:val="none" w:sz="0" w:space="0" w:color="auto"/>
        <w:bottom w:val="none" w:sz="0" w:space="0" w:color="auto"/>
        <w:right w:val="none" w:sz="0" w:space="0" w:color="auto"/>
      </w:divBdr>
      <w:divsChild>
        <w:div w:id="2093159116">
          <w:marLeft w:val="0"/>
          <w:marRight w:val="0"/>
          <w:marTop w:val="0"/>
          <w:marBottom w:val="0"/>
          <w:divBdr>
            <w:top w:val="none" w:sz="0" w:space="0" w:color="auto"/>
            <w:left w:val="none" w:sz="0" w:space="0" w:color="auto"/>
            <w:bottom w:val="none" w:sz="0" w:space="0" w:color="auto"/>
            <w:right w:val="none" w:sz="0" w:space="0" w:color="auto"/>
          </w:divBdr>
          <w:divsChild>
            <w:div w:id="1592935886">
              <w:marLeft w:val="-300"/>
              <w:marRight w:val="0"/>
              <w:marTop w:val="0"/>
              <w:marBottom w:val="0"/>
              <w:divBdr>
                <w:top w:val="none" w:sz="0" w:space="0" w:color="auto"/>
                <w:left w:val="none" w:sz="0" w:space="0" w:color="auto"/>
                <w:bottom w:val="none" w:sz="0" w:space="0" w:color="auto"/>
                <w:right w:val="none" w:sz="0" w:space="0" w:color="auto"/>
              </w:divBdr>
              <w:divsChild>
                <w:div w:id="844176799">
                  <w:marLeft w:val="0"/>
                  <w:marRight w:val="0"/>
                  <w:marTop w:val="0"/>
                  <w:marBottom w:val="0"/>
                  <w:divBdr>
                    <w:top w:val="none" w:sz="0" w:space="0" w:color="auto"/>
                    <w:left w:val="none" w:sz="0" w:space="0" w:color="auto"/>
                    <w:bottom w:val="none" w:sz="0" w:space="0" w:color="auto"/>
                    <w:right w:val="none" w:sz="0" w:space="0" w:color="auto"/>
                  </w:divBdr>
                  <w:divsChild>
                    <w:div w:id="1827357372">
                      <w:marLeft w:val="0"/>
                      <w:marRight w:val="0"/>
                      <w:marTop w:val="0"/>
                      <w:marBottom w:val="0"/>
                      <w:divBdr>
                        <w:top w:val="none" w:sz="0" w:space="0" w:color="auto"/>
                        <w:left w:val="none" w:sz="0" w:space="0" w:color="auto"/>
                        <w:bottom w:val="none" w:sz="0" w:space="0" w:color="auto"/>
                        <w:right w:val="none" w:sz="0" w:space="0" w:color="auto"/>
                      </w:divBdr>
                      <w:divsChild>
                        <w:div w:id="447822528">
                          <w:marLeft w:val="0"/>
                          <w:marRight w:val="0"/>
                          <w:marTop w:val="0"/>
                          <w:marBottom w:val="0"/>
                          <w:divBdr>
                            <w:top w:val="none" w:sz="0" w:space="0" w:color="auto"/>
                            <w:left w:val="none" w:sz="0" w:space="0" w:color="auto"/>
                            <w:bottom w:val="none" w:sz="0" w:space="0" w:color="auto"/>
                            <w:right w:val="none" w:sz="0" w:space="0" w:color="auto"/>
                          </w:divBdr>
                          <w:divsChild>
                            <w:div w:id="872157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foundation.co.uk/supporting/support-teacher-recruitment/taking-teaching-fur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schemas.microsoft.com/sharepoint/v3"/>
    <ds:schemaRef ds:uri="http://purl.org/dc/terms/"/>
    <ds:schemaRef ds:uri="1d8741c7-de4e-4a2d-a0c7-324270fb0e97"/>
    <ds:schemaRef ds:uri="ad312983-9933-4586-87ae-0dd55f2c5b7f"/>
    <ds:schemaRef ds:uri="http://schemas.microsoft.com/office/2006/documentManagement/types"/>
    <ds:schemaRef ds:uri="http://schemas.microsoft.com/office/infopath/2007/PartnerControls"/>
    <ds:schemaRef ds:uri="http://schemas.openxmlformats.org/package/2006/metadata/core-properties"/>
    <ds:schemaRef ds:uri="65c01043-0666-442f-acb7-2528b588859a"/>
    <ds:schemaRef ds:uri="http://purl.org/dc/elements/1.1/"/>
    <ds:schemaRef ds:uri="http://schemas.microsoft.com/office/2006/metadata/properties"/>
    <ds:schemaRef ds:uri="8c566321-f672-4e06-a901-b5e72b4c4357"/>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ABB1584D-4635-46F6-8D34-4CE49674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6477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7604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2018-12-11T11:15:00Z</dcterms:created>
  <dcterms:modified xsi:type="dcterms:W3CDTF">2018-12-11T11:15:00Z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