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4441" w14:textId="6B86D74F" w:rsidR="00D37BAC" w:rsidRPr="00EE5AE1" w:rsidRDefault="00D05E47" w:rsidP="00F62CB1">
      <w:pPr>
        <w:pStyle w:val="Chapter"/>
      </w:pPr>
      <w:bookmarkStart w:id="0" w:name="_Toc467074145"/>
      <w:bookmarkStart w:id="1" w:name="_Toc278544909"/>
      <w:bookmarkStart w:id="2" w:name="_Toc297988806"/>
      <w:r>
        <w:t xml:space="preserve">Attachment </w:t>
      </w:r>
      <w:r w:rsidR="00E756F4">
        <w:t>2</w:t>
      </w:r>
      <w:r w:rsidR="00AA5679" w:rsidRPr="00EE5AE1">
        <w:t xml:space="preserve"> </w:t>
      </w:r>
      <w:r w:rsidR="00E756F4">
        <w:t>–</w:t>
      </w:r>
      <w:r w:rsidR="00AA5679" w:rsidRPr="00EE5AE1">
        <w:t xml:space="preserve"> </w:t>
      </w:r>
      <w:r w:rsidR="00E756F4">
        <w:t xml:space="preserve">Service </w:t>
      </w:r>
      <w:r w:rsidR="002A111C">
        <w:t>Description</w:t>
      </w:r>
      <w:bookmarkEnd w:id="0"/>
    </w:p>
    <w:p w14:paraId="65BC4442" w14:textId="77777777" w:rsidR="00B720D0" w:rsidRDefault="00B720D0" w:rsidP="00B720D0">
      <w:pPr>
        <w:rPr>
          <w:rStyle w:val="Emphasis"/>
        </w:rPr>
      </w:pPr>
    </w:p>
    <w:p w14:paraId="65BC4447" w14:textId="77777777" w:rsidR="000542D4" w:rsidRDefault="000542D4" w:rsidP="00B720D0">
      <w:pPr>
        <w:rPr>
          <w:rStyle w:val="Emphasis"/>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4407754F" w14:textId="77777777" w:rsidR="009639E3"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9639E3">
        <w:rPr>
          <w:noProof/>
        </w:rPr>
        <w:t>Attachment 2 – Service Description</w:t>
      </w:r>
      <w:r w:rsidR="009639E3">
        <w:rPr>
          <w:noProof/>
        </w:rPr>
        <w:tab/>
      </w:r>
      <w:r w:rsidR="009639E3">
        <w:rPr>
          <w:noProof/>
        </w:rPr>
        <w:fldChar w:fldCharType="begin"/>
      </w:r>
      <w:r w:rsidR="009639E3">
        <w:rPr>
          <w:noProof/>
        </w:rPr>
        <w:instrText xml:space="preserve"> PAGEREF _Toc467074145 \h </w:instrText>
      </w:r>
      <w:r w:rsidR="009639E3">
        <w:rPr>
          <w:noProof/>
        </w:rPr>
      </w:r>
      <w:r w:rsidR="009639E3">
        <w:rPr>
          <w:noProof/>
        </w:rPr>
        <w:fldChar w:fldCharType="separate"/>
      </w:r>
      <w:r w:rsidR="000E3186">
        <w:rPr>
          <w:noProof/>
        </w:rPr>
        <w:t>1</w:t>
      </w:r>
      <w:r w:rsidR="009639E3">
        <w:rPr>
          <w:noProof/>
        </w:rPr>
        <w:fldChar w:fldCharType="end"/>
      </w:r>
    </w:p>
    <w:p w14:paraId="6D2C21BA" w14:textId="77777777" w:rsidR="009639E3" w:rsidRDefault="009639E3">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Background</w:t>
      </w:r>
      <w:r>
        <w:rPr>
          <w:noProof/>
        </w:rPr>
        <w:tab/>
      </w:r>
      <w:r>
        <w:rPr>
          <w:noProof/>
        </w:rPr>
        <w:fldChar w:fldCharType="begin"/>
      </w:r>
      <w:r>
        <w:rPr>
          <w:noProof/>
        </w:rPr>
        <w:instrText xml:space="preserve"> PAGEREF _Toc467074146 \h </w:instrText>
      </w:r>
      <w:r>
        <w:rPr>
          <w:noProof/>
        </w:rPr>
      </w:r>
      <w:r>
        <w:rPr>
          <w:noProof/>
        </w:rPr>
        <w:fldChar w:fldCharType="separate"/>
      </w:r>
      <w:r w:rsidR="000E3186">
        <w:rPr>
          <w:noProof/>
        </w:rPr>
        <w:t>2</w:t>
      </w:r>
      <w:r>
        <w:rPr>
          <w:noProof/>
        </w:rPr>
        <w:fldChar w:fldCharType="end"/>
      </w:r>
    </w:p>
    <w:p w14:paraId="5116C817" w14:textId="77777777" w:rsidR="009639E3" w:rsidRDefault="009639E3">
      <w:pPr>
        <w:pStyle w:val="TOC1"/>
        <w:rPr>
          <w:rFonts w:asciiTheme="minorHAnsi" w:eastAsiaTheme="minorEastAsia" w:hAnsiTheme="minorHAnsi" w:cstheme="minorBidi"/>
          <w:caps w:val="0"/>
          <w:noProof/>
          <w:sz w:val="22"/>
          <w:lang w:eastAsia="en-GB"/>
        </w:rPr>
      </w:pPr>
      <w:r w:rsidRPr="00182B49">
        <w:rPr>
          <w:caps w:val="0"/>
          <w:noProof/>
        </w:rPr>
        <w:t>2.</w:t>
      </w:r>
      <w:r>
        <w:rPr>
          <w:rFonts w:asciiTheme="minorHAnsi" w:eastAsiaTheme="minorEastAsia" w:hAnsiTheme="minorHAnsi" w:cstheme="minorBidi"/>
          <w:caps w:val="0"/>
          <w:noProof/>
          <w:sz w:val="22"/>
          <w:lang w:eastAsia="en-GB"/>
        </w:rPr>
        <w:tab/>
      </w:r>
      <w:r>
        <w:rPr>
          <w:noProof/>
        </w:rPr>
        <w:t>The Requirement</w:t>
      </w:r>
      <w:r>
        <w:rPr>
          <w:noProof/>
        </w:rPr>
        <w:tab/>
      </w:r>
      <w:r>
        <w:rPr>
          <w:noProof/>
        </w:rPr>
        <w:fldChar w:fldCharType="begin"/>
      </w:r>
      <w:r>
        <w:rPr>
          <w:noProof/>
        </w:rPr>
        <w:instrText xml:space="preserve"> PAGEREF _Toc467074147 \h </w:instrText>
      </w:r>
      <w:r>
        <w:rPr>
          <w:noProof/>
        </w:rPr>
      </w:r>
      <w:r>
        <w:rPr>
          <w:noProof/>
        </w:rPr>
        <w:fldChar w:fldCharType="separate"/>
      </w:r>
      <w:r w:rsidR="000E3186">
        <w:rPr>
          <w:noProof/>
        </w:rPr>
        <w:t>4</w:t>
      </w:r>
      <w:r>
        <w:rPr>
          <w:noProof/>
        </w:rPr>
        <w:fldChar w:fldCharType="end"/>
      </w:r>
    </w:p>
    <w:p w14:paraId="72070D5E" w14:textId="77777777" w:rsidR="009639E3" w:rsidRDefault="009639E3">
      <w:pPr>
        <w:pStyle w:val="TOC1"/>
        <w:rPr>
          <w:rFonts w:asciiTheme="minorHAnsi" w:eastAsiaTheme="minorEastAsia" w:hAnsiTheme="minorHAnsi" w:cstheme="minorBidi"/>
          <w:caps w:val="0"/>
          <w:noProof/>
          <w:sz w:val="22"/>
          <w:lang w:eastAsia="en-GB"/>
        </w:rPr>
      </w:pPr>
      <w:r w:rsidRPr="00182B49">
        <w:rPr>
          <w:caps w:val="0"/>
          <w:noProof/>
        </w:rPr>
        <w:t>3.</w:t>
      </w:r>
      <w:r>
        <w:rPr>
          <w:rFonts w:asciiTheme="minorHAnsi" w:eastAsiaTheme="minorEastAsia" w:hAnsiTheme="minorHAnsi" w:cstheme="minorBidi"/>
          <w:caps w:val="0"/>
          <w:noProof/>
          <w:sz w:val="22"/>
          <w:lang w:eastAsia="en-GB"/>
        </w:rPr>
        <w:tab/>
      </w:r>
      <w:r>
        <w:rPr>
          <w:noProof/>
        </w:rPr>
        <w:t>Engagement Model</w:t>
      </w:r>
      <w:r>
        <w:rPr>
          <w:noProof/>
        </w:rPr>
        <w:tab/>
      </w:r>
      <w:r>
        <w:rPr>
          <w:noProof/>
        </w:rPr>
        <w:fldChar w:fldCharType="begin"/>
      </w:r>
      <w:r>
        <w:rPr>
          <w:noProof/>
        </w:rPr>
        <w:instrText xml:space="preserve"> PAGEREF _Toc467074148 \h </w:instrText>
      </w:r>
      <w:r>
        <w:rPr>
          <w:noProof/>
        </w:rPr>
      </w:r>
      <w:r>
        <w:rPr>
          <w:noProof/>
        </w:rPr>
        <w:fldChar w:fldCharType="separate"/>
      </w:r>
      <w:r w:rsidR="000E3186">
        <w:rPr>
          <w:noProof/>
        </w:rPr>
        <w:t>12</w:t>
      </w:r>
      <w:r>
        <w:rPr>
          <w:noProof/>
        </w:rPr>
        <w:fldChar w:fldCharType="end"/>
      </w:r>
    </w:p>
    <w:p w14:paraId="1398C863" w14:textId="77777777" w:rsidR="009639E3" w:rsidRDefault="009639E3">
      <w:pPr>
        <w:pStyle w:val="TOC1"/>
        <w:rPr>
          <w:rFonts w:asciiTheme="minorHAnsi" w:eastAsiaTheme="minorEastAsia" w:hAnsiTheme="minorHAnsi" w:cstheme="minorBidi"/>
          <w:caps w:val="0"/>
          <w:noProof/>
          <w:sz w:val="22"/>
          <w:lang w:eastAsia="en-GB"/>
        </w:rPr>
      </w:pPr>
      <w:r w:rsidRPr="00182B49">
        <w:rPr>
          <w:caps w:val="0"/>
          <w:noProof/>
        </w:rPr>
        <w:t>4.</w:t>
      </w:r>
      <w:r>
        <w:rPr>
          <w:rFonts w:asciiTheme="minorHAnsi" w:eastAsiaTheme="minorEastAsia" w:hAnsiTheme="minorHAnsi" w:cstheme="minorBidi"/>
          <w:caps w:val="0"/>
          <w:noProof/>
          <w:sz w:val="22"/>
          <w:lang w:eastAsia="en-GB"/>
        </w:rPr>
        <w:tab/>
      </w:r>
      <w:r>
        <w:rPr>
          <w:noProof/>
        </w:rPr>
        <w:t>The Core Services</w:t>
      </w:r>
      <w:r>
        <w:rPr>
          <w:noProof/>
        </w:rPr>
        <w:tab/>
      </w:r>
      <w:r>
        <w:rPr>
          <w:noProof/>
        </w:rPr>
        <w:fldChar w:fldCharType="begin"/>
      </w:r>
      <w:r>
        <w:rPr>
          <w:noProof/>
        </w:rPr>
        <w:instrText xml:space="preserve"> PAGEREF _Toc467074149 \h </w:instrText>
      </w:r>
      <w:r>
        <w:rPr>
          <w:noProof/>
        </w:rPr>
      </w:r>
      <w:r>
        <w:rPr>
          <w:noProof/>
        </w:rPr>
        <w:fldChar w:fldCharType="separate"/>
      </w:r>
      <w:r w:rsidR="000E3186">
        <w:rPr>
          <w:noProof/>
        </w:rPr>
        <w:t>14</w:t>
      </w:r>
      <w:r>
        <w:rPr>
          <w:noProof/>
        </w:rPr>
        <w:fldChar w:fldCharType="end"/>
      </w:r>
    </w:p>
    <w:p w14:paraId="674C2D8B" w14:textId="77777777" w:rsidR="009639E3" w:rsidRDefault="009639E3">
      <w:pPr>
        <w:pStyle w:val="TOC1"/>
        <w:rPr>
          <w:rFonts w:asciiTheme="minorHAnsi" w:eastAsiaTheme="minorEastAsia" w:hAnsiTheme="minorHAnsi" w:cstheme="minorBidi"/>
          <w:caps w:val="0"/>
          <w:noProof/>
          <w:sz w:val="22"/>
          <w:lang w:eastAsia="en-GB"/>
        </w:rPr>
      </w:pPr>
      <w:r w:rsidRPr="00182B49">
        <w:rPr>
          <w:caps w:val="0"/>
          <w:noProof/>
        </w:rPr>
        <w:t>5.</w:t>
      </w:r>
      <w:r>
        <w:rPr>
          <w:rFonts w:asciiTheme="minorHAnsi" w:eastAsiaTheme="minorEastAsia" w:hAnsiTheme="minorHAnsi" w:cstheme="minorBidi"/>
          <w:caps w:val="0"/>
          <w:noProof/>
          <w:sz w:val="22"/>
          <w:lang w:eastAsia="en-GB"/>
        </w:rPr>
        <w:tab/>
      </w:r>
      <w:r>
        <w:rPr>
          <w:noProof/>
        </w:rPr>
        <w:t>The Optional Services</w:t>
      </w:r>
      <w:r>
        <w:rPr>
          <w:noProof/>
        </w:rPr>
        <w:tab/>
      </w:r>
      <w:r>
        <w:rPr>
          <w:noProof/>
        </w:rPr>
        <w:fldChar w:fldCharType="begin"/>
      </w:r>
      <w:r>
        <w:rPr>
          <w:noProof/>
        </w:rPr>
        <w:instrText xml:space="preserve"> PAGEREF _Toc467074150 \h </w:instrText>
      </w:r>
      <w:r>
        <w:rPr>
          <w:noProof/>
        </w:rPr>
      </w:r>
      <w:r>
        <w:rPr>
          <w:noProof/>
        </w:rPr>
        <w:fldChar w:fldCharType="separate"/>
      </w:r>
      <w:r w:rsidR="000E3186">
        <w:rPr>
          <w:noProof/>
        </w:rPr>
        <w:t>20</w:t>
      </w:r>
      <w:r>
        <w:rPr>
          <w:noProof/>
        </w:rPr>
        <w:fldChar w:fldCharType="end"/>
      </w:r>
    </w:p>
    <w:p w14:paraId="707C1472" w14:textId="77777777" w:rsidR="009639E3" w:rsidRDefault="009639E3">
      <w:pPr>
        <w:pStyle w:val="TOC1"/>
        <w:rPr>
          <w:rFonts w:asciiTheme="minorHAnsi" w:eastAsiaTheme="minorEastAsia" w:hAnsiTheme="minorHAnsi" w:cstheme="minorBidi"/>
          <w:caps w:val="0"/>
          <w:noProof/>
          <w:sz w:val="22"/>
          <w:lang w:eastAsia="en-GB"/>
        </w:rPr>
      </w:pPr>
      <w:r w:rsidRPr="00182B49">
        <w:rPr>
          <w:caps w:val="0"/>
          <w:noProof/>
        </w:rPr>
        <w:t>6.</w:t>
      </w:r>
      <w:r>
        <w:rPr>
          <w:rFonts w:asciiTheme="minorHAnsi" w:eastAsiaTheme="minorEastAsia" w:hAnsiTheme="minorHAnsi" w:cstheme="minorBidi"/>
          <w:caps w:val="0"/>
          <w:noProof/>
          <w:sz w:val="22"/>
          <w:lang w:eastAsia="en-GB"/>
        </w:rPr>
        <w:tab/>
      </w:r>
      <w:r>
        <w:rPr>
          <w:noProof/>
        </w:rPr>
        <w:t>additional background information</w:t>
      </w:r>
      <w:r>
        <w:rPr>
          <w:noProof/>
        </w:rPr>
        <w:tab/>
      </w:r>
      <w:r>
        <w:rPr>
          <w:noProof/>
        </w:rPr>
        <w:fldChar w:fldCharType="begin"/>
      </w:r>
      <w:r>
        <w:rPr>
          <w:noProof/>
        </w:rPr>
        <w:instrText xml:space="preserve"> PAGEREF _Toc467074151 \h </w:instrText>
      </w:r>
      <w:r>
        <w:rPr>
          <w:noProof/>
        </w:rPr>
      </w:r>
      <w:r>
        <w:rPr>
          <w:noProof/>
        </w:rPr>
        <w:fldChar w:fldCharType="separate"/>
      </w:r>
      <w:r w:rsidR="000E3186">
        <w:rPr>
          <w:noProof/>
        </w:rPr>
        <w:t>21</w:t>
      </w:r>
      <w:r>
        <w:rPr>
          <w:noProof/>
        </w:rPr>
        <w:fldChar w:fldCharType="end"/>
      </w:r>
    </w:p>
    <w:p w14:paraId="63294948" w14:textId="77777777" w:rsidR="009639E3" w:rsidRDefault="009639E3">
      <w:pPr>
        <w:pStyle w:val="TOC1"/>
        <w:rPr>
          <w:rFonts w:asciiTheme="minorHAnsi" w:eastAsiaTheme="minorEastAsia" w:hAnsiTheme="minorHAnsi" w:cstheme="minorBidi"/>
          <w:caps w:val="0"/>
          <w:noProof/>
          <w:sz w:val="22"/>
          <w:lang w:eastAsia="en-GB"/>
        </w:rPr>
      </w:pPr>
      <w:r w:rsidRPr="00182B49">
        <w:rPr>
          <w:caps w:val="0"/>
          <w:noProof/>
        </w:rPr>
        <w:t>7.</w:t>
      </w:r>
      <w:r>
        <w:rPr>
          <w:rFonts w:asciiTheme="minorHAnsi" w:eastAsiaTheme="minorEastAsia" w:hAnsiTheme="minorHAnsi" w:cstheme="minorBidi"/>
          <w:caps w:val="0"/>
          <w:noProof/>
          <w:sz w:val="22"/>
          <w:lang w:eastAsia="en-GB"/>
        </w:rPr>
        <w:tab/>
      </w:r>
      <w:r>
        <w:rPr>
          <w:noProof/>
        </w:rPr>
        <w:t>timetable</w:t>
      </w:r>
      <w:r>
        <w:rPr>
          <w:noProof/>
        </w:rPr>
        <w:tab/>
      </w:r>
      <w:r>
        <w:rPr>
          <w:noProof/>
        </w:rPr>
        <w:fldChar w:fldCharType="begin"/>
      </w:r>
      <w:r>
        <w:rPr>
          <w:noProof/>
        </w:rPr>
        <w:instrText xml:space="preserve"> PAGEREF _Toc467074152 \h </w:instrText>
      </w:r>
      <w:r>
        <w:rPr>
          <w:noProof/>
        </w:rPr>
      </w:r>
      <w:r>
        <w:rPr>
          <w:noProof/>
        </w:rPr>
        <w:fldChar w:fldCharType="separate"/>
      </w:r>
      <w:r w:rsidR="000E3186">
        <w:rPr>
          <w:noProof/>
        </w:rPr>
        <w:t>21</w:t>
      </w:r>
      <w:r>
        <w:rPr>
          <w:noProof/>
        </w:rPr>
        <w:fldChar w:fldCharType="end"/>
      </w:r>
    </w:p>
    <w:p w14:paraId="41ED3057" w14:textId="77777777" w:rsidR="009639E3" w:rsidRDefault="009639E3">
      <w:pPr>
        <w:pStyle w:val="TOC1"/>
        <w:rPr>
          <w:rFonts w:asciiTheme="minorHAnsi" w:eastAsiaTheme="minorEastAsia" w:hAnsiTheme="minorHAnsi" w:cstheme="minorBidi"/>
          <w:caps w:val="0"/>
          <w:noProof/>
          <w:sz w:val="22"/>
          <w:lang w:eastAsia="en-GB"/>
        </w:rPr>
      </w:pPr>
      <w:r w:rsidRPr="00182B49">
        <w:rPr>
          <w:caps w:val="0"/>
          <w:noProof/>
        </w:rPr>
        <w:t>8.</w:t>
      </w:r>
      <w:r>
        <w:rPr>
          <w:rFonts w:asciiTheme="minorHAnsi" w:eastAsiaTheme="minorEastAsia" w:hAnsiTheme="minorHAnsi" w:cstheme="minorBidi"/>
          <w:caps w:val="0"/>
          <w:noProof/>
          <w:sz w:val="22"/>
          <w:lang w:eastAsia="en-GB"/>
        </w:rPr>
        <w:tab/>
      </w:r>
      <w:r>
        <w:rPr>
          <w:noProof/>
        </w:rPr>
        <w:t>Skills and Knowledge Transfer</w:t>
      </w:r>
      <w:r>
        <w:rPr>
          <w:noProof/>
        </w:rPr>
        <w:tab/>
      </w:r>
      <w:r>
        <w:rPr>
          <w:noProof/>
        </w:rPr>
        <w:fldChar w:fldCharType="begin"/>
      </w:r>
      <w:r>
        <w:rPr>
          <w:noProof/>
        </w:rPr>
        <w:instrText xml:space="preserve"> PAGEREF _Toc467074153 \h </w:instrText>
      </w:r>
      <w:r>
        <w:rPr>
          <w:noProof/>
        </w:rPr>
      </w:r>
      <w:r>
        <w:rPr>
          <w:noProof/>
        </w:rPr>
        <w:fldChar w:fldCharType="separate"/>
      </w:r>
      <w:r w:rsidR="000E3186">
        <w:rPr>
          <w:noProof/>
        </w:rPr>
        <w:t>22</w:t>
      </w:r>
      <w:r>
        <w:rPr>
          <w:noProof/>
        </w:rPr>
        <w:fldChar w:fldCharType="end"/>
      </w:r>
    </w:p>
    <w:p w14:paraId="436443A2" w14:textId="77777777" w:rsidR="009639E3" w:rsidRDefault="009639E3">
      <w:pPr>
        <w:pStyle w:val="TOC1"/>
        <w:rPr>
          <w:rFonts w:asciiTheme="minorHAnsi" w:eastAsiaTheme="minorEastAsia" w:hAnsiTheme="minorHAnsi" w:cstheme="minorBidi"/>
          <w:caps w:val="0"/>
          <w:noProof/>
          <w:sz w:val="22"/>
          <w:lang w:eastAsia="en-GB"/>
        </w:rPr>
      </w:pPr>
      <w:r w:rsidRPr="00182B49">
        <w:rPr>
          <w:caps w:val="0"/>
          <w:noProof/>
        </w:rPr>
        <w:t>9.</w:t>
      </w:r>
      <w:r>
        <w:rPr>
          <w:rFonts w:asciiTheme="minorHAnsi" w:eastAsiaTheme="minorEastAsia" w:hAnsiTheme="minorHAnsi" w:cstheme="minorBidi"/>
          <w:caps w:val="0"/>
          <w:noProof/>
          <w:sz w:val="22"/>
          <w:lang w:eastAsia="en-GB"/>
        </w:rPr>
        <w:tab/>
      </w:r>
      <w:r>
        <w:rPr>
          <w:noProof/>
        </w:rPr>
        <w:t>Further Information</w:t>
      </w:r>
      <w:r>
        <w:rPr>
          <w:noProof/>
        </w:rPr>
        <w:tab/>
      </w:r>
      <w:r>
        <w:rPr>
          <w:noProof/>
        </w:rPr>
        <w:fldChar w:fldCharType="begin"/>
      </w:r>
      <w:r>
        <w:rPr>
          <w:noProof/>
        </w:rPr>
        <w:instrText xml:space="preserve"> PAGEREF _Toc467074154 \h </w:instrText>
      </w:r>
      <w:r>
        <w:rPr>
          <w:noProof/>
        </w:rPr>
      </w:r>
      <w:r>
        <w:rPr>
          <w:noProof/>
        </w:rPr>
        <w:fldChar w:fldCharType="separate"/>
      </w:r>
      <w:r w:rsidR="000E3186">
        <w:rPr>
          <w:noProof/>
        </w:rPr>
        <w:t>23</w:t>
      </w:r>
      <w:r>
        <w:rPr>
          <w:noProof/>
        </w:rPr>
        <w:fldChar w:fldCharType="end"/>
      </w:r>
    </w:p>
    <w:p w14:paraId="7883895F" w14:textId="77777777" w:rsidR="009639E3" w:rsidRDefault="009639E3">
      <w:pPr>
        <w:pStyle w:val="TOC1"/>
        <w:rPr>
          <w:rFonts w:asciiTheme="minorHAnsi" w:eastAsiaTheme="minorEastAsia" w:hAnsiTheme="minorHAnsi" w:cstheme="minorBidi"/>
          <w:caps w:val="0"/>
          <w:noProof/>
          <w:sz w:val="22"/>
          <w:lang w:eastAsia="en-GB"/>
        </w:rPr>
      </w:pPr>
      <w:r w:rsidRPr="00182B49">
        <w:rPr>
          <w:caps w:val="0"/>
          <w:noProof/>
        </w:rPr>
        <w:t>10.</w:t>
      </w:r>
      <w:r>
        <w:rPr>
          <w:rFonts w:asciiTheme="minorHAnsi" w:eastAsiaTheme="minorEastAsia" w:hAnsiTheme="minorHAnsi" w:cstheme="minorBidi"/>
          <w:caps w:val="0"/>
          <w:noProof/>
          <w:sz w:val="22"/>
          <w:lang w:eastAsia="en-GB"/>
        </w:rPr>
        <w:tab/>
      </w:r>
      <w:r>
        <w:rPr>
          <w:noProof/>
        </w:rPr>
        <w:t>Contract Monitoring</w:t>
      </w:r>
      <w:r>
        <w:rPr>
          <w:noProof/>
        </w:rPr>
        <w:tab/>
      </w:r>
      <w:r>
        <w:rPr>
          <w:noProof/>
        </w:rPr>
        <w:fldChar w:fldCharType="begin"/>
      </w:r>
      <w:r>
        <w:rPr>
          <w:noProof/>
        </w:rPr>
        <w:instrText xml:space="preserve"> PAGEREF _Toc467074155 \h </w:instrText>
      </w:r>
      <w:r>
        <w:rPr>
          <w:noProof/>
        </w:rPr>
      </w:r>
      <w:r>
        <w:rPr>
          <w:noProof/>
        </w:rPr>
        <w:fldChar w:fldCharType="separate"/>
      </w:r>
      <w:r w:rsidR="000E3186">
        <w:rPr>
          <w:noProof/>
        </w:rPr>
        <w:t>23</w:t>
      </w:r>
      <w:r>
        <w:rPr>
          <w:noProof/>
        </w:rPr>
        <w:fldChar w:fldCharType="end"/>
      </w:r>
    </w:p>
    <w:p w14:paraId="6939F473" w14:textId="77777777" w:rsidR="009639E3" w:rsidRDefault="009639E3">
      <w:pPr>
        <w:pStyle w:val="TOC1"/>
        <w:rPr>
          <w:rFonts w:asciiTheme="minorHAnsi" w:eastAsiaTheme="minorEastAsia" w:hAnsiTheme="minorHAnsi" w:cstheme="minorBidi"/>
          <w:caps w:val="0"/>
          <w:noProof/>
          <w:sz w:val="22"/>
          <w:lang w:eastAsia="en-GB"/>
        </w:rPr>
      </w:pPr>
      <w:r>
        <w:rPr>
          <w:noProof/>
        </w:rPr>
        <w:t>APPENDIX A – ICC TRANSFORMATION SERVICES BRIEFING</w:t>
      </w:r>
      <w:r>
        <w:rPr>
          <w:noProof/>
        </w:rPr>
        <w:tab/>
      </w:r>
      <w:r>
        <w:rPr>
          <w:noProof/>
        </w:rPr>
        <w:fldChar w:fldCharType="begin"/>
      </w:r>
      <w:r>
        <w:rPr>
          <w:noProof/>
        </w:rPr>
        <w:instrText xml:space="preserve"> PAGEREF _Toc467074156 \h </w:instrText>
      </w:r>
      <w:r>
        <w:rPr>
          <w:noProof/>
        </w:rPr>
      </w:r>
      <w:r>
        <w:rPr>
          <w:noProof/>
        </w:rPr>
        <w:fldChar w:fldCharType="separate"/>
      </w:r>
      <w:r w:rsidR="000E3186">
        <w:rPr>
          <w:noProof/>
        </w:rPr>
        <w:t>24</w:t>
      </w:r>
      <w:r>
        <w:rPr>
          <w:noProof/>
        </w:rPr>
        <w:fldChar w:fldCharType="end"/>
      </w:r>
    </w:p>
    <w:p w14:paraId="65BC445F" w14:textId="77D80044" w:rsidR="000542D4" w:rsidRPr="00795C59" w:rsidRDefault="00F62CB1" w:rsidP="000542D4">
      <w:r>
        <w:rPr>
          <w:rFonts w:ascii="Calibri" w:eastAsia="STZhongsong" w:hAnsi="Calibri"/>
          <w:caps/>
          <w:lang w:eastAsia="zh-CN"/>
        </w:rPr>
        <w:fldChar w:fldCharType="end"/>
      </w:r>
      <w:bookmarkStart w:id="3" w:name="_Toc287440406"/>
      <w:bookmarkEnd w:id="1"/>
      <w:bookmarkEnd w:id="2"/>
    </w:p>
    <w:p w14:paraId="65BC446B" w14:textId="58CBEF5C" w:rsidR="00D64701" w:rsidRDefault="00D64701" w:rsidP="000542D4">
      <w:pPr>
        <w:spacing w:before="60" w:after="60"/>
        <w:rPr>
          <w:rFonts w:ascii="Arial" w:hAnsi="Arial"/>
          <w:b/>
        </w:rPr>
      </w:pPr>
    </w:p>
    <w:p w14:paraId="22AA8147" w14:textId="77777777" w:rsidR="00D64701" w:rsidRDefault="00D64701">
      <w:pPr>
        <w:rPr>
          <w:rFonts w:ascii="Arial" w:hAnsi="Arial"/>
          <w:b/>
        </w:rPr>
      </w:pPr>
      <w:r>
        <w:rPr>
          <w:rFonts w:ascii="Arial" w:hAnsi="Arial"/>
          <w:b/>
        </w:rPr>
        <w:br w:type="page"/>
      </w:r>
    </w:p>
    <w:bookmarkEnd w:id="3"/>
    <w:p w14:paraId="5424C9A3" w14:textId="77777777" w:rsidR="00595C15" w:rsidRPr="00EE5AE1" w:rsidRDefault="00595C15" w:rsidP="000542D4">
      <w:pPr>
        <w:pStyle w:val="Heading1"/>
        <w:numPr>
          <w:ilvl w:val="0"/>
          <w:numId w:val="0"/>
        </w:numPr>
        <w:ind w:left="720"/>
      </w:pPr>
    </w:p>
    <w:p w14:paraId="65BC446D" w14:textId="2CA3BD4E" w:rsidR="00525296" w:rsidRDefault="00277B92" w:rsidP="00277B92">
      <w:pPr>
        <w:pStyle w:val="Heading1"/>
        <w:numPr>
          <w:ilvl w:val="0"/>
          <w:numId w:val="0"/>
        </w:numPr>
      </w:pPr>
      <w:bookmarkStart w:id="4" w:name="_Toc467074146"/>
      <w:r w:rsidRPr="00277B92">
        <w:t>1.</w:t>
      </w:r>
      <w:r w:rsidRPr="00277B92">
        <w:tab/>
      </w:r>
      <w:r w:rsidR="00D52D6C">
        <w:t>Background</w:t>
      </w:r>
      <w:bookmarkEnd w:id="4"/>
    </w:p>
    <w:p w14:paraId="4CABF595" w14:textId="117E0E06" w:rsidR="00F13B3D" w:rsidRDefault="00F13B3D" w:rsidP="00F13B3D">
      <w:pPr>
        <w:pStyle w:val="Heading2"/>
        <w:tabs>
          <w:tab w:val="clear" w:pos="862"/>
          <w:tab w:val="num" w:pos="851"/>
        </w:tabs>
        <w:ind w:left="851" w:hanging="851"/>
      </w:pPr>
      <w:bookmarkStart w:id="5" w:name="_Toc285814857"/>
      <w:bookmarkStart w:id="6" w:name="_Toc285814860"/>
      <w:bookmarkStart w:id="7" w:name="_Toc285814869"/>
      <w:bookmarkStart w:id="8" w:name="_Toc285814876"/>
      <w:bookmarkEnd w:id="5"/>
      <w:bookmarkEnd w:id="6"/>
      <w:bookmarkEnd w:id="7"/>
      <w:bookmarkEnd w:id="8"/>
      <w:r>
        <w:t>The Procurement Transformation Programme supports the requirement to make £22bn efficiency savings by 2020/21 as set out in the Five Year Forward View</w:t>
      </w:r>
      <w:r w:rsidR="00D52D6C">
        <w:rPr>
          <w:rStyle w:val="FootnoteReference"/>
        </w:rPr>
        <w:footnoteReference w:id="2"/>
      </w:r>
      <w:r>
        <w:t>.</w:t>
      </w:r>
    </w:p>
    <w:p w14:paraId="3AE635AF" w14:textId="3D18FB2C" w:rsidR="00D52D6C" w:rsidRDefault="00D52D6C" w:rsidP="00F13B3D">
      <w:pPr>
        <w:pStyle w:val="Heading2"/>
        <w:tabs>
          <w:tab w:val="clear" w:pos="862"/>
          <w:tab w:val="num" w:pos="851"/>
        </w:tabs>
        <w:ind w:left="851" w:hanging="851"/>
      </w:pPr>
      <w:r>
        <w:t>This P</w:t>
      </w:r>
      <w:r w:rsidR="00F13B3D">
        <w:t xml:space="preserve">rogramme encompasses a number of projects which centre on maximising the efficiency of how goods and services are selected, procured and delivered to the NHS, principally to Acute Secondary Care Trusts.  One of these projects is the </w:t>
      </w:r>
      <w:r w:rsidR="00C172BF">
        <w:t>Future Operating Model (“</w:t>
      </w:r>
      <w:r w:rsidR="009C2FAC">
        <w:t>FOM</w:t>
      </w:r>
      <w:r w:rsidR="00C172BF">
        <w:t>”)</w:t>
      </w:r>
      <w:r w:rsidR="00F13B3D">
        <w:t xml:space="preserve"> for procurement and supply chain in the NHS.  </w:t>
      </w:r>
    </w:p>
    <w:p w14:paraId="2277672A" w14:textId="25DC87EA" w:rsidR="00F13B3D" w:rsidRDefault="00D52D6C" w:rsidP="00F13B3D">
      <w:pPr>
        <w:pStyle w:val="Heading2"/>
        <w:tabs>
          <w:tab w:val="clear" w:pos="862"/>
          <w:tab w:val="num" w:pos="851"/>
        </w:tabs>
        <w:ind w:left="851" w:hanging="851"/>
      </w:pPr>
      <w:r>
        <w:t>Full i</w:t>
      </w:r>
      <w:r w:rsidR="00F13B3D">
        <w:t xml:space="preserve">mplementation </w:t>
      </w:r>
      <w:r>
        <w:t xml:space="preserve">of the FOM </w:t>
      </w:r>
      <w:r w:rsidR="00F13B3D">
        <w:t xml:space="preserve">has to be no later than the expiry of the existing NHS Supply Chain arrangements with </w:t>
      </w:r>
      <w:r w:rsidR="009C2FAC">
        <w:t>the Current Provider on 30 September 2018</w:t>
      </w:r>
      <w:r w:rsidR="00F13B3D">
        <w:t>.</w:t>
      </w:r>
    </w:p>
    <w:p w14:paraId="53969712" w14:textId="71B7B827" w:rsidR="00F13B3D" w:rsidRDefault="00F13B3D" w:rsidP="00F13B3D">
      <w:pPr>
        <w:pStyle w:val="Heading2"/>
        <w:tabs>
          <w:tab w:val="clear" w:pos="862"/>
          <w:tab w:val="num" w:pos="851"/>
        </w:tabs>
        <w:ind w:left="851" w:hanging="851"/>
      </w:pPr>
      <w:r>
        <w:t xml:space="preserve">The transformation of the NHS Supply Chain has two key </w:t>
      </w:r>
      <w:r w:rsidR="00070189">
        <w:t>objectives</w:t>
      </w:r>
      <w:r>
        <w:t>:</w:t>
      </w:r>
    </w:p>
    <w:p w14:paraId="532E6B6C" w14:textId="584B2F3A" w:rsidR="00F13B3D" w:rsidRDefault="00F13B3D" w:rsidP="00F13B3D">
      <w:pPr>
        <w:pStyle w:val="Heading2"/>
        <w:numPr>
          <w:ilvl w:val="0"/>
          <w:numId w:val="0"/>
        </w:numPr>
        <w:ind w:left="1276" w:hanging="425"/>
      </w:pPr>
      <w:proofErr w:type="gramStart"/>
      <w:r>
        <w:t>a</w:t>
      </w:r>
      <w:proofErr w:type="gramEnd"/>
      <w:r>
        <w:t>)</w:t>
      </w:r>
      <w:r>
        <w:tab/>
        <w:t xml:space="preserve">Greater uptake in its services from the NHS, from </w:t>
      </w:r>
      <w:r w:rsidR="00E204CF">
        <w:t>40</w:t>
      </w:r>
      <w:r w:rsidRPr="00FA2ABB">
        <w:t>%</w:t>
      </w:r>
      <w:r>
        <w:t xml:space="preserve"> approximately as of March 2016 to </w:t>
      </w:r>
      <w:r w:rsidR="00E204CF">
        <w:t>80</w:t>
      </w:r>
      <w:r w:rsidRPr="00FA2ABB">
        <w:t>%</w:t>
      </w:r>
      <w:r>
        <w:t xml:space="preserve"> by March 2021; and</w:t>
      </w:r>
    </w:p>
    <w:p w14:paraId="36DBFEED" w14:textId="575F9B36" w:rsidR="00F13B3D" w:rsidRDefault="00F13B3D" w:rsidP="00F13B3D">
      <w:pPr>
        <w:pStyle w:val="Heading2"/>
        <w:numPr>
          <w:ilvl w:val="0"/>
          <w:numId w:val="0"/>
        </w:numPr>
        <w:ind w:left="1276" w:hanging="425"/>
      </w:pPr>
      <w:r>
        <w:t>b)</w:t>
      </w:r>
      <w:r>
        <w:tab/>
        <w:t>Ongoing annualised savings of up to £</w:t>
      </w:r>
      <w:r w:rsidRPr="00FA2ABB">
        <w:t>600m</w:t>
      </w:r>
      <w:r>
        <w:t xml:space="preserve"> by March 202</w:t>
      </w:r>
      <w:r w:rsidR="00E204CF">
        <w:t>2</w:t>
      </w:r>
      <w:r>
        <w:t>.</w:t>
      </w:r>
    </w:p>
    <w:p w14:paraId="29E4F372" w14:textId="09D249FA" w:rsidR="00F13B3D" w:rsidRDefault="00F13B3D" w:rsidP="00D52D6C">
      <w:pPr>
        <w:pStyle w:val="Heading2"/>
      </w:pPr>
      <w:r>
        <w:t xml:space="preserve">The FOM disaggregates the current integrated model delivered by a single service provider, with a thin NHS–run relationship management client, into five separate components </w:t>
      </w:r>
      <w:r w:rsidR="00D52D6C">
        <w:t xml:space="preserve">(see </w:t>
      </w:r>
      <w:r w:rsidR="00D52D6C">
        <w:fldChar w:fldCharType="begin"/>
      </w:r>
      <w:r w:rsidR="00D52D6C">
        <w:instrText xml:space="preserve"> REF _Ref458590134 \r \h </w:instrText>
      </w:r>
      <w:r w:rsidR="00D52D6C">
        <w:fldChar w:fldCharType="separate"/>
      </w:r>
      <w:r w:rsidR="000E3186">
        <w:t>1.8</w:t>
      </w:r>
      <w:r w:rsidR="00D52D6C">
        <w:fldChar w:fldCharType="end"/>
      </w:r>
      <w:r w:rsidR="00D52D6C">
        <w:t xml:space="preserve"> </w:t>
      </w:r>
      <w:r w:rsidR="00D52D6C">
        <w:fldChar w:fldCharType="begin"/>
      </w:r>
      <w:r w:rsidR="00D52D6C">
        <w:instrText xml:space="preserve"> REF _Ref458590134 \h </w:instrText>
      </w:r>
      <w:r w:rsidR="00D52D6C">
        <w:fldChar w:fldCharType="separate"/>
      </w:r>
      <w:r w:rsidR="000E3186">
        <w:t>Diagram 1 – Current/Future Model</w:t>
      </w:r>
      <w:r w:rsidR="00D52D6C">
        <w:fldChar w:fldCharType="end"/>
      </w:r>
      <w:r w:rsidR="00D52D6C">
        <w:t xml:space="preserve"> below)</w:t>
      </w:r>
      <w:r>
        <w:t xml:space="preserve">. Under the FOM, the </w:t>
      </w:r>
      <w:r w:rsidR="009C2FAC">
        <w:t>ICC</w:t>
      </w:r>
      <w:r>
        <w:t xml:space="preserve"> provides an overall management function with greater responsibility, scope and depth than the current model. </w:t>
      </w:r>
    </w:p>
    <w:p w14:paraId="1DBD02C1" w14:textId="77777777" w:rsidR="00F13B3D" w:rsidRDefault="00F13B3D" w:rsidP="00F13B3D">
      <w:pPr>
        <w:pStyle w:val="Heading2"/>
      </w:pPr>
      <w:r>
        <w:t>As a result the ICC will operate with approximately 160 more personnel than the NHS BSA relationship management client (approximately 40 personnel).</w:t>
      </w:r>
    </w:p>
    <w:p w14:paraId="3C2FC4E8" w14:textId="636CA9C0" w:rsidR="00070189" w:rsidRDefault="00F13B3D" w:rsidP="00F13B3D">
      <w:pPr>
        <w:pStyle w:val="Heading2"/>
      </w:pPr>
      <w:r>
        <w:t xml:space="preserve">The output for this invitation to tender is the </w:t>
      </w:r>
      <w:r w:rsidR="00070189">
        <w:t xml:space="preserve">delivery </w:t>
      </w:r>
      <w:r>
        <w:t xml:space="preserve">and steady state operation of the </w:t>
      </w:r>
      <w:r w:rsidR="009C2FAC">
        <w:t>ICC</w:t>
      </w:r>
      <w:r>
        <w:t xml:space="preserve">.   The ICC is the central service delivery management function acting on behalf of NHS Trusts and the Authority, and is critical to the success of the FOM.  It manages the services from the other parts of the FOM. It will be the focal point, co-ordinator and driver of the main commercial objectives that the Procurement Transformation Programme is trying to </w:t>
      </w:r>
      <w:r w:rsidR="00070189">
        <w:t>achieve</w:t>
      </w:r>
      <w:r>
        <w:t xml:space="preserve">. </w:t>
      </w:r>
    </w:p>
    <w:p w14:paraId="65BC446E" w14:textId="0FA1BA39" w:rsidR="006F0298" w:rsidRDefault="00F13B3D" w:rsidP="00070189">
      <w:pPr>
        <w:pStyle w:val="Heading2"/>
        <w:numPr>
          <w:ilvl w:val="0"/>
          <w:numId w:val="0"/>
        </w:numPr>
        <w:ind w:left="720"/>
      </w:pPr>
      <w:r>
        <w:t xml:space="preserve"> </w:t>
      </w:r>
    </w:p>
    <w:p w14:paraId="2475F127" w14:textId="77777777" w:rsidR="00F13B3D" w:rsidRDefault="00F13B3D" w:rsidP="00F13B3D">
      <w:pPr>
        <w:pStyle w:val="Heading2"/>
      </w:pPr>
      <w:bookmarkStart w:id="9" w:name="_Ref458590134"/>
      <w:r>
        <w:lastRenderedPageBreak/>
        <w:t>Diagram 1 – Current/Future Model</w:t>
      </w:r>
      <w:bookmarkEnd w:id="9"/>
    </w:p>
    <w:p w14:paraId="1E4F313B" w14:textId="5AB911DA" w:rsidR="00DF6BD0" w:rsidRDefault="00F13B3D" w:rsidP="00DF6BD0">
      <w:pPr>
        <w:pStyle w:val="Heading2"/>
        <w:numPr>
          <w:ilvl w:val="0"/>
          <w:numId w:val="0"/>
        </w:numPr>
        <w:ind w:firstLine="720"/>
      </w:pPr>
      <w:proofErr w:type="gramStart"/>
      <w:r>
        <w:t>a</w:t>
      </w:r>
      <w:proofErr w:type="gramEnd"/>
      <w:r>
        <w:t>) Current Model</w:t>
      </w:r>
      <w:r>
        <w:tab/>
      </w:r>
      <w:r w:rsidR="00DF6BD0" w:rsidRPr="00DF6BD0">
        <w:tab/>
      </w:r>
      <w:r w:rsidR="00DF6BD0">
        <w:tab/>
      </w:r>
      <w:r w:rsidR="00DF6BD0">
        <w:tab/>
      </w:r>
      <w:r w:rsidR="00DF6BD0">
        <w:tab/>
      </w:r>
      <w:r w:rsidR="00DF6BD0" w:rsidRPr="00DF6BD0">
        <w:t xml:space="preserve">b) </w:t>
      </w:r>
      <w:r w:rsidR="009C2FAC">
        <w:t>FOM</w:t>
      </w:r>
    </w:p>
    <w:p w14:paraId="7671DBF8" w14:textId="71C91814" w:rsidR="00DF6BD0" w:rsidRDefault="00DF6BD0" w:rsidP="00DF6BD0">
      <w:pPr>
        <w:pStyle w:val="Heading2"/>
        <w:numPr>
          <w:ilvl w:val="0"/>
          <w:numId w:val="0"/>
        </w:numPr>
        <w:ind w:left="709"/>
      </w:pPr>
      <w:r>
        <w:rPr>
          <w:noProof/>
          <w:lang w:eastAsia="en-GB"/>
        </w:rPr>
        <w:drawing>
          <wp:inline distT="0" distB="0" distL="0" distR="0" wp14:anchorId="2D2A085B" wp14:editId="3517EC18">
            <wp:extent cx="5227955" cy="2072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955" cy="2072640"/>
                    </a:xfrm>
                    <a:prstGeom prst="rect">
                      <a:avLst/>
                    </a:prstGeom>
                    <a:noFill/>
                  </pic:spPr>
                </pic:pic>
              </a:graphicData>
            </a:graphic>
          </wp:inline>
        </w:drawing>
      </w:r>
    </w:p>
    <w:p w14:paraId="145B86DE" w14:textId="77777777" w:rsidR="00F13B3D" w:rsidRDefault="00F13B3D" w:rsidP="00F13B3D">
      <w:pPr>
        <w:pStyle w:val="Heading2"/>
      </w:pPr>
      <w:r>
        <w:t>The FOM is an evolutionary change, not a revolutionary one. The transformation programme will consist of stepwise changes that require strong programme management and excellent communications to all stakeholders.</w:t>
      </w:r>
    </w:p>
    <w:p w14:paraId="1651B69C" w14:textId="7CAAD29E" w:rsidR="00F13B3D" w:rsidRDefault="00F13B3D" w:rsidP="00F13B3D">
      <w:pPr>
        <w:pStyle w:val="Heading2"/>
      </w:pPr>
      <w:r>
        <w:t xml:space="preserve">External assistance is required to work in partnership with </w:t>
      </w:r>
      <w:r w:rsidR="009C2FAC">
        <w:t>the Authority</w:t>
      </w:r>
      <w:r>
        <w:t>, NHS</w:t>
      </w:r>
      <w:r w:rsidR="009C2FAC">
        <w:t xml:space="preserve"> Business Services Authority</w:t>
      </w:r>
      <w:r>
        <w:t xml:space="preserve"> </w:t>
      </w:r>
      <w:r w:rsidR="009C2FAC" w:rsidRPr="003A2309">
        <w:t xml:space="preserve">(“NHS </w:t>
      </w:r>
      <w:r w:rsidRPr="003A2309">
        <w:t>BSA</w:t>
      </w:r>
      <w:r w:rsidR="009C2FAC">
        <w:t>”)</w:t>
      </w:r>
      <w:r>
        <w:t xml:space="preserve"> and Cabinet Office colleagues to support the creation of the ICC with the following transformation deliverables:</w:t>
      </w:r>
    </w:p>
    <w:p w14:paraId="79F89BF1" w14:textId="77777777" w:rsidR="00F13B3D" w:rsidRPr="00A3467E" w:rsidRDefault="00F13B3D" w:rsidP="000760AE">
      <w:pPr>
        <w:pStyle w:val="Heading2"/>
        <w:numPr>
          <w:ilvl w:val="0"/>
          <w:numId w:val="22"/>
        </w:numPr>
        <w:ind w:left="1276" w:hanging="425"/>
      </w:pPr>
      <w:r w:rsidRPr="00A3467E">
        <w:t>Design – validate work done to date and develop new where appropriate</w:t>
      </w:r>
    </w:p>
    <w:p w14:paraId="518366D5" w14:textId="77777777" w:rsidR="00F13B3D" w:rsidRDefault="00F13B3D" w:rsidP="000760AE">
      <w:pPr>
        <w:pStyle w:val="Heading2"/>
        <w:numPr>
          <w:ilvl w:val="0"/>
          <w:numId w:val="22"/>
        </w:numPr>
        <w:ind w:left="1276" w:hanging="425"/>
      </w:pPr>
      <w:r>
        <w:t>Build – develop operating processes, recruit and train staff</w:t>
      </w:r>
    </w:p>
    <w:p w14:paraId="390CE401" w14:textId="77777777" w:rsidR="00F13B3D" w:rsidRDefault="00F13B3D" w:rsidP="000760AE">
      <w:pPr>
        <w:pStyle w:val="Heading2"/>
        <w:numPr>
          <w:ilvl w:val="0"/>
          <w:numId w:val="22"/>
        </w:numPr>
        <w:ind w:left="1276" w:hanging="425"/>
      </w:pPr>
      <w:r>
        <w:t>Transition – plan and manage service transitions from BAU operations to new arrangements</w:t>
      </w:r>
    </w:p>
    <w:p w14:paraId="3E93C00C" w14:textId="77777777" w:rsidR="00F13B3D" w:rsidRDefault="00F13B3D" w:rsidP="000760AE">
      <w:pPr>
        <w:pStyle w:val="Heading2"/>
        <w:numPr>
          <w:ilvl w:val="0"/>
          <w:numId w:val="22"/>
        </w:numPr>
        <w:ind w:left="1276" w:hanging="425"/>
      </w:pPr>
      <w:r>
        <w:t>Operate – back fill posts not yet recruited, coach new staff, refine and improve processes</w:t>
      </w:r>
    </w:p>
    <w:p w14:paraId="453B635A" w14:textId="2049F862" w:rsidR="00F13B3D" w:rsidRDefault="00E204CF" w:rsidP="00F13B3D">
      <w:pPr>
        <w:pStyle w:val="Heading2"/>
      </w:pPr>
      <w:r>
        <w:t>The ICC is a critical part of the FOM to ensure</w:t>
      </w:r>
      <w:r w:rsidR="00F13B3D">
        <w:t xml:space="preserve"> a public sector interface between the NHS and the service providers, providing an efficient model between driving up customer development and managing supplier performance.</w:t>
      </w:r>
    </w:p>
    <w:p w14:paraId="6C84BA12" w14:textId="26D12A01" w:rsidR="00F13B3D" w:rsidRDefault="00F13B3D" w:rsidP="00F13B3D">
      <w:pPr>
        <w:pStyle w:val="Heading2"/>
      </w:pPr>
      <w:r>
        <w:t xml:space="preserve">The Authority is in the early stages of the Programme, having developed a high level FOM, organisational design and key Programme milestones to deliver supply chain services to the NHS. A critical component of the FOM is the ICC. Further information on </w:t>
      </w:r>
      <w:r>
        <w:lastRenderedPageBreak/>
        <w:t>the Programme, FOM and ICC is provided within the Contract</w:t>
      </w:r>
      <w:r w:rsidR="009C16CA">
        <w:t>,</w:t>
      </w:r>
      <w:r w:rsidR="009C16CA" w:rsidRPr="009C16CA">
        <w:t xml:space="preserve"> </w:t>
      </w:r>
      <w:r w:rsidR="009C16CA">
        <w:t>Schedule 2</w:t>
      </w:r>
      <w:r w:rsidR="00FA2ABB">
        <w:t xml:space="preserve"> </w:t>
      </w:r>
      <w:bookmarkStart w:id="10" w:name="_GoBack"/>
      <w:bookmarkEnd w:id="10"/>
      <w:r w:rsidR="00FA2ABB">
        <w:t>(</w:t>
      </w:r>
      <w:r w:rsidR="009C16CA">
        <w:t>Services</w:t>
      </w:r>
      <w:r w:rsidR="00FA2ABB">
        <w:t>)</w:t>
      </w:r>
      <w:r>
        <w:t xml:space="preserve"> and forms part of this Specification. </w:t>
      </w:r>
    </w:p>
    <w:p w14:paraId="65BC446F" w14:textId="48D60913" w:rsidR="006F0298" w:rsidRDefault="00F13B3D" w:rsidP="006F0298">
      <w:pPr>
        <w:pStyle w:val="Heading2"/>
      </w:pPr>
      <w:r>
        <w:t xml:space="preserve">The Authority has mobilised its leadership team </w:t>
      </w:r>
      <w:r w:rsidR="005E2AA5">
        <w:t xml:space="preserve">(Authority’s Leadership Team (ALT)) </w:t>
      </w:r>
      <w:r>
        <w:t xml:space="preserve">for the new ICC organisation, and has started the transformation activities relating to the ICC as one of the key work streams under the Programme.  It is intended that the </w:t>
      </w:r>
      <w:r w:rsidR="00974E53">
        <w:t>Potential Provider</w:t>
      </w:r>
      <w:r>
        <w:t xml:space="preserve"> will provide support to the programme, including leadership, constructive challenge, capability and capacity enhancement, under the overall leadership of the Authority.</w:t>
      </w:r>
    </w:p>
    <w:p w14:paraId="671680CF" w14:textId="65586974" w:rsidR="009C2FAC" w:rsidRDefault="009C2FAC" w:rsidP="006F0298">
      <w:pPr>
        <w:pStyle w:val="Heading2"/>
      </w:pPr>
      <w:r>
        <w:t>Unless otherwise defined, capitalised terms used in this Attachment 2 shall be as defined in Schedule 1 (Definitions) or Annex 1 (Service Definitions) to Schedule 2 (Services) of the Contract.</w:t>
      </w:r>
    </w:p>
    <w:p w14:paraId="65BC4473" w14:textId="6B0E5D59" w:rsidR="006F0298" w:rsidRDefault="00DF6BD0" w:rsidP="006F0298">
      <w:pPr>
        <w:pStyle w:val="Heading1"/>
      </w:pPr>
      <w:bookmarkStart w:id="11" w:name="_Toc467074147"/>
      <w:r>
        <w:t>The Requirement</w:t>
      </w:r>
      <w:bookmarkEnd w:id="11"/>
    </w:p>
    <w:p w14:paraId="4C81EC77" w14:textId="740E1F21" w:rsidR="00DF6BD0" w:rsidRDefault="00DF6BD0" w:rsidP="00DF6BD0">
      <w:pPr>
        <w:pStyle w:val="Heading2"/>
      </w:pPr>
      <w:r>
        <w:t xml:space="preserve">The </w:t>
      </w:r>
      <w:r w:rsidR="00974E53">
        <w:t>Potential Provider</w:t>
      </w:r>
      <w:r>
        <w:t xml:space="preserve"> shall provide:</w:t>
      </w:r>
    </w:p>
    <w:p w14:paraId="2F5968C0" w14:textId="79CFA9AF" w:rsidR="00DF6BD0" w:rsidRDefault="00DF6BD0" w:rsidP="000760AE">
      <w:pPr>
        <w:pStyle w:val="Heading2"/>
        <w:numPr>
          <w:ilvl w:val="0"/>
          <w:numId w:val="23"/>
        </w:numPr>
      </w:pPr>
      <w:proofErr w:type="gramStart"/>
      <w:r>
        <w:t>the</w:t>
      </w:r>
      <w:proofErr w:type="gramEnd"/>
      <w:r>
        <w:t xml:space="preserve"> Core Services, as set out in the Contract/Schedule 2 Part B (The Core Services); and</w:t>
      </w:r>
    </w:p>
    <w:p w14:paraId="14144739" w14:textId="45750F8D" w:rsidR="00DF6BD0" w:rsidRDefault="00DF6BD0" w:rsidP="000760AE">
      <w:pPr>
        <w:pStyle w:val="Heading2"/>
        <w:numPr>
          <w:ilvl w:val="0"/>
          <w:numId w:val="23"/>
        </w:numPr>
      </w:pPr>
      <w:proofErr w:type="gramStart"/>
      <w:r>
        <w:t>any</w:t>
      </w:r>
      <w:proofErr w:type="gramEnd"/>
      <w:r>
        <w:t xml:space="preserve"> Optional Services as set out in the Contract/Schedule 2</w:t>
      </w:r>
      <w:r w:rsidR="009C16CA">
        <w:t xml:space="preserve"> Part C (The Optional Services)</w:t>
      </w:r>
      <w:r>
        <w:t>.</w:t>
      </w:r>
    </w:p>
    <w:p w14:paraId="0363D838" w14:textId="77777777" w:rsidR="00DF6BD0" w:rsidRPr="00DF6BD0" w:rsidRDefault="00DF6BD0" w:rsidP="00DF6BD0">
      <w:pPr>
        <w:pStyle w:val="Heading2"/>
        <w:numPr>
          <w:ilvl w:val="0"/>
          <w:numId w:val="0"/>
        </w:numPr>
        <w:rPr>
          <w:b/>
        </w:rPr>
      </w:pPr>
      <w:r w:rsidRPr="00DF6BD0">
        <w:rPr>
          <w:b/>
        </w:rPr>
        <w:t>Objectives</w:t>
      </w:r>
    </w:p>
    <w:p w14:paraId="286A936B" w14:textId="03AF1D67" w:rsidR="00DF6BD0" w:rsidRDefault="00DF6BD0" w:rsidP="00DF6BD0">
      <w:pPr>
        <w:pStyle w:val="Heading2"/>
      </w:pPr>
      <w:r>
        <w:t xml:space="preserve">In supplying its </w:t>
      </w:r>
      <w:r w:rsidR="009C16CA">
        <w:t>s</w:t>
      </w:r>
      <w:r>
        <w:t xml:space="preserve">ervices under this </w:t>
      </w:r>
      <w:r w:rsidR="00882A35">
        <w:t>r</w:t>
      </w:r>
      <w:r w:rsidR="009C16CA">
        <w:t>equirement</w:t>
      </w:r>
      <w:r>
        <w:t xml:space="preserve">, the </w:t>
      </w:r>
      <w:r w:rsidR="00974E53">
        <w:t>Potential Provider</w:t>
      </w:r>
      <w:r>
        <w:t xml:space="preserve"> shall:</w:t>
      </w:r>
    </w:p>
    <w:p w14:paraId="1BA636C1" w14:textId="37F262AF" w:rsidR="00DF6BD0" w:rsidRDefault="00DF6BD0" w:rsidP="000760AE">
      <w:pPr>
        <w:pStyle w:val="Heading2"/>
        <w:numPr>
          <w:ilvl w:val="0"/>
          <w:numId w:val="24"/>
        </w:numPr>
      </w:pPr>
      <w:proofErr w:type="gramStart"/>
      <w:r>
        <w:t>provide</w:t>
      </w:r>
      <w:proofErr w:type="gramEnd"/>
      <w:r>
        <w:t xml:space="preserve"> the leadership, resourcing, capacity and expertise required to deliver and establish the ICC as a fully-functioning and resourced unit within the Authority (or such other third party body as shall be determined by the Authority); and</w:t>
      </w:r>
    </w:p>
    <w:p w14:paraId="528F5D82" w14:textId="58437A70" w:rsidR="00DF6BD0" w:rsidRDefault="00DF6BD0" w:rsidP="000760AE">
      <w:pPr>
        <w:pStyle w:val="Heading2"/>
        <w:numPr>
          <w:ilvl w:val="0"/>
          <w:numId w:val="24"/>
        </w:numPr>
      </w:pPr>
      <w:proofErr w:type="gramStart"/>
      <w:r>
        <w:t>support</w:t>
      </w:r>
      <w:proofErr w:type="gramEnd"/>
      <w:r>
        <w:t xml:space="preserve"> other areas of the Programme as required by the Authority,</w:t>
      </w:r>
    </w:p>
    <w:p w14:paraId="6103246F" w14:textId="77777777" w:rsidR="00DF6BD0" w:rsidRDefault="00DF6BD0" w:rsidP="00DF6BD0">
      <w:pPr>
        <w:pStyle w:val="Heading2"/>
        <w:numPr>
          <w:ilvl w:val="0"/>
          <w:numId w:val="0"/>
        </w:numPr>
        <w:ind w:firstLine="720"/>
      </w:pPr>
      <w:r>
        <w:t>(</w:t>
      </w:r>
      <w:proofErr w:type="gramStart"/>
      <w:r>
        <w:t>together</w:t>
      </w:r>
      <w:proofErr w:type="gramEnd"/>
      <w:r>
        <w:t xml:space="preserve"> the “</w:t>
      </w:r>
      <w:r w:rsidRPr="009C2FAC">
        <w:rPr>
          <w:b/>
        </w:rPr>
        <w:t>Objectives</w:t>
      </w:r>
      <w:r>
        <w:t>”).</w:t>
      </w:r>
    </w:p>
    <w:p w14:paraId="509998DB" w14:textId="605BD1FA" w:rsidR="00DF6BD0" w:rsidRDefault="00DF6BD0" w:rsidP="00DF6BD0">
      <w:pPr>
        <w:pStyle w:val="Heading2"/>
      </w:pPr>
      <w:r>
        <w:t xml:space="preserve">The </w:t>
      </w:r>
      <w:r w:rsidR="00974E53">
        <w:t>Potential Provider</w:t>
      </w:r>
      <w:r>
        <w:t xml:space="preserve"> acknowledges that achieving the Objectives will require the </w:t>
      </w:r>
      <w:r w:rsidR="00974E53">
        <w:t>Potential Provider</w:t>
      </w:r>
      <w:r>
        <w:t xml:space="preserve"> not only to review, challenge and develop the plans and models for the ICC and wider Programme already prepared by the Authority but, more importantly, to use the </w:t>
      </w:r>
      <w:r w:rsidR="00974E53">
        <w:t>Potential Provider</w:t>
      </w:r>
      <w:r>
        <w:t>’s expertise, resources and leadership skills effectively to implement and deliver the ICC and the wider Programme (subject to the Authority’s overall authority and leadership).</w:t>
      </w:r>
    </w:p>
    <w:p w14:paraId="2F89DDEE" w14:textId="77777777" w:rsidR="00DF6BD0" w:rsidRPr="00DF6BD0" w:rsidRDefault="00DF6BD0" w:rsidP="00DF6BD0">
      <w:pPr>
        <w:pStyle w:val="Heading2"/>
        <w:numPr>
          <w:ilvl w:val="0"/>
          <w:numId w:val="0"/>
        </w:numPr>
        <w:rPr>
          <w:b/>
        </w:rPr>
      </w:pPr>
      <w:r w:rsidRPr="00DF6BD0">
        <w:rPr>
          <w:b/>
        </w:rPr>
        <w:lastRenderedPageBreak/>
        <w:t>Tasks</w:t>
      </w:r>
    </w:p>
    <w:p w14:paraId="5713BB2B" w14:textId="5460D1B0" w:rsidR="00DF6BD0" w:rsidRDefault="00DF6BD0" w:rsidP="00DF6BD0">
      <w:pPr>
        <w:pStyle w:val="Heading2"/>
      </w:pPr>
      <w:r>
        <w:t xml:space="preserve">In supplying the Services to achieve the Objectives, the </w:t>
      </w:r>
      <w:r w:rsidR="00974E53">
        <w:t>Potential Provider</w:t>
      </w:r>
      <w:r>
        <w:t xml:space="preserve"> will carry out tasks to include those under the following headings:</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598"/>
      </w:tblGrid>
      <w:tr w:rsidR="00251FE1" w:rsidRPr="003F4BB7" w14:paraId="1E56872F" w14:textId="77777777" w:rsidTr="00974E53">
        <w:tc>
          <w:tcPr>
            <w:tcW w:w="4218" w:type="dxa"/>
            <w:tcBorders>
              <w:bottom w:val="double" w:sz="4" w:space="0" w:color="auto"/>
            </w:tcBorders>
            <w:shd w:val="clear" w:color="auto" w:fill="auto"/>
          </w:tcPr>
          <w:p w14:paraId="48E0B732" w14:textId="06169AF4" w:rsidR="00251FE1" w:rsidRPr="003F4BB7" w:rsidRDefault="00251FE1" w:rsidP="00A2754C">
            <w:pPr>
              <w:jc w:val="both"/>
              <w:rPr>
                <w:rFonts w:eastAsia="Calibri" w:cs="Times New Roman"/>
                <w:b/>
                <w:szCs w:val="20"/>
              </w:rPr>
            </w:pPr>
            <w:r w:rsidRPr="003F4BB7">
              <w:rPr>
                <w:rFonts w:eastAsia="Calibri" w:cs="Times New Roman"/>
                <w:b/>
                <w:szCs w:val="20"/>
              </w:rPr>
              <w:t>1. ICC</w:t>
            </w:r>
            <w:r>
              <w:rPr>
                <w:rFonts w:eastAsia="Calibri" w:cs="Times New Roman"/>
                <w:b/>
                <w:szCs w:val="20"/>
              </w:rPr>
              <w:t xml:space="preserve"> Transformation Services</w:t>
            </w:r>
          </w:p>
        </w:tc>
        <w:tc>
          <w:tcPr>
            <w:tcW w:w="4598" w:type="dxa"/>
            <w:tcBorders>
              <w:bottom w:val="double" w:sz="4" w:space="0" w:color="auto"/>
            </w:tcBorders>
            <w:shd w:val="clear" w:color="auto" w:fill="auto"/>
          </w:tcPr>
          <w:p w14:paraId="6FE0CE48" w14:textId="77777777" w:rsidR="00251FE1" w:rsidRPr="003F4BB7" w:rsidRDefault="00251FE1" w:rsidP="00974E53">
            <w:pPr>
              <w:rPr>
                <w:rFonts w:eastAsia="Calibri" w:cs="Times New Roman"/>
                <w:b/>
                <w:szCs w:val="20"/>
              </w:rPr>
            </w:pPr>
            <w:r w:rsidRPr="003F4BB7">
              <w:rPr>
                <w:rFonts w:eastAsia="Calibri" w:cs="Times New Roman"/>
                <w:b/>
                <w:szCs w:val="20"/>
              </w:rPr>
              <w:t xml:space="preserve">2. Programme </w:t>
            </w:r>
            <w:r>
              <w:rPr>
                <w:rFonts w:eastAsia="Calibri" w:cs="Times New Roman"/>
                <w:b/>
                <w:szCs w:val="20"/>
              </w:rPr>
              <w:t>S</w:t>
            </w:r>
            <w:r w:rsidRPr="003F4BB7">
              <w:rPr>
                <w:rFonts w:eastAsia="Calibri" w:cs="Times New Roman"/>
                <w:b/>
                <w:szCs w:val="20"/>
              </w:rPr>
              <w:t>upport</w:t>
            </w:r>
            <w:r>
              <w:rPr>
                <w:rFonts w:eastAsia="Calibri" w:cs="Times New Roman"/>
                <w:b/>
                <w:szCs w:val="20"/>
              </w:rPr>
              <w:t xml:space="preserve"> Services</w:t>
            </w:r>
          </w:p>
        </w:tc>
      </w:tr>
      <w:tr w:rsidR="00251FE1" w:rsidRPr="003F4BB7" w14:paraId="3117634F" w14:textId="77777777" w:rsidTr="00974E53">
        <w:tc>
          <w:tcPr>
            <w:tcW w:w="4218" w:type="dxa"/>
            <w:tcBorders>
              <w:top w:val="double" w:sz="4" w:space="0" w:color="auto"/>
            </w:tcBorders>
            <w:shd w:val="clear" w:color="auto" w:fill="auto"/>
          </w:tcPr>
          <w:p w14:paraId="788CE69E" w14:textId="77777777" w:rsidR="00251FE1" w:rsidRPr="003F4BB7" w:rsidRDefault="00251FE1" w:rsidP="000760AE">
            <w:pPr>
              <w:numPr>
                <w:ilvl w:val="0"/>
                <w:numId w:val="25"/>
              </w:numPr>
              <w:ind w:left="283" w:hanging="283"/>
              <w:contextualSpacing/>
              <w:rPr>
                <w:rFonts w:eastAsia="Calibri" w:cs="Times New Roman"/>
                <w:szCs w:val="20"/>
              </w:rPr>
            </w:pPr>
            <w:r w:rsidRPr="003F4BB7">
              <w:rPr>
                <w:rFonts w:eastAsia="Calibri" w:cs="Times New Roman"/>
                <w:szCs w:val="20"/>
              </w:rPr>
              <w:t>Business case and funding</w:t>
            </w:r>
          </w:p>
        </w:tc>
        <w:tc>
          <w:tcPr>
            <w:tcW w:w="4598" w:type="dxa"/>
            <w:tcBorders>
              <w:top w:val="double" w:sz="4" w:space="0" w:color="auto"/>
            </w:tcBorders>
            <w:shd w:val="clear" w:color="auto" w:fill="auto"/>
          </w:tcPr>
          <w:p w14:paraId="507845B7" w14:textId="77777777" w:rsidR="00251FE1" w:rsidRPr="003F4BB7" w:rsidRDefault="00251FE1" w:rsidP="000760AE">
            <w:pPr>
              <w:numPr>
                <w:ilvl w:val="0"/>
                <w:numId w:val="26"/>
              </w:numPr>
              <w:ind w:left="318" w:hanging="284"/>
              <w:contextualSpacing/>
              <w:rPr>
                <w:rFonts w:eastAsia="Calibri" w:cs="Times New Roman"/>
                <w:szCs w:val="20"/>
              </w:rPr>
            </w:pPr>
            <w:r w:rsidRPr="003F4BB7">
              <w:rPr>
                <w:rFonts w:eastAsia="Calibri" w:cs="Times New Roman"/>
                <w:szCs w:val="20"/>
              </w:rPr>
              <w:t xml:space="preserve">FOM </w:t>
            </w:r>
            <w:r>
              <w:rPr>
                <w:rFonts w:eastAsia="Calibri" w:cs="Times New Roman"/>
                <w:szCs w:val="20"/>
              </w:rPr>
              <w:t>f</w:t>
            </w:r>
            <w:r w:rsidRPr="003F4BB7">
              <w:rPr>
                <w:rFonts w:eastAsia="Calibri" w:cs="Times New Roman"/>
                <w:szCs w:val="20"/>
              </w:rPr>
              <w:t>inance</w:t>
            </w:r>
          </w:p>
        </w:tc>
      </w:tr>
      <w:tr w:rsidR="00251FE1" w:rsidRPr="003F4BB7" w14:paraId="682220A4" w14:textId="77777777" w:rsidTr="00974E53">
        <w:tc>
          <w:tcPr>
            <w:tcW w:w="4218" w:type="dxa"/>
            <w:shd w:val="clear" w:color="auto" w:fill="auto"/>
          </w:tcPr>
          <w:p w14:paraId="6949A1C4" w14:textId="77777777" w:rsidR="00251FE1" w:rsidRPr="003F4BB7" w:rsidRDefault="00251FE1" w:rsidP="000760AE">
            <w:pPr>
              <w:numPr>
                <w:ilvl w:val="0"/>
                <w:numId w:val="26"/>
              </w:numPr>
              <w:ind w:left="283" w:hanging="283"/>
              <w:contextualSpacing/>
              <w:rPr>
                <w:rFonts w:eastAsia="Calibri" w:cs="Times New Roman"/>
                <w:szCs w:val="20"/>
              </w:rPr>
            </w:pPr>
            <w:r w:rsidRPr="003F4BB7">
              <w:rPr>
                <w:rFonts w:eastAsia="Calibri" w:cs="Times New Roman"/>
                <w:szCs w:val="20"/>
              </w:rPr>
              <w:t xml:space="preserve">Organisation: </w:t>
            </w:r>
            <w:r>
              <w:rPr>
                <w:rFonts w:eastAsia="Calibri" w:cs="Times New Roman"/>
                <w:szCs w:val="20"/>
              </w:rPr>
              <w:t>f</w:t>
            </w:r>
            <w:r w:rsidRPr="003F4BB7">
              <w:rPr>
                <w:rFonts w:eastAsia="Calibri" w:cs="Times New Roman"/>
                <w:szCs w:val="20"/>
              </w:rPr>
              <w:t>orm, structure and build</w:t>
            </w:r>
          </w:p>
        </w:tc>
        <w:tc>
          <w:tcPr>
            <w:tcW w:w="4598" w:type="dxa"/>
            <w:shd w:val="clear" w:color="auto" w:fill="auto"/>
          </w:tcPr>
          <w:p w14:paraId="48CFD4C3" w14:textId="77777777" w:rsidR="00251FE1" w:rsidRPr="003F4BB7" w:rsidRDefault="00251FE1" w:rsidP="00974E53">
            <w:pPr>
              <w:ind w:left="318" w:hanging="284"/>
              <w:rPr>
                <w:rFonts w:eastAsia="Calibri" w:cs="Times New Roman"/>
                <w:szCs w:val="20"/>
              </w:rPr>
            </w:pPr>
            <w:r w:rsidRPr="003F4BB7">
              <w:rPr>
                <w:rFonts w:eastAsia="Calibri" w:cs="Times New Roman"/>
                <w:szCs w:val="20"/>
              </w:rPr>
              <w:t>b)</w:t>
            </w:r>
            <w:r w:rsidRPr="003F4BB7">
              <w:rPr>
                <w:rFonts w:eastAsia="Calibri" w:cs="Times New Roman"/>
                <w:szCs w:val="20"/>
              </w:rPr>
              <w:tab/>
              <w:t xml:space="preserve">Current </w:t>
            </w:r>
            <w:r>
              <w:rPr>
                <w:rFonts w:eastAsia="Calibri" w:cs="Times New Roman"/>
                <w:szCs w:val="20"/>
              </w:rPr>
              <w:t>p</w:t>
            </w:r>
            <w:r w:rsidRPr="003F4BB7">
              <w:rPr>
                <w:rFonts w:eastAsia="Calibri" w:cs="Times New Roman"/>
                <w:szCs w:val="20"/>
              </w:rPr>
              <w:t xml:space="preserve">rovider </w:t>
            </w:r>
            <w:r>
              <w:rPr>
                <w:rFonts w:eastAsia="Calibri" w:cs="Times New Roman"/>
                <w:szCs w:val="20"/>
              </w:rPr>
              <w:t>t</w:t>
            </w:r>
            <w:r w:rsidRPr="003F4BB7">
              <w:rPr>
                <w:rFonts w:eastAsia="Calibri" w:cs="Times New Roman"/>
                <w:szCs w:val="20"/>
              </w:rPr>
              <w:t xml:space="preserve">ransition &amp; </w:t>
            </w:r>
            <w:r>
              <w:rPr>
                <w:rFonts w:eastAsia="Calibri" w:cs="Times New Roman"/>
                <w:szCs w:val="20"/>
              </w:rPr>
              <w:t>e</w:t>
            </w:r>
            <w:r w:rsidRPr="003F4BB7">
              <w:rPr>
                <w:rFonts w:eastAsia="Calibri" w:cs="Times New Roman"/>
                <w:szCs w:val="20"/>
              </w:rPr>
              <w:t xml:space="preserve">xit </w:t>
            </w:r>
            <w:r>
              <w:rPr>
                <w:rFonts w:eastAsia="Calibri" w:cs="Times New Roman"/>
                <w:szCs w:val="20"/>
              </w:rPr>
              <w:t>m</w:t>
            </w:r>
            <w:r w:rsidRPr="003F4BB7">
              <w:rPr>
                <w:rFonts w:eastAsia="Calibri" w:cs="Times New Roman"/>
                <w:szCs w:val="20"/>
              </w:rPr>
              <w:t>anagement</w:t>
            </w:r>
          </w:p>
        </w:tc>
      </w:tr>
      <w:tr w:rsidR="00251FE1" w:rsidRPr="003F4BB7" w14:paraId="109F47F9" w14:textId="77777777" w:rsidTr="00974E53">
        <w:tc>
          <w:tcPr>
            <w:tcW w:w="4218" w:type="dxa"/>
            <w:shd w:val="clear" w:color="auto" w:fill="auto"/>
          </w:tcPr>
          <w:p w14:paraId="004B31B0" w14:textId="77777777" w:rsidR="00251FE1" w:rsidRPr="003F4BB7" w:rsidRDefault="00251FE1" w:rsidP="000760AE">
            <w:pPr>
              <w:numPr>
                <w:ilvl w:val="0"/>
                <w:numId w:val="26"/>
              </w:numPr>
              <w:ind w:left="283" w:hanging="283"/>
              <w:contextualSpacing/>
              <w:rPr>
                <w:rFonts w:eastAsia="Calibri" w:cs="Times New Roman"/>
                <w:szCs w:val="20"/>
              </w:rPr>
            </w:pPr>
            <w:r w:rsidRPr="003F4BB7">
              <w:rPr>
                <w:rFonts w:eastAsia="Calibri" w:cs="Times New Roman"/>
                <w:szCs w:val="20"/>
              </w:rPr>
              <w:t xml:space="preserve">Transition </w:t>
            </w:r>
            <w:r>
              <w:rPr>
                <w:rFonts w:eastAsia="Calibri" w:cs="Times New Roman"/>
                <w:szCs w:val="20"/>
              </w:rPr>
              <w:t>p</w:t>
            </w:r>
            <w:r w:rsidRPr="003F4BB7">
              <w:rPr>
                <w:rFonts w:eastAsia="Calibri" w:cs="Times New Roman"/>
                <w:szCs w:val="20"/>
              </w:rPr>
              <w:t>lan</w:t>
            </w:r>
          </w:p>
        </w:tc>
        <w:tc>
          <w:tcPr>
            <w:tcW w:w="4598" w:type="dxa"/>
            <w:shd w:val="clear" w:color="auto" w:fill="auto"/>
          </w:tcPr>
          <w:p w14:paraId="5FBDD4F3" w14:textId="77777777" w:rsidR="00251FE1" w:rsidRPr="003F4BB7" w:rsidRDefault="00251FE1" w:rsidP="00974E53">
            <w:pPr>
              <w:ind w:left="318" w:hanging="284"/>
              <w:rPr>
                <w:rFonts w:eastAsia="Calibri" w:cs="Times New Roman"/>
                <w:szCs w:val="20"/>
              </w:rPr>
            </w:pPr>
            <w:r w:rsidRPr="003F4BB7">
              <w:rPr>
                <w:rFonts w:eastAsia="Calibri" w:cs="Times New Roman"/>
                <w:szCs w:val="20"/>
              </w:rPr>
              <w:t>c)</w:t>
            </w:r>
            <w:r w:rsidRPr="003F4BB7">
              <w:rPr>
                <w:rFonts w:eastAsia="Calibri" w:cs="Times New Roman"/>
                <w:szCs w:val="20"/>
              </w:rPr>
              <w:tab/>
              <w:t xml:space="preserve">Category </w:t>
            </w:r>
            <w:r>
              <w:rPr>
                <w:rFonts w:eastAsia="Calibri" w:cs="Times New Roman"/>
                <w:szCs w:val="20"/>
              </w:rPr>
              <w:t>t</w:t>
            </w:r>
            <w:r w:rsidRPr="003F4BB7">
              <w:rPr>
                <w:rFonts w:eastAsia="Calibri" w:cs="Times New Roman"/>
                <w:szCs w:val="20"/>
              </w:rPr>
              <w:t>ower management</w:t>
            </w:r>
            <w:r>
              <w:rPr>
                <w:rFonts w:eastAsia="Calibri" w:cs="Times New Roman"/>
                <w:szCs w:val="20"/>
              </w:rPr>
              <w:t xml:space="preserve"> set up</w:t>
            </w:r>
          </w:p>
        </w:tc>
      </w:tr>
      <w:tr w:rsidR="00251FE1" w:rsidRPr="003F4BB7" w14:paraId="2091DECA" w14:textId="77777777" w:rsidTr="00974E53">
        <w:tc>
          <w:tcPr>
            <w:tcW w:w="4218" w:type="dxa"/>
            <w:shd w:val="clear" w:color="auto" w:fill="auto"/>
          </w:tcPr>
          <w:p w14:paraId="4998C737" w14:textId="77777777" w:rsidR="00251FE1" w:rsidRPr="003F4BB7" w:rsidRDefault="00251FE1" w:rsidP="000760AE">
            <w:pPr>
              <w:numPr>
                <w:ilvl w:val="0"/>
                <w:numId w:val="26"/>
              </w:numPr>
              <w:ind w:left="283" w:hanging="283"/>
              <w:contextualSpacing/>
              <w:rPr>
                <w:rFonts w:eastAsia="Calibri" w:cs="Times New Roman"/>
                <w:szCs w:val="20"/>
              </w:rPr>
            </w:pPr>
            <w:r w:rsidRPr="003F4BB7">
              <w:rPr>
                <w:rFonts w:eastAsia="Calibri" w:cs="Times New Roman"/>
                <w:szCs w:val="20"/>
              </w:rPr>
              <w:t xml:space="preserve">Operating </w:t>
            </w:r>
            <w:r>
              <w:rPr>
                <w:rFonts w:eastAsia="Calibri" w:cs="Times New Roman"/>
                <w:szCs w:val="20"/>
              </w:rPr>
              <w:t>p</w:t>
            </w:r>
            <w:r w:rsidRPr="003F4BB7">
              <w:rPr>
                <w:rFonts w:eastAsia="Calibri" w:cs="Times New Roman"/>
                <w:szCs w:val="20"/>
              </w:rPr>
              <w:t>rocedures,</w:t>
            </w:r>
            <w:r>
              <w:rPr>
                <w:rFonts w:eastAsia="Calibri" w:cs="Times New Roman"/>
                <w:szCs w:val="20"/>
              </w:rPr>
              <w:t xml:space="preserve"> corporate and financial</w:t>
            </w:r>
            <w:r w:rsidRPr="003F4BB7">
              <w:rPr>
                <w:rFonts w:eastAsia="Calibri" w:cs="Times New Roman"/>
                <w:szCs w:val="20"/>
              </w:rPr>
              <w:t xml:space="preserve"> </w:t>
            </w:r>
            <w:r>
              <w:rPr>
                <w:rFonts w:eastAsia="Calibri" w:cs="Times New Roman"/>
                <w:szCs w:val="20"/>
              </w:rPr>
              <w:t>g</w:t>
            </w:r>
            <w:r w:rsidRPr="003F4BB7">
              <w:rPr>
                <w:rFonts w:eastAsia="Calibri" w:cs="Times New Roman"/>
                <w:szCs w:val="20"/>
              </w:rPr>
              <w:t xml:space="preserve">overnance </w:t>
            </w:r>
          </w:p>
        </w:tc>
        <w:tc>
          <w:tcPr>
            <w:tcW w:w="4598" w:type="dxa"/>
            <w:shd w:val="clear" w:color="auto" w:fill="auto"/>
          </w:tcPr>
          <w:p w14:paraId="051F65D2" w14:textId="70079B55" w:rsidR="00251FE1" w:rsidRPr="003F4BB7" w:rsidRDefault="00251FE1" w:rsidP="006D4363">
            <w:pPr>
              <w:ind w:left="318" w:hanging="284"/>
              <w:rPr>
                <w:rFonts w:eastAsia="Calibri" w:cs="Times New Roman"/>
                <w:szCs w:val="20"/>
              </w:rPr>
            </w:pPr>
            <w:r w:rsidRPr="003F4BB7">
              <w:rPr>
                <w:rFonts w:eastAsia="Calibri" w:cs="Times New Roman"/>
                <w:szCs w:val="20"/>
              </w:rPr>
              <w:t>d)</w:t>
            </w:r>
            <w:r w:rsidRPr="003F4BB7">
              <w:rPr>
                <w:rFonts w:eastAsia="Calibri" w:cs="Times New Roman"/>
                <w:szCs w:val="20"/>
              </w:rPr>
              <w:tab/>
            </w:r>
            <w:r w:rsidR="006D4363">
              <w:rPr>
                <w:rFonts w:eastAsia="Calibri" w:cs="Times New Roman"/>
                <w:szCs w:val="20"/>
              </w:rPr>
              <w:t>Supporting Technology Infrastructure</w:t>
            </w:r>
            <w:r w:rsidR="00882A35">
              <w:rPr>
                <w:rFonts w:eastAsia="Calibri" w:cs="Times New Roman"/>
                <w:szCs w:val="20"/>
              </w:rPr>
              <w:t xml:space="preserve"> set up</w:t>
            </w:r>
          </w:p>
        </w:tc>
      </w:tr>
      <w:tr w:rsidR="00251FE1" w:rsidRPr="003F4BB7" w14:paraId="6C1820E7" w14:textId="77777777" w:rsidTr="00974E53">
        <w:tc>
          <w:tcPr>
            <w:tcW w:w="4218" w:type="dxa"/>
            <w:shd w:val="clear" w:color="auto" w:fill="auto"/>
          </w:tcPr>
          <w:p w14:paraId="171CB963" w14:textId="77777777" w:rsidR="00251FE1" w:rsidRPr="003F4BB7" w:rsidRDefault="00251FE1" w:rsidP="000760AE">
            <w:pPr>
              <w:numPr>
                <w:ilvl w:val="0"/>
                <w:numId w:val="26"/>
              </w:numPr>
              <w:ind w:left="283" w:hanging="283"/>
              <w:contextualSpacing/>
              <w:rPr>
                <w:rFonts w:eastAsia="Calibri" w:cs="Times New Roman"/>
                <w:szCs w:val="20"/>
              </w:rPr>
            </w:pPr>
            <w:r>
              <w:rPr>
                <w:rFonts w:eastAsia="Calibri" w:cs="Times New Roman"/>
                <w:szCs w:val="20"/>
              </w:rPr>
              <w:t>Office l</w:t>
            </w:r>
            <w:r w:rsidRPr="003F4BB7">
              <w:rPr>
                <w:rFonts w:eastAsia="Calibri" w:cs="Times New Roman"/>
                <w:szCs w:val="20"/>
              </w:rPr>
              <w:t>ocations</w:t>
            </w:r>
          </w:p>
        </w:tc>
        <w:tc>
          <w:tcPr>
            <w:tcW w:w="4598" w:type="dxa"/>
            <w:shd w:val="clear" w:color="auto" w:fill="auto"/>
          </w:tcPr>
          <w:p w14:paraId="4400C1D0" w14:textId="77777777" w:rsidR="00251FE1" w:rsidRPr="003F4BB7" w:rsidRDefault="00251FE1" w:rsidP="00974E53">
            <w:pPr>
              <w:ind w:left="318" w:hanging="284"/>
              <w:rPr>
                <w:rFonts w:eastAsia="Calibri" w:cs="Times New Roman"/>
                <w:szCs w:val="20"/>
              </w:rPr>
            </w:pPr>
            <w:r w:rsidRPr="003F4BB7">
              <w:rPr>
                <w:rFonts w:eastAsia="Calibri" w:cs="Times New Roman"/>
                <w:szCs w:val="20"/>
              </w:rPr>
              <w:t>e)</w:t>
            </w:r>
            <w:r w:rsidRPr="003F4BB7">
              <w:rPr>
                <w:rFonts w:eastAsia="Calibri" w:cs="Times New Roman"/>
                <w:szCs w:val="20"/>
              </w:rPr>
              <w:tab/>
              <w:t xml:space="preserve">Transactional </w:t>
            </w:r>
            <w:r>
              <w:rPr>
                <w:rFonts w:eastAsia="Calibri" w:cs="Times New Roman"/>
                <w:szCs w:val="20"/>
              </w:rPr>
              <w:t>s</w:t>
            </w:r>
            <w:r w:rsidRPr="003F4BB7">
              <w:rPr>
                <w:rFonts w:eastAsia="Calibri" w:cs="Times New Roman"/>
                <w:szCs w:val="20"/>
              </w:rPr>
              <w:t xml:space="preserve">ystems </w:t>
            </w:r>
            <w:r>
              <w:rPr>
                <w:rFonts w:eastAsia="Calibri" w:cs="Times New Roman"/>
                <w:szCs w:val="20"/>
              </w:rPr>
              <w:t>m</w:t>
            </w:r>
            <w:r w:rsidRPr="003F4BB7">
              <w:rPr>
                <w:rFonts w:eastAsia="Calibri" w:cs="Times New Roman"/>
                <w:szCs w:val="20"/>
              </w:rPr>
              <w:t>anagement</w:t>
            </w:r>
            <w:r>
              <w:rPr>
                <w:rFonts w:eastAsia="Calibri" w:cs="Times New Roman"/>
                <w:szCs w:val="20"/>
              </w:rPr>
              <w:t xml:space="preserve"> set up</w:t>
            </w:r>
          </w:p>
        </w:tc>
      </w:tr>
      <w:tr w:rsidR="00251FE1" w:rsidRPr="003F4BB7" w14:paraId="3A7ADB60" w14:textId="77777777" w:rsidTr="00974E53">
        <w:tc>
          <w:tcPr>
            <w:tcW w:w="4218" w:type="dxa"/>
            <w:shd w:val="clear" w:color="auto" w:fill="auto"/>
          </w:tcPr>
          <w:p w14:paraId="74B31DAC" w14:textId="77777777" w:rsidR="00251FE1" w:rsidRPr="003F4BB7" w:rsidRDefault="00251FE1" w:rsidP="00974E53">
            <w:pPr>
              <w:rPr>
                <w:rFonts w:eastAsia="Calibri" w:cs="Times New Roman"/>
                <w:szCs w:val="20"/>
              </w:rPr>
            </w:pPr>
          </w:p>
        </w:tc>
        <w:tc>
          <w:tcPr>
            <w:tcW w:w="4598" w:type="dxa"/>
            <w:shd w:val="clear" w:color="auto" w:fill="auto"/>
          </w:tcPr>
          <w:p w14:paraId="16865516" w14:textId="77777777" w:rsidR="00251FE1" w:rsidRPr="003F4BB7" w:rsidRDefault="00251FE1" w:rsidP="00974E53">
            <w:pPr>
              <w:ind w:left="318" w:hanging="284"/>
              <w:rPr>
                <w:rFonts w:eastAsia="Calibri" w:cs="Times New Roman"/>
                <w:szCs w:val="20"/>
              </w:rPr>
            </w:pPr>
            <w:r w:rsidRPr="003F4BB7">
              <w:rPr>
                <w:rFonts w:eastAsia="Calibri" w:cs="Times New Roman"/>
                <w:szCs w:val="20"/>
              </w:rPr>
              <w:t>f)</w:t>
            </w:r>
            <w:r w:rsidRPr="003F4BB7">
              <w:rPr>
                <w:rFonts w:eastAsia="Calibri" w:cs="Times New Roman"/>
                <w:szCs w:val="20"/>
              </w:rPr>
              <w:tab/>
              <w:t xml:space="preserve">Logistics </w:t>
            </w:r>
            <w:r>
              <w:rPr>
                <w:rFonts w:eastAsia="Calibri" w:cs="Times New Roman"/>
                <w:szCs w:val="20"/>
              </w:rPr>
              <w:t>s</w:t>
            </w:r>
            <w:r w:rsidRPr="003F4BB7">
              <w:rPr>
                <w:rFonts w:eastAsia="Calibri" w:cs="Times New Roman"/>
                <w:szCs w:val="20"/>
              </w:rPr>
              <w:t xml:space="preserve">upplier </w:t>
            </w:r>
            <w:r>
              <w:rPr>
                <w:rFonts w:eastAsia="Calibri" w:cs="Times New Roman"/>
                <w:szCs w:val="20"/>
              </w:rPr>
              <w:t>m</w:t>
            </w:r>
            <w:r w:rsidRPr="003F4BB7">
              <w:rPr>
                <w:rFonts w:eastAsia="Calibri" w:cs="Times New Roman"/>
                <w:szCs w:val="20"/>
              </w:rPr>
              <w:t>anagement</w:t>
            </w:r>
            <w:r>
              <w:rPr>
                <w:rFonts w:eastAsia="Calibri" w:cs="Times New Roman"/>
                <w:szCs w:val="20"/>
              </w:rPr>
              <w:t xml:space="preserve"> set up</w:t>
            </w:r>
          </w:p>
        </w:tc>
      </w:tr>
      <w:tr w:rsidR="00251FE1" w:rsidRPr="003F4BB7" w14:paraId="3C941028" w14:textId="77777777" w:rsidTr="00974E53">
        <w:tc>
          <w:tcPr>
            <w:tcW w:w="4218" w:type="dxa"/>
            <w:shd w:val="clear" w:color="auto" w:fill="auto"/>
          </w:tcPr>
          <w:p w14:paraId="163EB610" w14:textId="77777777" w:rsidR="00251FE1" w:rsidRPr="003F4BB7" w:rsidRDefault="00251FE1" w:rsidP="00974E53">
            <w:pPr>
              <w:rPr>
                <w:rFonts w:eastAsia="Calibri" w:cs="Times New Roman"/>
                <w:szCs w:val="20"/>
              </w:rPr>
            </w:pPr>
          </w:p>
        </w:tc>
        <w:tc>
          <w:tcPr>
            <w:tcW w:w="4598" w:type="dxa"/>
            <w:shd w:val="clear" w:color="auto" w:fill="auto"/>
          </w:tcPr>
          <w:p w14:paraId="7EDB4286" w14:textId="77777777" w:rsidR="00251FE1" w:rsidRPr="003F4BB7" w:rsidRDefault="00251FE1" w:rsidP="00974E53">
            <w:pPr>
              <w:ind w:left="318" w:hanging="284"/>
              <w:rPr>
                <w:rFonts w:eastAsia="Calibri" w:cs="Times New Roman"/>
                <w:szCs w:val="20"/>
              </w:rPr>
            </w:pPr>
            <w:r w:rsidRPr="003F4BB7">
              <w:rPr>
                <w:rFonts w:eastAsia="Calibri" w:cs="Times New Roman"/>
                <w:szCs w:val="20"/>
              </w:rPr>
              <w:t>g)</w:t>
            </w:r>
            <w:r w:rsidRPr="003F4BB7">
              <w:rPr>
                <w:rFonts w:eastAsia="Calibri" w:cs="Times New Roman"/>
                <w:szCs w:val="20"/>
              </w:rPr>
              <w:tab/>
              <w:t xml:space="preserve">Communications &amp; </w:t>
            </w:r>
            <w:r>
              <w:rPr>
                <w:rFonts w:eastAsia="Calibri" w:cs="Times New Roman"/>
                <w:szCs w:val="20"/>
              </w:rPr>
              <w:t>s</w:t>
            </w:r>
            <w:r w:rsidRPr="003F4BB7">
              <w:rPr>
                <w:rFonts w:eastAsia="Calibri" w:cs="Times New Roman"/>
                <w:szCs w:val="20"/>
              </w:rPr>
              <w:t xml:space="preserve">takeholder </w:t>
            </w:r>
            <w:r>
              <w:rPr>
                <w:rFonts w:eastAsia="Calibri" w:cs="Times New Roman"/>
                <w:szCs w:val="20"/>
              </w:rPr>
              <w:t>e</w:t>
            </w:r>
            <w:r w:rsidRPr="003F4BB7">
              <w:rPr>
                <w:rFonts w:eastAsia="Calibri" w:cs="Times New Roman"/>
                <w:szCs w:val="20"/>
              </w:rPr>
              <w:t>ngagement</w:t>
            </w:r>
          </w:p>
        </w:tc>
      </w:tr>
    </w:tbl>
    <w:p w14:paraId="11AB9EEE" w14:textId="65DE6F3F" w:rsidR="00DF6BD0" w:rsidRDefault="00DF6BD0" w:rsidP="00DF6BD0">
      <w:pPr>
        <w:pStyle w:val="Heading2"/>
        <w:numPr>
          <w:ilvl w:val="0"/>
          <w:numId w:val="0"/>
        </w:numPr>
      </w:pPr>
    </w:p>
    <w:p w14:paraId="7FFCBFF6" w14:textId="742BB238" w:rsidR="00DF6BD0" w:rsidRDefault="00251FE1" w:rsidP="00DF6BD0">
      <w:pPr>
        <w:pStyle w:val="Heading2"/>
      </w:pPr>
      <w:r w:rsidRPr="00423834">
        <w:rPr>
          <w:rFonts w:eastAsia="Calibri"/>
          <w:bCs/>
          <w:iCs/>
        </w:rPr>
        <w:t xml:space="preserve">Details of </w:t>
      </w:r>
      <w:r>
        <w:rPr>
          <w:rFonts w:eastAsia="Calibri"/>
          <w:bCs/>
          <w:iCs/>
        </w:rPr>
        <w:t xml:space="preserve">the </w:t>
      </w:r>
      <w:r w:rsidRPr="00423834">
        <w:rPr>
          <w:rFonts w:eastAsia="Calibri"/>
          <w:bCs/>
          <w:iCs/>
        </w:rPr>
        <w:t>specific tasks</w:t>
      </w:r>
      <w:r>
        <w:rPr>
          <w:rFonts w:eastAsia="Calibri"/>
          <w:bCs/>
          <w:iCs/>
        </w:rPr>
        <w:t xml:space="preserve"> to be performed by the </w:t>
      </w:r>
      <w:r w:rsidR="00974E53">
        <w:rPr>
          <w:rFonts w:eastAsia="Calibri"/>
          <w:bCs/>
          <w:iCs/>
        </w:rPr>
        <w:t>Potential Provider</w:t>
      </w:r>
      <w:r>
        <w:rPr>
          <w:rFonts w:eastAsia="Calibri"/>
          <w:bCs/>
          <w:iCs/>
        </w:rPr>
        <w:t xml:space="preserve"> shall be provided by the Authority on an on-going basis during the performance of the Services</w:t>
      </w:r>
      <w:r w:rsidR="00DF6BD0">
        <w:t>.</w:t>
      </w:r>
    </w:p>
    <w:p w14:paraId="1E5D46B7" w14:textId="66A985A8" w:rsidR="00DF6BD0" w:rsidRDefault="00DF6BD0" w:rsidP="00DF6BD0">
      <w:pPr>
        <w:pStyle w:val="Heading2"/>
      </w:pPr>
      <w:r>
        <w:t xml:space="preserve">The Services shall be provided by way of a team of consultants as described more fully in below. </w:t>
      </w:r>
    </w:p>
    <w:p w14:paraId="7B6EA82E" w14:textId="751AE34F" w:rsidR="00DF6BD0" w:rsidRPr="00DF6BD0" w:rsidRDefault="00974E53" w:rsidP="00DF6BD0">
      <w:pPr>
        <w:pStyle w:val="Heading2"/>
        <w:numPr>
          <w:ilvl w:val="0"/>
          <w:numId w:val="0"/>
        </w:numPr>
        <w:rPr>
          <w:b/>
        </w:rPr>
      </w:pPr>
      <w:r>
        <w:rPr>
          <w:b/>
        </w:rPr>
        <w:t>POTENTIAL PROVIDER</w:t>
      </w:r>
      <w:r w:rsidR="00DF6BD0" w:rsidRPr="00DF6BD0">
        <w:rPr>
          <w:b/>
        </w:rPr>
        <w:t xml:space="preserve"> TEAM</w:t>
      </w:r>
    </w:p>
    <w:p w14:paraId="5F36D469" w14:textId="7D2C26EF" w:rsidR="00DF6BD0" w:rsidRDefault="00DF6BD0" w:rsidP="00DF6BD0">
      <w:pPr>
        <w:pStyle w:val="Heading2"/>
      </w:pPr>
      <w:r>
        <w:t xml:space="preserve">The </w:t>
      </w:r>
      <w:r w:rsidR="00974E53">
        <w:t>Potential Provider</w:t>
      </w:r>
      <w:r>
        <w:t xml:space="preserve"> shall provide a team of consultants as specified below from the Commencem</w:t>
      </w:r>
      <w:r w:rsidR="006E6A0D">
        <w:t xml:space="preserve">ent Date in accordance with the agreed </w:t>
      </w:r>
      <w:r>
        <w:t>Mobilisation Plan.</w:t>
      </w:r>
    </w:p>
    <w:p w14:paraId="557FA8F8" w14:textId="77777777" w:rsidR="00DF6BD0" w:rsidRPr="00DF6BD0" w:rsidRDefault="00DF6BD0" w:rsidP="00DF6BD0">
      <w:pPr>
        <w:pStyle w:val="Heading2"/>
        <w:rPr>
          <w:b/>
        </w:rPr>
      </w:pPr>
      <w:r w:rsidRPr="00DF6BD0">
        <w:rPr>
          <w:b/>
        </w:rPr>
        <w:t>Core Team Organisation</w:t>
      </w:r>
    </w:p>
    <w:p w14:paraId="1D82105B" w14:textId="10797206" w:rsidR="00DF6BD0" w:rsidRDefault="00DF6BD0" w:rsidP="00DF6BD0">
      <w:pPr>
        <w:pStyle w:val="Heading3"/>
      </w:pPr>
      <w:r>
        <w:t xml:space="preserve">The </w:t>
      </w:r>
      <w:r w:rsidR="00974E53">
        <w:t>Potential Provider</w:t>
      </w:r>
      <w:r>
        <w:t xml:space="preserve"> shall, subject to paragraph </w:t>
      </w:r>
      <w:r w:rsidR="00E204CF">
        <w:t>2.9</w:t>
      </w:r>
      <w:r>
        <w:t xml:space="preserve"> below, provide a core team comprising a total of fifteen (15) consultants (the “</w:t>
      </w:r>
      <w:r w:rsidRPr="009C2FAC">
        <w:rPr>
          <w:b/>
        </w:rPr>
        <w:t>Core Team</w:t>
      </w:r>
      <w:r>
        <w:t xml:space="preserve">”).  All members of the Core Team shall be considered Key Personnel and dedicated to the Services.  </w:t>
      </w:r>
    </w:p>
    <w:p w14:paraId="21BA39DE" w14:textId="7E2EABF3" w:rsidR="00DF6BD0" w:rsidRDefault="00DF6BD0" w:rsidP="00DF6BD0">
      <w:pPr>
        <w:pStyle w:val="Heading3"/>
      </w:pPr>
      <w:r>
        <w:t>The Core Team shall comprise two groups as below:</w:t>
      </w:r>
    </w:p>
    <w:p w14:paraId="004AC614" w14:textId="1E180A8D" w:rsidR="00DF6BD0" w:rsidRPr="00717A58" w:rsidRDefault="00D32B6E" w:rsidP="000760AE">
      <w:pPr>
        <w:pStyle w:val="Heading2"/>
        <w:numPr>
          <w:ilvl w:val="0"/>
          <w:numId w:val="27"/>
        </w:numPr>
        <w:rPr>
          <w:i/>
        </w:rPr>
      </w:pPr>
      <w:r>
        <w:rPr>
          <w:i/>
        </w:rPr>
        <w:t>Supplier</w:t>
      </w:r>
      <w:r w:rsidR="00DF6BD0" w:rsidRPr="00717A58">
        <w:rPr>
          <w:i/>
        </w:rPr>
        <w:t xml:space="preserve"> Leadership Team </w:t>
      </w:r>
      <w:r>
        <w:rPr>
          <w:i/>
        </w:rPr>
        <w:t>(SLT)</w:t>
      </w:r>
    </w:p>
    <w:p w14:paraId="4F9DAB3B" w14:textId="21FBA46B" w:rsidR="00DF6BD0" w:rsidRDefault="00DF6BD0" w:rsidP="00717A58">
      <w:pPr>
        <w:pStyle w:val="Heading3"/>
        <w:numPr>
          <w:ilvl w:val="0"/>
          <w:numId w:val="0"/>
        </w:numPr>
        <w:ind w:left="2268"/>
      </w:pPr>
      <w:r>
        <w:lastRenderedPageBreak/>
        <w:t xml:space="preserve">The SLT shall comprise seven </w:t>
      </w:r>
      <w:r w:rsidR="00D32B6E">
        <w:t xml:space="preserve">senior </w:t>
      </w:r>
      <w:r>
        <w:t>consultants</w:t>
      </w:r>
      <w:r w:rsidR="004757FC">
        <w:t xml:space="preserve">, one to cover each of the functional roles and corresponding </w:t>
      </w:r>
      <w:r w:rsidR="00D32B6E">
        <w:t>experience</w:t>
      </w:r>
      <w:r w:rsidR="004757FC">
        <w:t xml:space="preserve"> criteria,</w:t>
      </w:r>
      <w:r w:rsidR="00D32B6E">
        <w:t xml:space="preserve"> </w:t>
      </w:r>
      <w:r w:rsidR="0017721C">
        <w:t>as defined in Table 3.3 below</w:t>
      </w:r>
      <w:r w:rsidR="004757FC">
        <w:t>.</w:t>
      </w:r>
      <w:r w:rsidR="0017721C">
        <w:t xml:space="preserve"> </w:t>
      </w:r>
      <w:r>
        <w:t xml:space="preserve">The SLT shall provide expert advice and </w:t>
      </w:r>
      <w:r w:rsidR="004757FC">
        <w:t xml:space="preserve">work collaboratively as a joint leadership team with </w:t>
      </w:r>
      <w:r>
        <w:t xml:space="preserve">the ALT in all matters as required.  </w:t>
      </w:r>
    </w:p>
    <w:p w14:paraId="6EBED897" w14:textId="5491B54C" w:rsidR="00DF6BD0" w:rsidRPr="00717A58" w:rsidRDefault="00DF6BD0" w:rsidP="000760AE">
      <w:pPr>
        <w:pStyle w:val="Heading2"/>
        <w:numPr>
          <w:ilvl w:val="0"/>
          <w:numId w:val="27"/>
        </w:numPr>
        <w:rPr>
          <w:i/>
        </w:rPr>
      </w:pPr>
      <w:r w:rsidRPr="00717A58">
        <w:rPr>
          <w:i/>
        </w:rPr>
        <w:t>Extended Team</w:t>
      </w:r>
    </w:p>
    <w:p w14:paraId="2A87FF22" w14:textId="69C5F46A" w:rsidR="00DF6BD0" w:rsidRDefault="00DF6BD0" w:rsidP="00717A58">
      <w:pPr>
        <w:pStyle w:val="Heading2"/>
        <w:numPr>
          <w:ilvl w:val="0"/>
          <w:numId w:val="0"/>
        </w:numPr>
        <w:ind w:left="2268"/>
      </w:pPr>
      <w:r>
        <w:t>The balance of eight consultants shall provid</w:t>
      </w:r>
      <w:r w:rsidR="00D32B6E">
        <w:t>e</w:t>
      </w:r>
      <w:r>
        <w:t xml:space="preserve"> further breadth and capacity for delivery of the Services under the direction of the SLT.  Subject to Clause 18 (Key Personnel)</w:t>
      </w:r>
      <w:r w:rsidR="00703358">
        <w:t xml:space="preserve"> of the Contract</w:t>
      </w:r>
      <w:r>
        <w:t xml:space="preserve">, the composition of the Extended Team shall be maintained throughout the Contract Period and, as a consequence, the eight consultants forming the Extended Team must have the capability to work in several functions.   It will be up to the </w:t>
      </w:r>
      <w:r w:rsidR="00974E53">
        <w:t>Potential Provider</w:t>
      </w:r>
      <w:r>
        <w:t xml:space="preserve"> to put forward </w:t>
      </w:r>
      <w:r w:rsidR="005E2AA5">
        <w:t xml:space="preserve">a mix of </w:t>
      </w:r>
      <w:r>
        <w:t>Key Personnel they feel best suited for this expert/cross functional work</w:t>
      </w:r>
      <w:r w:rsidR="005E2AA5">
        <w:t>, why they feel they are best suited to the roles and how they will ensure suitable coverage across the different functions.</w:t>
      </w:r>
    </w:p>
    <w:p w14:paraId="3E5392F1" w14:textId="77777777" w:rsidR="00DF6BD0" w:rsidRPr="00717A58" w:rsidRDefault="00DF6BD0" w:rsidP="00DF6BD0">
      <w:pPr>
        <w:pStyle w:val="Heading2"/>
        <w:rPr>
          <w:b/>
        </w:rPr>
      </w:pPr>
      <w:r w:rsidRPr="00717A58">
        <w:rPr>
          <w:b/>
        </w:rPr>
        <w:t>Mobilisation and Demobilisation</w:t>
      </w:r>
    </w:p>
    <w:p w14:paraId="27390E5B" w14:textId="252A63DC" w:rsidR="00DF6BD0" w:rsidRDefault="00DF6BD0" w:rsidP="00717A58">
      <w:pPr>
        <w:pStyle w:val="Heading3"/>
      </w:pPr>
      <w:r>
        <w:t xml:space="preserve">Notwithstanding the requirement for the </w:t>
      </w:r>
      <w:r w:rsidR="00974E53">
        <w:t>Potential Provider</w:t>
      </w:r>
      <w:r>
        <w:t xml:space="preserve"> to provide the Core Team from the Commencement Date and throughout the Contract Period:</w:t>
      </w:r>
    </w:p>
    <w:p w14:paraId="52E874A0" w14:textId="72E0D95D" w:rsidR="00DF6BD0" w:rsidRDefault="00DF6BD0" w:rsidP="000760AE">
      <w:pPr>
        <w:pStyle w:val="Heading2"/>
        <w:numPr>
          <w:ilvl w:val="0"/>
          <w:numId w:val="28"/>
        </w:numPr>
      </w:pPr>
      <w:r>
        <w:t>the Authority acknowledges that the consultants may be mobilised on a phased basis but only to the extent that this is clearly stated in, and in accordance with, the Mobilisation Plan and agreed prior to contract signature; and</w:t>
      </w:r>
    </w:p>
    <w:p w14:paraId="3ACF077A" w14:textId="691CA8B2" w:rsidR="00DF6BD0" w:rsidRDefault="00DF6BD0" w:rsidP="000760AE">
      <w:pPr>
        <w:pStyle w:val="Heading2"/>
        <w:numPr>
          <w:ilvl w:val="0"/>
          <w:numId w:val="28"/>
        </w:numPr>
      </w:pPr>
      <w:r>
        <w:t xml:space="preserve">it is important that the </w:t>
      </w:r>
      <w:r w:rsidR="00251FE1">
        <w:t>Potential Provider</w:t>
      </w:r>
      <w:r>
        <w:t xml:space="preserve"> also understand</w:t>
      </w:r>
      <w:r w:rsidR="00251FE1">
        <w:t>s</w:t>
      </w:r>
      <w:r>
        <w:t xml:space="preserve"> that the Authority (at its sole discretion), may require the </w:t>
      </w:r>
      <w:r w:rsidR="00251FE1">
        <w:t>Potential Provider</w:t>
      </w:r>
      <w:r>
        <w:t xml:space="preserve"> to start to de-mobilise consultants from the date that is six (6) months before the Expiry Date of the Contract, any such de-mobilisation to be set out in a plan to be agreed between the Parties; and</w:t>
      </w:r>
    </w:p>
    <w:p w14:paraId="335E95A2" w14:textId="6179D368" w:rsidR="00DF6BD0" w:rsidRDefault="00DF6BD0" w:rsidP="000760AE">
      <w:pPr>
        <w:pStyle w:val="Heading2"/>
        <w:numPr>
          <w:ilvl w:val="0"/>
          <w:numId w:val="28"/>
        </w:numPr>
      </w:pPr>
      <w:proofErr w:type="gramStart"/>
      <w:r>
        <w:t>the</w:t>
      </w:r>
      <w:proofErr w:type="gramEnd"/>
      <w:r>
        <w:t xml:space="preserve"> </w:t>
      </w:r>
      <w:r w:rsidR="00251FE1">
        <w:t>Potential Provider</w:t>
      </w:r>
      <w:r>
        <w:t xml:space="preserve"> shall not be entitled to increase the Daily Rates for the remaining consultants as a result of any demobilisation agreed under this paragraph.</w:t>
      </w:r>
    </w:p>
    <w:p w14:paraId="4E9F382D" w14:textId="77777777" w:rsidR="00DF6BD0" w:rsidRPr="00717A58" w:rsidRDefault="00DF6BD0" w:rsidP="00DF6BD0">
      <w:pPr>
        <w:pStyle w:val="Heading2"/>
        <w:rPr>
          <w:b/>
        </w:rPr>
      </w:pPr>
      <w:r w:rsidRPr="00717A58">
        <w:rPr>
          <w:b/>
        </w:rPr>
        <w:t>SLT Functional Roles</w:t>
      </w:r>
    </w:p>
    <w:p w14:paraId="4D3AE566" w14:textId="0F628F36" w:rsidR="00DF6BD0" w:rsidRDefault="00DF6BD0" w:rsidP="00717A58">
      <w:pPr>
        <w:pStyle w:val="Heading3"/>
      </w:pPr>
      <w:r>
        <w:lastRenderedPageBreak/>
        <w:t>The functional roles of the SLT and the key responsibilities of each functional role are set out in Table</w:t>
      </w:r>
      <w:r w:rsidR="00251FE1">
        <w:t xml:space="preserve"> </w:t>
      </w:r>
      <w:r>
        <w:t>3.3.</w:t>
      </w:r>
      <w:r w:rsidR="00251FE1">
        <w:t xml:space="preserve">  </w:t>
      </w:r>
    </w:p>
    <w:p w14:paraId="677F45BB" w14:textId="0A2B6F90" w:rsidR="00DF6BD0" w:rsidRDefault="00DF6BD0" w:rsidP="00717A58">
      <w:pPr>
        <w:pStyle w:val="Heading3"/>
      </w:pPr>
      <w:r>
        <w:t xml:space="preserve">The </w:t>
      </w:r>
      <w:r w:rsidR="00974E53">
        <w:t>Potential Provider</w:t>
      </w:r>
      <w:r>
        <w:t xml:space="preserve"> shall ensure that each member of the SLT is designated one of the functional roles set out in Table </w:t>
      </w:r>
      <w:r w:rsidR="00703358">
        <w:t>3.3</w:t>
      </w:r>
      <w:r>
        <w:t xml:space="preserve">.  In addition, the </w:t>
      </w:r>
      <w:r w:rsidR="00974E53">
        <w:t>Potential Provider</w:t>
      </w:r>
      <w:r>
        <w:t xml:space="preserve"> shall nominate one member of the SLT as the Supplier Representative.</w:t>
      </w:r>
    </w:p>
    <w:p w14:paraId="7D42E593" w14:textId="77777777" w:rsidR="00717A58" w:rsidRDefault="00717A58" w:rsidP="00717A58">
      <w:pPr>
        <w:pStyle w:val="Heading3"/>
        <w:numPr>
          <w:ilvl w:val="0"/>
          <w:numId w:val="0"/>
        </w:numPr>
        <w:ind w:left="1800"/>
        <w:sectPr w:rsidR="00717A58" w:rsidSect="00667389">
          <w:headerReference w:type="default" r:id="rId10"/>
          <w:footerReference w:type="default" r:id="rId11"/>
          <w:endnotePr>
            <w:numFmt w:val="decimal"/>
          </w:endnotePr>
          <w:pgSz w:w="11909" w:h="16834" w:code="9"/>
          <w:pgMar w:top="1241" w:right="1440" w:bottom="1560" w:left="1440" w:header="426" w:footer="433" w:gutter="0"/>
          <w:cols w:space="720"/>
          <w:noEndnote/>
          <w:docGrid w:linePitch="299"/>
        </w:sectPr>
      </w:pPr>
    </w:p>
    <w:p w14:paraId="1D4F4C6A" w14:textId="77777777" w:rsidR="00E756F4" w:rsidRPr="000408DA" w:rsidRDefault="00E756F4" w:rsidP="00E756F4">
      <w:pPr>
        <w:spacing w:after="200"/>
        <w:ind w:left="709" w:hanging="709"/>
        <w:rPr>
          <w:rFonts w:asciiTheme="minorHAnsi" w:eastAsiaTheme="minorHAnsi" w:hAnsiTheme="minorHAnsi" w:cstheme="minorBidi"/>
          <w:b/>
        </w:rPr>
      </w:pPr>
      <w:r w:rsidRPr="000408DA">
        <w:rPr>
          <w:rFonts w:asciiTheme="minorHAnsi" w:eastAsiaTheme="minorHAnsi" w:hAnsiTheme="minorHAnsi" w:cstheme="minorBidi"/>
          <w:b/>
        </w:rPr>
        <w:lastRenderedPageBreak/>
        <w:t xml:space="preserve">Table </w:t>
      </w:r>
      <w:proofErr w:type="gramStart"/>
      <w:r w:rsidRPr="000408DA">
        <w:rPr>
          <w:rFonts w:asciiTheme="minorHAnsi" w:eastAsiaTheme="minorHAnsi" w:hAnsiTheme="minorHAnsi" w:cstheme="minorBidi"/>
          <w:b/>
        </w:rPr>
        <w:t>3.3  SLT</w:t>
      </w:r>
      <w:proofErr w:type="gramEnd"/>
      <w:r w:rsidRPr="000408DA">
        <w:rPr>
          <w:rFonts w:asciiTheme="minorHAnsi" w:eastAsiaTheme="minorHAnsi" w:hAnsiTheme="minorHAnsi" w:cstheme="minorBidi"/>
          <w:b/>
        </w:rPr>
        <w:t xml:space="preserve"> Functional Roles</w:t>
      </w:r>
    </w:p>
    <w:tbl>
      <w:tblPr>
        <w:tblStyle w:val="LightList-Accent11"/>
        <w:tblW w:w="0" w:type="auto"/>
        <w:tblInd w:w="108"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Look w:val="04A0" w:firstRow="1" w:lastRow="0" w:firstColumn="1" w:lastColumn="0" w:noHBand="0" w:noVBand="1"/>
      </w:tblPr>
      <w:tblGrid>
        <w:gridCol w:w="1689"/>
        <w:gridCol w:w="2139"/>
        <w:gridCol w:w="10238"/>
      </w:tblGrid>
      <w:tr w:rsidR="00E756F4" w:rsidRPr="003355CC" w14:paraId="04FDC719" w14:textId="77777777" w:rsidTr="0097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tcBorders>
              <w:right w:val="single" w:sz="8" w:space="0" w:color="D9D9D9" w:themeColor="background1" w:themeShade="D9"/>
            </w:tcBorders>
            <w:shd w:val="clear" w:color="auto" w:fill="595959" w:themeFill="text1" w:themeFillTint="A6"/>
          </w:tcPr>
          <w:p w14:paraId="0F9EB967" w14:textId="77777777" w:rsidR="00E756F4" w:rsidRPr="003355CC" w:rsidRDefault="00E756F4" w:rsidP="00974E53">
            <w:pPr>
              <w:ind w:left="425" w:hanging="425"/>
              <w:rPr>
                <w:rFonts w:asciiTheme="minorHAnsi" w:hAnsiTheme="minorHAnsi" w:cstheme="minorBidi"/>
              </w:rPr>
            </w:pPr>
            <w:r w:rsidRPr="003355CC">
              <w:rPr>
                <w:rFonts w:asciiTheme="minorHAnsi" w:hAnsiTheme="minorHAnsi" w:cstheme="minorBidi"/>
              </w:rPr>
              <w:t>Function Lead</w:t>
            </w:r>
          </w:p>
        </w:tc>
        <w:tc>
          <w:tcPr>
            <w:tcW w:w="2139" w:type="dxa"/>
            <w:tcBorders>
              <w:left w:val="single" w:sz="8" w:space="0" w:color="D9D9D9" w:themeColor="background1" w:themeShade="D9"/>
              <w:right w:val="single" w:sz="8" w:space="0" w:color="D9D9D9" w:themeColor="background1" w:themeShade="D9"/>
            </w:tcBorders>
            <w:shd w:val="clear" w:color="auto" w:fill="595959" w:themeFill="text1" w:themeFillTint="A6"/>
          </w:tcPr>
          <w:p w14:paraId="573B5220" w14:textId="77777777" w:rsidR="00E756F4" w:rsidRPr="003355CC" w:rsidRDefault="00E756F4" w:rsidP="00974E53">
            <w:pPr>
              <w:ind w:left="425" w:hanging="425"/>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Requirements</w:t>
            </w:r>
          </w:p>
        </w:tc>
        <w:tc>
          <w:tcPr>
            <w:tcW w:w="10238" w:type="dxa"/>
            <w:tcBorders>
              <w:left w:val="single" w:sz="8" w:space="0" w:color="D9D9D9" w:themeColor="background1" w:themeShade="D9"/>
            </w:tcBorders>
            <w:shd w:val="clear" w:color="auto" w:fill="595959" w:themeFill="text1" w:themeFillTint="A6"/>
          </w:tcPr>
          <w:p w14:paraId="19CA67D3" w14:textId="77777777" w:rsidR="00E756F4" w:rsidRPr="003355CC" w:rsidRDefault="00E756F4" w:rsidP="00974E53">
            <w:pPr>
              <w:ind w:left="425" w:hanging="425"/>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Descriptions</w:t>
            </w:r>
          </w:p>
        </w:tc>
      </w:tr>
      <w:tr w:rsidR="00E756F4" w:rsidRPr="003355CC" w14:paraId="20E36C3F" w14:textId="77777777" w:rsidTr="0097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6" w:type="dxa"/>
            <w:gridSpan w:val="3"/>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D9D9D9" w:themeFill="background1" w:themeFillShade="D9"/>
          </w:tcPr>
          <w:p w14:paraId="16CBBB76" w14:textId="77777777" w:rsidR="00E756F4" w:rsidRPr="003355CC" w:rsidRDefault="00E756F4" w:rsidP="00974E53">
            <w:pPr>
              <w:contextualSpacing/>
              <w:rPr>
                <w:rFonts w:asciiTheme="minorHAnsi" w:hAnsiTheme="minorHAnsi" w:cstheme="minorBidi"/>
              </w:rPr>
            </w:pPr>
            <w:r w:rsidRPr="003355CC">
              <w:rPr>
                <w:rFonts w:asciiTheme="minorHAnsi" w:hAnsiTheme="minorHAnsi" w:cstheme="minorBidi"/>
              </w:rPr>
              <w:t>1. ICC Functional Areas</w:t>
            </w:r>
          </w:p>
        </w:tc>
      </w:tr>
      <w:tr w:rsidR="00E756F4" w:rsidRPr="003355CC" w14:paraId="03816E31" w14:textId="77777777" w:rsidTr="00974E53">
        <w:tc>
          <w:tcPr>
            <w:cnfStyle w:val="001000000000" w:firstRow="0" w:lastRow="0" w:firstColumn="1" w:lastColumn="0" w:oddVBand="0" w:evenVBand="0" w:oddHBand="0" w:evenHBand="0" w:firstRowFirstColumn="0" w:firstRowLastColumn="0" w:lastRowFirstColumn="0" w:lastRowLastColumn="0"/>
            <w:tcW w:w="1689" w:type="dxa"/>
            <w:vMerge w:val="restart"/>
          </w:tcPr>
          <w:p w14:paraId="4FBC6036" w14:textId="77777777" w:rsidR="00E756F4" w:rsidRPr="003355CC" w:rsidRDefault="00E756F4" w:rsidP="00974E53">
            <w:pPr>
              <w:rPr>
                <w:rFonts w:asciiTheme="minorHAnsi" w:hAnsiTheme="minorHAnsi" w:cstheme="minorBidi"/>
              </w:rPr>
            </w:pPr>
            <w:r w:rsidRPr="003355CC">
              <w:rPr>
                <w:rFonts w:asciiTheme="minorHAnsi" w:hAnsiTheme="minorHAnsi" w:cstheme="minorBidi"/>
              </w:rPr>
              <w:t>1.1 Performance Management</w:t>
            </w:r>
          </w:p>
        </w:tc>
        <w:tc>
          <w:tcPr>
            <w:tcW w:w="2139" w:type="dxa"/>
            <w:tcBorders>
              <w:top w:val="single" w:sz="8" w:space="0" w:color="595959" w:themeColor="text1" w:themeTint="A6"/>
            </w:tcBorders>
          </w:tcPr>
          <w:p w14:paraId="08C3E1B8" w14:textId="6A3E727A" w:rsidR="00E756F4" w:rsidRPr="003355CC" w:rsidRDefault="00E756F4" w:rsidP="005E2A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Responsibilities</w:t>
            </w:r>
          </w:p>
        </w:tc>
        <w:tc>
          <w:tcPr>
            <w:tcW w:w="10238" w:type="dxa"/>
          </w:tcPr>
          <w:p w14:paraId="59D1DAFD" w14:textId="39BBDA78" w:rsidR="00CD2C22" w:rsidRPr="00B23541" w:rsidRDefault="00CD2C22" w:rsidP="00B23541">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B23541">
              <w:rPr>
                <w:rFonts w:asciiTheme="minorHAnsi" w:hAnsiTheme="minorHAnsi" w:cstheme="minorBidi"/>
              </w:rPr>
              <w:t>Procurement and contract management of multiple service providers across the FOM with inter-dependencies across the full range of supply chain activities and DH internal business functions.</w:t>
            </w:r>
          </w:p>
          <w:p w14:paraId="62CAF3B9" w14:textId="77777777" w:rsidR="00CD2C22" w:rsidRPr="00CD2C22" w:rsidRDefault="00CD2C22" w:rsidP="00CD2C22">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Design, build and manage a commercial procurement function that performs procurement, re-procurement, and contract management including variations, change notices and disputes.</w:t>
            </w:r>
          </w:p>
          <w:p w14:paraId="1EF4FBEA" w14:textId="77777777" w:rsidR="00CD2C22" w:rsidRPr="00CD2C22" w:rsidRDefault="00CD2C22" w:rsidP="00CD2C22">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Design, build and manage the new supply chain model using multiple service providers.</w:t>
            </w:r>
          </w:p>
          <w:p w14:paraId="37711594" w14:textId="77777777" w:rsidR="00CD2C22" w:rsidRPr="00CD2C22" w:rsidRDefault="00CD2C22" w:rsidP="00CD2C22">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Recruit, develop and lead a team of professional procurement and performance management staff.</w:t>
            </w:r>
          </w:p>
          <w:p w14:paraId="085592E1" w14:textId="77777777" w:rsidR="00CD2C22" w:rsidRPr="00CD2C22" w:rsidRDefault="00CD2C22" w:rsidP="00CD2C22">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Develop and deliver performance improvement and recovery plans for poor performing service providers.</w:t>
            </w:r>
          </w:p>
          <w:p w14:paraId="2303E348" w14:textId="77777777" w:rsidR="00CD2C22" w:rsidRDefault="00CD2C22" w:rsidP="00A2754C">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Deliver and track continuous improvement plans that result in improved performance through quantifiable outcomes, e.g. KPI improvements, YOY savings, increased customer satisfaction through the Contract lifetime.</w:t>
            </w:r>
          </w:p>
          <w:p w14:paraId="39AB8105" w14:textId="55F0797C" w:rsidR="00C172BF" w:rsidRPr="003355CC" w:rsidRDefault="00C172BF" w:rsidP="00C172BF">
            <w:pPr>
              <w:ind w:left="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E756F4" w:rsidRPr="003355CC" w14:paraId="6DFBC2FC" w14:textId="77777777" w:rsidTr="0097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vMerge/>
          </w:tcPr>
          <w:p w14:paraId="176D0B52" w14:textId="77777777" w:rsidR="00E756F4" w:rsidRPr="003355CC" w:rsidRDefault="00E756F4" w:rsidP="00974E53">
            <w:pPr>
              <w:rPr>
                <w:rFonts w:asciiTheme="minorHAnsi" w:hAnsiTheme="minorHAnsi" w:cstheme="minorBidi"/>
              </w:rPr>
            </w:pPr>
          </w:p>
        </w:tc>
        <w:tc>
          <w:tcPr>
            <w:tcW w:w="2139" w:type="dxa"/>
            <w:tcBorders>
              <w:top w:val="single" w:sz="8" w:space="0" w:color="595959" w:themeColor="text1" w:themeTint="A6"/>
            </w:tcBorders>
          </w:tcPr>
          <w:p w14:paraId="4D580122" w14:textId="77777777" w:rsidR="00E756F4" w:rsidRPr="003355CC" w:rsidRDefault="00E756F4" w:rsidP="00974E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Specific Experience</w:t>
            </w:r>
          </w:p>
        </w:tc>
        <w:tc>
          <w:tcPr>
            <w:tcW w:w="10238" w:type="dxa"/>
          </w:tcPr>
          <w:p w14:paraId="443065F8" w14:textId="77777777" w:rsidR="00E756F4" w:rsidRPr="003355CC" w:rsidRDefault="00E756F4" w:rsidP="00974E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International recognition as expert authority in developing and delivering best practice within supply chain performance management.</w:t>
            </w:r>
          </w:p>
          <w:p w14:paraId="0FC4B529"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Minimum eight (8) years at senior level in performance and contract management across multiple service providers.</w:t>
            </w:r>
          </w:p>
          <w:p w14:paraId="0866A61D"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Established senior commercial relationships with global outsourced and managed service providers, contract terms of 5 or more years, with a portfolio value in excess of £100m and individual contract values of more than £10m.</w:t>
            </w:r>
          </w:p>
          <w:p w14:paraId="64FF4D32"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Track record of delivering contractual and improved performance through quantifiable outcomes, e.g. KPI improvements, YOY savings, increased customer satisfaction and upsell through the contract lifetime.</w:t>
            </w:r>
          </w:p>
          <w:p w14:paraId="31416CE1"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Recognised track record and achievements within the area of continuous improvement.</w:t>
            </w:r>
          </w:p>
          <w:p w14:paraId="6732F8C0" w14:textId="77777777" w:rsidR="00E756F4"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Can demonstrate competency in all of the above responsibilities.</w:t>
            </w:r>
          </w:p>
          <w:p w14:paraId="35FAB4ED" w14:textId="77777777" w:rsidR="00C172BF" w:rsidRPr="003355CC" w:rsidRDefault="00C172BF" w:rsidP="00C172BF">
            <w:pPr>
              <w:ind w:left="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r>
      <w:tr w:rsidR="00E756F4" w:rsidRPr="003355CC" w14:paraId="56A38FF3" w14:textId="77777777" w:rsidTr="00974E53">
        <w:tc>
          <w:tcPr>
            <w:cnfStyle w:val="001000000000" w:firstRow="0" w:lastRow="0" w:firstColumn="1" w:lastColumn="0" w:oddVBand="0" w:evenVBand="0" w:oddHBand="0" w:evenHBand="0" w:firstRowFirstColumn="0" w:firstRowLastColumn="0" w:lastRowFirstColumn="0" w:lastRowLastColumn="0"/>
            <w:tcW w:w="1689" w:type="dxa"/>
            <w:vMerge w:val="restart"/>
          </w:tcPr>
          <w:p w14:paraId="6E74240C" w14:textId="77777777" w:rsidR="00E756F4" w:rsidRPr="003355CC" w:rsidRDefault="00E756F4" w:rsidP="00974E53">
            <w:pPr>
              <w:rPr>
                <w:rFonts w:asciiTheme="minorHAnsi" w:hAnsiTheme="minorHAnsi" w:cstheme="minorBidi"/>
              </w:rPr>
            </w:pPr>
            <w:r w:rsidRPr="003355CC">
              <w:rPr>
                <w:rFonts w:asciiTheme="minorHAnsi" w:hAnsiTheme="minorHAnsi" w:cstheme="minorBidi"/>
              </w:rPr>
              <w:t>1.2 Customer and Business Development</w:t>
            </w:r>
          </w:p>
        </w:tc>
        <w:tc>
          <w:tcPr>
            <w:tcW w:w="2139" w:type="dxa"/>
            <w:tcBorders>
              <w:bottom w:val="single" w:sz="8" w:space="0" w:color="595959" w:themeColor="text1" w:themeTint="A6"/>
            </w:tcBorders>
          </w:tcPr>
          <w:p w14:paraId="7897CCC7" w14:textId="76B8F260" w:rsidR="00E756F4" w:rsidRPr="003355CC" w:rsidRDefault="00E756F4" w:rsidP="00974E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Responsibilities</w:t>
            </w:r>
          </w:p>
        </w:tc>
        <w:tc>
          <w:tcPr>
            <w:tcW w:w="10238" w:type="dxa"/>
          </w:tcPr>
          <w:p w14:paraId="0A8756FB" w14:textId="7DB3AC23" w:rsidR="00CD2C22" w:rsidRPr="00B23541" w:rsidRDefault="00CD2C22" w:rsidP="00A2754C">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B23541">
              <w:rPr>
                <w:rFonts w:asciiTheme="minorHAnsi" w:hAnsiTheme="minorHAnsi" w:cstheme="minorBidi"/>
              </w:rPr>
              <w:t>Deliver growth across a diverse FOM customer base in the UK.</w:t>
            </w:r>
          </w:p>
          <w:p w14:paraId="0520A00C" w14:textId="77777777" w:rsidR="00CD2C22" w:rsidRPr="00CD2C22" w:rsidRDefault="00CD2C22" w:rsidP="00E00615">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Build customer development and sales organisation to provide full lifecycle functionality: relationship and lead development, sales, account management, commercial management and customer service.</w:t>
            </w:r>
          </w:p>
          <w:p w14:paraId="4FA89D10" w14:textId="77777777" w:rsidR="00CD2C22" w:rsidRPr="00CD2C22" w:rsidRDefault="00CD2C22" w:rsidP="00E00615">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Build and manage a marketing function.</w:t>
            </w:r>
          </w:p>
          <w:p w14:paraId="129E4B34" w14:textId="77777777" w:rsidR="00CD2C22" w:rsidRPr="00CD2C22" w:rsidRDefault="00CD2C22" w:rsidP="00E00615">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Develop and implement product switching and range management strategies.</w:t>
            </w:r>
          </w:p>
          <w:p w14:paraId="5DB7BBF1" w14:textId="77777777" w:rsidR="00CD2C22" w:rsidRPr="00CD2C22" w:rsidRDefault="00CD2C22" w:rsidP="00E00615">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Develop and implement business development plans, customer value propositions, sales strategies and plans.</w:t>
            </w:r>
          </w:p>
          <w:p w14:paraId="6CB1F346" w14:textId="77777777" w:rsidR="00CD2C22" w:rsidRPr="00CD2C22" w:rsidRDefault="00CD2C22" w:rsidP="00E00615">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Introduce and deliver best practice sales methodologies, incentive models, processes and operations.</w:t>
            </w:r>
          </w:p>
          <w:p w14:paraId="297DD56A" w14:textId="77777777" w:rsidR="00CD2C22" w:rsidRDefault="00CD2C22" w:rsidP="00E00615">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Develop and deliver sales team targets.</w:t>
            </w:r>
          </w:p>
          <w:p w14:paraId="28DA3803" w14:textId="01CEC5C3" w:rsidR="00C172BF" w:rsidRPr="003355CC" w:rsidRDefault="00C172BF" w:rsidP="00C172BF">
            <w:pPr>
              <w:ind w:left="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E756F4" w:rsidRPr="003355CC" w14:paraId="344587D9" w14:textId="77777777" w:rsidTr="0097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vMerge/>
          </w:tcPr>
          <w:p w14:paraId="5BD63458" w14:textId="77777777" w:rsidR="00E756F4" w:rsidRPr="003355CC" w:rsidRDefault="00E756F4" w:rsidP="00974E53">
            <w:pPr>
              <w:rPr>
                <w:rFonts w:asciiTheme="minorHAnsi" w:hAnsiTheme="minorHAnsi" w:cstheme="minorBidi"/>
              </w:rPr>
            </w:pPr>
          </w:p>
        </w:tc>
        <w:tc>
          <w:tcPr>
            <w:tcW w:w="2139" w:type="dxa"/>
            <w:tcBorders>
              <w:bottom w:val="single" w:sz="8" w:space="0" w:color="595959" w:themeColor="text1" w:themeTint="A6"/>
            </w:tcBorders>
          </w:tcPr>
          <w:p w14:paraId="43A2F05B" w14:textId="77777777" w:rsidR="00E756F4" w:rsidRPr="003355CC" w:rsidRDefault="00E756F4" w:rsidP="00974E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Specific Experience</w:t>
            </w:r>
          </w:p>
        </w:tc>
        <w:tc>
          <w:tcPr>
            <w:tcW w:w="10238" w:type="dxa"/>
          </w:tcPr>
          <w:p w14:paraId="5CEBAB79" w14:textId="77777777" w:rsidR="00E756F4" w:rsidRPr="003355CC" w:rsidRDefault="00E756F4" w:rsidP="00974E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Internationally recognised as expert authority in developing and delivering best practice within supply chain customer development and internal sales.</w:t>
            </w:r>
          </w:p>
          <w:p w14:paraId="581E27AF"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Minimum ten (10) years at a senior level having developed a diversified customer base in a B2B environment.</w:t>
            </w:r>
          </w:p>
          <w:p w14:paraId="17E53F8A"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Delivered growth of diverse customer base across UK at similar scale to the Services: two hundred and fifty (250) separate customer businesses, one hundred thousand (100,000) staff responsible for placing orders.</w:t>
            </w:r>
          </w:p>
          <w:p w14:paraId="50C3583D"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Track record of building sales organisations to provide full lifecycle functionality: led development, sales, account management, commercial management and customer service.</w:t>
            </w:r>
          </w:p>
          <w:p w14:paraId="711D0475"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Has operated in a customer services environment that has consistently achieved awards or recognition for service excellence.</w:t>
            </w:r>
          </w:p>
          <w:p w14:paraId="5B70FA0E" w14:textId="77777777" w:rsidR="00E756F4"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Can demonstrate competency in all of the above responsibilities.</w:t>
            </w:r>
          </w:p>
          <w:p w14:paraId="0140F6B7" w14:textId="77777777" w:rsidR="00C172BF" w:rsidRPr="003355CC" w:rsidRDefault="00C172BF" w:rsidP="00C172BF">
            <w:pPr>
              <w:ind w:left="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r>
      <w:tr w:rsidR="00E756F4" w:rsidRPr="003355CC" w14:paraId="687BEC50" w14:textId="77777777" w:rsidTr="00974E53">
        <w:tc>
          <w:tcPr>
            <w:cnfStyle w:val="001000000000" w:firstRow="0" w:lastRow="0" w:firstColumn="1" w:lastColumn="0" w:oddVBand="0" w:evenVBand="0" w:oddHBand="0" w:evenHBand="0" w:firstRowFirstColumn="0" w:firstRowLastColumn="0" w:lastRowFirstColumn="0" w:lastRowLastColumn="0"/>
            <w:tcW w:w="1689" w:type="dxa"/>
            <w:vMerge w:val="restart"/>
          </w:tcPr>
          <w:p w14:paraId="6A79609B" w14:textId="77777777" w:rsidR="00E756F4" w:rsidRPr="003355CC" w:rsidRDefault="00E756F4" w:rsidP="00974E53">
            <w:pPr>
              <w:rPr>
                <w:rFonts w:asciiTheme="minorHAnsi" w:hAnsiTheme="minorHAnsi" w:cstheme="minorBidi"/>
              </w:rPr>
            </w:pPr>
            <w:r w:rsidRPr="003355CC">
              <w:rPr>
                <w:rFonts w:asciiTheme="minorHAnsi" w:hAnsiTheme="minorHAnsi" w:cstheme="minorBidi"/>
              </w:rPr>
              <w:t>1.3 HR</w:t>
            </w:r>
          </w:p>
        </w:tc>
        <w:tc>
          <w:tcPr>
            <w:tcW w:w="2139" w:type="dxa"/>
          </w:tcPr>
          <w:p w14:paraId="4D7BF84E" w14:textId="70DFC45B" w:rsidR="00E756F4" w:rsidRPr="003355CC" w:rsidRDefault="00E756F4" w:rsidP="00974E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Responsibilities</w:t>
            </w:r>
          </w:p>
        </w:tc>
        <w:tc>
          <w:tcPr>
            <w:tcW w:w="10238" w:type="dxa"/>
          </w:tcPr>
          <w:p w14:paraId="38BBF38E" w14:textId="19B5D6B8" w:rsidR="00CD2C22" w:rsidRPr="00B23541" w:rsidRDefault="00CD2C22" w:rsidP="00A2754C">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B23541">
              <w:rPr>
                <w:rFonts w:asciiTheme="minorHAnsi" w:hAnsiTheme="minorHAnsi" w:cstheme="minorBidi"/>
              </w:rPr>
              <w:t>Develop relevant HR processes and execution of staff recruitment or transfer for the ICC and FOM.</w:t>
            </w:r>
          </w:p>
          <w:p w14:paraId="1D7B58C4" w14:textId="77777777" w:rsidR="00CD2C22" w:rsidRPr="00CD2C22" w:rsidRDefault="00CD2C22" w:rsidP="00E00615">
            <w:pPr>
              <w:numPr>
                <w:ilvl w:val="0"/>
                <w:numId w:val="29"/>
              </w:numPr>
              <w:ind w:left="175"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Successful TUPE implementation in connection with the ICC and FOM, including consultation, transfer / redeployment / redundancy, legal engagement and commercial terms, including pension transfers.</w:t>
            </w:r>
          </w:p>
          <w:p w14:paraId="20092A4D" w14:textId="77777777" w:rsidR="00CD2C22" w:rsidRPr="00CD2C22" w:rsidRDefault="00CD2C22" w:rsidP="00E00615">
            <w:pPr>
              <w:numPr>
                <w:ilvl w:val="0"/>
                <w:numId w:val="29"/>
              </w:numPr>
              <w:ind w:left="175"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Learning and organisational development, including defining people and role requirements.</w:t>
            </w:r>
          </w:p>
          <w:p w14:paraId="1AA8904F" w14:textId="77777777" w:rsidR="00CD2C22" w:rsidRPr="00CD2C22" w:rsidRDefault="00CD2C22" w:rsidP="00E00615">
            <w:pPr>
              <w:numPr>
                <w:ilvl w:val="0"/>
                <w:numId w:val="29"/>
              </w:numPr>
              <w:ind w:left="175"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HR strategy development in alignment with business requirements.</w:t>
            </w:r>
          </w:p>
          <w:p w14:paraId="4FB4F35A" w14:textId="77777777" w:rsidR="00CD2C22" w:rsidRPr="00CD2C22" w:rsidRDefault="00CD2C22" w:rsidP="00E00615">
            <w:pPr>
              <w:numPr>
                <w:ilvl w:val="0"/>
                <w:numId w:val="29"/>
              </w:numPr>
              <w:ind w:left="175"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Implementation of HR policies, processes and operating procedures to support all areas of HR operations, including personnel development, retention, succession, performance, disciplinary, disputes, employment terms and conditions, payroll.</w:t>
            </w:r>
          </w:p>
          <w:p w14:paraId="6BE89690" w14:textId="77777777" w:rsidR="00CD2C22" w:rsidRPr="00CD2C22" w:rsidRDefault="00CD2C22" w:rsidP="00E00615">
            <w:pPr>
              <w:numPr>
                <w:ilvl w:val="0"/>
                <w:numId w:val="29"/>
              </w:numPr>
              <w:ind w:left="175"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Recruitment of appropriately experienced staff for the ICC utilising different channels to market.</w:t>
            </w:r>
          </w:p>
          <w:p w14:paraId="1835CDEB" w14:textId="77777777" w:rsidR="00CD2C22" w:rsidRDefault="00CD2C22" w:rsidP="00E00615">
            <w:pPr>
              <w:numPr>
                <w:ilvl w:val="0"/>
                <w:numId w:val="29"/>
              </w:numPr>
              <w:ind w:left="175"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Lead collective agreement negotiations with unions.</w:t>
            </w:r>
          </w:p>
          <w:p w14:paraId="42CA5DC3" w14:textId="54E50E78" w:rsidR="00C172BF" w:rsidRPr="003355CC" w:rsidRDefault="00C172BF" w:rsidP="00C172BF">
            <w:pPr>
              <w:ind w:left="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E756F4" w:rsidRPr="003355CC" w14:paraId="0B19CEBC" w14:textId="77777777" w:rsidTr="0097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vMerge/>
          </w:tcPr>
          <w:p w14:paraId="7525972B" w14:textId="77777777" w:rsidR="00E756F4" w:rsidRPr="003355CC" w:rsidRDefault="00E756F4" w:rsidP="00974E53">
            <w:pPr>
              <w:rPr>
                <w:rFonts w:asciiTheme="minorHAnsi" w:hAnsiTheme="minorHAnsi" w:cstheme="minorBidi"/>
              </w:rPr>
            </w:pPr>
          </w:p>
        </w:tc>
        <w:tc>
          <w:tcPr>
            <w:tcW w:w="2139" w:type="dxa"/>
          </w:tcPr>
          <w:p w14:paraId="3E255238" w14:textId="77777777" w:rsidR="00E756F4" w:rsidRPr="003355CC" w:rsidRDefault="00E756F4" w:rsidP="00974E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Specific Experience</w:t>
            </w:r>
          </w:p>
        </w:tc>
        <w:tc>
          <w:tcPr>
            <w:tcW w:w="10238" w:type="dxa"/>
          </w:tcPr>
          <w:p w14:paraId="38D00317"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Minimum fifteen (15) years in total, five (5) years at a senior level.</w:t>
            </w:r>
          </w:p>
          <w:p w14:paraId="1F134D8B"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Can demonstrate competency in all of the above responsibilities.</w:t>
            </w:r>
          </w:p>
          <w:p w14:paraId="3081509E" w14:textId="77777777" w:rsidR="00E756F4"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Has successfully completed TUPE implementations involving minimum fifty (50) personnel: full lifecycle from consultation to transfer / redeployment / redundancy, legal engagement and commercial terms including pension transfers.</w:t>
            </w:r>
          </w:p>
          <w:p w14:paraId="63297A40" w14:textId="77777777" w:rsidR="00544B51" w:rsidRDefault="00544B51"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Holds CIPD or equivalent qualification</w:t>
            </w:r>
          </w:p>
          <w:p w14:paraId="42928C36" w14:textId="40E9E45C" w:rsidR="00C172BF" w:rsidRPr="003355CC" w:rsidRDefault="00C172BF" w:rsidP="00C172BF">
            <w:pPr>
              <w:ind w:left="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r>
      <w:tr w:rsidR="00E756F4" w:rsidRPr="003355CC" w14:paraId="534FF598" w14:textId="77777777" w:rsidTr="00974E53">
        <w:tc>
          <w:tcPr>
            <w:cnfStyle w:val="001000000000" w:firstRow="0" w:lastRow="0" w:firstColumn="1" w:lastColumn="0" w:oddVBand="0" w:evenVBand="0" w:oddHBand="0" w:evenHBand="0" w:firstRowFirstColumn="0" w:firstRowLastColumn="0" w:lastRowFirstColumn="0" w:lastRowLastColumn="0"/>
            <w:tcW w:w="1689" w:type="dxa"/>
            <w:vMerge w:val="restart"/>
          </w:tcPr>
          <w:p w14:paraId="781CB0F9" w14:textId="77777777" w:rsidR="00E756F4" w:rsidRPr="003355CC" w:rsidRDefault="00E756F4" w:rsidP="00974E53">
            <w:pPr>
              <w:rPr>
                <w:rFonts w:asciiTheme="minorHAnsi" w:hAnsiTheme="minorHAnsi" w:cstheme="minorBidi"/>
              </w:rPr>
            </w:pPr>
            <w:r w:rsidRPr="003355CC">
              <w:rPr>
                <w:rFonts w:asciiTheme="minorHAnsi" w:hAnsiTheme="minorHAnsi" w:cstheme="minorBidi"/>
              </w:rPr>
              <w:t>1.4 Finance</w:t>
            </w:r>
          </w:p>
        </w:tc>
        <w:tc>
          <w:tcPr>
            <w:tcW w:w="2139" w:type="dxa"/>
          </w:tcPr>
          <w:p w14:paraId="7FBE46E0" w14:textId="0F3D08CC" w:rsidR="00E756F4" w:rsidRPr="003355CC" w:rsidRDefault="00E756F4" w:rsidP="00974E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Responsibilities</w:t>
            </w:r>
          </w:p>
        </w:tc>
        <w:tc>
          <w:tcPr>
            <w:tcW w:w="10238" w:type="dxa"/>
          </w:tcPr>
          <w:p w14:paraId="59296E72" w14:textId="6D5059CD" w:rsidR="00CD2C22" w:rsidRPr="00B23541" w:rsidRDefault="00CD2C22" w:rsidP="00A2754C">
            <w:pPr>
              <w:numPr>
                <w:ilvl w:val="0"/>
                <w:numId w:val="29"/>
              </w:numPr>
              <w:ind w:left="175" w:hanging="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B23541">
              <w:rPr>
                <w:rFonts w:asciiTheme="minorHAnsi" w:hAnsiTheme="minorHAnsi" w:cstheme="minorBidi"/>
              </w:rPr>
              <w:t>Creation and operation of ICC finance function, taking into account Government accounting and financial governance requirements.</w:t>
            </w:r>
          </w:p>
          <w:p w14:paraId="257EE362" w14:textId="77777777" w:rsidR="00CD2C22" w:rsidRPr="00CD2C22" w:rsidRDefault="00CD2C22" w:rsidP="00E00615">
            <w:pPr>
              <w:numPr>
                <w:ilvl w:val="0"/>
                <w:numId w:val="29"/>
              </w:numPr>
              <w:ind w:left="175"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Financial system implementation and integration across the ICC and the FOM.</w:t>
            </w:r>
          </w:p>
          <w:p w14:paraId="0FE5E386" w14:textId="77777777" w:rsidR="00CD2C22" w:rsidRPr="00CD2C22" w:rsidRDefault="00CD2C22" w:rsidP="00E00615">
            <w:pPr>
              <w:numPr>
                <w:ilvl w:val="0"/>
                <w:numId w:val="29"/>
              </w:numPr>
              <w:ind w:left="175"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t>Implement and lead an audit function, including supplier open book and other forms of financial records.</w:t>
            </w:r>
          </w:p>
          <w:p w14:paraId="4943C6D6" w14:textId="77777777" w:rsidR="00CD2C22" w:rsidRDefault="00CD2C22" w:rsidP="00E00615">
            <w:pPr>
              <w:numPr>
                <w:ilvl w:val="0"/>
                <w:numId w:val="29"/>
              </w:numPr>
              <w:ind w:left="175"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D2C22">
              <w:rPr>
                <w:rFonts w:asciiTheme="minorHAnsi" w:hAnsiTheme="minorHAnsi" w:cstheme="minorBidi"/>
              </w:rPr>
              <w:lastRenderedPageBreak/>
              <w:t>Implement policies, systems, processes and operating procedures to support all areas of Finance operations, including budgeting, reporting, management accounts, investment modelling and approval, financial modelling, general ledger, payments, cash collection, inventory management.</w:t>
            </w:r>
          </w:p>
          <w:p w14:paraId="1D013B63" w14:textId="015632A6" w:rsidR="00C172BF" w:rsidRPr="003355CC" w:rsidRDefault="00C172BF" w:rsidP="00C172BF">
            <w:pPr>
              <w:ind w:left="175"/>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E756F4" w:rsidRPr="003355CC" w14:paraId="077DC2EB" w14:textId="77777777" w:rsidTr="0097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vMerge/>
          </w:tcPr>
          <w:p w14:paraId="3D8D9DA3" w14:textId="77777777" w:rsidR="00E756F4" w:rsidRPr="003355CC" w:rsidRDefault="00E756F4" w:rsidP="00974E53">
            <w:pPr>
              <w:rPr>
                <w:rFonts w:asciiTheme="minorHAnsi" w:hAnsiTheme="minorHAnsi" w:cstheme="minorBidi"/>
              </w:rPr>
            </w:pPr>
          </w:p>
        </w:tc>
        <w:tc>
          <w:tcPr>
            <w:tcW w:w="2139" w:type="dxa"/>
          </w:tcPr>
          <w:p w14:paraId="7CE552BF" w14:textId="77777777" w:rsidR="00E756F4" w:rsidRPr="003355CC" w:rsidRDefault="00E756F4" w:rsidP="00974E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Specific Experience</w:t>
            </w:r>
          </w:p>
        </w:tc>
        <w:tc>
          <w:tcPr>
            <w:tcW w:w="10238" w:type="dxa"/>
          </w:tcPr>
          <w:p w14:paraId="04A4761B"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Minimum ten (10) years in total, five (5) years at a senior level.</w:t>
            </w:r>
          </w:p>
          <w:p w14:paraId="1E05F2FA" w14:textId="77777777" w:rsidR="00E756F4"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Can demonstrate competency in all of the above responsibilities.</w:t>
            </w:r>
          </w:p>
          <w:p w14:paraId="482FD490" w14:textId="77777777" w:rsidR="00544B51" w:rsidRDefault="00544B51"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Holds ACA or equivalent qualification.</w:t>
            </w:r>
          </w:p>
          <w:p w14:paraId="3453A215" w14:textId="5ACBFDCA" w:rsidR="00C172BF" w:rsidRPr="003355CC" w:rsidRDefault="00C172BF" w:rsidP="00C172BF">
            <w:pPr>
              <w:ind w:left="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r>
      <w:tr w:rsidR="00E756F4" w:rsidRPr="00674175" w14:paraId="7FF0BA64" w14:textId="77777777" w:rsidTr="00974E53">
        <w:tc>
          <w:tcPr>
            <w:cnfStyle w:val="001000000000" w:firstRow="0" w:lastRow="0" w:firstColumn="1" w:lastColumn="0" w:oddVBand="0" w:evenVBand="0" w:oddHBand="0" w:evenHBand="0" w:firstRowFirstColumn="0" w:firstRowLastColumn="0" w:lastRowFirstColumn="0" w:lastRowLastColumn="0"/>
            <w:tcW w:w="1689" w:type="dxa"/>
            <w:vMerge w:val="restart"/>
          </w:tcPr>
          <w:p w14:paraId="7EAB6930" w14:textId="77777777" w:rsidR="00E756F4" w:rsidRPr="003355CC" w:rsidRDefault="00E756F4" w:rsidP="00974E53">
            <w:pPr>
              <w:rPr>
                <w:rFonts w:asciiTheme="minorHAnsi" w:hAnsiTheme="minorHAnsi" w:cstheme="minorBidi"/>
              </w:rPr>
            </w:pPr>
            <w:r w:rsidRPr="003355CC">
              <w:rPr>
                <w:rFonts w:asciiTheme="minorHAnsi" w:hAnsiTheme="minorHAnsi" w:cstheme="minorBidi"/>
              </w:rPr>
              <w:t>1.5 IT</w:t>
            </w:r>
          </w:p>
        </w:tc>
        <w:tc>
          <w:tcPr>
            <w:tcW w:w="2139" w:type="dxa"/>
          </w:tcPr>
          <w:p w14:paraId="10EF6302" w14:textId="3E92110C" w:rsidR="00E756F4" w:rsidRPr="003355CC" w:rsidRDefault="00E756F4" w:rsidP="00974E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Responsibilities</w:t>
            </w:r>
          </w:p>
        </w:tc>
        <w:tc>
          <w:tcPr>
            <w:tcW w:w="10238" w:type="dxa"/>
          </w:tcPr>
          <w:p w14:paraId="20369C0B" w14:textId="77777777" w:rsidR="00C172BF" w:rsidRPr="00C172BF" w:rsidRDefault="00C172BF" w:rsidP="00C172BF">
            <w:pPr>
              <w:ind w:left="317"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172BF">
              <w:rPr>
                <w:rFonts w:asciiTheme="minorHAnsi" w:hAnsiTheme="minorHAnsi" w:cstheme="minorBidi"/>
              </w:rPr>
              <w:t>-</w:t>
            </w:r>
            <w:r w:rsidRPr="00C172BF">
              <w:rPr>
                <w:rFonts w:asciiTheme="minorHAnsi" w:hAnsiTheme="minorHAnsi" w:cstheme="minorBidi"/>
              </w:rPr>
              <w:tab/>
              <w:t>Create and operate a strategic information technology function for the ICC.</w:t>
            </w:r>
          </w:p>
          <w:p w14:paraId="6A0D1820" w14:textId="77777777" w:rsidR="00C172BF" w:rsidRPr="00C172BF" w:rsidRDefault="00C172BF" w:rsidP="00C172BF">
            <w:pPr>
              <w:ind w:left="317"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172BF">
              <w:rPr>
                <w:rFonts w:asciiTheme="minorHAnsi" w:hAnsiTheme="minorHAnsi" w:cstheme="minorBidi"/>
              </w:rPr>
              <w:t>-</w:t>
            </w:r>
            <w:r w:rsidRPr="00C172BF">
              <w:rPr>
                <w:rFonts w:asciiTheme="minorHAnsi" w:hAnsiTheme="minorHAnsi" w:cstheme="minorBidi"/>
              </w:rPr>
              <w:tab/>
              <w:t>Implement a broad range of system design and delivery models including agile and waterfall as appropriate.</w:t>
            </w:r>
          </w:p>
          <w:p w14:paraId="1363846E" w14:textId="77777777" w:rsidR="00C172BF" w:rsidRPr="00C172BF" w:rsidRDefault="00C172BF" w:rsidP="00C172BF">
            <w:pPr>
              <w:ind w:left="317"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172BF">
              <w:rPr>
                <w:rFonts w:asciiTheme="minorHAnsi" w:hAnsiTheme="minorHAnsi" w:cstheme="minorBidi"/>
              </w:rPr>
              <w:t>-</w:t>
            </w:r>
            <w:r w:rsidRPr="00C172BF">
              <w:rPr>
                <w:rFonts w:asciiTheme="minorHAnsi" w:hAnsiTheme="minorHAnsi" w:cstheme="minorBidi"/>
              </w:rPr>
              <w:tab/>
              <w:t>Implement policies, systems, standards, processes and operating procedures to support all areas of IT operations, including systems, applications, networks, security, business continuity, desktop, mobility.</w:t>
            </w:r>
          </w:p>
          <w:p w14:paraId="6BDC2CA7" w14:textId="77777777" w:rsidR="00C172BF" w:rsidRPr="00C172BF" w:rsidRDefault="00C172BF" w:rsidP="00C172BF">
            <w:pPr>
              <w:ind w:left="317"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172BF">
              <w:rPr>
                <w:rFonts w:asciiTheme="minorHAnsi" w:hAnsiTheme="minorHAnsi" w:cstheme="minorBidi"/>
              </w:rPr>
              <w:t>-</w:t>
            </w:r>
            <w:r w:rsidRPr="00C172BF">
              <w:rPr>
                <w:rFonts w:asciiTheme="minorHAnsi" w:hAnsiTheme="minorHAnsi" w:cstheme="minorBidi"/>
              </w:rPr>
              <w:tab/>
              <w:t xml:space="preserve">Drive and support customer uptake through enhanced user interfaces and excellent user experience within an e-tailing, multi-platform and </w:t>
            </w:r>
            <w:proofErr w:type="spellStart"/>
            <w:r w:rsidRPr="00C172BF">
              <w:rPr>
                <w:rFonts w:asciiTheme="minorHAnsi" w:hAnsiTheme="minorHAnsi" w:cstheme="minorBidi"/>
              </w:rPr>
              <w:t>omni</w:t>
            </w:r>
            <w:proofErr w:type="spellEnd"/>
            <w:r w:rsidRPr="00C172BF">
              <w:rPr>
                <w:rFonts w:asciiTheme="minorHAnsi" w:hAnsiTheme="minorHAnsi" w:cstheme="minorBidi"/>
              </w:rPr>
              <w:t>-channel environment.</w:t>
            </w:r>
          </w:p>
          <w:p w14:paraId="78A9E173" w14:textId="77777777" w:rsidR="00C172BF" w:rsidRPr="00C172BF" w:rsidRDefault="00C172BF" w:rsidP="00C172BF">
            <w:pPr>
              <w:ind w:left="317"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172BF">
              <w:rPr>
                <w:rFonts w:asciiTheme="minorHAnsi" w:hAnsiTheme="minorHAnsi" w:cstheme="minorBidi"/>
              </w:rPr>
              <w:t>-</w:t>
            </w:r>
            <w:r w:rsidRPr="00C172BF">
              <w:rPr>
                <w:rFonts w:asciiTheme="minorHAnsi" w:hAnsiTheme="minorHAnsi" w:cstheme="minorBidi"/>
              </w:rPr>
              <w:tab/>
              <w:t>Create and execute 10 year IT strategy including detailed product and service roadmaps.</w:t>
            </w:r>
          </w:p>
          <w:p w14:paraId="283AF071" w14:textId="77777777" w:rsidR="00C172BF" w:rsidRPr="00C172BF" w:rsidRDefault="00C172BF" w:rsidP="00C172BF">
            <w:pPr>
              <w:ind w:left="317"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172BF">
              <w:rPr>
                <w:rFonts w:asciiTheme="minorHAnsi" w:hAnsiTheme="minorHAnsi" w:cstheme="minorBidi"/>
              </w:rPr>
              <w:t>-</w:t>
            </w:r>
            <w:r w:rsidRPr="00C172BF">
              <w:rPr>
                <w:rFonts w:asciiTheme="minorHAnsi" w:hAnsiTheme="minorHAnsi" w:cstheme="minorBidi"/>
              </w:rPr>
              <w:tab/>
              <w:t>Manage outsourced IT service providers.</w:t>
            </w:r>
          </w:p>
          <w:p w14:paraId="6DFA6377" w14:textId="77777777" w:rsidR="00A14A12" w:rsidRDefault="00C172BF" w:rsidP="00C172BF">
            <w:pPr>
              <w:ind w:left="317" w:hanging="142"/>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172BF">
              <w:rPr>
                <w:rFonts w:asciiTheme="minorHAnsi" w:hAnsiTheme="minorHAnsi" w:cstheme="minorBidi"/>
              </w:rPr>
              <w:t>-</w:t>
            </w:r>
            <w:r w:rsidRPr="00C172BF">
              <w:rPr>
                <w:rFonts w:asciiTheme="minorHAnsi" w:hAnsiTheme="minorHAnsi" w:cstheme="minorBidi"/>
              </w:rPr>
              <w:tab/>
              <w:t>Deliver IT transformation across landscapes including the replacement of legacy technologies.</w:t>
            </w:r>
          </w:p>
          <w:p w14:paraId="0BC0D67A" w14:textId="04E01149" w:rsidR="00C172BF" w:rsidRPr="00A2754C" w:rsidRDefault="00C172BF" w:rsidP="00C172BF">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E756F4" w:rsidRPr="003355CC" w14:paraId="761C7E85" w14:textId="77777777" w:rsidTr="0097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vMerge/>
          </w:tcPr>
          <w:p w14:paraId="512B97BF" w14:textId="77777777" w:rsidR="00E756F4" w:rsidRPr="003355CC" w:rsidRDefault="00E756F4" w:rsidP="00974E53">
            <w:pPr>
              <w:rPr>
                <w:rFonts w:asciiTheme="minorHAnsi" w:hAnsiTheme="minorHAnsi" w:cstheme="minorBidi"/>
              </w:rPr>
            </w:pPr>
          </w:p>
        </w:tc>
        <w:tc>
          <w:tcPr>
            <w:tcW w:w="2139" w:type="dxa"/>
          </w:tcPr>
          <w:p w14:paraId="10695953" w14:textId="77777777" w:rsidR="00E756F4" w:rsidRPr="003355CC" w:rsidRDefault="00E756F4" w:rsidP="00974E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Specific Experience</w:t>
            </w:r>
          </w:p>
        </w:tc>
        <w:tc>
          <w:tcPr>
            <w:tcW w:w="10238" w:type="dxa"/>
          </w:tcPr>
          <w:p w14:paraId="34947DF3" w14:textId="77777777" w:rsidR="00E756F4" w:rsidRPr="003355CC"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Minimum ten (10) years in total, five (5) years at a senior level.</w:t>
            </w:r>
          </w:p>
          <w:p w14:paraId="39C6AD30" w14:textId="77777777" w:rsidR="00E756F4" w:rsidRDefault="00E756F4"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Can demonstrate competency in all of the above responsibilities.</w:t>
            </w:r>
          </w:p>
          <w:p w14:paraId="3FB0A0FA" w14:textId="77777777" w:rsidR="00C172BF" w:rsidRPr="003355CC" w:rsidRDefault="00C172BF" w:rsidP="00C172BF">
            <w:pPr>
              <w:ind w:left="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r>
    </w:tbl>
    <w:p w14:paraId="000651E9" w14:textId="77777777" w:rsidR="00E756F4" w:rsidRDefault="00E756F4" w:rsidP="00717A58">
      <w:pPr>
        <w:pStyle w:val="Heading3"/>
        <w:numPr>
          <w:ilvl w:val="0"/>
          <w:numId w:val="0"/>
        </w:numPr>
        <w:ind w:left="1800"/>
      </w:pPr>
    </w:p>
    <w:tbl>
      <w:tblPr>
        <w:tblStyle w:val="LightList-Accent12"/>
        <w:tblW w:w="0" w:type="auto"/>
        <w:tblInd w:w="108"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Look w:val="04A0" w:firstRow="1" w:lastRow="0" w:firstColumn="1" w:lastColumn="0" w:noHBand="0" w:noVBand="1"/>
      </w:tblPr>
      <w:tblGrid>
        <w:gridCol w:w="1678"/>
        <w:gridCol w:w="2784"/>
        <w:gridCol w:w="9604"/>
      </w:tblGrid>
      <w:tr w:rsidR="00717A58" w:rsidRPr="003355CC" w14:paraId="544EE6AD" w14:textId="77777777" w:rsidTr="00974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Borders>
              <w:right w:val="single" w:sz="8" w:space="0" w:color="D9D9D9" w:themeColor="background1" w:themeShade="D9"/>
            </w:tcBorders>
            <w:shd w:val="clear" w:color="auto" w:fill="595959" w:themeFill="text1" w:themeFillTint="A6"/>
          </w:tcPr>
          <w:p w14:paraId="043DC832" w14:textId="77777777" w:rsidR="00717A58" w:rsidRPr="003355CC" w:rsidRDefault="00717A58" w:rsidP="00974E53">
            <w:pPr>
              <w:ind w:left="425" w:hanging="425"/>
              <w:rPr>
                <w:rFonts w:asciiTheme="minorHAnsi" w:hAnsiTheme="minorHAnsi" w:cstheme="minorBidi"/>
              </w:rPr>
            </w:pPr>
            <w:r w:rsidRPr="003355CC">
              <w:rPr>
                <w:rFonts w:asciiTheme="minorHAnsi" w:hAnsiTheme="minorHAnsi" w:cstheme="minorBidi"/>
              </w:rPr>
              <w:t>Function</w:t>
            </w:r>
          </w:p>
        </w:tc>
        <w:tc>
          <w:tcPr>
            <w:tcW w:w="2784" w:type="dxa"/>
            <w:tcBorders>
              <w:top w:val="single" w:sz="8" w:space="0" w:color="595959" w:themeColor="text1" w:themeTint="A6"/>
              <w:left w:val="single" w:sz="8" w:space="0" w:color="D9D9D9" w:themeColor="background1" w:themeShade="D9"/>
              <w:bottom w:val="single" w:sz="8" w:space="0" w:color="595959" w:themeColor="text1" w:themeTint="A6"/>
              <w:right w:val="single" w:sz="8" w:space="0" w:color="D9D9D9" w:themeColor="background1" w:themeShade="D9"/>
            </w:tcBorders>
            <w:shd w:val="clear" w:color="auto" w:fill="595959" w:themeFill="text1" w:themeFillTint="A6"/>
          </w:tcPr>
          <w:p w14:paraId="5135E494" w14:textId="7FEE7ADD" w:rsidR="00717A58" w:rsidRPr="003355CC" w:rsidRDefault="00676B03" w:rsidP="00974E53">
            <w:pPr>
              <w:ind w:left="425" w:hanging="425"/>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Requirements</w:t>
            </w:r>
          </w:p>
        </w:tc>
        <w:tc>
          <w:tcPr>
            <w:tcW w:w="9604" w:type="dxa"/>
            <w:tcBorders>
              <w:left w:val="single" w:sz="8" w:space="0" w:color="D9D9D9" w:themeColor="background1" w:themeShade="D9"/>
            </w:tcBorders>
            <w:shd w:val="clear" w:color="auto" w:fill="595959" w:themeFill="text1" w:themeFillTint="A6"/>
          </w:tcPr>
          <w:p w14:paraId="1B8EE75F" w14:textId="7AEC7F52" w:rsidR="00717A58" w:rsidRPr="003355CC" w:rsidRDefault="00676B03" w:rsidP="00974E53">
            <w:pPr>
              <w:ind w:left="425" w:hanging="425"/>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Description</w:t>
            </w:r>
          </w:p>
        </w:tc>
      </w:tr>
      <w:tr w:rsidR="00717A58" w:rsidRPr="003355CC" w14:paraId="4616CD76" w14:textId="77777777" w:rsidTr="0097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66" w:type="dxa"/>
            <w:gridSpan w:val="3"/>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D9D9D9" w:themeFill="background1" w:themeFillShade="D9"/>
          </w:tcPr>
          <w:p w14:paraId="71F45968" w14:textId="77777777" w:rsidR="00717A58" w:rsidRPr="003355CC" w:rsidRDefault="00717A58" w:rsidP="00974E53">
            <w:pPr>
              <w:contextualSpacing/>
              <w:rPr>
                <w:rFonts w:asciiTheme="minorHAnsi" w:hAnsiTheme="minorHAnsi" w:cstheme="minorBidi"/>
              </w:rPr>
            </w:pPr>
            <w:r w:rsidRPr="003355CC">
              <w:rPr>
                <w:rFonts w:asciiTheme="minorHAnsi" w:hAnsiTheme="minorHAnsi" w:cstheme="minorBidi"/>
              </w:rPr>
              <w:t>2. Programme Areas</w:t>
            </w:r>
          </w:p>
        </w:tc>
      </w:tr>
      <w:tr w:rsidR="00717A58" w:rsidRPr="003355CC" w14:paraId="626500A5" w14:textId="77777777" w:rsidTr="00974E53">
        <w:tc>
          <w:tcPr>
            <w:cnfStyle w:val="001000000000" w:firstRow="0" w:lastRow="0" w:firstColumn="1" w:lastColumn="0" w:oddVBand="0" w:evenVBand="0" w:oddHBand="0" w:evenHBand="0" w:firstRowFirstColumn="0" w:firstRowLastColumn="0" w:lastRowFirstColumn="0" w:lastRowLastColumn="0"/>
            <w:tcW w:w="1678" w:type="dxa"/>
            <w:vMerge w:val="restart"/>
          </w:tcPr>
          <w:p w14:paraId="73D50A3F" w14:textId="77777777" w:rsidR="00717A58" w:rsidRPr="003355CC" w:rsidRDefault="00717A58" w:rsidP="00974E53">
            <w:pPr>
              <w:rPr>
                <w:rFonts w:asciiTheme="minorHAnsi" w:hAnsiTheme="minorHAnsi" w:cstheme="minorBidi"/>
              </w:rPr>
            </w:pPr>
            <w:r w:rsidRPr="003355CC">
              <w:rPr>
                <w:rFonts w:asciiTheme="minorHAnsi" w:hAnsiTheme="minorHAnsi" w:cstheme="minorBidi"/>
              </w:rPr>
              <w:t>2.1 FOM Delivery</w:t>
            </w:r>
          </w:p>
        </w:tc>
        <w:tc>
          <w:tcPr>
            <w:tcW w:w="2784" w:type="dxa"/>
          </w:tcPr>
          <w:p w14:paraId="4EF6FFAF" w14:textId="5DDD638D" w:rsidR="00717A58" w:rsidRPr="003355CC" w:rsidRDefault="00717A58" w:rsidP="00974E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Responsibilities</w:t>
            </w:r>
          </w:p>
        </w:tc>
        <w:tc>
          <w:tcPr>
            <w:tcW w:w="9604" w:type="dxa"/>
          </w:tcPr>
          <w:p w14:paraId="2FFA0AC6" w14:textId="56546450" w:rsidR="00E00615" w:rsidRPr="00B23541" w:rsidRDefault="00E00615" w:rsidP="00A2754C">
            <w:pPr>
              <w:numPr>
                <w:ilvl w:val="0"/>
                <w:numId w:val="29"/>
              </w:numPr>
              <w:ind w:left="251" w:hanging="25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B23541">
              <w:rPr>
                <w:rFonts w:asciiTheme="minorHAnsi" w:hAnsiTheme="minorHAnsi" w:cstheme="minorBidi"/>
              </w:rPr>
              <w:t>Develop and lead procurement activity for the Programme including consideration of and advice on different options available under European Union and UK procurement regulations.</w:t>
            </w:r>
          </w:p>
          <w:p w14:paraId="15EEE614" w14:textId="77777777" w:rsidR="00E00615" w:rsidRDefault="00E00615" w:rsidP="00E00615">
            <w:pPr>
              <w:numPr>
                <w:ilvl w:val="0"/>
                <w:numId w:val="29"/>
              </w:numPr>
              <w:ind w:left="250" w:hanging="25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00615">
              <w:rPr>
                <w:rFonts w:asciiTheme="minorHAnsi" w:hAnsiTheme="minorHAnsi" w:cstheme="minorBidi"/>
              </w:rPr>
              <w:t>Ensuring timely production of Deliverables and resolution of issues to maintain milestones through expedition of activities, robust program management, remedial planning and execution.</w:t>
            </w:r>
          </w:p>
          <w:p w14:paraId="61AA6EAE" w14:textId="267C0A53" w:rsidR="00C172BF" w:rsidRPr="003355CC" w:rsidRDefault="00C172BF" w:rsidP="00E00615">
            <w:pPr>
              <w:numPr>
                <w:ilvl w:val="0"/>
                <w:numId w:val="29"/>
              </w:numPr>
              <w:ind w:left="250" w:hanging="25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717A58" w:rsidRPr="003355CC" w14:paraId="7AED4186" w14:textId="77777777" w:rsidTr="0097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Merge/>
          </w:tcPr>
          <w:p w14:paraId="57D6A84F" w14:textId="77777777" w:rsidR="00717A58" w:rsidRPr="003355CC" w:rsidRDefault="00717A58" w:rsidP="00974E53">
            <w:pPr>
              <w:rPr>
                <w:rFonts w:asciiTheme="minorHAnsi" w:hAnsiTheme="minorHAnsi" w:cstheme="minorBidi"/>
              </w:rPr>
            </w:pPr>
          </w:p>
        </w:tc>
        <w:tc>
          <w:tcPr>
            <w:tcW w:w="2784" w:type="dxa"/>
          </w:tcPr>
          <w:p w14:paraId="6103CDE4" w14:textId="77777777" w:rsidR="00717A58" w:rsidRPr="003355CC" w:rsidRDefault="00717A58" w:rsidP="00974E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Specific Experience</w:t>
            </w:r>
          </w:p>
        </w:tc>
        <w:tc>
          <w:tcPr>
            <w:tcW w:w="9604" w:type="dxa"/>
          </w:tcPr>
          <w:p w14:paraId="69FE92F2" w14:textId="77777777" w:rsidR="00717A58" w:rsidRPr="003355CC" w:rsidRDefault="00717A58"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Minimum fifteen (15) years implementing complex programmes, of which ten (10) years at a senior level.</w:t>
            </w:r>
          </w:p>
          <w:p w14:paraId="66583610" w14:textId="77777777" w:rsidR="00717A58" w:rsidRPr="003355CC" w:rsidRDefault="00717A58"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Senior level commercial experience from multiple public sector procurements with contract values in excess of £20m.</w:t>
            </w:r>
          </w:p>
          <w:p w14:paraId="7ED60CDD" w14:textId="77777777" w:rsidR="00717A58" w:rsidRDefault="00717A58"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lastRenderedPageBreak/>
              <w:t>Can demonstrate competency in all the above responsibilities</w:t>
            </w:r>
          </w:p>
          <w:p w14:paraId="08FD465D" w14:textId="77777777" w:rsidR="00544B51" w:rsidRDefault="0034699C"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Pr>
                <w:rFonts w:asciiTheme="minorHAnsi" w:hAnsiTheme="minorHAnsi" w:cstheme="minorBidi"/>
              </w:rPr>
              <w:t>Holds</w:t>
            </w:r>
            <w:r w:rsidR="00544B51">
              <w:rPr>
                <w:rFonts w:asciiTheme="minorHAnsi" w:hAnsiTheme="minorHAnsi" w:cstheme="minorBidi"/>
              </w:rPr>
              <w:t xml:space="preserve"> MCIPS</w:t>
            </w:r>
            <w:r>
              <w:rPr>
                <w:rFonts w:asciiTheme="minorHAnsi" w:hAnsiTheme="minorHAnsi" w:cstheme="minorBidi"/>
              </w:rPr>
              <w:t xml:space="preserve"> or equivalent qualification</w:t>
            </w:r>
          </w:p>
          <w:p w14:paraId="611EF015" w14:textId="22934B75" w:rsidR="00C172BF" w:rsidRPr="003355CC" w:rsidRDefault="00C172BF" w:rsidP="00C172BF">
            <w:pPr>
              <w:ind w:left="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r>
      <w:tr w:rsidR="00717A58" w:rsidRPr="003355CC" w14:paraId="155C37C4" w14:textId="77777777" w:rsidTr="00974E53">
        <w:tc>
          <w:tcPr>
            <w:cnfStyle w:val="001000000000" w:firstRow="0" w:lastRow="0" w:firstColumn="1" w:lastColumn="0" w:oddVBand="0" w:evenVBand="0" w:oddHBand="0" w:evenHBand="0" w:firstRowFirstColumn="0" w:firstRowLastColumn="0" w:lastRowFirstColumn="0" w:lastRowLastColumn="0"/>
            <w:tcW w:w="1678" w:type="dxa"/>
            <w:vMerge w:val="restart"/>
          </w:tcPr>
          <w:p w14:paraId="7AF7A118" w14:textId="77777777" w:rsidR="00717A58" w:rsidRPr="003355CC" w:rsidRDefault="00717A58" w:rsidP="00974E53">
            <w:pPr>
              <w:rPr>
                <w:rFonts w:asciiTheme="minorHAnsi" w:hAnsiTheme="minorHAnsi" w:cstheme="minorBidi"/>
              </w:rPr>
            </w:pPr>
            <w:r w:rsidRPr="003355CC">
              <w:rPr>
                <w:rFonts w:asciiTheme="minorHAnsi" w:hAnsiTheme="minorHAnsi" w:cstheme="minorBidi"/>
              </w:rPr>
              <w:lastRenderedPageBreak/>
              <w:t>2.2 Transition</w:t>
            </w:r>
          </w:p>
        </w:tc>
        <w:tc>
          <w:tcPr>
            <w:tcW w:w="2784" w:type="dxa"/>
          </w:tcPr>
          <w:p w14:paraId="08EC19D2" w14:textId="568B2085" w:rsidR="00717A58" w:rsidRPr="003355CC" w:rsidRDefault="00717A58" w:rsidP="00974E5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Responsibilities</w:t>
            </w:r>
          </w:p>
        </w:tc>
        <w:tc>
          <w:tcPr>
            <w:tcW w:w="9604" w:type="dxa"/>
          </w:tcPr>
          <w:p w14:paraId="4FFA4530" w14:textId="5B7F26C6" w:rsidR="00E00615" w:rsidRPr="00B23541" w:rsidRDefault="00E00615" w:rsidP="00A2754C">
            <w:pPr>
              <w:numPr>
                <w:ilvl w:val="0"/>
                <w:numId w:val="29"/>
              </w:numPr>
              <w:ind w:left="251" w:hanging="251"/>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B23541">
              <w:rPr>
                <w:rFonts w:asciiTheme="minorHAnsi" w:hAnsiTheme="minorHAnsi" w:cstheme="minorBidi"/>
              </w:rPr>
              <w:t>Develop and implement transition risk management and mitigation methodologies, models and processes for the Programme.</w:t>
            </w:r>
          </w:p>
          <w:p w14:paraId="4F3D13F5" w14:textId="77777777" w:rsidR="00E00615" w:rsidRPr="00E00615" w:rsidRDefault="00E00615" w:rsidP="00E00615">
            <w:pPr>
              <w:numPr>
                <w:ilvl w:val="0"/>
                <w:numId w:val="29"/>
              </w:numPr>
              <w:ind w:left="250" w:hanging="25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00615">
              <w:rPr>
                <w:rFonts w:asciiTheme="minorHAnsi" w:hAnsiTheme="minorHAnsi" w:cstheme="minorBidi"/>
              </w:rPr>
              <w:t xml:space="preserve">Build co-operative and effective multi-disciplinary and multi-level relationships with service provider organisations to ensure smooth and efficient transition. </w:t>
            </w:r>
          </w:p>
          <w:p w14:paraId="75338FD1" w14:textId="77777777" w:rsidR="00E00615" w:rsidRPr="00E00615" w:rsidRDefault="00E00615" w:rsidP="00E00615">
            <w:pPr>
              <w:numPr>
                <w:ilvl w:val="0"/>
                <w:numId w:val="29"/>
              </w:numPr>
              <w:ind w:left="250" w:hanging="25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00615">
              <w:rPr>
                <w:rFonts w:asciiTheme="minorHAnsi" w:hAnsiTheme="minorHAnsi" w:cstheme="minorBidi"/>
              </w:rPr>
              <w:t>Programme and project management for the Programme.</w:t>
            </w:r>
          </w:p>
          <w:p w14:paraId="778120FE" w14:textId="77777777" w:rsidR="00E00615" w:rsidRDefault="00E00615" w:rsidP="00E00615">
            <w:pPr>
              <w:numPr>
                <w:ilvl w:val="0"/>
                <w:numId w:val="29"/>
              </w:numPr>
              <w:ind w:left="250" w:hanging="25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E00615">
              <w:rPr>
                <w:rFonts w:asciiTheme="minorHAnsi" w:hAnsiTheme="minorHAnsi" w:cstheme="minorBidi"/>
              </w:rPr>
              <w:t>Business-wide and external communications and stakeholder management.</w:t>
            </w:r>
          </w:p>
          <w:p w14:paraId="2F34BDA5" w14:textId="562141C1" w:rsidR="00C172BF" w:rsidRPr="003355CC" w:rsidRDefault="00C172BF" w:rsidP="00C172BF">
            <w:pPr>
              <w:ind w:left="25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717A58" w:rsidRPr="003355CC" w14:paraId="251B47C3" w14:textId="77777777" w:rsidTr="0097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vMerge/>
          </w:tcPr>
          <w:p w14:paraId="0DD40A7F" w14:textId="77777777" w:rsidR="00717A58" w:rsidRPr="003355CC" w:rsidRDefault="00717A58" w:rsidP="00974E53">
            <w:pPr>
              <w:rPr>
                <w:rFonts w:asciiTheme="minorHAnsi" w:hAnsiTheme="minorHAnsi" w:cstheme="minorBidi"/>
              </w:rPr>
            </w:pPr>
          </w:p>
        </w:tc>
        <w:tc>
          <w:tcPr>
            <w:tcW w:w="2784" w:type="dxa"/>
          </w:tcPr>
          <w:p w14:paraId="1AA37362" w14:textId="77777777" w:rsidR="00717A58" w:rsidRPr="003355CC" w:rsidRDefault="00717A58" w:rsidP="00974E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Specific Experience</w:t>
            </w:r>
          </w:p>
        </w:tc>
        <w:tc>
          <w:tcPr>
            <w:tcW w:w="9604" w:type="dxa"/>
          </w:tcPr>
          <w:p w14:paraId="0B8E2C24" w14:textId="77777777" w:rsidR="00717A58" w:rsidRPr="003355CC" w:rsidRDefault="00717A58"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Successfully led to completion at least five (5) complex transition programmes.</w:t>
            </w:r>
          </w:p>
          <w:p w14:paraId="68401F61" w14:textId="77777777" w:rsidR="00717A58" w:rsidRPr="003355CC" w:rsidRDefault="00717A58"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Track record of excellent cross business and external communications and stakeholder management.</w:t>
            </w:r>
          </w:p>
          <w:p w14:paraId="7F00BA91" w14:textId="0249BC94" w:rsidR="00717A58" w:rsidRPr="003355CC" w:rsidRDefault="00717A58"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High levels of interaction at C</w:t>
            </w:r>
            <w:r w:rsidR="00E044BC">
              <w:rPr>
                <w:rFonts w:asciiTheme="minorHAnsi" w:hAnsiTheme="minorHAnsi" w:cstheme="minorBidi"/>
              </w:rPr>
              <w:t>EO/COO/CFO</w:t>
            </w:r>
            <w:r w:rsidRPr="003355CC">
              <w:rPr>
                <w:rFonts w:asciiTheme="minorHAnsi" w:hAnsiTheme="minorHAnsi" w:cstheme="minorBidi"/>
              </w:rPr>
              <w:t xml:space="preserve"> level when leading on transition strategy, execution and reporting.</w:t>
            </w:r>
          </w:p>
          <w:p w14:paraId="2FDBADDB" w14:textId="77777777" w:rsidR="00717A58" w:rsidRDefault="00717A58" w:rsidP="000760AE">
            <w:pPr>
              <w:numPr>
                <w:ilvl w:val="0"/>
                <w:numId w:val="29"/>
              </w:numPr>
              <w:ind w:left="251" w:hanging="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3355CC">
              <w:rPr>
                <w:rFonts w:asciiTheme="minorHAnsi" w:hAnsiTheme="minorHAnsi" w:cstheme="minorBidi"/>
              </w:rPr>
              <w:t>Can demonstrate competency in all the above responsibilities</w:t>
            </w:r>
          </w:p>
          <w:p w14:paraId="5A024B9A" w14:textId="77777777" w:rsidR="00C172BF" w:rsidRPr="003355CC" w:rsidRDefault="00C172BF" w:rsidP="00C172BF">
            <w:pPr>
              <w:ind w:left="251"/>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
        </w:tc>
      </w:tr>
    </w:tbl>
    <w:p w14:paraId="1B78CC2E" w14:textId="77777777" w:rsidR="00717A58" w:rsidRDefault="00717A58" w:rsidP="00717A58">
      <w:pPr>
        <w:pStyle w:val="Heading3"/>
        <w:numPr>
          <w:ilvl w:val="0"/>
          <w:numId w:val="0"/>
        </w:numPr>
        <w:ind w:left="1800"/>
        <w:sectPr w:rsidR="00717A58" w:rsidSect="00717A58">
          <w:headerReference w:type="default" r:id="rId12"/>
          <w:endnotePr>
            <w:numFmt w:val="decimal"/>
          </w:endnotePr>
          <w:pgSz w:w="16834" w:h="11909" w:orient="landscape" w:code="9"/>
          <w:pgMar w:top="1440" w:right="1241" w:bottom="1440" w:left="1560" w:header="426" w:footer="433" w:gutter="0"/>
          <w:cols w:space="720"/>
          <w:noEndnote/>
          <w:docGrid w:linePitch="299"/>
        </w:sectPr>
      </w:pPr>
    </w:p>
    <w:p w14:paraId="2BD5B784" w14:textId="0A6E3F0D" w:rsidR="00717A58" w:rsidRDefault="00717A58" w:rsidP="00717A58">
      <w:pPr>
        <w:pStyle w:val="Heading3"/>
        <w:numPr>
          <w:ilvl w:val="0"/>
          <w:numId w:val="0"/>
        </w:numPr>
        <w:ind w:left="1800"/>
      </w:pPr>
    </w:p>
    <w:p w14:paraId="65BC4475" w14:textId="57EA00A7" w:rsidR="006F0298" w:rsidRDefault="00E756F4" w:rsidP="006F0298">
      <w:pPr>
        <w:pStyle w:val="Heading1"/>
      </w:pPr>
      <w:bookmarkStart w:id="12" w:name="_Toc467074148"/>
      <w:r>
        <w:t>Engagement Model</w:t>
      </w:r>
      <w:bookmarkEnd w:id="12"/>
    </w:p>
    <w:p w14:paraId="31B2E2D4" w14:textId="31F0A553" w:rsidR="00E756F4" w:rsidRDefault="00E756F4" w:rsidP="00286957">
      <w:pPr>
        <w:pStyle w:val="Heading2"/>
        <w:numPr>
          <w:ilvl w:val="0"/>
          <w:numId w:val="0"/>
        </w:numPr>
      </w:pPr>
      <w:r>
        <w:t xml:space="preserve">The </w:t>
      </w:r>
      <w:r w:rsidR="00E00615">
        <w:t>Supplier’s</w:t>
      </w:r>
      <w:r>
        <w:t xml:space="preserve"> overriding obligation is to provide the Services so as to achieve the Objectives.  As it is impossible at the Commencement Date to define individual tasks for the whole of the Contract Period, this Engagement Model sets out the way in which the </w:t>
      </w:r>
      <w:r w:rsidR="00E00615">
        <w:t>Supplier</w:t>
      </w:r>
      <w:r>
        <w:t xml:space="preserve"> and the Authority will collaborate to </w:t>
      </w:r>
      <w:r w:rsidR="006D4363">
        <w:t xml:space="preserve">plan, </w:t>
      </w:r>
      <w:r>
        <w:t xml:space="preserve">review and </w:t>
      </w:r>
      <w:r w:rsidR="006D4363">
        <w:t xml:space="preserve">manage </w:t>
      </w:r>
      <w:r>
        <w:t>the progress of the Services.</w:t>
      </w:r>
    </w:p>
    <w:p w14:paraId="36B4A021" w14:textId="77777777" w:rsidR="00E756F4" w:rsidRPr="00E756F4" w:rsidRDefault="00E756F4" w:rsidP="00286957">
      <w:pPr>
        <w:pStyle w:val="Heading2"/>
        <w:rPr>
          <w:b/>
        </w:rPr>
      </w:pPr>
      <w:r w:rsidRPr="00E756F4">
        <w:rPr>
          <w:b/>
        </w:rPr>
        <w:t>Services Steering Board</w:t>
      </w:r>
    </w:p>
    <w:p w14:paraId="4A6FE5E8" w14:textId="78033811" w:rsidR="00E756F4" w:rsidRDefault="00E756F4" w:rsidP="00286957">
      <w:pPr>
        <w:pStyle w:val="Heading3"/>
      </w:pPr>
      <w:r>
        <w:t xml:space="preserve">The Authority and the </w:t>
      </w:r>
      <w:r w:rsidR="00E00615">
        <w:t>Supplier</w:t>
      </w:r>
      <w:r>
        <w:t xml:space="preserve"> shall each appoint three (3) representatives, who shall together form the Services Steering Board.  The parties shall each nominate their representatives and jointly agree the appointment of such representatives within thirty (30) days of the Commencement Date.</w:t>
      </w:r>
    </w:p>
    <w:p w14:paraId="41D3DFE8" w14:textId="77777777" w:rsidR="00E756F4" w:rsidRDefault="00E756F4" w:rsidP="00A2754C">
      <w:pPr>
        <w:pStyle w:val="Heading3"/>
      </w:pPr>
      <w:r>
        <w:t>The Services Steering Board will meet on a monthly basis (or as otherwise agreed) and the Authority shall be responsible for circulating agendas before each meeting and circulating minutes and actions points after each meeting.</w:t>
      </w:r>
    </w:p>
    <w:p w14:paraId="78418CF6" w14:textId="41895768" w:rsidR="00E756F4" w:rsidRDefault="00E756F4" w:rsidP="00A2754C">
      <w:pPr>
        <w:pStyle w:val="Heading3"/>
      </w:pPr>
      <w:r>
        <w:t>The Services Steering Board is a forum for collaboration and discussions between the SLT and the ALT focused on achieving progress and driving delivery of the Services.  The Services Steering Board will (amongst other things):</w:t>
      </w:r>
    </w:p>
    <w:p w14:paraId="05C9B6BA" w14:textId="77777777" w:rsidR="00E756F4" w:rsidRDefault="00E756F4" w:rsidP="00A2754C">
      <w:pPr>
        <w:pStyle w:val="Heading4"/>
      </w:pPr>
      <w:proofErr w:type="gramStart"/>
      <w:r>
        <w:t>define</w:t>
      </w:r>
      <w:proofErr w:type="gramEnd"/>
      <w:r>
        <w:t xml:space="preserve"> priorities and recommend a way forward to ensure their implementation; </w:t>
      </w:r>
    </w:p>
    <w:p w14:paraId="2673ACB4" w14:textId="77777777" w:rsidR="00E756F4" w:rsidRDefault="00E756F4" w:rsidP="00A2754C">
      <w:pPr>
        <w:pStyle w:val="Heading4"/>
      </w:pPr>
      <w:r>
        <w:t>review progress of the Services and Deliverables against the Objectives, Mobilisation Plan, Key Milestone Plan and any project plan as may be agreed between the Parties from time to time;</w:t>
      </w:r>
    </w:p>
    <w:p w14:paraId="3EB53288" w14:textId="77777777" w:rsidR="00E756F4" w:rsidRDefault="00E756F4" w:rsidP="00A2754C">
      <w:pPr>
        <w:pStyle w:val="Heading4"/>
      </w:pPr>
      <w:proofErr w:type="gramStart"/>
      <w:r>
        <w:t>recommend</w:t>
      </w:r>
      <w:proofErr w:type="gramEnd"/>
      <w:r>
        <w:t xml:space="preserve"> alternative approaches or other solutions if progress is unsatisfactory and/or delivery is inadequate;</w:t>
      </w:r>
    </w:p>
    <w:p w14:paraId="48606DA3" w14:textId="77777777" w:rsidR="00E756F4" w:rsidRDefault="00E756F4" w:rsidP="00A2754C">
      <w:pPr>
        <w:pStyle w:val="Heading4"/>
      </w:pPr>
      <w:proofErr w:type="gramStart"/>
      <w:r>
        <w:t>consult</w:t>
      </w:r>
      <w:proofErr w:type="gramEnd"/>
      <w:r>
        <w:t xml:space="preserve"> on, and review proposals for, the provision of Additional Resources, including defining any Deliverables or milestones proposed for those Additional Resources; </w:t>
      </w:r>
    </w:p>
    <w:p w14:paraId="365AE513" w14:textId="77777777" w:rsidR="00E756F4" w:rsidRDefault="00E756F4" w:rsidP="00A2754C">
      <w:pPr>
        <w:pStyle w:val="Heading4"/>
      </w:pPr>
      <w:proofErr w:type="gramStart"/>
      <w:r>
        <w:t>consider</w:t>
      </w:r>
      <w:proofErr w:type="gramEnd"/>
      <w:r>
        <w:t xml:space="preserve"> proposed activities for the next month and likely resource requirements in the next three months; and</w:t>
      </w:r>
    </w:p>
    <w:p w14:paraId="5812E218" w14:textId="77777777" w:rsidR="00E756F4" w:rsidRDefault="00E756F4" w:rsidP="00A2754C">
      <w:pPr>
        <w:pStyle w:val="Heading4"/>
      </w:pPr>
      <w:proofErr w:type="gramStart"/>
      <w:r>
        <w:lastRenderedPageBreak/>
        <w:t>be</w:t>
      </w:r>
      <w:proofErr w:type="gramEnd"/>
      <w:r>
        <w:t xml:space="preserve"> the first stage of the Dispute Resolution Procedure should a dispute arise between the parties.</w:t>
      </w:r>
    </w:p>
    <w:p w14:paraId="6778848A" w14:textId="3B107A86" w:rsidR="00E756F4" w:rsidRDefault="00E756F4" w:rsidP="00A2754C">
      <w:pPr>
        <w:pStyle w:val="Heading3"/>
      </w:pPr>
      <w:r>
        <w:t xml:space="preserve">Notwithstanding the collaborative nature of the Services Steering Board, the </w:t>
      </w:r>
      <w:r w:rsidR="00E00615">
        <w:t xml:space="preserve">Supplier </w:t>
      </w:r>
      <w:r>
        <w:t xml:space="preserve">shall be solely responsible for the performance of the Services, the achievement of the Milestones and delivery of the Deliverables in accordance with the terms of </w:t>
      </w:r>
      <w:r w:rsidR="00FA2ABB">
        <w:t xml:space="preserve">the </w:t>
      </w:r>
      <w:r>
        <w:t>Contract.</w:t>
      </w:r>
    </w:p>
    <w:p w14:paraId="6531DB7A" w14:textId="02AEBAE1" w:rsidR="00251FE1" w:rsidRDefault="00251FE1" w:rsidP="00251FE1">
      <w:pPr>
        <w:pStyle w:val="Heading2"/>
        <w:rPr>
          <w:b/>
        </w:rPr>
      </w:pPr>
      <w:r w:rsidRPr="00251FE1">
        <w:rPr>
          <w:b/>
        </w:rPr>
        <w:t>Work Categories</w:t>
      </w:r>
    </w:p>
    <w:p w14:paraId="401645B3" w14:textId="317CAA76" w:rsidR="00251FE1" w:rsidRPr="00251FE1" w:rsidRDefault="00251FE1" w:rsidP="00251FE1">
      <w:pPr>
        <w:pStyle w:val="Heading2"/>
        <w:numPr>
          <w:ilvl w:val="0"/>
          <w:numId w:val="0"/>
        </w:numPr>
        <w:ind w:left="862"/>
      </w:pPr>
      <w:r>
        <w:t>Performance of the Services can be categorised under main areas of work as described below:</w:t>
      </w:r>
    </w:p>
    <w:p w14:paraId="15818976" w14:textId="16A440D2" w:rsidR="00E756F4" w:rsidRPr="00251FE1" w:rsidRDefault="00E756F4" w:rsidP="00251FE1">
      <w:pPr>
        <w:pStyle w:val="Heading3"/>
        <w:rPr>
          <w:b/>
          <w:i/>
        </w:rPr>
      </w:pPr>
      <w:r w:rsidRPr="00251FE1">
        <w:rPr>
          <w:b/>
          <w:i/>
        </w:rPr>
        <w:t xml:space="preserve">Leadership </w:t>
      </w:r>
    </w:p>
    <w:p w14:paraId="258339DA" w14:textId="02394492" w:rsidR="00E756F4" w:rsidRDefault="00E756F4" w:rsidP="00E333FC">
      <w:pPr>
        <w:pStyle w:val="Heading3"/>
        <w:numPr>
          <w:ilvl w:val="0"/>
          <w:numId w:val="0"/>
        </w:numPr>
        <w:ind w:left="1843"/>
      </w:pPr>
      <w:r>
        <w:t xml:space="preserve">The </w:t>
      </w:r>
      <w:r w:rsidR="00E00615">
        <w:t>Supplier</w:t>
      </w:r>
      <w:r>
        <w:t xml:space="preserve"> has been appointed for its experience and expertise in programmes similar to the Programme and shall provide leadership support and advice to the ALT and any third parties providing Additional Resources as required in relation to the Services, including in relation to:</w:t>
      </w:r>
    </w:p>
    <w:p w14:paraId="364F2CB3" w14:textId="62D4598C" w:rsidR="00E756F4" w:rsidRDefault="00E756F4" w:rsidP="000760AE">
      <w:pPr>
        <w:pStyle w:val="Heading3"/>
        <w:numPr>
          <w:ilvl w:val="0"/>
          <w:numId w:val="31"/>
        </w:numPr>
        <w:ind w:left="2127" w:hanging="284"/>
      </w:pPr>
      <w:proofErr w:type="gramStart"/>
      <w:r>
        <w:t>delivery</w:t>
      </w:r>
      <w:proofErr w:type="gramEnd"/>
      <w:r>
        <w:t xml:space="preserve"> across all phases of the Programme as required by the ALT; and</w:t>
      </w:r>
    </w:p>
    <w:p w14:paraId="167293F7" w14:textId="7BBDA08D" w:rsidR="00E756F4" w:rsidRDefault="00E756F4" w:rsidP="000760AE">
      <w:pPr>
        <w:pStyle w:val="Heading3"/>
        <w:numPr>
          <w:ilvl w:val="0"/>
          <w:numId w:val="31"/>
        </w:numPr>
        <w:ind w:left="2127" w:hanging="284"/>
      </w:pPr>
      <w:proofErr w:type="gramStart"/>
      <w:r>
        <w:t>provision</w:t>
      </w:r>
      <w:proofErr w:type="gramEnd"/>
      <w:r>
        <w:t xml:space="preserve"> of industry best practice and insight across the supply chain and ICC functional areas to drive the design, build and operate activities.</w:t>
      </w:r>
    </w:p>
    <w:p w14:paraId="05019A5A" w14:textId="298B11EA" w:rsidR="00E333FC" w:rsidRPr="00E333FC" w:rsidRDefault="00E333FC" w:rsidP="00251FE1">
      <w:pPr>
        <w:pStyle w:val="Heading3"/>
        <w:rPr>
          <w:b/>
          <w:i/>
        </w:rPr>
      </w:pPr>
      <w:r w:rsidRPr="00E333FC">
        <w:rPr>
          <w:b/>
          <w:i/>
        </w:rPr>
        <w:t>Management</w:t>
      </w:r>
    </w:p>
    <w:p w14:paraId="416BA1AF" w14:textId="6A083901" w:rsidR="00E756F4" w:rsidRDefault="00E756F4" w:rsidP="00E333FC">
      <w:pPr>
        <w:pStyle w:val="Heading3"/>
        <w:numPr>
          <w:ilvl w:val="0"/>
          <w:numId w:val="0"/>
        </w:numPr>
        <w:ind w:left="1080" w:firstLine="720"/>
      </w:pPr>
      <w:r>
        <w:t xml:space="preserve">The </w:t>
      </w:r>
      <w:r w:rsidR="00E00615">
        <w:t>Supplier</w:t>
      </w:r>
      <w:r>
        <w:t xml:space="preserve"> shall:</w:t>
      </w:r>
    </w:p>
    <w:p w14:paraId="59268F5D" w14:textId="587FBC66" w:rsidR="00E756F4" w:rsidRDefault="00E756F4" w:rsidP="000760AE">
      <w:pPr>
        <w:pStyle w:val="Heading3"/>
        <w:numPr>
          <w:ilvl w:val="0"/>
          <w:numId w:val="32"/>
        </w:numPr>
      </w:pPr>
      <w:proofErr w:type="gramStart"/>
      <w:r>
        <w:t>be</w:t>
      </w:r>
      <w:proofErr w:type="gramEnd"/>
      <w:r>
        <w:t xml:space="preserve"> solely responsible for the performance of the Core Team, and any additional </w:t>
      </w:r>
      <w:r w:rsidR="00E00615">
        <w:t>Supplier</w:t>
      </w:r>
      <w:r>
        <w:t xml:space="preserve"> Personnel providing Optional Services and their performance against the Service Level Performance Criteria set out in Schedule 6 (Performance Management)</w:t>
      </w:r>
      <w:r w:rsidR="006E6A0D">
        <w:t xml:space="preserve"> within the Contract</w:t>
      </w:r>
      <w:r>
        <w:t>;</w:t>
      </w:r>
    </w:p>
    <w:p w14:paraId="3756C5FE" w14:textId="7B21CC43" w:rsidR="00E756F4" w:rsidRDefault="00E756F4" w:rsidP="000760AE">
      <w:pPr>
        <w:pStyle w:val="Heading3"/>
        <w:numPr>
          <w:ilvl w:val="0"/>
          <w:numId w:val="32"/>
        </w:numPr>
      </w:pPr>
      <w:proofErr w:type="gramStart"/>
      <w:r>
        <w:t>be</w:t>
      </w:r>
      <w:proofErr w:type="gramEnd"/>
      <w:r>
        <w:t xml:space="preserve"> accountable to the Authority for the quality of their outputs in all aspects of the Core Services and any Optional Services;</w:t>
      </w:r>
    </w:p>
    <w:p w14:paraId="16F667A2" w14:textId="316F67B3" w:rsidR="00E756F4" w:rsidRDefault="00E756F4" w:rsidP="000760AE">
      <w:pPr>
        <w:pStyle w:val="Heading3"/>
        <w:numPr>
          <w:ilvl w:val="0"/>
          <w:numId w:val="32"/>
        </w:numPr>
      </w:pPr>
      <w:proofErr w:type="gramStart"/>
      <w:r>
        <w:t>be</w:t>
      </w:r>
      <w:proofErr w:type="gramEnd"/>
      <w:r>
        <w:t xml:space="preserve"> accountable for delivery of all Milestones in accordance with the Key Milestone Plan or as agreed in a work order in relation to Optional Services.</w:t>
      </w:r>
    </w:p>
    <w:p w14:paraId="05F27AD6" w14:textId="46157F54" w:rsidR="00E756F4" w:rsidRPr="00E333FC" w:rsidRDefault="00E333FC" w:rsidP="00E333FC">
      <w:pPr>
        <w:pStyle w:val="Heading3"/>
        <w:rPr>
          <w:b/>
          <w:i/>
        </w:rPr>
      </w:pPr>
      <w:r w:rsidRPr="00E333FC">
        <w:rPr>
          <w:b/>
          <w:i/>
        </w:rPr>
        <w:t>Delivery</w:t>
      </w:r>
    </w:p>
    <w:p w14:paraId="79DCC06E" w14:textId="51D5B20C" w:rsidR="00E756F4" w:rsidRDefault="00E756F4" w:rsidP="001100E8">
      <w:pPr>
        <w:pStyle w:val="Heading2"/>
        <w:numPr>
          <w:ilvl w:val="0"/>
          <w:numId w:val="0"/>
        </w:numPr>
        <w:ind w:left="1843"/>
      </w:pPr>
      <w:r>
        <w:t xml:space="preserve">The </w:t>
      </w:r>
      <w:r w:rsidR="00E00615">
        <w:t>Supplier</w:t>
      </w:r>
      <w:r>
        <w:t xml:space="preserve"> shall be responsible for the production and delivery of all Deliverables</w:t>
      </w:r>
      <w:r w:rsidR="0047732F">
        <w:t xml:space="preserve"> (as defined in Section 4 – The Core Services of this document)</w:t>
      </w:r>
      <w:r>
        <w:t xml:space="preserve"> </w:t>
      </w:r>
      <w:r w:rsidR="00A13D9D">
        <w:t>as required by the Authority.</w:t>
      </w:r>
    </w:p>
    <w:p w14:paraId="4E1FEFE2" w14:textId="77777777" w:rsidR="00293573" w:rsidRDefault="00293573" w:rsidP="00293573">
      <w:pPr>
        <w:pStyle w:val="Heading3"/>
        <w:numPr>
          <w:ilvl w:val="0"/>
          <w:numId w:val="0"/>
        </w:numPr>
        <w:ind w:left="2203"/>
      </w:pPr>
    </w:p>
    <w:p w14:paraId="65BC4478" w14:textId="6E6D4B2A" w:rsidR="006F0298" w:rsidRDefault="009C16CA" w:rsidP="006F0298">
      <w:pPr>
        <w:pStyle w:val="Heading1"/>
      </w:pPr>
      <w:bookmarkStart w:id="13" w:name="_Toc467074149"/>
      <w:r>
        <w:t>The Core Services</w:t>
      </w:r>
      <w:bookmarkEnd w:id="13"/>
    </w:p>
    <w:p w14:paraId="172C03C6" w14:textId="77777777" w:rsidR="001100E8" w:rsidRDefault="001100E8" w:rsidP="00A2754C">
      <w:pPr>
        <w:pStyle w:val="Heading2"/>
        <w:numPr>
          <w:ilvl w:val="0"/>
          <w:numId w:val="0"/>
        </w:numPr>
        <w:ind w:left="142" w:firstLine="578"/>
      </w:pPr>
      <w:r>
        <w:t>The Core Services fall into two main areas:</w:t>
      </w:r>
    </w:p>
    <w:p w14:paraId="0E99755C" w14:textId="7F81BACD" w:rsidR="001100E8" w:rsidRDefault="001100E8" w:rsidP="00A2754C">
      <w:pPr>
        <w:pStyle w:val="Heading2"/>
        <w:numPr>
          <w:ilvl w:val="0"/>
          <w:numId w:val="44"/>
        </w:numPr>
      </w:pPr>
      <w:proofErr w:type="gramStart"/>
      <w:r>
        <w:t>establishing</w:t>
      </w:r>
      <w:proofErr w:type="gramEnd"/>
      <w:r>
        <w:t xml:space="preserve"> and delivering the ICC function, as described in section paragraph </w:t>
      </w:r>
      <w:r w:rsidR="00703358">
        <w:t>4.</w:t>
      </w:r>
      <w:r w:rsidR="004268E1">
        <w:t>1</w:t>
      </w:r>
      <w:r>
        <w:t xml:space="preserve"> (ICC Transformation Services) below; and</w:t>
      </w:r>
    </w:p>
    <w:p w14:paraId="30380744" w14:textId="1D9B642B" w:rsidR="001100E8" w:rsidRDefault="001100E8" w:rsidP="00A2754C">
      <w:pPr>
        <w:pStyle w:val="Heading2"/>
        <w:numPr>
          <w:ilvl w:val="0"/>
          <w:numId w:val="44"/>
        </w:numPr>
      </w:pPr>
      <w:r>
        <w:t xml:space="preserve">support of the broader Programme, including Programme Delivery and Transition phases as required across all aspects of the FOM, as described in section paragraph </w:t>
      </w:r>
      <w:r w:rsidR="004268E1">
        <w:t>4.2</w:t>
      </w:r>
      <w:r>
        <w:t xml:space="preserve"> (Programme Support Services) below.</w:t>
      </w:r>
    </w:p>
    <w:p w14:paraId="4D3968CB" w14:textId="09B9D3BC" w:rsidR="001100E8" w:rsidRPr="00A2754C" w:rsidRDefault="001100E8" w:rsidP="00932E74">
      <w:pPr>
        <w:pStyle w:val="Heading2"/>
        <w:rPr>
          <w:b/>
        </w:rPr>
      </w:pPr>
      <w:r w:rsidRPr="00A2754C">
        <w:rPr>
          <w:b/>
        </w:rPr>
        <w:t>ICC TRANSFORMATION SERVICES</w:t>
      </w:r>
    </w:p>
    <w:p w14:paraId="62830750" w14:textId="20E969F6" w:rsidR="006D4363" w:rsidRPr="00A2754C" w:rsidRDefault="006D4363" w:rsidP="00A2754C">
      <w:pPr>
        <w:pStyle w:val="Heading3"/>
        <w:rPr>
          <w:b/>
          <w:i/>
        </w:rPr>
      </w:pPr>
      <w:r w:rsidRPr="00A2754C">
        <w:rPr>
          <w:b/>
          <w:i/>
        </w:rPr>
        <w:t>Introduction</w:t>
      </w:r>
    </w:p>
    <w:p w14:paraId="5087667E" w14:textId="5F020959" w:rsidR="006D4363" w:rsidRPr="00A2754C" w:rsidRDefault="006D4363" w:rsidP="00A2754C">
      <w:pPr>
        <w:pStyle w:val="Heading4"/>
      </w:pPr>
      <w:r w:rsidRPr="00A2754C">
        <w:t xml:space="preserve">The overall requirement of the </w:t>
      </w:r>
      <w:r w:rsidR="00A13D9D">
        <w:t>ICC Transformation</w:t>
      </w:r>
      <w:r w:rsidRPr="00A2754C">
        <w:t xml:space="preserve"> Services is to establish the location, o</w:t>
      </w:r>
      <w:r w:rsidR="00A13D9D">
        <w:t xml:space="preserve">rganisation, relevant processes, </w:t>
      </w:r>
      <w:r w:rsidRPr="00A2754C">
        <w:t xml:space="preserve">capability </w:t>
      </w:r>
      <w:r w:rsidR="00A13D9D">
        <w:t xml:space="preserve">and operation </w:t>
      </w:r>
      <w:r w:rsidRPr="00A2754C">
        <w:t>of the ICC.</w:t>
      </w:r>
    </w:p>
    <w:p w14:paraId="7573CB69" w14:textId="1225E37A" w:rsidR="006D4363" w:rsidRPr="00711635" w:rsidRDefault="006D4363" w:rsidP="00A2754C">
      <w:pPr>
        <w:pStyle w:val="Heading4"/>
      </w:pPr>
      <w:r w:rsidRPr="00711635">
        <w:t>The Authority has developed an initial plan and commenced work within the areas of the ICC Transformation Services listed in the table set out at paragraph 2.5 of Part A (Introduction) of Schedule 2 (the “</w:t>
      </w:r>
      <w:r w:rsidRPr="00711635">
        <w:rPr>
          <w:b/>
        </w:rPr>
        <w:t>Initial Work</w:t>
      </w:r>
      <w:r w:rsidRPr="00711635">
        <w:t>”)</w:t>
      </w:r>
      <w:r w:rsidR="00641041">
        <w:t xml:space="preserve"> within the Contract</w:t>
      </w:r>
      <w:r w:rsidRPr="00711635">
        <w:t>.</w:t>
      </w:r>
    </w:p>
    <w:p w14:paraId="764F719A" w14:textId="2543DF6E" w:rsidR="006D4363" w:rsidRPr="00711635" w:rsidRDefault="006D4363" w:rsidP="00A2754C">
      <w:pPr>
        <w:pStyle w:val="Heading4"/>
      </w:pPr>
      <w:r w:rsidRPr="00711635">
        <w:t xml:space="preserve">As a starting point the </w:t>
      </w:r>
      <w:r w:rsidR="00641041">
        <w:t>Potential Provider</w:t>
      </w:r>
      <w:r w:rsidRPr="00711635">
        <w:t xml:space="preserve"> shall review and further develop the Initial Work as necessary under instruction from the Authority to meet the requirements of the Design Services.</w:t>
      </w:r>
    </w:p>
    <w:p w14:paraId="60C627E4" w14:textId="5FEA9CA0" w:rsidR="006D4363" w:rsidRDefault="006D4363" w:rsidP="00A2754C">
      <w:pPr>
        <w:pStyle w:val="Heading4"/>
      </w:pPr>
      <w:r>
        <w:t xml:space="preserve">The performance of the Design Services as described under paragraph </w:t>
      </w:r>
      <w:r w:rsidR="00641041">
        <w:t>4.</w:t>
      </w:r>
      <w:r w:rsidR="004268E1">
        <w:t>1.2</w:t>
      </w:r>
      <w:r>
        <w:t xml:space="preserve"> below shall be completed with the delivery of a transformation design report approved by the Authority, and which shall include:</w:t>
      </w:r>
    </w:p>
    <w:p w14:paraId="2CF534EA" w14:textId="77777777" w:rsidR="006D4363" w:rsidRPr="00A2754C" w:rsidRDefault="006D4363" w:rsidP="00A2754C">
      <w:pPr>
        <w:pStyle w:val="Heading5"/>
        <w:rPr>
          <w:rFonts w:ascii="Helvetica Neue" w:hAnsi="Helvetica Neue"/>
          <w:sz w:val="20"/>
        </w:rPr>
      </w:pPr>
      <w:proofErr w:type="gramStart"/>
      <w:r w:rsidRPr="00A2754C">
        <w:rPr>
          <w:rFonts w:ascii="Helvetica Neue" w:hAnsi="Helvetica Neue"/>
          <w:sz w:val="20"/>
        </w:rPr>
        <w:t>the</w:t>
      </w:r>
      <w:proofErr w:type="gramEnd"/>
      <w:r w:rsidRPr="00A2754C">
        <w:rPr>
          <w:rFonts w:ascii="Helvetica Neue" w:hAnsi="Helvetica Neue"/>
          <w:sz w:val="20"/>
        </w:rPr>
        <w:t xml:space="preserve"> design and supporting rationale for all aspects of the ICC; and</w:t>
      </w:r>
    </w:p>
    <w:p w14:paraId="55FBBBBD" w14:textId="77777777" w:rsidR="006D4363" w:rsidRPr="00A2754C" w:rsidRDefault="006D4363" w:rsidP="00A2754C">
      <w:pPr>
        <w:pStyle w:val="Heading5"/>
        <w:rPr>
          <w:rFonts w:asciiTheme="minorHAnsi" w:hAnsiTheme="minorHAnsi" w:cstheme="minorHAnsi"/>
        </w:rPr>
      </w:pPr>
      <w:proofErr w:type="gramStart"/>
      <w:r w:rsidRPr="00A2754C">
        <w:rPr>
          <w:rFonts w:ascii="Helvetica Neue" w:hAnsi="Helvetica Neue"/>
          <w:sz w:val="20"/>
        </w:rPr>
        <w:t>a</w:t>
      </w:r>
      <w:proofErr w:type="gramEnd"/>
      <w:r w:rsidRPr="00A2754C">
        <w:rPr>
          <w:rFonts w:ascii="Helvetica Neue" w:hAnsi="Helvetica Neue"/>
          <w:sz w:val="20"/>
        </w:rPr>
        <w:t xml:space="preserve"> detailed plan for the delivery of the Build and Operational services, to include scope, resourcing, timeline, dependencies and risks</w:t>
      </w:r>
      <w:r w:rsidRPr="00A2754C">
        <w:rPr>
          <w:rFonts w:asciiTheme="minorHAnsi" w:hAnsiTheme="minorHAnsi" w:cstheme="minorHAnsi"/>
        </w:rPr>
        <w:t>.</w:t>
      </w:r>
    </w:p>
    <w:p w14:paraId="355E2D7C" w14:textId="77777777" w:rsidR="006D4363" w:rsidRPr="00A2754C" w:rsidRDefault="006D4363" w:rsidP="00A2754C">
      <w:pPr>
        <w:pStyle w:val="Heading3"/>
        <w:rPr>
          <w:b/>
        </w:rPr>
      </w:pPr>
      <w:r w:rsidRPr="00A2754C">
        <w:rPr>
          <w:b/>
        </w:rPr>
        <w:t>Design Services</w:t>
      </w:r>
    </w:p>
    <w:p w14:paraId="7903B021" w14:textId="034F9B5A" w:rsidR="006D4363" w:rsidRPr="00182267" w:rsidRDefault="006D4363" w:rsidP="00A2754C">
      <w:pPr>
        <w:spacing w:before="240" w:after="120"/>
        <w:ind w:left="720" w:firstLine="142"/>
        <w:rPr>
          <w:rFonts w:eastAsia="Calibri" w:cs="Times New Roman"/>
          <w:bCs/>
          <w:iCs/>
          <w:sz w:val="19"/>
          <w:szCs w:val="19"/>
        </w:rPr>
      </w:pPr>
      <w:r w:rsidRPr="00182267">
        <w:rPr>
          <w:rFonts w:eastAsia="Calibri" w:cs="Times New Roman"/>
          <w:bCs/>
          <w:iCs/>
          <w:sz w:val="19"/>
          <w:szCs w:val="19"/>
        </w:rPr>
        <w:lastRenderedPageBreak/>
        <w:t xml:space="preserve">The </w:t>
      </w:r>
      <w:r w:rsidR="00D65EE1">
        <w:rPr>
          <w:rFonts w:eastAsia="Calibri" w:cs="Times New Roman"/>
          <w:bCs/>
          <w:iCs/>
          <w:sz w:val="19"/>
          <w:szCs w:val="19"/>
        </w:rPr>
        <w:t>Potential Provider</w:t>
      </w:r>
      <w:r w:rsidRPr="00182267">
        <w:rPr>
          <w:rFonts w:eastAsia="Calibri" w:cs="Times New Roman"/>
          <w:bCs/>
          <w:iCs/>
          <w:sz w:val="19"/>
          <w:szCs w:val="19"/>
        </w:rPr>
        <w:t xml:space="preserve"> shall:</w:t>
      </w:r>
    </w:p>
    <w:p w14:paraId="1D88EA23" w14:textId="77777777" w:rsidR="006D4363" w:rsidRPr="00A029D8" w:rsidRDefault="006D4363" w:rsidP="00A2754C">
      <w:pPr>
        <w:pStyle w:val="Heading4"/>
      </w:pPr>
      <w:r w:rsidRPr="00A029D8">
        <w:t xml:space="preserve">make recommendations for change to the draft organisation structure produced by the Authority to create an organisational structure that can operate at the scale defined in the FOM and deliver the performance to meet the long term targets of the Programme; </w:t>
      </w:r>
    </w:p>
    <w:p w14:paraId="288AF5D7" w14:textId="77777777" w:rsidR="006D4363" w:rsidRPr="00711635" w:rsidRDefault="006D4363" w:rsidP="00A2754C">
      <w:pPr>
        <w:pStyle w:val="Heading4"/>
      </w:pPr>
      <w:r w:rsidRPr="00711635">
        <w:t xml:space="preserve">provide </w:t>
      </w:r>
      <w:r>
        <w:t xml:space="preserve">outline descriptions for each of the functions in the organisational </w:t>
      </w:r>
      <w:r w:rsidRPr="00711635">
        <w:t xml:space="preserve">that are fit for purpose, optimise efficiency and cost, and take full consideration of the Employment Regulations; </w:t>
      </w:r>
    </w:p>
    <w:p w14:paraId="76060AA0" w14:textId="77777777" w:rsidR="006D4363" w:rsidRPr="00711635" w:rsidRDefault="006D4363" w:rsidP="00A2754C">
      <w:pPr>
        <w:pStyle w:val="Heading4"/>
      </w:pPr>
      <w:proofErr w:type="gramStart"/>
      <w:r w:rsidRPr="00711635">
        <w:t>make</w:t>
      </w:r>
      <w:proofErr w:type="gramEnd"/>
      <w:r w:rsidRPr="00711635">
        <w:t xml:space="preserve"> recommendations on the </w:t>
      </w:r>
      <w:r>
        <w:t>job</w:t>
      </w:r>
      <w:r w:rsidRPr="00711635">
        <w:t xml:space="preserve"> specifications required for a senior leadership team of the ICC, being the first members of the ICC to be appointed;</w:t>
      </w:r>
    </w:p>
    <w:p w14:paraId="60D28DF0" w14:textId="49E1BC42" w:rsidR="006D4363" w:rsidRPr="00711635" w:rsidRDefault="006D4363" w:rsidP="00A2754C">
      <w:pPr>
        <w:pStyle w:val="Heading4"/>
      </w:pPr>
      <w:r w:rsidRPr="00711635">
        <w:t>advise the ALT on any Additional Resource required to develop the performance management and customer development functions within the ICC, establish whether these can be sourced from the Supplier as Optional Services, or whether an external competition will be required to source an alternative provider in accordance with</w:t>
      </w:r>
      <w:r w:rsidR="00641041">
        <w:t xml:space="preserve"> </w:t>
      </w:r>
      <w:r w:rsidR="00D670B9">
        <w:t>Schedule 2: Services, Part C</w:t>
      </w:r>
      <w:r w:rsidRPr="00711635">
        <w:t xml:space="preserve"> (Optional Services)</w:t>
      </w:r>
      <w:r w:rsidR="00641041">
        <w:t xml:space="preserve"> within the Contract</w:t>
      </w:r>
      <w:r w:rsidRPr="00711635">
        <w:t>; and</w:t>
      </w:r>
    </w:p>
    <w:p w14:paraId="089C2D19" w14:textId="77777777" w:rsidR="006D4363" w:rsidRPr="00182267" w:rsidRDefault="006D4363" w:rsidP="00A2754C">
      <w:pPr>
        <w:pStyle w:val="Heading4"/>
      </w:pPr>
      <w:proofErr w:type="gramStart"/>
      <w:r>
        <w:t>review</w:t>
      </w:r>
      <w:proofErr w:type="gramEnd"/>
      <w:r>
        <w:t xml:space="preserve"> the ICC</w:t>
      </w:r>
      <w:r w:rsidRPr="00182267">
        <w:t xml:space="preserve"> facility and infrastructure requirements, including all information and communications technology, security and other facility management services; </w:t>
      </w:r>
    </w:p>
    <w:p w14:paraId="6A7AC3B0" w14:textId="77777777" w:rsidR="006D4363" w:rsidRDefault="006D4363" w:rsidP="00A2754C">
      <w:pPr>
        <w:pStyle w:val="Heading4"/>
      </w:pPr>
      <w:r>
        <w:t>review the facilities and infrastructure outputs to date and make</w:t>
      </w:r>
      <w:r w:rsidRPr="00A029D8">
        <w:t xml:space="preserve"> recommendation for </w:t>
      </w:r>
      <w:r>
        <w:t>a solution</w:t>
      </w:r>
      <w:r w:rsidRPr="00A029D8">
        <w:t xml:space="preserve"> that is cost effective in terms of presenting an appropriate balance between quality and cost, in accordance with the FOM, the Milestones, Programme schedule and as otherwise agreed</w:t>
      </w:r>
      <w:r>
        <w:t xml:space="preserve"> during the Contract Period; </w:t>
      </w:r>
    </w:p>
    <w:p w14:paraId="02B22C34" w14:textId="77777777" w:rsidR="006D4363" w:rsidRPr="00A029D8" w:rsidRDefault="006D4363" w:rsidP="00A2754C">
      <w:pPr>
        <w:pStyle w:val="Heading4"/>
      </w:pPr>
      <w:proofErr w:type="gramStart"/>
      <w:r w:rsidRPr="00A029D8">
        <w:t>advise</w:t>
      </w:r>
      <w:proofErr w:type="gramEnd"/>
      <w:r w:rsidRPr="00A029D8">
        <w:t xml:space="preserve"> on how functional roles should best be filled from the options available, including transfers from the Current Provider (and any of its sub-contractors who provide the services described in the Current Contract);</w:t>
      </w:r>
    </w:p>
    <w:p w14:paraId="085684A3" w14:textId="77777777" w:rsidR="006D4363" w:rsidRDefault="006D4363" w:rsidP="00A2754C">
      <w:pPr>
        <w:pStyle w:val="Heading4"/>
      </w:pPr>
      <w:r w:rsidRPr="00A029D8">
        <w:lastRenderedPageBreak/>
        <w:t>develop a corresponding resource plan, to include the sources of capability, which shall take into consideration the incremental on-boarding of the individual Category Towers under the Programme and applicable lead times for recruitment, induction, t</w:t>
      </w:r>
      <w:r>
        <w:t>raining and knowledge transfer;</w:t>
      </w:r>
    </w:p>
    <w:p w14:paraId="7A2B081A" w14:textId="0D7E2142" w:rsidR="006D4363" w:rsidRPr="00A029D8" w:rsidRDefault="006D4363" w:rsidP="00A2754C">
      <w:pPr>
        <w:pStyle w:val="Heading4"/>
      </w:pPr>
      <w:proofErr w:type="gramStart"/>
      <w:r w:rsidRPr="00A029D8">
        <w:t>review</w:t>
      </w:r>
      <w:proofErr w:type="gramEnd"/>
      <w:r w:rsidRPr="00A029D8">
        <w:t xml:space="preserve"> each ICC function identified in the FOM organisational structure, as set out in Annex 3 (FOM) to Schedule 2 (Services) </w:t>
      </w:r>
      <w:r w:rsidR="00641041">
        <w:t xml:space="preserve">of the Contract </w:t>
      </w:r>
      <w:r w:rsidRPr="00A029D8">
        <w:t>and develop plans to deliver and resource the Build and Operation phases of the programme in terms of:</w:t>
      </w:r>
    </w:p>
    <w:p w14:paraId="5FE2C8B1" w14:textId="77777777" w:rsidR="006D4363" w:rsidRPr="00A2754C" w:rsidRDefault="006D4363" w:rsidP="00A2754C">
      <w:pPr>
        <w:pStyle w:val="Heading5"/>
        <w:rPr>
          <w:rFonts w:ascii="Helvetica Neue" w:hAnsi="Helvetica Neue"/>
          <w:sz w:val="20"/>
        </w:rPr>
      </w:pPr>
      <w:proofErr w:type="gramStart"/>
      <w:r w:rsidRPr="00A2754C">
        <w:rPr>
          <w:rFonts w:ascii="Helvetica Neue" w:hAnsi="Helvetica Neue"/>
          <w:sz w:val="20"/>
        </w:rPr>
        <w:t>how</w:t>
      </w:r>
      <w:proofErr w:type="gramEnd"/>
      <w:r w:rsidRPr="00A2754C">
        <w:rPr>
          <w:rFonts w:ascii="Helvetica Neue" w:hAnsi="Helvetica Neue"/>
          <w:sz w:val="20"/>
        </w:rPr>
        <w:t xml:space="preserve"> that function will operate;</w:t>
      </w:r>
    </w:p>
    <w:p w14:paraId="1A3A1794" w14:textId="77777777" w:rsidR="006D4363" w:rsidRPr="00A2754C" w:rsidRDefault="006D4363" w:rsidP="00A2754C">
      <w:pPr>
        <w:pStyle w:val="Heading5"/>
        <w:rPr>
          <w:rFonts w:ascii="Helvetica Neue" w:hAnsi="Helvetica Neue"/>
          <w:sz w:val="20"/>
        </w:rPr>
      </w:pPr>
      <w:proofErr w:type="gramStart"/>
      <w:r w:rsidRPr="00A2754C">
        <w:rPr>
          <w:rFonts w:ascii="Helvetica Neue" w:hAnsi="Helvetica Neue"/>
          <w:sz w:val="20"/>
        </w:rPr>
        <w:t>what</w:t>
      </w:r>
      <w:proofErr w:type="gramEnd"/>
      <w:r w:rsidRPr="00A2754C">
        <w:rPr>
          <w:rFonts w:ascii="Helvetica Neue" w:hAnsi="Helvetica Neue"/>
          <w:sz w:val="20"/>
        </w:rPr>
        <w:t xml:space="preserve"> its outputs will be;</w:t>
      </w:r>
    </w:p>
    <w:p w14:paraId="41A7441C" w14:textId="77777777" w:rsidR="006D4363" w:rsidRPr="00A2754C" w:rsidRDefault="006D4363" w:rsidP="00A2754C">
      <w:pPr>
        <w:pStyle w:val="Heading5"/>
        <w:rPr>
          <w:rFonts w:ascii="Helvetica Neue" w:hAnsi="Helvetica Neue"/>
          <w:sz w:val="20"/>
        </w:rPr>
      </w:pPr>
      <w:proofErr w:type="gramStart"/>
      <w:r w:rsidRPr="00A2754C">
        <w:rPr>
          <w:rFonts w:ascii="Helvetica Neue" w:hAnsi="Helvetica Neue"/>
          <w:sz w:val="20"/>
        </w:rPr>
        <w:t>what</w:t>
      </w:r>
      <w:proofErr w:type="gramEnd"/>
      <w:r w:rsidRPr="00A2754C">
        <w:rPr>
          <w:rFonts w:ascii="Helvetica Neue" w:hAnsi="Helvetica Neue"/>
          <w:sz w:val="20"/>
        </w:rPr>
        <w:t xml:space="preserve"> capabilities it will require;</w:t>
      </w:r>
    </w:p>
    <w:p w14:paraId="48ECBA9E" w14:textId="77777777" w:rsidR="006D4363" w:rsidRPr="00A2754C" w:rsidRDefault="006D4363" w:rsidP="00A2754C">
      <w:pPr>
        <w:pStyle w:val="Heading5"/>
        <w:rPr>
          <w:rFonts w:ascii="Helvetica Neue" w:hAnsi="Helvetica Neue"/>
          <w:sz w:val="20"/>
        </w:rPr>
      </w:pPr>
      <w:proofErr w:type="gramStart"/>
      <w:r w:rsidRPr="00A2754C">
        <w:rPr>
          <w:rFonts w:ascii="Helvetica Neue" w:hAnsi="Helvetica Neue"/>
          <w:sz w:val="20"/>
        </w:rPr>
        <w:t>what</w:t>
      </w:r>
      <w:proofErr w:type="gramEnd"/>
      <w:r w:rsidRPr="00A2754C">
        <w:rPr>
          <w:rFonts w:ascii="Helvetica Neue" w:hAnsi="Helvetica Neue"/>
          <w:sz w:val="20"/>
        </w:rPr>
        <w:t xml:space="preserve"> capacity it will need;</w:t>
      </w:r>
    </w:p>
    <w:p w14:paraId="3CC00E13" w14:textId="77777777" w:rsidR="006D4363" w:rsidRPr="00A2754C" w:rsidRDefault="006D4363" w:rsidP="00A2754C">
      <w:pPr>
        <w:pStyle w:val="Heading5"/>
        <w:rPr>
          <w:rFonts w:ascii="Helvetica Neue" w:hAnsi="Helvetica Neue"/>
          <w:sz w:val="20"/>
        </w:rPr>
      </w:pPr>
      <w:proofErr w:type="gramStart"/>
      <w:r w:rsidRPr="00A2754C">
        <w:rPr>
          <w:rFonts w:ascii="Helvetica Neue" w:hAnsi="Helvetica Neue"/>
          <w:sz w:val="20"/>
        </w:rPr>
        <w:t>how</w:t>
      </w:r>
      <w:proofErr w:type="gramEnd"/>
      <w:r w:rsidRPr="00A2754C">
        <w:rPr>
          <w:rFonts w:ascii="Helvetica Neue" w:hAnsi="Helvetica Neue"/>
          <w:sz w:val="20"/>
        </w:rPr>
        <w:t xml:space="preserve"> transitions will take place; and</w:t>
      </w:r>
    </w:p>
    <w:p w14:paraId="2EE8BE1A" w14:textId="77777777" w:rsidR="006D4363" w:rsidRPr="00A2754C" w:rsidRDefault="006D4363" w:rsidP="00A2754C">
      <w:pPr>
        <w:pStyle w:val="Heading5"/>
        <w:rPr>
          <w:rFonts w:ascii="Helvetica Neue" w:hAnsi="Helvetica Neue"/>
          <w:sz w:val="20"/>
        </w:rPr>
      </w:pPr>
      <w:proofErr w:type="gramStart"/>
      <w:r w:rsidRPr="00A2754C">
        <w:rPr>
          <w:rFonts w:ascii="Helvetica Neue" w:hAnsi="Helvetica Neue"/>
          <w:sz w:val="20"/>
        </w:rPr>
        <w:t>the</w:t>
      </w:r>
      <w:proofErr w:type="gramEnd"/>
      <w:r w:rsidRPr="00A2754C">
        <w:rPr>
          <w:rFonts w:ascii="Helvetica Neue" w:hAnsi="Helvetica Neue"/>
          <w:sz w:val="20"/>
        </w:rPr>
        <w:t xml:space="preserve"> timeline and resourcing plans for the build, &amp; operate phases;</w:t>
      </w:r>
    </w:p>
    <w:p w14:paraId="31D1C510" w14:textId="77777777" w:rsidR="006D4363" w:rsidRDefault="006D4363" w:rsidP="00A2754C">
      <w:pPr>
        <w:pStyle w:val="Heading4"/>
      </w:pPr>
      <w:proofErr w:type="gramStart"/>
      <w:r w:rsidRPr="00A029D8">
        <w:t>perform</w:t>
      </w:r>
      <w:proofErr w:type="gramEnd"/>
      <w:r w:rsidRPr="00A029D8">
        <w:t xml:space="preserve"> a final review of the overall ICC build timeline that accounts for the above outputs and make appropriate recommendat</w:t>
      </w:r>
      <w:r>
        <w:t>ions for changes if required.</w:t>
      </w:r>
    </w:p>
    <w:p w14:paraId="5781B394" w14:textId="232A6BEB" w:rsidR="006D4363" w:rsidRDefault="006D4363" w:rsidP="00A2754C">
      <w:pPr>
        <w:pStyle w:val="Heading4"/>
      </w:pPr>
      <w:proofErr w:type="gramStart"/>
      <w:r>
        <w:t>develop</w:t>
      </w:r>
      <w:proofErr w:type="gramEnd"/>
      <w:r>
        <w:t xml:space="preserve"> a knowledge transfer plan to ensure the skills and knowledge developed by the </w:t>
      </w:r>
      <w:r w:rsidR="00641041">
        <w:t>Potential Provider</w:t>
      </w:r>
      <w:r>
        <w:t xml:space="preserve"> during the Services is passed to the Authority prior to the end of the Initial Period as required by the resourcing plan. The knowledge transfer plan shall include:</w:t>
      </w:r>
    </w:p>
    <w:p w14:paraId="25D31A85" w14:textId="77777777" w:rsidR="006D4363" w:rsidRPr="00A2754C" w:rsidRDefault="006D4363" w:rsidP="00A2754C">
      <w:pPr>
        <w:pStyle w:val="Heading5"/>
        <w:rPr>
          <w:rFonts w:ascii="Helvetica Neue" w:hAnsi="Helvetica Neue"/>
          <w:sz w:val="20"/>
        </w:rPr>
      </w:pPr>
      <w:proofErr w:type="gramStart"/>
      <w:r w:rsidRPr="00A2754C">
        <w:rPr>
          <w:rFonts w:ascii="Helvetica Neue" w:hAnsi="Helvetica Neue"/>
          <w:sz w:val="20"/>
        </w:rPr>
        <w:t>training</w:t>
      </w:r>
      <w:proofErr w:type="gramEnd"/>
      <w:r w:rsidRPr="00A2754C">
        <w:rPr>
          <w:rFonts w:ascii="Helvetica Neue" w:hAnsi="Helvetica Neue"/>
          <w:sz w:val="20"/>
        </w:rPr>
        <w:t xml:space="preserve"> of ICC existing staff and new starters; and</w:t>
      </w:r>
    </w:p>
    <w:p w14:paraId="2EAD2D6B" w14:textId="77777777" w:rsidR="006D4363" w:rsidRPr="00A2754C" w:rsidRDefault="006D4363" w:rsidP="00A2754C">
      <w:pPr>
        <w:pStyle w:val="Heading5"/>
        <w:rPr>
          <w:rFonts w:ascii="Helvetica Neue" w:hAnsi="Helvetica Neue"/>
          <w:sz w:val="20"/>
        </w:rPr>
      </w:pPr>
      <w:proofErr w:type="gramStart"/>
      <w:r w:rsidRPr="00A2754C">
        <w:rPr>
          <w:rFonts w:ascii="Helvetica Neue" w:hAnsi="Helvetica Neue"/>
          <w:sz w:val="20"/>
        </w:rPr>
        <w:t>policy</w:t>
      </w:r>
      <w:proofErr w:type="gramEnd"/>
      <w:r w:rsidRPr="00A2754C">
        <w:rPr>
          <w:rFonts w:ascii="Helvetica Neue" w:hAnsi="Helvetica Neue"/>
          <w:sz w:val="20"/>
        </w:rPr>
        <w:t>, processes and working conditions for staff transferring into the ICC.</w:t>
      </w:r>
    </w:p>
    <w:p w14:paraId="44B43830" w14:textId="77777777" w:rsidR="006D4363" w:rsidRPr="00A2754C" w:rsidRDefault="006D4363" w:rsidP="00A2754C">
      <w:pPr>
        <w:pStyle w:val="Heading3"/>
        <w:rPr>
          <w:b/>
        </w:rPr>
      </w:pPr>
      <w:r w:rsidRPr="00A2754C">
        <w:rPr>
          <w:b/>
        </w:rPr>
        <w:t>Build Services</w:t>
      </w:r>
    </w:p>
    <w:p w14:paraId="50DC6CDE" w14:textId="5B399485" w:rsidR="006D4363" w:rsidRDefault="006D4363" w:rsidP="00A2754C">
      <w:pPr>
        <w:spacing w:after="200"/>
        <w:ind w:left="720" w:firstLine="720"/>
        <w:rPr>
          <w:rFonts w:eastAsia="Calibri" w:cs="Times New Roman"/>
          <w:sz w:val="19"/>
          <w:szCs w:val="19"/>
        </w:rPr>
      </w:pPr>
      <w:r w:rsidRPr="00182267">
        <w:rPr>
          <w:rFonts w:eastAsia="Calibri" w:cs="Times New Roman"/>
          <w:sz w:val="19"/>
          <w:szCs w:val="19"/>
        </w:rPr>
        <w:t xml:space="preserve">The </w:t>
      </w:r>
      <w:r w:rsidR="00641041">
        <w:rPr>
          <w:rFonts w:eastAsia="Calibri" w:cs="Times New Roman"/>
          <w:sz w:val="19"/>
          <w:szCs w:val="19"/>
        </w:rPr>
        <w:t>Potential Provider</w:t>
      </w:r>
      <w:r w:rsidRPr="00182267">
        <w:rPr>
          <w:rFonts w:eastAsia="Calibri" w:cs="Times New Roman"/>
          <w:sz w:val="19"/>
          <w:szCs w:val="19"/>
        </w:rPr>
        <w:t xml:space="preserve"> shall:</w:t>
      </w:r>
    </w:p>
    <w:p w14:paraId="33495BEA" w14:textId="77777777" w:rsidR="006D4363" w:rsidRPr="00173077" w:rsidRDefault="006D4363" w:rsidP="00A2754C">
      <w:pPr>
        <w:pStyle w:val="Heading4"/>
      </w:pPr>
      <w:r w:rsidRPr="00173077">
        <w:lastRenderedPageBreak/>
        <w:t>develop or provide assistance as required in the production of job specifications required for all roles in the ICC that are capable of being given to recruitment specialists to source from external and internal labour markets;</w:t>
      </w:r>
    </w:p>
    <w:p w14:paraId="2057DCA1" w14:textId="77777777" w:rsidR="006D4363" w:rsidRPr="00173077" w:rsidRDefault="006D4363" w:rsidP="00A2754C">
      <w:pPr>
        <w:pStyle w:val="Heading4"/>
      </w:pPr>
      <w:proofErr w:type="gramStart"/>
      <w:r w:rsidRPr="00173077">
        <w:t>develop</w:t>
      </w:r>
      <w:proofErr w:type="gramEnd"/>
      <w:r w:rsidRPr="00173077">
        <w:t xml:space="preserve"> appropriate recruitment strategies for each of the ICC functions;  </w:t>
      </w:r>
    </w:p>
    <w:p w14:paraId="65B7BDF0" w14:textId="77777777" w:rsidR="006D4363" w:rsidRPr="00173077" w:rsidRDefault="006D4363" w:rsidP="00A2754C">
      <w:pPr>
        <w:pStyle w:val="Heading4"/>
      </w:pPr>
      <w:proofErr w:type="gramStart"/>
      <w:r w:rsidRPr="00173077">
        <w:t>develop</w:t>
      </w:r>
      <w:proofErr w:type="gramEnd"/>
      <w:r w:rsidRPr="00173077">
        <w:t xml:space="preserve"> best practice policies, processes and tools to support and govern all aspects of the ICC business and operations; </w:t>
      </w:r>
    </w:p>
    <w:p w14:paraId="54FE9BE5" w14:textId="77777777" w:rsidR="006D4363" w:rsidRPr="00173077" w:rsidRDefault="006D4363" w:rsidP="00A2754C">
      <w:pPr>
        <w:pStyle w:val="Heading4"/>
      </w:pPr>
      <w:r w:rsidRPr="00173077">
        <w:t>identify and assess potential locations for the ICC, with due consideration of all relevant factors including labour markets, existing available government office facilities and transport links; and</w:t>
      </w:r>
    </w:p>
    <w:p w14:paraId="46AF75C2" w14:textId="77777777" w:rsidR="006D4363" w:rsidRPr="00173077" w:rsidRDefault="006D4363" w:rsidP="00A2754C">
      <w:pPr>
        <w:pStyle w:val="Heading4"/>
      </w:pPr>
      <w:proofErr w:type="gramStart"/>
      <w:r w:rsidRPr="00173077">
        <w:t>manage</w:t>
      </w:r>
      <w:proofErr w:type="gramEnd"/>
      <w:r w:rsidRPr="00173077">
        <w:t xml:space="preserve"> the procurement of all relevant third party goods and services required to establish and operate the facility and associated infrastructure of the ICC. </w:t>
      </w:r>
    </w:p>
    <w:p w14:paraId="54457DF3" w14:textId="77777777" w:rsidR="006D4363" w:rsidRPr="00A2754C" w:rsidRDefault="006D4363" w:rsidP="00A2754C">
      <w:pPr>
        <w:pStyle w:val="Heading3"/>
        <w:rPr>
          <w:b/>
        </w:rPr>
      </w:pPr>
      <w:r w:rsidRPr="00A2754C">
        <w:rPr>
          <w:b/>
        </w:rPr>
        <w:t>Operational Services</w:t>
      </w:r>
    </w:p>
    <w:p w14:paraId="08FDB164" w14:textId="63389FC9" w:rsidR="006D4363" w:rsidRPr="00182267" w:rsidRDefault="006D4363" w:rsidP="00A2754C">
      <w:pPr>
        <w:spacing w:after="200"/>
        <w:ind w:left="1440"/>
        <w:rPr>
          <w:rFonts w:eastAsia="Calibri" w:cs="Times New Roman"/>
          <w:sz w:val="19"/>
          <w:szCs w:val="19"/>
        </w:rPr>
      </w:pPr>
      <w:r w:rsidRPr="00182267">
        <w:rPr>
          <w:rFonts w:eastAsia="Calibri" w:cs="Times New Roman"/>
          <w:sz w:val="19"/>
          <w:szCs w:val="19"/>
        </w:rPr>
        <w:t xml:space="preserve">The </w:t>
      </w:r>
      <w:r w:rsidR="00641041">
        <w:rPr>
          <w:rFonts w:eastAsia="Calibri" w:cs="Times New Roman"/>
          <w:sz w:val="19"/>
          <w:szCs w:val="19"/>
        </w:rPr>
        <w:t>Potential Provider</w:t>
      </w:r>
      <w:r w:rsidRPr="00182267">
        <w:rPr>
          <w:rFonts w:eastAsia="Calibri" w:cs="Times New Roman"/>
          <w:sz w:val="19"/>
          <w:szCs w:val="19"/>
        </w:rPr>
        <w:t xml:space="preserve"> shall support the Authority following transition through the initial FOM operational phase by way of the following:</w:t>
      </w:r>
    </w:p>
    <w:p w14:paraId="078B0234" w14:textId="77777777" w:rsidR="006D4363" w:rsidRPr="00182267" w:rsidRDefault="006D4363" w:rsidP="00A2754C">
      <w:pPr>
        <w:pStyle w:val="Heading4"/>
      </w:pPr>
      <w:proofErr w:type="gramStart"/>
      <w:r w:rsidRPr="00182267">
        <w:t>providing</w:t>
      </w:r>
      <w:proofErr w:type="gramEnd"/>
      <w:r w:rsidRPr="00182267">
        <w:t xml:space="preserve"> backfill support across the ICC organisation pending recruitment of a full complement of ICC staff;</w:t>
      </w:r>
    </w:p>
    <w:p w14:paraId="7AE03331" w14:textId="15C58966" w:rsidR="006D4363" w:rsidRPr="00182267" w:rsidRDefault="006D4363" w:rsidP="00A2754C">
      <w:pPr>
        <w:pStyle w:val="Heading4"/>
      </w:pPr>
      <w:proofErr w:type="gramStart"/>
      <w:r w:rsidRPr="00182267">
        <w:t>ongoing</w:t>
      </w:r>
      <w:proofErr w:type="gramEnd"/>
      <w:r w:rsidRPr="00182267">
        <w:t xml:space="preserve"> knowledge transfer, training and handover to ICC personnel</w:t>
      </w:r>
      <w:r>
        <w:t xml:space="preserve"> in accordance with the knowledge transfer plan as per paragraph </w:t>
      </w:r>
      <w:r w:rsidR="00641041">
        <w:t>4.</w:t>
      </w:r>
      <w:r w:rsidR="004268E1">
        <w:t>1.2</w:t>
      </w:r>
      <w:r>
        <w:t>.11 above</w:t>
      </w:r>
      <w:r w:rsidRPr="00182267">
        <w:t>; and</w:t>
      </w:r>
    </w:p>
    <w:p w14:paraId="0618E8BF" w14:textId="77777777" w:rsidR="006D4363" w:rsidRPr="00A2754C" w:rsidRDefault="006D4363" w:rsidP="00A2754C">
      <w:pPr>
        <w:pStyle w:val="Heading4"/>
      </w:pPr>
      <w:proofErr w:type="gramStart"/>
      <w:r w:rsidRPr="00182267">
        <w:t>implementation</w:t>
      </w:r>
      <w:proofErr w:type="gramEnd"/>
      <w:r w:rsidRPr="00182267">
        <w:t xml:space="preserve"> of a robust continuous improvement process of revisions and improvements based on operational feedback. </w:t>
      </w:r>
    </w:p>
    <w:p w14:paraId="04A5AA4D" w14:textId="77777777" w:rsidR="006D4363" w:rsidRDefault="006D4363" w:rsidP="006D4363">
      <w:pPr>
        <w:spacing w:after="200"/>
        <w:ind w:left="709" w:firstLine="1"/>
        <w:rPr>
          <w:rFonts w:eastAsia="Calibri" w:cs="Times New Roman"/>
          <w:sz w:val="19"/>
          <w:szCs w:val="19"/>
        </w:rPr>
      </w:pPr>
      <w:r w:rsidRPr="00182267">
        <w:rPr>
          <w:rFonts w:eastAsia="Calibri" w:cs="Times New Roman"/>
          <w:sz w:val="19"/>
          <w:szCs w:val="19"/>
        </w:rPr>
        <w:t xml:space="preserve">The Operational Services shall be performed until no longer required by the Authority. </w:t>
      </w:r>
    </w:p>
    <w:p w14:paraId="73F0EDEE" w14:textId="77777777" w:rsidR="00641041" w:rsidRDefault="00641041" w:rsidP="006D4363">
      <w:pPr>
        <w:spacing w:after="200"/>
        <w:ind w:left="709" w:firstLine="1"/>
        <w:rPr>
          <w:rFonts w:eastAsia="Calibri" w:cs="Times New Roman"/>
          <w:sz w:val="19"/>
          <w:szCs w:val="19"/>
        </w:rPr>
      </w:pPr>
    </w:p>
    <w:p w14:paraId="208F8977" w14:textId="77777777" w:rsidR="00641041" w:rsidRPr="00A2754C" w:rsidRDefault="00641041" w:rsidP="00A2754C">
      <w:pPr>
        <w:pStyle w:val="Heading2"/>
        <w:rPr>
          <w:b/>
        </w:rPr>
      </w:pPr>
      <w:r w:rsidRPr="00A2754C">
        <w:rPr>
          <w:b/>
        </w:rPr>
        <w:t>PROGRAMME SUPPORT SERVICES</w:t>
      </w:r>
    </w:p>
    <w:p w14:paraId="72839BBD" w14:textId="40D6386F" w:rsidR="00641041" w:rsidRPr="00A2754C" w:rsidRDefault="00641041" w:rsidP="00A2754C">
      <w:pPr>
        <w:pStyle w:val="Heading3"/>
        <w:rPr>
          <w:b/>
        </w:rPr>
      </w:pPr>
      <w:r w:rsidRPr="00A2754C">
        <w:rPr>
          <w:b/>
        </w:rPr>
        <w:t>FOM Delivery</w:t>
      </w:r>
    </w:p>
    <w:p w14:paraId="62D6F9F8" w14:textId="4AAD24D4" w:rsidR="001100E8" w:rsidRPr="000B58BD" w:rsidRDefault="001100E8" w:rsidP="00A2754C">
      <w:pPr>
        <w:pStyle w:val="Heading3"/>
        <w:numPr>
          <w:ilvl w:val="0"/>
          <w:numId w:val="0"/>
        </w:numPr>
        <w:ind w:left="1800"/>
        <w:rPr>
          <w:i/>
        </w:rPr>
      </w:pPr>
      <w:r w:rsidRPr="000B58BD">
        <w:rPr>
          <w:i/>
        </w:rPr>
        <w:lastRenderedPageBreak/>
        <w:t>Background</w:t>
      </w:r>
    </w:p>
    <w:p w14:paraId="6C409301" w14:textId="77777777" w:rsidR="001100E8" w:rsidRDefault="001100E8" w:rsidP="000B58BD">
      <w:pPr>
        <w:pStyle w:val="Heading4"/>
      </w:pPr>
      <w:r>
        <w:t>The FOM delivery involves multiple procurement processes designed to contract for each of the service elements that make up the new ICC organisation.  The services being procured are:</w:t>
      </w:r>
    </w:p>
    <w:p w14:paraId="04548D7F" w14:textId="77777777" w:rsidR="001100E8" w:rsidRDefault="001100E8" w:rsidP="000B58BD">
      <w:pPr>
        <w:pStyle w:val="Heading2"/>
        <w:numPr>
          <w:ilvl w:val="0"/>
          <w:numId w:val="0"/>
        </w:numPr>
        <w:spacing w:after="120"/>
        <w:ind w:left="2977"/>
      </w:pPr>
      <w:r>
        <w:t>•</w:t>
      </w:r>
      <w:r>
        <w:tab/>
      </w:r>
      <w:proofErr w:type="gramStart"/>
      <w:r>
        <w:t>a</w:t>
      </w:r>
      <w:proofErr w:type="gramEnd"/>
      <w:r>
        <w:t xml:space="preserve"> single logistics provider; </w:t>
      </w:r>
    </w:p>
    <w:p w14:paraId="3AC4E5A1" w14:textId="77777777" w:rsidR="001100E8" w:rsidRDefault="001100E8" w:rsidP="000B58BD">
      <w:pPr>
        <w:pStyle w:val="Heading2"/>
        <w:numPr>
          <w:ilvl w:val="0"/>
          <w:numId w:val="0"/>
        </w:numPr>
        <w:spacing w:after="120"/>
        <w:ind w:left="2977"/>
      </w:pPr>
      <w:r>
        <w:t>•</w:t>
      </w:r>
      <w:r>
        <w:tab/>
      </w:r>
      <w:proofErr w:type="gramStart"/>
      <w:r>
        <w:t>up</w:t>
      </w:r>
      <w:proofErr w:type="gramEnd"/>
      <w:r>
        <w:t xml:space="preserve"> to eleven (11) Category Tower providers; </w:t>
      </w:r>
    </w:p>
    <w:p w14:paraId="2EAA1693" w14:textId="77777777" w:rsidR="001100E8" w:rsidRDefault="001100E8" w:rsidP="000B58BD">
      <w:pPr>
        <w:pStyle w:val="Heading2"/>
        <w:numPr>
          <w:ilvl w:val="0"/>
          <w:numId w:val="0"/>
        </w:numPr>
        <w:spacing w:after="120"/>
        <w:ind w:left="2977"/>
      </w:pPr>
      <w:r>
        <w:t>•</w:t>
      </w:r>
      <w:r>
        <w:tab/>
      </w:r>
      <w:proofErr w:type="gramStart"/>
      <w:r>
        <w:t>a</w:t>
      </w:r>
      <w:proofErr w:type="gramEnd"/>
      <w:r>
        <w:t xml:space="preserve"> single transactional process provider; and</w:t>
      </w:r>
    </w:p>
    <w:p w14:paraId="4E30CB03" w14:textId="3876A80C" w:rsidR="001100E8" w:rsidRDefault="001100E8" w:rsidP="000B58BD">
      <w:pPr>
        <w:pStyle w:val="Heading2"/>
        <w:numPr>
          <w:ilvl w:val="0"/>
          <w:numId w:val="0"/>
        </w:numPr>
        <w:ind w:left="3600" w:hanging="623"/>
      </w:pPr>
      <w:r>
        <w:t>•</w:t>
      </w:r>
      <w:r>
        <w:tab/>
      </w:r>
      <w:proofErr w:type="gramStart"/>
      <w:r>
        <w:t>a</w:t>
      </w:r>
      <w:proofErr w:type="gramEnd"/>
      <w:r>
        <w:t xml:space="preserve"> single information and communications technology provider.</w:t>
      </w:r>
    </w:p>
    <w:p w14:paraId="4602EC13" w14:textId="2D845CF3" w:rsidR="001100E8" w:rsidRDefault="001100E8" w:rsidP="000B58BD">
      <w:pPr>
        <w:pStyle w:val="Heading4"/>
      </w:pPr>
      <w:r>
        <w:t>The FOM and the ICC are described in more detail in Annex 3 (FOM) and Annex 4 (ICC Functions) to Schedule 2 (Services)</w:t>
      </w:r>
      <w:r w:rsidR="00D523C8">
        <w:t xml:space="preserve"> of the Contract</w:t>
      </w:r>
      <w:r>
        <w:t>.</w:t>
      </w:r>
    </w:p>
    <w:p w14:paraId="79277110" w14:textId="3B19B94A" w:rsidR="001100E8" w:rsidRDefault="001100E8" w:rsidP="000B58BD">
      <w:pPr>
        <w:pStyle w:val="Heading4"/>
      </w:pPr>
      <w:r>
        <w:t xml:space="preserve">Many of these procurements will occur in parallel.  Once contracted, the service providers of each of these services will be required to co-ordinate their transition plans under the management of the Authority and </w:t>
      </w:r>
      <w:r w:rsidR="00B23541">
        <w:t>Supplier</w:t>
      </w:r>
      <w:r>
        <w:t xml:space="preserve"> personnel responsible for the Transition Services.</w:t>
      </w:r>
    </w:p>
    <w:p w14:paraId="79295CAF" w14:textId="77777777" w:rsidR="001100E8" w:rsidRDefault="001100E8" w:rsidP="000B58BD">
      <w:pPr>
        <w:pStyle w:val="Heading4"/>
      </w:pPr>
      <w:r>
        <w:t>Once these procured services have been incorporated into the FOM, planning must be put in place for the re-procurement and potential exit and transition of each of the service elements as the initial contracts expire.</w:t>
      </w:r>
    </w:p>
    <w:p w14:paraId="42D598BD" w14:textId="04E281BA" w:rsidR="001100E8" w:rsidRPr="00A2754C" w:rsidRDefault="001100E8" w:rsidP="000B58BD">
      <w:pPr>
        <w:pStyle w:val="Heading3"/>
        <w:rPr>
          <w:b/>
        </w:rPr>
      </w:pPr>
      <w:r w:rsidRPr="00A2754C">
        <w:rPr>
          <w:b/>
        </w:rPr>
        <w:t>FOM Delivery Support Services</w:t>
      </w:r>
    </w:p>
    <w:p w14:paraId="17516B8C" w14:textId="6A5C31BC" w:rsidR="001100E8" w:rsidRDefault="001100E8" w:rsidP="000B58BD">
      <w:pPr>
        <w:pStyle w:val="Heading4"/>
      </w:pPr>
      <w:r>
        <w:t xml:space="preserve">The </w:t>
      </w:r>
      <w:r w:rsidR="00B23541">
        <w:t>Supplier</w:t>
      </w:r>
      <w:r>
        <w:t xml:space="preserve"> shall, in accordance with the requirements of the ALT, support the FOM delivery as required.  Such support may include expertise in the following areas:</w:t>
      </w:r>
    </w:p>
    <w:p w14:paraId="29978804" w14:textId="77777777" w:rsidR="001100E8" w:rsidRDefault="001100E8" w:rsidP="000B58BD">
      <w:pPr>
        <w:pStyle w:val="Heading2"/>
        <w:numPr>
          <w:ilvl w:val="0"/>
          <w:numId w:val="0"/>
        </w:numPr>
        <w:spacing w:after="120"/>
        <w:ind w:left="2977"/>
      </w:pPr>
      <w:r>
        <w:t>•</w:t>
      </w:r>
      <w:r>
        <w:tab/>
      </w:r>
      <w:proofErr w:type="gramStart"/>
      <w:r>
        <w:t>business</w:t>
      </w:r>
      <w:proofErr w:type="gramEnd"/>
      <w:r>
        <w:t xml:space="preserve"> case development;</w:t>
      </w:r>
    </w:p>
    <w:p w14:paraId="3549D719" w14:textId="77777777" w:rsidR="001100E8" w:rsidRDefault="001100E8" w:rsidP="000B58BD">
      <w:pPr>
        <w:pStyle w:val="Heading2"/>
        <w:numPr>
          <w:ilvl w:val="0"/>
          <w:numId w:val="0"/>
        </w:numPr>
        <w:spacing w:after="120"/>
        <w:ind w:left="2977"/>
      </w:pPr>
      <w:r>
        <w:t>•</w:t>
      </w:r>
      <w:r>
        <w:tab/>
      </w:r>
      <w:proofErr w:type="gramStart"/>
      <w:r>
        <w:t>procurement</w:t>
      </w:r>
      <w:proofErr w:type="gramEnd"/>
      <w:r>
        <w:t xml:space="preserve"> of external service providers;</w:t>
      </w:r>
    </w:p>
    <w:p w14:paraId="6CCDA528" w14:textId="77777777" w:rsidR="001100E8" w:rsidRDefault="001100E8" w:rsidP="000B58BD">
      <w:pPr>
        <w:pStyle w:val="Heading2"/>
        <w:numPr>
          <w:ilvl w:val="0"/>
          <w:numId w:val="0"/>
        </w:numPr>
        <w:spacing w:after="120"/>
        <w:ind w:left="2977"/>
      </w:pPr>
      <w:r>
        <w:t>•</w:t>
      </w:r>
      <w:r>
        <w:tab/>
      </w:r>
      <w:proofErr w:type="gramStart"/>
      <w:r>
        <w:t>contract</w:t>
      </w:r>
      <w:proofErr w:type="gramEnd"/>
      <w:r>
        <w:t xml:space="preserve"> and change management; and</w:t>
      </w:r>
    </w:p>
    <w:p w14:paraId="2845EFE3" w14:textId="77777777" w:rsidR="001100E8" w:rsidRDefault="001100E8" w:rsidP="000B58BD">
      <w:pPr>
        <w:pStyle w:val="Heading2"/>
        <w:numPr>
          <w:ilvl w:val="0"/>
          <w:numId w:val="0"/>
        </w:numPr>
        <w:spacing w:after="120"/>
        <w:ind w:left="2977"/>
      </w:pPr>
      <w:r>
        <w:t>•</w:t>
      </w:r>
      <w:r>
        <w:tab/>
      </w:r>
      <w:proofErr w:type="gramStart"/>
      <w:r>
        <w:t>programme</w:t>
      </w:r>
      <w:proofErr w:type="gramEnd"/>
      <w:r>
        <w:t xml:space="preserve"> and project management.</w:t>
      </w:r>
    </w:p>
    <w:p w14:paraId="7C8F4722" w14:textId="77777777" w:rsidR="001100E8" w:rsidRDefault="001100E8" w:rsidP="000B58BD">
      <w:pPr>
        <w:pStyle w:val="Heading4"/>
      </w:pPr>
      <w:r>
        <w:lastRenderedPageBreak/>
        <w:t>The Core Team shall assist the ALT in all phases of the ICC development to deliver the FOM until a Satisfaction Certificate has been issued to confirm achievement of each of the Operational Readiness Milestones (as set out in the Key Milestone Plan).</w:t>
      </w:r>
    </w:p>
    <w:p w14:paraId="1FA8D492" w14:textId="7D3ADC7D" w:rsidR="001100E8" w:rsidRPr="00A2754C" w:rsidRDefault="001100E8" w:rsidP="00A2754C">
      <w:pPr>
        <w:pStyle w:val="Heading3"/>
        <w:rPr>
          <w:b/>
        </w:rPr>
      </w:pPr>
      <w:r w:rsidRPr="00A2754C">
        <w:rPr>
          <w:b/>
        </w:rPr>
        <w:t>Transition</w:t>
      </w:r>
    </w:p>
    <w:p w14:paraId="2AEFAA33" w14:textId="3703980E" w:rsidR="001100E8" w:rsidRPr="000B58BD" w:rsidRDefault="001100E8" w:rsidP="00A2754C">
      <w:pPr>
        <w:pStyle w:val="Heading3"/>
        <w:numPr>
          <w:ilvl w:val="0"/>
          <w:numId w:val="0"/>
        </w:numPr>
        <w:ind w:left="1080" w:firstLine="720"/>
        <w:rPr>
          <w:i/>
        </w:rPr>
      </w:pPr>
      <w:r w:rsidRPr="000B58BD">
        <w:rPr>
          <w:i/>
        </w:rPr>
        <w:t>Background</w:t>
      </w:r>
    </w:p>
    <w:p w14:paraId="4761331B" w14:textId="77777777" w:rsidR="001100E8" w:rsidRDefault="001100E8" w:rsidP="000B58BD">
      <w:pPr>
        <w:pStyle w:val="Heading4"/>
      </w:pPr>
      <w:r>
        <w:t>The smooth transition from business as usual under the Current Contract to the new ICC organisation becoming Operationally Ready will be a critical success factor for the Programme.  This will require diligent planning and a rigorous risk management approach.</w:t>
      </w:r>
    </w:p>
    <w:p w14:paraId="76F25EB5" w14:textId="0D4F4567" w:rsidR="001100E8" w:rsidRDefault="001100E8" w:rsidP="000B58BD">
      <w:pPr>
        <w:pStyle w:val="Heading4"/>
      </w:pPr>
      <w:r>
        <w:t>Maintaining</w:t>
      </w:r>
      <w:r w:rsidR="00D523C8">
        <w:t>,</w:t>
      </w:r>
      <w:r>
        <w:t xml:space="preserve"> protecting the integrity and enhancing the reputation of the supply chain services during transition </w:t>
      </w:r>
      <w:proofErr w:type="gramStart"/>
      <w:r>
        <w:t>is</w:t>
      </w:r>
      <w:proofErr w:type="gramEnd"/>
      <w:r>
        <w:t xml:space="preserve"> essential to the success of the Programme.</w:t>
      </w:r>
    </w:p>
    <w:p w14:paraId="4B284608" w14:textId="0DD5978F" w:rsidR="001100E8" w:rsidRDefault="001100E8" w:rsidP="000B58BD">
      <w:pPr>
        <w:pStyle w:val="Heading4"/>
      </w:pPr>
      <w:r>
        <w:t xml:space="preserve">Therefore, the transition will need to be carefully planned and implemented for the transfer of each service provided under the Current Contract.  It will be imperative that the </w:t>
      </w:r>
      <w:r w:rsidR="00974E53">
        <w:t>Potential Provider</w:t>
      </w:r>
      <w:r>
        <w:t xml:space="preserve"> understands and accounts for the interdependencies between services and organisations. The </w:t>
      </w:r>
      <w:r w:rsidR="0095345B">
        <w:t>Supplier</w:t>
      </w:r>
      <w:r>
        <w:t xml:space="preserve"> will be required to plan and deliver excellent communications and stakeholder management.</w:t>
      </w:r>
    </w:p>
    <w:p w14:paraId="6313798B" w14:textId="39245F18" w:rsidR="001100E8" w:rsidRPr="00A2754C" w:rsidRDefault="000B58BD" w:rsidP="000B58BD">
      <w:pPr>
        <w:pStyle w:val="Heading3"/>
        <w:rPr>
          <w:b/>
        </w:rPr>
      </w:pPr>
      <w:r w:rsidRPr="00A2754C">
        <w:rPr>
          <w:b/>
        </w:rPr>
        <w:t>T</w:t>
      </w:r>
      <w:r w:rsidR="001100E8" w:rsidRPr="00A2754C">
        <w:rPr>
          <w:b/>
        </w:rPr>
        <w:t>ransition Services</w:t>
      </w:r>
    </w:p>
    <w:p w14:paraId="7D2AC520" w14:textId="323E8DF2" w:rsidR="001100E8" w:rsidRDefault="001100E8" w:rsidP="000B58BD">
      <w:pPr>
        <w:pStyle w:val="Heading4"/>
      </w:pPr>
      <w:r>
        <w:t xml:space="preserve">The </w:t>
      </w:r>
      <w:r w:rsidR="00B23541">
        <w:t>Supplier</w:t>
      </w:r>
      <w:r>
        <w:t xml:space="preserve"> shall, in line with the ALT’s requirements, review and develop the transition strategy, and make appropriate recommendations if required.  </w:t>
      </w:r>
    </w:p>
    <w:p w14:paraId="6CD95196" w14:textId="77777777" w:rsidR="001100E8" w:rsidRDefault="001100E8" w:rsidP="000B58BD">
      <w:pPr>
        <w:pStyle w:val="Heading4"/>
      </w:pPr>
      <w:r>
        <w:t>Transition comprises two main work-streams:</w:t>
      </w:r>
    </w:p>
    <w:p w14:paraId="681BD629" w14:textId="5FF0B9BB" w:rsidR="001100E8" w:rsidRDefault="000B58BD" w:rsidP="000B58BD">
      <w:pPr>
        <w:pStyle w:val="Heading2"/>
        <w:numPr>
          <w:ilvl w:val="0"/>
          <w:numId w:val="0"/>
        </w:numPr>
        <w:ind w:left="3600" w:hanging="623"/>
      </w:pPr>
      <w:proofErr w:type="gramStart"/>
      <w:r>
        <w:t>a</w:t>
      </w:r>
      <w:proofErr w:type="gramEnd"/>
      <w:r w:rsidR="00D523C8">
        <w:t>)</w:t>
      </w:r>
      <w:r w:rsidR="001100E8">
        <w:tab/>
        <w:t>the transfer of the services currently provided under the Current Contract to the FOM; and</w:t>
      </w:r>
    </w:p>
    <w:p w14:paraId="0EF3C7AD" w14:textId="2065A291" w:rsidR="001100E8" w:rsidRDefault="000B58BD" w:rsidP="000B58BD">
      <w:pPr>
        <w:pStyle w:val="Heading2"/>
        <w:numPr>
          <w:ilvl w:val="0"/>
          <w:numId w:val="0"/>
        </w:numPr>
        <w:ind w:left="2977"/>
      </w:pPr>
      <w:r>
        <w:t>b</w:t>
      </w:r>
      <w:r w:rsidR="00D523C8">
        <w:t>)</w:t>
      </w:r>
      <w:r w:rsidR="001100E8">
        <w:tab/>
      </w:r>
      <w:proofErr w:type="gramStart"/>
      <w:r w:rsidR="001100E8">
        <w:t>the</w:t>
      </w:r>
      <w:proofErr w:type="gramEnd"/>
      <w:r w:rsidR="001100E8">
        <w:t xml:space="preserve"> launch of the ICC organisation and business functions.,</w:t>
      </w:r>
    </w:p>
    <w:p w14:paraId="65F6EC85" w14:textId="600A80D4" w:rsidR="001100E8" w:rsidRDefault="001100E8" w:rsidP="000B58BD">
      <w:pPr>
        <w:pStyle w:val="Heading4"/>
      </w:pPr>
      <w:r>
        <w:t>These work-streams</w:t>
      </w:r>
      <w:r w:rsidR="000B58BD">
        <w:t xml:space="preserve"> </w:t>
      </w:r>
      <w:r>
        <w:t>include all aspects relating to the systems, operations, facilities, people and data of such services.</w:t>
      </w:r>
    </w:p>
    <w:p w14:paraId="4CDC88E0" w14:textId="24D85C73" w:rsidR="001100E8" w:rsidRDefault="001100E8" w:rsidP="000B58BD">
      <w:pPr>
        <w:pStyle w:val="Heading4"/>
      </w:pPr>
      <w:r>
        <w:lastRenderedPageBreak/>
        <w:t xml:space="preserve">The </w:t>
      </w:r>
      <w:r w:rsidR="00B23541">
        <w:t>Supplier</w:t>
      </w:r>
      <w:r>
        <w:t xml:space="preserve"> shall, amongst other things:</w:t>
      </w:r>
    </w:p>
    <w:p w14:paraId="437BDC0E" w14:textId="3FA94070" w:rsidR="001100E8" w:rsidRDefault="001100E8" w:rsidP="000B58BD">
      <w:pPr>
        <w:pStyle w:val="Heading2"/>
        <w:numPr>
          <w:ilvl w:val="0"/>
          <w:numId w:val="0"/>
        </w:numPr>
        <w:spacing w:after="120"/>
        <w:ind w:left="3544" w:hanging="567"/>
      </w:pPr>
      <w:r>
        <w:t>a)</w:t>
      </w:r>
      <w:r>
        <w:tab/>
      </w:r>
      <w:r w:rsidR="000B58BD">
        <w:tab/>
      </w:r>
      <w:proofErr w:type="gramStart"/>
      <w:r>
        <w:t>engage</w:t>
      </w:r>
      <w:proofErr w:type="gramEnd"/>
      <w:r>
        <w:t xml:space="preserve"> in communications and stakeholder management;</w:t>
      </w:r>
    </w:p>
    <w:p w14:paraId="01B5E765" w14:textId="77777777" w:rsidR="001100E8" w:rsidRDefault="001100E8" w:rsidP="000B58BD">
      <w:pPr>
        <w:pStyle w:val="Heading2"/>
        <w:numPr>
          <w:ilvl w:val="0"/>
          <w:numId w:val="0"/>
        </w:numPr>
        <w:spacing w:after="120"/>
        <w:ind w:left="3544" w:hanging="567"/>
      </w:pPr>
      <w:r>
        <w:t>b)</w:t>
      </w:r>
      <w:r>
        <w:tab/>
      </w:r>
      <w:proofErr w:type="gramStart"/>
      <w:r>
        <w:t>review</w:t>
      </w:r>
      <w:proofErr w:type="gramEnd"/>
      <w:r>
        <w:t xml:space="preserve"> and develop the existing transition plan with the Current Provider and each new supplier;</w:t>
      </w:r>
    </w:p>
    <w:p w14:paraId="3A7ACD28" w14:textId="0893238F" w:rsidR="001100E8" w:rsidRDefault="001100E8" w:rsidP="000B58BD">
      <w:pPr>
        <w:pStyle w:val="Heading2"/>
        <w:numPr>
          <w:ilvl w:val="0"/>
          <w:numId w:val="0"/>
        </w:numPr>
        <w:spacing w:after="120"/>
        <w:ind w:left="3544" w:hanging="567"/>
      </w:pPr>
      <w:r>
        <w:t>c)</w:t>
      </w:r>
      <w:r w:rsidR="000B58BD">
        <w:tab/>
      </w:r>
      <w:proofErr w:type="gramStart"/>
      <w:r>
        <w:t>develop</w:t>
      </w:r>
      <w:proofErr w:type="gramEnd"/>
      <w:r>
        <w:t xml:space="preserve"> and execute interim processes to cover business functions and operations;</w:t>
      </w:r>
    </w:p>
    <w:p w14:paraId="141D4B9B" w14:textId="77777777" w:rsidR="001100E8" w:rsidRDefault="001100E8" w:rsidP="000B58BD">
      <w:pPr>
        <w:pStyle w:val="Heading2"/>
        <w:numPr>
          <w:ilvl w:val="0"/>
          <w:numId w:val="0"/>
        </w:numPr>
        <w:spacing w:after="120"/>
        <w:ind w:left="3544" w:hanging="567"/>
      </w:pPr>
      <w:r>
        <w:t>d)</w:t>
      </w:r>
      <w:r>
        <w:tab/>
      </w:r>
      <w:proofErr w:type="gramStart"/>
      <w:r>
        <w:t>provide</w:t>
      </w:r>
      <w:proofErr w:type="gramEnd"/>
      <w:r>
        <w:t xml:space="preserve"> staffing, training and knowledge transfer;</w:t>
      </w:r>
    </w:p>
    <w:p w14:paraId="42EA3C25" w14:textId="00734306" w:rsidR="001100E8" w:rsidRDefault="001100E8" w:rsidP="000B58BD">
      <w:pPr>
        <w:pStyle w:val="Heading2"/>
        <w:numPr>
          <w:ilvl w:val="0"/>
          <w:numId w:val="0"/>
        </w:numPr>
        <w:spacing w:after="120"/>
        <w:ind w:left="3544" w:hanging="567"/>
      </w:pPr>
      <w:r>
        <w:t>e)</w:t>
      </w:r>
      <w:r>
        <w:tab/>
      </w:r>
      <w:proofErr w:type="gramStart"/>
      <w:r>
        <w:t>provide</w:t>
      </w:r>
      <w:proofErr w:type="gramEnd"/>
      <w:r>
        <w:t xml:space="preserve"> interim operational support whilst Authority ICC staff are recruited;</w:t>
      </w:r>
    </w:p>
    <w:p w14:paraId="2F12322E" w14:textId="645B87D9" w:rsidR="001100E8" w:rsidRDefault="001100E8" w:rsidP="000B58BD">
      <w:pPr>
        <w:pStyle w:val="Heading2"/>
        <w:numPr>
          <w:ilvl w:val="0"/>
          <w:numId w:val="0"/>
        </w:numPr>
        <w:spacing w:after="120"/>
        <w:ind w:left="3544" w:hanging="567"/>
      </w:pPr>
      <w:proofErr w:type="gramStart"/>
      <w:r>
        <w:t>f</w:t>
      </w:r>
      <w:proofErr w:type="gramEnd"/>
      <w:r>
        <w:t>)</w:t>
      </w:r>
      <w:r>
        <w:tab/>
        <w:t>protect the integrity of the supply chain service before, during and after transition for a period to be agreed with Authority; and</w:t>
      </w:r>
    </w:p>
    <w:p w14:paraId="11845D19" w14:textId="77777777" w:rsidR="001100E8" w:rsidRDefault="001100E8" w:rsidP="000B58BD">
      <w:pPr>
        <w:pStyle w:val="Heading2"/>
        <w:numPr>
          <w:ilvl w:val="0"/>
          <w:numId w:val="0"/>
        </w:numPr>
        <w:ind w:left="3544" w:hanging="567"/>
      </w:pPr>
      <w:r>
        <w:t>g)</w:t>
      </w:r>
      <w:r>
        <w:tab/>
      </w:r>
      <w:proofErr w:type="gramStart"/>
      <w:r>
        <w:t>support</w:t>
      </w:r>
      <w:proofErr w:type="gramEnd"/>
      <w:r>
        <w:t xml:space="preserve"> the Authority’s negotiations to change the Current Provider’s financial targets during exit.</w:t>
      </w:r>
    </w:p>
    <w:p w14:paraId="1DF43471" w14:textId="6CA21095" w:rsidR="001100E8" w:rsidRPr="000B58BD" w:rsidRDefault="001100E8" w:rsidP="001100E8">
      <w:pPr>
        <w:pStyle w:val="Heading2"/>
        <w:rPr>
          <w:b/>
        </w:rPr>
      </w:pPr>
      <w:r w:rsidRPr="000B58BD">
        <w:rPr>
          <w:b/>
        </w:rPr>
        <w:t>ADDITIONAL RESOURCE</w:t>
      </w:r>
    </w:p>
    <w:p w14:paraId="3C8C9AE8" w14:textId="1B5F71F5" w:rsidR="001100E8" w:rsidRDefault="001100E8" w:rsidP="000B58BD">
      <w:pPr>
        <w:pStyle w:val="Heading3"/>
      </w:pPr>
      <w:r>
        <w:t xml:space="preserve">As part of the Core Services, the </w:t>
      </w:r>
      <w:r w:rsidR="00B23541">
        <w:t>Supplier</w:t>
      </w:r>
      <w:r>
        <w:t xml:space="preserve"> shall support the Authority, as required, in the identification, sourcing and/or provision of additional resources and services to support the Programme (“Additional Resource”).  </w:t>
      </w:r>
    </w:p>
    <w:p w14:paraId="7D82C0CA" w14:textId="77777777" w:rsidR="001100E8" w:rsidRDefault="001100E8" w:rsidP="001100E8">
      <w:pPr>
        <w:pStyle w:val="Heading2"/>
        <w:numPr>
          <w:ilvl w:val="0"/>
          <w:numId w:val="0"/>
        </w:numPr>
        <w:ind w:left="862"/>
      </w:pPr>
    </w:p>
    <w:p w14:paraId="65BC448F" w14:textId="2261428A" w:rsidR="006F0298" w:rsidRDefault="009C16CA" w:rsidP="006F0298">
      <w:pPr>
        <w:pStyle w:val="Heading1"/>
      </w:pPr>
      <w:bookmarkStart w:id="14" w:name="_Toc467074150"/>
      <w:r>
        <w:t>The Optional Services</w:t>
      </w:r>
      <w:bookmarkEnd w:id="14"/>
    </w:p>
    <w:p w14:paraId="33536CC0" w14:textId="4CA040C1" w:rsidR="00D523C8" w:rsidRPr="00D523C8" w:rsidRDefault="00D523C8" w:rsidP="00D523C8">
      <w:pPr>
        <w:pStyle w:val="Heading2"/>
        <w:rPr>
          <w:b/>
        </w:rPr>
      </w:pPr>
      <w:r w:rsidRPr="00D523C8">
        <w:rPr>
          <w:b/>
        </w:rPr>
        <w:t>BACKGROUND</w:t>
      </w:r>
    </w:p>
    <w:p w14:paraId="227FDD3D" w14:textId="37A3971A" w:rsidR="00D523C8" w:rsidRDefault="00D523C8" w:rsidP="00D523C8">
      <w:pPr>
        <w:pStyle w:val="Heading3"/>
      </w:pPr>
      <w:r>
        <w:t xml:space="preserve">During the Contract Period, the </w:t>
      </w:r>
      <w:r w:rsidR="00B23541">
        <w:t>Supplier</w:t>
      </w:r>
      <w:r>
        <w:t xml:space="preserve"> acknowledges that the Additional Resource may, at the Authority’s discretion, be:</w:t>
      </w:r>
    </w:p>
    <w:p w14:paraId="1E573EAF" w14:textId="19E884C8" w:rsidR="00D523C8" w:rsidRDefault="00D523C8" w:rsidP="00D523C8">
      <w:pPr>
        <w:pStyle w:val="Heading4"/>
      </w:pPr>
      <w:proofErr w:type="gramStart"/>
      <w:r>
        <w:t>sourced</w:t>
      </w:r>
      <w:proofErr w:type="gramEnd"/>
      <w:r>
        <w:t xml:space="preserve"> from the </w:t>
      </w:r>
      <w:r w:rsidR="00B23541">
        <w:t>Supplier</w:t>
      </w:r>
      <w:r>
        <w:t xml:space="preserve"> as Optional Services in accordance with Clause </w:t>
      </w:r>
      <w:r w:rsidRPr="00A2754C">
        <w:t>7.7</w:t>
      </w:r>
      <w:r>
        <w:t xml:space="preserve"> (Optional Services)</w:t>
      </w:r>
      <w:r w:rsidR="00703358">
        <w:t xml:space="preserve"> of the Contract</w:t>
      </w:r>
      <w:r>
        <w:t>; or</w:t>
      </w:r>
    </w:p>
    <w:p w14:paraId="140C8B08" w14:textId="5054C1D7" w:rsidR="00D523C8" w:rsidRDefault="00D523C8" w:rsidP="00D523C8">
      <w:pPr>
        <w:pStyle w:val="Heading4"/>
      </w:pPr>
      <w:proofErr w:type="gramStart"/>
      <w:r>
        <w:t>procured</w:t>
      </w:r>
      <w:proofErr w:type="gramEnd"/>
      <w:r>
        <w:t xml:space="preserve"> on a competitive basis from third party suppliers.</w:t>
      </w:r>
    </w:p>
    <w:p w14:paraId="403E6203" w14:textId="083AB950" w:rsidR="00D523C8" w:rsidRDefault="00D523C8" w:rsidP="00D523C8">
      <w:pPr>
        <w:pStyle w:val="Heading3"/>
      </w:pPr>
      <w:r>
        <w:t xml:space="preserve">The support required from the </w:t>
      </w:r>
      <w:r w:rsidR="00B23541">
        <w:t>Supplier</w:t>
      </w:r>
      <w:r>
        <w:t xml:space="preserve"> as part of the Core Services includes the development of sufficiently detailed specifications for the Additional Resource to enable a fair and effective procurement process in accordance with paragraph </w:t>
      </w:r>
      <w:r w:rsidR="00703358">
        <w:t>5.</w:t>
      </w:r>
      <w:r>
        <w:t>1.1.2 above.</w:t>
      </w:r>
    </w:p>
    <w:p w14:paraId="69F5AD63" w14:textId="6870FC44" w:rsidR="00D523C8" w:rsidRPr="00D523C8" w:rsidRDefault="00D523C8" w:rsidP="00D523C8">
      <w:pPr>
        <w:pStyle w:val="Heading2"/>
        <w:rPr>
          <w:b/>
        </w:rPr>
      </w:pPr>
      <w:r w:rsidRPr="00D523C8">
        <w:rPr>
          <w:b/>
        </w:rPr>
        <w:lastRenderedPageBreak/>
        <w:t>OPTIONAL SERVICES</w:t>
      </w:r>
    </w:p>
    <w:p w14:paraId="1109A61B" w14:textId="06C65587" w:rsidR="00D523C8" w:rsidRDefault="00D523C8" w:rsidP="00D523C8">
      <w:pPr>
        <w:pStyle w:val="Heading3"/>
      </w:pPr>
      <w:r>
        <w:t>The Optional Services shall comprise the supply of additional resourcing where the requirements of the Services necessitate the provision of resource in excess of the Core Team, as agreed with the Authority.</w:t>
      </w:r>
    </w:p>
    <w:p w14:paraId="1C2AFFD2" w14:textId="73DE5CD4" w:rsidR="001100E8" w:rsidRDefault="00D523C8" w:rsidP="00D523C8">
      <w:pPr>
        <w:pStyle w:val="Heading3"/>
      </w:pPr>
      <w:r>
        <w:t xml:space="preserve">If the Authority agrees that Additional Resource is required, the Authority shall be entitled, at its discretion, to source this from the </w:t>
      </w:r>
      <w:r w:rsidR="00B23541">
        <w:t>Supplier</w:t>
      </w:r>
      <w:r>
        <w:t xml:space="preserve"> as part of the Optional Services (under a work order) or from a third party, and the </w:t>
      </w:r>
      <w:r w:rsidR="00B23541">
        <w:t>Supplier</w:t>
      </w:r>
      <w:r>
        <w:t xml:space="preserve"> shall provide support for this process in accordance with paragraph 3 of Part B (Core Services) of Schedule 2 (Services) of the Contract.</w:t>
      </w:r>
    </w:p>
    <w:p w14:paraId="125EA606" w14:textId="77777777" w:rsidR="00974E53" w:rsidRDefault="00974E53" w:rsidP="00D523C8">
      <w:pPr>
        <w:pStyle w:val="Heading3"/>
        <w:numPr>
          <w:ilvl w:val="0"/>
          <w:numId w:val="0"/>
        </w:numPr>
        <w:ind w:left="1800"/>
      </w:pPr>
    </w:p>
    <w:p w14:paraId="65BC4494" w14:textId="2740BDE7" w:rsidR="006F0298" w:rsidRDefault="00974E53" w:rsidP="006F0298">
      <w:pPr>
        <w:pStyle w:val="Heading1"/>
      </w:pPr>
      <w:bookmarkStart w:id="15" w:name="_Toc467074151"/>
      <w:r>
        <w:t>additional background information</w:t>
      </w:r>
      <w:bookmarkEnd w:id="15"/>
    </w:p>
    <w:p w14:paraId="5F6501D1" w14:textId="77777777" w:rsidR="00974E53" w:rsidRDefault="00974E53" w:rsidP="006F0298">
      <w:pPr>
        <w:pStyle w:val="Heading2"/>
      </w:pPr>
      <w:r>
        <w:t>The Potential Provider should also consider the following Annex’s within Schedule 2 (Services) of the Contract before responding to this ITT:</w:t>
      </w:r>
    </w:p>
    <w:p w14:paraId="30B5707E" w14:textId="77777777" w:rsidR="00974E53" w:rsidRDefault="00974E53" w:rsidP="00974E53">
      <w:pPr>
        <w:pStyle w:val="Heading3"/>
      </w:pPr>
      <w:r>
        <w:t>Annex 1 – Service Definitions</w:t>
      </w:r>
    </w:p>
    <w:p w14:paraId="145991B3" w14:textId="77777777" w:rsidR="00974E53" w:rsidRDefault="00974E53" w:rsidP="00974E53">
      <w:pPr>
        <w:pStyle w:val="Heading3"/>
      </w:pPr>
      <w:r>
        <w:t>Annex 2 – Transformation Services Map</w:t>
      </w:r>
    </w:p>
    <w:p w14:paraId="4447BD97" w14:textId="0508E1B3" w:rsidR="00974E53" w:rsidRDefault="00974E53" w:rsidP="00974E53">
      <w:pPr>
        <w:pStyle w:val="Heading3"/>
      </w:pPr>
      <w:r>
        <w:t>Annex 3 – FOM</w:t>
      </w:r>
    </w:p>
    <w:p w14:paraId="65BC449B" w14:textId="48952A30" w:rsidR="006F0298" w:rsidRDefault="00974E53" w:rsidP="00974E53">
      <w:pPr>
        <w:pStyle w:val="Heading3"/>
      </w:pPr>
      <w:r>
        <w:t>Annex 4 – ICC Functions</w:t>
      </w:r>
      <w:r w:rsidR="00B20BB4">
        <w:t xml:space="preserve"> </w:t>
      </w:r>
    </w:p>
    <w:p w14:paraId="38A4D2A9" w14:textId="77777777" w:rsidR="001100E8" w:rsidRDefault="001100E8" w:rsidP="001100E8">
      <w:pPr>
        <w:pStyle w:val="Heading2"/>
        <w:numPr>
          <w:ilvl w:val="0"/>
          <w:numId w:val="0"/>
        </w:numPr>
        <w:ind w:left="862"/>
      </w:pPr>
    </w:p>
    <w:p w14:paraId="65BC449C" w14:textId="19A7C821" w:rsidR="006F0298" w:rsidRDefault="00B20BB4" w:rsidP="006F0298">
      <w:pPr>
        <w:pStyle w:val="Heading1"/>
      </w:pPr>
      <w:bookmarkStart w:id="16" w:name="_Toc467074152"/>
      <w:r>
        <w:t>timetable</w:t>
      </w:r>
      <w:bookmarkEnd w:id="16"/>
    </w:p>
    <w:p w14:paraId="41EC24F8" w14:textId="77777777" w:rsidR="00B20BB4" w:rsidRDefault="00B20BB4" w:rsidP="00B20BB4">
      <w:pPr>
        <w:pStyle w:val="Heading2"/>
      </w:pPr>
      <w:r>
        <w:t>This Contract shall take effect on the Commencement Date and shall expire, either:</w:t>
      </w:r>
    </w:p>
    <w:p w14:paraId="1B531277" w14:textId="53BE9DAB" w:rsidR="00B20BB4" w:rsidRDefault="00B20BB4" w:rsidP="00B20BB4">
      <w:pPr>
        <w:pStyle w:val="Heading3"/>
      </w:pPr>
      <w:proofErr w:type="gramStart"/>
      <w:r>
        <w:t>at</w:t>
      </w:r>
      <w:proofErr w:type="gramEnd"/>
      <w:r>
        <w:t xml:space="preserve"> the end of the Initial Period of </w:t>
      </w:r>
      <w:r w:rsidRPr="00A2754C">
        <w:t>24</w:t>
      </w:r>
      <w:r>
        <w:t xml:space="preserve"> months; or</w:t>
      </w:r>
    </w:p>
    <w:p w14:paraId="5CF826EF" w14:textId="349C3065" w:rsidR="00B20BB4" w:rsidRDefault="00B20BB4" w:rsidP="00B20BB4">
      <w:pPr>
        <w:pStyle w:val="Heading3"/>
      </w:pPr>
      <w:proofErr w:type="gramStart"/>
      <w:r>
        <w:t>where</w:t>
      </w:r>
      <w:proofErr w:type="gramEnd"/>
      <w:r>
        <w:t xml:space="preserve"> the Authority elects to extend the duration of </w:t>
      </w:r>
      <w:r w:rsidR="00FA2ABB">
        <w:t xml:space="preserve">the </w:t>
      </w:r>
      <w:r>
        <w:t xml:space="preserve">Contract beyond the expiry of the Initial Period in accordance with </w:t>
      </w:r>
      <w:r w:rsidR="00703358">
        <w:t>7</w:t>
      </w:r>
      <w:r>
        <w:t>.2 below, at the end of the Extension Period.</w:t>
      </w:r>
    </w:p>
    <w:p w14:paraId="36FA9882" w14:textId="0BCDC411" w:rsidR="00B20BB4" w:rsidRDefault="00B20BB4" w:rsidP="00B20BB4">
      <w:pPr>
        <w:pStyle w:val="Heading2"/>
      </w:pPr>
      <w:r>
        <w:t xml:space="preserve">The Authority may elect to extend the duration of </w:t>
      </w:r>
      <w:r w:rsidR="00FA2ABB">
        <w:t xml:space="preserve">the </w:t>
      </w:r>
      <w:r>
        <w:t xml:space="preserve">Contract by one or more periods, each for a duration of two months or longer, (the “Extension Period”) by giving the </w:t>
      </w:r>
      <w:r w:rsidR="00974E53">
        <w:t>Potential Provider</w:t>
      </w:r>
      <w:r>
        <w:t xml:space="preserve"> no less than one (1) Month’s written notice prior to the expiry of the Initial Period or the then current Extension Period (as appropriate), provided that the total Contract Period shall not exceed </w:t>
      </w:r>
      <w:r w:rsidR="00F25A83">
        <w:t xml:space="preserve">forty eight </w:t>
      </w:r>
      <w:r>
        <w:t>(</w:t>
      </w:r>
      <w:r w:rsidR="00F25A83">
        <w:t>48</w:t>
      </w:r>
      <w:r>
        <w:t>) Months in total.</w:t>
      </w:r>
    </w:p>
    <w:p w14:paraId="46B98C77" w14:textId="6BDC23BE" w:rsidR="00B20BB4" w:rsidRDefault="00B20BB4" w:rsidP="00A2754C">
      <w:pPr>
        <w:pStyle w:val="Heading2"/>
        <w:spacing w:after="360"/>
      </w:pPr>
      <w:r>
        <w:lastRenderedPageBreak/>
        <w:t xml:space="preserve">Payment to the </w:t>
      </w:r>
      <w:r w:rsidR="00974E53">
        <w:t>Potential Provider</w:t>
      </w:r>
      <w:r>
        <w:t xml:space="preserve"> will be based on achieving a number of Service Level Performance Criteria and Milestones as described in Schedule 6: Service Levels, Charge Adjustment, Retained Charge and Performance Monitoring of the Contract.</w:t>
      </w:r>
    </w:p>
    <w:p w14:paraId="65BC44AA" w14:textId="485F1B21" w:rsidR="006F0298" w:rsidRDefault="00B20BB4" w:rsidP="006F0298">
      <w:pPr>
        <w:pStyle w:val="Heading1"/>
      </w:pPr>
      <w:bookmarkStart w:id="17" w:name="_Toc467074153"/>
      <w:r>
        <w:t>Skills and Knowledge Transfer</w:t>
      </w:r>
      <w:bookmarkEnd w:id="17"/>
    </w:p>
    <w:p w14:paraId="14599B39" w14:textId="55C5C5E0" w:rsidR="00B20BB4" w:rsidRDefault="00B20BB4" w:rsidP="00357C0E">
      <w:pPr>
        <w:pStyle w:val="Heading2"/>
      </w:pPr>
      <w:r>
        <w:t xml:space="preserve">The speed, scale and complexity of this transformation programme </w:t>
      </w:r>
      <w:proofErr w:type="gramStart"/>
      <w:r>
        <w:t>requires</w:t>
      </w:r>
      <w:proofErr w:type="gramEnd"/>
      <w:r>
        <w:t xml:space="preserve"> a high level of staffing, competence and a commercial culture that cannot be fulfilled by internal resources immediately.  Senior internal resources</w:t>
      </w:r>
      <w:r w:rsidR="009C2FAC">
        <w:t xml:space="preserve"> within the Authority</w:t>
      </w:r>
      <w:r>
        <w:t xml:space="preserve"> have already been identified and deployed, together with resources seconded from our partner organisations (including Cabinet Office and </w:t>
      </w:r>
      <w:r w:rsidR="009C2FAC">
        <w:t xml:space="preserve">NHS </w:t>
      </w:r>
      <w:r>
        <w:t xml:space="preserve">BSA). This has created a public sector leadership team, providing oversight and governance throughout the project. The </w:t>
      </w:r>
      <w:r w:rsidR="00974E53">
        <w:t>Potential Provider</w:t>
      </w:r>
      <w:r>
        <w:t xml:space="preserve"> will work under the instruction of this leadership team in a collaborative role.</w:t>
      </w:r>
    </w:p>
    <w:p w14:paraId="62A614C4" w14:textId="384410D9" w:rsidR="00B20BB4" w:rsidRDefault="00B20BB4" w:rsidP="00B20BB4">
      <w:pPr>
        <w:pStyle w:val="Heading2"/>
      </w:pPr>
      <w:r>
        <w:t xml:space="preserve">The ICC will be made up of a mix of internal and external resources.  It is anticipated that over the period up to ‘steady state’, there will be an increasing number of internal resources built up with the final expected number of staff equalling approximately 200 FTEs.  These internal resources will be made up of a mix of new hires (either through expressions of interest from existing or displaced Civil Servants or where internal resources are not available through external recruitment) and staff transferring across from NHS BSA or </w:t>
      </w:r>
      <w:r w:rsidR="009C2FAC">
        <w:t>the Current Provider in accordance with relevant employment law</w:t>
      </w:r>
      <w:r>
        <w:t xml:space="preserve">.  </w:t>
      </w:r>
    </w:p>
    <w:p w14:paraId="45925CE8" w14:textId="667CECC5" w:rsidR="00380F39" w:rsidRDefault="00B20BB4" w:rsidP="00B20BB4">
      <w:pPr>
        <w:pStyle w:val="Heading2"/>
      </w:pPr>
      <w:r>
        <w:t xml:space="preserve">The </w:t>
      </w:r>
      <w:r w:rsidR="00357C0E">
        <w:t>Potential Provider</w:t>
      </w:r>
      <w:r>
        <w:t xml:space="preserve"> will provide backfill for these positions and assist in setting the policy and processes and working conditions for these transfers.  They will be expected to train and induct new starters and transfers to ensure their skills and knowledge are transferred to permanent staff - eventually being </w:t>
      </w:r>
      <w:proofErr w:type="gramStart"/>
      <w:r>
        <w:t>phased</w:t>
      </w:r>
      <w:proofErr w:type="gramEnd"/>
      <w:r>
        <w:t xml:space="preserve"> out altogether.  The diagram below depicts the expected ebb and flow of internal and external staff over the contract period and how the programme expects the </w:t>
      </w:r>
      <w:r w:rsidR="00974E53">
        <w:t>Potential Provider</w:t>
      </w:r>
      <w:r>
        <w:t xml:space="preserve"> to flex resources in between the different phases of work.</w:t>
      </w:r>
    </w:p>
    <w:p w14:paraId="60C4809E" w14:textId="00603462" w:rsidR="00380F39" w:rsidRDefault="00380F39" w:rsidP="00380F39">
      <w:pPr>
        <w:pStyle w:val="Heading2"/>
        <w:numPr>
          <w:ilvl w:val="0"/>
          <w:numId w:val="0"/>
        </w:numPr>
        <w:ind w:left="720"/>
      </w:pPr>
      <w:r>
        <w:rPr>
          <w:noProof/>
          <w:lang w:eastAsia="en-GB"/>
        </w:rPr>
        <w:lastRenderedPageBreak/>
        <w:drawing>
          <wp:inline distT="0" distB="0" distL="0" distR="0" wp14:anchorId="05C63A32" wp14:editId="20B3322F">
            <wp:extent cx="5232400" cy="2959100"/>
            <wp:effectExtent l="0" t="0" r="6350" b="0"/>
            <wp:docPr id="7" name="Picture 7" descr="cid:image001.png@01D1D1ED.B2703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D1ED.B2703F10"/>
                    <pic:cNvPicPr>
                      <a:picLocks noChangeAspect="1" noChangeArrowheads="1"/>
                    </pic:cNvPicPr>
                  </pic:nvPicPr>
                  <pic:blipFill>
                    <a:blip r:embed="rId13" r:link="rId14">
                      <a:extLst>
                        <a:ext uri="{28A0092B-C50C-407E-A947-70E740481C1C}">
                          <a14:useLocalDpi xmlns:a14="http://schemas.microsoft.com/office/drawing/2010/main" val="0"/>
                        </a:ext>
                      </a:extLst>
                    </a:blip>
                    <a:srcRect t="16602" b="8099"/>
                    <a:stretch>
                      <a:fillRect/>
                    </a:stretch>
                  </pic:blipFill>
                  <pic:spPr bwMode="auto">
                    <a:xfrm>
                      <a:off x="0" y="0"/>
                      <a:ext cx="5232400" cy="2959100"/>
                    </a:xfrm>
                    <a:prstGeom prst="rect">
                      <a:avLst/>
                    </a:prstGeom>
                    <a:noFill/>
                    <a:ln>
                      <a:noFill/>
                    </a:ln>
                  </pic:spPr>
                </pic:pic>
              </a:graphicData>
            </a:graphic>
          </wp:inline>
        </w:drawing>
      </w:r>
    </w:p>
    <w:p w14:paraId="6D8725A8" w14:textId="77777777" w:rsidR="00380F39" w:rsidRDefault="00380F39" w:rsidP="00380F39">
      <w:pPr>
        <w:pStyle w:val="Heading2"/>
        <w:numPr>
          <w:ilvl w:val="0"/>
          <w:numId w:val="0"/>
        </w:numPr>
        <w:ind w:left="720"/>
      </w:pPr>
    </w:p>
    <w:p w14:paraId="30B0783A" w14:textId="3DBEEEFA" w:rsidR="00380F39" w:rsidRDefault="00380F39" w:rsidP="00380F39">
      <w:pPr>
        <w:pStyle w:val="Heading2"/>
      </w:pPr>
      <w:r>
        <w:t xml:space="preserve">Knowledge and skills transfer form a large part of the services to be provided by the </w:t>
      </w:r>
      <w:r w:rsidR="00974E53">
        <w:t>Potential Provider</w:t>
      </w:r>
      <w:r>
        <w:t>.</w:t>
      </w:r>
    </w:p>
    <w:p w14:paraId="74BC8C53" w14:textId="6E06CFEC" w:rsidR="00380F39" w:rsidRDefault="00380F39" w:rsidP="00A2754C">
      <w:pPr>
        <w:pStyle w:val="Heading2"/>
        <w:spacing w:after="360"/>
      </w:pPr>
      <w:r>
        <w:t xml:space="preserve">Furthermore, by working jointly with the Core Team of the </w:t>
      </w:r>
      <w:r w:rsidR="00974E53">
        <w:t>Potential Provider</w:t>
      </w:r>
      <w:r>
        <w:t xml:space="preserve">, effectively as a single integrated unit, the Authority’s staff comprising the ICC Leadership Team will develop greater organisation and supply chain transformation skills and expertise from the </w:t>
      </w:r>
      <w:r w:rsidR="00974E53">
        <w:t>Potential Provider</w:t>
      </w:r>
      <w:r>
        <w:t xml:space="preserve"> during the life of the Contract.</w:t>
      </w:r>
    </w:p>
    <w:p w14:paraId="65BC44B7" w14:textId="7B40A2AB" w:rsidR="006F0298" w:rsidRDefault="00380F39" w:rsidP="006F0298">
      <w:pPr>
        <w:pStyle w:val="Heading1"/>
      </w:pPr>
      <w:bookmarkStart w:id="18" w:name="_Toc467074154"/>
      <w:r>
        <w:t>Further Information</w:t>
      </w:r>
      <w:bookmarkEnd w:id="18"/>
    </w:p>
    <w:p w14:paraId="086507C2" w14:textId="3B207B67" w:rsidR="00380F39" w:rsidRDefault="00380F39" w:rsidP="00A2754C">
      <w:pPr>
        <w:pStyle w:val="Heading2"/>
        <w:spacing w:after="360"/>
      </w:pPr>
      <w:r>
        <w:t xml:space="preserve">Attached as Appendix </w:t>
      </w:r>
      <w:r w:rsidR="00B924BE">
        <w:t>A</w:t>
      </w:r>
      <w:r>
        <w:t xml:space="preserve"> is a prior briefing pack on the key elements of the ICC advisory requirement and how it fits into the overall NHS Supply Chain Future Operating Model.  This is for information only</w:t>
      </w:r>
      <w:r w:rsidR="009639E3">
        <w:t xml:space="preserve"> and should not be relied upon for the purposes of this ITT.</w:t>
      </w:r>
    </w:p>
    <w:p w14:paraId="65BC44BA" w14:textId="1B0C8C8E" w:rsidR="006F0298" w:rsidRPr="00D64701" w:rsidRDefault="00E26709" w:rsidP="006F0298">
      <w:pPr>
        <w:pStyle w:val="Heading1"/>
      </w:pPr>
      <w:bookmarkStart w:id="19" w:name="_Toc467074155"/>
      <w:r w:rsidRPr="00D64701">
        <w:t>Contract Monitoring</w:t>
      </w:r>
      <w:bookmarkEnd w:id="19"/>
    </w:p>
    <w:p w14:paraId="65BC44BB" w14:textId="0469C3CD" w:rsidR="006F0298" w:rsidRDefault="00E26709" w:rsidP="00E26709">
      <w:pPr>
        <w:pStyle w:val="Heading2"/>
      </w:pPr>
      <w:r w:rsidRPr="00E26709">
        <w:t xml:space="preserve">Schedule 6: Service Levels, Charge Adjustment, Retained Charge and Performance Monitoring of the Contract sets out the Service Levels which the </w:t>
      </w:r>
      <w:r w:rsidR="00974E53">
        <w:t>Potential Provider</w:t>
      </w:r>
      <w:r w:rsidRPr="00E26709">
        <w:t xml:space="preserve"> is required to achieve when providing the Services, the mechanism by which Service Level Failures and Significant Service Level Failures will be managed, the mechanism by which delivery of Milestones will be managed and the method by which the </w:t>
      </w:r>
      <w:r w:rsidR="00974E53">
        <w:t>Potential Provider</w:t>
      </w:r>
      <w:r w:rsidRPr="00E26709">
        <w:t>'s performance in the provision by it of the Services will be monitored.</w:t>
      </w:r>
    </w:p>
    <w:p w14:paraId="18867803" w14:textId="79B6C109" w:rsidR="000760AE" w:rsidRDefault="000760AE">
      <w:pPr>
        <w:rPr>
          <w:rFonts w:eastAsia="STZhongsong" w:cs="Times New Roman"/>
          <w:szCs w:val="20"/>
          <w:lang w:eastAsia="zh-CN"/>
        </w:rPr>
      </w:pPr>
      <w:r>
        <w:br w:type="page"/>
      </w:r>
    </w:p>
    <w:p w14:paraId="73186E14" w14:textId="2978CDB0" w:rsidR="000760AE" w:rsidRDefault="000760AE" w:rsidP="000760AE">
      <w:pPr>
        <w:pStyle w:val="Heading1"/>
        <w:numPr>
          <w:ilvl w:val="0"/>
          <w:numId w:val="0"/>
        </w:numPr>
      </w:pPr>
      <w:bookmarkStart w:id="20" w:name="_Toc467074156"/>
      <w:r>
        <w:lastRenderedPageBreak/>
        <w:t xml:space="preserve">APPENDIX A </w:t>
      </w:r>
      <w:r w:rsidR="00C35941">
        <w:t xml:space="preserve">– ICC TRANSFORMATION SERVICES </w:t>
      </w:r>
      <w:r>
        <w:t>BRIEFING</w:t>
      </w:r>
      <w:bookmarkEnd w:id="20"/>
    </w:p>
    <w:p w14:paraId="78C9A910" w14:textId="7701FFA1" w:rsidR="000760AE" w:rsidRDefault="000760AE" w:rsidP="000760AE">
      <w:pPr>
        <w:pStyle w:val="Heading2"/>
        <w:numPr>
          <w:ilvl w:val="0"/>
          <w:numId w:val="0"/>
        </w:numPr>
        <w:ind w:left="142"/>
      </w:pPr>
      <w:r>
        <w:t>Attached as a separate document</w:t>
      </w:r>
    </w:p>
    <w:sectPr w:rsidR="000760AE" w:rsidSect="00667389">
      <w:headerReference w:type="default" r:id="rId15"/>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44F3" w14:textId="77777777" w:rsidR="00E044BC" w:rsidRDefault="00E044BC" w:rsidP="00F62CB1"/>
  </w:endnote>
  <w:endnote w:type="continuationSeparator" w:id="0">
    <w:p w14:paraId="65BC44F4" w14:textId="77777777" w:rsidR="00E044BC" w:rsidRDefault="00E044BC" w:rsidP="00F62CB1">
      <w:r>
        <w:t xml:space="preserve"> </w:t>
      </w:r>
    </w:p>
  </w:endnote>
  <w:endnote w:type="continuationNotice" w:id="1">
    <w:p w14:paraId="65BC44F5" w14:textId="77777777" w:rsidR="00E044BC" w:rsidRDefault="00E044B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B" w14:textId="77777777" w:rsidR="00E044BC" w:rsidRPr="00EE5AE1" w:rsidRDefault="00E044BC" w:rsidP="00F62CB1">
    <w:pPr>
      <w:pStyle w:val="Footer"/>
    </w:pPr>
  </w:p>
  <w:p w14:paraId="65BC44FC" w14:textId="77777777" w:rsidR="00E044BC" w:rsidRPr="00EE5AE1" w:rsidRDefault="00E044B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3A2309">
      <w:rPr>
        <w:noProof/>
      </w:rPr>
      <w:t>24</w:t>
    </w:r>
    <w:r w:rsidRPr="00EE5AE1">
      <w:fldChar w:fldCharType="end"/>
    </w:r>
    <w:r w:rsidRPr="00EE5AE1">
      <w:t xml:space="preserve"> of </w:t>
    </w:r>
    <w:fldSimple w:instr=" NUMPAGES ">
      <w:r w:rsidR="003A2309">
        <w:rPr>
          <w:noProof/>
        </w:rPr>
        <w:t>24</w:t>
      </w:r>
    </w:fldSimple>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4F0" w14:textId="77777777" w:rsidR="00E044BC" w:rsidRDefault="00E044BC" w:rsidP="00F62CB1">
      <w:r>
        <w:separator/>
      </w:r>
    </w:p>
  </w:footnote>
  <w:footnote w:type="continuationSeparator" w:id="0">
    <w:p w14:paraId="65BC44F1" w14:textId="77777777" w:rsidR="00E044BC" w:rsidRDefault="00E044BC" w:rsidP="00F62CB1">
      <w:r>
        <w:continuationSeparator/>
      </w:r>
    </w:p>
  </w:footnote>
  <w:footnote w:type="continuationNotice" w:id="1">
    <w:p w14:paraId="65BC44F2" w14:textId="77777777" w:rsidR="00E044BC" w:rsidRDefault="00E044BC" w:rsidP="00F62CB1"/>
  </w:footnote>
  <w:footnote w:id="2">
    <w:p w14:paraId="2BECAC0F" w14:textId="7C92A012" w:rsidR="00E044BC" w:rsidRDefault="00E044BC">
      <w:pPr>
        <w:pStyle w:val="FootnoteText"/>
      </w:pPr>
      <w:r>
        <w:rPr>
          <w:rStyle w:val="FootnoteReference"/>
        </w:rPr>
        <w:footnoteRef/>
      </w:r>
      <w:r>
        <w:t xml:space="preserve"> NHS 5 Year Forward View – </w:t>
      </w:r>
      <w:r w:rsidRPr="00D14D5C">
        <w:t>https://www.england.nhs.uk/ourwork/futurenhs/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6" w14:textId="77777777" w:rsidR="00E044BC" w:rsidRPr="007A3343" w:rsidRDefault="00E044BC" w:rsidP="00F62CB1">
    <w:pPr>
      <w:pStyle w:val="Header"/>
      <w:jc w:val="center"/>
    </w:pPr>
  </w:p>
  <w:p w14:paraId="65BC44F7" w14:textId="5B72757D" w:rsidR="00E044BC" w:rsidRPr="00FB22F1" w:rsidRDefault="00E044BC" w:rsidP="00F62CB1">
    <w:pPr>
      <w:pStyle w:val="Header"/>
      <w:jc w:val="center"/>
    </w:pPr>
    <w:r>
      <w:t>ITT60296/6794 – ICC Transformation Services</w:t>
    </w:r>
  </w:p>
  <w:p w14:paraId="65BC44F8" w14:textId="413022FA" w:rsidR="00E044BC" w:rsidRPr="00FB22F1" w:rsidRDefault="00E044BC" w:rsidP="00F62CB1">
    <w:pPr>
      <w:pStyle w:val="Header"/>
      <w:jc w:val="center"/>
    </w:pPr>
    <w:r>
      <w:t xml:space="preserve">Attachment 2 – </w:t>
    </w:r>
    <w:r w:rsidR="00A2754C">
      <w:t xml:space="preserve">Service </w:t>
    </w:r>
    <w:r w:rsidR="002A111C">
      <w:t>Description</w:t>
    </w:r>
  </w:p>
  <w:p w14:paraId="65BC44F9" w14:textId="77777777" w:rsidR="00E044BC" w:rsidRDefault="00E044BC" w:rsidP="00F62CB1">
    <w:pPr>
      <w:pStyle w:val="Header"/>
    </w:pPr>
    <w:r>
      <w:tab/>
    </w:r>
  </w:p>
  <w:p w14:paraId="65BC44FA" w14:textId="77777777" w:rsidR="00E044BC" w:rsidRPr="00074357" w:rsidRDefault="00E044BC" w:rsidP="00F62CB1">
    <w:pPr>
      <w:pStyle w:val="Header"/>
    </w:pPr>
    <w:r>
      <w:rPr>
        <w:noProof/>
      </w:rPr>
      <mc:AlternateContent>
        <mc:Choice Requires="wps">
          <w:drawing>
            <wp:anchor distT="0" distB="0" distL="114300" distR="114300" simplePos="0" relativeHeight="251661824" behindDoc="0" locked="0" layoutInCell="1" allowOverlap="1" wp14:anchorId="65BC44FD" wp14:editId="65BC44FE">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8E22E" w14:textId="77777777" w:rsidR="00E044BC" w:rsidRPr="007A3343" w:rsidRDefault="00E044BC" w:rsidP="00F62CB1">
    <w:pPr>
      <w:pStyle w:val="Header"/>
      <w:jc w:val="center"/>
    </w:pPr>
  </w:p>
  <w:p w14:paraId="1BD9AE4B" w14:textId="3E56C223" w:rsidR="00E044BC" w:rsidRPr="00FB22F1" w:rsidRDefault="00E044BC" w:rsidP="00F62CB1">
    <w:pPr>
      <w:pStyle w:val="Header"/>
      <w:jc w:val="center"/>
    </w:pPr>
    <w:r>
      <w:t>ITT60296/6794 – ICC Transformation Services</w:t>
    </w:r>
  </w:p>
  <w:p w14:paraId="090033D7" w14:textId="08ED15AF" w:rsidR="00E044BC" w:rsidRPr="00FB22F1" w:rsidRDefault="00E044BC" w:rsidP="00F62CB1">
    <w:pPr>
      <w:pStyle w:val="Header"/>
      <w:jc w:val="center"/>
    </w:pPr>
    <w:r>
      <w:t xml:space="preserve">Attachment 2 – Service </w:t>
    </w:r>
    <w:r w:rsidR="002A111C">
      <w:t>Description</w:t>
    </w:r>
  </w:p>
  <w:p w14:paraId="67D1623F" w14:textId="77777777" w:rsidR="00E044BC" w:rsidRDefault="00E044BC" w:rsidP="00F62CB1">
    <w:pPr>
      <w:pStyle w:val="Header"/>
    </w:pPr>
    <w:r>
      <w:tab/>
    </w:r>
  </w:p>
  <w:p w14:paraId="66B2EBFE" w14:textId="77777777" w:rsidR="00E044BC" w:rsidRPr="00074357" w:rsidRDefault="00E044BC" w:rsidP="00F62CB1">
    <w:pPr>
      <w:pStyle w:val="Header"/>
    </w:pPr>
    <w:r>
      <w:rPr>
        <w:noProof/>
      </w:rPr>
      <mc:AlternateContent>
        <mc:Choice Requires="wps">
          <w:drawing>
            <wp:anchor distT="0" distB="0" distL="114300" distR="114300" simplePos="0" relativeHeight="251663872" behindDoc="0" locked="0" layoutInCell="1" allowOverlap="1" wp14:anchorId="791458B2" wp14:editId="13DD22C6">
              <wp:simplePos x="0" y="0"/>
              <wp:positionH relativeFrom="column">
                <wp:posOffset>-53340</wp:posOffset>
              </wp:positionH>
              <wp:positionV relativeFrom="paragraph">
                <wp:posOffset>1270</wp:posOffset>
              </wp:positionV>
              <wp:extent cx="9052560" cy="0"/>
              <wp:effectExtent l="0" t="0" r="1524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2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2pt;margin-top:.1pt;width:712.8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FDHg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0971B" w14:textId="77777777" w:rsidR="00E044BC" w:rsidRPr="007A3343" w:rsidRDefault="00E044BC" w:rsidP="00F62CB1">
    <w:pPr>
      <w:pStyle w:val="Header"/>
      <w:jc w:val="center"/>
    </w:pPr>
  </w:p>
  <w:p w14:paraId="6991DCE5" w14:textId="5DB1425A" w:rsidR="00E044BC" w:rsidRPr="00FB22F1" w:rsidRDefault="00E044BC" w:rsidP="00F62CB1">
    <w:pPr>
      <w:pStyle w:val="Header"/>
      <w:jc w:val="center"/>
    </w:pPr>
    <w:r>
      <w:t>ITT60296/6794 – ICC Transformation Services</w:t>
    </w:r>
  </w:p>
  <w:p w14:paraId="1BD42139" w14:textId="75C511DB" w:rsidR="00E044BC" w:rsidRPr="00FB22F1" w:rsidRDefault="00E044BC" w:rsidP="00F62CB1">
    <w:pPr>
      <w:pStyle w:val="Header"/>
      <w:jc w:val="center"/>
    </w:pPr>
    <w:r>
      <w:t xml:space="preserve">Attachment 2 – Service </w:t>
    </w:r>
    <w:r w:rsidR="002A111C">
      <w:t>Description</w:t>
    </w:r>
  </w:p>
  <w:p w14:paraId="340B4DFE" w14:textId="77777777" w:rsidR="00E044BC" w:rsidRDefault="00E044BC" w:rsidP="00F62CB1">
    <w:pPr>
      <w:pStyle w:val="Header"/>
    </w:pPr>
    <w:r>
      <w:tab/>
    </w:r>
  </w:p>
  <w:p w14:paraId="30BBCB49" w14:textId="77777777" w:rsidR="00E044BC" w:rsidRPr="00074357" w:rsidRDefault="00E044BC" w:rsidP="00F62CB1">
    <w:pPr>
      <w:pStyle w:val="Header"/>
    </w:pPr>
    <w:r>
      <w:rPr>
        <w:noProof/>
      </w:rPr>
      <mc:AlternateContent>
        <mc:Choice Requires="wps">
          <w:drawing>
            <wp:anchor distT="0" distB="0" distL="114300" distR="114300" simplePos="0" relativeHeight="251665920" behindDoc="0" locked="0" layoutInCell="1" allowOverlap="1" wp14:anchorId="2F728A55" wp14:editId="5831BE69">
              <wp:simplePos x="0" y="0"/>
              <wp:positionH relativeFrom="column">
                <wp:posOffset>-55245</wp:posOffset>
              </wp:positionH>
              <wp:positionV relativeFrom="paragraph">
                <wp:posOffset>-3810</wp:posOffset>
              </wp:positionV>
              <wp:extent cx="5853430" cy="0"/>
              <wp:effectExtent l="11430" t="5715" r="12065" b="1333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rv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F2H67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51361E3"/>
    <w:multiLevelType w:val="hybridMultilevel"/>
    <w:tmpl w:val="E3724156"/>
    <w:lvl w:ilvl="0" w:tplc="8DA0DCE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7ED273A"/>
    <w:multiLevelType w:val="hybridMultilevel"/>
    <w:tmpl w:val="2A2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6A21C5"/>
    <w:multiLevelType w:val="hybridMultilevel"/>
    <w:tmpl w:val="840A0492"/>
    <w:lvl w:ilvl="0" w:tplc="8DAEE094">
      <w:start w:val="4"/>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AD5582"/>
    <w:multiLevelType w:val="hybridMultilevel"/>
    <w:tmpl w:val="E88A9D8C"/>
    <w:lvl w:ilvl="0" w:tplc="29260E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nsid w:val="36FF08DF"/>
    <w:multiLevelType w:val="hybridMultilevel"/>
    <w:tmpl w:val="DF5A3DE6"/>
    <w:lvl w:ilvl="0" w:tplc="9498346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6C2C5C"/>
    <w:multiLevelType w:val="multilevel"/>
    <w:tmpl w:val="1332CCD4"/>
    <w:name w:val="Plato Schedule Numbering List"/>
    <w:numStyleLink w:val="111111"/>
  </w:abstractNum>
  <w:abstractNum w:abstractNumId="25">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965CCA"/>
    <w:multiLevelType w:val="multilevel"/>
    <w:tmpl w:val="1332CCD4"/>
    <w:name w:val="Appendicies Heading List"/>
    <w:numStyleLink w:val="111111"/>
  </w:abstractNum>
  <w:abstractNum w:abstractNumId="27">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862"/>
        </w:tabs>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8">
    <w:nsid w:val="525D7B94"/>
    <w:multiLevelType w:val="hybridMultilevel"/>
    <w:tmpl w:val="721642E8"/>
    <w:lvl w:ilvl="0" w:tplc="0F84A5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9E67CA"/>
    <w:multiLevelType w:val="hybridMultilevel"/>
    <w:tmpl w:val="8384C4E4"/>
    <w:lvl w:ilvl="0" w:tplc="B5FAB1A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nsid w:val="567B056F"/>
    <w:multiLevelType w:val="hybridMultilevel"/>
    <w:tmpl w:val="3E5249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6E14246"/>
    <w:multiLevelType w:val="multilevel"/>
    <w:tmpl w:val="21423CD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32">
    <w:nsid w:val="5AC447B0"/>
    <w:multiLevelType w:val="hybridMultilevel"/>
    <w:tmpl w:val="B0A4F67C"/>
    <w:lvl w:ilvl="0" w:tplc="EF2E4E2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8BF40D2"/>
    <w:multiLevelType w:val="hybridMultilevel"/>
    <w:tmpl w:val="C0D68D1A"/>
    <w:lvl w:ilvl="0" w:tplc="EB6642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6C204343"/>
    <w:multiLevelType w:val="hybridMultilevel"/>
    <w:tmpl w:val="3A20616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nsid w:val="6F0D21AF"/>
    <w:multiLevelType w:val="hybridMultilevel"/>
    <w:tmpl w:val="D1A2A9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0246226"/>
    <w:multiLevelType w:val="hybridMultilevel"/>
    <w:tmpl w:val="2DA692A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nsid w:val="77F65B9A"/>
    <w:multiLevelType w:val="hybridMultilevel"/>
    <w:tmpl w:val="0EF884E2"/>
    <w:lvl w:ilvl="0" w:tplc="673603DA">
      <w:start w:val="1"/>
      <w:numFmt w:val="lowerLetter"/>
      <w:lvlText w:val="%1)"/>
      <w:lvlJc w:val="left"/>
      <w:pPr>
        <w:ind w:left="2520" w:hanging="360"/>
      </w:pPr>
      <w:rPr>
        <w:rFonts w:ascii="Helvetica Neue" w:eastAsia="STZhongsong" w:hAnsi="Helvetica Neue"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nsid w:val="7C1A399B"/>
    <w:multiLevelType w:val="hybridMultilevel"/>
    <w:tmpl w:val="76B69C9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7"/>
  </w:num>
  <w:num w:numId="2">
    <w:abstractNumId w:val="16"/>
  </w:num>
  <w:num w:numId="3">
    <w:abstractNumId w:val="18"/>
  </w:num>
  <w:num w:numId="4">
    <w:abstractNumId w:val="5"/>
  </w:num>
  <w:num w:numId="5">
    <w:abstractNumId w:val="23"/>
  </w:num>
  <w:num w:numId="6">
    <w:abstractNumId w:val="20"/>
  </w:num>
  <w:num w:numId="7">
    <w:abstractNumId w:val="15"/>
  </w:num>
  <w:num w:numId="8">
    <w:abstractNumId w:val="4"/>
  </w:num>
  <w:num w:numId="9">
    <w:abstractNumId w:val="3"/>
  </w:num>
  <w:num w:numId="10">
    <w:abstractNumId w:val="2"/>
  </w:num>
  <w:num w:numId="11">
    <w:abstractNumId w:val="1"/>
  </w:num>
  <w:num w:numId="12">
    <w:abstractNumId w:val="0"/>
  </w:num>
  <w:num w:numId="13">
    <w:abstractNumId w:val="41"/>
  </w:num>
  <w:num w:numId="14">
    <w:abstractNumId w:val="10"/>
  </w:num>
  <w:num w:numId="15">
    <w:abstractNumId w:val="35"/>
  </w:num>
  <w:num w:numId="16">
    <w:abstractNumId w:val="9"/>
  </w:num>
  <w:num w:numId="17">
    <w:abstractNumId w:val="22"/>
  </w:num>
  <w:num w:numId="18">
    <w:abstractNumId w:val="19"/>
  </w:num>
  <w:num w:numId="19">
    <w:abstractNumId w:val="33"/>
  </w:num>
  <w:num w:numId="20">
    <w:abstractNumId w:val="14"/>
  </w:num>
  <w:num w:numId="21">
    <w:abstractNumId w:val="27"/>
  </w:num>
  <w:num w:numId="22">
    <w:abstractNumId w:val="12"/>
  </w:num>
  <w:num w:numId="23">
    <w:abstractNumId w:val="17"/>
  </w:num>
  <w:num w:numId="24">
    <w:abstractNumId w:val="36"/>
  </w:num>
  <w:num w:numId="25">
    <w:abstractNumId w:val="38"/>
  </w:num>
  <w:num w:numId="26">
    <w:abstractNumId w:val="28"/>
  </w:num>
  <w:num w:numId="27">
    <w:abstractNumId w:val="32"/>
  </w:num>
  <w:num w:numId="28">
    <w:abstractNumId w:val="21"/>
  </w:num>
  <w:num w:numId="29">
    <w:abstractNumId w:val="6"/>
  </w:num>
  <w:num w:numId="30">
    <w:abstractNumId w:val="25"/>
  </w:num>
  <w:num w:numId="31">
    <w:abstractNumId w:val="40"/>
  </w:num>
  <w:num w:numId="32">
    <w:abstractNumId w:val="29"/>
  </w:num>
  <w:num w:numId="33">
    <w:abstractNumId w:val="8"/>
  </w:num>
  <w:num w:numId="34">
    <w:abstractNumId w:val="31"/>
  </w:num>
  <w:num w:numId="35">
    <w:abstractNumId w:val="27"/>
  </w:num>
  <w:num w:numId="36">
    <w:abstractNumId w:val="27"/>
  </w:num>
  <w:num w:numId="37">
    <w:abstractNumId w:val="27"/>
  </w:num>
  <w:num w:numId="38">
    <w:abstractNumId w:val="27"/>
  </w:num>
  <w:num w:numId="39">
    <w:abstractNumId w:val="42"/>
  </w:num>
  <w:num w:numId="40">
    <w:abstractNumId w:val="30"/>
  </w:num>
  <w:num w:numId="41">
    <w:abstractNumId w:val="27"/>
  </w:num>
  <w:num w:numId="42">
    <w:abstractNumId w:val="39"/>
  </w:num>
  <w:num w:numId="43">
    <w:abstractNumId w:val="13"/>
  </w:num>
  <w:num w:numId="44">
    <w:abstractNumId w:val="37"/>
  </w:num>
  <w:num w:numId="45">
    <w:abstractNumId w:val="27"/>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918"/>
    <w:rsid w:val="00002A5E"/>
    <w:rsid w:val="000033CA"/>
    <w:rsid w:val="00004DDC"/>
    <w:rsid w:val="0000639C"/>
    <w:rsid w:val="000067FA"/>
    <w:rsid w:val="00007A30"/>
    <w:rsid w:val="000110CC"/>
    <w:rsid w:val="00011988"/>
    <w:rsid w:val="00012987"/>
    <w:rsid w:val="0001386E"/>
    <w:rsid w:val="000139CB"/>
    <w:rsid w:val="00014A44"/>
    <w:rsid w:val="000159AC"/>
    <w:rsid w:val="000205DB"/>
    <w:rsid w:val="00020611"/>
    <w:rsid w:val="0002117B"/>
    <w:rsid w:val="00022304"/>
    <w:rsid w:val="0002409B"/>
    <w:rsid w:val="00024B2F"/>
    <w:rsid w:val="000259E6"/>
    <w:rsid w:val="00026C2D"/>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0189"/>
    <w:rsid w:val="0007280F"/>
    <w:rsid w:val="00074357"/>
    <w:rsid w:val="000746C5"/>
    <w:rsid w:val="00074D97"/>
    <w:rsid w:val="000760AE"/>
    <w:rsid w:val="000763EA"/>
    <w:rsid w:val="000812AE"/>
    <w:rsid w:val="0008330B"/>
    <w:rsid w:val="000854A6"/>
    <w:rsid w:val="00090D6B"/>
    <w:rsid w:val="000910A7"/>
    <w:rsid w:val="00094E2D"/>
    <w:rsid w:val="00096F76"/>
    <w:rsid w:val="000A0C5F"/>
    <w:rsid w:val="000A0D22"/>
    <w:rsid w:val="000A5E95"/>
    <w:rsid w:val="000B1C66"/>
    <w:rsid w:val="000B29B2"/>
    <w:rsid w:val="000B58BD"/>
    <w:rsid w:val="000B5C9F"/>
    <w:rsid w:val="000C2484"/>
    <w:rsid w:val="000C2E05"/>
    <w:rsid w:val="000C5EC7"/>
    <w:rsid w:val="000C68BF"/>
    <w:rsid w:val="000C7166"/>
    <w:rsid w:val="000C7C2B"/>
    <w:rsid w:val="000E3186"/>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0E8"/>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7721C"/>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16CD4"/>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1FE1"/>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57"/>
    <w:rsid w:val="0028697F"/>
    <w:rsid w:val="00286F62"/>
    <w:rsid w:val="002876FE"/>
    <w:rsid w:val="00290FC2"/>
    <w:rsid w:val="00293573"/>
    <w:rsid w:val="002A08BF"/>
    <w:rsid w:val="002A111C"/>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11DF"/>
    <w:rsid w:val="002D2841"/>
    <w:rsid w:val="002D3A27"/>
    <w:rsid w:val="002E05A6"/>
    <w:rsid w:val="002E0DBC"/>
    <w:rsid w:val="002E4B8D"/>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99C"/>
    <w:rsid w:val="00346A23"/>
    <w:rsid w:val="00347685"/>
    <w:rsid w:val="00347DB3"/>
    <w:rsid w:val="00353191"/>
    <w:rsid w:val="003550DB"/>
    <w:rsid w:val="00357C0E"/>
    <w:rsid w:val="00357E6F"/>
    <w:rsid w:val="003627B1"/>
    <w:rsid w:val="003631FE"/>
    <w:rsid w:val="00363D74"/>
    <w:rsid w:val="003642C5"/>
    <w:rsid w:val="003660F6"/>
    <w:rsid w:val="00366F85"/>
    <w:rsid w:val="003729F0"/>
    <w:rsid w:val="00373767"/>
    <w:rsid w:val="0037526E"/>
    <w:rsid w:val="00376922"/>
    <w:rsid w:val="00376FF7"/>
    <w:rsid w:val="00380F39"/>
    <w:rsid w:val="00386338"/>
    <w:rsid w:val="00386706"/>
    <w:rsid w:val="003874EB"/>
    <w:rsid w:val="003908EB"/>
    <w:rsid w:val="00390BC3"/>
    <w:rsid w:val="0039193D"/>
    <w:rsid w:val="00396B62"/>
    <w:rsid w:val="003978E9"/>
    <w:rsid w:val="003A0CDA"/>
    <w:rsid w:val="003A199A"/>
    <w:rsid w:val="003A1B63"/>
    <w:rsid w:val="003A2309"/>
    <w:rsid w:val="003A2C48"/>
    <w:rsid w:val="003A4DD7"/>
    <w:rsid w:val="003A7C44"/>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8E1"/>
    <w:rsid w:val="00426AB4"/>
    <w:rsid w:val="00427A64"/>
    <w:rsid w:val="0043067F"/>
    <w:rsid w:val="004324B4"/>
    <w:rsid w:val="00442EDE"/>
    <w:rsid w:val="00447BEA"/>
    <w:rsid w:val="00447F11"/>
    <w:rsid w:val="0045279B"/>
    <w:rsid w:val="00453EE6"/>
    <w:rsid w:val="00461688"/>
    <w:rsid w:val="00466CA2"/>
    <w:rsid w:val="00470A2A"/>
    <w:rsid w:val="004757FC"/>
    <w:rsid w:val="00475C8B"/>
    <w:rsid w:val="00476F39"/>
    <w:rsid w:val="004771C4"/>
    <w:rsid w:val="0047732F"/>
    <w:rsid w:val="004773CC"/>
    <w:rsid w:val="00480506"/>
    <w:rsid w:val="00480E50"/>
    <w:rsid w:val="00484032"/>
    <w:rsid w:val="004900A1"/>
    <w:rsid w:val="004909B0"/>
    <w:rsid w:val="0049625F"/>
    <w:rsid w:val="004A1958"/>
    <w:rsid w:val="004A225E"/>
    <w:rsid w:val="004A2D0B"/>
    <w:rsid w:val="004A31F5"/>
    <w:rsid w:val="004A4371"/>
    <w:rsid w:val="004B0F90"/>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4B51"/>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0067"/>
    <w:rsid w:val="005D1BA7"/>
    <w:rsid w:val="005D2362"/>
    <w:rsid w:val="005E2029"/>
    <w:rsid w:val="005E29A1"/>
    <w:rsid w:val="005E2AA5"/>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041"/>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4175"/>
    <w:rsid w:val="006754B9"/>
    <w:rsid w:val="00676B03"/>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4363"/>
    <w:rsid w:val="006D50D6"/>
    <w:rsid w:val="006D6196"/>
    <w:rsid w:val="006D64A7"/>
    <w:rsid w:val="006D7362"/>
    <w:rsid w:val="006E28A2"/>
    <w:rsid w:val="006E5B51"/>
    <w:rsid w:val="006E5FFB"/>
    <w:rsid w:val="006E6A0D"/>
    <w:rsid w:val="006F0298"/>
    <w:rsid w:val="006F098A"/>
    <w:rsid w:val="006F0C06"/>
    <w:rsid w:val="006F490F"/>
    <w:rsid w:val="006F6878"/>
    <w:rsid w:val="006F6F85"/>
    <w:rsid w:val="007003CC"/>
    <w:rsid w:val="00702C1F"/>
    <w:rsid w:val="00703358"/>
    <w:rsid w:val="00704A4D"/>
    <w:rsid w:val="00706FCC"/>
    <w:rsid w:val="007110A9"/>
    <w:rsid w:val="007145F1"/>
    <w:rsid w:val="007160DB"/>
    <w:rsid w:val="00717A58"/>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5E91"/>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2A3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2E74"/>
    <w:rsid w:val="00934359"/>
    <w:rsid w:val="009448C5"/>
    <w:rsid w:val="0094512F"/>
    <w:rsid w:val="00951437"/>
    <w:rsid w:val="00951FEC"/>
    <w:rsid w:val="0095345B"/>
    <w:rsid w:val="009572E2"/>
    <w:rsid w:val="009639E3"/>
    <w:rsid w:val="00964906"/>
    <w:rsid w:val="00965F55"/>
    <w:rsid w:val="00970943"/>
    <w:rsid w:val="00970C86"/>
    <w:rsid w:val="00971A11"/>
    <w:rsid w:val="009738CD"/>
    <w:rsid w:val="00974E53"/>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B11EA"/>
    <w:rsid w:val="009B317C"/>
    <w:rsid w:val="009C16CA"/>
    <w:rsid w:val="009C2B62"/>
    <w:rsid w:val="009C2FAC"/>
    <w:rsid w:val="009C3578"/>
    <w:rsid w:val="009C3DAF"/>
    <w:rsid w:val="009D08E6"/>
    <w:rsid w:val="009D12CD"/>
    <w:rsid w:val="009D29AF"/>
    <w:rsid w:val="009D7801"/>
    <w:rsid w:val="009E2289"/>
    <w:rsid w:val="009E22EF"/>
    <w:rsid w:val="009E38B3"/>
    <w:rsid w:val="009E46E8"/>
    <w:rsid w:val="009E7CA6"/>
    <w:rsid w:val="009F0DAB"/>
    <w:rsid w:val="00A02D70"/>
    <w:rsid w:val="00A03D60"/>
    <w:rsid w:val="00A04242"/>
    <w:rsid w:val="00A055F2"/>
    <w:rsid w:val="00A06EEA"/>
    <w:rsid w:val="00A07797"/>
    <w:rsid w:val="00A07BA2"/>
    <w:rsid w:val="00A11943"/>
    <w:rsid w:val="00A126CF"/>
    <w:rsid w:val="00A13177"/>
    <w:rsid w:val="00A13D9D"/>
    <w:rsid w:val="00A14A12"/>
    <w:rsid w:val="00A150ED"/>
    <w:rsid w:val="00A163C2"/>
    <w:rsid w:val="00A203DA"/>
    <w:rsid w:val="00A2190A"/>
    <w:rsid w:val="00A26DB5"/>
    <w:rsid w:val="00A2754C"/>
    <w:rsid w:val="00A3180D"/>
    <w:rsid w:val="00A33F0B"/>
    <w:rsid w:val="00A3467E"/>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0BB4"/>
    <w:rsid w:val="00B23541"/>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4BE"/>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2BF"/>
    <w:rsid w:val="00C1747F"/>
    <w:rsid w:val="00C25BEE"/>
    <w:rsid w:val="00C26F1C"/>
    <w:rsid w:val="00C35941"/>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2C22"/>
    <w:rsid w:val="00CD3EE5"/>
    <w:rsid w:val="00CD4D5D"/>
    <w:rsid w:val="00CE2942"/>
    <w:rsid w:val="00CE43E0"/>
    <w:rsid w:val="00CE650D"/>
    <w:rsid w:val="00CF09E4"/>
    <w:rsid w:val="00CF199D"/>
    <w:rsid w:val="00CF1A9E"/>
    <w:rsid w:val="00CF67E4"/>
    <w:rsid w:val="00CF7B6A"/>
    <w:rsid w:val="00CF7DAD"/>
    <w:rsid w:val="00D01126"/>
    <w:rsid w:val="00D01AED"/>
    <w:rsid w:val="00D02587"/>
    <w:rsid w:val="00D03382"/>
    <w:rsid w:val="00D038AC"/>
    <w:rsid w:val="00D056A2"/>
    <w:rsid w:val="00D05E47"/>
    <w:rsid w:val="00D10BD3"/>
    <w:rsid w:val="00D12A9F"/>
    <w:rsid w:val="00D14D5C"/>
    <w:rsid w:val="00D178E0"/>
    <w:rsid w:val="00D21E06"/>
    <w:rsid w:val="00D2266D"/>
    <w:rsid w:val="00D23214"/>
    <w:rsid w:val="00D32B32"/>
    <w:rsid w:val="00D32B6E"/>
    <w:rsid w:val="00D336B8"/>
    <w:rsid w:val="00D353B7"/>
    <w:rsid w:val="00D364E6"/>
    <w:rsid w:val="00D37BAC"/>
    <w:rsid w:val="00D42A06"/>
    <w:rsid w:val="00D440C9"/>
    <w:rsid w:val="00D44A45"/>
    <w:rsid w:val="00D463B4"/>
    <w:rsid w:val="00D47B67"/>
    <w:rsid w:val="00D5114F"/>
    <w:rsid w:val="00D523C8"/>
    <w:rsid w:val="00D52D6C"/>
    <w:rsid w:val="00D53F84"/>
    <w:rsid w:val="00D56B05"/>
    <w:rsid w:val="00D62E47"/>
    <w:rsid w:val="00D64701"/>
    <w:rsid w:val="00D65EE1"/>
    <w:rsid w:val="00D670B9"/>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DF4E95"/>
    <w:rsid w:val="00DF6BD0"/>
    <w:rsid w:val="00E00615"/>
    <w:rsid w:val="00E023BF"/>
    <w:rsid w:val="00E024D2"/>
    <w:rsid w:val="00E030C9"/>
    <w:rsid w:val="00E044BC"/>
    <w:rsid w:val="00E05439"/>
    <w:rsid w:val="00E05F1D"/>
    <w:rsid w:val="00E074E6"/>
    <w:rsid w:val="00E10534"/>
    <w:rsid w:val="00E13CFC"/>
    <w:rsid w:val="00E14310"/>
    <w:rsid w:val="00E204CF"/>
    <w:rsid w:val="00E20D35"/>
    <w:rsid w:val="00E22084"/>
    <w:rsid w:val="00E22767"/>
    <w:rsid w:val="00E240D9"/>
    <w:rsid w:val="00E25C2D"/>
    <w:rsid w:val="00E26709"/>
    <w:rsid w:val="00E2791D"/>
    <w:rsid w:val="00E333FC"/>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756F4"/>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3B3D"/>
    <w:rsid w:val="00F16205"/>
    <w:rsid w:val="00F172D8"/>
    <w:rsid w:val="00F2043B"/>
    <w:rsid w:val="00F25A8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04E0"/>
    <w:rsid w:val="00F520E3"/>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2AB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5B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2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F6BD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717A58"/>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1">
    <w:name w:val="Light List Accent 1"/>
    <w:basedOn w:val="TableNormal"/>
    <w:uiPriority w:val="61"/>
    <w:rsid w:val="00717A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next w:val="LightList-Accent1"/>
    <w:uiPriority w:val="61"/>
    <w:rsid w:val="00717A58"/>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velB1">
    <w:name w:val="Level B1"/>
    <w:basedOn w:val="Heading1"/>
    <w:next w:val="Normal"/>
    <w:rsid w:val="00E756F4"/>
    <w:pPr>
      <w:keepNext w:val="0"/>
      <w:numPr>
        <w:numId w:val="30"/>
      </w:numPr>
      <w:tabs>
        <w:tab w:val="clear" w:pos="720"/>
        <w:tab w:val="clear" w:pos="851"/>
        <w:tab w:val="num" w:pos="900"/>
      </w:tabs>
      <w:adjustRightInd/>
      <w:spacing w:before="60" w:after="60"/>
      <w:ind w:left="900" w:hanging="540"/>
    </w:pPr>
    <w:rPr>
      <w:rFonts w:eastAsia="Arial"/>
      <w:bCs/>
      <w:caps w:val="0"/>
      <w:color w:val="auto"/>
      <w:kern w:val="32"/>
      <w:sz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2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F6BD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717A58"/>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1">
    <w:name w:val="Light List Accent 1"/>
    <w:basedOn w:val="TableNormal"/>
    <w:uiPriority w:val="61"/>
    <w:rsid w:val="00717A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next w:val="LightList-Accent1"/>
    <w:uiPriority w:val="61"/>
    <w:rsid w:val="00717A58"/>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velB1">
    <w:name w:val="Level B1"/>
    <w:basedOn w:val="Heading1"/>
    <w:next w:val="Normal"/>
    <w:rsid w:val="00E756F4"/>
    <w:pPr>
      <w:keepNext w:val="0"/>
      <w:numPr>
        <w:numId w:val="30"/>
      </w:numPr>
      <w:tabs>
        <w:tab w:val="clear" w:pos="720"/>
        <w:tab w:val="clear" w:pos="851"/>
        <w:tab w:val="num" w:pos="900"/>
      </w:tabs>
      <w:adjustRightInd/>
      <w:spacing w:before="60" w:after="60"/>
      <w:ind w:left="900" w:hanging="540"/>
    </w:pPr>
    <w:rPr>
      <w:rFonts w:eastAsia="Arial"/>
      <w:bCs/>
      <w:caps w:val="0"/>
      <w:color w:val="auto"/>
      <w:kern w:val="32"/>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01.png@01D1D1ED.B2703F1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24A6-B2E5-45F3-81DE-8A67DEA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172</TotalTime>
  <Pages>24</Pages>
  <Words>5547</Words>
  <Characters>31048</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36522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Thomas, Suzanne</cp:lastModifiedBy>
  <cp:revision>12</cp:revision>
  <cp:lastPrinted>2016-11-23T12:08:00Z</cp:lastPrinted>
  <dcterms:created xsi:type="dcterms:W3CDTF">2016-10-21T10:28:00Z</dcterms:created>
  <dcterms:modified xsi:type="dcterms:W3CDTF">2016-11-25T10:41:00Z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_AdHocReviewCycleID">
    <vt:i4>-1615085006</vt:i4>
  </property>
  <property fmtid="{D5CDD505-2E9C-101B-9397-08002B2CF9AE}" pid="13" name="_NewReviewCycle">
    <vt:lpwstr/>
  </property>
  <property fmtid="{D5CDD505-2E9C-101B-9397-08002B2CF9AE}" pid="14" name="_EmailSubject">
    <vt:lpwstr>ICC Contract</vt:lpwstr>
  </property>
  <property fmtid="{D5CDD505-2E9C-101B-9397-08002B2CF9AE}" pid="15" name="_AuthorEmail">
    <vt:lpwstr>MATT.HORLOCK@DWP.GSI.GOV.UK</vt:lpwstr>
  </property>
  <property fmtid="{D5CDD505-2E9C-101B-9397-08002B2CF9AE}" pid="16" name="_AuthorEmailDisplayName">
    <vt:lpwstr>Horlock Matt DWP DH LEGAL SERVICES</vt:lpwstr>
  </property>
  <property fmtid="{D5CDD505-2E9C-101B-9397-08002B2CF9AE}" pid="17" name="_ReviewingToolsShownOnce">
    <vt:lpwstr/>
  </property>
</Properties>
</file>