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855" w:rsidRDefault="00A767F1" w:rsidP="008D4855">
      <w:pPr>
        <w:pStyle w:val="Heading1"/>
        <w:keepNext w:val="0"/>
        <w:spacing w:after="300"/>
        <w:ind w:right="0"/>
        <w:rPr>
          <w:sz w:val="22"/>
          <w:szCs w:val="22"/>
        </w:rPr>
      </w:pPr>
      <w:r>
        <w:rPr>
          <w:sz w:val="22"/>
          <w:szCs w:val="22"/>
        </w:rPr>
        <w:t>TCA 3/710</w:t>
      </w:r>
      <w:r w:rsidR="000375BD">
        <w:rPr>
          <w:sz w:val="22"/>
          <w:szCs w:val="22"/>
        </w:rPr>
        <w:t>47</w:t>
      </w:r>
    </w:p>
    <w:p w:rsidR="0016292A" w:rsidRPr="0016292A" w:rsidRDefault="0016292A" w:rsidP="0016292A">
      <w:pPr>
        <w:jc w:val="center"/>
        <w:rPr>
          <w:rFonts w:ascii="Arial" w:hAnsi="Arial" w:cs="Arial"/>
          <w:b/>
          <w:sz w:val="24"/>
          <w:szCs w:val="24"/>
          <w:lang w:eastAsia="en-GB"/>
        </w:rPr>
      </w:pPr>
      <w:r w:rsidRPr="0016292A">
        <w:rPr>
          <w:rFonts w:ascii="Arial" w:hAnsi="Arial" w:cs="Arial"/>
          <w:b/>
          <w:sz w:val="24"/>
          <w:szCs w:val="24"/>
          <w:lang w:eastAsia="en-GB"/>
        </w:rPr>
        <w:t xml:space="preserve">Procurement </w:t>
      </w:r>
      <w:proofErr w:type="gramStart"/>
      <w:r w:rsidRPr="0016292A">
        <w:rPr>
          <w:rFonts w:ascii="Arial" w:hAnsi="Arial" w:cs="Arial"/>
          <w:b/>
          <w:sz w:val="24"/>
          <w:szCs w:val="24"/>
          <w:lang w:eastAsia="en-GB"/>
        </w:rPr>
        <w:t>Of</w:t>
      </w:r>
      <w:proofErr w:type="gramEnd"/>
      <w:r w:rsidRPr="0016292A">
        <w:rPr>
          <w:rFonts w:ascii="Arial" w:hAnsi="Arial" w:cs="Arial"/>
          <w:b/>
          <w:sz w:val="24"/>
          <w:szCs w:val="24"/>
          <w:lang w:eastAsia="en-GB"/>
        </w:rPr>
        <w:t xml:space="preserve"> Market Research Services to the MCA</w:t>
      </w:r>
    </w:p>
    <w:p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rsidR="008D4855" w:rsidRPr="008D4855" w:rsidRDefault="008D4855" w:rsidP="008D4855">
      <w:pPr>
        <w:keepLines/>
        <w:suppressLineNumbers/>
        <w:suppressAutoHyphens/>
        <w:spacing w:before="120" w:after="120"/>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rsidR="008D4855" w:rsidRDefault="008D4855" w:rsidP="008D4855">
      <w:pPr>
        <w:pStyle w:val="DfTLevel1"/>
        <w:keepLines/>
        <w:numPr>
          <w:ilvl w:val="0"/>
          <w:numId w:val="5"/>
        </w:numPr>
        <w:suppressLineNumbers/>
        <w:spacing w:before="120" w:after="120"/>
        <w:jc w:val="both"/>
        <w:rPr>
          <w:rFonts w:cs="Arial"/>
          <w:sz w:val="22"/>
          <w:szCs w:val="22"/>
        </w:rPr>
      </w:pPr>
      <w:r w:rsidRPr="008D4855">
        <w:rPr>
          <w:rFonts w:cs="Arial"/>
          <w:sz w:val="22"/>
          <w:szCs w:val="22"/>
        </w:rPr>
        <w:t xml:space="preserve">The decision not to submit a Tender should be indicated by </w:t>
      </w:r>
      <w:r w:rsidRPr="008D4855">
        <w:rPr>
          <w:rFonts w:cs="Arial"/>
          <w:b/>
          <w:sz w:val="22"/>
          <w:szCs w:val="22"/>
        </w:rPr>
        <w:t xml:space="preserve">e-mail </w:t>
      </w:r>
      <w:r>
        <w:rPr>
          <w:rFonts w:cs="Arial"/>
          <w:sz w:val="22"/>
          <w:szCs w:val="22"/>
        </w:rPr>
        <w:t xml:space="preserve">to </w:t>
      </w:r>
      <w:hyperlink r:id="rId7" w:history="1">
        <w:r w:rsidRPr="008D4855">
          <w:rPr>
            <w:rStyle w:val="Hyperlink"/>
            <w:rFonts w:cs="Arial"/>
            <w:sz w:val="22"/>
            <w:szCs w:val="22"/>
          </w:rPr>
          <w:t>contracts@mcga.gov.uk</w:t>
        </w:r>
      </w:hyperlink>
      <w:r w:rsidRPr="008D4855">
        <w:rPr>
          <w:rFonts w:cs="Arial"/>
          <w:b/>
          <w:sz w:val="22"/>
          <w:szCs w:val="22"/>
          <w:u w:val="single"/>
        </w:rPr>
        <w:t>.</w:t>
      </w:r>
      <w:r w:rsidRPr="008D4855">
        <w:rPr>
          <w:rFonts w:cs="Arial"/>
          <w:sz w:val="22"/>
          <w:szCs w:val="22"/>
        </w:rPr>
        <w:t xml:space="preserve"> If you are willing to state your reasons this would be appreciated and may help to inform us on future procurement exercises.</w:t>
      </w:r>
    </w:p>
    <w:p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 xml:space="preserve">This contract has been advertised on the </w:t>
      </w:r>
      <w:r w:rsidR="005E26F2">
        <w:rPr>
          <w:rFonts w:cs="Arial"/>
          <w:sz w:val="22"/>
          <w:szCs w:val="22"/>
        </w:rPr>
        <w:t>Contracts Finder Web site</w:t>
      </w:r>
      <w:r>
        <w:rPr>
          <w:rFonts w:cs="Arial"/>
          <w:sz w:val="22"/>
          <w:szCs w:val="22"/>
        </w:rPr>
        <w:t xml:space="preserve">, and all communications with tenderers during the process will, as far as possible, take place via that </w:t>
      </w:r>
      <w:proofErr w:type="spellStart"/>
      <w:r w:rsidR="005E26F2">
        <w:rPr>
          <w:rFonts w:cs="Arial"/>
          <w:sz w:val="22"/>
          <w:szCs w:val="22"/>
        </w:rPr>
        <w:t>site</w:t>
      </w:r>
      <w:r>
        <w:rPr>
          <w:rFonts w:cs="Arial"/>
          <w:sz w:val="22"/>
          <w:szCs w:val="22"/>
        </w:rPr>
        <w:t>l</w:t>
      </w:r>
      <w:proofErr w:type="spellEnd"/>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8"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w:t>
      </w:r>
      <w:r w:rsidR="00DA3D02">
        <w:rPr>
          <w:rFonts w:cs="Arial"/>
          <w:sz w:val="22"/>
          <w:szCs w:val="22"/>
        </w:rPr>
        <w:t>and questions is by</w:t>
      </w:r>
      <w:r>
        <w:rPr>
          <w:rFonts w:cs="Arial"/>
          <w:sz w:val="22"/>
          <w:szCs w:val="22"/>
        </w:rPr>
        <w:t xml:space="preserve"> </w:t>
      </w:r>
      <w:r w:rsidR="00CA37B1" w:rsidRPr="005E013A">
        <w:rPr>
          <w:rFonts w:cs="Arial"/>
          <w:b/>
          <w:sz w:val="22"/>
          <w:szCs w:val="22"/>
        </w:rPr>
        <w:t>COP on</w:t>
      </w:r>
      <w:r w:rsidRPr="005E013A">
        <w:rPr>
          <w:rFonts w:cs="Arial"/>
          <w:b/>
          <w:sz w:val="22"/>
          <w:szCs w:val="22"/>
        </w:rPr>
        <w:t xml:space="preserve"> </w:t>
      </w:r>
      <w:r w:rsidR="005E26F2" w:rsidRPr="005E013A">
        <w:rPr>
          <w:rFonts w:cs="Arial"/>
          <w:b/>
          <w:sz w:val="22"/>
          <w:szCs w:val="22"/>
        </w:rPr>
        <w:t>Wednesday</w:t>
      </w:r>
      <w:r w:rsidR="005E013A">
        <w:rPr>
          <w:rFonts w:cs="Arial"/>
          <w:b/>
          <w:sz w:val="22"/>
          <w:szCs w:val="22"/>
        </w:rPr>
        <w:t xml:space="preserve"> 1</w:t>
      </w:r>
      <w:r w:rsidR="005E013A" w:rsidRPr="005E013A">
        <w:rPr>
          <w:rFonts w:cs="Arial"/>
          <w:b/>
          <w:sz w:val="22"/>
          <w:szCs w:val="22"/>
        </w:rPr>
        <w:t>1th July</w:t>
      </w:r>
      <w:r w:rsidR="000375BD" w:rsidRPr="005E013A">
        <w:rPr>
          <w:rFonts w:cs="Arial"/>
          <w:b/>
          <w:sz w:val="22"/>
          <w:szCs w:val="22"/>
        </w:rPr>
        <w:t xml:space="preserve"> 2018</w:t>
      </w:r>
      <w:r w:rsidRPr="005E013A">
        <w:rPr>
          <w:rFonts w:cs="Arial"/>
          <w:sz w:val="22"/>
          <w:szCs w:val="22"/>
        </w:rPr>
        <w:t xml:space="preserve">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The MCA will inform all tenderers individually </w:t>
      </w:r>
      <w:proofErr w:type="gramStart"/>
      <w:r>
        <w:rPr>
          <w:rFonts w:cs="Arial"/>
          <w:sz w:val="22"/>
          <w:szCs w:val="22"/>
        </w:rPr>
        <w:t>whether or not</w:t>
      </w:r>
      <w:proofErr w:type="gramEnd"/>
      <w:r>
        <w:rPr>
          <w:rFonts w:cs="Arial"/>
          <w:sz w:val="22"/>
          <w:szCs w:val="22"/>
        </w:rPr>
        <w:t xml:space="preserve"> they have been successful in the tendering process.</w:t>
      </w:r>
    </w:p>
    <w:p w:rsid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w:t>
      </w:r>
      <w:proofErr w:type="spellStart"/>
      <w:r w:rsidR="00463459">
        <w:rPr>
          <w:rFonts w:cs="Arial"/>
          <w:sz w:val="22"/>
          <w:szCs w:val="22"/>
        </w:rPr>
        <w:t>eTender</w:t>
      </w:r>
      <w:proofErr w:type="spellEnd"/>
      <w:r w:rsidR="00463459">
        <w:rPr>
          <w:rFonts w:cs="Arial"/>
          <w:sz w:val="22"/>
          <w:szCs w:val="22"/>
        </w:rPr>
        <w:t xml:space="preserve">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7F5A2D">
        <w:rPr>
          <w:rFonts w:cs="Arial"/>
          <w:b/>
          <w:color w:val="FF0000"/>
          <w:sz w:val="22"/>
          <w:szCs w:val="22"/>
        </w:rPr>
        <w:t>1</w:t>
      </w:r>
      <w:r w:rsidR="00A767F1">
        <w:rPr>
          <w:rFonts w:cs="Arial"/>
          <w:b/>
          <w:color w:val="FF0000"/>
          <w:sz w:val="22"/>
          <w:szCs w:val="22"/>
        </w:rPr>
        <w:t>1</w:t>
      </w:r>
      <w:r w:rsidR="002F58F0">
        <w:rPr>
          <w:rFonts w:cs="Arial"/>
          <w:b/>
          <w:color w:val="FF0000"/>
          <w:sz w:val="22"/>
          <w:szCs w:val="22"/>
        </w:rPr>
        <w:t xml:space="preserve"> </w:t>
      </w:r>
      <w:r w:rsidR="00A767F1">
        <w:rPr>
          <w:rFonts w:cs="Arial"/>
          <w:b/>
          <w:color w:val="FF0000"/>
          <w:sz w:val="22"/>
          <w:szCs w:val="22"/>
        </w:rPr>
        <w:t>a.m.</w:t>
      </w:r>
      <w:r w:rsidRPr="007F5A2D">
        <w:rPr>
          <w:rFonts w:cs="Arial"/>
          <w:b/>
          <w:color w:val="FF0000"/>
          <w:sz w:val="22"/>
          <w:szCs w:val="22"/>
        </w:rPr>
        <w:t xml:space="preserve"> on </w:t>
      </w:r>
      <w:r w:rsidR="005E013A">
        <w:rPr>
          <w:rFonts w:cs="Arial"/>
          <w:b/>
          <w:color w:val="FF0000"/>
          <w:sz w:val="22"/>
          <w:szCs w:val="22"/>
        </w:rPr>
        <w:t xml:space="preserve">Monday </w:t>
      </w:r>
      <w:r w:rsidR="002F58F0">
        <w:rPr>
          <w:rFonts w:cs="Arial"/>
          <w:b/>
          <w:color w:val="FF0000"/>
          <w:sz w:val="22"/>
          <w:szCs w:val="22"/>
        </w:rPr>
        <w:t xml:space="preserve">Friday </w:t>
      </w:r>
      <w:r w:rsidR="005E013A">
        <w:rPr>
          <w:rFonts w:cs="Arial"/>
          <w:b/>
          <w:color w:val="FF0000"/>
          <w:sz w:val="22"/>
          <w:szCs w:val="22"/>
        </w:rPr>
        <w:t>16th</w:t>
      </w:r>
      <w:r w:rsidRPr="007F5A2D">
        <w:rPr>
          <w:rFonts w:cs="Arial"/>
          <w:b/>
          <w:color w:val="FF0000"/>
          <w:sz w:val="22"/>
          <w:szCs w:val="22"/>
        </w:rPr>
        <w:t xml:space="preserve"> </w:t>
      </w:r>
      <w:r w:rsidR="000375BD">
        <w:rPr>
          <w:rFonts w:cs="Arial"/>
          <w:b/>
          <w:color w:val="FF0000"/>
          <w:sz w:val="22"/>
          <w:szCs w:val="22"/>
        </w:rPr>
        <w:t>Ju</w:t>
      </w:r>
      <w:r w:rsidR="005E013A">
        <w:rPr>
          <w:rFonts w:cs="Arial"/>
          <w:b/>
          <w:color w:val="FF0000"/>
          <w:sz w:val="22"/>
          <w:szCs w:val="22"/>
        </w:rPr>
        <w:t>ly</w:t>
      </w:r>
      <w:r w:rsidR="000375BD">
        <w:rPr>
          <w:rFonts w:cs="Arial"/>
          <w:b/>
          <w:color w:val="FF0000"/>
          <w:sz w:val="22"/>
          <w:szCs w:val="22"/>
        </w:rPr>
        <w:t xml:space="preserve"> 2018</w:t>
      </w:r>
      <w:r w:rsidRPr="007F5A2D">
        <w:rPr>
          <w:rFonts w:cs="Arial"/>
          <w:color w:val="FF0000"/>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rsidR="008D4855" w:rsidRPr="008D4855" w:rsidRDefault="008D4855" w:rsidP="008D4855">
      <w:pPr>
        <w:spacing w:after="0"/>
        <w:ind w:left="735" w:hanging="735"/>
        <w:jc w:val="both"/>
        <w:rPr>
          <w:rFonts w:ascii="Arial" w:hAnsi="Arial" w:cs="Arial"/>
        </w:rPr>
      </w:pPr>
    </w:p>
    <w:p w:rsidR="008D4855" w:rsidRDefault="008D4855" w:rsidP="008D4855">
      <w:pPr>
        <w:pStyle w:val="ListParagraph"/>
        <w:numPr>
          <w:ilvl w:val="0"/>
          <w:numId w:val="1"/>
        </w:numPr>
        <w:spacing w:after="0" w:line="240" w:lineRule="auto"/>
        <w:ind w:left="1134" w:hanging="425"/>
        <w:jc w:val="both"/>
        <w:rPr>
          <w:rFonts w:ascii="Arial" w:hAnsi="Arial" w:cs="Arial"/>
        </w:rPr>
      </w:pPr>
      <w:r w:rsidRPr="008D4855">
        <w:rPr>
          <w:rFonts w:ascii="Arial" w:hAnsi="Arial" w:cs="Arial"/>
        </w:rPr>
        <w:t>The MCA’s Form of Tender, signed and dated by an authorised representative of the tendering organisation;</w:t>
      </w:r>
    </w:p>
    <w:p w:rsidR="001839D4" w:rsidRPr="008D4855" w:rsidRDefault="001839D4" w:rsidP="001839D4">
      <w:pPr>
        <w:pStyle w:val="ListParagraph"/>
        <w:spacing w:after="0" w:line="240" w:lineRule="auto"/>
        <w:ind w:left="1134"/>
        <w:jc w:val="both"/>
        <w:rPr>
          <w:rFonts w:ascii="Arial" w:hAnsi="Arial" w:cs="Arial"/>
        </w:rPr>
      </w:pPr>
    </w:p>
    <w:p w:rsidR="001839D4" w:rsidRPr="001839D4" w:rsidRDefault="00FC464A" w:rsidP="008D4855">
      <w:pPr>
        <w:pStyle w:val="ListParagraph"/>
        <w:numPr>
          <w:ilvl w:val="0"/>
          <w:numId w:val="1"/>
        </w:numPr>
        <w:spacing w:after="0" w:line="240" w:lineRule="auto"/>
        <w:ind w:left="1134"/>
        <w:jc w:val="both"/>
        <w:rPr>
          <w:rFonts w:ascii="Arial" w:eastAsia="Times New Roman" w:hAnsi="Arial" w:cs="Arial"/>
          <w:lang w:val="en-US"/>
        </w:rPr>
      </w:pPr>
      <w:r>
        <w:rPr>
          <w:rFonts w:ascii="Arial" w:eastAsia="Times New Roman" w:hAnsi="Arial" w:cs="Arial"/>
          <w:lang w:val="en-US"/>
        </w:rPr>
        <w:t>A completed Pricing Schedule showing full c</w:t>
      </w:r>
      <w:r w:rsidR="002A6E74">
        <w:rPr>
          <w:rFonts w:ascii="Arial" w:eastAsia="Times New Roman" w:hAnsi="Arial" w:cs="Arial"/>
          <w:lang w:val="en-US"/>
        </w:rPr>
        <w:t xml:space="preserve">osts for your proposed solution. A Pricing schedule is included </w:t>
      </w:r>
      <w:r w:rsidR="001F6364">
        <w:rPr>
          <w:rFonts w:ascii="Arial" w:eastAsia="Times New Roman" w:hAnsi="Arial" w:cs="Arial"/>
          <w:lang w:val="en-US"/>
        </w:rPr>
        <w:t xml:space="preserve">as part of </w:t>
      </w:r>
      <w:r w:rsidR="005E013A">
        <w:rPr>
          <w:rFonts w:ascii="Arial" w:eastAsia="Times New Roman" w:hAnsi="Arial" w:cs="Arial"/>
          <w:lang w:val="en-US"/>
        </w:rPr>
        <w:t xml:space="preserve">specification document </w:t>
      </w:r>
      <w:r w:rsidR="001F6364">
        <w:rPr>
          <w:rFonts w:ascii="Arial" w:eastAsia="Times New Roman" w:hAnsi="Arial" w:cs="Arial"/>
          <w:lang w:val="en-US"/>
        </w:rPr>
        <w:t>as at ANNEX A</w:t>
      </w:r>
    </w:p>
    <w:p w:rsidR="001839D4" w:rsidRPr="001839D4" w:rsidRDefault="001839D4" w:rsidP="001839D4">
      <w:pPr>
        <w:spacing w:after="0" w:line="240" w:lineRule="auto"/>
        <w:jc w:val="both"/>
        <w:rPr>
          <w:rFonts w:ascii="Arial" w:eastAsia="Times New Roman" w:hAnsi="Arial" w:cs="Arial"/>
          <w:lang w:val="en-US"/>
        </w:rPr>
      </w:pPr>
    </w:p>
    <w:p w:rsidR="00FC464A" w:rsidRDefault="00EF0FF8" w:rsidP="00CF2E8C">
      <w:pPr>
        <w:keepLines/>
        <w:numPr>
          <w:ilvl w:val="0"/>
          <w:numId w:val="1"/>
        </w:numPr>
        <w:suppressLineNumbers/>
        <w:suppressAutoHyphens/>
        <w:spacing w:before="120" w:after="0" w:line="240" w:lineRule="auto"/>
        <w:jc w:val="both"/>
        <w:rPr>
          <w:rFonts w:ascii="Arial" w:hAnsi="Arial" w:cs="Arial"/>
        </w:rPr>
      </w:pPr>
      <w:r w:rsidRPr="00656E67">
        <w:rPr>
          <w:rFonts w:ascii="Arial" w:hAnsi="Arial" w:cs="Arial"/>
        </w:rPr>
        <w:t xml:space="preserve">Prospective tenders should respond to </w:t>
      </w:r>
      <w:r w:rsidR="00615E82" w:rsidRPr="00656E67">
        <w:rPr>
          <w:rFonts w:ascii="Arial" w:hAnsi="Arial" w:cs="Arial"/>
        </w:rPr>
        <w:t>each of the specification criteria outlined in section</w:t>
      </w:r>
      <w:r w:rsidRPr="00656E67">
        <w:rPr>
          <w:rFonts w:ascii="Arial" w:hAnsi="Arial" w:cs="Arial"/>
        </w:rPr>
        <w:t xml:space="preserve"> 1</w:t>
      </w:r>
      <w:r w:rsidR="000375BD">
        <w:rPr>
          <w:rFonts w:ascii="Arial" w:hAnsi="Arial" w:cs="Arial"/>
        </w:rPr>
        <w:t>1</w:t>
      </w:r>
      <w:r w:rsidRPr="00656E67">
        <w:rPr>
          <w:rFonts w:ascii="Arial" w:hAnsi="Arial" w:cs="Arial"/>
        </w:rPr>
        <w:t xml:space="preserve"> of the attached specification document. The responses should be clear and concise and address each of the specification ID’s from 1.1 to </w:t>
      </w:r>
      <w:r w:rsidR="000375BD">
        <w:rPr>
          <w:rFonts w:ascii="Arial" w:hAnsi="Arial" w:cs="Arial"/>
        </w:rPr>
        <w:t>2.0</w:t>
      </w:r>
    </w:p>
    <w:p w:rsidR="00032663" w:rsidRDefault="00032663" w:rsidP="00032663">
      <w:pPr>
        <w:pStyle w:val="ListParagraph"/>
        <w:rPr>
          <w:rFonts w:ascii="Arial" w:hAnsi="Arial" w:cs="Arial"/>
        </w:rPr>
      </w:pPr>
    </w:p>
    <w:p w:rsidR="00032663" w:rsidRDefault="00032663" w:rsidP="00032663">
      <w:pPr>
        <w:pStyle w:val="ListParagraph"/>
        <w:numPr>
          <w:ilvl w:val="0"/>
          <w:numId w:val="1"/>
        </w:numPr>
        <w:jc w:val="both"/>
        <w:rPr>
          <w:rFonts w:ascii="Arial" w:hAnsi="Arial" w:cs="Arial"/>
          <w:szCs w:val="24"/>
        </w:rPr>
      </w:pPr>
      <w:r w:rsidRPr="00032663">
        <w:rPr>
          <w:rFonts w:ascii="Arial" w:hAnsi="Arial" w:cs="Arial"/>
          <w:szCs w:val="24"/>
        </w:rPr>
        <w:t xml:space="preserve">Indications of levels of compliance and ability to meet the full set of requirements will therefore be required. You should provide a well-presented, easy to understand proposal, providing relevant and appropriate information demonstrating your understanding of the requirement. </w:t>
      </w:r>
    </w:p>
    <w:p w:rsidR="000375BD" w:rsidRPr="000375BD" w:rsidRDefault="000375BD" w:rsidP="000375BD">
      <w:pPr>
        <w:pStyle w:val="ListParagraph"/>
        <w:rPr>
          <w:rFonts w:ascii="Arial" w:hAnsi="Arial" w:cs="Arial"/>
          <w:szCs w:val="24"/>
        </w:rPr>
      </w:pPr>
    </w:p>
    <w:p w:rsidR="00C05B04" w:rsidRPr="00C05B04" w:rsidRDefault="001839D4" w:rsidP="00C05B04">
      <w:pPr>
        <w:pStyle w:val="ListParagraph"/>
        <w:numPr>
          <w:ilvl w:val="0"/>
          <w:numId w:val="1"/>
        </w:numPr>
        <w:spacing w:after="0" w:line="240" w:lineRule="auto"/>
        <w:jc w:val="both"/>
        <w:rPr>
          <w:rFonts w:ascii="Arial" w:hAnsi="Arial" w:cs="Arial"/>
        </w:rPr>
      </w:pPr>
      <w:r w:rsidRPr="00463459">
        <w:rPr>
          <w:rFonts w:ascii="Arial" w:hAnsi="Arial" w:cs="Arial"/>
        </w:rPr>
        <w:t xml:space="preserve">A statement of how your proposed </w:t>
      </w:r>
      <w:r w:rsidR="00FC464A" w:rsidRPr="00463459">
        <w:rPr>
          <w:rFonts w:ascii="Arial" w:hAnsi="Arial" w:cs="Arial"/>
        </w:rPr>
        <w:t>solution</w:t>
      </w:r>
      <w:r w:rsidRPr="00463459">
        <w:rPr>
          <w:rFonts w:ascii="Arial" w:hAnsi="Arial" w:cs="Arial"/>
        </w:rPr>
        <w:t xml:space="preserve"> promotes sustainable procurement, as set out in section </w:t>
      </w:r>
      <w:r w:rsidRPr="00656E67">
        <w:rPr>
          <w:rFonts w:ascii="Arial" w:hAnsi="Arial" w:cs="Arial"/>
        </w:rPr>
        <w:t>1</w:t>
      </w:r>
      <w:r w:rsidR="000375BD">
        <w:rPr>
          <w:rFonts w:ascii="Arial" w:hAnsi="Arial" w:cs="Arial"/>
        </w:rPr>
        <w:t>0</w:t>
      </w:r>
      <w:r w:rsidRPr="00656E67">
        <w:rPr>
          <w:rFonts w:ascii="Arial" w:hAnsi="Arial" w:cs="Arial"/>
        </w:rPr>
        <w:t xml:space="preserve"> of the specification</w:t>
      </w:r>
      <w:r w:rsidR="00463459" w:rsidRPr="00463459">
        <w:rPr>
          <w:rFonts w:ascii="Arial" w:hAnsi="Arial" w:cs="Arial"/>
        </w:rPr>
        <w:t>.  You must ensure that any environmental claim you make is fully in accordance with the Green Claims Code - this is available on the sustainable development website:</w:t>
      </w:r>
      <w:r w:rsidR="00463459" w:rsidRPr="00463459">
        <w:rPr>
          <w:rFonts w:cs="Arial"/>
        </w:rPr>
        <w:t xml:space="preserve"> </w:t>
      </w:r>
    </w:p>
    <w:p w:rsidR="00C05B04" w:rsidRPr="00C05B04" w:rsidRDefault="00C05B04" w:rsidP="00C05B04">
      <w:pPr>
        <w:spacing w:after="0" w:line="240" w:lineRule="auto"/>
        <w:ind w:left="735"/>
        <w:jc w:val="both"/>
        <w:rPr>
          <w:rFonts w:ascii="Arial" w:hAnsi="Arial" w:cs="Arial"/>
        </w:rPr>
      </w:pPr>
    </w:p>
    <w:p w:rsidR="001839D4" w:rsidRPr="00C05B04" w:rsidRDefault="00C05B04" w:rsidP="00C05B04">
      <w:pPr>
        <w:spacing w:after="0" w:line="240" w:lineRule="auto"/>
        <w:ind w:left="735"/>
        <w:jc w:val="both"/>
        <w:rPr>
          <w:rFonts w:ascii="Arial" w:hAnsi="Arial" w:cs="Arial"/>
          <w:color w:val="0000FF"/>
        </w:rPr>
      </w:pPr>
      <w:r w:rsidRPr="00C05B04">
        <w:rPr>
          <w:rFonts w:ascii="Arial" w:hAnsi="Arial" w:cs="Arial"/>
          <w:color w:val="0000FF"/>
        </w:rPr>
        <w:t>https://www.gov.uk/government/publications/make-a-green-claim/make-an-environmental-claim-for-your-product-service-or-organisation</w:t>
      </w:r>
    </w:p>
    <w:p w:rsidR="00FC464A" w:rsidRPr="00C05B04" w:rsidRDefault="00FC464A" w:rsidP="00FC464A">
      <w:pPr>
        <w:pStyle w:val="ListParagraph"/>
        <w:rPr>
          <w:rFonts w:ascii="Arial" w:hAnsi="Arial" w:cs="Arial"/>
          <w:color w:val="0000FF"/>
        </w:rPr>
      </w:pPr>
    </w:p>
    <w:p w:rsid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rsidR="000375BD" w:rsidRDefault="000375BD" w:rsidP="00FC464A">
      <w:pPr>
        <w:pStyle w:val="ListParagraph"/>
        <w:spacing w:after="0"/>
        <w:jc w:val="both"/>
        <w:rPr>
          <w:rFonts w:ascii="Arial" w:hAnsi="Arial" w:cs="Arial"/>
        </w:rPr>
      </w:pPr>
    </w:p>
    <w:p w:rsidR="000375BD" w:rsidRPr="000375BD" w:rsidRDefault="000375BD" w:rsidP="000375BD">
      <w:pPr>
        <w:pStyle w:val="ListParagraph"/>
        <w:numPr>
          <w:ilvl w:val="0"/>
          <w:numId w:val="21"/>
        </w:numPr>
        <w:autoSpaceDE w:val="0"/>
        <w:autoSpaceDN w:val="0"/>
        <w:adjustRightInd w:val="0"/>
        <w:spacing w:after="0" w:line="240" w:lineRule="auto"/>
        <w:jc w:val="both"/>
        <w:rPr>
          <w:rFonts w:ascii="Arial" w:hAnsi="Arial" w:cs="Arial"/>
          <w:b/>
        </w:rPr>
      </w:pPr>
      <w:r>
        <w:rPr>
          <w:rFonts w:ascii="Arial" w:hAnsi="Arial" w:cs="Arial"/>
          <w:b/>
        </w:rPr>
        <w:t>G</w:t>
      </w:r>
      <w:r w:rsidRPr="000375BD">
        <w:rPr>
          <w:rFonts w:ascii="Arial" w:hAnsi="Arial" w:cs="Arial"/>
          <w:b/>
        </w:rPr>
        <w:t>eneral Data Protection Regulation (GDPR)</w:t>
      </w:r>
    </w:p>
    <w:p w:rsidR="000375BD" w:rsidRPr="00D15D1E" w:rsidRDefault="000375BD" w:rsidP="000375BD">
      <w:pPr>
        <w:pStyle w:val="ListParagraph"/>
        <w:autoSpaceDE w:val="0"/>
        <w:autoSpaceDN w:val="0"/>
        <w:adjustRightInd w:val="0"/>
        <w:spacing w:after="0" w:line="240" w:lineRule="auto"/>
        <w:ind w:left="360"/>
        <w:jc w:val="both"/>
        <w:rPr>
          <w:rFonts w:ascii="Arial" w:hAnsi="Arial" w:cs="Arial"/>
          <w:b/>
        </w:rPr>
      </w:pP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Arial" w:hAnsi="Arial" w:cs="Arial"/>
          <w:b/>
        </w:rPr>
      </w:pPr>
      <w:r w:rsidRPr="00677D50">
        <w:rPr>
          <w:rFonts w:ascii="Arial" w:hAnsi="Arial" w:cs="Arial"/>
        </w:rPr>
        <w:t>The supplier will be expected to have and demonstrate compliance with the new EU General Data Protection Regulation and its six data processing principles, as well as ensuring the rights of data subjects (processed on behalf of the MCA) are protected.</w:t>
      </w:r>
    </w:p>
    <w:p w:rsidR="000375BD" w:rsidRPr="00D15D1E" w:rsidRDefault="000375BD" w:rsidP="000375BD">
      <w:pPr>
        <w:pStyle w:val="ListParagraph"/>
        <w:autoSpaceDE w:val="0"/>
        <w:autoSpaceDN w:val="0"/>
        <w:adjustRightInd w:val="0"/>
        <w:spacing w:after="0" w:line="240" w:lineRule="auto"/>
        <w:ind w:left="792"/>
        <w:jc w:val="both"/>
        <w:rPr>
          <w:rFonts w:ascii="Arial" w:hAnsi="Arial" w:cs="Arial"/>
          <w:b/>
        </w:rPr>
      </w:pP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Arial" w:hAnsi="Arial" w:cs="Arial"/>
          <w:b/>
        </w:rPr>
      </w:pPr>
      <w:r w:rsidRPr="00677D50">
        <w:rPr>
          <w:rFonts w:ascii="Arial" w:hAnsi="Arial" w:cs="Arial"/>
        </w:rPr>
        <w:t xml:space="preserve">The MCA, as ‘Data ‘Controller’, will provide the supplier with the relevant data handling information and instructions </w:t>
      </w:r>
      <w:proofErr w:type="gramStart"/>
      <w:r w:rsidRPr="00677D50">
        <w:rPr>
          <w:rFonts w:ascii="Arial" w:hAnsi="Arial" w:cs="Arial"/>
        </w:rPr>
        <w:t>in order to</w:t>
      </w:r>
      <w:proofErr w:type="gramEnd"/>
      <w:r w:rsidRPr="00677D50">
        <w:rPr>
          <w:rFonts w:ascii="Arial" w:hAnsi="Arial" w:cs="Arial"/>
        </w:rPr>
        <w:t xml:space="preserve"> carry out the survey.  As a ‘Data Processor’ the supplier will be expected to demonstrate how personal information is accessed, stored, used, corrected and retained/destroyed </w:t>
      </w:r>
      <w:proofErr w:type="gramStart"/>
      <w:r w:rsidRPr="00677D50">
        <w:rPr>
          <w:rFonts w:ascii="Arial" w:hAnsi="Arial" w:cs="Arial"/>
        </w:rPr>
        <w:t>for the purpose of</w:t>
      </w:r>
      <w:proofErr w:type="gramEnd"/>
      <w:r w:rsidRPr="00677D50">
        <w:rPr>
          <w:rFonts w:ascii="Arial" w:hAnsi="Arial" w:cs="Arial"/>
        </w:rPr>
        <w:t xml:space="preserve"> the survey.</w:t>
      </w:r>
    </w:p>
    <w:p w:rsidR="000375BD" w:rsidRPr="00D15D1E" w:rsidRDefault="000375BD" w:rsidP="000375BD">
      <w:pPr>
        <w:autoSpaceDE w:val="0"/>
        <w:autoSpaceDN w:val="0"/>
        <w:adjustRightInd w:val="0"/>
        <w:spacing w:after="0" w:line="240" w:lineRule="auto"/>
        <w:jc w:val="both"/>
        <w:rPr>
          <w:rFonts w:ascii="Arial" w:hAnsi="Arial" w:cs="Arial"/>
          <w:b/>
        </w:rPr>
      </w:pP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Arial" w:hAnsi="Arial" w:cs="Arial"/>
          <w:b/>
        </w:rPr>
      </w:pPr>
      <w:r w:rsidRPr="00677D50">
        <w:rPr>
          <w:rFonts w:ascii="Arial" w:hAnsi="Arial" w:cs="Arial"/>
        </w:rPr>
        <w:t xml:space="preserve">The type of data provided to the Data Processor will be classified as OFFICIAL under the Government Security Classification Scheme, see 9.3 below.  Transfer of personally identifiable information must follow the protocols of secure transfer (as described by the Information Commissioners Office) if being sent via the public internet.  </w:t>
      </w:r>
    </w:p>
    <w:p w:rsidR="000375BD" w:rsidRPr="00D15D1E" w:rsidRDefault="000375BD" w:rsidP="000375BD">
      <w:pPr>
        <w:pStyle w:val="ListParagraph"/>
        <w:autoSpaceDE w:val="0"/>
        <w:autoSpaceDN w:val="0"/>
        <w:adjustRightInd w:val="0"/>
        <w:spacing w:after="0" w:line="240" w:lineRule="auto"/>
        <w:ind w:left="792"/>
        <w:jc w:val="both"/>
        <w:rPr>
          <w:rFonts w:ascii="Arial" w:hAnsi="Arial" w:cs="Arial"/>
          <w:b/>
        </w:rPr>
      </w:pPr>
    </w:p>
    <w:p w:rsidR="000375BD" w:rsidRDefault="000375BD" w:rsidP="00677D50">
      <w:pPr>
        <w:pStyle w:val="ListParagraph"/>
        <w:numPr>
          <w:ilvl w:val="0"/>
          <w:numId w:val="22"/>
        </w:numPr>
        <w:autoSpaceDE w:val="0"/>
        <w:autoSpaceDN w:val="0"/>
        <w:adjustRightInd w:val="0"/>
        <w:spacing w:after="0" w:line="240" w:lineRule="auto"/>
        <w:jc w:val="both"/>
        <w:rPr>
          <w:rFonts w:ascii="Arial" w:hAnsi="Arial" w:cs="Arial"/>
          <w:b/>
        </w:rPr>
      </w:pPr>
      <w:r w:rsidRPr="00D15D1E">
        <w:rPr>
          <w:rFonts w:ascii="Arial" w:hAnsi="Arial" w:cs="Arial"/>
          <w:b/>
        </w:rPr>
        <w:lastRenderedPageBreak/>
        <w:t>Security</w:t>
      </w:r>
    </w:p>
    <w:p w:rsidR="000375BD" w:rsidRDefault="000375BD" w:rsidP="000375BD">
      <w:pPr>
        <w:pStyle w:val="ListParagraph"/>
        <w:autoSpaceDE w:val="0"/>
        <w:autoSpaceDN w:val="0"/>
        <w:adjustRightInd w:val="0"/>
        <w:spacing w:after="0" w:line="240" w:lineRule="auto"/>
        <w:ind w:left="360"/>
        <w:jc w:val="both"/>
        <w:rPr>
          <w:rFonts w:ascii="Arial" w:hAnsi="Arial" w:cs="Arial"/>
          <w:b/>
        </w:rPr>
      </w:pP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Helvetica Neue" w:eastAsia="Times New Roman" w:hAnsi="Helvetica Neue"/>
        </w:rPr>
      </w:pPr>
      <w:r w:rsidRPr="00677D50">
        <w:rPr>
          <w:rFonts w:ascii="Arial" w:hAnsi="Arial" w:cs="Arial"/>
        </w:rPr>
        <w:t xml:space="preserve">The service provider must be able to demonstrate compliance with the principles as set out in the in the Cabinet Office HMG Government Security Policy Framework </w:t>
      </w:r>
      <w:hyperlink r:id="rId9" w:history="1">
        <w:r w:rsidRPr="00677D50">
          <w:rPr>
            <w:rStyle w:val="Hyperlink"/>
            <w:rFonts w:ascii="Helvetica Neue" w:hAnsi="Helvetica Neue"/>
          </w:rPr>
          <w:t>https://www.gov.uk/government/publications/security-policy-framework</w:t>
        </w:r>
      </w:hyperlink>
      <w:r w:rsidRPr="00677D50">
        <w:rPr>
          <w:rStyle w:val="Hyperlink"/>
          <w:rFonts w:ascii="Helvetica Neue" w:hAnsi="Helvetica Neue"/>
        </w:rPr>
        <w:br/>
      </w: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Arial" w:hAnsi="Arial" w:cs="Arial"/>
        </w:rPr>
      </w:pPr>
      <w:r w:rsidRPr="00677D50">
        <w:rPr>
          <w:rFonts w:ascii="Arial" w:hAnsi="Arial" w:cs="Arial"/>
        </w:rPr>
        <w:t xml:space="preserve">The supplier shall complete the Cabinet Office Statement of Assurance questionnaire and provide sufficient detail so that the MCA can determine the suppliers approach to security and the application of proportionate controls.   </w:t>
      </w:r>
    </w:p>
    <w:p w:rsidR="000375BD" w:rsidRPr="002C7D8A" w:rsidRDefault="000375BD" w:rsidP="000375BD">
      <w:pPr>
        <w:pStyle w:val="ListParagraph"/>
        <w:autoSpaceDE w:val="0"/>
        <w:autoSpaceDN w:val="0"/>
        <w:adjustRightInd w:val="0"/>
        <w:spacing w:after="0" w:line="240" w:lineRule="auto"/>
        <w:ind w:left="792"/>
        <w:jc w:val="both"/>
        <w:rPr>
          <w:rFonts w:ascii="Arial" w:hAnsi="Arial" w:cs="Arial"/>
        </w:rPr>
      </w:pPr>
    </w:p>
    <w:p w:rsidR="000375BD" w:rsidRDefault="005E013A" w:rsidP="000375BD">
      <w:pPr>
        <w:pStyle w:val="ListParagraph"/>
        <w:autoSpaceDE w:val="0"/>
        <w:autoSpaceDN w:val="0"/>
        <w:adjustRightInd w:val="0"/>
        <w:spacing w:after="0" w:line="240" w:lineRule="auto"/>
        <w:ind w:left="792"/>
        <w:jc w:val="both"/>
        <w:rPr>
          <w:rFonts w:ascii="Arial" w:hAnsi="Arial" w:cs="Arial"/>
        </w:rPr>
      </w:pPr>
      <w:hyperlink r:id="rId10" w:history="1">
        <w:r w:rsidR="000375BD" w:rsidRPr="002C7D8A">
          <w:rPr>
            <w:rStyle w:val="Hyperlink"/>
            <w:rFonts w:ascii="Arial" w:hAnsi="Arial" w:cs="Arial"/>
          </w:rPr>
          <w:t>https://www.gov.uk/government/publications/government-supplier-assurance-framework</w:t>
        </w:r>
      </w:hyperlink>
      <w:r w:rsidR="000375BD">
        <w:rPr>
          <w:rFonts w:ascii="Arial" w:hAnsi="Arial" w:cs="Arial"/>
        </w:rPr>
        <w:t xml:space="preserve"> </w:t>
      </w:r>
    </w:p>
    <w:p w:rsidR="000375BD" w:rsidRPr="00646374" w:rsidRDefault="000375BD" w:rsidP="000375BD">
      <w:pPr>
        <w:pStyle w:val="ListParagraph"/>
        <w:autoSpaceDE w:val="0"/>
        <w:autoSpaceDN w:val="0"/>
        <w:adjustRightInd w:val="0"/>
        <w:spacing w:after="0" w:line="240" w:lineRule="auto"/>
        <w:ind w:left="792"/>
        <w:jc w:val="both"/>
        <w:rPr>
          <w:rFonts w:ascii="Arial" w:hAnsi="Arial" w:cs="Arial"/>
        </w:rPr>
      </w:pP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Helvetica Neue" w:eastAsia="Times New Roman" w:hAnsi="Helvetica Neue"/>
          <w:color w:val="1155CC"/>
          <w:u w:val="single"/>
        </w:rPr>
      </w:pPr>
      <w:r w:rsidRPr="00677D50">
        <w:rPr>
          <w:rFonts w:ascii="Arial" w:hAnsi="Arial" w:cs="Arial"/>
        </w:rPr>
        <w:t xml:space="preserve">The service provider must also recognise and understand the Government Security Classification policy and the classification of information. </w:t>
      </w:r>
    </w:p>
    <w:p w:rsidR="000375BD" w:rsidRDefault="005E013A" w:rsidP="00E06EA3">
      <w:pPr>
        <w:pStyle w:val="ListParagraph"/>
        <w:autoSpaceDE w:val="0"/>
        <w:autoSpaceDN w:val="0"/>
        <w:adjustRightInd w:val="0"/>
        <w:spacing w:after="0" w:line="240" w:lineRule="auto"/>
        <w:ind w:left="360" w:firstLine="360"/>
        <w:jc w:val="both"/>
        <w:rPr>
          <w:rFonts w:ascii="Helvetica Neue" w:eastAsia="Times New Roman" w:hAnsi="Helvetica Neue"/>
        </w:rPr>
      </w:pPr>
      <w:hyperlink r:id="rId11" w:history="1">
        <w:r w:rsidR="00E06EA3" w:rsidRPr="002852E3">
          <w:rPr>
            <w:rStyle w:val="Hyperlink"/>
            <w:rFonts w:ascii="Helvetica Neue" w:hAnsi="Helvetica Neue"/>
          </w:rPr>
          <w:t>https://www.gov.uk/government/publications/government-security-classifications</w:t>
        </w:r>
      </w:hyperlink>
    </w:p>
    <w:p w:rsidR="000375BD" w:rsidRPr="00854631" w:rsidRDefault="000375BD" w:rsidP="000375BD">
      <w:pPr>
        <w:pStyle w:val="ListParagraph"/>
        <w:autoSpaceDE w:val="0"/>
        <w:autoSpaceDN w:val="0"/>
        <w:adjustRightInd w:val="0"/>
        <w:spacing w:after="0" w:line="240" w:lineRule="auto"/>
        <w:ind w:left="792"/>
        <w:jc w:val="both"/>
        <w:rPr>
          <w:rFonts w:ascii="Helvetica Neue" w:eastAsia="Times New Roman" w:hAnsi="Helvetica Neue"/>
          <w:color w:val="1155CC"/>
          <w:u w:val="single"/>
        </w:rPr>
      </w:pP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Helvetica Neue" w:eastAsia="Times New Roman" w:hAnsi="Helvetica Neue"/>
          <w:color w:val="1155CC"/>
          <w:u w:val="single"/>
        </w:rPr>
      </w:pPr>
      <w:r w:rsidRPr="00677D50">
        <w:rPr>
          <w:rFonts w:ascii="Arial" w:hAnsi="Arial" w:cs="Arial"/>
        </w:rPr>
        <w:t>The service provider shall explain how they will dispose of/destroy any personal information collected during the life of the contract.</w:t>
      </w:r>
    </w:p>
    <w:p w:rsidR="000375BD" w:rsidRPr="006F7EA8" w:rsidRDefault="000375BD" w:rsidP="000375BD">
      <w:pPr>
        <w:pStyle w:val="ListParagraph"/>
        <w:autoSpaceDE w:val="0"/>
        <w:autoSpaceDN w:val="0"/>
        <w:adjustRightInd w:val="0"/>
        <w:spacing w:after="0" w:line="240" w:lineRule="auto"/>
        <w:ind w:left="360"/>
        <w:jc w:val="both"/>
        <w:rPr>
          <w:rFonts w:ascii="Helvetica Neue" w:eastAsia="Times New Roman" w:hAnsi="Helvetica Neue"/>
        </w:rPr>
      </w:pP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sidR="00463459">
        <w:rPr>
          <w:rFonts w:cs="Arial"/>
          <w:sz w:val="22"/>
          <w:szCs w:val="22"/>
        </w:rPr>
        <w:t xml:space="preserve"> MCA</w:t>
      </w:r>
      <w:r w:rsidRPr="008D4855">
        <w:rPr>
          <w:rFonts w:cs="Arial"/>
          <w:sz w:val="22"/>
          <w:szCs w:val="22"/>
        </w:rPr>
        <w:t xml:space="preserve">’s </w:t>
      </w:r>
      <w:r w:rsidR="00463459">
        <w:rPr>
          <w:rFonts w:cs="Arial"/>
          <w:sz w:val="22"/>
          <w:szCs w:val="22"/>
        </w:rPr>
        <w:t>t</w:t>
      </w:r>
      <w:r w:rsidRPr="008D4855">
        <w:rPr>
          <w:rFonts w:cs="Arial"/>
          <w:sz w:val="22"/>
          <w:szCs w:val="22"/>
        </w:rPr>
        <w:t>ender documents.</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8D4855">
        <w:rPr>
          <w:rFonts w:cs="Arial"/>
          <w:sz w:val="22"/>
          <w:szCs w:val="22"/>
        </w:rPr>
        <w:t>provided that</w:t>
      </w:r>
      <w:proofErr w:type="gramEnd"/>
      <w:r w:rsidRPr="008D4855">
        <w:rPr>
          <w:rFonts w:cs="Arial"/>
          <w:sz w:val="22"/>
          <w:szCs w:val="22"/>
        </w:rPr>
        <w:t xml:space="preserve"> you do so in strict confidence.</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rsidR="00FC464A" w:rsidRPr="008D4855"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If you wish you may tender </w:t>
      </w:r>
      <w:proofErr w:type="gramStart"/>
      <w:r w:rsidRPr="008D4855">
        <w:rPr>
          <w:rFonts w:cs="Arial"/>
          <w:sz w:val="22"/>
          <w:szCs w:val="22"/>
        </w:rPr>
        <w:t>on the basis of</w:t>
      </w:r>
      <w:proofErr w:type="gramEnd"/>
      <w:r w:rsidRPr="008D4855">
        <w:rPr>
          <w:rFonts w:cs="Arial"/>
          <w:sz w:val="22"/>
          <w:szCs w:val="22"/>
        </w:rPr>
        <w:t xml:space="preserve">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lastRenderedPageBreak/>
        <w:t>The scoring criteria for the contract will be as follows:</w:t>
      </w:r>
    </w:p>
    <w:p w:rsidR="00463459" w:rsidRPr="00463459" w:rsidRDefault="00F55A6C"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vanish/>
        </w:rPr>
        <w:t>o process for awarding the contract will be as follows:</w:t>
      </w:r>
      <w:r>
        <w:rPr>
          <w:rFonts w:ascii="Arial" w:hAnsi="Arial" w:cs="Arial"/>
          <w:b/>
          <w:vanish/>
        </w:rPr>
        <w:cr/>
        <w:t xml:space="preserve">ng part of the tenderered requirement.  </w:t>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p w:rsidR="00463459" w:rsidRDefault="000515F4" w:rsidP="000515F4">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ind w:left="0"/>
        <w:jc w:val="both"/>
        <w:rPr>
          <w:rFonts w:ascii="Arial" w:hAnsi="Arial" w:cs="Arial"/>
        </w:rPr>
      </w:pPr>
      <w:r>
        <w:rPr>
          <w:rFonts w:ascii="Arial" w:hAnsi="Arial" w:cs="Arial"/>
        </w:rPr>
        <w:t xml:space="preserve">Compliance with the </w:t>
      </w:r>
      <w:r w:rsidR="003C228A">
        <w:rPr>
          <w:rFonts w:ascii="Arial" w:hAnsi="Arial" w:cs="Arial"/>
        </w:rPr>
        <w:t>Quality including</w:t>
      </w:r>
      <w:r>
        <w:rPr>
          <w:rFonts w:ascii="Arial" w:hAnsi="Arial" w:cs="Arial"/>
        </w:rPr>
        <w:t xml:space="preserve"> Sustainability together make up the Quality section of the scoring, which will be worth </w:t>
      </w:r>
      <w:r w:rsidR="00406EC6">
        <w:rPr>
          <w:rFonts w:ascii="Arial" w:hAnsi="Arial" w:cs="Arial"/>
        </w:rPr>
        <w:t>8</w:t>
      </w:r>
      <w:r>
        <w:rPr>
          <w:rFonts w:ascii="Arial" w:hAnsi="Arial" w:cs="Arial"/>
        </w:rPr>
        <w:t xml:space="preserve">0% of the overall score with Price receiving the other </w:t>
      </w:r>
      <w:r w:rsidR="00406EC6">
        <w:rPr>
          <w:rFonts w:ascii="Arial" w:hAnsi="Arial" w:cs="Arial"/>
        </w:rPr>
        <w:t>2</w:t>
      </w:r>
      <w:r>
        <w:rPr>
          <w:rFonts w:ascii="Arial" w:hAnsi="Arial" w:cs="Arial"/>
        </w:rPr>
        <w:t>0%.</w:t>
      </w:r>
    </w:p>
    <w:p w:rsidR="008A2449" w:rsidRPr="00F55A6C" w:rsidRDefault="008A2449"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463459" w:rsidRPr="002C3432" w:rsidRDefault="00CA4F82" w:rsidP="002C3432">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jc w:val="both"/>
        <w:rPr>
          <w:rFonts w:ascii="Arial" w:hAnsi="Arial" w:cs="Arial"/>
        </w:rPr>
      </w:pPr>
      <w:r w:rsidRPr="002C3432">
        <w:rPr>
          <w:rFonts w:ascii="Arial" w:hAnsi="Arial" w:cs="Arial"/>
        </w:rPr>
        <w:t>The method of scoring all tenders will be:</w:t>
      </w:r>
    </w:p>
    <w:p w:rsidR="00295162" w:rsidRDefault="00295162" w:rsidP="0029516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295162" w:rsidRPr="00295162" w:rsidRDefault="00295162" w:rsidP="00295162">
      <w:pPr>
        <w:tabs>
          <w:tab w:val="left" w:pos="2160"/>
          <w:tab w:val="left" w:pos="2880"/>
          <w:tab w:val="left" w:pos="3600"/>
          <w:tab w:val="left" w:pos="4320"/>
          <w:tab w:val="left" w:pos="5040"/>
          <w:tab w:val="left" w:pos="5760"/>
          <w:tab w:val="left" w:pos="6480"/>
          <w:tab w:val="left" w:pos="7200"/>
          <w:tab w:val="left" w:pos="7920"/>
        </w:tabs>
        <w:spacing w:after="0"/>
        <w:ind w:left="1080"/>
        <w:jc w:val="both"/>
        <w:rPr>
          <w:rFonts w:ascii="Arial" w:hAnsi="Arial" w:cs="Arial"/>
        </w:rPr>
      </w:pPr>
    </w:p>
    <w:p w:rsidR="00CA4F82" w:rsidRPr="00295162" w:rsidRDefault="00CA4F82" w:rsidP="0029516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295162">
        <w:rPr>
          <w:rFonts w:ascii="Arial" w:hAnsi="Arial" w:cs="Arial"/>
        </w:rPr>
        <w:t xml:space="preserve">A score out of 3 will then be assigned to each </w:t>
      </w:r>
      <w:r w:rsidR="00780C3A" w:rsidRPr="00295162">
        <w:rPr>
          <w:rFonts w:ascii="Arial" w:hAnsi="Arial" w:cs="Arial"/>
        </w:rPr>
        <w:t xml:space="preserve">requirement as described in The </w:t>
      </w:r>
      <w:r w:rsidR="00A32C84" w:rsidRPr="00295162">
        <w:rPr>
          <w:rFonts w:ascii="Arial" w:hAnsi="Arial" w:cs="Arial"/>
        </w:rPr>
        <w:t>Requirem</w:t>
      </w:r>
      <w:r w:rsidR="007F3ACE" w:rsidRPr="00295162">
        <w:rPr>
          <w:rFonts w:ascii="Arial" w:hAnsi="Arial" w:cs="Arial"/>
        </w:rPr>
        <w:t>e</w:t>
      </w:r>
      <w:r w:rsidR="00A32C84" w:rsidRPr="00295162">
        <w:rPr>
          <w:rFonts w:ascii="Arial" w:hAnsi="Arial" w:cs="Arial"/>
        </w:rPr>
        <w:t>nts</w:t>
      </w:r>
      <w:r w:rsidR="00780C3A" w:rsidRPr="00295162">
        <w:rPr>
          <w:rFonts w:ascii="Arial" w:hAnsi="Arial" w:cs="Arial"/>
        </w:rPr>
        <w:t>, section 1</w:t>
      </w:r>
      <w:r w:rsidR="003C228A" w:rsidRPr="00295162">
        <w:rPr>
          <w:rFonts w:ascii="Arial" w:hAnsi="Arial" w:cs="Arial"/>
        </w:rPr>
        <w:t>2</w:t>
      </w:r>
      <w:r w:rsidR="00780C3A" w:rsidRPr="00295162">
        <w:rPr>
          <w:rFonts w:ascii="Arial" w:hAnsi="Arial" w:cs="Arial"/>
        </w:rPr>
        <w:t xml:space="preserve"> of the Specification document,</w:t>
      </w:r>
      <w:r w:rsidRPr="00295162">
        <w:rPr>
          <w:rFonts w:ascii="Arial" w:hAnsi="Arial" w:cs="Arial"/>
        </w:rPr>
        <w:t xml:space="preserve"> according to the scheme below:</w:t>
      </w:r>
    </w:p>
    <w:p w:rsidR="00542192" w:rsidRDefault="00542192"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rPr>
      </w:pPr>
      <w:r w:rsidRPr="00CA4F82">
        <w:rPr>
          <w:rFonts w:ascii="Arial" w:hAnsi="Arial" w:cs="Arial"/>
        </w:rPr>
        <w:t xml:space="preserve"> </w:t>
      </w:r>
    </w:p>
    <w:p w:rsidR="00CA37B1" w:rsidRPr="00CA4F82" w:rsidRDefault="00CA37B1"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p>
    <w:tbl>
      <w:tblPr>
        <w:tblStyle w:val="GridTable4-Accent6"/>
        <w:tblW w:w="0" w:type="auto"/>
        <w:tblInd w:w="360" w:type="dxa"/>
        <w:tblLook w:val="04A0" w:firstRow="1" w:lastRow="0" w:firstColumn="1" w:lastColumn="0" w:noHBand="0" w:noVBand="1"/>
      </w:tblPr>
      <w:tblGrid>
        <w:gridCol w:w="1412"/>
        <w:gridCol w:w="3827"/>
      </w:tblGrid>
      <w:tr w:rsidR="00CF2E8C" w:rsidTr="00CF2E8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12" w:type="dxa"/>
            <w:shd w:val="clear" w:color="auto" w:fill="00B050"/>
          </w:tcPr>
          <w:p w:rsidR="00CF2E8C" w:rsidRPr="00780C3A" w:rsidRDefault="00CF2E8C" w:rsidP="00CF2E8C">
            <w:pPr>
              <w:ind w:left="360"/>
              <w:jc w:val="center"/>
              <w:rPr>
                <w:rFonts w:eastAsia="Times New Roman" w:cstheme="minorHAnsi"/>
                <w:b w:val="0"/>
                <w:bCs w:val="0"/>
                <w:sz w:val="24"/>
                <w:szCs w:val="24"/>
              </w:rPr>
            </w:pPr>
            <w:r w:rsidRPr="00780C3A">
              <w:rPr>
                <w:rFonts w:eastAsia="Times New Roman" w:cstheme="minorHAnsi"/>
                <w:b w:val="0"/>
                <w:bCs w:val="0"/>
                <w:sz w:val="24"/>
                <w:szCs w:val="24"/>
              </w:rPr>
              <w:t>SCORE</w:t>
            </w:r>
          </w:p>
        </w:tc>
        <w:tc>
          <w:tcPr>
            <w:tcW w:w="3827" w:type="dxa"/>
            <w:shd w:val="clear" w:color="auto" w:fill="00B050"/>
          </w:tcPr>
          <w:p w:rsidR="00CF2E8C" w:rsidRPr="00780C3A" w:rsidRDefault="00CF2E8C" w:rsidP="00CF2E8C">
            <w:pPr>
              <w:ind w:left="426"/>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780C3A">
              <w:rPr>
                <w:rFonts w:cstheme="minorHAnsi"/>
                <w:sz w:val="24"/>
                <w:szCs w:val="24"/>
              </w:rPr>
              <w:t>DESCRIPTION</w:t>
            </w:r>
          </w:p>
        </w:tc>
      </w:tr>
      <w:tr w:rsidR="00CF2E8C" w:rsidTr="00CF2E8C">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412" w:type="dxa"/>
            <w:shd w:val="clear" w:color="auto" w:fill="92D050"/>
          </w:tcPr>
          <w:p w:rsidR="00CF2E8C" w:rsidRPr="00780C3A" w:rsidRDefault="00CF2E8C" w:rsidP="00CF2E8C">
            <w:pPr>
              <w:jc w:val="center"/>
              <w:rPr>
                <w:rFonts w:cstheme="minorHAnsi"/>
                <w:b w:val="0"/>
                <w:sz w:val="24"/>
                <w:szCs w:val="24"/>
              </w:rPr>
            </w:pPr>
            <w:r w:rsidRPr="00780C3A">
              <w:rPr>
                <w:rFonts w:cstheme="minorHAnsi"/>
                <w:sz w:val="24"/>
                <w:szCs w:val="24"/>
              </w:rPr>
              <w:t>0</w:t>
            </w:r>
          </w:p>
        </w:tc>
        <w:tc>
          <w:tcPr>
            <w:tcW w:w="3827" w:type="dxa"/>
            <w:shd w:val="clear" w:color="auto" w:fill="92D050"/>
          </w:tcPr>
          <w:p w:rsidR="00CF2E8C" w:rsidRPr="00780C3A" w:rsidRDefault="00CF2E8C" w:rsidP="00CF2E8C">
            <w:pPr>
              <w:ind w:left="426"/>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80C3A">
              <w:rPr>
                <w:rFonts w:cstheme="minorHAnsi"/>
                <w:sz w:val="24"/>
                <w:szCs w:val="24"/>
              </w:rPr>
              <w:t>Does not meet the requirement.</w:t>
            </w:r>
          </w:p>
        </w:tc>
      </w:tr>
      <w:tr w:rsidR="00CF2E8C" w:rsidRPr="009C6713" w:rsidTr="00CA37B1">
        <w:tc>
          <w:tcPr>
            <w:cnfStyle w:val="001000000000" w:firstRow="0" w:lastRow="0" w:firstColumn="1" w:lastColumn="0" w:oddVBand="0" w:evenVBand="0" w:oddHBand="0" w:evenHBand="0" w:firstRowFirstColumn="0" w:firstRowLastColumn="0" w:lastRowFirstColumn="0" w:lastRowLastColumn="0"/>
            <w:tcW w:w="1412" w:type="dxa"/>
            <w:shd w:val="clear" w:color="auto" w:fill="D6E3BC" w:themeFill="accent3" w:themeFillTint="66"/>
          </w:tcPr>
          <w:p w:rsidR="00CF2E8C" w:rsidRPr="00780C3A" w:rsidRDefault="00CF2E8C" w:rsidP="00CF2E8C">
            <w:pPr>
              <w:jc w:val="center"/>
              <w:rPr>
                <w:rFonts w:cstheme="minorHAnsi"/>
                <w:b w:val="0"/>
                <w:sz w:val="24"/>
                <w:szCs w:val="24"/>
              </w:rPr>
            </w:pPr>
            <w:r w:rsidRPr="00780C3A">
              <w:rPr>
                <w:rFonts w:cstheme="minorHAnsi"/>
                <w:sz w:val="24"/>
                <w:szCs w:val="24"/>
              </w:rPr>
              <w:t>1</w:t>
            </w:r>
          </w:p>
        </w:tc>
        <w:tc>
          <w:tcPr>
            <w:tcW w:w="3827" w:type="dxa"/>
            <w:shd w:val="clear" w:color="auto" w:fill="D6E3BC" w:themeFill="accent3" w:themeFillTint="66"/>
          </w:tcPr>
          <w:p w:rsidR="00CF2E8C" w:rsidRPr="00780C3A" w:rsidRDefault="00CF2E8C" w:rsidP="00CF2E8C">
            <w:pPr>
              <w:ind w:left="426"/>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80C3A">
              <w:rPr>
                <w:rFonts w:cstheme="minorHAnsi"/>
                <w:sz w:val="24"/>
                <w:szCs w:val="24"/>
              </w:rPr>
              <w:t>Below requirement</w:t>
            </w:r>
          </w:p>
        </w:tc>
      </w:tr>
      <w:tr w:rsidR="00CF2E8C" w:rsidRPr="009C6713" w:rsidTr="00CF2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92D050"/>
          </w:tcPr>
          <w:p w:rsidR="00CF2E8C" w:rsidRPr="00780C3A" w:rsidRDefault="00CF2E8C" w:rsidP="00CF2E8C">
            <w:pPr>
              <w:jc w:val="center"/>
              <w:rPr>
                <w:rFonts w:cstheme="minorHAnsi"/>
                <w:b w:val="0"/>
                <w:sz w:val="24"/>
                <w:szCs w:val="24"/>
              </w:rPr>
            </w:pPr>
            <w:r w:rsidRPr="00780C3A">
              <w:rPr>
                <w:rFonts w:cstheme="minorHAnsi"/>
                <w:sz w:val="24"/>
                <w:szCs w:val="24"/>
              </w:rPr>
              <w:t>2</w:t>
            </w:r>
          </w:p>
        </w:tc>
        <w:tc>
          <w:tcPr>
            <w:tcW w:w="3827" w:type="dxa"/>
            <w:shd w:val="clear" w:color="auto" w:fill="92D050"/>
          </w:tcPr>
          <w:p w:rsidR="00CF2E8C" w:rsidRPr="00780C3A" w:rsidRDefault="00CF2E8C" w:rsidP="00CF2E8C">
            <w:pPr>
              <w:ind w:left="426"/>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80C3A">
              <w:rPr>
                <w:rFonts w:cstheme="minorHAnsi"/>
                <w:sz w:val="24"/>
                <w:szCs w:val="24"/>
              </w:rPr>
              <w:t>Meets the basic requirement</w:t>
            </w:r>
          </w:p>
        </w:tc>
      </w:tr>
      <w:tr w:rsidR="00CF2E8C" w:rsidRPr="009C6713" w:rsidTr="00CA37B1">
        <w:tc>
          <w:tcPr>
            <w:cnfStyle w:val="001000000000" w:firstRow="0" w:lastRow="0" w:firstColumn="1" w:lastColumn="0" w:oddVBand="0" w:evenVBand="0" w:oddHBand="0" w:evenHBand="0" w:firstRowFirstColumn="0" w:firstRowLastColumn="0" w:lastRowFirstColumn="0" w:lastRowLastColumn="0"/>
            <w:tcW w:w="1412" w:type="dxa"/>
            <w:shd w:val="clear" w:color="auto" w:fill="C2D69B" w:themeFill="accent3" w:themeFillTint="99"/>
          </w:tcPr>
          <w:p w:rsidR="00CF2E8C" w:rsidRPr="00780C3A" w:rsidRDefault="00CF2E8C" w:rsidP="00CF2E8C">
            <w:pPr>
              <w:jc w:val="center"/>
              <w:rPr>
                <w:rFonts w:cstheme="minorHAnsi"/>
                <w:b w:val="0"/>
                <w:sz w:val="24"/>
                <w:szCs w:val="24"/>
              </w:rPr>
            </w:pPr>
            <w:r w:rsidRPr="00780C3A">
              <w:rPr>
                <w:rFonts w:cstheme="minorHAnsi"/>
                <w:sz w:val="24"/>
                <w:szCs w:val="24"/>
              </w:rPr>
              <w:t>3</w:t>
            </w:r>
          </w:p>
        </w:tc>
        <w:tc>
          <w:tcPr>
            <w:tcW w:w="3827" w:type="dxa"/>
            <w:shd w:val="clear" w:color="auto" w:fill="C2D69B" w:themeFill="accent3" w:themeFillTint="99"/>
          </w:tcPr>
          <w:p w:rsidR="00CF2E8C" w:rsidRPr="00780C3A" w:rsidRDefault="004967EE" w:rsidP="00CF2E8C">
            <w:pPr>
              <w:ind w:left="426"/>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Fully m</w:t>
            </w:r>
            <w:r w:rsidR="00CF2E8C" w:rsidRPr="00780C3A">
              <w:rPr>
                <w:rFonts w:cstheme="minorHAnsi"/>
                <w:sz w:val="24"/>
                <w:szCs w:val="24"/>
              </w:rPr>
              <w:t xml:space="preserve">eets the requirement and </w:t>
            </w:r>
            <w:r w:rsidR="007F3ACE">
              <w:rPr>
                <w:rFonts w:cstheme="minorHAnsi"/>
                <w:sz w:val="24"/>
                <w:szCs w:val="24"/>
              </w:rPr>
              <w:t>provides supporting evidence</w:t>
            </w:r>
            <w:r w:rsidR="000375BD">
              <w:rPr>
                <w:rFonts w:cstheme="minorHAnsi"/>
                <w:sz w:val="24"/>
                <w:szCs w:val="24"/>
              </w:rPr>
              <w:t xml:space="preserve"> and additional added value</w:t>
            </w:r>
            <w:r w:rsidR="00CF2E8C" w:rsidRPr="00780C3A">
              <w:rPr>
                <w:rFonts w:cstheme="minorHAnsi"/>
                <w:sz w:val="24"/>
                <w:szCs w:val="24"/>
              </w:rPr>
              <w:t>.</w:t>
            </w:r>
          </w:p>
        </w:tc>
        <w:bookmarkStart w:id="0" w:name="_GoBack"/>
        <w:bookmarkEnd w:id="0"/>
      </w:tr>
    </w:tbl>
    <w:p w:rsidR="00CF2E8C" w:rsidRDefault="00CF2E8C" w:rsidP="00CF2E8C">
      <w:pPr>
        <w:autoSpaceDE w:val="0"/>
        <w:autoSpaceDN w:val="0"/>
        <w:adjustRightInd w:val="0"/>
        <w:spacing w:after="0" w:line="240" w:lineRule="auto"/>
        <w:rPr>
          <w:rFonts w:ascii="Arial" w:hAnsi="Arial" w:cs="Arial"/>
          <w:bCs/>
        </w:rPr>
      </w:pPr>
    </w:p>
    <w:p w:rsidR="008E5471" w:rsidRPr="00CA4F82" w:rsidRDefault="008E5471" w:rsidP="00CA4F82">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The score for each criterion will be converted into a weighted percentage of the total</w:t>
      </w:r>
      <w:r w:rsidR="00CA4F82">
        <w:rPr>
          <w:rFonts w:ascii="Arial" w:hAnsi="Arial" w:cs="Arial"/>
        </w:rPr>
        <w:t xml:space="preserve"> score for the criterion it sits under</w:t>
      </w:r>
      <w:r w:rsidRPr="00CA4F82">
        <w:rPr>
          <w:rFonts w:ascii="Arial" w:hAnsi="Arial" w:cs="Arial"/>
        </w:rPr>
        <w:t>, using the formula:</w:t>
      </w:r>
    </w:p>
    <w:p w:rsidR="00F55A6C" w:rsidRPr="00801E6E" w:rsidRDefault="00F55A6C" w:rsidP="00801E6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
        <w:jc w:val="both"/>
        <w:rPr>
          <w:rFonts w:ascii="Arial" w:hAnsi="Arial" w:cs="Arial"/>
        </w:rPr>
      </w:pPr>
    </w:p>
    <w:p w:rsidR="007F3ACE" w:rsidRDefault="007F3ACE"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p>
    <w:p w:rsidR="008E5471" w:rsidRPr="008E5471" w:rsidRDefault="00F55A6C"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Quality Score</w:t>
      </w:r>
      <w:r w:rsidR="008E5471" w:rsidRPr="008E5471">
        <w:rPr>
          <w:rFonts w:ascii="Arial" w:hAnsi="Arial" w:cs="Arial"/>
          <w:b/>
        </w:rPr>
        <w:t xml:space="preserve">  </w:t>
      </w:r>
    </w:p>
    <w:p w:rsidR="00F55A6C" w:rsidRPr="008E5471" w:rsidRDefault="008E5471"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ab/>
      </w:r>
      <w:r w:rsidRPr="008E5471">
        <w:rPr>
          <w:rFonts w:ascii="Arial" w:hAnsi="Arial" w:cs="Arial"/>
          <w:b/>
        </w:rPr>
        <w:tab/>
      </w:r>
      <w:r w:rsidR="00F55A6C" w:rsidRPr="008E5471">
        <w:rPr>
          <w:rFonts w:ascii="Arial" w:hAnsi="Arial" w:cs="Arial"/>
          <w:b/>
        </w:rPr>
        <w:t xml:space="preserve"> </w:t>
      </w:r>
      <w:proofErr w:type="gramStart"/>
      <w:r w:rsidR="00F55A6C" w:rsidRPr="008E5471">
        <w:rPr>
          <w:rFonts w:ascii="Arial" w:hAnsi="Arial" w:cs="Arial"/>
          <w:b/>
        </w:rPr>
        <w:t>=  _</w:t>
      </w:r>
      <w:proofErr w:type="gramEnd"/>
      <w:r w:rsidR="00F55A6C" w:rsidRPr="008E5471">
        <w:rPr>
          <w:rFonts w:ascii="Arial" w:hAnsi="Arial" w:cs="Arial"/>
          <w:b/>
        </w:rPr>
        <w:t>_______Tenderer’s Score_______________  x Weightings</w:t>
      </w:r>
    </w:p>
    <w:p w:rsidR="00F55A6C" w:rsidRDefault="008E5471"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ab/>
      </w:r>
      <w:r>
        <w:rPr>
          <w:rFonts w:ascii="Arial" w:hAnsi="Arial" w:cs="Arial"/>
          <w:b/>
        </w:rPr>
        <w:tab/>
      </w:r>
      <w:r>
        <w:rPr>
          <w:rFonts w:ascii="Arial" w:hAnsi="Arial" w:cs="Arial"/>
          <w:b/>
        </w:rPr>
        <w:tab/>
      </w:r>
      <w:r w:rsidRPr="008E5471">
        <w:rPr>
          <w:rFonts w:ascii="Arial" w:hAnsi="Arial" w:cs="Arial"/>
          <w:b/>
        </w:rPr>
        <w:t>H</w:t>
      </w:r>
      <w:r w:rsidR="00F55A6C" w:rsidRPr="008E5471">
        <w:rPr>
          <w:rFonts w:ascii="Arial" w:hAnsi="Arial" w:cs="Arial"/>
          <w:b/>
        </w:rPr>
        <w:t>ighest Quality Score Possible for the Criterion</w:t>
      </w:r>
    </w:p>
    <w:p w:rsidR="00801E6E" w:rsidRDefault="00801E6E"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801E6E"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CF2E8C">
        <w:rPr>
          <w:rFonts w:ascii="Arial" w:hAnsi="Arial" w:cs="Arial"/>
          <w:b/>
          <w:sz w:val="24"/>
          <w:szCs w:val="24"/>
        </w:rPr>
        <w:t xml:space="preserve">Quality Score represents </w:t>
      </w:r>
      <w:r w:rsidR="00E06EA3">
        <w:rPr>
          <w:rFonts w:ascii="Arial" w:hAnsi="Arial" w:cs="Arial"/>
          <w:b/>
          <w:sz w:val="24"/>
          <w:szCs w:val="24"/>
        </w:rPr>
        <w:t>6</w:t>
      </w:r>
      <w:r w:rsidRPr="00CF2E8C">
        <w:rPr>
          <w:rFonts w:ascii="Arial" w:hAnsi="Arial" w:cs="Arial"/>
          <w:b/>
          <w:sz w:val="24"/>
          <w:szCs w:val="24"/>
        </w:rPr>
        <w:t>0% of Total Scores</w:t>
      </w:r>
    </w:p>
    <w:p w:rsidR="00801E6E" w:rsidRPr="00780C3A" w:rsidRDefault="00801E6E" w:rsidP="00801E6E">
      <w:pPr>
        <w:pStyle w:val="ListParagraph"/>
        <w:rPr>
          <w:rFonts w:ascii="Arial" w:hAnsi="Arial" w:cs="Arial"/>
          <w:b/>
          <w:sz w:val="24"/>
          <w:szCs w:val="24"/>
        </w:rPr>
      </w:pPr>
    </w:p>
    <w:p w:rsidR="00801E6E"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Pr>
          <w:rFonts w:ascii="Arial" w:hAnsi="Arial" w:cs="Arial"/>
          <w:b/>
          <w:sz w:val="24"/>
          <w:szCs w:val="24"/>
        </w:rPr>
        <w:t xml:space="preserve">This is broken down as </w:t>
      </w:r>
      <w:proofErr w:type="gramStart"/>
      <w:r>
        <w:rPr>
          <w:rFonts w:ascii="Arial" w:hAnsi="Arial" w:cs="Arial"/>
          <w:b/>
          <w:sz w:val="24"/>
          <w:szCs w:val="24"/>
        </w:rPr>
        <w:t>follows :</w:t>
      </w:r>
      <w:proofErr w:type="gramEnd"/>
      <w:r>
        <w:rPr>
          <w:rFonts w:ascii="Arial" w:hAnsi="Arial" w:cs="Arial"/>
          <w:b/>
          <w:sz w:val="24"/>
          <w:szCs w:val="24"/>
        </w:rPr>
        <w:t xml:space="preserve">- </w:t>
      </w:r>
    </w:p>
    <w:p w:rsidR="00801E6E" w:rsidRPr="00780C3A" w:rsidRDefault="00801E6E" w:rsidP="00801E6E">
      <w:pPr>
        <w:pStyle w:val="ListParagraph"/>
        <w:rPr>
          <w:rFonts w:ascii="Arial" w:hAnsi="Arial" w:cs="Arial"/>
          <w:b/>
          <w:sz w:val="24"/>
          <w:szCs w:val="24"/>
        </w:rPr>
      </w:pPr>
    </w:p>
    <w:p w:rsidR="00801E6E"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153"/>
        <w:jc w:val="both"/>
        <w:rPr>
          <w:rFonts w:ascii="Arial" w:hAnsi="Arial" w:cs="Arial"/>
          <w:b/>
          <w:sz w:val="24"/>
          <w:szCs w:val="24"/>
        </w:rPr>
      </w:pPr>
      <w:r>
        <w:rPr>
          <w:rFonts w:ascii="Arial" w:hAnsi="Arial" w:cs="Arial"/>
          <w:b/>
          <w:sz w:val="24"/>
          <w:szCs w:val="24"/>
        </w:rPr>
        <w:t xml:space="preserve">Description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CF2E8C">
        <w:rPr>
          <w:rFonts w:ascii="Arial" w:hAnsi="Arial" w:cs="Arial"/>
          <w:b/>
          <w:sz w:val="24"/>
          <w:szCs w:val="24"/>
        </w:rPr>
        <w:t>Weightings</w:t>
      </w:r>
    </w:p>
    <w:p w:rsidR="00801E6E" w:rsidRPr="00780C3A" w:rsidRDefault="00801E6E" w:rsidP="00801E6E">
      <w:pPr>
        <w:pStyle w:val="ListParagraph"/>
        <w:rPr>
          <w:rFonts w:ascii="Arial" w:hAnsi="Arial" w:cs="Arial"/>
          <w:b/>
          <w:sz w:val="24"/>
          <w:szCs w:val="24"/>
        </w:rPr>
      </w:pPr>
    </w:p>
    <w:p w:rsidR="00801E6E" w:rsidRPr="00DA3D02" w:rsidRDefault="00DA3D02"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DA3D02">
        <w:rPr>
          <w:rFonts w:ascii="Arial" w:hAnsi="Arial" w:cs="Arial"/>
          <w:sz w:val="24"/>
          <w:szCs w:val="24"/>
        </w:rPr>
        <w:t>Service Conditions</w:t>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00801E6E" w:rsidRPr="00DA3D02">
        <w:rPr>
          <w:rFonts w:ascii="Arial" w:hAnsi="Arial" w:cs="Arial"/>
          <w:sz w:val="24"/>
          <w:szCs w:val="24"/>
        </w:rPr>
        <w:tab/>
      </w:r>
      <w:r w:rsidRPr="00DA3D02">
        <w:rPr>
          <w:rFonts w:ascii="Arial" w:hAnsi="Arial" w:cs="Arial"/>
          <w:sz w:val="24"/>
          <w:szCs w:val="24"/>
        </w:rPr>
        <w:t>3</w:t>
      </w:r>
      <w:r w:rsidR="00801E6E" w:rsidRPr="00DA3D02">
        <w:rPr>
          <w:rFonts w:ascii="Arial" w:hAnsi="Arial" w:cs="Arial"/>
          <w:sz w:val="24"/>
          <w:szCs w:val="24"/>
        </w:rPr>
        <w:t>0%</w:t>
      </w:r>
    </w:p>
    <w:p w:rsidR="00801E6E" w:rsidRPr="00DA3D02" w:rsidRDefault="00DA3D02"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DA3D02">
        <w:rPr>
          <w:rFonts w:ascii="Arial" w:hAnsi="Arial" w:cs="Arial"/>
          <w:sz w:val="24"/>
          <w:szCs w:val="24"/>
        </w:rPr>
        <w:t>Number of calls and Call details</w:t>
      </w:r>
      <w:r w:rsidR="00801E6E" w:rsidRPr="00DA3D02">
        <w:rPr>
          <w:rFonts w:ascii="Arial" w:hAnsi="Arial" w:cs="Arial"/>
          <w:sz w:val="24"/>
          <w:szCs w:val="24"/>
        </w:rPr>
        <w:tab/>
      </w:r>
      <w:r w:rsidR="00801E6E" w:rsidRPr="00DA3D02">
        <w:rPr>
          <w:rFonts w:ascii="Arial" w:hAnsi="Arial" w:cs="Arial"/>
          <w:sz w:val="24"/>
          <w:szCs w:val="24"/>
        </w:rPr>
        <w:tab/>
      </w:r>
      <w:r w:rsidR="00801E6E" w:rsidRPr="00DA3D02">
        <w:rPr>
          <w:rFonts w:ascii="Arial" w:hAnsi="Arial" w:cs="Arial"/>
          <w:sz w:val="24"/>
          <w:szCs w:val="24"/>
        </w:rPr>
        <w:tab/>
      </w:r>
      <w:r w:rsidR="00801E6E" w:rsidRPr="00DA3D02">
        <w:rPr>
          <w:rFonts w:ascii="Arial" w:hAnsi="Arial" w:cs="Arial"/>
          <w:sz w:val="24"/>
          <w:szCs w:val="24"/>
        </w:rPr>
        <w:tab/>
      </w:r>
      <w:r w:rsidR="00801E6E" w:rsidRPr="00DA3D02">
        <w:rPr>
          <w:rFonts w:ascii="Arial" w:hAnsi="Arial" w:cs="Arial"/>
          <w:sz w:val="24"/>
          <w:szCs w:val="24"/>
        </w:rPr>
        <w:tab/>
      </w:r>
      <w:r w:rsidRPr="00DA3D02">
        <w:rPr>
          <w:rFonts w:ascii="Arial" w:hAnsi="Arial" w:cs="Arial"/>
          <w:sz w:val="24"/>
          <w:szCs w:val="24"/>
        </w:rPr>
        <w:t>10</w:t>
      </w:r>
      <w:r w:rsidR="00801E6E" w:rsidRPr="00DA3D02">
        <w:rPr>
          <w:rFonts w:ascii="Arial" w:hAnsi="Arial" w:cs="Arial"/>
          <w:sz w:val="24"/>
          <w:szCs w:val="24"/>
        </w:rPr>
        <w:t>%</w:t>
      </w:r>
    </w:p>
    <w:p w:rsidR="00DA3D02" w:rsidRPr="00DA3D02" w:rsidRDefault="00DA3D02"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DA3D02">
        <w:rPr>
          <w:rFonts w:ascii="Arial" w:hAnsi="Arial" w:cs="Arial"/>
          <w:sz w:val="24"/>
          <w:szCs w:val="24"/>
        </w:rPr>
        <w:t>Monthly reporting of customer Responses</w:t>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t>20%</w:t>
      </w:r>
    </w:p>
    <w:p w:rsidR="00DA3D02" w:rsidRPr="00DA3D02" w:rsidRDefault="00DA3D02"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DA3D02">
        <w:rPr>
          <w:rFonts w:ascii="Arial" w:hAnsi="Arial" w:cs="Arial"/>
          <w:sz w:val="24"/>
          <w:szCs w:val="24"/>
        </w:rPr>
        <w:t>Management Information</w:t>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t>20%</w:t>
      </w:r>
    </w:p>
    <w:p w:rsidR="00801E6E" w:rsidRPr="00DA3D02"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DA3D02">
        <w:rPr>
          <w:rFonts w:ascii="Arial" w:hAnsi="Arial" w:cs="Arial"/>
          <w:sz w:val="24"/>
          <w:szCs w:val="24"/>
        </w:rPr>
        <w:t xml:space="preserve">Sustainability </w:t>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00DA3D02" w:rsidRPr="00DA3D02">
        <w:rPr>
          <w:rFonts w:ascii="Arial" w:hAnsi="Arial" w:cs="Arial"/>
          <w:sz w:val="24"/>
          <w:szCs w:val="24"/>
        </w:rPr>
        <w:t>10</w:t>
      </w:r>
      <w:r w:rsidRPr="00DA3D02">
        <w:rPr>
          <w:rFonts w:ascii="Arial" w:hAnsi="Arial" w:cs="Arial"/>
          <w:sz w:val="24"/>
          <w:szCs w:val="24"/>
        </w:rPr>
        <w:t>%</w:t>
      </w:r>
    </w:p>
    <w:p w:rsidR="00DA3D02" w:rsidRPr="00DA3D02" w:rsidRDefault="00DA3D02"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DA3D02">
        <w:rPr>
          <w:rFonts w:ascii="Arial" w:hAnsi="Arial" w:cs="Arial"/>
          <w:sz w:val="24"/>
          <w:szCs w:val="24"/>
        </w:rPr>
        <w:lastRenderedPageBreak/>
        <w:t>GDPR</w:t>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t>10%</w:t>
      </w:r>
    </w:p>
    <w:p w:rsidR="00801E6E" w:rsidRPr="00780C3A"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rsidR="00801E6E" w:rsidRPr="00CF2E8C"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CF2E8C">
        <w:rPr>
          <w:rFonts w:ascii="Arial" w:hAnsi="Arial" w:cs="Arial"/>
          <w:b/>
          <w:sz w:val="24"/>
          <w:szCs w:val="24"/>
        </w:rPr>
        <w:t>Quality Points</w:t>
      </w:r>
    </w:p>
    <w:p w:rsidR="00801E6E" w:rsidRPr="00CF2E8C"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rsidR="00801E6E" w:rsidRPr="002C3432" w:rsidRDefault="00801E6E" w:rsidP="002C3432">
      <w:pPr>
        <w:pStyle w:val="ListParagraph"/>
        <w:numPr>
          <w:ilvl w:val="0"/>
          <w:numId w:val="19"/>
        </w:numPr>
        <w:ind w:hanging="720"/>
        <w:rPr>
          <w:rFonts w:ascii="Arial" w:hAnsi="Arial" w:cs="Arial"/>
          <w:sz w:val="24"/>
          <w:szCs w:val="24"/>
        </w:rPr>
      </w:pPr>
      <w:r w:rsidRPr="002C3432">
        <w:rPr>
          <w:rFonts w:ascii="Arial" w:hAnsi="Arial" w:cs="Arial"/>
          <w:sz w:val="24"/>
          <w:szCs w:val="24"/>
        </w:rPr>
        <w:t>However, as not all requirements are equal in their importance, each requirement will be further weighted as detailed in the specification (Section 1</w:t>
      </w:r>
      <w:r w:rsidR="00DA3D02">
        <w:rPr>
          <w:rFonts w:ascii="Arial" w:hAnsi="Arial" w:cs="Arial"/>
          <w:sz w:val="24"/>
          <w:szCs w:val="24"/>
        </w:rPr>
        <w:t>1</w:t>
      </w:r>
      <w:r w:rsidRPr="002C3432">
        <w:rPr>
          <w:rFonts w:ascii="Arial" w:hAnsi="Arial" w:cs="Arial"/>
          <w:sz w:val="24"/>
          <w:szCs w:val="24"/>
        </w:rPr>
        <w:t>) as follows :</w:t>
      </w:r>
    </w:p>
    <w:tbl>
      <w:tblPr>
        <w:tblStyle w:val="GridTable4-Accent6"/>
        <w:tblW w:w="0" w:type="auto"/>
        <w:tblInd w:w="475" w:type="dxa"/>
        <w:tblLook w:val="04A0" w:firstRow="1" w:lastRow="0" w:firstColumn="1" w:lastColumn="0" w:noHBand="0" w:noVBand="1"/>
      </w:tblPr>
      <w:tblGrid>
        <w:gridCol w:w="1555"/>
        <w:gridCol w:w="950"/>
      </w:tblGrid>
      <w:tr w:rsidR="00801E6E" w:rsidTr="00A433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00B050"/>
          </w:tcPr>
          <w:p w:rsidR="00801E6E" w:rsidRDefault="00801E6E" w:rsidP="00A433CA">
            <w:r>
              <w:t>Importance</w:t>
            </w:r>
          </w:p>
        </w:tc>
        <w:tc>
          <w:tcPr>
            <w:tcW w:w="950" w:type="dxa"/>
            <w:shd w:val="clear" w:color="auto" w:fill="00B050"/>
          </w:tcPr>
          <w:p w:rsidR="00801E6E" w:rsidRDefault="00801E6E" w:rsidP="00A433CA">
            <w:pPr>
              <w:cnfStyle w:val="100000000000" w:firstRow="1" w:lastRow="0" w:firstColumn="0" w:lastColumn="0" w:oddVBand="0" w:evenVBand="0" w:oddHBand="0" w:evenHBand="0" w:firstRowFirstColumn="0" w:firstRowLastColumn="0" w:lastRowFirstColumn="0" w:lastRowLastColumn="0"/>
            </w:pPr>
            <w:r>
              <w:t>Weight</w:t>
            </w:r>
          </w:p>
        </w:tc>
      </w:tr>
      <w:tr w:rsidR="00801E6E" w:rsidTr="00A433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92D050"/>
          </w:tcPr>
          <w:p w:rsidR="00801E6E" w:rsidRPr="00755C1E" w:rsidRDefault="00801E6E" w:rsidP="00A433CA">
            <w:pPr>
              <w:rPr>
                <w:b w:val="0"/>
              </w:rPr>
            </w:pPr>
            <w:r w:rsidRPr="00755C1E">
              <w:t>High</w:t>
            </w:r>
          </w:p>
        </w:tc>
        <w:tc>
          <w:tcPr>
            <w:tcW w:w="950" w:type="dxa"/>
            <w:shd w:val="clear" w:color="auto" w:fill="92D050"/>
          </w:tcPr>
          <w:p w:rsidR="00801E6E" w:rsidRDefault="00801E6E" w:rsidP="00A433CA">
            <w:pPr>
              <w:cnfStyle w:val="000000100000" w:firstRow="0" w:lastRow="0" w:firstColumn="0" w:lastColumn="0" w:oddVBand="0" w:evenVBand="0" w:oddHBand="1" w:evenHBand="0" w:firstRowFirstColumn="0" w:firstRowLastColumn="0" w:lastRowFirstColumn="0" w:lastRowLastColumn="0"/>
            </w:pPr>
            <w:r>
              <w:t>5</w:t>
            </w:r>
          </w:p>
        </w:tc>
      </w:tr>
      <w:tr w:rsidR="00801E6E" w:rsidTr="00CA37B1">
        <w:tc>
          <w:tcPr>
            <w:cnfStyle w:val="001000000000" w:firstRow="0" w:lastRow="0" w:firstColumn="1" w:lastColumn="0" w:oddVBand="0" w:evenVBand="0" w:oddHBand="0" w:evenHBand="0" w:firstRowFirstColumn="0" w:firstRowLastColumn="0" w:lastRowFirstColumn="0" w:lastRowLastColumn="0"/>
            <w:tcW w:w="1555" w:type="dxa"/>
            <w:shd w:val="clear" w:color="auto" w:fill="C2D69B" w:themeFill="accent3" w:themeFillTint="99"/>
          </w:tcPr>
          <w:p w:rsidR="00801E6E" w:rsidRPr="00755C1E" w:rsidRDefault="00801E6E" w:rsidP="00A433CA">
            <w:pPr>
              <w:rPr>
                <w:b w:val="0"/>
              </w:rPr>
            </w:pPr>
            <w:r w:rsidRPr="00755C1E">
              <w:t>Medium</w:t>
            </w:r>
          </w:p>
        </w:tc>
        <w:tc>
          <w:tcPr>
            <w:tcW w:w="950" w:type="dxa"/>
            <w:shd w:val="clear" w:color="auto" w:fill="C2D69B" w:themeFill="accent3" w:themeFillTint="99"/>
          </w:tcPr>
          <w:p w:rsidR="00801E6E" w:rsidRDefault="00801E6E" w:rsidP="00A433CA">
            <w:pPr>
              <w:cnfStyle w:val="000000000000" w:firstRow="0" w:lastRow="0" w:firstColumn="0" w:lastColumn="0" w:oddVBand="0" w:evenVBand="0" w:oddHBand="0" w:evenHBand="0" w:firstRowFirstColumn="0" w:firstRowLastColumn="0" w:lastRowFirstColumn="0" w:lastRowLastColumn="0"/>
            </w:pPr>
            <w:r>
              <w:t>3</w:t>
            </w:r>
          </w:p>
        </w:tc>
      </w:tr>
    </w:tbl>
    <w:p w:rsidR="00801E6E" w:rsidRDefault="00801E6E" w:rsidP="00CA37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CA37B1" w:rsidRDefault="00CA37B1" w:rsidP="00CA37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E06EA3" w:rsidRDefault="006D057C" w:rsidP="00E06EA3">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38304D">
        <w:rPr>
          <w:rFonts w:ascii="Arial" w:hAnsi="Arial" w:cs="Arial"/>
          <w:b/>
        </w:rPr>
        <w:t xml:space="preserve">Price </w:t>
      </w:r>
      <w:proofErr w:type="gramStart"/>
      <w:r w:rsidRPr="0038304D">
        <w:rPr>
          <w:rFonts w:ascii="Arial" w:hAnsi="Arial" w:cs="Arial"/>
          <w:b/>
        </w:rPr>
        <w:t>Score</w:t>
      </w:r>
      <w:r w:rsidR="00F55A6C" w:rsidRPr="0038304D">
        <w:rPr>
          <w:rFonts w:ascii="Arial" w:hAnsi="Arial" w:cs="Arial"/>
          <w:b/>
        </w:rPr>
        <w:t xml:space="preserve">  </w:t>
      </w:r>
      <w:r w:rsidR="00E06EA3" w:rsidRPr="00CF2E8C">
        <w:rPr>
          <w:rFonts w:ascii="Arial" w:hAnsi="Arial" w:cs="Arial"/>
          <w:b/>
          <w:sz w:val="24"/>
          <w:szCs w:val="24"/>
        </w:rPr>
        <w:t>represents</w:t>
      </w:r>
      <w:proofErr w:type="gramEnd"/>
      <w:r w:rsidR="00E06EA3" w:rsidRPr="00CF2E8C">
        <w:rPr>
          <w:rFonts w:ascii="Arial" w:hAnsi="Arial" w:cs="Arial"/>
          <w:b/>
          <w:sz w:val="24"/>
          <w:szCs w:val="24"/>
        </w:rPr>
        <w:t xml:space="preserve"> </w:t>
      </w:r>
      <w:r w:rsidR="00E06EA3">
        <w:rPr>
          <w:rFonts w:ascii="Arial" w:hAnsi="Arial" w:cs="Arial"/>
          <w:b/>
          <w:sz w:val="24"/>
          <w:szCs w:val="24"/>
        </w:rPr>
        <w:t>4</w:t>
      </w:r>
      <w:r w:rsidR="00E06EA3" w:rsidRPr="00CF2E8C">
        <w:rPr>
          <w:rFonts w:ascii="Arial" w:hAnsi="Arial" w:cs="Arial"/>
          <w:b/>
          <w:sz w:val="24"/>
          <w:szCs w:val="24"/>
        </w:rPr>
        <w:t>0% of Total Scores</w:t>
      </w:r>
    </w:p>
    <w:p w:rsidR="00D64F9C" w:rsidRDefault="00D64F9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60227E" w:rsidRDefault="0060227E"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F55A6C" w:rsidRPr="0038304D" w:rsidRDefault="0060227E"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w:t>
      </w:r>
      <w:r w:rsidR="00E06EA3">
        <w:rPr>
          <w:rFonts w:ascii="Arial" w:hAnsi="Arial" w:cs="Arial"/>
          <w:b/>
        </w:rPr>
        <w:tab/>
      </w:r>
      <w:r w:rsidR="00E06EA3">
        <w:rPr>
          <w:rFonts w:ascii="Arial" w:hAnsi="Arial" w:cs="Arial"/>
          <w:b/>
        </w:rPr>
        <w:tab/>
      </w:r>
      <w:r w:rsidR="00E06EA3">
        <w:rPr>
          <w:rFonts w:ascii="Arial" w:hAnsi="Arial" w:cs="Arial"/>
          <w:b/>
        </w:rPr>
        <w:tab/>
      </w:r>
      <w:r w:rsidR="00F55A6C" w:rsidRPr="00E06EA3">
        <w:rPr>
          <w:rFonts w:ascii="Arial" w:hAnsi="Arial" w:cs="Arial"/>
          <w:b/>
          <w:u w:val="single"/>
        </w:rPr>
        <w:t xml:space="preserve">Lowest </w:t>
      </w:r>
      <w:r w:rsidR="006D057C" w:rsidRPr="00E06EA3">
        <w:rPr>
          <w:rFonts w:ascii="Arial" w:hAnsi="Arial" w:cs="Arial"/>
          <w:b/>
          <w:u w:val="single"/>
        </w:rPr>
        <w:t>Price</w:t>
      </w:r>
      <w:r w:rsidR="00F55A6C" w:rsidRPr="00E06EA3">
        <w:rPr>
          <w:rFonts w:ascii="Arial" w:hAnsi="Arial" w:cs="Arial"/>
          <w:b/>
          <w:u w:val="single"/>
        </w:rPr>
        <w:t xml:space="preserve"> x Weightings</w:t>
      </w:r>
    </w:p>
    <w:p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Pr="0038304D">
        <w:rPr>
          <w:rFonts w:ascii="Arial" w:hAnsi="Arial" w:cs="Arial"/>
          <w:b/>
        </w:rPr>
        <w:tab/>
        <w:t>Each Tenderer</w:t>
      </w:r>
      <w:r w:rsidR="00F55A6C" w:rsidRPr="0038304D">
        <w:rPr>
          <w:rFonts w:ascii="Arial" w:hAnsi="Arial" w:cs="Arial"/>
          <w:b/>
        </w:rPr>
        <w:t xml:space="preserve">’s </w:t>
      </w:r>
      <w:r w:rsidRPr="0038304D">
        <w:rPr>
          <w:rFonts w:ascii="Arial" w:hAnsi="Arial" w:cs="Arial"/>
          <w:b/>
        </w:rPr>
        <w:t>Price</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Default="00CA37B1" w:rsidP="0038304D">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w:t>
      </w:r>
      <w:r w:rsidR="0038304D">
        <w:rPr>
          <w:rFonts w:ascii="Arial" w:hAnsi="Arial" w:cs="Arial"/>
        </w:rPr>
        <w:t>.</w:t>
      </w:r>
      <w:r w:rsidR="0038304D">
        <w:rPr>
          <w:rFonts w:ascii="Arial" w:hAnsi="Arial" w:cs="Arial"/>
        </w:rPr>
        <w:tab/>
      </w:r>
      <w:r w:rsidR="0038304D" w:rsidRPr="00801E6E">
        <w:rPr>
          <w:rFonts w:ascii="Arial" w:hAnsi="Arial" w:cs="Arial"/>
          <w:sz w:val="24"/>
          <w:szCs w:val="24"/>
        </w:rPr>
        <w:t>Each supplier’s total score will be:</w:t>
      </w:r>
    </w:p>
    <w:p w:rsidR="0038304D" w:rsidRPr="0038304D" w:rsidRDefault="0038304D" w:rsidP="0038304D">
      <w:pPr>
        <w:pStyle w:val="ListParagraph"/>
        <w:rPr>
          <w:rFonts w:ascii="Arial" w:hAnsi="Arial" w:cs="Arial"/>
        </w:rPr>
      </w:pPr>
    </w:p>
    <w:p w:rsidR="00CF2E8C" w:rsidRPr="00801E6E" w:rsidRDefault="00CF2E8C" w:rsidP="00801E6E">
      <w:pPr>
        <w:pStyle w:val="ListParagraph"/>
        <w:numPr>
          <w:ilvl w:val="12"/>
          <w:numId w:val="15"/>
        </w:numPr>
        <w:tabs>
          <w:tab w:val="left" w:pos="426"/>
          <w:tab w:val="left" w:pos="1276"/>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8"/>
        </w:rPr>
      </w:pPr>
      <w:r w:rsidRPr="005354F4">
        <w:rPr>
          <w:rFonts w:ascii="Arial" w:hAnsi="Arial" w:cs="Arial"/>
          <w:sz w:val="24"/>
          <w:szCs w:val="24"/>
        </w:rPr>
        <w:tab/>
      </w:r>
      <w:r w:rsidRPr="00801E6E">
        <w:rPr>
          <w:rFonts w:ascii="Arial" w:hAnsi="Arial" w:cs="Arial"/>
          <w:b/>
          <w:sz w:val="28"/>
          <w:szCs w:val="28"/>
        </w:rPr>
        <w:t xml:space="preserve">TOTAL SCORE = Total Quality Score + Total </w:t>
      </w:r>
      <w:r w:rsidR="00780C3A" w:rsidRPr="00801E6E">
        <w:rPr>
          <w:rFonts w:ascii="Arial" w:hAnsi="Arial" w:cs="Arial"/>
          <w:b/>
          <w:sz w:val="28"/>
          <w:szCs w:val="28"/>
        </w:rPr>
        <w:t>Price/Cost</w:t>
      </w:r>
      <w:r w:rsidRPr="00801E6E">
        <w:rPr>
          <w:rFonts w:ascii="Arial" w:hAnsi="Arial" w:cs="Arial"/>
          <w:b/>
          <w:sz w:val="28"/>
          <w:szCs w:val="28"/>
        </w:rPr>
        <w:t xml:space="preserve"> Score</w:t>
      </w:r>
    </w:p>
    <w:p w:rsidR="00CF2E8C" w:rsidRDefault="00CF2E8C" w:rsidP="00780C3A">
      <w:pPr>
        <w:pStyle w:val="Heading2"/>
        <w:ind w:left="360"/>
        <w:rPr>
          <w:rFonts w:ascii="Arial" w:hAnsi="Arial" w:cs="Arial"/>
          <w:sz w:val="24"/>
          <w:szCs w:val="24"/>
        </w:rPr>
      </w:pPr>
    </w:p>
    <w:p w:rsidR="00CF2E8C" w:rsidRDefault="00CF2E8C" w:rsidP="00780C3A">
      <w:pPr>
        <w:pStyle w:val="Heading2"/>
        <w:ind w:left="360"/>
        <w:rPr>
          <w:rFonts w:ascii="Arial" w:hAnsi="Arial" w:cs="Arial"/>
          <w:sz w:val="24"/>
          <w:szCs w:val="24"/>
        </w:rPr>
      </w:pPr>
    </w:p>
    <w:p w:rsidR="00CF2E8C" w:rsidRPr="00CF2E8C" w:rsidRDefault="00CF2E8C" w:rsidP="00CF2E8C">
      <w:pPr>
        <w:pStyle w:val="ListParagraph"/>
        <w:numPr>
          <w:ilvl w:val="0"/>
          <w:numId w:val="15"/>
        </w:numPr>
        <w:rPr>
          <w:rFonts w:ascii="Arial" w:eastAsia="Times New Roman" w:hAnsi="Arial" w:cs="Arial"/>
          <w:b/>
          <w:sz w:val="24"/>
          <w:szCs w:val="24"/>
        </w:rPr>
      </w:pPr>
      <w:r w:rsidRPr="00CF2E8C">
        <w:rPr>
          <w:rFonts w:ascii="Arial" w:hAnsi="Arial" w:cs="Arial"/>
          <w:sz w:val="24"/>
          <w:szCs w:val="24"/>
        </w:rPr>
        <w:br w:type="page"/>
      </w:r>
    </w:p>
    <w:p w:rsidR="00CF2E8C" w:rsidRPr="00F55A6C" w:rsidRDefault="00CF2E8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172BA8" w:rsidRPr="00172BA8" w:rsidRDefault="00463459" w:rsidP="00172BA8">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cs="Arial"/>
        </w:rPr>
      </w:pPr>
      <w:r w:rsidRPr="0038304D">
        <w:rPr>
          <w:rFonts w:ascii="Arial" w:hAnsi="Arial" w:cs="Arial"/>
        </w:rPr>
        <w:t>The MCA intends to award the contract to the tenderer that receives the highest Total Score.</w:t>
      </w:r>
      <w:r w:rsidR="0038304D" w:rsidRPr="0038304D">
        <w:rPr>
          <w:rFonts w:ascii="Arial" w:hAnsi="Arial" w:cs="Arial"/>
        </w:rPr>
        <w:t xml:space="preserve">  </w:t>
      </w:r>
    </w:p>
    <w:p w:rsidR="00172BA8" w:rsidRPr="00172BA8" w:rsidRDefault="00172BA8" w:rsidP="00172BA8">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cs="Arial"/>
        </w:rPr>
      </w:pPr>
    </w:p>
    <w:p w:rsidR="00F55A6C" w:rsidRPr="008D4855" w:rsidRDefault="00F55A6C" w:rsidP="00172BA8">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cs="Arial"/>
        </w:rPr>
      </w:pPr>
      <w:r w:rsidRPr="008D4855">
        <w:rPr>
          <w:rFonts w:cs="Arial"/>
        </w:rPr>
        <w:t xml:space="preserve">You should note </w:t>
      </w:r>
      <w:proofErr w:type="gramStart"/>
      <w:r w:rsidRPr="008D4855">
        <w:rPr>
          <w:rFonts w:cs="Arial"/>
        </w:rPr>
        <w:t>that:-</w:t>
      </w:r>
      <w:proofErr w:type="gramEnd"/>
    </w:p>
    <w:p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rsidR="00463459" w:rsidRPr="00463459" w:rsidRDefault="00463459" w:rsidP="00463459">
      <w:pPr>
        <w:pStyle w:val="ListParagraph"/>
        <w:tabs>
          <w:tab w:val="left" w:pos="1134"/>
        </w:tabs>
        <w:ind w:left="1134"/>
        <w:rPr>
          <w:rFonts w:ascii="Arial" w:hAnsi="Arial" w:cs="Arial"/>
        </w:rPr>
      </w:pPr>
    </w:p>
    <w:p w:rsidR="00F55A6C"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12"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13" w:history="1">
        <w:r w:rsidR="008A2449" w:rsidRPr="00EF722F">
          <w:rPr>
            <w:rStyle w:val="Hyperlink"/>
            <w:rFonts w:ascii="Arial" w:hAnsi="Arial" w:cs="Arial"/>
          </w:rPr>
          <w:t>supplier@crowncommercial.gov.uk</w:t>
        </w:r>
      </w:hyperlink>
      <w:r w:rsidR="008A2449">
        <w:rPr>
          <w:rFonts w:ascii="Arial" w:hAnsi="Arial" w:cs="Arial"/>
        </w:rPr>
        <w:t xml:space="preserve">.  </w:t>
      </w:r>
    </w:p>
    <w:p w:rsidR="00656E67" w:rsidRPr="00656E67" w:rsidRDefault="00656E67" w:rsidP="00656E67">
      <w:pPr>
        <w:pStyle w:val="ListParagraph"/>
        <w:rPr>
          <w:rFonts w:ascii="Arial" w:hAnsi="Arial" w:cs="Arial"/>
        </w:rPr>
      </w:pPr>
    </w:p>
    <w:p w:rsidR="00656E67" w:rsidRPr="00656E67" w:rsidRDefault="00656E67" w:rsidP="00CF2E8C">
      <w:pPr>
        <w:pStyle w:val="ListParagraph"/>
        <w:numPr>
          <w:ilvl w:val="0"/>
          <w:numId w:val="10"/>
        </w:numPr>
        <w:autoSpaceDE w:val="0"/>
        <w:autoSpaceDN w:val="0"/>
        <w:adjustRightInd w:val="0"/>
        <w:spacing w:after="0" w:line="240" w:lineRule="auto"/>
        <w:ind w:left="1134" w:hanging="425"/>
        <w:rPr>
          <w:rFonts w:ascii="Arial" w:hAnsi="Arial" w:cs="Arial"/>
          <w:bCs/>
        </w:rPr>
      </w:pPr>
      <w:r w:rsidRPr="00656E67">
        <w:rPr>
          <w:rFonts w:ascii="Arial" w:hAnsi="Arial" w:cs="Arial"/>
          <w:bCs/>
        </w:rPr>
        <w:t>No work is to be started before the formal contract award letter has been received from the MCA and accepted by the contractor</w:t>
      </w:r>
      <w:r w:rsidRPr="00656E67">
        <w:rPr>
          <w:rFonts w:ascii="Arial" w:hAnsi="Arial" w:cs="Arial"/>
          <w:b/>
          <w:bCs/>
        </w:rPr>
        <w:t xml:space="preserve">. </w:t>
      </w: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rsidR="00463459" w:rsidRPr="00463459" w:rsidRDefault="002C3432" w:rsidP="002C3432">
      <w:pPr>
        <w:pStyle w:val="DfTLevel1"/>
        <w:keepLines/>
        <w:suppressLineNumbers/>
        <w:spacing w:before="120" w:after="120"/>
        <w:ind w:left="360" w:hanging="360"/>
        <w:jc w:val="both"/>
        <w:rPr>
          <w:rFonts w:cs="Arial"/>
          <w:sz w:val="22"/>
          <w:szCs w:val="22"/>
        </w:rPr>
      </w:pPr>
      <w:r>
        <w:rPr>
          <w:rFonts w:cs="Arial"/>
          <w:color w:val="000000"/>
          <w:sz w:val="22"/>
          <w:szCs w:val="22"/>
        </w:rPr>
        <w:t>24</w:t>
      </w:r>
      <w:r>
        <w:rPr>
          <w:rFonts w:cs="Arial"/>
          <w:color w:val="000000"/>
          <w:sz w:val="22"/>
          <w:szCs w:val="22"/>
        </w:rPr>
        <w:tab/>
        <w:t>Y</w:t>
      </w:r>
      <w:r w:rsidR="00463459" w:rsidRPr="008D4855">
        <w:rPr>
          <w:rFonts w:cs="Arial"/>
          <w:color w:val="000000"/>
          <w:sz w:val="22"/>
          <w:szCs w:val="22"/>
        </w:rPr>
        <w:t xml:space="preserve">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00463459"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00463459"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rsidR="00463459" w:rsidRPr="00832702" w:rsidRDefault="002C3432" w:rsidP="002C3432">
      <w:pPr>
        <w:pStyle w:val="DfTLevel1"/>
        <w:keepLines/>
        <w:suppressLineNumbers/>
        <w:spacing w:before="120" w:after="120"/>
        <w:ind w:left="360" w:hanging="360"/>
        <w:jc w:val="both"/>
        <w:rPr>
          <w:rFonts w:cs="Arial"/>
          <w:b/>
          <w:spacing w:val="-3"/>
        </w:rPr>
      </w:pPr>
      <w:r>
        <w:rPr>
          <w:rFonts w:cs="Arial"/>
          <w:sz w:val="22"/>
          <w:szCs w:val="22"/>
        </w:rPr>
        <w:t>25</w:t>
      </w:r>
      <w:r>
        <w:rPr>
          <w:rFonts w:cs="Arial"/>
          <w:sz w:val="22"/>
          <w:szCs w:val="22"/>
        </w:rPr>
        <w:tab/>
      </w:r>
      <w:r w:rsidR="00463459" w:rsidRPr="00F14C0F">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rsidR="00832702" w:rsidRPr="00832702" w:rsidRDefault="00832702" w:rsidP="002C3432">
      <w:pPr>
        <w:autoSpaceDE w:val="0"/>
        <w:autoSpaceDN w:val="0"/>
        <w:adjustRightInd w:val="0"/>
        <w:spacing w:after="0" w:line="240" w:lineRule="auto"/>
        <w:ind w:left="426" w:hanging="66"/>
        <w:rPr>
          <w:rFonts w:ascii="Arial" w:hAnsi="Arial" w:cs="Arial"/>
          <w:bCs/>
        </w:rPr>
      </w:pPr>
      <w:r w:rsidRPr="00832702">
        <w:rPr>
          <w:rFonts w:ascii="Arial" w:hAnsi="Arial" w:cs="Arial"/>
          <w:bCs/>
        </w:rPr>
        <w:t xml:space="preserve">At the </w:t>
      </w:r>
      <w:r w:rsidR="00CB0C07">
        <w:rPr>
          <w:rFonts w:ascii="Arial" w:hAnsi="Arial" w:cs="Arial"/>
          <w:bCs/>
        </w:rPr>
        <w:t>start up</w:t>
      </w:r>
      <w:r w:rsidRPr="00832702">
        <w:rPr>
          <w:rFonts w:ascii="Arial" w:hAnsi="Arial" w:cs="Arial"/>
          <w:bCs/>
        </w:rPr>
        <w:t xml:space="preserve"> meeting, </w:t>
      </w:r>
      <w:r w:rsidR="00780C3A">
        <w:rPr>
          <w:rFonts w:ascii="Arial" w:hAnsi="Arial" w:cs="Arial"/>
          <w:bCs/>
        </w:rPr>
        <w:t>any</w:t>
      </w:r>
      <w:r w:rsidRPr="00832702">
        <w:rPr>
          <w:rFonts w:ascii="Arial" w:hAnsi="Arial" w:cs="Arial"/>
          <w:bCs/>
        </w:rPr>
        <w:t xml:space="preserve"> stage payments will be agreed and linked to milestones and deliverables.</w:t>
      </w:r>
    </w:p>
    <w:p w:rsidR="00832702" w:rsidRPr="00832702" w:rsidRDefault="00832702" w:rsidP="002C3432">
      <w:pPr>
        <w:autoSpaceDE w:val="0"/>
        <w:autoSpaceDN w:val="0"/>
        <w:adjustRightInd w:val="0"/>
        <w:spacing w:after="0" w:line="240" w:lineRule="auto"/>
        <w:ind w:left="709" w:hanging="283"/>
        <w:rPr>
          <w:rFonts w:ascii="Arial" w:hAnsi="Arial" w:cs="Arial"/>
          <w:bCs/>
        </w:rPr>
      </w:pPr>
    </w:p>
    <w:p w:rsidR="008A451E" w:rsidRPr="008A451E" w:rsidRDefault="008A451E" w:rsidP="002C3432">
      <w:pPr>
        <w:ind w:left="426" w:hanging="66"/>
        <w:jc w:val="both"/>
        <w:rPr>
          <w:rFonts w:ascii="Arial" w:hAnsi="Arial" w:cs="Arial"/>
        </w:rPr>
      </w:pPr>
      <w:r w:rsidRPr="008A451E">
        <w:rPr>
          <w:rFonts w:ascii="Arial" w:hAnsi="Arial" w:cs="Arial"/>
        </w:rPr>
        <w:t xml:space="preserve">Payment shall be made upon </w:t>
      </w:r>
      <w:r w:rsidR="00780C3A">
        <w:rPr>
          <w:rFonts w:ascii="Arial" w:hAnsi="Arial" w:cs="Arial"/>
        </w:rPr>
        <w:t xml:space="preserve">satisfactory </w:t>
      </w:r>
      <w:r w:rsidRPr="008A451E">
        <w:rPr>
          <w:rFonts w:ascii="Arial" w:hAnsi="Arial" w:cs="Arial"/>
        </w:rPr>
        <w:t xml:space="preserve">delivery of the </w:t>
      </w:r>
      <w:r w:rsidR="00780C3A">
        <w:rPr>
          <w:rFonts w:ascii="Arial" w:hAnsi="Arial" w:cs="Arial"/>
        </w:rPr>
        <w:t xml:space="preserve">report in accordance </w:t>
      </w:r>
      <w:r w:rsidRPr="008A451E">
        <w:rPr>
          <w:rFonts w:ascii="Arial" w:hAnsi="Arial" w:cs="Arial"/>
        </w:rPr>
        <w:t xml:space="preserve">with the </w:t>
      </w:r>
      <w:r w:rsidR="00780C3A">
        <w:rPr>
          <w:rFonts w:ascii="Arial" w:hAnsi="Arial" w:cs="Arial"/>
        </w:rPr>
        <w:t>requirement</w:t>
      </w:r>
      <w:r w:rsidRPr="008A451E">
        <w:rPr>
          <w:rFonts w:ascii="Arial" w:hAnsi="Arial" w:cs="Arial"/>
        </w:rPr>
        <w:t>, and subject to the receipt of a valid and correctly submitted invoice.  The MCA pays undisputed invoices 30 days in arrears.</w:t>
      </w:r>
    </w:p>
    <w:p w:rsidR="008A451E" w:rsidRPr="008A451E" w:rsidRDefault="008A451E" w:rsidP="002C3432">
      <w:pPr>
        <w:tabs>
          <w:tab w:val="left" w:pos="1440"/>
          <w:tab w:val="left" w:pos="2160"/>
          <w:tab w:val="left" w:pos="2880"/>
          <w:tab w:val="left" w:pos="3600"/>
          <w:tab w:val="left" w:pos="4320"/>
          <w:tab w:val="left" w:pos="5040"/>
          <w:tab w:val="left" w:pos="5760"/>
          <w:tab w:val="left" w:pos="6480"/>
          <w:tab w:val="left" w:pos="7200"/>
          <w:tab w:val="left" w:pos="7920"/>
        </w:tabs>
        <w:ind w:left="426" w:firstLine="11"/>
        <w:jc w:val="both"/>
        <w:rPr>
          <w:rFonts w:ascii="Arial" w:hAnsi="Arial" w:cs="Arial"/>
        </w:rPr>
      </w:pPr>
      <w:r w:rsidRPr="008A451E">
        <w:rPr>
          <w:rFonts w:ascii="Arial" w:hAnsi="Arial" w:cs="Arial"/>
        </w:rPr>
        <w:t xml:space="preserve">Contractors should note that the MCA has migrated its invoicing activity to the DfT Shared Service Centre (Swansea). Invoices should be sent to the address below and include a case reference number and transaction account code (to be assigned by the Agency). Invoices </w:t>
      </w:r>
      <w:r w:rsidRPr="008A451E">
        <w:rPr>
          <w:rFonts w:ascii="Arial" w:hAnsi="Arial" w:cs="Arial"/>
        </w:rPr>
        <w:lastRenderedPageBreak/>
        <w:t>also need to detail the purchase order number issued by the MCA and a full description of items provided:</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 xml:space="preserve">DfT Shared Service Centre </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Arvato Bertelsmann</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Sandringham Park,</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 xml:space="preserve">Swansea Vale, </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Swansea, Wales,</w:t>
      </w:r>
    </w:p>
    <w:p w:rsidR="008A451E" w:rsidRPr="008A451E" w:rsidRDefault="008A451E" w:rsidP="008A451E">
      <w:pPr>
        <w:autoSpaceDE w:val="0"/>
        <w:autoSpaceDN w:val="0"/>
        <w:adjustRightInd w:val="0"/>
        <w:spacing w:after="0" w:line="240" w:lineRule="auto"/>
        <w:ind w:left="360" w:firstLine="360"/>
        <w:rPr>
          <w:rFonts w:ascii="Arial" w:hAnsi="Arial" w:cs="Arial"/>
          <w:b/>
          <w:bCs/>
        </w:rPr>
      </w:pPr>
      <w:r w:rsidRPr="008A451E">
        <w:rPr>
          <w:rFonts w:ascii="Arial" w:hAnsi="Arial" w:cs="Arial"/>
          <w:b/>
        </w:rPr>
        <w:t>SA7 0EA</w:t>
      </w:r>
    </w:p>
    <w:p w:rsidR="008A451E" w:rsidRPr="008A451E" w:rsidRDefault="008A451E" w:rsidP="008A451E">
      <w:pPr>
        <w:pStyle w:val="ListParagraph"/>
        <w:numPr>
          <w:ilvl w:val="0"/>
          <w:numId w:val="15"/>
        </w:numPr>
        <w:rPr>
          <w:rFonts w:ascii="Arial" w:hAnsi="Arial" w:cs="Arial"/>
          <w:b/>
          <w:bCs/>
        </w:rPr>
      </w:pPr>
      <w:r w:rsidRPr="008A451E">
        <w:rPr>
          <w:rFonts w:ascii="Arial" w:hAnsi="Arial" w:cs="Arial"/>
          <w:b/>
          <w:bCs/>
        </w:rPr>
        <w:br w:type="page"/>
      </w:r>
    </w:p>
    <w:p w:rsidR="00832702" w:rsidRPr="00F14C0F" w:rsidRDefault="00832702" w:rsidP="008A451E">
      <w:pPr>
        <w:pStyle w:val="DfTLevel1"/>
        <w:keepLines/>
        <w:suppressLineNumbers/>
        <w:spacing w:before="120" w:after="120"/>
        <w:jc w:val="both"/>
        <w:rPr>
          <w:rFonts w:cs="Arial"/>
          <w:b/>
          <w:spacing w:val="-3"/>
        </w:rPr>
      </w:pPr>
    </w:p>
    <w:p w:rsidR="00463459" w:rsidRDefault="00463459" w:rsidP="00463459">
      <w:pPr>
        <w:keepLines/>
        <w:suppressLineNumbers/>
        <w:suppressAutoHyphens/>
        <w:spacing w:before="120" w:after="120"/>
        <w:ind w:left="709" w:hanging="709"/>
        <w:jc w:val="both"/>
        <w:rPr>
          <w:rFonts w:ascii="Arial" w:hAnsi="Arial" w:cs="Arial"/>
          <w:b/>
          <w:spacing w:val="-3"/>
        </w:rPr>
      </w:pPr>
    </w:p>
    <w:p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rsidR="008D4855" w:rsidRPr="008D4855" w:rsidRDefault="00780C3A" w:rsidP="00780C3A">
      <w:pPr>
        <w:pStyle w:val="DfTLevel1"/>
        <w:keepLines/>
        <w:suppressLineNumbers/>
        <w:spacing w:before="120" w:after="120"/>
        <w:ind w:left="720" w:hanging="720"/>
        <w:jc w:val="both"/>
        <w:rPr>
          <w:rFonts w:cs="Arial"/>
          <w:sz w:val="22"/>
          <w:szCs w:val="22"/>
        </w:rPr>
      </w:pPr>
      <w:r>
        <w:rPr>
          <w:rFonts w:cs="Arial"/>
          <w:sz w:val="22"/>
          <w:szCs w:val="22"/>
        </w:rPr>
        <w:t>2</w:t>
      </w:r>
      <w:r w:rsidR="002C3432">
        <w:rPr>
          <w:rFonts w:cs="Arial"/>
          <w:sz w:val="22"/>
          <w:szCs w:val="22"/>
        </w:rPr>
        <w:t>6</w:t>
      </w:r>
      <w:r>
        <w:rPr>
          <w:rFonts w:cs="Arial"/>
          <w:sz w:val="22"/>
          <w:szCs w:val="22"/>
        </w:rPr>
        <w:tab/>
      </w:r>
      <w:r w:rsidR="008D4855"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rsidR="00114363" w:rsidRPr="008D4855"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w:t>
      </w:r>
      <w:proofErr w:type="gramStart"/>
      <w:r w:rsidRPr="008A2449">
        <w:rPr>
          <w:rFonts w:ascii="Arial" w:hAnsi="Arial" w:cs="Arial"/>
        </w:rPr>
        <w:t>in particular, section</w:t>
      </w:r>
      <w:proofErr w:type="gramEnd"/>
      <w:r w:rsidRPr="008A2449">
        <w:rPr>
          <w:rFonts w:ascii="Arial" w:hAnsi="Arial" w:cs="Arial"/>
        </w:rPr>
        <w:t xml:space="preserve"> V thereof) issued by the Lord Chancellor under section 45 of the FOIA (section IX of the Code of Practice issued under regulation 16 of the EIRs includes similar guidance).</w:t>
      </w:r>
    </w:p>
    <w:sectPr w:rsidR="00114363" w:rsidRPr="008D4855" w:rsidSect="0066426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E82" w:rsidRDefault="00615E82" w:rsidP="00615E82">
      <w:pPr>
        <w:spacing w:after="0" w:line="240" w:lineRule="auto"/>
      </w:pPr>
      <w:r>
        <w:separator/>
      </w:r>
    </w:p>
  </w:endnote>
  <w:endnote w:type="continuationSeparator" w:id="0">
    <w:p w:rsidR="00615E82" w:rsidRDefault="00615E82" w:rsidP="00615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E82" w:rsidRDefault="00615E82" w:rsidP="00615E82">
      <w:pPr>
        <w:spacing w:after="0" w:line="240" w:lineRule="auto"/>
      </w:pPr>
      <w:r>
        <w:separator/>
      </w:r>
    </w:p>
  </w:footnote>
  <w:footnote w:type="continuationSeparator" w:id="0">
    <w:p w:rsidR="00615E82" w:rsidRDefault="00615E82" w:rsidP="00615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BB94C10C"/>
    <w:lvl w:ilvl="0" w:tplc="4782CAA0">
      <w:start w:val="13"/>
      <w:numFmt w:val="decimal"/>
      <w:lvlText w:val="%1."/>
      <w:lvlJc w:val="left"/>
      <w:pPr>
        <w:ind w:left="720" w:hanging="360"/>
      </w:pPr>
      <w:rPr>
        <w:rFonts w:hint="default"/>
        <w:b w:val="0"/>
      </w:rPr>
    </w:lvl>
    <w:lvl w:ilvl="1" w:tplc="77BAB328">
      <w:start w:val="3"/>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8E473A"/>
    <w:multiLevelType w:val="hybridMultilevel"/>
    <w:tmpl w:val="2B862A7C"/>
    <w:lvl w:ilvl="0" w:tplc="4B2C4882">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4" w15:restartNumberingAfterBreak="0">
    <w:nsid w:val="17C172B2"/>
    <w:multiLevelType w:val="hybridMultilevel"/>
    <w:tmpl w:val="A12A3658"/>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1A1624D2">
      <w:start w:val="24"/>
      <w:numFmt w:val="decimal"/>
      <w:lvlText w:val="%3"/>
      <w:lvlJc w:val="left"/>
      <w:pPr>
        <w:ind w:left="2340" w:hanging="36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BEA180C"/>
    <w:multiLevelType w:val="multilevel"/>
    <w:tmpl w:val="AD32E840"/>
    <w:lvl w:ilvl="0">
      <w:start w:val="1"/>
      <w:numFmt w:val="decimal"/>
      <w:lvlText w:val="%1."/>
      <w:lvlJc w:val="left"/>
      <w:pPr>
        <w:ind w:left="360" w:hanging="360"/>
      </w:pPr>
      <w:rPr>
        <w:rFonts w:hint="default"/>
        <w:b/>
        <w:color w:val="auto"/>
        <w:sz w:val="22"/>
        <w:szCs w:val="22"/>
      </w:rPr>
    </w:lvl>
    <w:lvl w:ilvl="1">
      <w:start w:val="1"/>
      <w:numFmt w:val="decimal"/>
      <w:lvlText w:val="%1.%2."/>
      <w:lvlJc w:val="left"/>
      <w:pPr>
        <w:ind w:left="792" w:hanging="432"/>
      </w:pPr>
      <w:rPr>
        <w:rFonts w:hint="default"/>
        <w:b w:val="0"/>
        <w:color w:val="auto"/>
        <w:sz w:val="22"/>
        <w:szCs w:val="22"/>
      </w:rPr>
    </w:lvl>
    <w:lvl w:ilvl="2">
      <w:start w:val="1"/>
      <w:numFmt w:val="bullet"/>
      <w:lvlText w:val=""/>
      <w:lvlJc w:val="left"/>
      <w:pPr>
        <w:ind w:left="1224" w:hanging="504"/>
      </w:pPr>
      <w:rPr>
        <w:rFonts w:ascii="Wingdings" w:hAnsi="Wingdings" w:hint="default"/>
        <w:b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8"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5" w15:restartNumberingAfterBreak="0">
    <w:nsid w:val="47530129"/>
    <w:multiLevelType w:val="hybridMultilevel"/>
    <w:tmpl w:val="03ECC670"/>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17"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5E1DC5"/>
    <w:multiLevelType w:val="hybridMultilevel"/>
    <w:tmpl w:val="9356C7C4"/>
    <w:lvl w:ilvl="0" w:tplc="E2C8C65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16"/>
  </w:num>
  <w:num w:numId="5">
    <w:abstractNumId w:val="14"/>
  </w:num>
  <w:num w:numId="6">
    <w:abstractNumId w:val="13"/>
  </w:num>
  <w:num w:numId="7">
    <w:abstractNumId w:val="18"/>
  </w:num>
  <w:num w:numId="8">
    <w:abstractNumId w:val="20"/>
  </w:num>
  <w:num w:numId="9">
    <w:abstractNumId w:val="10"/>
  </w:num>
  <w:num w:numId="10">
    <w:abstractNumId w:val="17"/>
  </w:num>
  <w:num w:numId="11">
    <w:abstractNumId w:val="6"/>
  </w:num>
  <w:num w:numId="12">
    <w:abstractNumId w:val="11"/>
  </w:num>
  <w:num w:numId="13">
    <w:abstractNumId w:val="9"/>
  </w:num>
  <w:num w:numId="14">
    <w:abstractNumId w:val="19"/>
  </w:num>
  <w:num w:numId="15">
    <w:abstractNumId w:val="1"/>
  </w:num>
  <w:num w:numId="16">
    <w:abstractNumId w:val="12"/>
  </w:num>
  <w:num w:numId="17">
    <w:abstractNumId w:val="0"/>
  </w:num>
  <w:num w:numId="18">
    <w:abstractNumId w:val="4"/>
  </w:num>
  <w:num w:numId="19">
    <w:abstractNumId w:val="2"/>
  </w:num>
  <w:num w:numId="20">
    <w:abstractNumId w:val="5"/>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32663"/>
    <w:rsid w:val="000375BD"/>
    <w:rsid w:val="000515F4"/>
    <w:rsid w:val="00066A3C"/>
    <w:rsid w:val="00114363"/>
    <w:rsid w:val="0016292A"/>
    <w:rsid w:val="00172BA8"/>
    <w:rsid w:val="0017319A"/>
    <w:rsid w:val="001839D4"/>
    <w:rsid w:val="001C2600"/>
    <w:rsid w:val="001F6075"/>
    <w:rsid w:val="001F6364"/>
    <w:rsid w:val="00295162"/>
    <w:rsid w:val="002A6E74"/>
    <w:rsid w:val="002C3432"/>
    <w:rsid w:val="002F20B1"/>
    <w:rsid w:val="002F58F0"/>
    <w:rsid w:val="002F646D"/>
    <w:rsid w:val="0034135A"/>
    <w:rsid w:val="003438EE"/>
    <w:rsid w:val="00357D3F"/>
    <w:rsid w:val="00376F34"/>
    <w:rsid w:val="0038304D"/>
    <w:rsid w:val="003C228A"/>
    <w:rsid w:val="00406EC6"/>
    <w:rsid w:val="00430646"/>
    <w:rsid w:val="00463459"/>
    <w:rsid w:val="004967EE"/>
    <w:rsid w:val="004B5261"/>
    <w:rsid w:val="004C5F27"/>
    <w:rsid w:val="004F5847"/>
    <w:rsid w:val="005354F4"/>
    <w:rsid w:val="00542192"/>
    <w:rsid w:val="005E013A"/>
    <w:rsid w:val="005E26F2"/>
    <w:rsid w:val="0060227E"/>
    <w:rsid w:val="00615E82"/>
    <w:rsid w:val="00637B0E"/>
    <w:rsid w:val="00656E67"/>
    <w:rsid w:val="00664266"/>
    <w:rsid w:val="00677D50"/>
    <w:rsid w:val="006D057C"/>
    <w:rsid w:val="006D4B64"/>
    <w:rsid w:val="00747486"/>
    <w:rsid w:val="00754830"/>
    <w:rsid w:val="00757568"/>
    <w:rsid w:val="00780C3A"/>
    <w:rsid w:val="00795396"/>
    <w:rsid w:val="00796748"/>
    <w:rsid w:val="007C5314"/>
    <w:rsid w:val="007F3ACE"/>
    <w:rsid w:val="007F5A2D"/>
    <w:rsid w:val="00801E6E"/>
    <w:rsid w:val="00832702"/>
    <w:rsid w:val="008A2449"/>
    <w:rsid w:val="008A451E"/>
    <w:rsid w:val="008D4855"/>
    <w:rsid w:val="008E1696"/>
    <w:rsid w:val="008E5471"/>
    <w:rsid w:val="00940C1D"/>
    <w:rsid w:val="00A32C84"/>
    <w:rsid w:val="00A767F1"/>
    <w:rsid w:val="00B02AAA"/>
    <w:rsid w:val="00B65100"/>
    <w:rsid w:val="00BB5D55"/>
    <w:rsid w:val="00C05B04"/>
    <w:rsid w:val="00C86CDB"/>
    <w:rsid w:val="00C95540"/>
    <w:rsid w:val="00CA37B1"/>
    <w:rsid w:val="00CA4F82"/>
    <w:rsid w:val="00CB0C07"/>
    <w:rsid w:val="00CF2E8C"/>
    <w:rsid w:val="00D2096D"/>
    <w:rsid w:val="00D346F9"/>
    <w:rsid w:val="00D56170"/>
    <w:rsid w:val="00D64F9C"/>
    <w:rsid w:val="00D72FFE"/>
    <w:rsid w:val="00D76D88"/>
    <w:rsid w:val="00DA3D02"/>
    <w:rsid w:val="00DF3F78"/>
    <w:rsid w:val="00E06EA3"/>
    <w:rsid w:val="00EF0FF8"/>
    <w:rsid w:val="00F14C0F"/>
    <w:rsid w:val="00F22180"/>
    <w:rsid w:val="00F55A6C"/>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76FABB"/>
  <w15:chartTrackingRefBased/>
  <w15:docId w15:val="{6A2DAF12-F3C5-47A1-802A-CDA467D9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paragraph" w:styleId="Heading2">
    <w:name w:val="heading 2"/>
    <w:basedOn w:val="Normal"/>
    <w:next w:val="Normal"/>
    <w:link w:val="Heading2Char"/>
    <w:uiPriority w:val="9"/>
    <w:semiHidden/>
    <w:unhideWhenUsed/>
    <w:qFormat/>
    <w:rsid w:val="00CF2E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5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A2D"/>
    <w:rPr>
      <w:rFonts w:ascii="Segoe UI" w:hAnsi="Segoe UI" w:cs="Segoe UI"/>
      <w:sz w:val="18"/>
      <w:szCs w:val="18"/>
      <w:lang w:val="en-GB"/>
    </w:rPr>
  </w:style>
  <w:style w:type="paragraph" w:styleId="Header">
    <w:name w:val="header"/>
    <w:basedOn w:val="Normal"/>
    <w:link w:val="HeaderChar"/>
    <w:uiPriority w:val="99"/>
    <w:unhideWhenUsed/>
    <w:rsid w:val="00615E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E82"/>
    <w:rPr>
      <w:lang w:val="en-GB"/>
    </w:rPr>
  </w:style>
  <w:style w:type="paragraph" w:styleId="Footer">
    <w:name w:val="footer"/>
    <w:basedOn w:val="Normal"/>
    <w:link w:val="FooterChar"/>
    <w:uiPriority w:val="99"/>
    <w:unhideWhenUsed/>
    <w:rsid w:val="00615E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E82"/>
    <w:rPr>
      <w:lang w:val="en-GB"/>
    </w:rPr>
  </w:style>
  <w:style w:type="character" w:styleId="CommentReference">
    <w:name w:val="annotation reference"/>
    <w:basedOn w:val="DefaultParagraphFont"/>
    <w:uiPriority w:val="99"/>
    <w:semiHidden/>
    <w:unhideWhenUsed/>
    <w:rsid w:val="00066A3C"/>
    <w:rPr>
      <w:sz w:val="16"/>
      <w:szCs w:val="16"/>
    </w:rPr>
  </w:style>
  <w:style w:type="paragraph" w:styleId="CommentText">
    <w:name w:val="annotation text"/>
    <w:basedOn w:val="Normal"/>
    <w:link w:val="CommentTextChar"/>
    <w:uiPriority w:val="99"/>
    <w:semiHidden/>
    <w:unhideWhenUsed/>
    <w:rsid w:val="00066A3C"/>
    <w:pPr>
      <w:spacing w:after="0" w:line="240" w:lineRule="auto"/>
    </w:pPr>
    <w:rPr>
      <w:rFonts w:ascii="CG Omega" w:eastAsia="Times New Roman" w:hAnsi="CG Omega" w:cs="Times New Roman"/>
      <w:sz w:val="20"/>
      <w:szCs w:val="20"/>
    </w:rPr>
  </w:style>
  <w:style w:type="character" w:customStyle="1" w:styleId="CommentTextChar">
    <w:name w:val="Comment Text Char"/>
    <w:basedOn w:val="DefaultParagraphFont"/>
    <w:link w:val="CommentText"/>
    <w:uiPriority w:val="99"/>
    <w:semiHidden/>
    <w:rsid w:val="00066A3C"/>
    <w:rPr>
      <w:rFonts w:ascii="CG Omega" w:eastAsia="Times New Roman" w:hAnsi="CG Omega" w:cs="Times New Roman"/>
      <w:sz w:val="20"/>
      <w:szCs w:val="20"/>
      <w:lang w:val="en-GB"/>
    </w:rPr>
  </w:style>
  <w:style w:type="table" w:styleId="GridTable4-Accent6">
    <w:name w:val="Grid Table 4 Accent 6"/>
    <w:basedOn w:val="TableNormal"/>
    <w:uiPriority w:val="49"/>
    <w:rsid w:val="00CF2E8C"/>
    <w:pPr>
      <w:spacing w:after="0" w:line="240" w:lineRule="auto"/>
    </w:pPr>
    <w:rPr>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2Char">
    <w:name w:val="Heading 2 Char"/>
    <w:basedOn w:val="DefaultParagraphFont"/>
    <w:link w:val="Heading2"/>
    <w:uiPriority w:val="9"/>
    <w:semiHidden/>
    <w:rsid w:val="00CF2E8C"/>
    <w:rPr>
      <w:rFonts w:asciiTheme="majorHAnsi" w:eastAsiaTheme="majorEastAsia" w:hAnsiTheme="majorHAnsi" w:cstheme="majorBidi"/>
      <w:color w:val="365F91" w:themeColor="accent1" w:themeShade="BF"/>
      <w:sz w:val="26"/>
      <w:szCs w:val="26"/>
      <w:lang w:val="en-GB"/>
    </w:rPr>
  </w:style>
  <w:style w:type="character" w:styleId="FollowedHyperlink">
    <w:name w:val="FollowedHyperlink"/>
    <w:basedOn w:val="DefaultParagraphFont"/>
    <w:uiPriority w:val="99"/>
    <w:semiHidden/>
    <w:unhideWhenUsed/>
    <w:rsid w:val="00C05B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13" Type="http://schemas.openxmlformats.org/officeDocument/2006/relationships/hyperlink" Target="mailto:supplier@crowncommercial.gov.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ontracts@mcga.gov.uk" TargetMode="External"/><Relationship Id="rId12" Type="http://schemas.openxmlformats.org/officeDocument/2006/relationships/hyperlink" Target="mailto:contracts@mcga.gov.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government-security-classification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government-supplier-assurance-framewor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2103</Words>
  <Characters>11989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Graham Smith</cp:lastModifiedBy>
  <cp:revision>2</cp:revision>
  <cp:lastPrinted>2017-10-30T07:35:00Z</cp:lastPrinted>
  <dcterms:created xsi:type="dcterms:W3CDTF">2018-07-02T06:42:00Z</dcterms:created>
  <dcterms:modified xsi:type="dcterms:W3CDTF">2018-07-02T06:42:00Z</dcterms:modified>
</cp:coreProperties>
</file>