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CF1D55"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481275" w:rsidP="000D596D">
      <w:pPr>
        <w:spacing w:after="0" w:line="240" w:lineRule="auto"/>
        <w:ind w:left="579" w:right="930" w:hanging="6"/>
        <w:jc w:val="center"/>
        <w:rPr>
          <w:rFonts w:ascii="Arial" w:eastAsia="Arial" w:hAnsi="Arial" w:cs="Arial"/>
          <w:b/>
          <w:bCs/>
          <w:spacing w:val="3"/>
          <w:sz w:val="40"/>
          <w:szCs w:val="40"/>
        </w:rPr>
      </w:pPr>
      <w:r w:rsidRPr="00CF1D55">
        <w:rPr>
          <w:rFonts w:ascii="Arial" w:eastAsia="Arial" w:hAnsi="Arial" w:cs="Arial"/>
          <w:b/>
          <w:bCs/>
          <w:spacing w:val="-1"/>
          <w:sz w:val="40"/>
          <w:szCs w:val="40"/>
        </w:rPr>
        <w:t xml:space="preserve">Call-Off Contract </w:t>
      </w:r>
      <w:r w:rsidR="0012502F" w:rsidRPr="000D596D">
        <w:rPr>
          <w:rFonts w:ascii="Arial" w:eastAsia="Arial" w:hAnsi="Arial" w:cs="Arial"/>
          <w:b/>
          <w:bCs/>
          <w:sz w:val="40"/>
          <w:szCs w:val="40"/>
        </w:rPr>
        <w:t>f</w:t>
      </w:r>
      <w:r w:rsidR="0012502F" w:rsidRPr="000D596D">
        <w:rPr>
          <w:rFonts w:ascii="Arial" w:eastAsia="Arial" w:hAnsi="Arial" w:cs="Arial"/>
          <w:b/>
          <w:bCs/>
          <w:spacing w:val="-1"/>
          <w:sz w:val="40"/>
          <w:szCs w:val="40"/>
        </w:rPr>
        <w:t>o</w:t>
      </w:r>
      <w:r w:rsidR="0012502F" w:rsidRPr="000D596D">
        <w:rPr>
          <w:rFonts w:ascii="Arial" w:eastAsia="Arial" w:hAnsi="Arial" w:cs="Arial"/>
          <w:b/>
          <w:bCs/>
          <w:sz w:val="40"/>
          <w:szCs w:val="40"/>
        </w:rPr>
        <w:t>r</w:t>
      </w:r>
      <w:r w:rsidR="0012502F" w:rsidRPr="000D596D">
        <w:rPr>
          <w:rFonts w:ascii="Arial" w:eastAsia="Arial" w:hAnsi="Arial" w:cs="Arial"/>
          <w:b/>
          <w:bCs/>
          <w:spacing w:val="3"/>
          <w:sz w:val="40"/>
          <w:szCs w:val="40"/>
        </w:rPr>
        <w:t xml:space="preserve"> </w:t>
      </w:r>
    </w:p>
    <w:p w:rsidR="000D596D" w:rsidRPr="000D596D" w:rsidRDefault="000D596D" w:rsidP="000D596D">
      <w:pPr>
        <w:spacing w:after="0" w:line="240" w:lineRule="auto"/>
        <w:ind w:left="579" w:right="930" w:hanging="6"/>
        <w:jc w:val="center"/>
        <w:rPr>
          <w:rFonts w:ascii="Arial" w:eastAsia="Arial" w:hAnsi="Arial" w:cs="Arial"/>
          <w:b/>
          <w:bCs/>
          <w:color w:val="FF0000"/>
          <w:spacing w:val="1"/>
          <w:sz w:val="40"/>
          <w:szCs w:val="40"/>
        </w:rPr>
      </w:pPr>
    </w:p>
    <w:p w:rsidR="000D596D" w:rsidRPr="000D596D" w:rsidRDefault="0012502F" w:rsidP="000D596D">
      <w:pPr>
        <w:spacing w:after="0" w:line="240" w:lineRule="auto"/>
        <w:ind w:left="579" w:right="930" w:hanging="6"/>
        <w:jc w:val="center"/>
        <w:rPr>
          <w:rFonts w:ascii="Arial" w:eastAsia="Arial" w:hAnsi="Arial" w:cs="Arial"/>
          <w:b/>
          <w:bCs/>
          <w:sz w:val="40"/>
          <w:szCs w:val="40"/>
        </w:rPr>
      </w:pPr>
      <w:r w:rsidRPr="000D596D">
        <w:rPr>
          <w:rFonts w:ascii="Arial" w:eastAsia="Arial" w:hAnsi="Arial" w:cs="Arial"/>
          <w:b/>
          <w:bCs/>
          <w:color w:val="FF0000"/>
          <w:spacing w:val="6"/>
          <w:sz w:val="40"/>
          <w:szCs w:val="40"/>
        </w:rPr>
        <w:t xml:space="preserve"> </w:t>
      </w:r>
      <w:r w:rsidRPr="000D596D">
        <w:rPr>
          <w:rFonts w:ascii="Arial" w:eastAsia="Arial" w:hAnsi="Arial" w:cs="Arial"/>
          <w:b/>
          <w:bCs/>
          <w:sz w:val="40"/>
          <w:szCs w:val="40"/>
        </w:rPr>
        <w:t xml:space="preserve">– </w:t>
      </w:r>
      <w:r w:rsidR="00CF1D55">
        <w:rPr>
          <w:rFonts w:ascii="Arial" w:eastAsia="Arial" w:hAnsi="Arial" w:cs="Arial"/>
          <w:b/>
          <w:bCs/>
          <w:sz w:val="40"/>
          <w:szCs w:val="40"/>
        </w:rPr>
        <w:t>700003856</w:t>
      </w:r>
    </w:p>
    <w:p w:rsidR="000D596D" w:rsidRPr="00CF1D55" w:rsidRDefault="000D596D" w:rsidP="000D596D">
      <w:pPr>
        <w:spacing w:after="0" w:line="240" w:lineRule="auto"/>
        <w:ind w:left="579" w:right="930" w:hanging="6"/>
        <w:jc w:val="center"/>
        <w:rPr>
          <w:rFonts w:ascii="Arial" w:eastAsia="Arial" w:hAnsi="Arial" w:cs="Arial"/>
          <w:b/>
          <w:bCs/>
          <w:color w:val="FF0000"/>
          <w:sz w:val="36"/>
          <w:szCs w:val="36"/>
        </w:rPr>
      </w:pPr>
    </w:p>
    <w:p w:rsidR="00CF1D55" w:rsidRPr="00CF1D55" w:rsidRDefault="00CF1D55" w:rsidP="00CF1D55">
      <w:pPr>
        <w:spacing w:before="2" w:line="319" w:lineRule="exact"/>
        <w:jc w:val="center"/>
        <w:textAlignment w:val="baseline"/>
        <w:rPr>
          <w:rFonts w:ascii="Arial" w:eastAsia="Arial" w:hAnsi="Arial"/>
          <w:b/>
          <w:color w:val="000000"/>
          <w:sz w:val="36"/>
          <w:szCs w:val="36"/>
        </w:rPr>
      </w:pPr>
      <w:r w:rsidRPr="00CF1D55">
        <w:rPr>
          <w:rFonts w:ascii="Arial" w:eastAsia="Arial" w:hAnsi="Arial"/>
          <w:b/>
          <w:color w:val="000000"/>
          <w:sz w:val="36"/>
          <w:szCs w:val="36"/>
        </w:rPr>
        <w:t>Suppor</w:t>
      </w:r>
      <w:r>
        <w:rPr>
          <w:rFonts w:ascii="Arial" w:eastAsia="Arial" w:hAnsi="Arial"/>
          <w:b/>
          <w:color w:val="000000"/>
          <w:sz w:val="36"/>
          <w:szCs w:val="36"/>
        </w:rPr>
        <w:t xml:space="preserve">t to NC RP. Navy Transformation </w:t>
      </w:r>
      <w:r w:rsidRPr="00CF1D55">
        <w:rPr>
          <w:rFonts w:ascii="Arial" w:eastAsia="Arial" w:hAnsi="Arial"/>
          <w:b/>
          <w:color w:val="000000"/>
          <w:sz w:val="36"/>
          <w:szCs w:val="36"/>
        </w:rPr>
        <w:t>Programme</w:t>
      </w:r>
    </w:p>
    <w:p w:rsidR="00640172" w:rsidRPr="000D596D" w:rsidRDefault="00640172" w:rsidP="000D596D">
      <w:pPr>
        <w:spacing w:after="0" w:line="240" w:lineRule="auto"/>
        <w:ind w:left="579" w:right="930" w:hanging="6"/>
        <w:jc w:val="center"/>
        <w:rPr>
          <w:rFonts w:ascii="Arial" w:eastAsia="Arial" w:hAnsi="Arial" w:cs="Arial"/>
          <w:color w:val="FF0000"/>
          <w:sz w:val="40"/>
          <w:szCs w:val="40"/>
        </w:rPr>
      </w:pPr>
    </w:p>
    <w:p w:rsidR="00640172" w:rsidRPr="000D596D" w:rsidRDefault="00640172">
      <w:pPr>
        <w:spacing w:after="0"/>
        <w:jc w:val="center"/>
        <w:rPr>
          <w:sz w:val="32"/>
          <w:szCs w:val="32"/>
        </w:rPr>
      </w:pPr>
    </w:p>
    <w:p w:rsidR="007A1EDA" w:rsidRPr="000D596D" w:rsidRDefault="007A1EDA">
      <w:pPr>
        <w:spacing w:after="0"/>
        <w:jc w:val="center"/>
        <w:rPr>
          <w:sz w:val="32"/>
          <w:szCs w:val="32"/>
        </w:rPr>
      </w:pPr>
    </w:p>
    <w:p w:rsidR="007A1EDA" w:rsidRDefault="007A1EDA">
      <w:pPr>
        <w:spacing w:after="0"/>
        <w:jc w:val="center"/>
        <w:rPr>
          <w:sz w:val="32"/>
          <w:szCs w:val="32"/>
        </w:rPr>
      </w:pPr>
    </w:p>
    <w:p w:rsidR="000D596D" w:rsidRDefault="000D596D">
      <w:pPr>
        <w:spacing w:after="0"/>
        <w:jc w:val="center"/>
        <w:rPr>
          <w:sz w:val="32"/>
          <w:szCs w:val="32"/>
        </w:rPr>
      </w:pPr>
    </w:p>
    <w:p w:rsidR="000D596D" w:rsidRDefault="000D596D">
      <w:pPr>
        <w:spacing w:after="0"/>
        <w:jc w:val="center"/>
        <w:rPr>
          <w:sz w:val="32"/>
          <w:szCs w:val="32"/>
        </w:rPr>
      </w:pPr>
    </w:p>
    <w:p w:rsidR="000D596D" w:rsidRDefault="000D596D">
      <w:pPr>
        <w:spacing w:after="0"/>
        <w:jc w:val="center"/>
        <w:rPr>
          <w:sz w:val="32"/>
          <w:szCs w:val="32"/>
        </w:rPr>
      </w:pPr>
    </w:p>
    <w:p w:rsidR="009730BC" w:rsidRPr="00D764DC" w:rsidRDefault="001E6409">
      <w:pPr>
        <w:spacing w:after="0"/>
        <w:jc w:val="center"/>
        <w:rPr>
          <w:rFonts w:ascii="Arial" w:hAnsi="Arial" w:cs="Arial"/>
          <w:b/>
          <w:sz w:val="28"/>
          <w:szCs w:val="28"/>
        </w:rPr>
      </w:pPr>
      <w:r>
        <w:rPr>
          <w:rFonts w:ascii="Arial" w:hAnsi="Arial" w:cs="Arial"/>
          <w:b/>
          <w:sz w:val="28"/>
          <w:szCs w:val="28"/>
        </w:rPr>
        <w:t>27</w:t>
      </w:r>
      <w:r w:rsidR="00CF1D55" w:rsidRPr="00D764DC">
        <w:rPr>
          <w:rFonts w:ascii="Arial" w:hAnsi="Arial" w:cs="Arial"/>
          <w:b/>
          <w:sz w:val="28"/>
          <w:szCs w:val="28"/>
        </w:rPr>
        <w:t xml:space="preserve"> February 2019 to 31 July 2019</w:t>
      </w:r>
    </w:p>
    <w:tbl>
      <w:tblPr>
        <w:tblW w:w="9889" w:type="dxa"/>
        <w:tblInd w:w="935" w:type="dxa"/>
        <w:tblLook w:val="01E0" w:firstRow="1" w:lastRow="1" w:firstColumn="1" w:lastColumn="1" w:noHBand="0" w:noVBand="0"/>
      </w:tblPr>
      <w:tblGrid>
        <w:gridCol w:w="4643"/>
        <w:gridCol w:w="5246"/>
      </w:tblGrid>
      <w:tr w:rsidR="009730BC" w:rsidRPr="0025610E" w:rsidTr="009730BC">
        <w:tc>
          <w:tcPr>
            <w:tcW w:w="4643" w:type="dxa"/>
            <w:shd w:val="clear" w:color="auto" w:fill="auto"/>
          </w:tcPr>
          <w:p w:rsidR="009730BC" w:rsidRPr="00D764DC" w:rsidRDefault="009730BC" w:rsidP="009730BC">
            <w:pPr>
              <w:pStyle w:val="BodyText2"/>
              <w:jc w:val="left"/>
              <w:rPr>
                <w:rFonts w:ascii="Arial" w:hAnsi="Arial"/>
                <w:i w:val="0"/>
              </w:rPr>
            </w:pPr>
            <w:r w:rsidRPr="00D764DC">
              <w:rPr>
                <w:rFonts w:ascii="Arial" w:hAnsi="Arial"/>
                <w:i w:val="0"/>
              </w:rPr>
              <w:t xml:space="preserve">Between the Secretary of State for </w:t>
            </w:r>
            <w:proofErr w:type="spellStart"/>
            <w:r w:rsidRPr="00D764DC">
              <w:rPr>
                <w:rFonts w:ascii="Arial" w:hAnsi="Arial"/>
                <w:i w:val="0"/>
              </w:rPr>
              <w:t>Defence</w:t>
            </w:r>
            <w:proofErr w:type="spellEnd"/>
            <w:r w:rsidRPr="00D764DC">
              <w:rPr>
                <w:rFonts w:ascii="Arial" w:hAnsi="Arial"/>
                <w:i w:val="0"/>
              </w:rPr>
              <w:t xml:space="preserve"> of the United Kingdom of Great Britain and Northern Ireland</w:t>
            </w:r>
          </w:p>
          <w:p w:rsidR="009730BC" w:rsidRPr="00D764DC" w:rsidRDefault="009730BC" w:rsidP="009730BC">
            <w:pPr>
              <w:pStyle w:val="BodyText2"/>
              <w:jc w:val="left"/>
              <w:rPr>
                <w:rFonts w:ascii="Arial" w:hAnsi="Arial"/>
                <w:i w:val="0"/>
              </w:rPr>
            </w:pPr>
          </w:p>
          <w:p w:rsidR="009730BC" w:rsidRPr="00D764DC" w:rsidRDefault="009730BC" w:rsidP="009730BC">
            <w:pPr>
              <w:pStyle w:val="BodyText2"/>
              <w:jc w:val="left"/>
              <w:rPr>
                <w:rFonts w:ascii="Arial" w:hAnsi="Arial"/>
                <w:i w:val="0"/>
              </w:rPr>
            </w:pPr>
            <w:r w:rsidRPr="00D764DC">
              <w:rPr>
                <w:rFonts w:ascii="Arial" w:hAnsi="Arial"/>
                <w:i w:val="0"/>
              </w:rPr>
              <w:t>Team Name and address:</w:t>
            </w:r>
          </w:p>
          <w:p w:rsidR="000D596D" w:rsidRPr="00D764DC" w:rsidRDefault="000D596D" w:rsidP="009730BC">
            <w:pPr>
              <w:pStyle w:val="BodyText2"/>
              <w:jc w:val="left"/>
              <w:rPr>
                <w:rFonts w:ascii="Arial" w:hAnsi="Arial"/>
                <w:b w:val="0"/>
                <w:i w:val="0"/>
              </w:rPr>
            </w:pPr>
            <w:bookmarkStart w:id="0" w:name="DrafterAddress1"/>
            <w:bookmarkEnd w:id="0"/>
            <w:r w:rsidRPr="00D764DC">
              <w:rPr>
                <w:rFonts w:ascii="Arial" w:hAnsi="Arial"/>
                <w:b w:val="0"/>
                <w:i w:val="0"/>
              </w:rPr>
              <w:t>Navy Commercial</w:t>
            </w:r>
          </w:p>
          <w:p w:rsidR="009730BC" w:rsidRPr="00D764DC" w:rsidRDefault="009730BC" w:rsidP="009730BC">
            <w:pPr>
              <w:pStyle w:val="BodyText2"/>
              <w:jc w:val="left"/>
              <w:rPr>
                <w:rFonts w:ascii="Arial" w:hAnsi="Arial"/>
                <w:b w:val="0"/>
                <w:i w:val="0"/>
              </w:rPr>
            </w:pPr>
            <w:r w:rsidRPr="00D764DC">
              <w:rPr>
                <w:rFonts w:ascii="Arial" w:hAnsi="Arial"/>
                <w:b w:val="0"/>
                <w:i w:val="0"/>
              </w:rPr>
              <w:t>Room 303</w:t>
            </w:r>
          </w:p>
          <w:p w:rsidR="009730BC" w:rsidRPr="00D764DC" w:rsidRDefault="009730BC" w:rsidP="009730BC">
            <w:pPr>
              <w:pStyle w:val="BodyText2"/>
              <w:jc w:val="left"/>
              <w:rPr>
                <w:rFonts w:ascii="Arial" w:hAnsi="Arial"/>
                <w:b w:val="0"/>
                <w:i w:val="0"/>
              </w:rPr>
            </w:pPr>
            <w:bookmarkStart w:id="1" w:name="DrafterAddress2"/>
            <w:bookmarkEnd w:id="1"/>
            <w:r w:rsidRPr="00D764DC">
              <w:rPr>
                <w:rFonts w:ascii="Arial" w:hAnsi="Arial"/>
                <w:b w:val="0"/>
                <w:i w:val="0"/>
              </w:rPr>
              <w:t>Building 1/080</w:t>
            </w:r>
          </w:p>
          <w:p w:rsidR="009730BC" w:rsidRPr="00D764DC" w:rsidRDefault="009730BC" w:rsidP="009730BC">
            <w:pPr>
              <w:pStyle w:val="BodyText2"/>
              <w:jc w:val="left"/>
              <w:rPr>
                <w:rFonts w:ascii="Arial" w:hAnsi="Arial"/>
                <w:b w:val="0"/>
                <w:i w:val="0"/>
              </w:rPr>
            </w:pPr>
            <w:bookmarkStart w:id="2" w:name="DrafterAddress3"/>
            <w:bookmarkEnd w:id="2"/>
            <w:proofErr w:type="spellStart"/>
            <w:r w:rsidRPr="00D764DC">
              <w:rPr>
                <w:rFonts w:ascii="Arial" w:hAnsi="Arial"/>
                <w:b w:val="0"/>
                <w:i w:val="0"/>
              </w:rPr>
              <w:t>Jago</w:t>
            </w:r>
            <w:proofErr w:type="spellEnd"/>
            <w:r w:rsidRPr="00D764DC">
              <w:rPr>
                <w:rFonts w:ascii="Arial" w:hAnsi="Arial"/>
                <w:b w:val="0"/>
                <w:i w:val="0"/>
              </w:rPr>
              <w:t xml:space="preserve"> Road</w:t>
            </w:r>
          </w:p>
          <w:p w:rsidR="000D596D" w:rsidRPr="00D764DC" w:rsidRDefault="009730BC" w:rsidP="009730BC">
            <w:pPr>
              <w:pStyle w:val="BodyText2"/>
              <w:jc w:val="left"/>
              <w:rPr>
                <w:rFonts w:ascii="Arial" w:hAnsi="Arial"/>
                <w:b w:val="0"/>
                <w:i w:val="0"/>
              </w:rPr>
            </w:pPr>
            <w:bookmarkStart w:id="3" w:name="DrafterAddress4"/>
            <w:bookmarkEnd w:id="3"/>
            <w:r w:rsidRPr="00D764DC">
              <w:rPr>
                <w:rFonts w:ascii="Arial" w:hAnsi="Arial"/>
                <w:b w:val="0"/>
                <w:i w:val="0"/>
              </w:rPr>
              <w:t>HM</w:t>
            </w:r>
            <w:r w:rsidR="000D596D" w:rsidRPr="00D764DC">
              <w:rPr>
                <w:rFonts w:ascii="Arial" w:hAnsi="Arial"/>
                <w:b w:val="0"/>
                <w:i w:val="0"/>
              </w:rPr>
              <w:t xml:space="preserve"> Naval Base</w:t>
            </w:r>
          </w:p>
          <w:p w:rsidR="009730BC" w:rsidRPr="00D764DC" w:rsidRDefault="009730BC" w:rsidP="009730BC">
            <w:pPr>
              <w:pStyle w:val="BodyText2"/>
              <w:jc w:val="left"/>
              <w:rPr>
                <w:rFonts w:ascii="Arial" w:hAnsi="Arial"/>
                <w:b w:val="0"/>
                <w:i w:val="0"/>
              </w:rPr>
            </w:pPr>
            <w:r w:rsidRPr="00D764DC">
              <w:rPr>
                <w:rFonts w:ascii="Arial" w:hAnsi="Arial"/>
                <w:b w:val="0"/>
                <w:i w:val="0"/>
              </w:rPr>
              <w:t>Portsmouth</w:t>
            </w:r>
          </w:p>
          <w:p w:rsidR="009730BC" w:rsidRPr="00D764DC" w:rsidRDefault="009730BC" w:rsidP="009730BC">
            <w:pPr>
              <w:pStyle w:val="BodyText2"/>
              <w:jc w:val="left"/>
              <w:rPr>
                <w:rFonts w:ascii="Arial" w:hAnsi="Arial"/>
                <w:b w:val="0"/>
                <w:i w:val="0"/>
              </w:rPr>
            </w:pPr>
            <w:bookmarkStart w:id="4" w:name="DrafterPostcode"/>
            <w:bookmarkEnd w:id="4"/>
            <w:r w:rsidRPr="00D764DC">
              <w:rPr>
                <w:rFonts w:ascii="Arial" w:hAnsi="Arial"/>
                <w:b w:val="0"/>
                <w:i w:val="0"/>
              </w:rPr>
              <w:t>PO1 3LU</w:t>
            </w:r>
          </w:p>
          <w:p w:rsidR="009730BC" w:rsidRPr="00D764DC" w:rsidRDefault="009730BC" w:rsidP="009730BC">
            <w:pPr>
              <w:pStyle w:val="BodyText2"/>
              <w:jc w:val="left"/>
              <w:rPr>
                <w:rFonts w:ascii="Arial" w:hAnsi="Arial"/>
                <w:b w:val="0"/>
                <w:i w:val="0"/>
              </w:rPr>
            </w:pPr>
          </w:p>
          <w:p w:rsidR="009730BC" w:rsidRPr="00D764DC" w:rsidRDefault="009730BC" w:rsidP="009730BC">
            <w:pPr>
              <w:pStyle w:val="BodyText2"/>
              <w:jc w:val="left"/>
              <w:rPr>
                <w:rFonts w:ascii="Arial" w:hAnsi="Arial"/>
                <w:i w:val="0"/>
              </w:rPr>
            </w:pPr>
            <w:bookmarkStart w:id="5" w:name="DrafterFaxNo"/>
            <w:bookmarkEnd w:id="5"/>
          </w:p>
          <w:p w:rsidR="009730BC" w:rsidRPr="00D764DC" w:rsidRDefault="009730BC" w:rsidP="009730BC">
            <w:pPr>
              <w:pStyle w:val="BodyText2"/>
              <w:jc w:val="left"/>
              <w:rPr>
                <w:rFonts w:ascii="Arial" w:hAnsi="Arial"/>
                <w:b w:val="0"/>
                <w:i w:val="0"/>
              </w:rPr>
            </w:pPr>
          </w:p>
        </w:tc>
        <w:tc>
          <w:tcPr>
            <w:tcW w:w="5246" w:type="dxa"/>
            <w:shd w:val="clear" w:color="auto" w:fill="auto"/>
          </w:tcPr>
          <w:p w:rsidR="009730BC" w:rsidRPr="00D764DC" w:rsidRDefault="009730BC" w:rsidP="009730BC">
            <w:pPr>
              <w:pStyle w:val="BodyText2"/>
              <w:jc w:val="left"/>
              <w:rPr>
                <w:rFonts w:ascii="Arial" w:hAnsi="Arial"/>
                <w:b w:val="0"/>
                <w:i w:val="0"/>
              </w:rPr>
            </w:pPr>
            <w:r w:rsidRPr="00D764DC">
              <w:rPr>
                <w:rFonts w:ascii="Arial" w:hAnsi="Arial"/>
                <w:i w:val="0"/>
              </w:rPr>
              <w:t xml:space="preserve">And </w:t>
            </w:r>
          </w:p>
          <w:p w:rsidR="009730BC" w:rsidRPr="00D764DC" w:rsidRDefault="009730BC" w:rsidP="009730BC">
            <w:pPr>
              <w:pStyle w:val="BodyText2"/>
              <w:jc w:val="left"/>
              <w:rPr>
                <w:rFonts w:ascii="Arial" w:hAnsi="Arial"/>
                <w:b w:val="0"/>
                <w:i w:val="0"/>
              </w:rPr>
            </w:pPr>
          </w:p>
          <w:p w:rsidR="009730BC" w:rsidRPr="00D764DC" w:rsidRDefault="009730BC" w:rsidP="009730BC">
            <w:pPr>
              <w:pStyle w:val="BodyText2"/>
              <w:jc w:val="left"/>
              <w:rPr>
                <w:rFonts w:ascii="Arial" w:hAnsi="Arial"/>
                <w:i w:val="0"/>
              </w:rPr>
            </w:pPr>
          </w:p>
          <w:p w:rsidR="009730BC" w:rsidRPr="00D764DC" w:rsidRDefault="009730BC" w:rsidP="009730BC">
            <w:pPr>
              <w:pStyle w:val="BodyText2"/>
              <w:jc w:val="left"/>
              <w:rPr>
                <w:rFonts w:ascii="Arial" w:hAnsi="Arial"/>
                <w:i w:val="0"/>
              </w:rPr>
            </w:pPr>
          </w:p>
          <w:p w:rsidR="009730BC" w:rsidRPr="00D764DC" w:rsidRDefault="009730BC" w:rsidP="009730BC">
            <w:pPr>
              <w:pStyle w:val="BodyText2"/>
              <w:jc w:val="left"/>
              <w:rPr>
                <w:rFonts w:ascii="Arial" w:hAnsi="Arial"/>
                <w:b w:val="0"/>
                <w:i w:val="0"/>
              </w:rPr>
            </w:pPr>
            <w:r w:rsidRPr="00D764DC">
              <w:rPr>
                <w:rFonts w:ascii="Arial" w:hAnsi="Arial"/>
                <w:i w:val="0"/>
              </w:rPr>
              <w:t>Contractor Name and Address</w:t>
            </w:r>
          </w:p>
          <w:p w:rsidR="009730BC" w:rsidRPr="00D764DC" w:rsidRDefault="00D764DC" w:rsidP="009730BC">
            <w:pPr>
              <w:spacing w:after="0" w:line="240" w:lineRule="auto"/>
              <w:rPr>
                <w:rFonts w:ascii="Arial" w:hAnsi="Arial" w:cs="Arial"/>
                <w:sz w:val="20"/>
                <w:szCs w:val="20"/>
              </w:rPr>
            </w:pPr>
            <w:r w:rsidRPr="00D764DC">
              <w:rPr>
                <w:rFonts w:ascii="Arial" w:hAnsi="Arial" w:cs="Arial"/>
                <w:sz w:val="20"/>
                <w:szCs w:val="20"/>
              </w:rPr>
              <w:t>Deloitte LLP</w:t>
            </w:r>
          </w:p>
          <w:p w:rsidR="00D764DC" w:rsidRPr="00D764DC" w:rsidRDefault="00D764DC" w:rsidP="009730BC">
            <w:pPr>
              <w:spacing w:after="0" w:line="240" w:lineRule="auto"/>
              <w:rPr>
                <w:rFonts w:ascii="Arial" w:hAnsi="Arial" w:cs="Arial"/>
                <w:sz w:val="20"/>
                <w:szCs w:val="20"/>
              </w:rPr>
            </w:pPr>
            <w:r w:rsidRPr="00D764DC">
              <w:rPr>
                <w:rFonts w:ascii="Arial" w:hAnsi="Arial" w:cs="Arial"/>
                <w:sz w:val="20"/>
                <w:szCs w:val="20"/>
              </w:rPr>
              <w:t>1 New Street Square</w:t>
            </w:r>
          </w:p>
          <w:p w:rsidR="00D764DC" w:rsidRPr="00D764DC" w:rsidRDefault="00D764DC" w:rsidP="009730BC">
            <w:pPr>
              <w:spacing w:after="0" w:line="240" w:lineRule="auto"/>
              <w:rPr>
                <w:rFonts w:ascii="Arial" w:hAnsi="Arial" w:cs="Arial"/>
                <w:sz w:val="20"/>
                <w:szCs w:val="20"/>
              </w:rPr>
            </w:pPr>
            <w:r w:rsidRPr="00D764DC">
              <w:rPr>
                <w:rFonts w:ascii="Arial" w:hAnsi="Arial" w:cs="Arial"/>
                <w:sz w:val="20"/>
                <w:szCs w:val="20"/>
              </w:rPr>
              <w:t>London</w:t>
            </w:r>
          </w:p>
          <w:p w:rsidR="00D764DC" w:rsidRPr="00D764DC" w:rsidRDefault="00D764DC" w:rsidP="009730BC">
            <w:pPr>
              <w:spacing w:after="0" w:line="240" w:lineRule="auto"/>
              <w:rPr>
                <w:rFonts w:ascii="Arial" w:hAnsi="Arial" w:cs="Arial"/>
                <w:sz w:val="20"/>
                <w:szCs w:val="20"/>
              </w:rPr>
            </w:pPr>
            <w:r w:rsidRPr="00D764DC">
              <w:rPr>
                <w:rFonts w:ascii="Arial" w:hAnsi="Arial" w:cs="Arial"/>
                <w:sz w:val="20"/>
                <w:szCs w:val="20"/>
              </w:rPr>
              <w:t>EC4A 3HQ</w:t>
            </w:r>
          </w:p>
          <w:p w:rsidR="009730BC" w:rsidRPr="00D764DC" w:rsidRDefault="009730BC" w:rsidP="009730BC">
            <w:pPr>
              <w:pStyle w:val="BodyText2"/>
              <w:jc w:val="left"/>
              <w:rPr>
                <w:rFonts w:ascii="Arial" w:hAnsi="Arial"/>
                <w:i w:val="0"/>
              </w:rPr>
            </w:pPr>
          </w:p>
          <w:p w:rsidR="009730BC" w:rsidRPr="00D764DC" w:rsidRDefault="009730BC" w:rsidP="009730BC">
            <w:pPr>
              <w:pStyle w:val="BodyText2"/>
              <w:jc w:val="left"/>
              <w:rPr>
                <w:rFonts w:ascii="Arial" w:hAnsi="Arial"/>
                <w:b w:val="0"/>
                <w:i w:val="0"/>
              </w:rPr>
            </w:pPr>
          </w:p>
        </w:tc>
      </w:tr>
    </w:tbl>
    <w:p w:rsidR="009730BC" w:rsidRPr="007A1EDA" w:rsidRDefault="009730BC">
      <w:pPr>
        <w:spacing w:after="0"/>
        <w:jc w:val="center"/>
        <w:rPr>
          <w:rFonts w:ascii="Arial" w:hAnsi="Arial" w:cs="Arial"/>
          <w:b/>
          <w:sz w:val="28"/>
          <w:szCs w:val="28"/>
        </w:rPr>
        <w:sectPr w:rsidR="009730BC" w:rsidRPr="007A1EDA" w:rsidSect="0012502F">
          <w:headerReference w:type="even" r:id="rId16"/>
          <w:headerReference w:type="default" r:id="rId17"/>
          <w:footerReference w:type="even" r:id="rId18"/>
          <w:footerReference w:type="default" r:id="rId19"/>
          <w:headerReference w:type="first" r:id="rId20"/>
          <w:footerReference w:type="first" r:id="rId21"/>
          <w:type w:val="continuous"/>
          <w:pgSz w:w="11940" w:h="16860"/>
          <w:pgMar w:top="567" w:right="567" w:bottom="567" w:left="567" w:header="283" w:footer="283" w:gutter="0"/>
          <w:cols w:space="720"/>
          <w:docGrid w:linePitch="299"/>
        </w:sectPr>
      </w:pPr>
    </w:p>
    <w:p w:rsidR="00F22DCC" w:rsidRDefault="00F22DCC" w:rsidP="00312F49">
      <w:pPr>
        <w:spacing w:after="0"/>
        <w:jc w:val="both"/>
      </w:pPr>
    </w:p>
    <w:p w:rsidR="00F22DCC" w:rsidRDefault="00F22DCC" w:rsidP="00D17165">
      <w:pPr>
        <w:spacing w:after="0"/>
        <w:jc w:val="center"/>
      </w:pPr>
    </w:p>
    <w:p w:rsidR="00710B11" w:rsidRDefault="00D17165" w:rsidP="00D17165">
      <w:pPr>
        <w:spacing w:before="66" w:after="0" w:line="361" w:lineRule="exact"/>
        <w:ind w:left="1838" w:right="-20"/>
        <w:rPr>
          <w:rFonts w:ascii="Arial" w:eastAsia="Arial" w:hAnsi="Arial" w:cs="Arial"/>
          <w:sz w:val="32"/>
          <w:szCs w:val="32"/>
        </w:rPr>
      </w:pPr>
      <w:r>
        <w:rPr>
          <w:rFonts w:ascii="Arial" w:eastAsia="Arial" w:hAnsi="Arial" w:cs="Arial"/>
          <w:b/>
          <w:bCs/>
          <w:spacing w:val="-2"/>
          <w:position w:val="-1"/>
          <w:sz w:val="32"/>
          <w:szCs w:val="32"/>
        </w:rPr>
        <w:t xml:space="preserve">        </w:t>
      </w:r>
      <w:r w:rsidR="00710B11">
        <w:rPr>
          <w:rFonts w:ascii="Arial" w:eastAsia="Arial" w:hAnsi="Arial" w:cs="Arial"/>
          <w:b/>
          <w:bCs/>
          <w:spacing w:val="-2"/>
          <w:position w:val="-1"/>
          <w:sz w:val="32"/>
          <w:szCs w:val="32"/>
        </w:rPr>
        <w:t>S</w:t>
      </w:r>
      <w:r w:rsidR="00710B11">
        <w:rPr>
          <w:rFonts w:ascii="Arial" w:eastAsia="Arial" w:hAnsi="Arial" w:cs="Arial"/>
          <w:b/>
          <w:bCs/>
          <w:spacing w:val="-8"/>
          <w:position w:val="-1"/>
          <w:sz w:val="32"/>
          <w:szCs w:val="32"/>
        </w:rPr>
        <w:t>t</w:t>
      </w:r>
      <w:r w:rsidR="00710B11">
        <w:rPr>
          <w:rFonts w:ascii="Arial" w:eastAsia="Arial" w:hAnsi="Arial" w:cs="Arial"/>
          <w:b/>
          <w:bCs/>
          <w:position w:val="-1"/>
          <w:sz w:val="32"/>
          <w:szCs w:val="32"/>
        </w:rPr>
        <w:t>a</w:t>
      </w:r>
      <w:r w:rsidR="00710B11">
        <w:rPr>
          <w:rFonts w:ascii="Arial" w:eastAsia="Arial" w:hAnsi="Arial" w:cs="Arial"/>
          <w:b/>
          <w:bCs/>
          <w:spacing w:val="-1"/>
          <w:position w:val="-1"/>
          <w:sz w:val="32"/>
          <w:szCs w:val="32"/>
        </w:rPr>
        <w:t>t</w:t>
      </w:r>
      <w:r w:rsidR="00710B11">
        <w:rPr>
          <w:rFonts w:ascii="Arial" w:eastAsia="Arial" w:hAnsi="Arial" w:cs="Arial"/>
          <w:b/>
          <w:bCs/>
          <w:position w:val="-1"/>
          <w:sz w:val="32"/>
          <w:szCs w:val="32"/>
        </w:rPr>
        <w:t>e</w:t>
      </w:r>
      <w:r w:rsidR="00710B11">
        <w:rPr>
          <w:rFonts w:ascii="Arial" w:eastAsia="Arial" w:hAnsi="Arial" w:cs="Arial"/>
          <w:b/>
          <w:bCs/>
          <w:spacing w:val="-1"/>
          <w:position w:val="-1"/>
          <w:sz w:val="32"/>
          <w:szCs w:val="32"/>
        </w:rPr>
        <w:t>m</w:t>
      </w:r>
      <w:r w:rsidR="00710B11">
        <w:rPr>
          <w:rFonts w:ascii="Arial" w:eastAsia="Arial" w:hAnsi="Arial" w:cs="Arial"/>
          <w:b/>
          <w:bCs/>
          <w:spacing w:val="3"/>
          <w:position w:val="-1"/>
          <w:sz w:val="32"/>
          <w:szCs w:val="32"/>
        </w:rPr>
        <w:t>e</w:t>
      </w:r>
      <w:r w:rsidR="00710B11">
        <w:rPr>
          <w:rFonts w:ascii="Arial" w:eastAsia="Arial" w:hAnsi="Arial" w:cs="Arial"/>
          <w:b/>
          <w:bCs/>
          <w:spacing w:val="-1"/>
          <w:position w:val="-1"/>
          <w:sz w:val="32"/>
          <w:szCs w:val="32"/>
        </w:rPr>
        <w:t>n</w:t>
      </w:r>
      <w:r w:rsidR="00710B11">
        <w:rPr>
          <w:rFonts w:ascii="Arial" w:eastAsia="Arial" w:hAnsi="Arial" w:cs="Arial"/>
          <w:b/>
          <w:bCs/>
          <w:position w:val="-1"/>
          <w:sz w:val="32"/>
          <w:szCs w:val="32"/>
        </w:rPr>
        <w:t>t</w:t>
      </w:r>
      <w:r w:rsidR="00710B11">
        <w:rPr>
          <w:rFonts w:ascii="Arial" w:eastAsia="Arial" w:hAnsi="Arial" w:cs="Arial"/>
          <w:b/>
          <w:bCs/>
          <w:spacing w:val="-13"/>
          <w:position w:val="-1"/>
          <w:sz w:val="32"/>
          <w:szCs w:val="32"/>
        </w:rPr>
        <w:t xml:space="preserve"> </w:t>
      </w:r>
      <w:r w:rsidR="00710B11">
        <w:rPr>
          <w:rFonts w:ascii="Arial" w:eastAsia="Arial" w:hAnsi="Arial" w:cs="Arial"/>
          <w:b/>
          <w:bCs/>
          <w:spacing w:val="-1"/>
          <w:position w:val="-1"/>
          <w:sz w:val="32"/>
          <w:szCs w:val="32"/>
        </w:rPr>
        <w:t>o</w:t>
      </w:r>
      <w:r w:rsidR="00710B11">
        <w:rPr>
          <w:rFonts w:ascii="Arial" w:eastAsia="Arial" w:hAnsi="Arial" w:cs="Arial"/>
          <w:b/>
          <w:bCs/>
          <w:position w:val="-1"/>
          <w:sz w:val="32"/>
          <w:szCs w:val="32"/>
        </w:rPr>
        <w:t>f</w:t>
      </w:r>
      <w:r w:rsidR="00710B11">
        <w:rPr>
          <w:rFonts w:ascii="Arial" w:eastAsia="Arial" w:hAnsi="Arial" w:cs="Arial"/>
          <w:b/>
          <w:bCs/>
          <w:spacing w:val="-1"/>
          <w:position w:val="-1"/>
          <w:sz w:val="32"/>
          <w:szCs w:val="32"/>
        </w:rPr>
        <w:t xml:space="preserve"> </w:t>
      </w:r>
      <w:r w:rsidR="00710B11">
        <w:rPr>
          <w:rFonts w:ascii="Arial" w:eastAsia="Arial" w:hAnsi="Arial" w:cs="Arial"/>
          <w:b/>
          <w:bCs/>
          <w:position w:val="-1"/>
          <w:sz w:val="32"/>
          <w:szCs w:val="32"/>
        </w:rPr>
        <w:t>Re</w:t>
      </w:r>
      <w:r w:rsidR="00710B11">
        <w:rPr>
          <w:rFonts w:ascii="Arial" w:eastAsia="Arial" w:hAnsi="Arial" w:cs="Arial"/>
          <w:b/>
          <w:bCs/>
          <w:spacing w:val="2"/>
          <w:position w:val="-1"/>
          <w:sz w:val="32"/>
          <w:szCs w:val="32"/>
        </w:rPr>
        <w:t>q</w:t>
      </w:r>
      <w:r w:rsidR="00710B11">
        <w:rPr>
          <w:rFonts w:ascii="Arial" w:eastAsia="Arial" w:hAnsi="Arial" w:cs="Arial"/>
          <w:b/>
          <w:bCs/>
          <w:spacing w:val="-1"/>
          <w:position w:val="-1"/>
          <w:sz w:val="32"/>
          <w:szCs w:val="32"/>
        </w:rPr>
        <w:t>u</w:t>
      </w:r>
      <w:r w:rsidR="00710B11">
        <w:rPr>
          <w:rFonts w:ascii="Arial" w:eastAsia="Arial" w:hAnsi="Arial" w:cs="Arial"/>
          <w:b/>
          <w:bCs/>
          <w:position w:val="-1"/>
          <w:sz w:val="32"/>
          <w:szCs w:val="32"/>
        </w:rPr>
        <w:t>i</w:t>
      </w:r>
      <w:r w:rsidR="00710B11">
        <w:rPr>
          <w:rFonts w:ascii="Arial" w:eastAsia="Arial" w:hAnsi="Arial" w:cs="Arial"/>
          <w:b/>
          <w:bCs/>
          <w:spacing w:val="1"/>
          <w:position w:val="-1"/>
          <w:sz w:val="32"/>
          <w:szCs w:val="32"/>
        </w:rPr>
        <w:t>r</w:t>
      </w:r>
      <w:r w:rsidR="00710B11">
        <w:rPr>
          <w:rFonts w:ascii="Arial" w:eastAsia="Arial" w:hAnsi="Arial" w:cs="Arial"/>
          <w:b/>
          <w:bCs/>
          <w:position w:val="-1"/>
          <w:sz w:val="32"/>
          <w:szCs w:val="32"/>
        </w:rPr>
        <w:t>e</w:t>
      </w:r>
      <w:r w:rsidR="00710B11">
        <w:rPr>
          <w:rFonts w:ascii="Arial" w:eastAsia="Arial" w:hAnsi="Arial" w:cs="Arial"/>
          <w:b/>
          <w:bCs/>
          <w:spacing w:val="-1"/>
          <w:position w:val="-1"/>
          <w:sz w:val="32"/>
          <w:szCs w:val="32"/>
        </w:rPr>
        <w:t>m</w:t>
      </w:r>
      <w:r w:rsidR="00710B11">
        <w:rPr>
          <w:rFonts w:ascii="Arial" w:eastAsia="Arial" w:hAnsi="Arial" w:cs="Arial"/>
          <w:b/>
          <w:bCs/>
          <w:spacing w:val="3"/>
          <w:position w:val="-1"/>
          <w:sz w:val="32"/>
          <w:szCs w:val="32"/>
        </w:rPr>
        <w:t>e</w:t>
      </w:r>
      <w:r w:rsidR="00710B11">
        <w:rPr>
          <w:rFonts w:ascii="Arial" w:eastAsia="Arial" w:hAnsi="Arial" w:cs="Arial"/>
          <w:b/>
          <w:bCs/>
          <w:spacing w:val="-1"/>
          <w:position w:val="-1"/>
          <w:sz w:val="32"/>
          <w:szCs w:val="32"/>
        </w:rPr>
        <w:t>n</w:t>
      </w:r>
      <w:r w:rsidR="00710B11">
        <w:rPr>
          <w:rFonts w:ascii="Arial" w:eastAsia="Arial" w:hAnsi="Arial" w:cs="Arial"/>
          <w:b/>
          <w:bCs/>
          <w:spacing w:val="-8"/>
          <w:position w:val="-1"/>
          <w:sz w:val="32"/>
          <w:szCs w:val="32"/>
        </w:rPr>
        <w:t>t</w:t>
      </w:r>
      <w:r w:rsidR="00710B11">
        <w:rPr>
          <w:rFonts w:ascii="Arial" w:eastAsia="Arial" w:hAnsi="Arial" w:cs="Arial"/>
          <w:b/>
          <w:bCs/>
          <w:position w:val="-1"/>
          <w:sz w:val="32"/>
          <w:szCs w:val="32"/>
        </w:rPr>
        <w:t>s</w:t>
      </w:r>
      <w:r>
        <w:rPr>
          <w:rFonts w:ascii="Arial" w:eastAsia="Arial" w:hAnsi="Arial" w:cs="Arial"/>
          <w:b/>
          <w:bCs/>
          <w:position w:val="-1"/>
          <w:sz w:val="32"/>
          <w:szCs w:val="32"/>
        </w:rPr>
        <w:t xml:space="preserve">                                       </w:t>
      </w:r>
    </w:p>
    <w:p w:rsidR="00F22DCC" w:rsidRDefault="00F22DCC" w:rsidP="00710B11">
      <w:pPr>
        <w:spacing w:before="16" w:after="0" w:line="240" w:lineRule="exact"/>
        <w:rPr>
          <w:rFonts w:ascii="Arial" w:eastAsia="Arial" w:hAnsi="Arial" w:cs="Arial"/>
          <w:b/>
          <w:bCs/>
          <w:spacing w:val="-1"/>
        </w:rPr>
      </w:pPr>
    </w:p>
    <w:p w:rsidR="00D17165" w:rsidRDefault="00D17165" w:rsidP="00710B11">
      <w:pPr>
        <w:spacing w:before="16" w:after="0" w:line="240" w:lineRule="exact"/>
        <w:rPr>
          <w:rFonts w:ascii="Arial" w:eastAsia="Arial" w:hAnsi="Arial" w:cs="Arial"/>
          <w:b/>
          <w:bCs/>
          <w:spacing w:val="-1"/>
        </w:rPr>
      </w:pPr>
    </w:p>
    <w:p w:rsidR="00131B7A" w:rsidRDefault="009308DB" w:rsidP="00F22DCC">
      <w:pPr>
        <w:spacing w:before="16" w:after="0" w:line="240" w:lineRule="exact"/>
        <w:rPr>
          <w:rFonts w:ascii="Arial" w:eastAsia="Arial" w:hAnsi="Arial" w:cs="Arial"/>
          <w:b/>
          <w:bCs/>
          <w:spacing w:val="-1"/>
        </w:rPr>
      </w:pPr>
      <w:r w:rsidRPr="009308DB">
        <w:rPr>
          <w:rFonts w:ascii="Arial" w:eastAsia="Arial" w:hAnsi="Arial" w:cs="Arial"/>
          <w:b/>
          <w:bCs/>
          <w:spacing w:val="-1"/>
        </w:rPr>
        <w:t>700003856</w:t>
      </w:r>
    </w:p>
    <w:p w:rsidR="009308DB" w:rsidRPr="003C349F" w:rsidRDefault="009308DB" w:rsidP="009308DB">
      <w:pPr>
        <w:pStyle w:val="bodystrongcentred"/>
        <w:rPr>
          <w:rFonts w:ascii="Verdana" w:hAnsi="Verdana"/>
          <w:sz w:val="24"/>
          <w:szCs w:val="24"/>
        </w:rPr>
      </w:pPr>
      <w:r w:rsidRPr="003C349F">
        <w:rPr>
          <w:rFonts w:ascii="Verdana" w:hAnsi="Verdana"/>
          <w:sz w:val="24"/>
          <w:szCs w:val="24"/>
        </w:rPr>
        <w:t xml:space="preserve">Schedule 2 </w:t>
      </w:r>
    </w:p>
    <w:p w:rsidR="009308DB" w:rsidRPr="003C349F" w:rsidRDefault="009308DB" w:rsidP="009308DB">
      <w:pPr>
        <w:pStyle w:val="bodystrongcentred"/>
        <w:rPr>
          <w:rFonts w:ascii="Verdana" w:hAnsi="Verdana"/>
          <w:sz w:val="24"/>
          <w:szCs w:val="24"/>
        </w:rPr>
      </w:pPr>
      <w:r w:rsidRPr="003C349F">
        <w:rPr>
          <w:rFonts w:ascii="Verdana" w:hAnsi="Verdana"/>
          <w:sz w:val="24"/>
          <w:szCs w:val="24"/>
        </w:rPr>
        <w:t>Statement of Requirement</w:t>
      </w:r>
    </w:p>
    <w:p w:rsidR="009308DB" w:rsidRDefault="009308DB" w:rsidP="009308DB">
      <w:pPr>
        <w:pStyle w:val="bodystrongcentred"/>
      </w:pPr>
    </w:p>
    <w:p w:rsidR="009308DB" w:rsidRDefault="009308DB" w:rsidP="009308DB">
      <w:pPr>
        <w:pStyle w:val="bodystrongcentred"/>
      </w:pPr>
    </w:p>
    <w:p w:rsidR="009308DB" w:rsidRDefault="009308DB" w:rsidP="009308DB">
      <w:pPr>
        <w:pStyle w:val="bodystrongcentred"/>
      </w:pPr>
    </w:p>
    <w:p w:rsidR="009308DB" w:rsidRDefault="009308DB" w:rsidP="009308DB">
      <w:pPr>
        <w:pStyle w:val="bodystrongcentred"/>
      </w:pPr>
      <w:r>
        <w:t>CONTENTS</w:t>
      </w:r>
    </w:p>
    <w:p w:rsidR="009308DB" w:rsidRDefault="009308DB" w:rsidP="009308DB"/>
    <w:p w:rsidR="009308DB" w:rsidRPr="00FA4E56" w:rsidRDefault="009308DB" w:rsidP="009308DB">
      <w:pPr>
        <w:pStyle w:val="TOC1"/>
        <w:rPr>
          <w:rFonts w:eastAsiaTheme="minorEastAsia" w:cs="Arial"/>
          <w:caps w:val="0"/>
          <w:noProof/>
          <w:szCs w:val="22"/>
          <w:lang w:eastAsia="en-GB"/>
        </w:rPr>
      </w:pPr>
      <w:r w:rsidRPr="00FA4E56">
        <w:rPr>
          <w:rFonts w:cs="Arial"/>
          <w:caps w:val="0"/>
        </w:rPr>
        <w:fldChar w:fldCharType="begin"/>
      </w:r>
      <w:r w:rsidRPr="00FA4E56">
        <w:rPr>
          <w:rFonts w:cs="Arial"/>
          <w:caps w:val="0"/>
        </w:rPr>
        <w:instrText xml:space="preserve"> TOC \o "1-1" \h \z \u </w:instrText>
      </w:r>
      <w:r w:rsidRPr="00FA4E56">
        <w:rPr>
          <w:rFonts w:cs="Arial"/>
          <w:caps w:val="0"/>
        </w:rPr>
        <w:fldChar w:fldCharType="separate"/>
      </w:r>
      <w:r w:rsidR="00AD4EE5" w:rsidRPr="00FA4E56">
        <w:rPr>
          <w:rFonts w:cs="Arial"/>
        </w:rPr>
        <w:t>1.</w:t>
      </w:r>
      <w:r w:rsidR="00AD4EE5" w:rsidRPr="00FA4E56">
        <w:rPr>
          <w:rFonts w:cs="Arial"/>
        </w:rPr>
        <w:tab/>
        <w:t>Purpose………………………………………………………………………………………3</w:t>
      </w:r>
    </w:p>
    <w:p w:rsidR="009308DB" w:rsidRPr="00FA4E56" w:rsidRDefault="00AD4EE5" w:rsidP="009308DB">
      <w:pPr>
        <w:pStyle w:val="TOC1"/>
        <w:rPr>
          <w:rFonts w:eastAsiaTheme="minorEastAsia" w:cs="Arial"/>
          <w:caps w:val="0"/>
          <w:noProof/>
          <w:szCs w:val="22"/>
          <w:lang w:eastAsia="en-GB"/>
        </w:rPr>
      </w:pPr>
      <w:r w:rsidRPr="00FA4E56">
        <w:rPr>
          <w:rFonts w:cs="Arial"/>
        </w:rPr>
        <w:t xml:space="preserve">2. </w:t>
      </w:r>
      <w:r w:rsidRPr="00FA4E56">
        <w:rPr>
          <w:rFonts w:cs="Arial"/>
        </w:rPr>
        <w:tab/>
        <w:t>BACKGROUND TO THE CONTRACTING aUTHORITY…………………………………3</w:t>
      </w:r>
    </w:p>
    <w:p w:rsidR="009308DB" w:rsidRPr="00FA4E56" w:rsidRDefault="00AD4EE5" w:rsidP="009308DB">
      <w:pPr>
        <w:pStyle w:val="TOC1"/>
        <w:rPr>
          <w:rFonts w:eastAsiaTheme="minorEastAsia" w:cs="Arial"/>
          <w:caps w:val="0"/>
          <w:noProof/>
          <w:szCs w:val="22"/>
          <w:lang w:eastAsia="en-GB"/>
        </w:rPr>
      </w:pPr>
      <w:r w:rsidRPr="00FA4E56">
        <w:rPr>
          <w:rFonts w:cs="Arial"/>
        </w:rPr>
        <w:t>3.</w:t>
      </w:r>
      <w:r w:rsidRPr="00FA4E56">
        <w:rPr>
          <w:rFonts w:cs="Arial"/>
        </w:rPr>
        <w:tab/>
        <w:t>definitions…………………………………………………………………………………..3</w:t>
      </w:r>
    </w:p>
    <w:p w:rsidR="009308DB" w:rsidRPr="00FA4E56" w:rsidRDefault="00AD4EE5" w:rsidP="009308DB">
      <w:pPr>
        <w:pStyle w:val="TOC1"/>
        <w:rPr>
          <w:rFonts w:eastAsiaTheme="minorEastAsia" w:cs="Arial"/>
          <w:caps w:val="0"/>
          <w:noProof/>
          <w:szCs w:val="22"/>
          <w:lang w:eastAsia="en-GB"/>
        </w:rPr>
      </w:pPr>
      <w:r w:rsidRPr="00FA4E56">
        <w:rPr>
          <w:rFonts w:cs="Arial"/>
        </w:rPr>
        <w:t>4.</w:t>
      </w:r>
      <w:r w:rsidRPr="00FA4E56">
        <w:rPr>
          <w:rFonts w:cs="Arial"/>
        </w:rPr>
        <w:tab/>
        <w:t>scope of requirement…………………………………………………………………3</w:t>
      </w:r>
    </w:p>
    <w:p w:rsidR="009308DB" w:rsidRPr="00FA4E56" w:rsidRDefault="00AD4EE5" w:rsidP="009308DB">
      <w:pPr>
        <w:pStyle w:val="TOC1"/>
        <w:rPr>
          <w:rFonts w:eastAsiaTheme="minorEastAsia" w:cs="Arial"/>
          <w:caps w:val="0"/>
          <w:noProof/>
          <w:szCs w:val="22"/>
          <w:lang w:eastAsia="en-GB"/>
        </w:rPr>
      </w:pPr>
      <w:r w:rsidRPr="00FA4E56">
        <w:rPr>
          <w:rFonts w:cs="Arial"/>
        </w:rPr>
        <w:t>5.</w:t>
      </w:r>
      <w:r w:rsidRPr="00FA4E56">
        <w:rPr>
          <w:rFonts w:cs="Arial"/>
        </w:rPr>
        <w:tab/>
        <w:t>The requirement………………………………………………………………………….3</w:t>
      </w:r>
    </w:p>
    <w:p w:rsidR="009308DB" w:rsidRPr="00FA4E56" w:rsidRDefault="00AD4EE5" w:rsidP="009308DB">
      <w:pPr>
        <w:pStyle w:val="TOC1"/>
        <w:rPr>
          <w:rFonts w:eastAsiaTheme="minorEastAsia" w:cs="Arial"/>
          <w:caps w:val="0"/>
          <w:noProof/>
          <w:szCs w:val="22"/>
          <w:lang w:eastAsia="en-GB"/>
        </w:rPr>
      </w:pPr>
      <w:r w:rsidRPr="00FA4E56">
        <w:rPr>
          <w:rFonts w:cs="Arial"/>
        </w:rPr>
        <w:t>6.</w:t>
      </w:r>
      <w:r w:rsidRPr="00FA4E56">
        <w:rPr>
          <w:rFonts w:cs="Arial"/>
        </w:rPr>
        <w:tab/>
        <w:t>key milestones…………………………………………………………………………….5</w:t>
      </w:r>
    </w:p>
    <w:p w:rsidR="009308DB" w:rsidRPr="00FA4E56" w:rsidRDefault="00AD4EE5" w:rsidP="009308DB">
      <w:pPr>
        <w:pStyle w:val="TOC1"/>
        <w:rPr>
          <w:rFonts w:eastAsiaTheme="minorEastAsia" w:cs="Arial"/>
          <w:caps w:val="0"/>
          <w:noProof/>
          <w:szCs w:val="22"/>
          <w:lang w:eastAsia="en-GB"/>
        </w:rPr>
      </w:pPr>
      <w:r w:rsidRPr="00FA4E56">
        <w:rPr>
          <w:rFonts w:cs="Arial"/>
        </w:rPr>
        <w:t>7.</w:t>
      </w:r>
      <w:r w:rsidRPr="00FA4E56">
        <w:rPr>
          <w:rFonts w:cs="Arial"/>
        </w:rPr>
        <w:tab/>
        <w:t>authority’s responsibilities………………………………………………………</w:t>
      </w:r>
      <w:r w:rsidR="00FA4E56">
        <w:rPr>
          <w:rFonts w:cs="Arial"/>
        </w:rPr>
        <w:t>...</w:t>
      </w:r>
      <w:r w:rsidRPr="00FA4E56">
        <w:rPr>
          <w:rFonts w:cs="Arial"/>
        </w:rPr>
        <w:t>7</w:t>
      </w:r>
    </w:p>
    <w:p w:rsidR="009308DB" w:rsidRPr="00FA4E56" w:rsidRDefault="00FA4E56" w:rsidP="009308DB">
      <w:pPr>
        <w:pStyle w:val="TOC1"/>
        <w:rPr>
          <w:rFonts w:eastAsiaTheme="minorEastAsia" w:cs="Arial"/>
          <w:caps w:val="0"/>
          <w:noProof/>
          <w:szCs w:val="22"/>
          <w:lang w:eastAsia="en-GB"/>
        </w:rPr>
      </w:pPr>
      <w:r w:rsidRPr="00FA4E56">
        <w:rPr>
          <w:rFonts w:cs="Arial"/>
        </w:rPr>
        <w:t>8.</w:t>
      </w:r>
      <w:r w:rsidRPr="00FA4E56">
        <w:rPr>
          <w:rFonts w:cs="Arial"/>
        </w:rPr>
        <w:tab/>
        <w:t>reporting…………………………………………………………………………………</w:t>
      </w:r>
      <w:r>
        <w:rPr>
          <w:rFonts w:cs="Arial"/>
        </w:rPr>
        <w:t>...</w:t>
      </w:r>
      <w:r w:rsidRPr="00FA4E56">
        <w:rPr>
          <w:rFonts w:cs="Arial"/>
        </w:rPr>
        <w:t>7</w:t>
      </w:r>
    </w:p>
    <w:p w:rsidR="009308DB" w:rsidRPr="00FA4E56" w:rsidRDefault="00FA4E56" w:rsidP="009308DB">
      <w:pPr>
        <w:pStyle w:val="TOC1"/>
        <w:rPr>
          <w:rFonts w:eastAsiaTheme="minorEastAsia" w:cs="Arial"/>
          <w:caps w:val="0"/>
          <w:noProof/>
          <w:szCs w:val="22"/>
          <w:lang w:eastAsia="en-GB"/>
        </w:rPr>
      </w:pPr>
      <w:r w:rsidRPr="00FA4E56">
        <w:rPr>
          <w:rFonts w:cs="Arial"/>
        </w:rPr>
        <w:t>9.</w:t>
      </w:r>
      <w:r w:rsidRPr="00FA4E56">
        <w:rPr>
          <w:rFonts w:cs="Arial"/>
        </w:rPr>
        <w:tab/>
        <w:t>continuous improvement……………………………………………………………</w:t>
      </w:r>
      <w:r>
        <w:rPr>
          <w:rFonts w:cs="Arial"/>
        </w:rPr>
        <w:t>.</w:t>
      </w:r>
      <w:r w:rsidRPr="00FA4E56">
        <w:rPr>
          <w:rFonts w:cs="Arial"/>
        </w:rPr>
        <w:t>7</w:t>
      </w:r>
    </w:p>
    <w:p w:rsidR="009308DB" w:rsidRPr="00FA4E56" w:rsidRDefault="00FA4E56" w:rsidP="009308DB">
      <w:pPr>
        <w:pStyle w:val="TOC1"/>
        <w:rPr>
          <w:rFonts w:eastAsiaTheme="minorEastAsia" w:cs="Arial"/>
          <w:caps w:val="0"/>
          <w:noProof/>
          <w:szCs w:val="22"/>
          <w:lang w:eastAsia="en-GB"/>
        </w:rPr>
      </w:pPr>
      <w:r w:rsidRPr="00FA4E56">
        <w:rPr>
          <w:rFonts w:cs="Arial"/>
        </w:rPr>
        <w:t>10.</w:t>
      </w:r>
      <w:r w:rsidRPr="00FA4E56">
        <w:rPr>
          <w:rFonts w:cs="Arial"/>
        </w:rPr>
        <w:tab/>
        <w:t>quality………………………………………………………………………………………</w:t>
      </w:r>
      <w:r>
        <w:rPr>
          <w:rFonts w:cs="Arial"/>
        </w:rPr>
        <w:t>.</w:t>
      </w:r>
      <w:r w:rsidRPr="00FA4E56">
        <w:rPr>
          <w:rFonts w:cs="Arial"/>
        </w:rPr>
        <w:t>7</w:t>
      </w:r>
    </w:p>
    <w:p w:rsidR="009308DB" w:rsidRPr="00FA4E56" w:rsidRDefault="00FA4E56" w:rsidP="009308DB">
      <w:pPr>
        <w:pStyle w:val="TOC1"/>
        <w:rPr>
          <w:rFonts w:eastAsiaTheme="minorEastAsia" w:cs="Arial"/>
          <w:caps w:val="0"/>
          <w:noProof/>
          <w:szCs w:val="22"/>
          <w:lang w:eastAsia="en-GB"/>
        </w:rPr>
      </w:pPr>
      <w:r w:rsidRPr="00FA4E56">
        <w:rPr>
          <w:rFonts w:cs="Arial"/>
        </w:rPr>
        <w:t>11.</w:t>
      </w:r>
      <w:r w:rsidRPr="00FA4E56">
        <w:rPr>
          <w:rFonts w:cs="Arial"/>
        </w:rPr>
        <w:tab/>
        <w:t>PRICE</w:t>
      </w:r>
      <w:r>
        <w:rPr>
          <w:rFonts w:cs="Arial"/>
        </w:rPr>
        <w:t>………………………………………………………………………………………….7</w:t>
      </w:r>
    </w:p>
    <w:p w:rsidR="009308DB" w:rsidRPr="00FA4E56" w:rsidRDefault="00FA4E56" w:rsidP="009308DB">
      <w:pPr>
        <w:pStyle w:val="TOC1"/>
        <w:rPr>
          <w:rFonts w:eastAsiaTheme="minorEastAsia" w:cs="Arial"/>
          <w:caps w:val="0"/>
          <w:noProof/>
          <w:szCs w:val="22"/>
          <w:lang w:eastAsia="en-GB"/>
        </w:rPr>
      </w:pPr>
      <w:r w:rsidRPr="00FA4E56">
        <w:rPr>
          <w:rFonts w:cs="Arial"/>
        </w:rPr>
        <w:t>12.</w:t>
      </w:r>
      <w:r w:rsidRPr="00FA4E56">
        <w:rPr>
          <w:rFonts w:cs="Arial"/>
        </w:rPr>
        <w:tab/>
        <w:t>STAFF AND CUSTOMER SERVICE</w:t>
      </w:r>
      <w:r>
        <w:rPr>
          <w:rFonts w:cs="Arial"/>
          <w:webHidden/>
        </w:rPr>
        <w:t>………………………………………………………7</w:t>
      </w:r>
    </w:p>
    <w:p w:rsidR="009308DB" w:rsidRPr="00FA4E56" w:rsidRDefault="00FA4E56" w:rsidP="009308DB">
      <w:pPr>
        <w:pStyle w:val="TOC1"/>
        <w:rPr>
          <w:rFonts w:eastAsiaTheme="minorEastAsia" w:cs="Arial"/>
          <w:caps w:val="0"/>
          <w:noProof/>
          <w:szCs w:val="22"/>
          <w:lang w:eastAsia="en-GB"/>
        </w:rPr>
      </w:pPr>
      <w:r w:rsidRPr="00FA4E56">
        <w:rPr>
          <w:rFonts w:cs="Arial"/>
        </w:rPr>
        <w:t>13.</w:t>
      </w:r>
      <w:r w:rsidRPr="00FA4E56">
        <w:rPr>
          <w:rFonts w:cs="Arial"/>
        </w:rPr>
        <w:tab/>
        <w:t>Security requirements</w:t>
      </w:r>
      <w:r>
        <w:rPr>
          <w:rFonts w:cs="Arial"/>
        </w:rPr>
        <w:t>………………………………………………………………7</w:t>
      </w:r>
    </w:p>
    <w:p w:rsidR="009308DB" w:rsidRPr="00FA4E56" w:rsidRDefault="00FA4E56" w:rsidP="009308DB">
      <w:pPr>
        <w:pStyle w:val="TOC1"/>
        <w:rPr>
          <w:rFonts w:eastAsiaTheme="minorEastAsia" w:cs="Arial"/>
          <w:caps w:val="0"/>
          <w:noProof/>
          <w:szCs w:val="22"/>
          <w:lang w:eastAsia="en-GB"/>
        </w:rPr>
      </w:pPr>
      <w:r w:rsidRPr="00FA4E56">
        <w:rPr>
          <w:rFonts w:cs="Arial"/>
        </w:rPr>
        <w:t>14.</w:t>
      </w:r>
      <w:r w:rsidRPr="00FA4E56">
        <w:rPr>
          <w:rFonts w:cs="Arial"/>
        </w:rPr>
        <w:tab/>
        <w:t>intellectual property rights (ipr)</w:t>
      </w:r>
      <w:r>
        <w:rPr>
          <w:rFonts w:cs="Arial"/>
        </w:rPr>
        <w:t>……………………………………………..8</w:t>
      </w:r>
    </w:p>
    <w:p w:rsidR="009308DB" w:rsidRPr="00FA4E56" w:rsidRDefault="00FA4E56" w:rsidP="009308DB">
      <w:pPr>
        <w:pStyle w:val="TOC1"/>
        <w:rPr>
          <w:rFonts w:eastAsiaTheme="minorEastAsia" w:cs="Arial"/>
          <w:caps w:val="0"/>
          <w:noProof/>
          <w:szCs w:val="22"/>
          <w:lang w:eastAsia="en-GB"/>
        </w:rPr>
      </w:pPr>
      <w:r w:rsidRPr="00FA4E56">
        <w:rPr>
          <w:rFonts w:cs="Arial"/>
        </w:rPr>
        <w:t>15.</w:t>
      </w:r>
      <w:r w:rsidRPr="00FA4E56">
        <w:rPr>
          <w:rFonts w:cs="Arial"/>
        </w:rPr>
        <w:tab/>
        <w:t>payment</w:t>
      </w:r>
      <w:r>
        <w:rPr>
          <w:rFonts w:cs="Arial"/>
        </w:rPr>
        <w:t>……………………………………………………………………………………..8</w:t>
      </w:r>
    </w:p>
    <w:p w:rsidR="009308DB" w:rsidRPr="00FA4E56" w:rsidRDefault="00FA4E56" w:rsidP="009308DB">
      <w:pPr>
        <w:pStyle w:val="TOC1"/>
        <w:rPr>
          <w:rFonts w:eastAsiaTheme="minorEastAsia" w:cs="Arial"/>
          <w:caps w:val="0"/>
          <w:noProof/>
          <w:szCs w:val="22"/>
          <w:lang w:eastAsia="en-GB"/>
        </w:rPr>
      </w:pPr>
      <w:r w:rsidRPr="00FA4E56">
        <w:rPr>
          <w:rFonts w:cs="Arial"/>
        </w:rPr>
        <w:t>16.</w:t>
      </w:r>
      <w:r w:rsidRPr="00FA4E56">
        <w:rPr>
          <w:rFonts w:cs="Arial"/>
        </w:rPr>
        <w:tab/>
        <w:t>Location</w:t>
      </w:r>
      <w:r>
        <w:rPr>
          <w:rFonts w:cs="Arial"/>
        </w:rPr>
        <w:t>…………………………………………………………………………………….8</w:t>
      </w:r>
    </w:p>
    <w:p w:rsidR="009308DB" w:rsidRDefault="009308DB" w:rsidP="009308DB">
      <w:pPr>
        <w:spacing w:after="120"/>
        <w:jc w:val="center"/>
        <w:rPr>
          <w:rFonts w:cs="Arial"/>
          <w:caps/>
        </w:rPr>
      </w:pPr>
      <w:r w:rsidRPr="00FA4E56">
        <w:rPr>
          <w:rFonts w:ascii="Arial" w:hAnsi="Arial" w:cs="Arial"/>
          <w:caps/>
        </w:rPr>
        <w:fldChar w:fldCharType="end"/>
      </w:r>
      <w:bookmarkStart w:id="6" w:name="_Toc297554772"/>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cs="Arial"/>
          <w:caps/>
        </w:rPr>
      </w:pPr>
    </w:p>
    <w:p w:rsidR="009308DB" w:rsidRDefault="009308DB" w:rsidP="009308DB">
      <w:pPr>
        <w:spacing w:after="120"/>
        <w:jc w:val="center"/>
        <w:rPr>
          <w:rFonts w:eastAsia="STZhongsong"/>
          <w:b/>
          <w:i/>
          <w:highlight w:val="green"/>
        </w:rPr>
      </w:pPr>
    </w:p>
    <w:p w:rsidR="009308DB" w:rsidRPr="00CE295C" w:rsidRDefault="009308DB" w:rsidP="009308DB">
      <w:pPr>
        <w:pStyle w:val="Heading1"/>
        <w:widowControl/>
        <w:numPr>
          <w:ilvl w:val="0"/>
          <w:numId w:val="12"/>
        </w:numPr>
        <w:tabs>
          <w:tab w:val="clear" w:pos="720"/>
        </w:tabs>
        <w:overflowPunct w:val="0"/>
        <w:autoSpaceDE w:val="0"/>
        <w:autoSpaceDN w:val="0"/>
        <w:adjustRightInd w:val="0"/>
        <w:spacing w:after="120"/>
        <w:jc w:val="both"/>
        <w:textAlignment w:val="baseline"/>
        <w:rPr>
          <w:szCs w:val="22"/>
        </w:rPr>
      </w:pPr>
      <w:bookmarkStart w:id="7" w:name="_Toc368573027"/>
      <w:bookmarkStart w:id="8" w:name="_Toc533088684"/>
      <w:r w:rsidRPr="00CE295C">
        <w:rPr>
          <w:szCs w:val="22"/>
        </w:rPr>
        <w:t>PURPOSE</w:t>
      </w:r>
      <w:bookmarkEnd w:id="6"/>
      <w:bookmarkEnd w:id="7"/>
      <w:bookmarkEnd w:id="8"/>
    </w:p>
    <w:p w:rsidR="009308DB" w:rsidRPr="00747215" w:rsidRDefault="009308DB" w:rsidP="009308DB">
      <w:pPr>
        <w:pStyle w:val="Heading2"/>
        <w:widowControl/>
        <w:numPr>
          <w:ilvl w:val="1"/>
          <w:numId w:val="11"/>
        </w:numPr>
        <w:tabs>
          <w:tab w:val="clear" w:pos="720"/>
          <w:tab w:val="num" w:pos="4678"/>
        </w:tabs>
        <w:adjustRightInd w:val="0"/>
        <w:spacing w:after="240"/>
        <w:ind w:left="709" w:hanging="709"/>
      </w:pPr>
      <w:bookmarkStart w:id="9" w:name="_Toc368573028"/>
      <w:bookmarkStart w:id="10" w:name="_Toc297554773"/>
      <w:bookmarkStart w:id="11" w:name="_Toc296415805"/>
      <w:bookmarkStart w:id="12" w:name="_Toc296415793"/>
      <w:r w:rsidRPr="00747215">
        <w:t xml:space="preserve">Navy Command Headquarters seeks to cohere current in-flight programmes, projects and initiatives across the Navy TLB, and configure a transformation programme to ensure ongoing </w:t>
      </w:r>
      <w:r w:rsidRPr="00747215">
        <w:rPr>
          <w:rFonts w:cs="Arial"/>
        </w:rPr>
        <w:t>alignment of these initiatives to meet Command priorities and deliver the overall Navy proposition presented to the Secretary of State</w:t>
      </w:r>
    </w:p>
    <w:p w:rsidR="009308DB" w:rsidRPr="004E78BC" w:rsidRDefault="009308DB" w:rsidP="009308DB">
      <w:pPr>
        <w:pStyle w:val="Heading1"/>
        <w:widowControl/>
        <w:numPr>
          <w:ilvl w:val="0"/>
          <w:numId w:val="11"/>
        </w:numPr>
        <w:tabs>
          <w:tab w:val="clear" w:pos="720"/>
        </w:tabs>
        <w:overflowPunct w:val="0"/>
        <w:autoSpaceDE w:val="0"/>
        <w:autoSpaceDN w:val="0"/>
        <w:adjustRightInd w:val="0"/>
        <w:spacing w:after="120"/>
        <w:jc w:val="both"/>
        <w:textAlignment w:val="baseline"/>
        <w:rPr>
          <w:szCs w:val="22"/>
        </w:rPr>
      </w:pPr>
      <w:bookmarkStart w:id="13" w:name="_Toc533088685"/>
      <w:r w:rsidRPr="004E78BC">
        <w:rPr>
          <w:szCs w:val="22"/>
        </w:rPr>
        <w:t xml:space="preserve">BACKGROUND TO THE </w:t>
      </w:r>
      <w:r>
        <w:rPr>
          <w:szCs w:val="22"/>
        </w:rPr>
        <w:t>CONTRACT</w:t>
      </w:r>
      <w:r w:rsidR="001E6409">
        <w:rPr>
          <w:szCs w:val="22"/>
        </w:rPr>
        <w:t>ING A</w:t>
      </w:r>
      <w:r w:rsidRPr="004E78BC">
        <w:rPr>
          <w:szCs w:val="22"/>
        </w:rPr>
        <w:t>UTHORITY</w:t>
      </w:r>
      <w:bookmarkEnd w:id="9"/>
      <w:bookmarkEnd w:id="13"/>
    </w:p>
    <w:p w:rsidR="009308DB" w:rsidRPr="00872008" w:rsidRDefault="009308DB" w:rsidP="009308DB">
      <w:pPr>
        <w:pStyle w:val="Heading2"/>
        <w:widowControl/>
        <w:numPr>
          <w:ilvl w:val="1"/>
          <w:numId w:val="11"/>
        </w:numPr>
        <w:adjustRightInd w:val="0"/>
        <w:spacing w:after="240"/>
      </w:pPr>
      <w:bookmarkStart w:id="14" w:name="_Toc368573029"/>
      <w:r w:rsidRPr="00D04ACB">
        <w:t xml:space="preserve">This work is led by the </w:t>
      </w:r>
      <w:r>
        <w:t>Navy Command Headquarters</w:t>
      </w:r>
      <w:r w:rsidRPr="00D04ACB">
        <w:t>, within the Ministry</w:t>
      </w:r>
      <w:r>
        <w:t xml:space="preserve"> of Defence. The purpose of Navy Command Headquarters </w:t>
      </w:r>
      <w:r w:rsidRPr="00D04ACB">
        <w:t xml:space="preserve">is to set and assure </w:t>
      </w:r>
      <w:r>
        <w:t>Royal Navy strategy, policies and processes and to act as its primary accounting function.</w:t>
      </w:r>
      <w:bookmarkEnd w:id="10"/>
      <w:bookmarkEnd w:id="14"/>
    </w:p>
    <w:p w:rsidR="009308DB" w:rsidRDefault="001E6409" w:rsidP="009308DB">
      <w:pPr>
        <w:pStyle w:val="Heading1"/>
        <w:widowControl/>
        <w:numPr>
          <w:ilvl w:val="0"/>
          <w:numId w:val="11"/>
        </w:numPr>
        <w:tabs>
          <w:tab w:val="clear" w:pos="720"/>
        </w:tabs>
        <w:overflowPunct w:val="0"/>
        <w:autoSpaceDE w:val="0"/>
        <w:autoSpaceDN w:val="0"/>
        <w:adjustRightInd w:val="0"/>
        <w:spacing w:after="120"/>
        <w:jc w:val="both"/>
        <w:textAlignment w:val="baseline"/>
        <w:rPr>
          <w:szCs w:val="22"/>
        </w:rPr>
      </w:pPr>
      <w:bookmarkStart w:id="15" w:name="_Toc297554774"/>
      <w:bookmarkStart w:id="16" w:name="_Toc368573030"/>
      <w:bookmarkEnd w:id="11"/>
      <w:r>
        <w:rPr>
          <w:szCs w:val="22"/>
        </w:rPr>
        <w:t>DEFINITIONS</w:t>
      </w:r>
      <w:r w:rsidR="009308DB">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9308DB" w:rsidTr="00EB5ABF">
        <w:tc>
          <w:tcPr>
            <w:tcW w:w="1841" w:type="dxa"/>
            <w:shd w:val="clear" w:color="auto" w:fill="C6D9F1" w:themeFill="text2" w:themeFillTint="33"/>
          </w:tcPr>
          <w:p w:rsidR="009308DB" w:rsidRPr="00D04ACB" w:rsidRDefault="009308DB" w:rsidP="00EB5ABF">
            <w:pPr>
              <w:pStyle w:val="Heading2"/>
              <w:numPr>
                <w:ilvl w:val="0"/>
                <w:numId w:val="0"/>
              </w:numPr>
              <w:spacing w:after="120"/>
              <w:ind w:left="18" w:hanging="18"/>
              <w:jc w:val="left"/>
              <w:outlineLvl w:val="1"/>
            </w:pPr>
            <w:r w:rsidRPr="00D04ACB">
              <w:t>Expression or Acronym</w:t>
            </w:r>
          </w:p>
        </w:tc>
        <w:tc>
          <w:tcPr>
            <w:tcW w:w="6458" w:type="dxa"/>
            <w:shd w:val="clear" w:color="auto" w:fill="C6D9F1" w:themeFill="text2" w:themeFillTint="33"/>
          </w:tcPr>
          <w:p w:rsidR="009308DB" w:rsidRPr="00D04ACB" w:rsidRDefault="009308DB" w:rsidP="00EB5ABF">
            <w:pPr>
              <w:pStyle w:val="Heading2"/>
              <w:numPr>
                <w:ilvl w:val="0"/>
                <w:numId w:val="0"/>
              </w:numPr>
              <w:spacing w:after="120"/>
              <w:ind w:left="720" w:hanging="720"/>
              <w:outlineLvl w:val="1"/>
            </w:pPr>
            <w:r w:rsidRPr="00D04ACB">
              <w:t>Definition</w:t>
            </w:r>
          </w:p>
        </w:tc>
      </w:tr>
      <w:tr w:rsidR="009308DB" w:rsidTr="00EB5ABF">
        <w:tc>
          <w:tcPr>
            <w:tcW w:w="1841" w:type="dxa"/>
          </w:tcPr>
          <w:p w:rsidR="009308DB" w:rsidRPr="00114869" w:rsidRDefault="009308DB" w:rsidP="00EB5ABF">
            <w:pPr>
              <w:pStyle w:val="Heading2"/>
              <w:numPr>
                <w:ilvl w:val="0"/>
                <w:numId w:val="0"/>
              </w:numPr>
              <w:spacing w:after="120"/>
              <w:ind w:left="720" w:hanging="720"/>
              <w:outlineLvl w:val="1"/>
              <w:rPr>
                <w:rFonts w:cs="Arial"/>
                <w:sz w:val="22"/>
                <w:szCs w:val="22"/>
                <w:highlight w:val="yellow"/>
              </w:rPr>
            </w:pPr>
            <w:r w:rsidRPr="00114869">
              <w:rPr>
                <w:rFonts w:cs="Arial"/>
                <w:sz w:val="22"/>
                <w:szCs w:val="22"/>
              </w:rPr>
              <w:t>TLB</w:t>
            </w:r>
          </w:p>
        </w:tc>
        <w:tc>
          <w:tcPr>
            <w:tcW w:w="6458" w:type="dxa"/>
          </w:tcPr>
          <w:p w:rsidR="009308DB" w:rsidRPr="00114869" w:rsidRDefault="009308DB" w:rsidP="00EB5ABF">
            <w:pPr>
              <w:pStyle w:val="Heading2"/>
              <w:numPr>
                <w:ilvl w:val="0"/>
                <w:numId w:val="0"/>
              </w:numPr>
              <w:spacing w:after="120"/>
              <w:outlineLvl w:val="1"/>
              <w:rPr>
                <w:rFonts w:cs="Arial"/>
                <w:sz w:val="22"/>
                <w:szCs w:val="22"/>
                <w:highlight w:val="yellow"/>
              </w:rPr>
            </w:pPr>
            <w:r w:rsidRPr="00114869">
              <w:rPr>
                <w:rFonts w:cs="Arial"/>
                <w:sz w:val="22"/>
                <w:szCs w:val="22"/>
              </w:rPr>
              <w:t>Top Level Budget</w:t>
            </w:r>
          </w:p>
        </w:tc>
      </w:tr>
      <w:tr w:rsidR="009308DB" w:rsidTr="00EB5ABF">
        <w:tc>
          <w:tcPr>
            <w:tcW w:w="1841" w:type="dxa"/>
          </w:tcPr>
          <w:p w:rsidR="009308DB" w:rsidRPr="00114869" w:rsidRDefault="009308DB" w:rsidP="00EB5ABF">
            <w:pPr>
              <w:pStyle w:val="Heading2"/>
              <w:numPr>
                <w:ilvl w:val="0"/>
                <w:numId w:val="0"/>
              </w:numPr>
              <w:spacing w:after="120"/>
              <w:ind w:left="720" w:hanging="720"/>
              <w:outlineLvl w:val="1"/>
              <w:rPr>
                <w:rFonts w:cs="Arial"/>
                <w:sz w:val="22"/>
                <w:szCs w:val="22"/>
                <w:highlight w:val="yellow"/>
              </w:rPr>
            </w:pPr>
            <w:r w:rsidRPr="00114869">
              <w:rPr>
                <w:rFonts w:cs="Arial"/>
                <w:sz w:val="22"/>
                <w:szCs w:val="22"/>
              </w:rPr>
              <w:t>SOS</w:t>
            </w:r>
          </w:p>
        </w:tc>
        <w:tc>
          <w:tcPr>
            <w:tcW w:w="6458" w:type="dxa"/>
          </w:tcPr>
          <w:p w:rsidR="009308DB" w:rsidRPr="00114869" w:rsidRDefault="009308DB" w:rsidP="00EB5ABF">
            <w:pPr>
              <w:pStyle w:val="Heading2"/>
              <w:numPr>
                <w:ilvl w:val="0"/>
                <w:numId w:val="0"/>
              </w:numPr>
              <w:spacing w:after="120"/>
              <w:ind w:left="720" w:hanging="720"/>
              <w:outlineLvl w:val="1"/>
              <w:rPr>
                <w:rFonts w:cs="Arial"/>
                <w:sz w:val="22"/>
                <w:szCs w:val="22"/>
                <w:highlight w:val="yellow"/>
              </w:rPr>
            </w:pPr>
            <w:r w:rsidRPr="00114869">
              <w:rPr>
                <w:rFonts w:cs="Arial"/>
                <w:sz w:val="22"/>
                <w:szCs w:val="22"/>
              </w:rPr>
              <w:t>Secretary of State</w:t>
            </w:r>
          </w:p>
        </w:tc>
      </w:tr>
      <w:tr w:rsidR="009308DB" w:rsidTr="00EB5ABF">
        <w:tc>
          <w:tcPr>
            <w:tcW w:w="1841" w:type="dxa"/>
          </w:tcPr>
          <w:p w:rsidR="009308DB" w:rsidRPr="00114869" w:rsidRDefault="009308DB" w:rsidP="00EB5ABF">
            <w:pPr>
              <w:pStyle w:val="Heading2"/>
              <w:numPr>
                <w:ilvl w:val="0"/>
                <w:numId w:val="0"/>
              </w:numPr>
              <w:spacing w:after="120"/>
              <w:ind w:left="720" w:hanging="720"/>
              <w:outlineLvl w:val="1"/>
              <w:rPr>
                <w:rFonts w:cs="Arial"/>
                <w:sz w:val="22"/>
                <w:szCs w:val="22"/>
                <w:highlight w:val="yellow"/>
              </w:rPr>
            </w:pPr>
            <w:r w:rsidRPr="00114869">
              <w:rPr>
                <w:rFonts w:cs="Arial"/>
                <w:sz w:val="22"/>
                <w:szCs w:val="22"/>
              </w:rPr>
              <w:t>P3M</w:t>
            </w:r>
          </w:p>
        </w:tc>
        <w:tc>
          <w:tcPr>
            <w:tcW w:w="6458" w:type="dxa"/>
          </w:tcPr>
          <w:p w:rsidR="009308DB" w:rsidRPr="00114869" w:rsidRDefault="009308DB" w:rsidP="00EB5ABF">
            <w:pPr>
              <w:rPr>
                <w:rFonts w:ascii="Arial" w:hAnsi="Arial" w:cs="Arial"/>
                <w:sz w:val="22"/>
                <w:szCs w:val="22"/>
              </w:rPr>
            </w:pPr>
            <w:r w:rsidRPr="00114869">
              <w:rPr>
                <w:rFonts w:ascii="Arial" w:hAnsi="Arial" w:cs="Arial"/>
                <w:sz w:val="22"/>
                <w:szCs w:val="22"/>
              </w:rPr>
              <w:t>Project, Program and Portfolio Management</w:t>
            </w:r>
          </w:p>
        </w:tc>
      </w:tr>
      <w:tr w:rsidR="009308DB" w:rsidTr="00EB5ABF">
        <w:tc>
          <w:tcPr>
            <w:tcW w:w="1841" w:type="dxa"/>
          </w:tcPr>
          <w:p w:rsidR="009308DB" w:rsidRPr="00114869" w:rsidRDefault="009308DB" w:rsidP="00EB5ABF">
            <w:pPr>
              <w:pStyle w:val="Heading2"/>
              <w:numPr>
                <w:ilvl w:val="0"/>
                <w:numId w:val="0"/>
              </w:numPr>
              <w:spacing w:after="120"/>
              <w:ind w:left="720" w:hanging="720"/>
              <w:outlineLvl w:val="1"/>
              <w:rPr>
                <w:rFonts w:cs="Arial"/>
                <w:sz w:val="22"/>
                <w:szCs w:val="22"/>
              </w:rPr>
            </w:pPr>
            <w:r w:rsidRPr="00114869">
              <w:rPr>
                <w:rFonts w:cs="Arial"/>
                <w:sz w:val="22"/>
                <w:szCs w:val="22"/>
              </w:rPr>
              <w:t>DE&amp;S</w:t>
            </w:r>
          </w:p>
        </w:tc>
        <w:tc>
          <w:tcPr>
            <w:tcW w:w="6458" w:type="dxa"/>
          </w:tcPr>
          <w:p w:rsidR="009308DB" w:rsidRPr="00114869" w:rsidRDefault="009308DB" w:rsidP="00EB5ABF">
            <w:pPr>
              <w:pStyle w:val="Heading2"/>
              <w:numPr>
                <w:ilvl w:val="0"/>
                <w:numId w:val="0"/>
              </w:numPr>
              <w:spacing w:after="120"/>
              <w:outlineLvl w:val="1"/>
              <w:rPr>
                <w:rFonts w:cs="Arial"/>
                <w:sz w:val="22"/>
                <w:szCs w:val="22"/>
              </w:rPr>
            </w:pPr>
            <w:r w:rsidRPr="00114869">
              <w:rPr>
                <w:rFonts w:cs="Arial"/>
                <w:sz w:val="22"/>
                <w:szCs w:val="22"/>
              </w:rPr>
              <w:t>Defence Equipment &amp; Support</w:t>
            </w:r>
          </w:p>
        </w:tc>
      </w:tr>
      <w:tr w:rsidR="009308DB" w:rsidTr="00EB5ABF">
        <w:tc>
          <w:tcPr>
            <w:tcW w:w="1841" w:type="dxa"/>
          </w:tcPr>
          <w:p w:rsidR="009308DB" w:rsidRPr="00114869" w:rsidRDefault="009308DB" w:rsidP="00EB5ABF">
            <w:pPr>
              <w:pStyle w:val="Heading2"/>
              <w:numPr>
                <w:ilvl w:val="0"/>
                <w:numId w:val="0"/>
              </w:numPr>
              <w:spacing w:after="120"/>
              <w:ind w:left="720" w:hanging="720"/>
              <w:outlineLvl w:val="1"/>
              <w:rPr>
                <w:rFonts w:cs="Arial"/>
                <w:sz w:val="22"/>
                <w:szCs w:val="22"/>
              </w:rPr>
            </w:pPr>
            <w:r w:rsidRPr="00114869">
              <w:rPr>
                <w:rFonts w:cs="Arial"/>
                <w:sz w:val="22"/>
                <w:szCs w:val="22"/>
              </w:rPr>
              <w:t>SR19</w:t>
            </w:r>
          </w:p>
        </w:tc>
        <w:tc>
          <w:tcPr>
            <w:tcW w:w="6458" w:type="dxa"/>
          </w:tcPr>
          <w:p w:rsidR="009308DB" w:rsidRPr="00114869" w:rsidRDefault="009308DB" w:rsidP="00EB5ABF">
            <w:pPr>
              <w:pStyle w:val="Heading2"/>
              <w:numPr>
                <w:ilvl w:val="0"/>
                <w:numId w:val="0"/>
              </w:numPr>
              <w:spacing w:after="120"/>
              <w:outlineLvl w:val="1"/>
              <w:rPr>
                <w:rFonts w:cs="Arial"/>
                <w:sz w:val="22"/>
                <w:szCs w:val="22"/>
              </w:rPr>
            </w:pPr>
            <w:r w:rsidRPr="00114869">
              <w:rPr>
                <w:rFonts w:cs="Arial"/>
                <w:sz w:val="22"/>
                <w:szCs w:val="22"/>
              </w:rPr>
              <w:t>Spending Review 2019</w:t>
            </w:r>
          </w:p>
        </w:tc>
      </w:tr>
    </w:tbl>
    <w:bookmarkEnd w:id="15"/>
    <w:bookmarkEnd w:id="16"/>
    <w:p w:rsidR="009308DB" w:rsidRDefault="001E6409" w:rsidP="009308DB">
      <w:pPr>
        <w:pStyle w:val="Heading1"/>
        <w:widowControl/>
        <w:numPr>
          <w:ilvl w:val="0"/>
          <w:numId w:val="11"/>
        </w:numPr>
        <w:tabs>
          <w:tab w:val="clear" w:pos="720"/>
        </w:tabs>
        <w:overflowPunct w:val="0"/>
        <w:autoSpaceDE w:val="0"/>
        <w:autoSpaceDN w:val="0"/>
        <w:adjustRightInd w:val="0"/>
        <w:spacing w:before="240" w:after="120"/>
        <w:jc w:val="both"/>
        <w:textAlignment w:val="baseline"/>
        <w:rPr>
          <w:szCs w:val="22"/>
        </w:rPr>
      </w:pPr>
      <w:r>
        <w:rPr>
          <w:szCs w:val="22"/>
        </w:rPr>
        <w:t>SCOPE OF REQUIREMENT</w:t>
      </w:r>
      <w:r w:rsidR="009308DB" w:rsidRPr="00B9425F">
        <w:rPr>
          <w:szCs w:val="22"/>
        </w:rPr>
        <w:t xml:space="preserve"> </w:t>
      </w:r>
    </w:p>
    <w:p w:rsidR="009308DB" w:rsidRPr="000F0EDA" w:rsidRDefault="009308DB" w:rsidP="009308DB">
      <w:pPr>
        <w:pStyle w:val="Heading2"/>
        <w:widowControl/>
        <w:numPr>
          <w:ilvl w:val="1"/>
          <w:numId w:val="11"/>
        </w:numPr>
        <w:tabs>
          <w:tab w:val="num" w:pos="4395"/>
        </w:tabs>
        <w:adjustRightInd w:val="0"/>
        <w:spacing w:after="240"/>
        <w:ind w:left="709"/>
      </w:pPr>
      <w:bookmarkStart w:id="17" w:name="_Toc368573031"/>
      <w:bookmarkEnd w:id="12"/>
      <w:r>
        <w:rPr>
          <w:rFonts w:cs="Arial"/>
        </w:rPr>
        <w:t>To establish a robust system for decision making and a governance structure with associated artefacts which will enable the design and implementation of a programme of transformation within Navy Command</w:t>
      </w:r>
      <w:r>
        <w:rPr>
          <w:szCs w:val="22"/>
        </w:rPr>
        <w:t>.</w:t>
      </w:r>
    </w:p>
    <w:bookmarkEnd w:id="17"/>
    <w:p w:rsidR="009308DB" w:rsidRDefault="001E6409" w:rsidP="009308DB">
      <w:pPr>
        <w:pStyle w:val="Heading1"/>
        <w:widowControl/>
        <w:numPr>
          <w:ilvl w:val="0"/>
          <w:numId w:val="11"/>
        </w:numPr>
        <w:adjustRightInd w:val="0"/>
        <w:spacing w:after="120"/>
        <w:jc w:val="both"/>
      </w:pPr>
      <w:r>
        <w:t>THE REQUIREMENT</w:t>
      </w:r>
    </w:p>
    <w:p w:rsidR="009308DB" w:rsidRPr="00AA05F4" w:rsidRDefault="009308DB" w:rsidP="009308DB">
      <w:pPr>
        <w:pStyle w:val="Heading2"/>
        <w:widowControl/>
        <w:numPr>
          <w:ilvl w:val="1"/>
          <w:numId w:val="11"/>
        </w:numPr>
        <w:tabs>
          <w:tab w:val="clear" w:pos="720"/>
          <w:tab w:val="num" w:pos="4820"/>
        </w:tabs>
        <w:adjustRightInd w:val="0"/>
        <w:spacing w:after="240"/>
        <w:ind w:left="709" w:hanging="709"/>
        <w:rPr>
          <w:rFonts w:cs="Arial"/>
        </w:rPr>
      </w:pPr>
      <w:bookmarkStart w:id="18" w:name="_Toc368573032"/>
      <w:r w:rsidRPr="00AA05F4">
        <w:rPr>
          <w:rFonts w:cs="Arial"/>
        </w:rPr>
        <w:t xml:space="preserve">The successful bidder will be required to deliver: </w:t>
      </w:r>
    </w:p>
    <w:p w:rsidR="009308DB" w:rsidRPr="00AA05F4" w:rsidRDefault="009308DB" w:rsidP="009308DB">
      <w:pPr>
        <w:widowControl/>
        <w:numPr>
          <w:ilvl w:val="2"/>
          <w:numId w:val="11"/>
        </w:numPr>
        <w:tabs>
          <w:tab w:val="clear" w:pos="1800"/>
        </w:tabs>
        <w:ind w:left="0" w:firstLine="709"/>
        <w:rPr>
          <w:rFonts w:ascii="Arial" w:hAnsi="Arial" w:cs="Arial"/>
          <w:b/>
        </w:rPr>
      </w:pPr>
      <w:r w:rsidRPr="00AA05F4">
        <w:rPr>
          <w:rFonts w:ascii="Arial" w:hAnsi="Arial" w:cs="Arial"/>
          <w:b/>
        </w:rPr>
        <w:t>SYSTEMIC PROCESS FOR ENGAGEMENT AND DECISION MAKING</w:t>
      </w:r>
    </w:p>
    <w:p w:rsidR="009308DB" w:rsidRPr="00AA05F4" w:rsidRDefault="009308DB" w:rsidP="009308DB">
      <w:pPr>
        <w:ind w:left="709"/>
        <w:rPr>
          <w:rFonts w:ascii="Arial" w:hAnsi="Arial" w:cs="Arial"/>
        </w:rPr>
      </w:pPr>
      <w:bookmarkStart w:id="19" w:name="_Hlk536782971"/>
      <w:r w:rsidRPr="00AA05F4">
        <w:rPr>
          <w:rFonts w:ascii="Arial" w:hAnsi="Arial" w:cs="Arial"/>
        </w:rPr>
        <w:t>Set out, in clear terms the necessary steps to enable streamlined and effective decision making for tasks that will require contracted delivery.  This must capture different stakeholders, required approval points and necessary constraints imposed by MI systems</w:t>
      </w:r>
      <w:bookmarkEnd w:id="19"/>
      <w:r w:rsidRPr="00AA05F4">
        <w:rPr>
          <w:rFonts w:ascii="Arial" w:hAnsi="Arial" w:cs="Arial"/>
        </w:rPr>
        <w:t>.</w:t>
      </w:r>
    </w:p>
    <w:p w:rsidR="009308DB" w:rsidRPr="00AA05F4" w:rsidRDefault="009308DB" w:rsidP="009308DB">
      <w:pPr>
        <w:widowControl/>
        <w:numPr>
          <w:ilvl w:val="2"/>
          <w:numId w:val="11"/>
        </w:numPr>
        <w:tabs>
          <w:tab w:val="clear" w:pos="1800"/>
        </w:tabs>
        <w:ind w:left="0" w:firstLine="709"/>
        <w:rPr>
          <w:rFonts w:ascii="Arial" w:hAnsi="Arial" w:cs="Arial"/>
          <w:b/>
        </w:rPr>
      </w:pPr>
      <w:r w:rsidRPr="00AA05F4">
        <w:rPr>
          <w:rFonts w:ascii="Arial" w:hAnsi="Arial" w:cs="Arial"/>
          <w:b/>
        </w:rPr>
        <w:t>LANDSCAPE REVIEW</w:t>
      </w:r>
    </w:p>
    <w:p w:rsidR="009308DB" w:rsidRPr="00AA05F4" w:rsidRDefault="009308DB" w:rsidP="009308DB">
      <w:pPr>
        <w:pStyle w:val="Heading4"/>
        <w:numPr>
          <w:ilvl w:val="0"/>
          <w:numId w:val="0"/>
        </w:numPr>
        <w:ind w:left="720"/>
        <w:rPr>
          <w:rFonts w:eastAsia="Calibri" w:cs="Arial"/>
          <w:szCs w:val="22"/>
        </w:rPr>
      </w:pPr>
      <w:r w:rsidRPr="00AA05F4">
        <w:rPr>
          <w:rFonts w:eastAsia="Calibri" w:cs="Arial"/>
          <w:szCs w:val="22"/>
        </w:rPr>
        <w:t>Review of the current landscape of in flight and planned projects and programmes within the Command and the alignment of these initiatives to meet Command priorities and deliver the overall Navy proposition presented to the Secretary of State</w:t>
      </w:r>
    </w:p>
    <w:p w:rsidR="009308DB" w:rsidRPr="00AA05F4" w:rsidRDefault="009308DB" w:rsidP="009308DB">
      <w:pPr>
        <w:pStyle w:val="Heading4"/>
        <w:numPr>
          <w:ilvl w:val="0"/>
          <w:numId w:val="0"/>
        </w:numPr>
        <w:ind w:left="720"/>
        <w:rPr>
          <w:rFonts w:eastAsia="Calibri" w:cs="Arial"/>
          <w:szCs w:val="22"/>
        </w:rPr>
      </w:pPr>
    </w:p>
    <w:p w:rsidR="009308DB" w:rsidRPr="00AA05F4" w:rsidRDefault="009308DB" w:rsidP="009308DB">
      <w:pPr>
        <w:widowControl/>
        <w:numPr>
          <w:ilvl w:val="2"/>
          <w:numId w:val="11"/>
        </w:numPr>
        <w:tabs>
          <w:tab w:val="clear" w:pos="1800"/>
        </w:tabs>
        <w:ind w:left="0" w:firstLine="709"/>
        <w:rPr>
          <w:rFonts w:ascii="Arial" w:hAnsi="Arial" w:cs="Arial"/>
          <w:b/>
        </w:rPr>
      </w:pPr>
      <w:r w:rsidRPr="00AA05F4">
        <w:rPr>
          <w:rFonts w:ascii="Arial" w:hAnsi="Arial" w:cs="Arial"/>
          <w:b/>
        </w:rPr>
        <w:t>OUTLINE PLAN</w:t>
      </w:r>
    </w:p>
    <w:p w:rsidR="009308DB" w:rsidRDefault="009308DB" w:rsidP="009308DB">
      <w:pPr>
        <w:pStyle w:val="Heading4"/>
        <w:numPr>
          <w:ilvl w:val="0"/>
          <w:numId w:val="0"/>
        </w:numPr>
        <w:ind w:left="720"/>
        <w:rPr>
          <w:rFonts w:cs="Arial"/>
        </w:rPr>
      </w:pPr>
      <w:r w:rsidRPr="00F039F0">
        <w:rPr>
          <w:rFonts w:cs="Arial"/>
        </w:rPr>
        <w:t xml:space="preserve">Provision of </w:t>
      </w:r>
      <w:r>
        <w:rPr>
          <w:rFonts w:cs="Arial"/>
        </w:rPr>
        <w:t xml:space="preserve">advice and </w:t>
      </w:r>
      <w:r w:rsidRPr="00F039F0">
        <w:rPr>
          <w:rFonts w:cs="Arial"/>
        </w:rPr>
        <w:t>an outline plan for delivering a transformation</w:t>
      </w:r>
      <w:r>
        <w:rPr>
          <w:rFonts w:cs="Arial"/>
        </w:rPr>
        <w:t>al</w:t>
      </w:r>
      <w:r w:rsidRPr="00F039F0">
        <w:rPr>
          <w:rFonts w:cs="Arial"/>
        </w:rPr>
        <w:t xml:space="preserve"> programme</w:t>
      </w:r>
      <w:r>
        <w:rPr>
          <w:rFonts w:cs="Arial"/>
        </w:rPr>
        <w:t xml:space="preserve"> of work</w:t>
      </w:r>
      <w:r w:rsidRPr="00F039F0">
        <w:rPr>
          <w:rFonts w:cs="Arial"/>
        </w:rPr>
        <w:t xml:space="preserve">, that will enable the costs, opportunities and benefits of each of the individual projects identified above to be </w:t>
      </w:r>
      <w:r>
        <w:rPr>
          <w:rFonts w:cs="Arial"/>
        </w:rPr>
        <w:t xml:space="preserve">assessed, where necessary re-focussed and then </w:t>
      </w:r>
      <w:r w:rsidRPr="00F039F0">
        <w:rPr>
          <w:rFonts w:cs="Arial"/>
        </w:rPr>
        <w:t xml:space="preserve">managed coherently </w:t>
      </w:r>
      <w:r>
        <w:rPr>
          <w:rFonts w:cs="Arial"/>
        </w:rPr>
        <w:lastRenderedPageBreak/>
        <w:t xml:space="preserve">through an optimised programme of work that meets the </w:t>
      </w:r>
      <w:r w:rsidRPr="00F039F0">
        <w:rPr>
          <w:rFonts w:cs="Arial"/>
        </w:rPr>
        <w:t>vision of the Navy proposition.  This will include</w:t>
      </w:r>
      <w:r>
        <w:rPr>
          <w:rFonts w:cs="Arial"/>
        </w:rPr>
        <w:t>:</w:t>
      </w:r>
    </w:p>
    <w:p w:rsidR="009308DB" w:rsidRDefault="009308DB" w:rsidP="009308DB">
      <w:pPr>
        <w:pStyle w:val="Heading4"/>
        <w:numPr>
          <w:ilvl w:val="0"/>
          <w:numId w:val="0"/>
        </w:numPr>
        <w:ind w:left="720"/>
        <w:rPr>
          <w:rFonts w:cs="Arial"/>
        </w:rPr>
      </w:pPr>
    </w:p>
    <w:p w:rsidR="009308DB" w:rsidRPr="003C349F" w:rsidRDefault="009308DB" w:rsidP="009308DB">
      <w:pPr>
        <w:pStyle w:val="ListParagraph"/>
        <w:numPr>
          <w:ilvl w:val="0"/>
          <w:numId w:val="14"/>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b/>
          <w:lang w:eastAsia="en-GB"/>
        </w:rPr>
        <w:t xml:space="preserve">Programme Structure Design: </w:t>
      </w:r>
      <w:r w:rsidRPr="003C349F">
        <w:rPr>
          <w:rFonts w:ascii="Arial" w:eastAsia="Times New Roman" w:hAnsi="Arial" w:cs="Arial"/>
          <w:lang w:eastAsia="en-GB"/>
        </w:rPr>
        <w:t>Development of overarching Programme structure, associated documentation and mandates.  This should include identification of:</w:t>
      </w:r>
    </w:p>
    <w:p w:rsidR="009308DB" w:rsidRPr="003C349F" w:rsidRDefault="009308DB" w:rsidP="009308DB">
      <w:pPr>
        <w:pStyle w:val="ListParagraph"/>
        <w:ind w:left="1440"/>
        <w:jc w:val="both"/>
        <w:textAlignment w:val="baseline"/>
        <w:rPr>
          <w:rFonts w:ascii="Arial" w:eastAsia="Times New Roman" w:hAnsi="Arial" w:cs="Arial"/>
          <w:lang w:eastAsia="en-GB"/>
        </w:rPr>
      </w:pPr>
    </w:p>
    <w:p w:rsidR="009308DB" w:rsidRPr="003C349F" w:rsidRDefault="009308DB" w:rsidP="009308DB">
      <w:pPr>
        <w:pStyle w:val="ListParagraph"/>
        <w:numPr>
          <w:ilvl w:val="0"/>
          <w:numId w:val="19"/>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lang w:eastAsia="en-GB"/>
        </w:rPr>
        <w:t xml:space="preserve">A </w:t>
      </w:r>
      <w:proofErr w:type="gramStart"/>
      <w:r w:rsidRPr="003C349F">
        <w:rPr>
          <w:rFonts w:ascii="Arial" w:eastAsia="Times New Roman" w:hAnsi="Arial" w:cs="Arial"/>
          <w:lang w:eastAsia="en-GB"/>
        </w:rPr>
        <w:t>top level</w:t>
      </w:r>
      <w:proofErr w:type="gramEnd"/>
      <w:r w:rsidRPr="003C349F">
        <w:rPr>
          <w:rFonts w:ascii="Arial" w:eastAsia="Times New Roman" w:hAnsi="Arial" w:cs="Arial"/>
          <w:lang w:eastAsia="en-GB"/>
        </w:rPr>
        <w:t xml:space="preserve"> Transformation programme structure and governance</w:t>
      </w:r>
    </w:p>
    <w:p w:rsidR="009308DB" w:rsidRPr="003C349F" w:rsidRDefault="009308DB" w:rsidP="009308DB">
      <w:pPr>
        <w:pStyle w:val="ListParagraph"/>
        <w:numPr>
          <w:ilvl w:val="0"/>
          <w:numId w:val="19"/>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lang w:eastAsia="en-GB"/>
        </w:rPr>
        <w:t>Necessary and/or appropriate Project, Programme and Portfolio Management materials/artefacts to support the design and control of the Programme, and the associated risk and benefits</w:t>
      </w:r>
    </w:p>
    <w:p w:rsidR="009308DB" w:rsidRPr="003C349F" w:rsidRDefault="009308DB" w:rsidP="009308DB">
      <w:pPr>
        <w:contextualSpacing/>
        <w:jc w:val="both"/>
        <w:textAlignment w:val="baseline"/>
        <w:rPr>
          <w:rFonts w:ascii="Arial" w:eastAsia="Times New Roman" w:hAnsi="Arial" w:cs="Arial"/>
          <w:lang w:eastAsia="en-GB"/>
        </w:rPr>
      </w:pPr>
    </w:p>
    <w:p w:rsidR="009308DB" w:rsidRPr="003C349F" w:rsidRDefault="009308DB" w:rsidP="009308DB">
      <w:pPr>
        <w:pStyle w:val="ListParagraph"/>
        <w:numPr>
          <w:ilvl w:val="0"/>
          <w:numId w:val="14"/>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b/>
          <w:lang w:eastAsia="en-GB"/>
        </w:rPr>
        <w:t xml:space="preserve">Project Assessment: </w:t>
      </w:r>
      <w:r w:rsidRPr="003C349F">
        <w:rPr>
          <w:rFonts w:ascii="Arial" w:eastAsia="Times New Roman" w:hAnsi="Arial" w:cs="Arial"/>
          <w:lang w:eastAsia="en-GB"/>
        </w:rPr>
        <w:t>The identification and scoping of individual projects within the programme (both in flight and forward looking ‘Plan of Plans’), and the creation of appropriate project artefacts, which set out a robust and realistic assessment of the performance, cost and time envelope for each project/plan, to enable inclusion in a concurrent balance of investment prioritisation exercise.  This should therefore include against each project:</w:t>
      </w:r>
    </w:p>
    <w:p w:rsidR="009308DB" w:rsidRPr="003C349F" w:rsidRDefault="009308DB" w:rsidP="009308DB">
      <w:pPr>
        <w:ind w:left="1440"/>
        <w:jc w:val="both"/>
        <w:textAlignment w:val="baseline"/>
        <w:rPr>
          <w:rFonts w:ascii="Arial" w:eastAsia="Times New Roman" w:hAnsi="Arial" w:cs="Arial"/>
          <w:lang w:eastAsia="en-GB"/>
        </w:rPr>
      </w:pPr>
    </w:p>
    <w:p w:rsidR="009308DB" w:rsidRPr="003C349F" w:rsidRDefault="009308DB" w:rsidP="009308DB">
      <w:pPr>
        <w:widowControl/>
        <w:numPr>
          <w:ilvl w:val="1"/>
          <w:numId w:val="15"/>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lang w:eastAsia="en-GB"/>
        </w:rPr>
        <w:t xml:space="preserve">Project costs (including appropriately skilled staff) </w:t>
      </w:r>
    </w:p>
    <w:p w:rsidR="009308DB" w:rsidRPr="003C349F" w:rsidRDefault="009308DB" w:rsidP="009308DB">
      <w:pPr>
        <w:widowControl/>
        <w:numPr>
          <w:ilvl w:val="1"/>
          <w:numId w:val="15"/>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lang w:eastAsia="en-GB"/>
        </w:rPr>
        <w:t xml:space="preserve">Potential benefits and a strategy/plan for </w:t>
      </w:r>
      <w:proofErr w:type="spellStart"/>
      <w:r w:rsidRPr="003C349F">
        <w:rPr>
          <w:rFonts w:ascii="Arial" w:eastAsia="Times New Roman" w:hAnsi="Arial" w:cs="Arial"/>
          <w:lang w:eastAsia="en-GB"/>
        </w:rPr>
        <w:t>realisation</w:t>
      </w:r>
      <w:proofErr w:type="spellEnd"/>
    </w:p>
    <w:p w:rsidR="009308DB" w:rsidRPr="003C349F" w:rsidRDefault="009308DB" w:rsidP="009308DB">
      <w:pPr>
        <w:widowControl/>
        <w:numPr>
          <w:ilvl w:val="1"/>
          <w:numId w:val="15"/>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lang w:eastAsia="en-GB"/>
        </w:rPr>
        <w:t>Appropriate governance structures, including for managing the wider interface to the Programme</w:t>
      </w:r>
    </w:p>
    <w:p w:rsidR="009308DB" w:rsidRPr="003C349F" w:rsidRDefault="009308DB" w:rsidP="009308DB">
      <w:pPr>
        <w:widowControl/>
        <w:numPr>
          <w:ilvl w:val="1"/>
          <w:numId w:val="15"/>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lang w:eastAsia="en-GB"/>
        </w:rPr>
        <w:t>Risks and opportunities</w:t>
      </w:r>
    </w:p>
    <w:p w:rsidR="009308DB" w:rsidRPr="003C349F" w:rsidRDefault="009308DB" w:rsidP="009308DB">
      <w:pPr>
        <w:widowControl/>
        <w:numPr>
          <w:ilvl w:val="1"/>
          <w:numId w:val="15"/>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lang w:eastAsia="en-GB"/>
        </w:rPr>
        <w:t>Issues</w:t>
      </w:r>
    </w:p>
    <w:p w:rsidR="009308DB" w:rsidRPr="003C349F" w:rsidRDefault="009308DB" w:rsidP="009308DB">
      <w:pPr>
        <w:widowControl/>
        <w:numPr>
          <w:ilvl w:val="1"/>
          <w:numId w:val="15"/>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lang w:eastAsia="en-GB"/>
        </w:rPr>
        <w:t>Constraints</w:t>
      </w:r>
    </w:p>
    <w:p w:rsidR="009308DB" w:rsidRPr="003C349F" w:rsidRDefault="009308DB" w:rsidP="009308DB">
      <w:pPr>
        <w:widowControl/>
        <w:numPr>
          <w:ilvl w:val="1"/>
          <w:numId w:val="15"/>
        </w:numPr>
        <w:spacing w:after="0" w:line="240" w:lineRule="auto"/>
        <w:jc w:val="both"/>
        <w:textAlignment w:val="baseline"/>
        <w:rPr>
          <w:rFonts w:ascii="Arial" w:eastAsia="Times New Roman" w:hAnsi="Arial" w:cs="Arial"/>
          <w:lang w:eastAsia="en-GB"/>
        </w:rPr>
      </w:pPr>
      <w:r w:rsidRPr="003C349F">
        <w:rPr>
          <w:rFonts w:ascii="Arial" w:eastAsia="Times New Roman" w:hAnsi="Arial" w:cs="Arial"/>
          <w:lang w:eastAsia="en-GB"/>
        </w:rPr>
        <w:t xml:space="preserve">Dependencies to and upon the wider </w:t>
      </w:r>
      <w:proofErr w:type="spellStart"/>
      <w:r w:rsidRPr="003C349F">
        <w:rPr>
          <w:rFonts w:ascii="Arial" w:eastAsia="Times New Roman" w:hAnsi="Arial" w:cs="Arial"/>
          <w:lang w:eastAsia="en-GB"/>
        </w:rPr>
        <w:t>programme</w:t>
      </w:r>
      <w:proofErr w:type="spellEnd"/>
      <w:r w:rsidRPr="003C349F">
        <w:rPr>
          <w:rFonts w:ascii="Arial" w:eastAsia="Times New Roman" w:hAnsi="Arial" w:cs="Arial"/>
          <w:lang w:eastAsia="en-GB"/>
        </w:rPr>
        <w:t xml:space="preserve">, other projects and wider </w:t>
      </w:r>
      <w:proofErr w:type="spellStart"/>
      <w:r w:rsidRPr="003C349F">
        <w:rPr>
          <w:rFonts w:ascii="Arial" w:eastAsia="Times New Roman" w:hAnsi="Arial" w:cs="Arial"/>
          <w:lang w:eastAsia="en-GB"/>
        </w:rPr>
        <w:t>Defence</w:t>
      </w:r>
      <w:proofErr w:type="spellEnd"/>
      <w:r w:rsidRPr="003C349F">
        <w:rPr>
          <w:rFonts w:ascii="Arial" w:eastAsia="Times New Roman" w:hAnsi="Arial" w:cs="Arial"/>
          <w:lang w:eastAsia="en-GB"/>
        </w:rPr>
        <w:t xml:space="preserve"> </w:t>
      </w:r>
      <w:proofErr w:type="spellStart"/>
      <w:r w:rsidRPr="003C349F">
        <w:rPr>
          <w:rFonts w:ascii="Arial" w:eastAsia="Times New Roman" w:hAnsi="Arial" w:cs="Arial"/>
          <w:lang w:eastAsia="en-GB"/>
        </w:rPr>
        <w:t>programmes</w:t>
      </w:r>
      <w:proofErr w:type="spellEnd"/>
      <w:r w:rsidRPr="003C349F">
        <w:rPr>
          <w:rFonts w:ascii="Arial" w:eastAsia="Times New Roman" w:hAnsi="Arial" w:cs="Arial"/>
          <w:lang w:eastAsia="en-GB"/>
        </w:rPr>
        <w:t>.</w:t>
      </w:r>
    </w:p>
    <w:p w:rsidR="009308DB" w:rsidRPr="003C349F" w:rsidRDefault="009308DB" w:rsidP="009308DB">
      <w:pPr>
        <w:jc w:val="both"/>
        <w:textAlignment w:val="baseline"/>
        <w:rPr>
          <w:rFonts w:ascii="Arial" w:eastAsia="Times New Roman" w:hAnsi="Arial" w:cs="Arial"/>
          <w:lang w:eastAsia="en-GB"/>
        </w:rPr>
      </w:pPr>
    </w:p>
    <w:p w:rsidR="009308DB" w:rsidRPr="003C349F" w:rsidRDefault="009308DB" w:rsidP="009308DB">
      <w:pPr>
        <w:widowControl/>
        <w:numPr>
          <w:ilvl w:val="2"/>
          <w:numId w:val="11"/>
        </w:numPr>
        <w:tabs>
          <w:tab w:val="clear" w:pos="1800"/>
        </w:tabs>
        <w:ind w:left="0" w:firstLine="709"/>
        <w:rPr>
          <w:rFonts w:ascii="Arial" w:hAnsi="Arial" w:cs="Arial"/>
          <w:b/>
        </w:rPr>
      </w:pPr>
      <w:r w:rsidRPr="003C349F">
        <w:rPr>
          <w:rFonts w:ascii="Arial" w:hAnsi="Arial" w:cs="Arial"/>
          <w:b/>
        </w:rPr>
        <w:t>BALANCE OF INVESTMENT SUPPORT</w:t>
      </w:r>
    </w:p>
    <w:p w:rsidR="009308DB" w:rsidRPr="003C349F" w:rsidRDefault="009308DB" w:rsidP="009308DB">
      <w:pPr>
        <w:ind w:left="709"/>
        <w:jc w:val="both"/>
        <w:textAlignment w:val="baseline"/>
        <w:rPr>
          <w:rFonts w:ascii="Arial" w:eastAsia="Times New Roman" w:hAnsi="Arial" w:cs="Arial"/>
          <w:lang w:eastAsia="en-GB"/>
        </w:rPr>
      </w:pPr>
      <w:r w:rsidRPr="003C349F">
        <w:rPr>
          <w:rFonts w:ascii="Arial" w:eastAsia="Times New Roman" w:hAnsi="Arial" w:cs="Arial"/>
          <w:lang w:eastAsia="en-GB"/>
        </w:rPr>
        <w:t xml:space="preserve">Support the Navy Command Balance of Investment process through providing the additional external </w:t>
      </w:r>
      <w:proofErr w:type="spellStart"/>
      <w:r w:rsidRPr="003C349F">
        <w:rPr>
          <w:rFonts w:ascii="Arial" w:eastAsia="Times New Roman" w:hAnsi="Arial" w:cs="Arial"/>
          <w:lang w:eastAsia="en-GB"/>
        </w:rPr>
        <w:t>rigour</w:t>
      </w:r>
      <w:proofErr w:type="spellEnd"/>
      <w:r w:rsidRPr="003C349F">
        <w:rPr>
          <w:rFonts w:ascii="Arial" w:eastAsia="Times New Roman" w:hAnsi="Arial" w:cs="Arial"/>
          <w:lang w:eastAsia="en-GB"/>
        </w:rPr>
        <w:t xml:space="preserve"> necessary to help identify, articulate and quantify the benefits of cohering in-flight activity into transactable balance of investment choices to provide the additional financial headroom that will enable transformational activity to be programmed in SR19.</w:t>
      </w:r>
    </w:p>
    <w:p w:rsidR="009308DB" w:rsidRPr="003C349F" w:rsidRDefault="009308DB" w:rsidP="009308DB">
      <w:pPr>
        <w:ind w:left="709"/>
        <w:jc w:val="both"/>
        <w:textAlignment w:val="baseline"/>
        <w:rPr>
          <w:rFonts w:ascii="Arial" w:eastAsia="Times New Roman" w:hAnsi="Arial" w:cs="Arial"/>
          <w:lang w:eastAsia="en-GB"/>
        </w:rPr>
      </w:pPr>
    </w:p>
    <w:p w:rsidR="009308DB" w:rsidRPr="003C349F" w:rsidRDefault="009308DB" w:rsidP="009308DB">
      <w:pPr>
        <w:widowControl/>
        <w:numPr>
          <w:ilvl w:val="2"/>
          <w:numId w:val="11"/>
        </w:numPr>
        <w:tabs>
          <w:tab w:val="clear" w:pos="1800"/>
        </w:tabs>
        <w:ind w:left="0" w:firstLine="709"/>
        <w:rPr>
          <w:rFonts w:ascii="Arial" w:hAnsi="Arial" w:cs="Arial"/>
          <w:b/>
        </w:rPr>
      </w:pPr>
      <w:r w:rsidRPr="003C349F">
        <w:rPr>
          <w:rFonts w:ascii="Arial" w:hAnsi="Arial" w:cs="Arial"/>
          <w:b/>
        </w:rPr>
        <w:t>REPORT</w:t>
      </w:r>
    </w:p>
    <w:p w:rsidR="009308DB" w:rsidRPr="003C349F" w:rsidRDefault="009308DB" w:rsidP="009308DB">
      <w:pPr>
        <w:pStyle w:val="Heading2"/>
        <w:numPr>
          <w:ilvl w:val="0"/>
          <w:numId w:val="0"/>
        </w:numPr>
        <w:ind w:left="709"/>
        <w:rPr>
          <w:rFonts w:cs="Arial"/>
        </w:rPr>
      </w:pPr>
      <w:r w:rsidRPr="003C349F">
        <w:rPr>
          <w:rFonts w:cs="Arial"/>
        </w:rPr>
        <w:t>Produce a comprehensive report covering environmental and structural issues that are required to deliver a sustainable transformation programme. This must cover cultural, budgetary, behavioural, coherence and/or process weaknesses and provide sufficiently detailed plans to address each with benefits profiles to enable transformation to be achieved.</w:t>
      </w:r>
    </w:p>
    <w:p w:rsidR="009308DB" w:rsidRPr="003C349F" w:rsidRDefault="009308DB" w:rsidP="009308DB">
      <w:pPr>
        <w:widowControl/>
        <w:numPr>
          <w:ilvl w:val="2"/>
          <w:numId w:val="11"/>
        </w:numPr>
        <w:tabs>
          <w:tab w:val="clear" w:pos="1800"/>
        </w:tabs>
        <w:ind w:left="0" w:firstLine="709"/>
        <w:rPr>
          <w:rFonts w:ascii="Arial" w:hAnsi="Arial" w:cs="Arial"/>
          <w:b/>
        </w:rPr>
      </w:pPr>
      <w:r w:rsidRPr="003C349F">
        <w:rPr>
          <w:rFonts w:ascii="Arial" w:hAnsi="Arial" w:cs="Arial"/>
          <w:b/>
        </w:rPr>
        <w:t>OPTION A – SKILLS TRANSFER</w:t>
      </w:r>
    </w:p>
    <w:p w:rsidR="009308DB" w:rsidRPr="003C349F" w:rsidRDefault="009308DB" w:rsidP="009308DB">
      <w:pPr>
        <w:pStyle w:val="Heading2"/>
        <w:numPr>
          <w:ilvl w:val="0"/>
          <w:numId w:val="0"/>
        </w:numPr>
        <w:ind w:left="709"/>
        <w:rPr>
          <w:rFonts w:cs="Arial"/>
        </w:rPr>
      </w:pPr>
      <w:r w:rsidRPr="003C349F">
        <w:rPr>
          <w:rFonts w:cs="Arial"/>
        </w:rPr>
        <w:t xml:space="preserve">The Authority may call off an additional Option for a programme of knowledge and skills transfer if necessary to enable the Programme Management Office processes and routines to become fully embedded in Command business.  </w:t>
      </w:r>
    </w:p>
    <w:p w:rsidR="009308DB" w:rsidRPr="0018288B" w:rsidRDefault="009308DB" w:rsidP="009308DB">
      <w:pPr>
        <w:pStyle w:val="Heading2"/>
        <w:widowControl/>
        <w:numPr>
          <w:ilvl w:val="1"/>
          <w:numId w:val="11"/>
        </w:numPr>
        <w:tabs>
          <w:tab w:val="clear" w:pos="720"/>
        </w:tabs>
        <w:adjustRightInd w:val="0"/>
        <w:spacing w:after="240"/>
        <w:ind w:left="709" w:hanging="709"/>
      </w:pPr>
      <w:r w:rsidRPr="003C349F">
        <w:rPr>
          <w:rFonts w:cs="Arial"/>
        </w:rPr>
        <w:t>The supplier will be required to attend and provide input to strategic and tactical level meetings and workshops (the audience can</w:t>
      </w:r>
      <w:r>
        <w:t xml:space="preserve"> vary significantly from Ministers, Senior Leaders (Military and Civilian), stakeholders: Navy, DE&amp;S)</w:t>
      </w:r>
      <w:r w:rsidRPr="004060C4">
        <w:t xml:space="preserve"> through the delivery of presentations and reports.  The supplier will be required to provide input to project documents and work collaboratively with the project work streams and wider stakeholders</w:t>
      </w:r>
      <w:r w:rsidRPr="00711A14">
        <w:t xml:space="preserve">. </w:t>
      </w:r>
    </w:p>
    <w:p w:rsidR="009308DB" w:rsidRDefault="009308DB" w:rsidP="009308DB">
      <w:pPr>
        <w:pStyle w:val="Heading2"/>
        <w:widowControl/>
        <w:numPr>
          <w:ilvl w:val="1"/>
          <w:numId w:val="11"/>
        </w:numPr>
        <w:tabs>
          <w:tab w:val="clear" w:pos="720"/>
        </w:tabs>
        <w:adjustRightInd w:val="0"/>
        <w:spacing w:after="240"/>
        <w:ind w:left="709" w:hanging="709"/>
      </w:pPr>
      <w:r>
        <w:lastRenderedPageBreak/>
        <w:t>The successful bidder</w:t>
      </w:r>
      <w:r w:rsidRPr="00BA4915">
        <w:t xml:space="preserve"> will be required to work collaboratively and transparently with stakeholders, including; MOD personnel, suppliers and </w:t>
      </w:r>
      <w:r>
        <w:t>Contract</w:t>
      </w:r>
      <w:r w:rsidRPr="00BA4915">
        <w:t xml:space="preserve">ors who support the delivery of current and future </w:t>
      </w:r>
      <w:r>
        <w:t>Navy Command Headquarters key milestones.</w:t>
      </w:r>
    </w:p>
    <w:bookmarkEnd w:id="18"/>
    <w:p w:rsidR="009308DB" w:rsidRDefault="001E6409" w:rsidP="009308DB">
      <w:pPr>
        <w:pStyle w:val="Heading1"/>
        <w:widowControl/>
        <w:numPr>
          <w:ilvl w:val="0"/>
          <w:numId w:val="11"/>
        </w:numPr>
        <w:adjustRightInd w:val="0"/>
        <w:spacing w:after="120"/>
        <w:jc w:val="both"/>
      </w:pPr>
      <w:r>
        <w:t>KEY MILESTONES</w:t>
      </w:r>
    </w:p>
    <w:p w:rsidR="009308DB" w:rsidRPr="00E87682" w:rsidRDefault="009308DB" w:rsidP="009308DB">
      <w:pPr>
        <w:pStyle w:val="Heading2"/>
        <w:widowControl/>
        <w:numPr>
          <w:ilvl w:val="1"/>
          <w:numId w:val="11"/>
        </w:numPr>
        <w:tabs>
          <w:tab w:val="clear" w:pos="720"/>
          <w:tab w:val="num" w:pos="132"/>
          <w:tab w:val="num" w:pos="862"/>
        </w:tabs>
        <w:overflowPunct w:val="0"/>
        <w:autoSpaceDE w:val="0"/>
        <w:autoSpaceDN w:val="0"/>
        <w:adjustRightInd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r w:rsidRPr="00E87682">
        <w:rPr>
          <w:rFonts w:cs="Arial"/>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8"/>
        <w:gridCol w:w="5954"/>
        <w:gridCol w:w="1788"/>
      </w:tblGrid>
      <w:tr w:rsidR="009308DB" w:rsidRPr="00453D2C" w:rsidTr="00EB5ABF">
        <w:tc>
          <w:tcPr>
            <w:tcW w:w="1268" w:type="dxa"/>
            <w:tcBorders>
              <w:top w:val="outset" w:sz="6" w:space="0" w:color="auto"/>
              <w:left w:val="outset" w:sz="6" w:space="0" w:color="auto"/>
              <w:bottom w:val="outset" w:sz="6" w:space="0" w:color="auto"/>
              <w:right w:val="outset" w:sz="6" w:space="0" w:color="auto"/>
            </w:tcBorders>
            <w:shd w:val="clear" w:color="auto" w:fill="C6D9F1"/>
            <w:vAlign w:val="center"/>
            <w:hideMark/>
          </w:tcPr>
          <w:p w:rsidR="009308DB" w:rsidRPr="00453D2C" w:rsidRDefault="009308DB" w:rsidP="00EB5ABF">
            <w:pPr>
              <w:jc w:val="center"/>
              <w:textAlignment w:val="baseline"/>
              <w:rPr>
                <w:rFonts w:eastAsia="Times New Roman"/>
                <w:sz w:val="24"/>
                <w:lang w:eastAsia="en-GB"/>
              </w:rPr>
            </w:pPr>
            <w:r w:rsidRPr="00453D2C">
              <w:rPr>
                <w:rFonts w:eastAsia="Times New Roman" w:cs="Arial"/>
                <w:b/>
                <w:bCs/>
                <w:lang w:eastAsia="en-GB"/>
              </w:rPr>
              <w:t>Milestone</w:t>
            </w:r>
            <w:r w:rsidRPr="00453D2C">
              <w:rPr>
                <w:rFonts w:eastAsia="Times New Roman" w:cs="Arial"/>
                <w:lang w:eastAsia="en-GB"/>
              </w:rPr>
              <w:t> </w:t>
            </w:r>
          </w:p>
        </w:tc>
        <w:tc>
          <w:tcPr>
            <w:tcW w:w="5954" w:type="dxa"/>
            <w:tcBorders>
              <w:top w:val="single" w:sz="6" w:space="0" w:color="auto"/>
              <w:left w:val="nil"/>
              <w:bottom w:val="single" w:sz="6" w:space="0" w:color="auto"/>
              <w:right w:val="single" w:sz="6" w:space="0" w:color="auto"/>
            </w:tcBorders>
            <w:shd w:val="clear" w:color="auto" w:fill="C6D9F1"/>
            <w:vAlign w:val="center"/>
            <w:hideMark/>
          </w:tcPr>
          <w:p w:rsidR="009308DB" w:rsidRPr="00453D2C" w:rsidRDefault="009308DB" w:rsidP="00EB5ABF">
            <w:pPr>
              <w:jc w:val="center"/>
              <w:textAlignment w:val="baseline"/>
              <w:rPr>
                <w:rFonts w:eastAsia="Times New Roman"/>
                <w:sz w:val="24"/>
                <w:lang w:eastAsia="en-GB"/>
              </w:rPr>
            </w:pPr>
            <w:r w:rsidRPr="00453D2C">
              <w:rPr>
                <w:rFonts w:eastAsia="Times New Roman" w:cs="Arial"/>
                <w:b/>
                <w:bCs/>
                <w:lang w:eastAsia="en-GB"/>
              </w:rPr>
              <w:t>Description</w:t>
            </w:r>
            <w:r w:rsidRPr="00453D2C">
              <w:rPr>
                <w:rFonts w:eastAsia="Times New Roman" w:cs="Arial"/>
                <w:lang w:eastAsia="en-GB"/>
              </w:rPr>
              <w:t> </w:t>
            </w:r>
          </w:p>
        </w:tc>
        <w:tc>
          <w:tcPr>
            <w:tcW w:w="1788" w:type="dxa"/>
            <w:tcBorders>
              <w:top w:val="single" w:sz="6" w:space="0" w:color="auto"/>
              <w:left w:val="nil"/>
              <w:bottom w:val="single" w:sz="6" w:space="0" w:color="auto"/>
              <w:right w:val="single" w:sz="6" w:space="0" w:color="auto"/>
            </w:tcBorders>
            <w:shd w:val="clear" w:color="auto" w:fill="C6D9F1"/>
            <w:vAlign w:val="center"/>
            <w:hideMark/>
          </w:tcPr>
          <w:p w:rsidR="009308DB" w:rsidRPr="00453D2C" w:rsidRDefault="009308DB" w:rsidP="00EB5ABF">
            <w:pPr>
              <w:jc w:val="center"/>
              <w:textAlignment w:val="baseline"/>
              <w:rPr>
                <w:rFonts w:eastAsia="Times New Roman"/>
                <w:sz w:val="24"/>
                <w:lang w:eastAsia="en-GB"/>
              </w:rPr>
            </w:pPr>
            <w:r w:rsidRPr="00453D2C">
              <w:rPr>
                <w:rFonts w:eastAsia="Times New Roman" w:cs="Arial"/>
                <w:b/>
                <w:bCs/>
                <w:lang w:eastAsia="en-GB"/>
              </w:rPr>
              <w:t>Timeframe</w:t>
            </w:r>
            <w:r w:rsidRPr="00453D2C">
              <w:rPr>
                <w:rFonts w:eastAsia="Times New Roman" w:cs="Arial"/>
                <w:lang w:eastAsia="en-GB"/>
              </w:rPr>
              <w:t> </w:t>
            </w:r>
          </w:p>
        </w:tc>
      </w:tr>
      <w:tr w:rsidR="009308DB" w:rsidRPr="00AA05F4" w:rsidTr="00EB5ABF">
        <w:tc>
          <w:tcPr>
            <w:tcW w:w="1268" w:type="dxa"/>
            <w:tcBorders>
              <w:top w:val="nil"/>
              <w:left w:val="single" w:sz="6" w:space="0" w:color="auto"/>
              <w:bottom w:val="single" w:sz="6" w:space="0" w:color="auto"/>
              <w:right w:val="single" w:sz="6" w:space="0" w:color="auto"/>
            </w:tcBorders>
            <w:shd w:val="clear" w:color="auto" w:fill="auto"/>
            <w:vAlign w:val="center"/>
            <w:hideMark/>
          </w:tcPr>
          <w:p w:rsidR="009308DB" w:rsidRPr="00AA05F4" w:rsidRDefault="009308DB" w:rsidP="00EB5ABF">
            <w:pPr>
              <w:jc w:val="center"/>
              <w:textAlignment w:val="baseline"/>
              <w:rPr>
                <w:rFonts w:ascii="Arial" w:eastAsia="Times New Roman" w:hAnsi="Arial" w:cs="Arial"/>
                <w:lang w:eastAsia="en-GB"/>
              </w:rPr>
            </w:pPr>
            <w:r w:rsidRPr="00AA05F4">
              <w:rPr>
                <w:rFonts w:ascii="Arial" w:eastAsia="Times New Roman" w:hAnsi="Arial" w:cs="Arial"/>
                <w:lang w:eastAsia="en-GB"/>
              </w:rPr>
              <w:t>1 </w:t>
            </w:r>
          </w:p>
        </w:tc>
        <w:tc>
          <w:tcPr>
            <w:tcW w:w="5954"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proofErr w:type="spellStart"/>
            <w:r w:rsidRPr="00AA05F4">
              <w:rPr>
                <w:rFonts w:ascii="Arial" w:eastAsia="Times New Roman" w:hAnsi="Arial" w:cs="Arial"/>
                <w:lang w:eastAsia="en-GB"/>
              </w:rPr>
              <w:t>Mobilisation</w:t>
            </w:r>
            <w:proofErr w:type="spellEnd"/>
            <w:r w:rsidRPr="00AA05F4">
              <w:rPr>
                <w:rFonts w:ascii="Arial" w:eastAsia="Times New Roman" w:hAnsi="Arial" w:cs="Arial"/>
                <w:lang w:eastAsia="en-GB"/>
              </w:rPr>
              <w:t xml:space="preserve"> of Capability </w:t>
            </w:r>
          </w:p>
        </w:tc>
        <w:tc>
          <w:tcPr>
            <w:tcW w:w="1788"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Within 1 week of Contract Award  </w:t>
            </w:r>
          </w:p>
        </w:tc>
      </w:tr>
      <w:tr w:rsidR="009308DB" w:rsidRPr="00AA05F4" w:rsidTr="00EB5ABF">
        <w:tc>
          <w:tcPr>
            <w:tcW w:w="1268" w:type="dxa"/>
            <w:tcBorders>
              <w:top w:val="nil"/>
              <w:left w:val="single" w:sz="6" w:space="0" w:color="auto"/>
              <w:bottom w:val="single" w:sz="6" w:space="0" w:color="auto"/>
              <w:right w:val="single" w:sz="6" w:space="0" w:color="auto"/>
            </w:tcBorders>
            <w:shd w:val="clear" w:color="auto" w:fill="auto"/>
            <w:vAlign w:val="center"/>
            <w:hideMark/>
          </w:tcPr>
          <w:p w:rsidR="009308DB" w:rsidRPr="00AA05F4" w:rsidRDefault="009308DB" w:rsidP="00EB5ABF">
            <w:pPr>
              <w:jc w:val="center"/>
              <w:textAlignment w:val="baseline"/>
              <w:rPr>
                <w:rFonts w:ascii="Arial" w:eastAsia="Times New Roman" w:hAnsi="Arial" w:cs="Arial"/>
                <w:lang w:eastAsia="en-GB"/>
              </w:rPr>
            </w:pPr>
            <w:r w:rsidRPr="00AA05F4">
              <w:rPr>
                <w:rFonts w:ascii="Arial" w:eastAsia="Times New Roman" w:hAnsi="Arial" w:cs="Arial"/>
                <w:lang w:eastAsia="en-GB"/>
              </w:rPr>
              <w:t>2 </w:t>
            </w:r>
          </w:p>
        </w:tc>
        <w:tc>
          <w:tcPr>
            <w:tcW w:w="5954"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Agreement of governance arrangements and business processes that will be critical to delivering the requirement. </w:t>
            </w:r>
          </w:p>
          <w:p w:rsidR="009308DB" w:rsidRPr="00AA05F4" w:rsidRDefault="009308DB" w:rsidP="00EB5ABF">
            <w:pPr>
              <w:textAlignment w:val="baseline"/>
              <w:rPr>
                <w:rFonts w:ascii="Arial" w:eastAsia="Times New Roman" w:hAnsi="Arial" w:cs="Arial"/>
                <w:lang w:eastAsia="en-GB"/>
              </w:rPr>
            </w:pPr>
          </w:p>
        </w:tc>
        <w:tc>
          <w:tcPr>
            <w:tcW w:w="1788"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Within 1 week of Contract Award </w:t>
            </w:r>
          </w:p>
        </w:tc>
      </w:tr>
      <w:tr w:rsidR="009308DB" w:rsidRPr="00AA05F4" w:rsidTr="00EB5ABF">
        <w:tc>
          <w:tcPr>
            <w:tcW w:w="1268" w:type="dxa"/>
            <w:tcBorders>
              <w:top w:val="nil"/>
              <w:left w:val="single" w:sz="6" w:space="0" w:color="auto"/>
              <w:bottom w:val="single" w:sz="6" w:space="0" w:color="auto"/>
              <w:right w:val="single" w:sz="6" w:space="0" w:color="auto"/>
            </w:tcBorders>
            <w:shd w:val="clear" w:color="auto" w:fill="auto"/>
            <w:vAlign w:val="center"/>
            <w:hideMark/>
          </w:tcPr>
          <w:p w:rsidR="009308DB" w:rsidRPr="00AA05F4" w:rsidRDefault="009308DB" w:rsidP="00EB5ABF">
            <w:pPr>
              <w:jc w:val="center"/>
              <w:textAlignment w:val="baseline"/>
              <w:rPr>
                <w:rFonts w:ascii="Arial" w:eastAsia="Times New Roman" w:hAnsi="Arial" w:cs="Arial"/>
                <w:lang w:eastAsia="en-GB"/>
              </w:rPr>
            </w:pPr>
            <w:r w:rsidRPr="00AA05F4">
              <w:rPr>
                <w:rFonts w:ascii="Arial" w:eastAsia="Times New Roman" w:hAnsi="Arial" w:cs="Arial"/>
                <w:lang w:eastAsia="en-GB"/>
              </w:rPr>
              <w:t>3</w:t>
            </w:r>
          </w:p>
        </w:tc>
        <w:tc>
          <w:tcPr>
            <w:tcW w:w="5954"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 xml:space="preserve">Presentation and acceptance by the Authority of an </w:t>
            </w:r>
            <w:r w:rsidRPr="00AA05F4">
              <w:rPr>
                <w:rFonts w:ascii="Arial" w:eastAsia="Times New Roman" w:hAnsi="Arial" w:cs="Arial"/>
                <w:b/>
                <w:lang w:eastAsia="en-GB"/>
              </w:rPr>
              <w:t>initial diagnostic report</w:t>
            </w:r>
            <w:r w:rsidRPr="00AA05F4">
              <w:rPr>
                <w:rFonts w:ascii="Arial" w:eastAsia="Times New Roman" w:hAnsi="Arial" w:cs="Arial"/>
                <w:lang w:eastAsia="en-GB"/>
              </w:rPr>
              <w:t xml:space="preserve"> which:</w:t>
            </w:r>
          </w:p>
          <w:p w:rsidR="009308DB" w:rsidRPr="00AA05F4" w:rsidRDefault="009308DB" w:rsidP="009308DB">
            <w:pPr>
              <w:pStyle w:val="ListParagraph"/>
              <w:numPr>
                <w:ilvl w:val="0"/>
                <w:numId w:val="16"/>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outlines all current projects operating or in development that might reasonably be in Programme scope.</w:t>
            </w:r>
          </w:p>
          <w:p w:rsidR="009308DB" w:rsidRPr="00AA05F4" w:rsidRDefault="009308DB" w:rsidP="009308DB">
            <w:pPr>
              <w:pStyle w:val="ListParagraph"/>
              <w:numPr>
                <w:ilvl w:val="0"/>
                <w:numId w:val="16"/>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groups the initiatives into families of related activity to enable focussed analysis and development of a coherent and transformative portfolio.</w:t>
            </w:r>
          </w:p>
          <w:p w:rsidR="009308DB" w:rsidRPr="00AA05F4" w:rsidRDefault="009308DB" w:rsidP="00EB5ABF">
            <w:pPr>
              <w:pStyle w:val="ListParagraph"/>
              <w:ind w:left="780"/>
              <w:textAlignment w:val="baseline"/>
              <w:rPr>
                <w:rFonts w:ascii="Arial" w:eastAsia="Times New Roman" w:hAnsi="Arial" w:cs="Arial"/>
                <w:lang w:eastAsia="en-GB"/>
              </w:rPr>
            </w:pPr>
          </w:p>
        </w:tc>
        <w:tc>
          <w:tcPr>
            <w:tcW w:w="1788"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Within 3 weeks of Contract Award </w:t>
            </w:r>
          </w:p>
        </w:tc>
      </w:tr>
      <w:tr w:rsidR="009308DB" w:rsidRPr="00AA05F4" w:rsidTr="00EB5ABF">
        <w:tc>
          <w:tcPr>
            <w:tcW w:w="1268" w:type="dxa"/>
            <w:tcBorders>
              <w:top w:val="nil"/>
              <w:left w:val="single" w:sz="6" w:space="0" w:color="auto"/>
              <w:bottom w:val="single" w:sz="6" w:space="0" w:color="auto"/>
              <w:right w:val="single" w:sz="6" w:space="0" w:color="auto"/>
            </w:tcBorders>
            <w:shd w:val="clear" w:color="auto" w:fill="auto"/>
            <w:vAlign w:val="center"/>
          </w:tcPr>
          <w:p w:rsidR="009308DB" w:rsidRPr="00AA05F4" w:rsidRDefault="009308DB" w:rsidP="00EB5ABF">
            <w:pPr>
              <w:jc w:val="center"/>
              <w:textAlignment w:val="baseline"/>
              <w:rPr>
                <w:rFonts w:ascii="Arial" w:eastAsia="Times New Roman" w:hAnsi="Arial" w:cs="Arial"/>
                <w:lang w:eastAsia="en-GB"/>
              </w:rPr>
            </w:pPr>
            <w:r w:rsidRPr="00AA05F4">
              <w:rPr>
                <w:rFonts w:ascii="Arial" w:eastAsia="Times New Roman" w:hAnsi="Arial" w:cs="Arial"/>
                <w:lang w:eastAsia="en-GB"/>
              </w:rPr>
              <w:t>4</w:t>
            </w:r>
          </w:p>
        </w:tc>
        <w:tc>
          <w:tcPr>
            <w:tcW w:w="5954" w:type="dxa"/>
            <w:tcBorders>
              <w:top w:val="nil"/>
              <w:left w:val="nil"/>
              <w:bottom w:val="single" w:sz="6" w:space="0" w:color="auto"/>
              <w:right w:val="single" w:sz="6" w:space="0" w:color="auto"/>
            </w:tcBorders>
            <w:shd w:val="clear" w:color="auto" w:fill="auto"/>
            <w:vAlign w:val="center"/>
          </w:tcPr>
          <w:p w:rsidR="009308DB" w:rsidRPr="00AA05F4" w:rsidRDefault="009308DB" w:rsidP="00EB5ABF">
            <w:pPr>
              <w:textAlignment w:val="baseline"/>
              <w:rPr>
                <w:rFonts w:ascii="Arial" w:hAnsi="Arial" w:cs="Arial"/>
              </w:rPr>
            </w:pPr>
            <w:r w:rsidRPr="00AA05F4">
              <w:rPr>
                <w:rFonts w:ascii="Arial" w:hAnsi="Arial" w:cs="Arial"/>
              </w:rPr>
              <w:t>Presentation of a business and decision-making process(</w:t>
            </w:r>
            <w:proofErr w:type="spellStart"/>
            <w:r w:rsidRPr="00AA05F4">
              <w:rPr>
                <w:rFonts w:ascii="Arial" w:hAnsi="Arial" w:cs="Arial"/>
              </w:rPr>
              <w:t>es</w:t>
            </w:r>
            <w:proofErr w:type="spellEnd"/>
            <w:r w:rsidRPr="00AA05F4">
              <w:rPr>
                <w:rFonts w:ascii="Arial" w:hAnsi="Arial" w:cs="Arial"/>
              </w:rPr>
              <w:t>) which set out the necessary steps to enable more streamlined, agile and effective decision making for tasks that require contracted delivery.  This must reflect variations in approach depending on the nature of the procurement and reflect the need to engage with:</w:t>
            </w:r>
          </w:p>
          <w:p w:rsidR="009308DB" w:rsidRPr="00AA05F4" w:rsidRDefault="009308DB" w:rsidP="00EB5ABF">
            <w:pPr>
              <w:textAlignment w:val="baseline"/>
              <w:rPr>
                <w:rFonts w:ascii="Arial" w:hAnsi="Arial" w:cs="Arial"/>
              </w:rPr>
            </w:pPr>
          </w:p>
          <w:p w:rsidR="009308DB" w:rsidRPr="00AA05F4" w:rsidRDefault="009308DB" w:rsidP="009308DB">
            <w:pPr>
              <w:pStyle w:val="ListParagraph"/>
              <w:numPr>
                <w:ilvl w:val="0"/>
                <w:numId w:val="22"/>
              </w:numPr>
              <w:spacing w:after="0" w:line="240" w:lineRule="auto"/>
              <w:contextualSpacing w:val="0"/>
              <w:textAlignment w:val="baseline"/>
              <w:rPr>
                <w:rFonts w:ascii="Arial" w:eastAsiaTheme="minorHAnsi" w:hAnsi="Arial" w:cs="Arial"/>
              </w:rPr>
            </w:pPr>
            <w:r w:rsidRPr="00AA05F4">
              <w:rPr>
                <w:rFonts w:ascii="Arial" w:eastAsiaTheme="minorHAnsi" w:hAnsi="Arial" w:cs="Arial"/>
              </w:rPr>
              <w:t>Different stakeholders</w:t>
            </w:r>
          </w:p>
          <w:p w:rsidR="009308DB" w:rsidRPr="00AA05F4" w:rsidRDefault="009308DB" w:rsidP="009308DB">
            <w:pPr>
              <w:pStyle w:val="ListParagraph"/>
              <w:numPr>
                <w:ilvl w:val="0"/>
                <w:numId w:val="22"/>
              </w:numPr>
              <w:spacing w:after="0" w:line="240" w:lineRule="auto"/>
              <w:contextualSpacing w:val="0"/>
              <w:textAlignment w:val="baseline"/>
              <w:rPr>
                <w:rFonts w:ascii="Arial" w:eastAsiaTheme="minorHAnsi" w:hAnsi="Arial" w:cs="Arial"/>
              </w:rPr>
            </w:pPr>
            <w:r w:rsidRPr="00AA05F4">
              <w:rPr>
                <w:rFonts w:ascii="Arial" w:eastAsiaTheme="minorHAnsi" w:hAnsi="Arial" w:cs="Arial"/>
              </w:rPr>
              <w:t xml:space="preserve">approval authorities </w:t>
            </w:r>
          </w:p>
          <w:p w:rsidR="009308DB" w:rsidRPr="00AA05F4" w:rsidRDefault="009308DB" w:rsidP="009308DB">
            <w:pPr>
              <w:pStyle w:val="ListParagraph"/>
              <w:numPr>
                <w:ilvl w:val="0"/>
                <w:numId w:val="22"/>
              </w:numPr>
              <w:spacing w:after="0" w:line="240" w:lineRule="auto"/>
              <w:contextualSpacing w:val="0"/>
              <w:textAlignment w:val="baseline"/>
              <w:rPr>
                <w:rFonts w:ascii="Arial" w:eastAsiaTheme="minorHAnsi" w:hAnsi="Arial" w:cs="Arial"/>
              </w:rPr>
            </w:pPr>
            <w:r w:rsidRPr="00AA05F4">
              <w:rPr>
                <w:rFonts w:ascii="Arial" w:eastAsiaTheme="minorHAnsi" w:hAnsi="Arial" w:cs="Arial"/>
              </w:rPr>
              <w:t>relevant MI</w:t>
            </w:r>
          </w:p>
          <w:p w:rsidR="009308DB" w:rsidRPr="00AA05F4" w:rsidRDefault="009308DB" w:rsidP="00EB5ABF">
            <w:pPr>
              <w:textAlignment w:val="baseline"/>
              <w:rPr>
                <w:rFonts w:ascii="Arial" w:eastAsia="Times New Roman" w:hAnsi="Arial" w:cs="Arial"/>
                <w:lang w:eastAsia="en-GB"/>
              </w:rPr>
            </w:pPr>
          </w:p>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The presentation should bring forward a set of documented processes and materials to enable pan-TLB implementation.</w:t>
            </w:r>
          </w:p>
          <w:p w:rsidR="009308DB" w:rsidRPr="00AA05F4" w:rsidRDefault="009308DB" w:rsidP="00EB5ABF">
            <w:pPr>
              <w:pStyle w:val="ListParagraph"/>
              <w:ind w:left="780"/>
              <w:textAlignment w:val="baseline"/>
              <w:rPr>
                <w:rFonts w:ascii="Arial" w:eastAsia="Times New Roman" w:hAnsi="Arial" w:cs="Arial"/>
                <w:lang w:eastAsia="en-GB"/>
              </w:rPr>
            </w:pPr>
          </w:p>
        </w:tc>
        <w:tc>
          <w:tcPr>
            <w:tcW w:w="1788" w:type="dxa"/>
            <w:tcBorders>
              <w:top w:val="nil"/>
              <w:left w:val="nil"/>
              <w:bottom w:val="single" w:sz="6" w:space="0" w:color="auto"/>
              <w:right w:val="single" w:sz="6" w:space="0" w:color="auto"/>
            </w:tcBorders>
            <w:shd w:val="clear" w:color="auto" w:fill="auto"/>
            <w:vAlign w:val="center"/>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Within 4 weeks of Contract Award </w:t>
            </w:r>
          </w:p>
        </w:tc>
      </w:tr>
      <w:tr w:rsidR="009308DB" w:rsidRPr="00AA05F4" w:rsidTr="00EB5ABF">
        <w:tc>
          <w:tcPr>
            <w:tcW w:w="1268" w:type="dxa"/>
            <w:tcBorders>
              <w:top w:val="nil"/>
              <w:left w:val="single" w:sz="6" w:space="0" w:color="auto"/>
              <w:bottom w:val="single" w:sz="6" w:space="0" w:color="auto"/>
              <w:right w:val="single" w:sz="6" w:space="0" w:color="auto"/>
            </w:tcBorders>
            <w:shd w:val="clear" w:color="auto" w:fill="auto"/>
            <w:vAlign w:val="center"/>
            <w:hideMark/>
          </w:tcPr>
          <w:p w:rsidR="009308DB" w:rsidRPr="00AA05F4" w:rsidRDefault="009308DB" w:rsidP="00EB5ABF">
            <w:pPr>
              <w:jc w:val="center"/>
              <w:textAlignment w:val="baseline"/>
              <w:rPr>
                <w:rFonts w:ascii="Arial" w:eastAsia="Times New Roman" w:hAnsi="Arial" w:cs="Arial"/>
                <w:lang w:eastAsia="en-GB"/>
              </w:rPr>
            </w:pPr>
            <w:r w:rsidRPr="00AA05F4">
              <w:rPr>
                <w:rFonts w:ascii="Arial" w:eastAsia="Times New Roman" w:hAnsi="Arial" w:cs="Arial"/>
                <w:lang w:eastAsia="en-GB"/>
              </w:rPr>
              <w:t>5 </w:t>
            </w:r>
          </w:p>
        </w:tc>
        <w:tc>
          <w:tcPr>
            <w:tcW w:w="5954"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 xml:space="preserve">Presentation and acceptance by the Authority of an </w:t>
            </w:r>
            <w:proofErr w:type="spellStart"/>
            <w:r w:rsidRPr="00AA05F4">
              <w:rPr>
                <w:rFonts w:ascii="Arial" w:eastAsia="Times New Roman" w:hAnsi="Arial" w:cs="Arial"/>
                <w:b/>
                <w:lang w:eastAsia="en-GB"/>
              </w:rPr>
              <w:t>intital</w:t>
            </w:r>
            <w:proofErr w:type="spellEnd"/>
            <w:r w:rsidRPr="00AA05F4">
              <w:rPr>
                <w:rFonts w:ascii="Arial" w:eastAsia="Times New Roman" w:hAnsi="Arial" w:cs="Arial"/>
                <w:b/>
                <w:lang w:eastAsia="en-GB"/>
              </w:rPr>
              <w:t xml:space="preserve"> feasibility report</w:t>
            </w:r>
            <w:r w:rsidRPr="00AA05F4">
              <w:rPr>
                <w:rFonts w:ascii="Arial" w:eastAsia="Times New Roman" w:hAnsi="Arial" w:cs="Arial"/>
                <w:lang w:eastAsia="en-GB"/>
              </w:rPr>
              <w:t xml:space="preserve"> on the path to transformation and the challenges of delivering change across each “family” of projects.  This should include:</w:t>
            </w:r>
          </w:p>
          <w:p w:rsidR="009308DB" w:rsidRPr="00AA05F4" w:rsidRDefault="009308DB" w:rsidP="009308DB">
            <w:pPr>
              <w:pStyle w:val="ListParagraph"/>
              <w:numPr>
                <w:ilvl w:val="0"/>
                <w:numId w:val="17"/>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grouping of projects where sensible into a coherent structure with initial analysis and prioritisation</w:t>
            </w:r>
          </w:p>
          <w:p w:rsidR="009308DB" w:rsidRPr="00AA05F4" w:rsidRDefault="009308DB" w:rsidP="009308DB">
            <w:pPr>
              <w:pStyle w:val="ListParagraph"/>
              <w:numPr>
                <w:ilvl w:val="0"/>
                <w:numId w:val="17"/>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 xml:space="preserve">structural, budgetary or cultural issues that could </w:t>
            </w:r>
            <w:r w:rsidRPr="00AA05F4">
              <w:rPr>
                <w:rFonts w:ascii="Arial" w:eastAsia="Times New Roman" w:hAnsi="Arial" w:cs="Arial"/>
                <w:lang w:eastAsia="en-GB"/>
              </w:rPr>
              <w:lastRenderedPageBreak/>
              <w:t>impinge on the agile delivery of transformation.</w:t>
            </w:r>
          </w:p>
          <w:p w:rsidR="009308DB" w:rsidRPr="00AA05F4" w:rsidRDefault="009308DB" w:rsidP="009308DB">
            <w:pPr>
              <w:pStyle w:val="ListParagraph"/>
              <w:numPr>
                <w:ilvl w:val="0"/>
                <w:numId w:val="17"/>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 xml:space="preserve">early recommendations on where resource might best be directed including any early wins identified. </w:t>
            </w:r>
          </w:p>
          <w:p w:rsidR="009308DB" w:rsidRPr="00AA05F4" w:rsidRDefault="009308DB" w:rsidP="00EB5ABF">
            <w:pPr>
              <w:pStyle w:val="ListParagraph"/>
              <w:textAlignment w:val="baseline"/>
              <w:rPr>
                <w:rFonts w:ascii="Arial" w:eastAsia="Times New Roman" w:hAnsi="Arial" w:cs="Arial"/>
                <w:lang w:eastAsia="en-GB"/>
              </w:rPr>
            </w:pPr>
          </w:p>
          <w:p w:rsidR="009308DB" w:rsidRPr="00AA05F4" w:rsidRDefault="009308DB" w:rsidP="00EB5ABF">
            <w:pPr>
              <w:pStyle w:val="ListParagraph"/>
              <w:textAlignment w:val="baseline"/>
              <w:rPr>
                <w:rFonts w:ascii="Arial" w:eastAsia="Times New Roman" w:hAnsi="Arial" w:cs="Arial"/>
                <w:lang w:eastAsia="en-GB"/>
              </w:rPr>
            </w:pPr>
          </w:p>
        </w:tc>
        <w:tc>
          <w:tcPr>
            <w:tcW w:w="1788"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lastRenderedPageBreak/>
              <w:t>Within 6 weeks of Contract Award </w:t>
            </w:r>
          </w:p>
        </w:tc>
      </w:tr>
      <w:tr w:rsidR="009308DB" w:rsidRPr="00AA05F4" w:rsidTr="00EB5ABF">
        <w:tc>
          <w:tcPr>
            <w:tcW w:w="1268" w:type="dxa"/>
            <w:tcBorders>
              <w:top w:val="nil"/>
              <w:left w:val="single" w:sz="6" w:space="0" w:color="auto"/>
              <w:bottom w:val="single" w:sz="6" w:space="0" w:color="auto"/>
              <w:right w:val="single" w:sz="6" w:space="0" w:color="auto"/>
            </w:tcBorders>
            <w:shd w:val="clear" w:color="auto" w:fill="auto"/>
            <w:vAlign w:val="center"/>
          </w:tcPr>
          <w:p w:rsidR="009308DB" w:rsidRPr="00AA05F4" w:rsidRDefault="009308DB" w:rsidP="00EB5ABF">
            <w:pPr>
              <w:jc w:val="center"/>
              <w:textAlignment w:val="baseline"/>
              <w:rPr>
                <w:rFonts w:ascii="Arial" w:eastAsia="Times New Roman" w:hAnsi="Arial" w:cs="Arial"/>
                <w:lang w:eastAsia="en-GB"/>
              </w:rPr>
            </w:pPr>
            <w:r w:rsidRPr="00AA05F4">
              <w:rPr>
                <w:rFonts w:ascii="Arial" w:eastAsia="Times New Roman" w:hAnsi="Arial" w:cs="Arial"/>
                <w:lang w:eastAsia="en-GB"/>
              </w:rPr>
              <w:t>6</w:t>
            </w:r>
          </w:p>
        </w:tc>
        <w:tc>
          <w:tcPr>
            <w:tcW w:w="5954" w:type="dxa"/>
            <w:tcBorders>
              <w:top w:val="nil"/>
              <w:left w:val="nil"/>
              <w:bottom w:val="single" w:sz="6" w:space="0" w:color="auto"/>
              <w:right w:val="single" w:sz="6" w:space="0" w:color="auto"/>
            </w:tcBorders>
            <w:shd w:val="clear" w:color="auto" w:fill="auto"/>
            <w:vAlign w:val="center"/>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 xml:space="preserve">Presentation and acceptance by the Authority of </w:t>
            </w:r>
            <w:r w:rsidRPr="00AA05F4">
              <w:rPr>
                <w:rFonts w:ascii="Arial" w:eastAsia="Times New Roman" w:hAnsi="Arial" w:cs="Arial"/>
                <w:b/>
                <w:lang w:eastAsia="en-GB"/>
              </w:rPr>
              <w:t>candidate transformational disinvestment opportunities</w:t>
            </w:r>
            <w:r w:rsidRPr="00AA05F4">
              <w:rPr>
                <w:rFonts w:ascii="Arial" w:eastAsia="Times New Roman" w:hAnsi="Arial" w:cs="Arial"/>
                <w:lang w:eastAsia="en-GB"/>
              </w:rPr>
              <w:t xml:space="preserve"> across the Portfolio for consideration as part of the Navy Command Balance of Investment process and Spending Review 2019 which includes:</w:t>
            </w:r>
          </w:p>
          <w:p w:rsidR="009308DB" w:rsidRPr="00AA05F4" w:rsidRDefault="009308DB" w:rsidP="009308DB">
            <w:pPr>
              <w:pStyle w:val="ListParagraph"/>
              <w:numPr>
                <w:ilvl w:val="0"/>
                <w:numId w:val="18"/>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 xml:space="preserve">Recommended measures to deliver additional benefits through coherent delivery of a transformational programme of work.  This will include the results of cohering and assuring existing inflight projects with new opportunities which the Supplier will propose as a benefit of establishing a formal transformation programme.  </w:t>
            </w:r>
          </w:p>
          <w:p w:rsidR="009308DB" w:rsidRPr="00AA05F4" w:rsidRDefault="009308DB" w:rsidP="009308DB">
            <w:pPr>
              <w:pStyle w:val="ListParagraph"/>
              <w:numPr>
                <w:ilvl w:val="0"/>
                <w:numId w:val="18"/>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Rough Order of Magnitude costings, assumptions and capability impact statements for both revised benefits for inflight activity and new opportunities.</w:t>
            </w:r>
          </w:p>
          <w:p w:rsidR="009308DB" w:rsidRPr="00AA05F4" w:rsidRDefault="009308DB" w:rsidP="00EB5ABF">
            <w:pPr>
              <w:textAlignment w:val="baseline"/>
              <w:rPr>
                <w:rFonts w:ascii="Arial" w:eastAsia="Times New Roman" w:hAnsi="Arial" w:cs="Arial"/>
                <w:lang w:eastAsia="en-GB"/>
              </w:rPr>
            </w:pPr>
          </w:p>
        </w:tc>
        <w:tc>
          <w:tcPr>
            <w:tcW w:w="1788" w:type="dxa"/>
            <w:tcBorders>
              <w:top w:val="nil"/>
              <w:left w:val="nil"/>
              <w:bottom w:val="single" w:sz="6" w:space="0" w:color="auto"/>
              <w:right w:val="single" w:sz="6" w:space="0" w:color="auto"/>
            </w:tcBorders>
            <w:shd w:val="clear" w:color="auto" w:fill="auto"/>
            <w:vAlign w:val="center"/>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Within 6 weeks of Contract Award </w:t>
            </w:r>
          </w:p>
        </w:tc>
      </w:tr>
      <w:tr w:rsidR="009308DB" w:rsidRPr="00AA05F4" w:rsidTr="00EB5ABF">
        <w:tc>
          <w:tcPr>
            <w:tcW w:w="1268" w:type="dxa"/>
            <w:tcBorders>
              <w:top w:val="nil"/>
              <w:left w:val="single" w:sz="6" w:space="0" w:color="auto"/>
              <w:bottom w:val="single" w:sz="6" w:space="0" w:color="auto"/>
              <w:right w:val="single" w:sz="6" w:space="0" w:color="auto"/>
            </w:tcBorders>
            <w:shd w:val="clear" w:color="auto" w:fill="auto"/>
            <w:vAlign w:val="center"/>
            <w:hideMark/>
          </w:tcPr>
          <w:p w:rsidR="009308DB" w:rsidRPr="00AA05F4" w:rsidRDefault="009308DB" w:rsidP="00EB5ABF">
            <w:pPr>
              <w:jc w:val="center"/>
              <w:textAlignment w:val="baseline"/>
              <w:rPr>
                <w:rFonts w:ascii="Arial" w:eastAsia="Times New Roman" w:hAnsi="Arial" w:cs="Arial"/>
                <w:lang w:eastAsia="en-GB"/>
              </w:rPr>
            </w:pPr>
            <w:r w:rsidRPr="00AA05F4">
              <w:rPr>
                <w:rFonts w:ascii="Arial" w:eastAsia="Times New Roman" w:hAnsi="Arial" w:cs="Arial"/>
                <w:lang w:eastAsia="en-GB"/>
              </w:rPr>
              <w:t>7 </w:t>
            </w:r>
          </w:p>
        </w:tc>
        <w:tc>
          <w:tcPr>
            <w:tcW w:w="5954"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 xml:space="preserve">Presentation and acceptance by the Authority of </w:t>
            </w:r>
            <w:r w:rsidRPr="00AA05F4">
              <w:rPr>
                <w:rFonts w:ascii="Arial" w:eastAsia="Times New Roman" w:hAnsi="Arial" w:cs="Arial"/>
                <w:b/>
                <w:lang w:eastAsia="en-GB"/>
              </w:rPr>
              <w:t>draft final report</w:t>
            </w:r>
            <w:r w:rsidRPr="00AA05F4">
              <w:rPr>
                <w:rFonts w:ascii="Arial" w:eastAsia="Times New Roman" w:hAnsi="Arial" w:cs="Arial"/>
                <w:lang w:eastAsia="en-GB"/>
              </w:rPr>
              <w:t xml:space="preserve"> and </w:t>
            </w:r>
            <w:r w:rsidRPr="00AA05F4">
              <w:rPr>
                <w:rFonts w:ascii="Arial" w:eastAsia="Times New Roman" w:hAnsi="Arial" w:cs="Arial"/>
                <w:b/>
                <w:lang w:eastAsia="en-GB"/>
              </w:rPr>
              <w:t>outline Transformation</w:t>
            </w:r>
            <w:r w:rsidRPr="00AA05F4">
              <w:rPr>
                <w:rFonts w:ascii="Arial" w:eastAsia="Times New Roman" w:hAnsi="Arial" w:cs="Arial"/>
                <w:lang w:eastAsia="en-GB"/>
              </w:rPr>
              <w:t xml:space="preserve"> </w:t>
            </w:r>
            <w:r w:rsidRPr="00AA05F4">
              <w:rPr>
                <w:rFonts w:ascii="Arial" w:eastAsia="Times New Roman" w:hAnsi="Arial" w:cs="Arial"/>
                <w:b/>
                <w:lang w:eastAsia="en-GB"/>
              </w:rPr>
              <w:t xml:space="preserve">Programme Mandate and associated artefacts </w:t>
            </w:r>
            <w:r w:rsidRPr="00AA05F4">
              <w:rPr>
                <w:rFonts w:ascii="Arial" w:eastAsia="Times New Roman" w:hAnsi="Arial" w:cs="Arial"/>
                <w:lang w:eastAsia="en-GB"/>
              </w:rPr>
              <w:t>which includes:</w:t>
            </w:r>
          </w:p>
          <w:p w:rsidR="009308DB" w:rsidRPr="00AA05F4" w:rsidRDefault="009308DB" w:rsidP="00EB5ABF">
            <w:pPr>
              <w:textAlignment w:val="baseline"/>
              <w:rPr>
                <w:rFonts w:ascii="Arial" w:eastAsia="Times New Roman" w:hAnsi="Arial" w:cs="Arial"/>
                <w:lang w:eastAsia="en-GB"/>
              </w:rPr>
            </w:pPr>
          </w:p>
          <w:p w:rsidR="009308DB" w:rsidRPr="00AA05F4" w:rsidRDefault="009308DB" w:rsidP="009308DB">
            <w:pPr>
              <w:pStyle w:val="ListParagraph"/>
              <w:numPr>
                <w:ilvl w:val="0"/>
                <w:numId w:val="18"/>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Recommendations for the transformed Portfolio structure, governance, reporting and resourcing (at the programme level), including a view on the necessary artefacts to be produced and the required knowledge skills and attitudes required.</w:t>
            </w:r>
          </w:p>
          <w:p w:rsidR="009308DB" w:rsidRPr="00AA05F4" w:rsidRDefault="009308DB" w:rsidP="009308DB">
            <w:pPr>
              <w:pStyle w:val="ListParagraph"/>
              <w:numPr>
                <w:ilvl w:val="0"/>
                <w:numId w:val="18"/>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 xml:space="preserve">Outline details of subordinate projects, their scope and a view on changes to responsible owner or accountability to a transformation Programme Office.  </w:t>
            </w:r>
          </w:p>
          <w:p w:rsidR="009308DB" w:rsidRPr="00AA05F4" w:rsidRDefault="009308DB" w:rsidP="009308DB">
            <w:pPr>
              <w:pStyle w:val="ListParagraph"/>
              <w:numPr>
                <w:ilvl w:val="0"/>
                <w:numId w:val="18"/>
              </w:numPr>
              <w:spacing w:after="0" w:line="240" w:lineRule="auto"/>
              <w:textAlignment w:val="baseline"/>
              <w:rPr>
                <w:rFonts w:ascii="Arial" w:eastAsia="Times New Roman" w:hAnsi="Arial" w:cs="Arial"/>
                <w:lang w:eastAsia="en-GB"/>
              </w:rPr>
            </w:pPr>
            <w:r w:rsidRPr="00AA05F4">
              <w:rPr>
                <w:rFonts w:ascii="Arial" w:eastAsia="Times New Roman" w:hAnsi="Arial" w:cs="Arial"/>
                <w:lang w:eastAsia="en-GB"/>
              </w:rPr>
              <w:t>A risk adjusted assessment of total Programme benefits in terms of both cash and headcount efficiency and productivity.</w:t>
            </w:r>
          </w:p>
          <w:p w:rsidR="009308DB" w:rsidRPr="00AA05F4" w:rsidRDefault="009308DB" w:rsidP="00EB5ABF">
            <w:pPr>
              <w:pStyle w:val="ListParagraph"/>
              <w:textAlignment w:val="baseline"/>
              <w:rPr>
                <w:rFonts w:ascii="Arial" w:eastAsia="Times New Roman" w:hAnsi="Arial" w:cs="Arial"/>
                <w:lang w:eastAsia="en-GB"/>
              </w:rPr>
            </w:pPr>
          </w:p>
        </w:tc>
        <w:tc>
          <w:tcPr>
            <w:tcW w:w="1788"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Within 8 weeks of Contract Award </w:t>
            </w:r>
          </w:p>
        </w:tc>
      </w:tr>
      <w:tr w:rsidR="009308DB" w:rsidRPr="00AA05F4" w:rsidTr="00EB5ABF">
        <w:tc>
          <w:tcPr>
            <w:tcW w:w="1268" w:type="dxa"/>
            <w:tcBorders>
              <w:top w:val="nil"/>
              <w:left w:val="single" w:sz="6" w:space="0" w:color="auto"/>
              <w:bottom w:val="single" w:sz="6" w:space="0" w:color="auto"/>
              <w:right w:val="single" w:sz="6" w:space="0" w:color="auto"/>
            </w:tcBorders>
            <w:shd w:val="clear" w:color="auto" w:fill="auto"/>
            <w:vAlign w:val="center"/>
            <w:hideMark/>
          </w:tcPr>
          <w:p w:rsidR="009308DB" w:rsidRPr="00AA05F4" w:rsidRDefault="009308DB" w:rsidP="00EB5ABF">
            <w:pPr>
              <w:jc w:val="center"/>
              <w:textAlignment w:val="baseline"/>
              <w:rPr>
                <w:rFonts w:ascii="Arial" w:eastAsia="Times New Roman" w:hAnsi="Arial" w:cs="Arial"/>
                <w:lang w:eastAsia="en-GB"/>
              </w:rPr>
            </w:pPr>
            <w:r w:rsidRPr="00AA05F4">
              <w:rPr>
                <w:rFonts w:ascii="Arial" w:eastAsia="Times New Roman" w:hAnsi="Arial" w:cs="Arial"/>
                <w:lang w:eastAsia="en-GB"/>
              </w:rPr>
              <w:t>8 </w:t>
            </w:r>
          </w:p>
        </w:tc>
        <w:tc>
          <w:tcPr>
            <w:tcW w:w="5954"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t xml:space="preserve">Presentation and acceptance by the Authority of </w:t>
            </w:r>
            <w:r w:rsidRPr="00AA05F4">
              <w:rPr>
                <w:rFonts w:ascii="Arial" w:eastAsia="Times New Roman" w:hAnsi="Arial" w:cs="Arial"/>
                <w:b/>
                <w:lang w:eastAsia="en-GB"/>
              </w:rPr>
              <w:t>Final Report</w:t>
            </w:r>
            <w:r w:rsidRPr="00AA05F4">
              <w:rPr>
                <w:rFonts w:ascii="Arial" w:eastAsia="Times New Roman" w:hAnsi="Arial" w:cs="Arial"/>
                <w:lang w:eastAsia="en-GB"/>
              </w:rPr>
              <w:t xml:space="preserve"> to</w:t>
            </w:r>
            <w:r w:rsidRPr="00AA05F4">
              <w:rPr>
                <w:rFonts w:ascii="Arial" w:eastAsia="Times New Roman" w:hAnsi="Arial" w:cs="Arial"/>
                <w:b/>
                <w:lang w:eastAsia="en-GB"/>
              </w:rPr>
              <w:t xml:space="preserve"> </w:t>
            </w:r>
            <w:r w:rsidRPr="00AA05F4">
              <w:rPr>
                <w:rFonts w:ascii="Arial" w:eastAsia="Times New Roman" w:hAnsi="Arial" w:cs="Arial"/>
                <w:lang w:eastAsia="en-GB"/>
              </w:rPr>
              <w:t>cover all work to date, including (if not already agreed) final versions of Programme/project mandates/artefacts, Programme milestone plan and costed disinvestment options and choices.  The final report should also draw out any:</w:t>
            </w:r>
          </w:p>
          <w:p w:rsidR="009308DB" w:rsidRPr="00AA05F4" w:rsidRDefault="009308DB" w:rsidP="00EB5ABF">
            <w:pPr>
              <w:textAlignment w:val="baseline"/>
              <w:rPr>
                <w:rFonts w:ascii="Arial" w:eastAsia="Times New Roman" w:hAnsi="Arial" w:cs="Arial"/>
                <w:lang w:eastAsia="en-GB"/>
              </w:rPr>
            </w:pPr>
          </w:p>
          <w:p w:rsidR="009308DB" w:rsidRPr="00AA05F4" w:rsidRDefault="009308DB" w:rsidP="009308DB">
            <w:pPr>
              <w:pStyle w:val="ListParagraph"/>
              <w:numPr>
                <w:ilvl w:val="0"/>
                <w:numId w:val="21"/>
              </w:numPr>
              <w:spacing w:after="0" w:line="240" w:lineRule="auto"/>
              <w:contextualSpacing w:val="0"/>
              <w:textAlignment w:val="baseline"/>
              <w:rPr>
                <w:rFonts w:ascii="Arial" w:eastAsia="Times New Roman" w:hAnsi="Arial" w:cs="Arial"/>
                <w:lang w:eastAsia="en-GB"/>
              </w:rPr>
            </w:pPr>
            <w:r w:rsidRPr="00AA05F4">
              <w:rPr>
                <w:rFonts w:ascii="Arial" w:eastAsia="Times New Roman" w:hAnsi="Arial" w:cs="Arial"/>
                <w:lang w:eastAsia="en-GB"/>
              </w:rPr>
              <w:t>Cultural issues that may preclude effective delivery of the plan and advice on how to overcome them.</w:t>
            </w:r>
          </w:p>
          <w:p w:rsidR="009308DB" w:rsidRPr="00AA05F4" w:rsidRDefault="009308DB" w:rsidP="00EB5ABF">
            <w:pPr>
              <w:pStyle w:val="ListParagraph"/>
              <w:textAlignment w:val="baseline"/>
              <w:rPr>
                <w:rFonts w:ascii="Arial" w:eastAsia="Times New Roman" w:hAnsi="Arial" w:cs="Arial"/>
                <w:lang w:eastAsia="en-GB"/>
              </w:rPr>
            </w:pPr>
          </w:p>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lastRenderedPageBreak/>
              <w:t xml:space="preserve">And provide advice in respect of </w:t>
            </w:r>
          </w:p>
          <w:p w:rsidR="009308DB" w:rsidRPr="00AA05F4" w:rsidRDefault="009308DB" w:rsidP="00EB5ABF">
            <w:pPr>
              <w:textAlignment w:val="baseline"/>
              <w:rPr>
                <w:rFonts w:ascii="Arial" w:eastAsia="Times New Roman" w:hAnsi="Arial" w:cs="Arial"/>
                <w:lang w:eastAsia="en-GB"/>
              </w:rPr>
            </w:pPr>
          </w:p>
          <w:p w:rsidR="009308DB" w:rsidRPr="00AA05F4" w:rsidRDefault="009308DB" w:rsidP="009308DB">
            <w:pPr>
              <w:pStyle w:val="ListParagraph"/>
              <w:numPr>
                <w:ilvl w:val="0"/>
                <w:numId w:val="20"/>
              </w:numPr>
              <w:spacing w:after="0" w:line="240" w:lineRule="auto"/>
              <w:contextualSpacing w:val="0"/>
              <w:textAlignment w:val="baseline"/>
              <w:rPr>
                <w:rFonts w:ascii="Arial" w:eastAsia="Times New Roman" w:hAnsi="Arial" w:cs="Arial"/>
                <w:lang w:eastAsia="en-GB"/>
              </w:rPr>
            </w:pPr>
            <w:r w:rsidRPr="00AA05F4">
              <w:rPr>
                <w:rFonts w:ascii="Arial" w:eastAsia="Times New Roman" w:hAnsi="Arial" w:cs="Arial"/>
                <w:lang w:eastAsia="en-GB"/>
              </w:rPr>
              <w:t xml:space="preserve">Whether a transition strategy based on the inflight plans developed and the delivery strategy proposed has the potential to succeed with an articulation of risks to delivery coherence and the identification of potential mitigations.   </w:t>
            </w:r>
          </w:p>
        </w:tc>
        <w:tc>
          <w:tcPr>
            <w:tcW w:w="1788" w:type="dxa"/>
            <w:tcBorders>
              <w:top w:val="nil"/>
              <w:left w:val="nil"/>
              <w:bottom w:val="single" w:sz="6" w:space="0" w:color="auto"/>
              <w:right w:val="single" w:sz="6" w:space="0" w:color="auto"/>
            </w:tcBorders>
            <w:shd w:val="clear" w:color="auto" w:fill="auto"/>
            <w:vAlign w:val="center"/>
            <w:hideMark/>
          </w:tcPr>
          <w:p w:rsidR="009308DB" w:rsidRPr="00AA05F4" w:rsidRDefault="009308DB" w:rsidP="00EB5ABF">
            <w:pPr>
              <w:textAlignment w:val="baseline"/>
              <w:rPr>
                <w:rFonts w:ascii="Arial" w:eastAsia="Times New Roman" w:hAnsi="Arial" w:cs="Arial"/>
                <w:lang w:eastAsia="en-GB"/>
              </w:rPr>
            </w:pPr>
            <w:r w:rsidRPr="00AA05F4">
              <w:rPr>
                <w:rFonts w:ascii="Arial" w:eastAsia="Times New Roman" w:hAnsi="Arial" w:cs="Arial"/>
                <w:lang w:eastAsia="en-GB"/>
              </w:rPr>
              <w:lastRenderedPageBreak/>
              <w:t>Within 12 weeks of Contract Award</w:t>
            </w:r>
          </w:p>
        </w:tc>
      </w:tr>
    </w:tbl>
    <w:p w:rsidR="009308DB" w:rsidRPr="00AA05F4" w:rsidRDefault="009308DB" w:rsidP="009308DB">
      <w:pPr>
        <w:pStyle w:val="Heading1"/>
        <w:numPr>
          <w:ilvl w:val="0"/>
          <w:numId w:val="0"/>
        </w:numPr>
        <w:ind w:left="720" w:hanging="720"/>
        <w:rPr>
          <w:szCs w:val="22"/>
        </w:rPr>
      </w:pPr>
    </w:p>
    <w:p w:rsidR="009308DB" w:rsidRPr="00AA05F4" w:rsidRDefault="001E6409" w:rsidP="009308DB">
      <w:pPr>
        <w:pStyle w:val="Heading1"/>
        <w:widowControl/>
        <w:numPr>
          <w:ilvl w:val="0"/>
          <w:numId w:val="11"/>
        </w:numPr>
        <w:tabs>
          <w:tab w:val="clear" w:pos="720"/>
          <w:tab w:val="num" w:pos="0"/>
        </w:tabs>
        <w:overflowPunct w:val="0"/>
        <w:autoSpaceDE w:val="0"/>
        <w:autoSpaceDN w:val="0"/>
        <w:adjustRightInd w:val="0"/>
        <w:spacing w:after="120"/>
        <w:ind w:left="709" w:hanging="709"/>
        <w:jc w:val="both"/>
        <w:textAlignment w:val="baseline"/>
        <w:rPr>
          <w:szCs w:val="22"/>
        </w:rPr>
      </w:pPr>
      <w:bookmarkStart w:id="20" w:name="_Toc368573033"/>
      <w:bookmarkStart w:id="21" w:name="_Toc302637211"/>
      <w:r w:rsidRPr="00AA05F4">
        <w:rPr>
          <w:szCs w:val="22"/>
        </w:rPr>
        <w:t>AUTHORITY’S RESPONSIBILITIES</w:t>
      </w:r>
    </w:p>
    <w:p w:rsidR="009308DB" w:rsidRPr="00F55106" w:rsidRDefault="009308DB" w:rsidP="009308DB">
      <w:pPr>
        <w:pStyle w:val="Heading2"/>
        <w:widowControl/>
        <w:numPr>
          <w:ilvl w:val="1"/>
          <w:numId w:val="11"/>
        </w:numPr>
        <w:tabs>
          <w:tab w:val="num" w:pos="4973"/>
        </w:tabs>
        <w:adjustRightInd w:val="0"/>
        <w:spacing w:after="120"/>
        <w:ind w:left="709" w:hanging="709"/>
      </w:pPr>
      <w:r w:rsidRPr="00F55106">
        <w:t>The lead customer will be Head Navy RP.  He will be assisted in reviewing progress by representatives from Manning, Capability, Resource Plans, Finance, Infrastructure, Technology, Digital, and Commercial areas. All related business areas will be available for interview and discussion to enable the activity to progress in line with the above programme.  The Authority will make available all financial and non-financial data necessary to complete the task.</w:t>
      </w:r>
    </w:p>
    <w:p w:rsidR="009308DB" w:rsidRDefault="009308DB" w:rsidP="009308DB">
      <w:pPr>
        <w:pStyle w:val="Heading2"/>
        <w:widowControl/>
        <w:numPr>
          <w:ilvl w:val="1"/>
          <w:numId w:val="11"/>
        </w:numPr>
        <w:tabs>
          <w:tab w:val="num" w:pos="4973"/>
        </w:tabs>
        <w:adjustRightInd w:val="0"/>
        <w:spacing w:after="120"/>
        <w:ind w:left="709" w:hanging="709"/>
      </w:pPr>
      <w:r w:rsidRPr="00F55106">
        <w:t xml:space="preserve">Office accommodation and access to the information and systems </w:t>
      </w:r>
      <w:r>
        <w:t>will be provided as required.</w:t>
      </w:r>
    </w:p>
    <w:p w:rsidR="009308DB" w:rsidRDefault="009308DB" w:rsidP="009308DB">
      <w:pPr>
        <w:pStyle w:val="Heading2"/>
        <w:widowControl/>
        <w:numPr>
          <w:ilvl w:val="1"/>
          <w:numId w:val="11"/>
        </w:numPr>
        <w:tabs>
          <w:tab w:val="num" w:pos="4973"/>
        </w:tabs>
        <w:adjustRightInd w:val="0"/>
        <w:spacing w:after="120"/>
        <w:ind w:left="709" w:hanging="709"/>
      </w:pPr>
      <w:r>
        <w:t xml:space="preserve">The Authority is responsible for providing to the Supplier the relevant data and policy direction to provide guidance and advice on delivering against key milestones.  </w:t>
      </w:r>
    </w:p>
    <w:bookmarkEnd w:id="20"/>
    <w:p w:rsidR="009308DB" w:rsidRDefault="001E6409" w:rsidP="009308DB">
      <w:pPr>
        <w:pStyle w:val="Heading1"/>
        <w:widowControl/>
        <w:numPr>
          <w:ilvl w:val="0"/>
          <w:numId w:val="11"/>
        </w:numPr>
        <w:tabs>
          <w:tab w:val="clear" w:pos="720"/>
          <w:tab w:val="num" w:pos="0"/>
        </w:tabs>
        <w:overflowPunct w:val="0"/>
        <w:autoSpaceDE w:val="0"/>
        <w:autoSpaceDN w:val="0"/>
        <w:adjustRightInd w:val="0"/>
        <w:spacing w:after="120"/>
        <w:ind w:left="709" w:hanging="709"/>
        <w:jc w:val="both"/>
        <w:textAlignment w:val="baseline"/>
        <w:rPr>
          <w:szCs w:val="22"/>
        </w:rPr>
      </w:pPr>
      <w:r>
        <w:rPr>
          <w:szCs w:val="22"/>
        </w:rPr>
        <w:t>REPORTING</w:t>
      </w:r>
    </w:p>
    <w:p w:rsidR="009308DB" w:rsidRPr="00EE59BF" w:rsidRDefault="009308DB" w:rsidP="009308DB">
      <w:pPr>
        <w:pStyle w:val="Heading2"/>
        <w:widowControl/>
        <w:numPr>
          <w:ilvl w:val="1"/>
          <w:numId w:val="11"/>
        </w:numPr>
        <w:adjustRightInd w:val="0"/>
        <w:spacing w:after="240"/>
      </w:pPr>
      <w:bookmarkStart w:id="22" w:name="_Toc368573034"/>
      <w:r w:rsidRPr="00F55106">
        <w:t>There will be formal weekly progress reviews of the programme to review progress and sign off against milestones</w:t>
      </w:r>
      <w:r>
        <w:t xml:space="preserve">, </w:t>
      </w:r>
      <w:r w:rsidRPr="00EE59BF">
        <w:t xml:space="preserve">and ad hoc reporting as required.  </w:t>
      </w:r>
    </w:p>
    <w:bookmarkEnd w:id="22"/>
    <w:p w:rsidR="009308DB" w:rsidRPr="00BE6EE0" w:rsidRDefault="001E6409" w:rsidP="009308DB">
      <w:pPr>
        <w:pStyle w:val="Heading1"/>
        <w:widowControl/>
        <w:numPr>
          <w:ilvl w:val="0"/>
          <w:numId w:val="11"/>
        </w:numPr>
        <w:tabs>
          <w:tab w:val="clear" w:pos="720"/>
          <w:tab w:val="num" w:pos="0"/>
        </w:tabs>
        <w:overflowPunct w:val="0"/>
        <w:autoSpaceDE w:val="0"/>
        <w:autoSpaceDN w:val="0"/>
        <w:adjustRightInd w:val="0"/>
        <w:spacing w:after="120"/>
        <w:ind w:left="709" w:hanging="709"/>
        <w:jc w:val="both"/>
        <w:textAlignment w:val="baseline"/>
        <w:rPr>
          <w:szCs w:val="22"/>
        </w:rPr>
      </w:pPr>
      <w:r>
        <w:rPr>
          <w:szCs w:val="22"/>
        </w:rPr>
        <w:t>CONTINUOUS IMPROVEMENT</w:t>
      </w:r>
    </w:p>
    <w:p w:rsidR="009308DB" w:rsidRPr="00CB77C9" w:rsidRDefault="009308DB" w:rsidP="009308DB">
      <w:pPr>
        <w:pStyle w:val="Heading2"/>
        <w:widowControl/>
        <w:numPr>
          <w:ilvl w:val="1"/>
          <w:numId w:val="11"/>
        </w:numPr>
        <w:adjustRightInd w:val="0"/>
        <w:spacing w:after="120"/>
        <w:ind w:left="709" w:hanging="709"/>
      </w:pPr>
      <w:r w:rsidRPr="00CB77C9">
        <w:t>The Supplier will be expected to continually improve the way in which the required Services are to be delivered throughout the Contract duration.</w:t>
      </w:r>
    </w:p>
    <w:p w:rsidR="009308DB" w:rsidRPr="00CB77C9" w:rsidRDefault="009308DB" w:rsidP="009308DB">
      <w:pPr>
        <w:pStyle w:val="Heading2"/>
        <w:widowControl/>
        <w:numPr>
          <w:ilvl w:val="1"/>
          <w:numId w:val="11"/>
        </w:numPr>
        <w:tabs>
          <w:tab w:val="num" w:pos="4973"/>
        </w:tabs>
        <w:adjustRightInd w:val="0"/>
        <w:spacing w:after="120"/>
        <w:ind w:left="709" w:hanging="709"/>
      </w:pPr>
      <w:r w:rsidRPr="00CB77C9">
        <w:t xml:space="preserve">The Supplier should present new ways of working where necessary to the Authority following the periodic charter reviews after a clear assessment of deliverables has been conducted.  </w:t>
      </w:r>
    </w:p>
    <w:p w:rsidR="009308DB" w:rsidRPr="00CB77C9" w:rsidRDefault="009308DB" w:rsidP="009308DB">
      <w:pPr>
        <w:pStyle w:val="Heading2"/>
        <w:widowControl/>
        <w:numPr>
          <w:ilvl w:val="1"/>
          <w:numId w:val="11"/>
        </w:numPr>
        <w:adjustRightInd w:val="0"/>
        <w:spacing w:after="120"/>
        <w:ind w:left="709" w:hanging="709"/>
      </w:pPr>
      <w:r w:rsidRPr="00CB77C9">
        <w:t>Changes to the way in which the Services are to be delivered must be brought to the Authority’s attention and agreed prior to any changes being implemented.</w:t>
      </w:r>
    </w:p>
    <w:p w:rsidR="009308DB" w:rsidRPr="00517FEF" w:rsidRDefault="001E6409" w:rsidP="009308DB">
      <w:pPr>
        <w:pStyle w:val="Heading1"/>
        <w:widowControl/>
        <w:numPr>
          <w:ilvl w:val="0"/>
          <w:numId w:val="11"/>
        </w:numPr>
        <w:tabs>
          <w:tab w:val="clear" w:pos="720"/>
          <w:tab w:val="num" w:pos="0"/>
        </w:tabs>
        <w:overflowPunct w:val="0"/>
        <w:autoSpaceDE w:val="0"/>
        <w:autoSpaceDN w:val="0"/>
        <w:adjustRightInd w:val="0"/>
        <w:spacing w:after="120"/>
        <w:ind w:left="709" w:hanging="709"/>
        <w:jc w:val="both"/>
        <w:textAlignment w:val="baseline"/>
        <w:rPr>
          <w:szCs w:val="22"/>
        </w:rPr>
      </w:pPr>
      <w:r>
        <w:rPr>
          <w:szCs w:val="22"/>
        </w:rPr>
        <w:t>QUALITY</w:t>
      </w:r>
    </w:p>
    <w:p w:rsidR="009308DB" w:rsidRPr="00EE59BF" w:rsidRDefault="009308DB" w:rsidP="009308DB">
      <w:pPr>
        <w:pStyle w:val="Heading2"/>
        <w:widowControl/>
        <w:numPr>
          <w:ilvl w:val="1"/>
          <w:numId w:val="11"/>
        </w:numPr>
        <w:tabs>
          <w:tab w:val="num" w:pos="4973"/>
        </w:tabs>
        <w:adjustRightInd w:val="0"/>
        <w:spacing w:after="120"/>
        <w:ind w:left="709" w:hanging="709"/>
      </w:pPr>
      <w:bookmarkStart w:id="23" w:name="_Toc368573037"/>
      <w:r w:rsidRPr="00EE59BF">
        <w:t>The Supplier</w:t>
      </w:r>
      <w:r>
        <w:t xml:space="preserve"> will be subject to a periodic Contract</w:t>
      </w:r>
      <w:r w:rsidRPr="00EE59BF">
        <w:t xml:space="preserve"> management review </w:t>
      </w:r>
      <w:r>
        <w:t>w</w:t>
      </w:r>
      <w:r w:rsidRPr="00EE59BF">
        <w:t xml:space="preserve">hereby it will be expected the Supplier to maintain a quality of deliverable to the Authority’s satisfaction.  </w:t>
      </w:r>
    </w:p>
    <w:p w:rsidR="009308DB" w:rsidRPr="00BE6EE0" w:rsidRDefault="009308DB" w:rsidP="009308DB">
      <w:pPr>
        <w:pStyle w:val="Heading1"/>
        <w:widowControl/>
        <w:numPr>
          <w:ilvl w:val="0"/>
          <w:numId w:val="11"/>
        </w:numPr>
        <w:tabs>
          <w:tab w:val="clear" w:pos="720"/>
          <w:tab w:val="num" w:pos="0"/>
        </w:tabs>
        <w:overflowPunct w:val="0"/>
        <w:autoSpaceDE w:val="0"/>
        <w:autoSpaceDN w:val="0"/>
        <w:adjustRightInd w:val="0"/>
        <w:spacing w:after="120"/>
        <w:ind w:left="709" w:hanging="709"/>
        <w:jc w:val="both"/>
        <w:textAlignment w:val="baseline"/>
        <w:rPr>
          <w:szCs w:val="22"/>
        </w:rPr>
      </w:pPr>
      <w:bookmarkStart w:id="24" w:name="_Toc533088695"/>
      <w:r w:rsidRPr="00BE6EE0">
        <w:rPr>
          <w:szCs w:val="22"/>
        </w:rPr>
        <w:t>PRICE</w:t>
      </w:r>
      <w:bookmarkEnd w:id="23"/>
      <w:bookmarkEnd w:id="24"/>
    </w:p>
    <w:p w:rsidR="009308DB" w:rsidRDefault="009308DB" w:rsidP="009308DB">
      <w:pPr>
        <w:pStyle w:val="Heading2"/>
        <w:widowControl/>
        <w:numPr>
          <w:ilvl w:val="1"/>
          <w:numId w:val="11"/>
        </w:numPr>
        <w:tabs>
          <w:tab w:val="num" w:pos="4973"/>
        </w:tabs>
        <w:adjustRightInd w:val="0"/>
        <w:spacing w:after="120"/>
        <w:ind w:left="709" w:hanging="709"/>
      </w:pPr>
      <w:r w:rsidRPr="00724A45">
        <w:t>Prices are to be submitted excluding</w:t>
      </w:r>
      <w:r>
        <w:t xml:space="preserve"> VAT.</w:t>
      </w:r>
    </w:p>
    <w:p w:rsidR="009308DB" w:rsidRDefault="009308DB" w:rsidP="009308DB">
      <w:pPr>
        <w:pStyle w:val="Heading2"/>
        <w:widowControl/>
        <w:numPr>
          <w:ilvl w:val="1"/>
          <w:numId w:val="11"/>
        </w:numPr>
        <w:tabs>
          <w:tab w:val="num" w:pos="4973"/>
        </w:tabs>
        <w:adjustRightInd w:val="0"/>
        <w:spacing w:after="120"/>
        <w:ind w:left="709" w:hanging="709"/>
      </w:pPr>
      <w:r>
        <w:t>P</w:t>
      </w:r>
      <w:r w:rsidR="00951BC3">
        <w:t xml:space="preserve">rices should not </w:t>
      </w:r>
      <w:proofErr w:type="gramStart"/>
      <w:r w:rsidR="00951BC3">
        <w:t xml:space="preserve">exceed </w:t>
      </w:r>
      <w:r w:rsidR="001E6409">
        <w:t>.</w:t>
      </w:r>
      <w:proofErr w:type="gramEnd"/>
    </w:p>
    <w:p w:rsidR="009308DB" w:rsidRPr="00BE6EE0" w:rsidRDefault="009308DB" w:rsidP="009308DB">
      <w:pPr>
        <w:pStyle w:val="Heading1"/>
        <w:widowControl/>
        <w:numPr>
          <w:ilvl w:val="0"/>
          <w:numId w:val="11"/>
        </w:numPr>
        <w:tabs>
          <w:tab w:val="clear" w:pos="720"/>
          <w:tab w:val="num" w:pos="0"/>
        </w:tabs>
        <w:overflowPunct w:val="0"/>
        <w:autoSpaceDE w:val="0"/>
        <w:autoSpaceDN w:val="0"/>
        <w:adjustRightInd w:val="0"/>
        <w:spacing w:after="120"/>
        <w:ind w:left="709" w:hanging="709"/>
        <w:jc w:val="both"/>
        <w:textAlignment w:val="baseline"/>
        <w:rPr>
          <w:szCs w:val="22"/>
        </w:rPr>
      </w:pPr>
      <w:bookmarkStart w:id="25" w:name="_Toc368573038"/>
      <w:bookmarkStart w:id="26" w:name="_Toc533088696"/>
      <w:r w:rsidRPr="00BE6EE0">
        <w:rPr>
          <w:szCs w:val="22"/>
        </w:rPr>
        <w:t>STAFF AND CUSTOMER SERVICE</w:t>
      </w:r>
      <w:bookmarkEnd w:id="25"/>
      <w:bookmarkEnd w:id="26"/>
    </w:p>
    <w:p w:rsidR="009308DB" w:rsidRPr="00AA05F4" w:rsidRDefault="009308DB" w:rsidP="009308DB">
      <w:pPr>
        <w:pStyle w:val="Heading2"/>
        <w:widowControl/>
        <w:numPr>
          <w:ilvl w:val="1"/>
          <w:numId w:val="13"/>
        </w:numPr>
        <w:tabs>
          <w:tab w:val="clear" w:pos="720"/>
          <w:tab w:val="num" w:pos="4973"/>
        </w:tabs>
        <w:adjustRightInd w:val="0"/>
        <w:spacing w:after="120"/>
        <w:rPr>
          <w:rFonts w:cs="Arial"/>
        </w:rPr>
      </w:pPr>
      <w:bookmarkStart w:id="27" w:name="_Toc368573039"/>
      <w:r w:rsidRPr="00AA05F4">
        <w:rPr>
          <w:rFonts w:cs="Arial"/>
        </w:rPr>
        <w:t>The Authority requires the Potential Provider to provide a sufficient level of resource throughout the duration of the Contract to consistently deliver a quality service to all Parties.</w:t>
      </w:r>
    </w:p>
    <w:p w:rsidR="009308DB" w:rsidRPr="00AA05F4" w:rsidRDefault="009308DB" w:rsidP="009308DB">
      <w:pPr>
        <w:pStyle w:val="Heading2"/>
        <w:widowControl/>
        <w:numPr>
          <w:ilvl w:val="1"/>
          <w:numId w:val="13"/>
        </w:numPr>
        <w:tabs>
          <w:tab w:val="clear" w:pos="720"/>
          <w:tab w:val="num" w:pos="4973"/>
        </w:tabs>
        <w:adjustRightInd w:val="0"/>
        <w:spacing w:after="120"/>
        <w:rPr>
          <w:rFonts w:cs="Arial"/>
        </w:rPr>
      </w:pPr>
      <w:r w:rsidRPr="00AA05F4">
        <w:rPr>
          <w:rFonts w:cs="Arial"/>
        </w:rPr>
        <w:t xml:space="preserve">Potential Provider’s staff assigned to the Contract shall have the relevant qualifications and experience to deliver the Contract. </w:t>
      </w:r>
    </w:p>
    <w:p w:rsidR="009308DB" w:rsidRPr="00AA05F4" w:rsidRDefault="009308DB" w:rsidP="009308DB">
      <w:pPr>
        <w:widowControl/>
        <w:numPr>
          <w:ilvl w:val="1"/>
          <w:numId w:val="11"/>
        </w:numPr>
        <w:tabs>
          <w:tab w:val="clear" w:pos="720"/>
          <w:tab w:val="num" w:pos="4973"/>
        </w:tabs>
        <w:adjustRightInd w:val="0"/>
        <w:spacing w:after="120" w:line="240" w:lineRule="auto"/>
        <w:ind w:left="709" w:hanging="709"/>
        <w:jc w:val="both"/>
        <w:outlineLvl w:val="1"/>
        <w:rPr>
          <w:rFonts w:ascii="Arial" w:eastAsia="STZhongsong" w:hAnsi="Arial" w:cs="Arial"/>
          <w:szCs w:val="20"/>
        </w:rPr>
      </w:pPr>
      <w:r w:rsidRPr="00AA05F4">
        <w:rPr>
          <w:rFonts w:ascii="Arial" w:eastAsia="STZhongsong" w:hAnsi="Arial" w:cs="Arial"/>
          <w:szCs w:val="20"/>
        </w:rPr>
        <w:t xml:space="preserve">The Potential Provider shall ensure that staff understand the Authority’s vision and objectives and will provide excellent customer service to the Authority throughout the duration of the Contract.  </w:t>
      </w:r>
    </w:p>
    <w:p w:rsidR="009308DB" w:rsidRPr="00AA05F4" w:rsidRDefault="009308DB" w:rsidP="009308DB">
      <w:pPr>
        <w:pStyle w:val="Heading1"/>
        <w:widowControl/>
        <w:numPr>
          <w:ilvl w:val="0"/>
          <w:numId w:val="11"/>
        </w:numPr>
        <w:adjustRightInd w:val="0"/>
        <w:spacing w:after="120"/>
        <w:jc w:val="both"/>
      </w:pPr>
      <w:bookmarkStart w:id="28" w:name="_Toc368573040"/>
      <w:bookmarkStart w:id="29" w:name="_Toc533088697"/>
      <w:bookmarkEnd w:id="27"/>
      <w:r w:rsidRPr="00AA05F4">
        <w:t>S</w:t>
      </w:r>
      <w:bookmarkEnd w:id="28"/>
      <w:bookmarkEnd w:id="29"/>
      <w:r w:rsidR="001E6409" w:rsidRPr="00AA05F4">
        <w:t>ECURITY REQUIREMENTS</w:t>
      </w:r>
    </w:p>
    <w:p w:rsidR="009308DB" w:rsidRPr="00336615" w:rsidRDefault="009308DB" w:rsidP="009308DB">
      <w:pPr>
        <w:pStyle w:val="Heading2"/>
        <w:widowControl/>
        <w:numPr>
          <w:ilvl w:val="1"/>
          <w:numId w:val="11"/>
        </w:numPr>
        <w:tabs>
          <w:tab w:val="clear" w:pos="720"/>
          <w:tab w:val="num" w:pos="4973"/>
        </w:tabs>
        <w:adjustRightInd w:val="0"/>
        <w:spacing w:after="120"/>
        <w:ind w:left="709" w:hanging="709"/>
      </w:pPr>
      <w:bookmarkStart w:id="30" w:name="_Toc368573041"/>
      <w:r w:rsidRPr="00AA05F4">
        <w:rPr>
          <w:rFonts w:cs="Arial"/>
          <w:szCs w:val="22"/>
        </w:rPr>
        <w:t>The supplier will comply with relevant Defence policies and procedures, including those related to security and working within Navy Command Headquarters, as specified in the MOD</w:t>
      </w:r>
      <w:r w:rsidRPr="00EE59BF">
        <w:rPr>
          <w:szCs w:val="22"/>
        </w:rPr>
        <w:t xml:space="preserve"> </w:t>
      </w:r>
      <w:r w:rsidRPr="00EE59BF">
        <w:rPr>
          <w:szCs w:val="22"/>
        </w:rPr>
        <w:lastRenderedPageBreak/>
        <w:t xml:space="preserve">DEFCONs in the </w:t>
      </w:r>
      <w:r>
        <w:rPr>
          <w:szCs w:val="22"/>
        </w:rPr>
        <w:t>Contract</w:t>
      </w:r>
      <w:r w:rsidRPr="00EE59BF">
        <w:rPr>
          <w:szCs w:val="22"/>
        </w:rPr>
        <w:t xml:space="preserve"> Document </w:t>
      </w:r>
      <w:r>
        <w:rPr>
          <w:szCs w:val="22"/>
        </w:rPr>
        <w:t>Terms and Conditions</w:t>
      </w:r>
      <w:r w:rsidRPr="00EE59BF">
        <w:rPr>
          <w:szCs w:val="22"/>
        </w:rPr>
        <w:t xml:space="preserve"> and relevant Defence Policy and Guidance.  </w:t>
      </w:r>
    </w:p>
    <w:p w:rsidR="009308DB" w:rsidRPr="00EF00EF" w:rsidRDefault="009308DB" w:rsidP="009308DB">
      <w:pPr>
        <w:pStyle w:val="Heading2"/>
        <w:widowControl/>
        <w:numPr>
          <w:ilvl w:val="1"/>
          <w:numId w:val="11"/>
        </w:numPr>
        <w:tabs>
          <w:tab w:val="clear" w:pos="720"/>
          <w:tab w:val="num" w:pos="4973"/>
        </w:tabs>
        <w:adjustRightInd w:val="0"/>
        <w:spacing w:after="120"/>
        <w:ind w:left="709" w:hanging="709"/>
      </w:pPr>
      <w:r w:rsidRPr="00EF00EF">
        <w:rPr>
          <w:szCs w:val="22"/>
        </w:rPr>
        <w:t xml:space="preserve">All personnel assigned to this Contract </w:t>
      </w:r>
      <w:r w:rsidRPr="00336615">
        <w:rPr>
          <w:b/>
          <w:szCs w:val="22"/>
        </w:rPr>
        <w:t xml:space="preserve">must </w:t>
      </w:r>
      <w:r w:rsidRPr="00EF00EF">
        <w:rPr>
          <w:szCs w:val="22"/>
        </w:rPr>
        <w:t>have SC clearance as a minimum at the point of Award. This</w:t>
      </w:r>
      <w:r w:rsidRPr="00336615">
        <w:rPr>
          <w:b/>
          <w:szCs w:val="22"/>
        </w:rPr>
        <w:t xml:space="preserve"> must</w:t>
      </w:r>
      <w:r w:rsidRPr="00EF00EF">
        <w:rPr>
          <w:szCs w:val="22"/>
        </w:rPr>
        <w:t xml:space="preserve"> be retained throughout the Contract term. </w:t>
      </w:r>
    </w:p>
    <w:p w:rsidR="009308DB" w:rsidRPr="00872008" w:rsidRDefault="009308DB" w:rsidP="009308DB">
      <w:pPr>
        <w:pStyle w:val="Heading2"/>
        <w:widowControl/>
        <w:numPr>
          <w:ilvl w:val="1"/>
          <w:numId w:val="11"/>
        </w:numPr>
        <w:tabs>
          <w:tab w:val="clear" w:pos="720"/>
          <w:tab w:val="num" w:pos="4973"/>
        </w:tabs>
        <w:adjustRightInd w:val="0"/>
        <w:spacing w:after="120"/>
        <w:ind w:left="709" w:hanging="709"/>
      </w:pPr>
      <w:r w:rsidRPr="00EE59BF">
        <w:rPr>
          <w:szCs w:val="22"/>
        </w:rPr>
        <w:t xml:space="preserve">Any data to be processed on behalf of the MOD must be done so within the UK with prior approval from the Authority.  </w:t>
      </w:r>
    </w:p>
    <w:p w:rsidR="009308DB" w:rsidRPr="00EE59BF" w:rsidRDefault="009308DB" w:rsidP="009308DB">
      <w:pPr>
        <w:pStyle w:val="Heading2"/>
        <w:widowControl/>
        <w:numPr>
          <w:ilvl w:val="1"/>
          <w:numId w:val="11"/>
        </w:numPr>
        <w:tabs>
          <w:tab w:val="clear" w:pos="720"/>
          <w:tab w:val="num" w:pos="4973"/>
        </w:tabs>
        <w:adjustRightInd w:val="0"/>
        <w:spacing w:after="120"/>
        <w:ind w:left="709" w:hanging="709"/>
      </w:pPr>
      <w:r>
        <w:rPr>
          <w:szCs w:val="22"/>
        </w:rPr>
        <w:t xml:space="preserve">There is a Security Aspects Letter attached as part of the tender documents. </w:t>
      </w:r>
      <w:proofErr w:type="gramStart"/>
      <w:r>
        <w:rPr>
          <w:szCs w:val="22"/>
        </w:rPr>
        <w:t>In order to</w:t>
      </w:r>
      <w:proofErr w:type="gramEnd"/>
      <w:r>
        <w:rPr>
          <w:szCs w:val="22"/>
        </w:rPr>
        <w:t xml:space="preserve"> hold any secret classified information at Supplier location, suppliers must hold the relevant List X.</w:t>
      </w:r>
    </w:p>
    <w:bookmarkEnd w:id="30"/>
    <w:p w:rsidR="009308DB" w:rsidRDefault="001E6409" w:rsidP="009308DB">
      <w:pPr>
        <w:pStyle w:val="Heading1"/>
        <w:widowControl/>
        <w:numPr>
          <w:ilvl w:val="0"/>
          <w:numId w:val="11"/>
        </w:numPr>
        <w:tabs>
          <w:tab w:val="clear" w:pos="720"/>
          <w:tab w:val="num" w:pos="0"/>
        </w:tabs>
        <w:overflowPunct w:val="0"/>
        <w:autoSpaceDE w:val="0"/>
        <w:autoSpaceDN w:val="0"/>
        <w:adjustRightInd w:val="0"/>
        <w:spacing w:after="120"/>
        <w:ind w:left="709" w:hanging="709"/>
        <w:jc w:val="both"/>
        <w:textAlignment w:val="baseline"/>
        <w:rPr>
          <w:szCs w:val="22"/>
        </w:rPr>
      </w:pPr>
      <w:r>
        <w:rPr>
          <w:szCs w:val="22"/>
        </w:rPr>
        <w:t>INTELLECTUAL PROPERTY RIGHTS</w:t>
      </w:r>
    </w:p>
    <w:p w:rsidR="009308DB" w:rsidRPr="00EE59BF" w:rsidRDefault="009308DB" w:rsidP="009308DB">
      <w:pPr>
        <w:pStyle w:val="Heading2"/>
        <w:widowControl/>
        <w:numPr>
          <w:ilvl w:val="1"/>
          <w:numId w:val="11"/>
        </w:numPr>
        <w:tabs>
          <w:tab w:val="clear" w:pos="720"/>
        </w:tabs>
        <w:adjustRightInd w:val="0"/>
        <w:spacing w:after="240"/>
        <w:ind w:left="709" w:hanging="709"/>
        <w:rPr>
          <w:rFonts w:cs="Arial"/>
          <w:szCs w:val="22"/>
        </w:rPr>
      </w:pPr>
      <w:bookmarkStart w:id="31" w:name="_Toc368573042"/>
      <w:r w:rsidRPr="00EE59BF">
        <w:t xml:space="preserve">The Supplier will have access to third party data and must comply with all IPR rights agreed between the MOD and a third party.  </w:t>
      </w:r>
    </w:p>
    <w:p w:rsidR="009308DB" w:rsidRPr="00874062" w:rsidRDefault="001E6409" w:rsidP="009308DB">
      <w:pPr>
        <w:pStyle w:val="Heading1"/>
        <w:widowControl/>
        <w:numPr>
          <w:ilvl w:val="0"/>
          <w:numId w:val="11"/>
        </w:numPr>
        <w:tabs>
          <w:tab w:val="clear" w:pos="720"/>
          <w:tab w:val="num" w:pos="0"/>
        </w:tabs>
        <w:overflowPunct w:val="0"/>
        <w:autoSpaceDE w:val="0"/>
        <w:autoSpaceDN w:val="0"/>
        <w:adjustRightInd w:val="0"/>
        <w:spacing w:after="120"/>
        <w:ind w:left="709" w:hanging="709"/>
        <w:jc w:val="both"/>
        <w:textAlignment w:val="baseline"/>
        <w:rPr>
          <w:szCs w:val="22"/>
        </w:rPr>
      </w:pPr>
      <w:r>
        <w:rPr>
          <w:szCs w:val="22"/>
        </w:rPr>
        <w:t xml:space="preserve">PAYMENT </w:t>
      </w:r>
    </w:p>
    <w:p w:rsidR="009308DB" w:rsidRPr="008F19E9" w:rsidRDefault="009308DB" w:rsidP="009308DB">
      <w:pPr>
        <w:pStyle w:val="Heading2"/>
        <w:widowControl/>
        <w:numPr>
          <w:ilvl w:val="1"/>
          <w:numId w:val="11"/>
        </w:numPr>
        <w:adjustRightInd w:val="0"/>
        <w:spacing w:after="240"/>
        <w:rPr>
          <w:rFonts w:cs="Arial"/>
          <w:color w:val="000000"/>
          <w:szCs w:val="22"/>
          <w:shd w:val="clear" w:color="auto" w:fill="FFFFFF"/>
        </w:rPr>
      </w:pPr>
      <w:r w:rsidRPr="008F19E9">
        <w:rPr>
          <w:rFonts w:cs="Arial"/>
          <w:color w:val="000000"/>
          <w:szCs w:val="22"/>
          <w:shd w:val="clear" w:color="auto" w:fill="FFFFFF"/>
        </w:rPr>
        <w:t xml:space="preserve">Payment will be triggered by Authority acceptance of successfully completed milestones 3 to </w:t>
      </w:r>
      <w:r>
        <w:rPr>
          <w:rFonts w:cs="Arial"/>
          <w:color w:val="000000"/>
          <w:szCs w:val="22"/>
          <w:shd w:val="clear" w:color="auto" w:fill="FFFFFF"/>
        </w:rPr>
        <w:t>8</w:t>
      </w:r>
      <w:r w:rsidRPr="008F19E9">
        <w:rPr>
          <w:rFonts w:cs="Arial"/>
          <w:color w:val="000000"/>
          <w:szCs w:val="22"/>
          <w:shd w:val="clear" w:color="auto" w:fill="FFFFFF"/>
        </w:rPr>
        <w:t xml:space="preserve">.  The Bidders should reflect this proposed payment schedule in their bids. </w:t>
      </w:r>
    </w:p>
    <w:p w:rsidR="009308DB" w:rsidRPr="0088291B" w:rsidRDefault="009308DB" w:rsidP="009308DB">
      <w:pPr>
        <w:pStyle w:val="Heading2"/>
        <w:widowControl/>
        <w:numPr>
          <w:ilvl w:val="1"/>
          <w:numId w:val="11"/>
        </w:numPr>
        <w:tabs>
          <w:tab w:val="clear" w:pos="720"/>
          <w:tab w:val="num" w:pos="4536"/>
        </w:tabs>
        <w:adjustRightInd w:val="0"/>
        <w:spacing w:after="240"/>
        <w:ind w:left="709" w:hanging="709"/>
        <w:rPr>
          <w:szCs w:val="22"/>
        </w:rPr>
      </w:pPr>
      <w:r w:rsidRPr="00EE59BF">
        <w:rPr>
          <w:rFonts w:cs="Arial"/>
          <w:color w:val="000000"/>
          <w:szCs w:val="22"/>
          <w:shd w:val="clear" w:color="auto" w:fill="FFFFFF"/>
        </w:rPr>
        <w:t>Before payment can be considered, each invoice must include a detailed elemental breakdown of work completed and the associated costs.</w:t>
      </w:r>
    </w:p>
    <w:p w:rsidR="009308DB" w:rsidRPr="00EE59BF" w:rsidRDefault="009308DB" w:rsidP="009308DB">
      <w:pPr>
        <w:pStyle w:val="Heading2"/>
        <w:widowControl/>
        <w:numPr>
          <w:ilvl w:val="1"/>
          <w:numId w:val="11"/>
        </w:numPr>
        <w:tabs>
          <w:tab w:val="clear" w:pos="720"/>
          <w:tab w:val="num" w:pos="4536"/>
        </w:tabs>
        <w:adjustRightInd w:val="0"/>
        <w:spacing w:after="240"/>
        <w:ind w:left="709" w:hanging="709"/>
        <w:rPr>
          <w:szCs w:val="22"/>
        </w:rPr>
      </w:pPr>
      <w:r>
        <w:rPr>
          <w:rFonts w:cs="Arial"/>
          <w:color w:val="000000"/>
          <w:szCs w:val="22"/>
          <w:shd w:val="clear" w:color="auto" w:fill="FFFFFF"/>
        </w:rPr>
        <w:t>Agreed and approved payments will be made via the Contract Purchasing &amp; Finance MOD online payment system.</w:t>
      </w:r>
      <w:r w:rsidRPr="00EE59BF">
        <w:rPr>
          <w:rFonts w:cs="Arial"/>
          <w:color w:val="000000"/>
          <w:szCs w:val="22"/>
          <w:shd w:val="clear" w:color="auto" w:fill="FFFFFF"/>
        </w:rPr>
        <w:t xml:space="preserve"> </w:t>
      </w:r>
    </w:p>
    <w:p w:rsidR="009308DB" w:rsidRDefault="009308DB" w:rsidP="009308DB">
      <w:pPr>
        <w:pStyle w:val="Heading1"/>
        <w:widowControl/>
        <w:numPr>
          <w:ilvl w:val="0"/>
          <w:numId w:val="11"/>
        </w:numPr>
        <w:adjustRightInd w:val="0"/>
        <w:spacing w:after="120"/>
        <w:jc w:val="both"/>
      </w:pPr>
      <w:bookmarkStart w:id="32" w:name="_Toc368573043"/>
      <w:bookmarkStart w:id="33" w:name="_Toc533088700"/>
      <w:bookmarkEnd w:id="21"/>
      <w:bookmarkEnd w:id="31"/>
      <w:r>
        <w:t>L</w:t>
      </w:r>
      <w:bookmarkEnd w:id="32"/>
      <w:bookmarkEnd w:id="33"/>
      <w:r w:rsidR="001E6409">
        <w:t>OCATION</w:t>
      </w:r>
    </w:p>
    <w:p w:rsidR="009308DB" w:rsidRPr="002F4D97" w:rsidRDefault="009308DB" w:rsidP="009308DB">
      <w:pPr>
        <w:pStyle w:val="Heading2"/>
        <w:widowControl/>
        <w:numPr>
          <w:ilvl w:val="1"/>
          <w:numId w:val="11"/>
        </w:numPr>
        <w:adjustRightInd w:val="0"/>
        <w:spacing w:after="240"/>
      </w:pPr>
      <w:r>
        <w:t xml:space="preserve">The location of the Services will be carried out at </w:t>
      </w:r>
      <w:r>
        <w:rPr>
          <w:rFonts w:cs="Arial"/>
        </w:rPr>
        <w:t xml:space="preserve">Navy Command Headquarters, </w:t>
      </w:r>
      <w:r w:rsidRPr="008F19E9">
        <w:rPr>
          <w:rFonts w:cs="Arial"/>
        </w:rPr>
        <w:t>HMS Excellent, Whale Island, Hampshire</w:t>
      </w:r>
      <w:r>
        <w:rPr>
          <w:rFonts w:cs="Arial"/>
        </w:rPr>
        <w:t>.</w:t>
      </w:r>
    </w:p>
    <w:p w:rsidR="009308DB" w:rsidRDefault="009308DB" w:rsidP="009308DB">
      <w:pPr>
        <w:pStyle w:val="Heading1"/>
        <w:numPr>
          <w:ilvl w:val="0"/>
          <w:numId w:val="0"/>
        </w:numPr>
        <w:spacing w:after="120"/>
        <w:ind w:left="720"/>
      </w:pPr>
    </w:p>
    <w:p w:rsidR="009308DB" w:rsidRDefault="009308DB" w:rsidP="009308DB">
      <w:pPr>
        <w:pStyle w:val="Heading1"/>
        <w:numPr>
          <w:ilvl w:val="0"/>
          <w:numId w:val="0"/>
        </w:numPr>
        <w:spacing w:after="120"/>
        <w:ind w:left="720"/>
      </w:pPr>
    </w:p>
    <w:p w:rsidR="009308DB" w:rsidRPr="002F4D97" w:rsidRDefault="009308DB" w:rsidP="009308DB">
      <w:pPr>
        <w:pStyle w:val="Heading1"/>
        <w:numPr>
          <w:ilvl w:val="0"/>
          <w:numId w:val="0"/>
        </w:numPr>
        <w:spacing w:after="120"/>
        <w:ind w:left="720"/>
      </w:pPr>
    </w:p>
    <w:p w:rsidR="009308DB" w:rsidRDefault="009308DB" w:rsidP="009308DB">
      <w:pPr>
        <w:jc w:val="both"/>
        <w:textAlignment w:val="baseline"/>
        <w:rPr>
          <w:rFonts w:eastAsia="Times New Roman" w:cs="Arial"/>
          <w:lang w:eastAsia="en-GB"/>
        </w:rPr>
      </w:pPr>
    </w:p>
    <w:p w:rsidR="009308DB" w:rsidRPr="00A74FE3" w:rsidRDefault="009308DB" w:rsidP="009308DB">
      <w:pPr>
        <w:tabs>
          <w:tab w:val="left" w:pos="1392"/>
        </w:tabs>
        <w:rPr>
          <w:rFonts w:eastAsia="STZhongsong"/>
          <w:szCs w:val="20"/>
        </w:rPr>
      </w:pPr>
    </w:p>
    <w:p w:rsidR="009308DB" w:rsidRDefault="009308DB" w:rsidP="009308DB">
      <w:pPr>
        <w:spacing w:after="160" w:line="259" w:lineRule="auto"/>
      </w:pPr>
      <w:r>
        <w:br w:type="page"/>
      </w:r>
    </w:p>
    <w:p w:rsidR="009308DB" w:rsidRPr="009308DB" w:rsidRDefault="009308DB" w:rsidP="00F22DCC">
      <w:pPr>
        <w:spacing w:before="16" w:after="0" w:line="240" w:lineRule="exact"/>
        <w:rPr>
          <w:rFonts w:ascii="Arial" w:eastAsia="Arial" w:hAnsi="Arial" w:cs="Arial"/>
          <w:b/>
          <w:bCs/>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D17165" w:rsidRDefault="00D17165" w:rsidP="00F22DCC">
      <w:pPr>
        <w:spacing w:before="16" w:after="0" w:line="240" w:lineRule="exact"/>
        <w:rPr>
          <w:rFonts w:ascii="Arial" w:eastAsia="Arial" w:hAnsi="Arial" w:cs="Arial"/>
          <w:b/>
          <w:bCs/>
          <w:color w:val="FF0000"/>
          <w:spacing w:val="-1"/>
        </w:rPr>
      </w:pPr>
    </w:p>
    <w:p w:rsidR="00D17165" w:rsidRDefault="00D17165" w:rsidP="00F22DCC">
      <w:pPr>
        <w:spacing w:before="16" w:after="0" w:line="240" w:lineRule="exact"/>
        <w:rPr>
          <w:rFonts w:ascii="Arial" w:eastAsia="Arial" w:hAnsi="Arial" w:cs="Arial"/>
          <w:b/>
          <w:bCs/>
          <w:color w:val="FF0000"/>
          <w:spacing w:val="-1"/>
        </w:rPr>
      </w:pPr>
    </w:p>
    <w:p w:rsidR="00D17165" w:rsidRDefault="00D17165" w:rsidP="00F22DCC">
      <w:pPr>
        <w:spacing w:before="16" w:after="0" w:line="240" w:lineRule="exact"/>
        <w:rPr>
          <w:rFonts w:ascii="Arial" w:eastAsia="Arial" w:hAnsi="Arial" w:cs="Arial"/>
          <w:b/>
          <w:bCs/>
          <w:color w:val="FF0000"/>
          <w:spacing w:val="-1"/>
        </w:rPr>
      </w:pPr>
    </w:p>
    <w:p w:rsidR="00D17165" w:rsidRDefault="00D17165" w:rsidP="00F22DCC">
      <w:pPr>
        <w:spacing w:before="16" w:after="0" w:line="240" w:lineRule="exact"/>
        <w:rPr>
          <w:rFonts w:ascii="Arial" w:eastAsia="Arial" w:hAnsi="Arial" w:cs="Arial"/>
          <w:b/>
          <w:bCs/>
          <w:color w:val="FF0000"/>
          <w:spacing w:val="-1"/>
        </w:rPr>
      </w:pPr>
    </w:p>
    <w:p w:rsidR="00D17165" w:rsidRDefault="00D17165" w:rsidP="00F22DCC">
      <w:pPr>
        <w:spacing w:before="16" w:after="0" w:line="240" w:lineRule="exact"/>
        <w:rPr>
          <w:rFonts w:ascii="Arial" w:eastAsia="Arial" w:hAnsi="Arial" w:cs="Arial"/>
          <w:b/>
          <w:bCs/>
          <w:color w:val="FF0000"/>
          <w:spacing w:val="-1"/>
        </w:rPr>
      </w:pPr>
    </w:p>
    <w:p w:rsidR="00D17165" w:rsidRDefault="00D17165" w:rsidP="00F22DCC">
      <w:pPr>
        <w:spacing w:before="16" w:after="0" w:line="240" w:lineRule="exact"/>
        <w:rPr>
          <w:rFonts w:ascii="Arial" w:eastAsia="Arial" w:hAnsi="Arial" w:cs="Arial"/>
          <w:b/>
          <w:bCs/>
          <w:color w:val="FF0000"/>
          <w:spacing w:val="-1"/>
        </w:rPr>
      </w:pPr>
    </w:p>
    <w:p w:rsidR="00D17165" w:rsidRDefault="00D17165" w:rsidP="00F22DCC">
      <w:pPr>
        <w:spacing w:before="16" w:after="0" w:line="240" w:lineRule="exact"/>
        <w:rPr>
          <w:rFonts w:ascii="Arial" w:eastAsia="Arial" w:hAnsi="Arial" w:cs="Arial"/>
          <w:b/>
          <w:bCs/>
          <w:color w:val="FF0000"/>
          <w:spacing w:val="-1"/>
        </w:rPr>
      </w:pPr>
    </w:p>
    <w:p w:rsidR="009308DB" w:rsidRDefault="00D17165" w:rsidP="00D17165">
      <w:pPr>
        <w:spacing w:before="66" w:after="0" w:line="361" w:lineRule="exact"/>
        <w:ind w:left="1838" w:right="-20"/>
        <w:rPr>
          <w:rFonts w:ascii="Arial" w:eastAsia="Arial" w:hAnsi="Arial" w:cs="Arial"/>
          <w:b/>
          <w:bCs/>
          <w:spacing w:val="-2"/>
          <w:position w:val="-1"/>
          <w:sz w:val="32"/>
          <w:szCs w:val="32"/>
        </w:rPr>
      </w:pPr>
      <w:r>
        <w:rPr>
          <w:rFonts w:ascii="Arial" w:eastAsia="Arial" w:hAnsi="Arial" w:cs="Arial"/>
          <w:b/>
          <w:bCs/>
          <w:spacing w:val="-2"/>
          <w:position w:val="-1"/>
          <w:sz w:val="32"/>
          <w:szCs w:val="32"/>
        </w:rPr>
        <w:t xml:space="preserve">                   </w:t>
      </w:r>
    </w:p>
    <w:p w:rsidR="009308DB" w:rsidRDefault="009308DB" w:rsidP="00D17165">
      <w:pPr>
        <w:spacing w:before="66" w:after="0" w:line="361" w:lineRule="exact"/>
        <w:ind w:left="1838" w:right="-20"/>
        <w:rPr>
          <w:rFonts w:ascii="Arial" w:eastAsia="Arial" w:hAnsi="Arial" w:cs="Arial"/>
          <w:b/>
          <w:bCs/>
          <w:spacing w:val="-2"/>
          <w:position w:val="-1"/>
          <w:sz w:val="32"/>
          <w:szCs w:val="32"/>
        </w:rPr>
      </w:pPr>
    </w:p>
    <w:p w:rsidR="009308DB" w:rsidRDefault="009308DB" w:rsidP="00D17165">
      <w:pPr>
        <w:spacing w:before="66" w:after="0" w:line="361" w:lineRule="exact"/>
        <w:ind w:left="1838" w:right="-20"/>
        <w:rPr>
          <w:rFonts w:ascii="Arial" w:eastAsia="Arial" w:hAnsi="Arial" w:cs="Arial"/>
          <w:b/>
          <w:bCs/>
          <w:spacing w:val="-2"/>
          <w:position w:val="-1"/>
          <w:sz w:val="32"/>
          <w:szCs w:val="32"/>
        </w:rPr>
      </w:pPr>
    </w:p>
    <w:p w:rsidR="00D17165" w:rsidRDefault="009308DB" w:rsidP="009308DB">
      <w:pPr>
        <w:spacing w:before="66" w:after="0" w:line="361" w:lineRule="exact"/>
        <w:ind w:left="1838" w:right="-20"/>
        <w:rPr>
          <w:rFonts w:ascii="Arial" w:eastAsia="Arial" w:hAnsi="Arial" w:cs="Arial"/>
          <w:b/>
          <w:bCs/>
          <w:position w:val="-1"/>
          <w:sz w:val="32"/>
          <w:szCs w:val="32"/>
        </w:rPr>
      </w:pPr>
      <w:r>
        <w:rPr>
          <w:rFonts w:ascii="Arial" w:eastAsia="Arial" w:hAnsi="Arial" w:cs="Arial"/>
          <w:b/>
          <w:bCs/>
          <w:position w:val="-1"/>
          <w:sz w:val="32"/>
          <w:szCs w:val="32"/>
        </w:rPr>
        <w:lastRenderedPageBreak/>
        <w:t xml:space="preserve">             </w:t>
      </w:r>
    </w:p>
    <w:p w:rsidR="009308DB" w:rsidRDefault="009308DB" w:rsidP="009308DB">
      <w:pPr>
        <w:autoSpaceDE w:val="0"/>
        <w:autoSpaceDN w:val="0"/>
        <w:adjustRightInd w:val="0"/>
        <w:jc w:val="center"/>
        <w:rPr>
          <w:rFonts w:ascii="Verdana" w:hAnsi="Verdana" w:cs="Verdana"/>
          <w:b/>
          <w:color w:val="000000"/>
          <w:sz w:val="24"/>
          <w:szCs w:val="24"/>
          <w:lang w:val="en-GB"/>
        </w:rPr>
      </w:pPr>
      <w:r>
        <w:rPr>
          <w:rFonts w:ascii="Verdana" w:hAnsi="Verdana" w:cs="Verdana"/>
          <w:b/>
          <w:color w:val="000000"/>
          <w:sz w:val="24"/>
          <w:szCs w:val="24"/>
          <w:lang w:val="en-GB"/>
        </w:rPr>
        <w:t>Schedule 3 Call off Contract Charges</w:t>
      </w:r>
    </w:p>
    <w:p w:rsidR="009308DB" w:rsidRDefault="009308DB" w:rsidP="009308DB">
      <w:pPr>
        <w:autoSpaceDE w:val="0"/>
        <w:autoSpaceDN w:val="0"/>
        <w:adjustRightInd w:val="0"/>
        <w:jc w:val="center"/>
        <w:rPr>
          <w:rFonts w:ascii="Verdana" w:hAnsi="Verdana" w:cs="Verdana"/>
          <w:b/>
          <w:color w:val="000000"/>
          <w:sz w:val="24"/>
          <w:szCs w:val="24"/>
          <w:lang w:val="en-GB"/>
        </w:rPr>
      </w:pPr>
      <w:r w:rsidRPr="00D3609D">
        <w:rPr>
          <w:rFonts w:ascii="Verdana" w:hAnsi="Verdana" w:cs="Verdana"/>
          <w:b/>
          <w:color w:val="000000"/>
          <w:sz w:val="24"/>
          <w:szCs w:val="24"/>
          <w:lang w:val="en-GB"/>
        </w:rPr>
        <w:t>Pricing Schedule</w:t>
      </w:r>
    </w:p>
    <w:p w:rsidR="009308DB" w:rsidRDefault="009308DB" w:rsidP="009308DB">
      <w:pPr>
        <w:autoSpaceDE w:val="0"/>
        <w:autoSpaceDN w:val="0"/>
        <w:adjustRightInd w:val="0"/>
        <w:rPr>
          <w:rFonts w:ascii="Verdana" w:hAnsi="Verdana" w:cs="Verdana"/>
          <w:b/>
          <w:color w:val="000000"/>
          <w:sz w:val="24"/>
          <w:szCs w:val="24"/>
          <w:lang w:val="en-GB"/>
        </w:rPr>
      </w:pPr>
      <w:r w:rsidRPr="00D3609D">
        <w:rPr>
          <w:rFonts w:ascii="Verdana" w:hAnsi="Verdana" w:cs="Verdana"/>
          <w:b/>
          <w:color w:val="000000"/>
          <w:sz w:val="24"/>
          <w:szCs w:val="24"/>
          <w:lang w:val="en-GB"/>
        </w:rPr>
        <w:t xml:space="preserve"> 700003856 Provision of Consultancy Support to NC RP. Navy Transformation Programme</w:t>
      </w:r>
    </w:p>
    <w:p w:rsidR="009308DB" w:rsidRDefault="009308DB" w:rsidP="009308DB">
      <w:pPr>
        <w:autoSpaceDE w:val="0"/>
        <w:autoSpaceDN w:val="0"/>
        <w:adjustRightInd w:val="0"/>
        <w:rPr>
          <w:rFonts w:ascii="Verdana" w:hAnsi="Verdana" w:cs="Verdana"/>
          <w:b/>
          <w:color w:val="000000"/>
          <w:sz w:val="24"/>
          <w:szCs w:val="24"/>
          <w:lang w:val="en-GB"/>
        </w:rPr>
      </w:pPr>
    </w:p>
    <w:p w:rsidR="009308DB" w:rsidRPr="00D3609D" w:rsidRDefault="009308DB" w:rsidP="009308DB">
      <w:pPr>
        <w:autoSpaceDE w:val="0"/>
        <w:autoSpaceDN w:val="0"/>
        <w:adjustRightInd w:val="0"/>
        <w:rPr>
          <w:rFonts w:ascii="Verdana" w:hAnsi="Verdana" w:cs="Verdana"/>
          <w:b/>
          <w:color w:val="000000"/>
          <w:sz w:val="24"/>
          <w:szCs w:val="24"/>
          <w:lang w:val="en-GB"/>
        </w:rPr>
      </w:pPr>
    </w:p>
    <w:tbl>
      <w:tblPr>
        <w:tblW w:w="6124" w:type="dxa"/>
        <w:tblInd w:w="-110" w:type="dxa"/>
        <w:tblBorders>
          <w:top w:val="nil"/>
          <w:left w:val="nil"/>
          <w:bottom w:val="nil"/>
          <w:right w:val="nil"/>
        </w:tblBorders>
        <w:tblLayout w:type="fixed"/>
        <w:tblLook w:val="0000" w:firstRow="0" w:lastRow="0" w:firstColumn="0" w:lastColumn="0" w:noHBand="0" w:noVBand="0"/>
      </w:tblPr>
      <w:tblGrid>
        <w:gridCol w:w="1531"/>
        <w:gridCol w:w="1531"/>
        <w:gridCol w:w="1531"/>
        <w:gridCol w:w="1531"/>
      </w:tblGrid>
      <w:tr w:rsidR="00951BC3" w:rsidRPr="00D3609D" w:rsidTr="00951BC3">
        <w:trPr>
          <w:trHeight w:val="392"/>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Verdana" w:hAnsi="Verdana" w:cs="Verdana"/>
                <w:color w:val="000000"/>
                <w:sz w:val="17"/>
                <w:szCs w:val="17"/>
                <w:lang w:val="en-GB"/>
              </w:rPr>
            </w:pPr>
            <w:r>
              <w:rPr>
                <w:rFonts w:ascii="Verdana" w:hAnsi="Verdana" w:cs="Verdana"/>
                <w:color w:val="000000"/>
                <w:sz w:val="24"/>
                <w:szCs w:val="24"/>
                <w:lang w:val="en-GB"/>
              </w:rPr>
              <w:t xml:space="preserve"> </w:t>
            </w:r>
            <w:r w:rsidRPr="00D3609D">
              <w:rPr>
                <w:rFonts w:ascii="Verdana" w:hAnsi="Verdana" w:cs="Verdana"/>
                <w:color w:val="000000"/>
                <w:sz w:val="24"/>
                <w:szCs w:val="24"/>
                <w:lang w:val="en-GB"/>
              </w:rPr>
              <w:t xml:space="preserve"> </w:t>
            </w:r>
            <w:r w:rsidRPr="00D3609D">
              <w:rPr>
                <w:rFonts w:ascii="Verdana" w:hAnsi="Verdana" w:cs="Verdana"/>
                <w:b/>
                <w:bCs/>
                <w:color w:val="000000"/>
                <w:sz w:val="17"/>
                <w:szCs w:val="17"/>
                <w:lang w:val="en-GB"/>
              </w:rPr>
              <w:t xml:space="preserve">Name(s)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Verdana" w:hAnsi="Verdana" w:cs="Verdana"/>
                <w:color w:val="000000"/>
                <w:sz w:val="17"/>
                <w:szCs w:val="17"/>
                <w:lang w:val="en-GB"/>
              </w:rPr>
            </w:pPr>
            <w:r w:rsidRPr="00D3609D">
              <w:rPr>
                <w:rFonts w:ascii="Verdana" w:hAnsi="Verdana" w:cs="Verdana"/>
                <w:b/>
                <w:bCs/>
                <w:color w:val="000000"/>
                <w:sz w:val="17"/>
                <w:szCs w:val="17"/>
                <w:lang w:val="en-GB"/>
              </w:rPr>
              <w:t xml:space="preserve">Grade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Verdana" w:hAnsi="Verdana" w:cs="Verdana"/>
                <w:color w:val="000000"/>
                <w:sz w:val="17"/>
                <w:szCs w:val="17"/>
                <w:lang w:val="en-GB"/>
              </w:rPr>
            </w:pPr>
            <w:r w:rsidRPr="00D3609D">
              <w:rPr>
                <w:rFonts w:ascii="Verdana" w:hAnsi="Verdana" w:cs="Verdana"/>
                <w:b/>
                <w:bCs/>
                <w:color w:val="000000"/>
                <w:sz w:val="17"/>
                <w:szCs w:val="17"/>
                <w:lang w:val="en-GB"/>
              </w:rPr>
              <w:t xml:space="preserve">Number of days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Verdana" w:hAnsi="Verdana" w:cs="Verdana"/>
                <w:color w:val="000000"/>
                <w:sz w:val="17"/>
                <w:szCs w:val="17"/>
                <w:lang w:val="en-GB"/>
              </w:rPr>
            </w:pPr>
            <w:r w:rsidRPr="00D3609D">
              <w:rPr>
                <w:rFonts w:ascii="Verdana" w:hAnsi="Verdana" w:cs="Verdana"/>
                <w:b/>
                <w:bCs/>
                <w:color w:val="000000"/>
                <w:sz w:val="17"/>
                <w:szCs w:val="17"/>
                <w:lang w:val="en-GB"/>
              </w:rPr>
              <w:t>Total £ (</w:t>
            </w:r>
            <w:proofErr w:type="spellStart"/>
            <w:r w:rsidRPr="00D3609D">
              <w:rPr>
                <w:rFonts w:ascii="Verdana" w:hAnsi="Verdana" w:cs="Verdana"/>
                <w:b/>
                <w:bCs/>
                <w:color w:val="000000"/>
                <w:sz w:val="17"/>
                <w:szCs w:val="17"/>
                <w:lang w:val="en-GB"/>
              </w:rPr>
              <w:t>exc</w:t>
            </w:r>
            <w:proofErr w:type="spellEnd"/>
            <w:r w:rsidRPr="00D3609D">
              <w:rPr>
                <w:rFonts w:ascii="Verdana" w:hAnsi="Verdana" w:cs="Verdana"/>
                <w:b/>
                <w:bCs/>
                <w:color w:val="000000"/>
                <w:sz w:val="17"/>
                <w:szCs w:val="17"/>
                <w:lang w:val="en-GB"/>
              </w:rPr>
              <w:t xml:space="preserve"> VAT) </w:t>
            </w:r>
          </w:p>
        </w:tc>
      </w:tr>
      <w:tr w:rsidR="00951BC3" w:rsidRPr="00D3609D" w:rsidTr="00951BC3">
        <w:trPr>
          <w:trHeight w:val="186"/>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Managing Consultant / Associate Director / Director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24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D3609D" w:rsidTr="00951BC3">
        <w:trPr>
          <w:trHeight w:val="975"/>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Managing Consultant / Associate Director / Director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46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r>
      <w:tr w:rsidR="00951BC3" w:rsidRPr="00EA30DD" w:rsidTr="00951BC3">
        <w:trPr>
          <w:trHeight w:val="43"/>
        </w:trPr>
        <w:tc>
          <w:tcPr>
            <w:tcW w:w="1531" w:type="dxa"/>
            <w:tcBorders>
              <w:top w:val="single" w:sz="4" w:space="0" w:color="auto"/>
              <w:left w:val="single" w:sz="4" w:space="0" w:color="auto"/>
              <w:right w:val="single" w:sz="4" w:space="0" w:color="auto"/>
            </w:tcBorders>
          </w:tcPr>
          <w:p w:rsidR="00951BC3" w:rsidRPr="00EA30D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right w:val="single" w:sz="4" w:space="0" w:color="auto"/>
            </w:tcBorders>
          </w:tcPr>
          <w:p w:rsidR="00951BC3" w:rsidRPr="00EA30D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right w:val="single" w:sz="4" w:space="0" w:color="auto"/>
            </w:tcBorders>
          </w:tcPr>
          <w:p w:rsidR="00951BC3" w:rsidRPr="00EA30D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right w:val="single" w:sz="4" w:space="0" w:color="auto"/>
            </w:tcBorders>
          </w:tcPr>
          <w:p w:rsidR="00951BC3" w:rsidRPr="00EA30DD" w:rsidRDefault="00951BC3" w:rsidP="00EB5ABF">
            <w:pPr>
              <w:autoSpaceDE w:val="0"/>
              <w:autoSpaceDN w:val="0"/>
              <w:adjustRightInd w:val="0"/>
              <w:rPr>
                <w:rFonts w:ascii="Arial" w:hAnsi="Arial" w:cs="Arial"/>
                <w:color w:val="000000"/>
                <w:lang w:val="en-GB"/>
              </w:rPr>
            </w:pPr>
          </w:p>
        </w:tc>
      </w:tr>
      <w:tr w:rsidR="00951BC3" w:rsidRPr="00D3609D" w:rsidTr="00951BC3">
        <w:trPr>
          <w:trHeight w:val="186"/>
        </w:trPr>
        <w:tc>
          <w:tcPr>
            <w:tcW w:w="1531" w:type="dxa"/>
            <w:tcBorders>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Managing Consultant / Associate Director / Director </w:t>
            </w:r>
          </w:p>
        </w:tc>
        <w:tc>
          <w:tcPr>
            <w:tcW w:w="1531" w:type="dxa"/>
            <w:tcBorders>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20 </w:t>
            </w:r>
          </w:p>
        </w:tc>
        <w:tc>
          <w:tcPr>
            <w:tcW w:w="1531" w:type="dxa"/>
            <w:tcBorders>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D3609D" w:rsidTr="00951BC3">
        <w:trPr>
          <w:trHeight w:val="186"/>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Managing Consultant / Associate Director / Director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20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D3609D" w:rsidTr="00951BC3">
        <w:trPr>
          <w:trHeight w:val="186"/>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Managing Consultant / Associate Director / Director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16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D3609D" w:rsidTr="00951BC3">
        <w:trPr>
          <w:trHeight w:val="186"/>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Managing Consultant / Associate Director / Director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10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D3609D" w:rsidTr="00951BC3">
        <w:trPr>
          <w:trHeight w:val="82"/>
        </w:trPr>
        <w:tc>
          <w:tcPr>
            <w:tcW w:w="1531" w:type="dxa"/>
            <w:tcBorders>
              <w:top w:val="single" w:sz="4" w:space="0" w:color="auto"/>
              <w:left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Principal Consultant </w:t>
            </w:r>
          </w:p>
        </w:tc>
        <w:tc>
          <w:tcPr>
            <w:tcW w:w="1531" w:type="dxa"/>
            <w:tcBorders>
              <w:top w:val="single" w:sz="4" w:space="0" w:color="auto"/>
              <w:left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D3609D" w:rsidTr="00951BC3">
        <w:trPr>
          <w:trHeight w:val="82"/>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Principal Consultant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54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D3609D" w:rsidTr="00951BC3">
        <w:trPr>
          <w:trHeight w:val="82"/>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Principal Consultant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50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D3609D" w:rsidTr="00951BC3">
        <w:trPr>
          <w:trHeight w:val="390"/>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Principal Consultant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20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EA30DD" w:rsidTr="00951BC3">
        <w:trPr>
          <w:trHeight w:val="15"/>
        </w:trPr>
        <w:tc>
          <w:tcPr>
            <w:tcW w:w="1531" w:type="dxa"/>
            <w:tcBorders>
              <w:top w:val="single" w:sz="4" w:space="0" w:color="auto"/>
              <w:left w:val="single" w:sz="4" w:space="0" w:color="auto"/>
              <w:right w:val="single" w:sz="4" w:space="0" w:color="auto"/>
            </w:tcBorders>
          </w:tcPr>
          <w:p w:rsidR="00951BC3" w:rsidRPr="00EA30D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right w:val="single" w:sz="4" w:space="0" w:color="auto"/>
            </w:tcBorders>
          </w:tcPr>
          <w:p w:rsidR="00951BC3" w:rsidRPr="00EA30D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right w:val="single" w:sz="4" w:space="0" w:color="auto"/>
            </w:tcBorders>
          </w:tcPr>
          <w:p w:rsidR="00951BC3" w:rsidRPr="00EA30D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right w:val="single" w:sz="4" w:space="0" w:color="auto"/>
            </w:tcBorders>
          </w:tcPr>
          <w:p w:rsidR="00951BC3" w:rsidRPr="00EA30DD" w:rsidRDefault="00951BC3" w:rsidP="00EB5ABF">
            <w:pPr>
              <w:autoSpaceDE w:val="0"/>
              <w:autoSpaceDN w:val="0"/>
              <w:adjustRightInd w:val="0"/>
              <w:rPr>
                <w:rFonts w:ascii="Arial" w:hAnsi="Arial" w:cs="Arial"/>
                <w:color w:val="000000"/>
                <w:lang w:val="en-GB"/>
              </w:rPr>
            </w:pPr>
          </w:p>
        </w:tc>
      </w:tr>
      <w:tr w:rsidR="00951BC3" w:rsidRPr="00D3609D" w:rsidTr="00951BC3">
        <w:trPr>
          <w:trHeight w:val="82"/>
        </w:trPr>
        <w:tc>
          <w:tcPr>
            <w:tcW w:w="1531" w:type="dxa"/>
            <w:tcBorders>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Consultant </w:t>
            </w:r>
          </w:p>
        </w:tc>
        <w:tc>
          <w:tcPr>
            <w:tcW w:w="1531" w:type="dxa"/>
            <w:tcBorders>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50 </w:t>
            </w:r>
          </w:p>
        </w:tc>
        <w:tc>
          <w:tcPr>
            <w:tcW w:w="1531" w:type="dxa"/>
            <w:tcBorders>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 </w:t>
            </w:r>
          </w:p>
        </w:tc>
      </w:tr>
      <w:tr w:rsidR="00951BC3" w:rsidRPr="00D3609D" w:rsidTr="00951BC3">
        <w:trPr>
          <w:trHeight w:val="82"/>
        </w:trPr>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Junior Consultant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 xml:space="preserve">30 </w:t>
            </w:r>
          </w:p>
        </w:tc>
        <w:tc>
          <w:tcPr>
            <w:tcW w:w="1531" w:type="dxa"/>
            <w:tcBorders>
              <w:top w:val="single" w:sz="4" w:space="0" w:color="auto"/>
              <w:left w:val="single" w:sz="4" w:space="0" w:color="auto"/>
              <w:bottom w:val="single" w:sz="4" w:space="0" w:color="auto"/>
              <w:right w:val="single" w:sz="4" w:space="0" w:color="auto"/>
            </w:tcBorders>
          </w:tcPr>
          <w:p w:rsidR="00951BC3" w:rsidRPr="00D3609D" w:rsidRDefault="00951BC3" w:rsidP="00EB5ABF">
            <w:pPr>
              <w:autoSpaceDE w:val="0"/>
              <w:autoSpaceDN w:val="0"/>
              <w:adjustRightInd w:val="0"/>
              <w:rPr>
                <w:rFonts w:ascii="Arial" w:hAnsi="Arial" w:cs="Arial"/>
                <w:color w:val="000000"/>
                <w:lang w:val="en-GB"/>
              </w:rPr>
            </w:pPr>
            <w:r w:rsidRPr="00D3609D">
              <w:rPr>
                <w:rFonts w:ascii="Arial" w:hAnsi="Arial" w:cs="Arial"/>
                <w:color w:val="000000"/>
                <w:lang w:val="en-GB"/>
              </w:rPr>
              <w:t>£</w:t>
            </w:r>
            <w:bookmarkStart w:id="34" w:name="_GoBack"/>
            <w:bookmarkEnd w:id="34"/>
            <w:r w:rsidRPr="00D3609D">
              <w:rPr>
                <w:rFonts w:ascii="Arial" w:hAnsi="Arial" w:cs="Arial"/>
                <w:color w:val="000000"/>
                <w:lang w:val="en-GB"/>
              </w:rPr>
              <w:t xml:space="preserve"> </w:t>
            </w:r>
          </w:p>
        </w:tc>
      </w:tr>
    </w:tbl>
    <w:p w:rsidR="009308DB" w:rsidRPr="00EA30DD" w:rsidRDefault="009308DB" w:rsidP="009308DB">
      <w:pPr>
        <w:ind w:left="2880" w:firstLine="720"/>
        <w:rPr>
          <w:rFonts w:ascii="Arial" w:hAnsi="Arial" w:cs="Arial"/>
        </w:rPr>
      </w:pPr>
    </w:p>
    <w:p w:rsidR="009308DB" w:rsidRDefault="009308DB" w:rsidP="009308DB">
      <w:pPr>
        <w:spacing w:before="66" w:after="0" w:line="361" w:lineRule="exact"/>
        <w:ind w:left="1838" w:right="-20"/>
        <w:rPr>
          <w:rFonts w:ascii="Arial" w:eastAsia="Arial" w:hAnsi="Arial" w:cs="Arial"/>
          <w:sz w:val="32"/>
          <w:szCs w:val="32"/>
        </w:rPr>
      </w:pPr>
    </w:p>
    <w:p w:rsidR="00D17165" w:rsidRDefault="00D17165"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sectPr w:rsidR="0035280C" w:rsidSect="0012502F">
          <w:headerReference w:type="default" r:id="rId22"/>
          <w:pgSz w:w="11920" w:h="16860"/>
          <w:pgMar w:top="740" w:right="1000" w:bottom="280" w:left="1020" w:header="283" w:footer="283" w:gutter="0"/>
          <w:cols w:space="720"/>
          <w:docGrid w:linePitch="299"/>
        </w:sectPr>
      </w:pPr>
    </w:p>
    <w:p w:rsidR="00E5380D" w:rsidRPr="00E5380D" w:rsidRDefault="00E5380D" w:rsidP="00D17165">
      <w:pPr>
        <w:spacing w:before="52" w:after="0" w:line="240" w:lineRule="auto"/>
        <w:ind w:left="370" w:right="-20"/>
        <w:jc w:val="center"/>
        <w:rPr>
          <w:rFonts w:ascii="Arial" w:eastAsia="Arial" w:hAnsi="Arial" w:cs="Arial"/>
          <w:color w:val="808080" w:themeColor="background1" w:themeShade="80"/>
          <w:sz w:val="32"/>
          <w:szCs w:val="32"/>
        </w:rPr>
      </w:pPr>
    </w:p>
    <w:sectPr w:rsidR="00E5380D" w:rsidRPr="00E5380D" w:rsidSect="00D17165">
      <w:headerReference w:type="default" r:id="rId23"/>
      <w:footerReference w:type="default" r:id="rId24"/>
      <w:pgSz w:w="11920" w:h="16860"/>
      <w:pgMar w:top="700" w:right="760" w:bottom="280" w:left="76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536" w:rsidRDefault="00BE1536" w:rsidP="00710B11">
      <w:pPr>
        <w:spacing w:after="0" w:line="240" w:lineRule="auto"/>
      </w:pPr>
      <w:r>
        <w:separator/>
      </w:r>
    </w:p>
  </w:endnote>
  <w:endnote w:type="continuationSeparator" w:id="0">
    <w:p w:rsidR="00BE1536" w:rsidRDefault="00BE1536"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F4" w:rsidRDefault="00AA0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5D7" w:rsidRPr="00D104E0" w:rsidRDefault="00CB55D7" w:rsidP="0012502F">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sidR="00D17165">
      <w:rPr>
        <w:rStyle w:val="PageNumber"/>
        <w:rFonts w:ascii="Arial" w:hAnsi="Arial" w:cs="Arial"/>
        <w:noProof/>
      </w:rPr>
      <w:t>3</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sidR="00D17165">
      <w:rPr>
        <w:rStyle w:val="PageNumber"/>
        <w:rFonts w:ascii="Arial" w:hAnsi="Arial" w:cs="Arial"/>
        <w:noProof/>
      </w:rPr>
      <w:t>4</w:t>
    </w:r>
    <w:r w:rsidRPr="00D104E0">
      <w:rPr>
        <w:rStyle w:val="PageNumber"/>
        <w:rFonts w:ascii="Arial" w:hAnsi="Arial" w:cs="Arial"/>
      </w:rPr>
      <w:fldChar w:fldCharType="end"/>
    </w:r>
  </w:p>
  <w:p w:rsidR="00CB55D7" w:rsidRDefault="001E6409" w:rsidP="00CB55D7">
    <w:pPr>
      <w:pStyle w:val="Footer"/>
    </w:pPr>
    <w:r>
      <w:rPr>
        <w:rFonts w:ascii="Arial" w:hAnsi="Arial" w:cs="Arial"/>
      </w:rPr>
      <w:t>27</w:t>
    </w:r>
    <w:r w:rsidR="00D764DC" w:rsidRPr="00D764DC">
      <w:rPr>
        <w:rFonts w:ascii="Arial" w:hAnsi="Arial" w:cs="Arial"/>
      </w:rPr>
      <w:t xml:space="preserve"> February 2019</w:t>
    </w:r>
    <w:r w:rsidR="00CB55D7" w:rsidRPr="00D764DC">
      <w:rPr>
        <w:rFonts w:ascii="Arial" w:hAnsi="Arial" w:cs="Arial"/>
      </w:rPr>
      <w:t xml:space="preserve">              </w:t>
    </w:r>
    <w:r w:rsidR="00CB55D7">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F4" w:rsidRDefault="00AA05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5D7" w:rsidRPr="00D104E0" w:rsidRDefault="00CB55D7" w:rsidP="0012502F">
    <w:pPr>
      <w:pStyle w:val="Footer"/>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sidR="00D17165">
      <w:rPr>
        <w:rStyle w:val="PageNumber"/>
        <w:rFonts w:ascii="Arial" w:hAnsi="Arial" w:cs="Arial"/>
        <w:noProof/>
      </w:rPr>
      <w:t>4</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sidR="00D17165">
      <w:rPr>
        <w:rStyle w:val="PageNumber"/>
        <w:rFonts w:ascii="Arial" w:hAnsi="Arial" w:cs="Arial"/>
        <w:noProof/>
      </w:rPr>
      <w:t>4</w:t>
    </w:r>
    <w:r w:rsidRPr="00D104E0">
      <w:rPr>
        <w:rStyle w:val="PageNumber"/>
        <w:rFonts w:ascii="Arial" w:hAnsi="Arial" w:cs="Arial"/>
      </w:rPr>
      <w:fldChar w:fldCharType="end"/>
    </w:r>
  </w:p>
  <w:p w:rsidR="00CB55D7" w:rsidRDefault="00AA05F4" w:rsidP="00CB55D7">
    <w:pPr>
      <w:pStyle w:val="Footer"/>
    </w:pPr>
    <w:r>
      <w:rPr>
        <w:rFonts w:ascii="Arial" w:hAnsi="Arial" w:cs="Arial"/>
      </w:rPr>
      <w:t>27</w:t>
    </w:r>
    <w:r w:rsidR="00D764DC" w:rsidRPr="00D764DC">
      <w:rPr>
        <w:rFonts w:ascii="Arial" w:hAnsi="Arial" w:cs="Arial"/>
      </w:rPr>
      <w:t xml:space="preserve"> February</w:t>
    </w:r>
    <w:r w:rsidR="00CB55D7" w:rsidRPr="00D764DC">
      <w:rPr>
        <w:rFonts w:ascii="Arial" w:hAnsi="Arial" w:cs="Arial"/>
      </w:rPr>
      <w:t xml:space="preserve"> 2019_Final                 </w:t>
    </w:r>
    <w:r w:rsidR="00CB55D7">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536" w:rsidRDefault="00BE1536" w:rsidP="00710B11">
      <w:pPr>
        <w:spacing w:after="0" w:line="240" w:lineRule="auto"/>
      </w:pPr>
      <w:r>
        <w:separator/>
      </w:r>
    </w:p>
  </w:footnote>
  <w:footnote w:type="continuationSeparator" w:id="0">
    <w:p w:rsidR="00BE1536" w:rsidRDefault="00BE1536"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F4" w:rsidRDefault="00AA0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5D7" w:rsidRPr="0012502F" w:rsidRDefault="00CB55D7" w:rsidP="0012502F">
    <w:pPr>
      <w:tabs>
        <w:tab w:val="center" w:pos="4513"/>
        <w:tab w:val="right" w:pos="9026"/>
      </w:tabs>
      <w:spacing w:after="0"/>
      <w:rPr>
        <w:rFonts w:ascii="Arial" w:hAnsi="Arial" w:cs="Arial"/>
      </w:rPr>
    </w:pPr>
    <w:r w:rsidRPr="0012502F">
      <w:rPr>
        <w:rFonts w:ascii="Arial" w:hAnsi="Arial" w:cs="Arial"/>
      </w:rPr>
      <w:tab/>
      <w:t xml:space="preserve">              </w:t>
    </w:r>
    <w:r>
      <w:rPr>
        <w:rFonts w:ascii="Arial" w:hAnsi="Arial" w:cs="Arial"/>
      </w:rPr>
      <w:t xml:space="preserve">      </w:t>
    </w:r>
    <w:r w:rsidRPr="0012502F">
      <w:rPr>
        <w:rFonts w:ascii="Arial" w:hAnsi="Arial" w:cs="Arial"/>
      </w:rPr>
      <w:t>OFFICIAL-SENSITIVE COMMERCIAL</w:t>
    </w:r>
    <w:r w:rsidRPr="0012502F">
      <w:rPr>
        <w:rFonts w:ascii="Arial" w:hAnsi="Arial" w:cs="Arial"/>
      </w:rPr>
      <w:tab/>
    </w:r>
    <w:r w:rsidR="00AD53D8">
      <w:rPr>
        <w:rFonts w:ascii="Arial" w:hAnsi="Arial" w:cs="Arial"/>
      </w:rPr>
      <w:t xml:space="preserve">                                      </w:t>
    </w:r>
    <w:r w:rsidR="00CF1D55" w:rsidRPr="00CF1D55">
      <w:rPr>
        <w:rFonts w:ascii="Arial" w:hAnsi="Arial" w:cs="Arial"/>
      </w:rPr>
      <w:t>700003856</w:t>
    </w:r>
    <w:r w:rsidR="00AD53D8" w:rsidRPr="00CF1D55">
      <w:rPr>
        <w:rFonts w:ascii="Arial" w:hAnsi="Arial" w:cs="Arial"/>
      </w:rPr>
      <w:t xml:space="preserve"> </w:t>
    </w:r>
    <w:r w:rsidR="00AD53D8">
      <w:rPr>
        <w:rFonts w:ascii="Arial" w:hAnsi="Arial" w:cs="Arial"/>
        <w:color w:val="FF0000"/>
      </w:rPr>
      <w:t xml:space="preserve">                 </w:t>
    </w:r>
  </w:p>
  <w:p w:rsidR="00CB55D7" w:rsidRPr="0012502F" w:rsidRDefault="00CB55D7"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rsidR="00CB55D7" w:rsidRDefault="00CB5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5F4" w:rsidRDefault="00AA05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5D7" w:rsidRPr="0012502F" w:rsidRDefault="00CB55D7" w:rsidP="0012502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00AD53D8">
      <w:rPr>
        <w:rFonts w:ascii="Arial" w:hAnsi="Arial" w:cs="Arial"/>
      </w:rPr>
      <w:t xml:space="preserve"> </w:t>
    </w:r>
    <w:r w:rsidRPr="0012502F">
      <w:rPr>
        <w:rFonts w:ascii="Arial" w:hAnsi="Arial" w:cs="Arial"/>
      </w:rPr>
      <w:t xml:space="preserve">  </w:t>
    </w:r>
    <w:r w:rsidR="00AD53D8">
      <w:rPr>
        <w:rFonts w:ascii="Arial" w:hAnsi="Arial" w:cs="Arial"/>
      </w:rPr>
      <w:t xml:space="preserve">   </w:t>
    </w:r>
    <w:r w:rsidR="00D764DC" w:rsidRPr="00D764DC">
      <w:rPr>
        <w:rFonts w:ascii="Arial" w:hAnsi="Arial" w:cs="Arial"/>
      </w:rPr>
      <w:t>700003856</w:t>
    </w:r>
    <w:r w:rsidR="00AD53D8" w:rsidRPr="00D764DC">
      <w:rPr>
        <w:rFonts w:ascii="Arial" w:hAnsi="Arial" w:cs="Arial"/>
      </w:rPr>
      <w:t xml:space="preserve"> </w:t>
    </w:r>
    <w:r w:rsidR="00AD53D8">
      <w:rPr>
        <w:rFonts w:ascii="Arial" w:hAnsi="Arial" w:cs="Arial"/>
        <w:color w:val="FF0000"/>
      </w:rPr>
      <w:t xml:space="preserve">                  </w:t>
    </w:r>
  </w:p>
  <w:p w:rsidR="00CB55D7" w:rsidRPr="0012502F" w:rsidRDefault="00CB55D7"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rsidR="00CB55D7" w:rsidRDefault="00CB55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5D7" w:rsidRPr="0012502F" w:rsidRDefault="00CB55D7" w:rsidP="0012502F">
    <w:pPr>
      <w:tabs>
        <w:tab w:val="center" w:pos="4513"/>
        <w:tab w:val="right" w:pos="9026"/>
      </w:tabs>
      <w:spacing w:after="0"/>
      <w:rPr>
        <w:rFonts w:ascii="Arial" w:hAnsi="Arial" w:cs="Arial"/>
      </w:rPr>
    </w:pPr>
    <w:r>
      <w:rPr>
        <w:rFonts w:ascii="Arial" w:hAnsi="Arial" w:cs="Arial"/>
      </w:rPr>
      <w:tab/>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00AD53D8">
      <w:rPr>
        <w:rFonts w:ascii="Arial" w:hAnsi="Arial" w:cs="Arial"/>
      </w:rPr>
      <w:t xml:space="preserve"> </w:t>
    </w:r>
    <w:r w:rsidRPr="0012502F">
      <w:rPr>
        <w:rFonts w:ascii="Arial" w:hAnsi="Arial" w:cs="Arial"/>
      </w:rPr>
      <w:t xml:space="preserve">  </w:t>
    </w:r>
    <w:r w:rsidR="00AD53D8">
      <w:rPr>
        <w:rFonts w:ascii="Arial" w:hAnsi="Arial" w:cs="Arial"/>
      </w:rPr>
      <w:t xml:space="preserve">   </w:t>
    </w:r>
    <w:r w:rsidR="00D764DC" w:rsidRPr="00D764DC">
      <w:rPr>
        <w:rFonts w:ascii="Arial" w:hAnsi="Arial" w:cs="Arial"/>
      </w:rPr>
      <w:t>700003856</w:t>
    </w:r>
    <w:r w:rsidR="00AD53D8" w:rsidRPr="00D764DC">
      <w:rPr>
        <w:rFonts w:ascii="Arial" w:hAnsi="Arial" w:cs="Arial"/>
      </w:rPr>
      <w:t xml:space="preserve">  </w:t>
    </w:r>
    <w:r w:rsidR="00AD53D8">
      <w:rPr>
        <w:rFonts w:ascii="Arial" w:hAnsi="Arial" w:cs="Arial"/>
        <w:color w:val="FF0000"/>
      </w:rPr>
      <w:t xml:space="preserve">                </w:t>
    </w:r>
  </w:p>
  <w:p w:rsidR="00CB55D7" w:rsidRPr="0012502F" w:rsidRDefault="00CB55D7" w:rsidP="0012502F">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As at Contract Commencement </w:t>
    </w:r>
  </w:p>
  <w:p w:rsidR="00CB55D7" w:rsidRDefault="00CB55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1F22"/>
    <w:multiLevelType w:val="hybridMultilevel"/>
    <w:tmpl w:val="B4747E64"/>
    <w:lvl w:ilvl="0" w:tplc="08090013">
      <w:start w:val="1"/>
      <w:numFmt w:val="upperRoman"/>
      <w:lvlText w:val="%1."/>
      <w:lvlJc w:val="right"/>
      <w:pPr>
        <w:tabs>
          <w:tab w:val="num" w:pos="1440"/>
        </w:tabs>
        <w:ind w:left="1440" w:hanging="360"/>
      </w:pPr>
    </w:lvl>
    <w:lvl w:ilvl="1" w:tplc="08090001">
      <w:start w:val="1"/>
      <w:numFmt w:val="bullet"/>
      <w:lvlText w:val=""/>
      <w:lvlJc w:val="left"/>
      <w:pPr>
        <w:ind w:left="1440" w:hanging="360"/>
      </w:pPr>
      <w:rPr>
        <w:rFonts w:ascii="Symbol" w:hAnsi="Symbol" w:hint="default"/>
      </w:rPr>
    </w:lvl>
    <w:lvl w:ilvl="2" w:tplc="6514417C">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EB83D1B"/>
    <w:multiLevelType w:val="hybridMultilevel"/>
    <w:tmpl w:val="05D4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F0487"/>
    <w:multiLevelType w:val="hybridMultilevel"/>
    <w:tmpl w:val="A5CE392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AD49F8"/>
    <w:multiLevelType w:val="hybridMultilevel"/>
    <w:tmpl w:val="E10E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77E2C7A"/>
    <w:multiLevelType w:val="hybridMultilevel"/>
    <w:tmpl w:val="F75C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51200365"/>
    <w:multiLevelType w:val="multilevel"/>
    <w:tmpl w:val="7CEAC06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DC7C69"/>
    <w:multiLevelType w:val="hybridMultilevel"/>
    <w:tmpl w:val="58B0D26C"/>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3"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07B7271"/>
    <w:multiLevelType w:val="hybridMultilevel"/>
    <w:tmpl w:val="69B80E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6" w15:restartNumberingAfterBreak="0">
    <w:nsid w:val="7CC15053"/>
    <w:multiLevelType w:val="hybridMultilevel"/>
    <w:tmpl w:val="A836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C2F37"/>
    <w:multiLevelType w:val="hybridMultilevel"/>
    <w:tmpl w:val="00B4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6"/>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2"/>
    </w:lvlOverride>
    <w:lvlOverride w:ilvl="1">
      <w:startOverride w:val="2"/>
    </w:lvlOverride>
  </w:num>
  <w:num w:numId="14">
    <w:abstractNumId w:val="11"/>
  </w:num>
  <w:num w:numId="15">
    <w:abstractNumId w:val="0"/>
  </w:num>
  <w:num w:numId="16">
    <w:abstractNumId w:val="14"/>
  </w:num>
  <w:num w:numId="17">
    <w:abstractNumId w:val="16"/>
  </w:num>
  <w:num w:numId="18">
    <w:abstractNumId w:val="2"/>
  </w:num>
  <w:num w:numId="19">
    <w:abstractNumId w:val="3"/>
  </w:num>
  <w:num w:numId="20">
    <w:abstractNumId w:val="17"/>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D596D"/>
    <w:rsid w:val="000F2997"/>
    <w:rsid w:val="000F4186"/>
    <w:rsid w:val="00114869"/>
    <w:rsid w:val="0012502F"/>
    <w:rsid w:val="00131B7A"/>
    <w:rsid w:val="001E6409"/>
    <w:rsid w:val="00286EA8"/>
    <w:rsid w:val="002D1080"/>
    <w:rsid w:val="00312F49"/>
    <w:rsid w:val="0035280C"/>
    <w:rsid w:val="00363D8D"/>
    <w:rsid w:val="00365D01"/>
    <w:rsid w:val="003779B7"/>
    <w:rsid w:val="00387F12"/>
    <w:rsid w:val="004562D3"/>
    <w:rsid w:val="00481275"/>
    <w:rsid w:val="004B2777"/>
    <w:rsid w:val="004E5EBE"/>
    <w:rsid w:val="005357F2"/>
    <w:rsid w:val="005A2EAA"/>
    <w:rsid w:val="00623ECA"/>
    <w:rsid w:val="00640172"/>
    <w:rsid w:val="006470D5"/>
    <w:rsid w:val="00656E75"/>
    <w:rsid w:val="00710B11"/>
    <w:rsid w:val="007A1EDA"/>
    <w:rsid w:val="007C7949"/>
    <w:rsid w:val="008A4170"/>
    <w:rsid w:val="009308DB"/>
    <w:rsid w:val="00951BC3"/>
    <w:rsid w:val="0096048F"/>
    <w:rsid w:val="009730BC"/>
    <w:rsid w:val="00A62A0D"/>
    <w:rsid w:val="00A82A7C"/>
    <w:rsid w:val="00AA05F4"/>
    <w:rsid w:val="00AB7E21"/>
    <w:rsid w:val="00AC1066"/>
    <w:rsid w:val="00AD4EE5"/>
    <w:rsid w:val="00AD53D8"/>
    <w:rsid w:val="00B31208"/>
    <w:rsid w:val="00B66C9E"/>
    <w:rsid w:val="00BB2602"/>
    <w:rsid w:val="00BB7695"/>
    <w:rsid w:val="00BE1536"/>
    <w:rsid w:val="00C91EAF"/>
    <w:rsid w:val="00CB55D7"/>
    <w:rsid w:val="00CD3205"/>
    <w:rsid w:val="00CE38FC"/>
    <w:rsid w:val="00CF1D55"/>
    <w:rsid w:val="00CF30C8"/>
    <w:rsid w:val="00D17165"/>
    <w:rsid w:val="00D523E8"/>
    <w:rsid w:val="00D764DC"/>
    <w:rsid w:val="00E5380D"/>
    <w:rsid w:val="00ED0DC0"/>
    <w:rsid w:val="00F22DCC"/>
    <w:rsid w:val="00FA4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4F9DB"/>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
    <w:basedOn w:val="Normal"/>
    <w:next w:val="Normal"/>
    <w:link w:val="Heading7Char"/>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
    <w:basedOn w:val="Normal"/>
    <w:next w:val="Normal"/>
    <w:link w:val="Heading8Char"/>
    <w:uiPriority w:val="99"/>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
    <w:basedOn w:val="Normal"/>
    <w:next w:val="Normal"/>
    <w:link w:val="Heading9Char"/>
    <w:uiPriority w:val="99"/>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aliases w:val="Heading 8 (Do Not Use) Char,Legal Level 1.1.1. Char,Lev 8 Char,h8 DO NOT USE Char,PA Appendix Minor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paragraph" w:styleId="TOC1">
    <w:name w:val="toc 1"/>
    <w:uiPriority w:val="39"/>
    <w:rsid w:val="009308DB"/>
    <w:pPr>
      <w:widowControl/>
      <w:tabs>
        <w:tab w:val="left" w:pos="720"/>
        <w:tab w:val="right" w:leader="dot" w:pos="9029"/>
      </w:tabs>
      <w:adjustRightInd w:val="0"/>
      <w:spacing w:after="120" w:line="240" w:lineRule="auto"/>
      <w:ind w:left="720" w:hanging="720"/>
    </w:pPr>
    <w:rPr>
      <w:rFonts w:ascii="Arial" w:eastAsia="STZhongsong" w:hAnsi="Arial" w:cs="Times New Roman"/>
      <w:caps/>
      <w:szCs w:val="20"/>
      <w:lang w:val="en-GB" w:eastAsia="zh-CN"/>
    </w:rPr>
  </w:style>
  <w:style w:type="paragraph" w:customStyle="1" w:styleId="bodystrongcentred">
    <w:name w:val="body strong centred"/>
    <w:basedOn w:val="Normal"/>
    <w:rsid w:val="009308DB"/>
    <w:pPr>
      <w:widowControl/>
      <w:spacing w:after="0" w:line="240" w:lineRule="auto"/>
      <w:jc w:val="center"/>
    </w:pPr>
    <w:rPr>
      <w:rFonts w:ascii="Arial" w:eastAsia="SimSun" w:hAnsi="Arial" w:cs="Times New Roman"/>
      <w:b/>
      <w:lang w:val="en-GB" w:eastAsia="en-GB"/>
    </w:rPr>
  </w:style>
  <w:style w:type="table" w:styleId="TableGrid">
    <w:name w:val="Table Grid"/>
    <w:basedOn w:val="TableNormal"/>
    <w:uiPriority w:val="59"/>
    <w:rsid w:val="009308DB"/>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579948868">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82866644">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5070933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576435268">
      <w:bodyDiv w:val="1"/>
      <w:marLeft w:val="0"/>
      <w:marRight w:val="0"/>
      <w:marTop w:val="0"/>
      <w:marBottom w:val="0"/>
      <w:divBdr>
        <w:top w:val="none" w:sz="0" w:space="0" w:color="auto"/>
        <w:left w:val="none" w:sz="0" w:space="0" w:color="auto"/>
        <w:bottom w:val="none" w:sz="0" w:space="0" w:color="auto"/>
        <w:right w:val="none" w:sz="0" w:space="0" w:color="auto"/>
      </w:divBdr>
    </w:div>
    <w:div w:id="1654337659">
      <w:bodyDiv w:val="1"/>
      <w:marLeft w:val="0"/>
      <w:marRight w:val="0"/>
      <w:marTop w:val="0"/>
      <w:marBottom w:val="0"/>
      <w:divBdr>
        <w:top w:val="none" w:sz="0" w:space="0" w:color="auto"/>
        <w:left w:val="none" w:sz="0" w:space="0" w:color="auto"/>
        <w:bottom w:val="none" w:sz="0" w:space="0" w:color="auto"/>
        <w:right w:val="none" w:sz="0" w:space="0" w:color="auto"/>
      </w:divBdr>
    </w:div>
    <w:div w:id="181522024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11902651">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5.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7.xml><?xml version="1.0" encoding="utf-8"?>
<?mso-contentType ?>
<PolicyDirtyBag xmlns="microsoft.office.server.policy.changes">
  <Microsoft.Office.RecordsManagement.PolicyFeatures.Expiration op="Change"/>
</PolicyDirtyBag>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3.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4.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5.xml><?xml version="1.0" encoding="utf-8"?>
<ds:datastoreItem xmlns:ds="http://schemas.openxmlformats.org/officeDocument/2006/customXml" ds:itemID="{4F0E8780-047C-4552-8661-66ACFAADEBC1}">
  <ds:schemaRefs>
    <ds:schemaRef ds:uri="office.server.policy"/>
  </ds:schemaRefs>
</ds:datastoreItem>
</file>

<file path=customXml/itemProps6.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7.xml><?xml version="1.0" encoding="utf-8"?>
<ds:datastoreItem xmlns:ds="http://schemas.openxmlformats.org/officeDocument/2006/customXml" ds:itemID="{A2F748CF-ED0D-46FD-B185-118C89891E52}">
  <ds:schemaRefs>
    <ds:schemaRef ds:uri="microsoft.office.server.policy.changes"/>
  </ds:schemaRefs>
</ds:datastoreItem>
</file>

<file path=customXml/itemProps8.xml><?xml version="1.0" encoding="utf-8"?>
<ds:datastoreItem xmlns:ds="http://schemas.openxmlformats.org/officeDocument/2006/customXml" ds:itemID="{FFB95B4A-99AA-4E2E-BF40-6350CBBA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Teggart, Helen D (Navy Comrcl-Sourcing 8)</cp:lastModifiedBy>
  <cp:revision>3</cp:revision>
  <cp:lastPrinted>2018-05-31T17:43:00Z</cp:lastPrinted>
  <dcterms:created xsi:type="dcterms:W3CDTF">2019-03-01T12:03:00Z</dcterms:created>
  <dcterms:modified xsi:type="dcterms:W3CDTF">2019-03-01T12:09:00Z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