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16" w:rsidRDefault="00795916" w:rsidP="00E56125">
      <w:pPr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COMMUNAL ENTRANCE DOORSETS AND ASSOCIATED PRODUCTS</w:t>
      </w:r>
      <w:r w:rsidR="00EB71A5">
        <w:rPr>
          <w:rFonts w:ascii="Arial" w:hAnsi="Arial" w:cs="Arial"/>
          <w:b/>
        </w:rPr>
        <w:t xml:space="preserve"> – CED1</w:t>
      </w:r>
    </w:p>
    <w:p w:rsidR="00FC210C" w:rsidRPr="00C82188" w:rsidRDefault="00795916" w:rsidP="00E56125">
      <w:pPr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SCOPE OF THE FRAMEWORK</w:t>
      </w:r>
      <w:r w:rsidR="008058F7">
        <w:rPr>
          <w:rFonts w:ascii="Arial" w:hAnsi="Arial" w:cs="Arial"/>
          <w:b/>
        </w:rPr>
        <w:t xml:space="preserve"> </w:t>
      </w:r>
    </w:p>
    <w:p w:rsidR="00795916" w:rsidRDefault="001738E0" w:rsidP="00795916">
      <w:pPr>
        <w:spacing w:before="120" w:after="120"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This LHC framework is for the</w:t>
      </w:r>
      <w:r w:rsidR="00C82188" w:rsidRPr="001818EC">
        <w:rPr>
          <w:rFonts w:ascii="Arial" w:hAnsi="Arial" w:cs="Arial"/>
          <w:sz w:val="22"/>
          <w:szCs w:val="22"/>
          <w:lang w:val="en-US"/>
        </w:rPr>
        <w:t xml:space="preserve"> </w:t>
      </w:r>
      <w:r w:rsidR="00795916">
        <w:rPr>
          <w:rFonts w:ascii="Arial" w:hAnsi="Arial" w:cs="Arial"/>
          <w:sz w:val="22"/>
          <w:szCs w:val="22"/>
          <w:lang w:val="en-US"/>
        </w:rPr>
        <w:t xml:space="preserve">specialist </w:t>
      </w:r>
      <w:r w:rsidR="00C82188" w:rsidRPr="001818EC">
        <w:rPr>
          <w:rFonts w:ascii="Arial" w:hAnsi="Arial" w:cs="Arial"/>
          <w:sz w:val="22"/>
          <w:szCs w:val="22"/>
          <w:lang w:val="en-US"/>
        </w:rPr>
        <w:t xml:space="preserve">design, </w:t>
      </w:r>
      <w:r w:rsidR="00C82188">
        <w:rPr>
          <w:rFonts w:ascii="Arial" w:hAnsi="Arial" w:cs="Arial"/>
          <w:sz w:val="22"/>
          <w:szCs w:val="22"/>
          <w:lang w:val="en-US"/>
        </w:rPr>
        <w:t xml:space="preserve">manufacture, </w:t>
      </w:r>
      <w:r w:rsidR="00C82188" w:rsidRPr="001818EC">
        <w:rPr>
          <w:rFonts w:ascii="Arial" w:hAnsi="Arial" w:cs="Arial"/>
          <w:sz w:val="22"/>
          <w:szCs w:val="22"/>
          <w:lang w:val="en-US"/>
        </w:rPr>
        <w:t xml:space="preserve">supply and installation of </w:t>
      </w:r>
      <w:r w:rsidR="005A7FA8">
        <w:rPr>
          <w:rFonts w:ascii="Arial" w:hAnsi="Arial" w:cs="Arial"/>
          <w:sz w:val="22"/>
          <w:szCs w:val="22"/>
          <w:lang w:val="en-US"/>
        </w:rPr>
        <w:t xml:space="preserve">enhanced security </w:t>
      </w:r>
      <w:r w:rsidR="00C82188" w:rsidRPr="00BF1F36">
        <w:rPr>
          <w:rFonts w:ascii="Arial" w:hAnsi="Arial" w:cs="Arial"/>
          <w:sz w:val="22"/>
          <w:szCs w:val="22"/>
          <w:lang w:val="en-US"/>
        </w:rPr>
        <w:t xml:space="preserve">communal </w:t>
      </w:r>
      <w:r w:rsidR="00C82188" w:rsidRPr="00292A8C">
        <w:rPr>
          <w:rFonts w:ascii="Arial" w:hAnsi="Arial" w:cs="Arial"/>
          <w:sz w:val="22"/>
          <w:szCs w:val="22"/>
        </w:rPr>
        <w:t xml:space="preserve">entrance doorsets </w:t>
      </w:r>
      <w:r w:rsidR="00795916">
        <w:rPr>
          <w:rFonts w:ascii="Arial" w:hAnsi="Arial" w:cs="Arial"/>
          <w:sz w:val="22"/>
          <w:szCs w:val="22"/>
        </w:rPr>
        <w:t xml:space="preserve">operated by </w:t>
      </w:r>
      <w:r w:rsidR="00795916">
        <w:rPr>
          <w:rFonts w:ascii="Arial" w:hAnsi="Arial" w:cs="Arial"/>
          <w:sz w:val="22"/>
          <w:szCs w:val="22"/>
          <w:lang w:val="en-US"/>
        </w:rPr>
        <w:t xml:space="preserve">a compatible </w:t>
      </w:r>
      <w:r w:rsidR="0080021D">
        <w:rPr>
          <w:rFonts w:ascii="Arial" w:hAnsi="Arial" w:cs="Arial"/>
          <w:sz w:val="22"/>
          <w:szCs w:val="22"/>
          <w:lang w:val="en-US"/>
        </w:rPr>
        <w:t xml:space="preserve">door entry </w:t>
      </w:r>
      <w:r w:rsidR="00795916">
        <w:rPr>
          <w:rFonts w:ascii="Arial" w:hAnsi="Arial" w:cs="Arial"/>
          <w:sz w:val="22"/>
          <w:szCs w:val="22"/>
          <w:lang w:val="en-US"/>
        </w:rPr>
        <w:t>electronic access control system.</w:t>
      </w:r>
    </w:p>
    <w:p w:rsidR="00860EA9" w:rsidRPr="00A4771E" w:rsidRDefault="00860EA9" w:rsidP="00E56125">
      <w:pPr>
        <w:spacing w:before="120" w:after="120" w:line="276" w:lineRule="auto"/>
        <w:rPr>
          <w:rFonts w:ascii="Arial" w:hAnsi="Arial" w:cs="Arial"/>
          <w:sz w:val="22"/>
          <w:szCs w:val="22"/>
          <w:lang w:val="en-US"/>
        </w:rPr>
      </w:pPr>
      <w:r w:rsidRPr="00A4771E">
        <w:rPr>
          <w:rFonts w:ascii="Arial" w:hAnsi="Arial" w:cs="Arial"/>
          <w:sz w:val="22"/>
          <w:szCs w:val="22"/>
          <w:lang w:val="en-US"/>
        </w:rPr>
        <w:t>It has been developed in associat</w:t>
      </w:r>
      <w:r w:rsidR="00BA375B">
        <w:rPr>
          <w:rFonts w:ascii="Arial" w:hAnsi="Arial" w:cs="Arial"/>
          <w:sz w:val="22"/>
          <w:szCs w:val="22"/>
          <w:lang w:val="en-US"/>
        </w:rPr>
        <w:t>ion with Secured by Design. A</w:t>
      </w:r>
      <w:r w:rsidRPr="00A4771E">
        <w:rPr>
          <w:rFonts w:ascii="Arial" w:hAnsi="Arial" w:cs="Arial"/>
          <w:sz w:val="22"/>
          <w:szCs w:val="22"/>
          <w:lang w:val="en-US"/>
        </w:rPr>
        <w:t xml:space="preserve">ccess to the organization’s </w:t>
      </w:r>
      <w:r w:rsidR="002611AE" w:rsidRPr="00A4771E">
        <w:rPr>
          <w:rFonts w:ascii="Arial" w:hAnsi="Arial" w:cs="Arial"/>
          <w:sz w:val="22"/>
          <w:szCs w:val="22"/>
          <w:lang w:val="en-US"/>
        </w:rPr>
        <w:t xml:space="preserve">design criteria and advice reflecting </w:t>
      </w:r>
      <w:r w:rsidRPr="00A4771E">
        <w:rPr>
          <w:rFonts w:ascii="Arial" w:hAnsi="Arial" w:cs="Arial"/>
          <w:sz w:val="22"/>
          <w:szCs w:val="22"/>
          <w:lang w:val="en-US"/>
        </w:rPr>
        <w:t>cri</w:t>
      </w:r>
      <w:r w:rsidR="00077061">
        <w:rPr>
          <w:rFonts w:ascii="Arial" w:hAnsi="Arial" w:cs="Arial"/>
          <w:sz w:val="22"/>
          <w:szCs w:val="22"/>
          <w:lang w:val="en-US"/>
        </w:rPr>
        <w:t>me and environmental statistics</w:t>
      </w:r>
      <w:r w:rsidRPr="00A4771E">
        <w:rPr>
          <w:rFonts w:ascii="Arial" w:hAnsi="Arial" w:cs="Arial"/>
          <w:sz w:val="22"/>
          <w:szCs w:val="22"/>
          <w:lang w:val="en-US"/>
        </w:rPr>
        <w:t xml:space="preserve"> forms a significant part of the design brief. Therefore, SBD accreditation is considered </w:t>
      </w:r>
      <w:r w:rsidR="00095D1C" w:rsidRPr="00A4771E">
        <w:rPr>
          <w:rFonts w:ascii="Arial" w:hAnsi="Arial" w:cs="Arial"/>
          <w:sz w:val="22"/>
          <w:szCs w:val="22"/>
          <w:lang w:val="en-US"/>
        </w:rPr>
        <w:t>a</w:t>
      </w:r>
      <w:r w:rsidR="00705794" w:rsidRPr="00A4771E">
        <w:rPr>
          <w:rFonts w:ascii="Arial" w:hAnsi="Arial" w:cs="Arial"/>
          <w:sz w:val="22"/>
          <w:szCs w:val="22"/>
          <w:lang w:val="en-US"/>
        </w:rPr>
        <w:t xml:space="preserve"> requirement </w:t>
      </w:r>
      <w:r w:rsidRPr="00A4771E">
        <w:rPr>
          <w:rFonts w:ascii="Arial" w:hAnsi="Arial" w:cs="Arial"/>
          <w:sz w:val="22"/>
          <w:szCs w:val="22"/>
          <w:lang w:val="en-US"/>
        </w:rPr>
        <w:t>essential to this framework.</w:t>
      </w:r>
    </w:p>
    <w:p w:rsidR="001738E0" w:rsidRPr="00292A8C" w:rsidRDefault="00357855" w:rsidP="002B018D">
      <w:pPr>
        <w:spacing w:before="120" w:after="120" w:line="276" w:lineRule="auto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Products</w:t>
      </w:r>
      <w:r w:rsidR="000770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1738E0" w:rsidRPr="00292A8C">
        <w:rPr>
          <w:rFonts w:ascii="Arial" w:hAnsi="Arial" w:cs="Arial"/>
          <w:bCs/>
          <w:sz w:val="22"/>
          <w:szCs w:val="22"/>
          <w:lang w:val="en-US"/>
        </w:rPr>
        <w:t>to be offered under this arrangement would mainly c</w:t>
      </w:r>
      <w:r w:rsidR="002B018D">
        <w:rPr>
          <w:rFonts w:ascii="Arial" w:hAnsi="Arial" w:cs="Arial"/>
          <w:bCs/>
          <w:sz w:val="22"/>
          <w:szCs w:val="22"/>
          <w:lang w:val="en-US"/>
        </w:rPr>
        <w:t xml:space="preserve">omprise communal entrance doorsets providing </w:t>
      </w:r>
      <w:r w:rsidR="00E86D5C">
        <w:rPr>
          <w:rFonts w:ascii="Arial" w:hAnsi="Arial" w:cs="Arial"/>
          <w:bCs/>
          <w:sz w:val="22"/>
          <w:szCs w:val="22"/>
          <w:lang w:val="en-US"/>
        </w:rPr>
        <w:t xml:space="preserve">secure </w:t>
      </w:r>
      <w:r w:rsidR="002B018D">
        <w:rPr>
          <w:rFonts w:ascii="Arial" w:hAnsi="Arial" w:cs="Arial"/>
          <w:bCs/>
          <w:sz w:val="22"/>
          <w:szCs w:val="22"/>
          <w:lang w:val="en-US"/>
        </w:rPr>
        <w:t>access</w:t>
      </w:r>
      <w:r w:rsidR="00E86D5C">
        <w:rPr>
          <w:rFonts w:ascii="Arial" w:hAnsi="Arial" w:cs="Arial"/>
          <w:bCs/>
          <w:sz w:val="22"/>
          <w:szCs w:val="22"/>
          <w:lang w:val="en-US"/>
        </w:rPr>
        <w:t xml:space="preserve"> to and from:</w:t>
      </w:r>
      <w:r w:rsidR="002B018D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:rsidR="002B018D" w:rsidRDefault="00EB71A5" w:rsidP="00E56125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153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The main entrance to </w:t>
      </w:r>
      <w:r w:rsidR="001738E0" w:rsidRPr="005A7FA8">
        <w:rPr>
          <w:rFonts w:ascii="Arial" w:hAnsi="Arial" w:cs="Arial"/>
          <w:bCs/>
          <w:sz w:val="22"/>
          <w:szCs w:val="22"/>
          <w:lang w:val="en-US"/>
        </w:rPr>
        <w:t>buildings containing multiple dwellings</w:t>
      </w:r>
      <w:r w:rsidR="00E86D5C">
        <w:rPr>
          <w:rFonts w:ascii="Arial" w:hAnsi="Arial" w:cs="Arial"/>
          <w:bCs/>
          <w:sz w:val="22"/>
          <w:szCs w:val="22"/>
          <w:lang w:val="en-US"/>
        </w:rPr>
        <w:t xml:space="preserve"> – e.</w:t>
      </w:r>
      <w:r>
        <w:rPr>
          <w:rFonts w:ascii="Arial" w:hAnsi="Arial" w:cs="Arial"/>
          <w:bCs/>
          <w:sz w:val="22"/>
          <w:szCs w:val="22"/>
          <w:lang w:val="en-US"/>
        </w:rPr>
        <w:t>g. flats or apartments</w:t>
      </w:r>
    </w:p>
    <w:p w:rsidR="002B018D" w:rsidRDefault="00E86D5C" w:rsidP="00635863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153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A</w:t>
      </w:r>
      <w:r w:rsidR="002B018D" w:rsidRPr="002B018D">
        <w:rPr>
          <w:rFonts w:ascii="Arial" w:hAnsi="Arial" w:cs="Arial"/>
          <w:bCs/>
          <w:sz w:val="22"/>
          <w:szCs w:val="22"/>
          <w:lang w:val="en-US"/>
        </w:rPr>
        <w:t xml:space="preserve"> secondary entrance area – e.g. entrance </w:t>
      </w:r>
      <w:r w:rsidR="002B018D">
        <w:rPr>
          <w:rFonts w:ascii="Arial" w:hAnsi="Arial" w:cs="Arial"/>
          <w:bCs/>
          <w:sz w:val="22"/>
          <w:szCs w:val="22"/>
          <w:lang w:val="en-US"/>
        </w:rPr>
        <w:t>lobby</w:t>
      </w:r>
    </w:p>
    <w:p w:rsidR="001738E0" w:rsidRPr="002B018D" w:rsidRDefault="00E86D5C" w:rsidP="00635863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153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A</w:t>
      </w:r>
      <w:r w:rsidR="001738E0" w:rsidRPr="002B018D">
        <w:rPr>
          <w:rFonts w:ascii="Arial" w:hAnsi="Arial" w:cs="Arial"/>
          <w:bCs/>
          <w:sz w:val="22"/>
          <w:szCs w:val="22"/>
          <w:lang w:val="en-US"/>
        </w:rPr>
        <w:t xml:space="preserve">n internal access </w:t>
      </w:r>
      <w:r w:rsidR="00FD240C">
        <w:rPr>
          <w:rFonts w:ascii="Arial" w:hAnsi="Arial" w:cs="Arial"/>
          <w:bCs/>
          <w:sz w:val="22"/>
          <w:szCs w:val="22"/>
          <w:lang w:val="en-US"/>
        </w:rPr>
        <w:t>floor space – e.g. protected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corridor</w:t>
      </w:r>
      <w:r w:rsidR="00FD240C">
        <w:rPr>
          <w:rFonts w:ascii="Arial" w:hAnsi="Arial" w:cs="Arial"/>
          <w:bCs/>
          <w:sz w:val="22"/>
          <w:szCs w:val="22"/>
          <w:lang w:val="en-US"/>
        </w:rPr>
        <w:t xml:space="preserve">  </w:t>
      </w:r>
    </w:p>
    <w:p w:rsidR="003E1E1A" w:rsidRPr="00357855" w:rsidRDefault="005A7FA8" w:rsidP="00357855">
      <w:pPr>
        <w:tabs>
          <w:tab w:val="left" w:pos="1134"/>
        </w:tabs>
        <w:spacing w:before="120" w:line="276" w:lineRule="auto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The performance and enhanced security accreditation specification requirements shall be as follows:</w:t>
      </w:r>
    </w:p>
    <w:p w:rsidR="008651D3" w:rsidRPr="00357855" w:rsidRDefault="00CF551C" w:rsidP="00EB71A5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1530"/>
        <w:rPr>
          <w:rFonts w:ascii="Arial" w:hAnsi="Arial" w:cs="Arial"/>
          <w:bCs/>
          <w:sz w:val="22"/>
          <w:szCs w:val="22"/>
          <w:lang w:val="en-US"/>
        </w:rPr>
      </w:pPr>
      <w:r w:rsidRPr="00357855">
        <w:rPr>
          <w:rFonts w:ascii="Arial" w:hAnsi="Arial" w:cs="Arial"/>
          <w:bCs/>
          <w:sz w:val="22"/>
          <w:szCs w:val="22"/>
          <w:lang w:val="en-US"/>
        </w:rPr>
        <w:t>Third party c</w:t>
      </w:r>
      <w:r w:rsidR="00095D1C" w:rsidRPr="00357855">
        <w:rPr>
          <w:rFonts w:ascii="Arial" w:hAnsi="Arial" w:cs="Arial"/>
          <w:bCs/>
          <w:sz w:val="22"/>
          <w:szCs w:val="22"/>
          <w:lang w:val="en-US"/>
        </w:rPr>
        <w:t>ertification</w:t>
      </w:r>
      <w:r w:rsidR="005A7FA8" w:rsidRPr="00357855">
        <w:rPr>
          <w:rFonts w:ascii="Arial" w:hAnsi="Arial" w:cs="Arial"/>
          <w:bCs/>
          <w:sz w:val="22"/>
          <w:szCs w:val="22"/>
          <w:lang w:val="en-US"/>
        </w:rPr>
        <w:t xml:space="preserve"> to </w:t>
      </w:r>
      <w:r w:rsidR="001738E0" w:rsidRPr="00357855">
        <w:rPr>
          <w:rFonts w:ascii="Arial" w:hAnsi="Arial" w:cs="Arial"/>
          <w:bCs/>
          <w:sz w:val="22"/>
          <w:szCs w:val="22"/>
          <w:lang w:val="en-US"/>
        </w:rPr>
        <w:t xml:space="preserve">PAS 24 </w:t>
      </w:r>
    </w:p>
    <w:p w:rsidR="001738E0" w:rsidRPr="00357855" w:rsidRDefault="00095D1C" w:rsidP="00E56125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1530"/>
        <w:rPr>
          <w:rFonts w:ascii="Arial" w:hAnsi="Arial" w:cs="Arial"/>
          <w:bCs/>
          <w:sz w:val="22"/>
          <w:szCs w:val="22"/>
          <w:lang w:val="en-US"/>
        </w:rPr>
      </w:pPr>
      <w:r w:rsidRPr="00357855">
        <w:rPr>
          <w:rFonts w:ascii="Arial" w:hAnsi="Arial" w:cs="Arial"/>
          <w:bCs/>
          <w:sz w:val="22"/>
          <w:szCs w:val="22"/>
          <w:lang w:val="en-US"/>
        </w:rPr>
        <w:t>Certification</w:t>
      </w:r>
      <w:r w:rsidR="008651D3" w:rsidRPr="00357855">
        <w:rPr>
          <w:rFonts w:ascii="Arial" w:hAnsi="Arial" w:cs="Arial"/>
          <w:bCs/>
          <w:sz w:val="22"/>
          <w:szCs w:val="22"/>
          <w:lang w:val="en-US"/>
        </w:rPr>
        <w:t xml:space="preserve"> to </w:t>
      </w:r>
      <w:r w:rsidR="001738E0" w:rsidRPr="00357855">
        <w:rPr>
          <w:rFonts w:ascii="Arial" w:hAnsi="Arial" w:cs="Arial"/>
          <w:bCs/>
          <w:sz w:val="22"/>
          <w:szCs w:val="22"/>
          <w:lang w:val="en-US"/>
        </w:rPr>
        <w:t xml:space="preserve">STS 202 Burglary Rating 2 (minimum) </w:t>
      </w:r>
      <w:r w:rsidR="001738E0" w:rsidRPr="00357855">
        <w:rPr>
          <w:rFonts w:ascii="Arial" w:hAnsi="Arial" w:cs="Arial"/>
          <w:bCs/>
          <w:i/>
          <w:sz w:val="22"/>
          <w:szCs w:val="22"/>
          <w:u w:val="single"/>
          <w:lang w:val="en-US"/>
        </w:rPr>
        <w:t>or</w:t>
      </w:r>
      <w:r w:rsidR="001738E0" w:rsidRPr="00357855">
        <w:rPr>
          <w:rFonts w:ascii="Arial" w:hAnsi="Arial" w:cs="Arial"/>
          <w:bCs/>
          <w:sz w:val="22"/>
          <w:szCs w:val="22"/>
          <w:lang w:val="en-US"/>
        </w:rPr>
        <w:t xml:space="preserve"> LPS 1175 Security Rating 2 (minimum)  </w:t>
      </w:r>
    </w:p>
    <w:p w:rsidR="009425CA" w:rsidRPr="00795916" w:rsidRDefault="009425CA" w:rsidP="005A7FA8">
      <w:p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357855">
        <w:rPr>
          <w:rFonts w:ascii="Arial" w:hAnsi="Arial" w:cs="Arial"/>
          <w:sz w:val="22"/>
          <w:szCs w:val="22"/>
        </w:rPr>
        <w:t>Associated products</w:t>
      </w:r>
      <w:r w:rsidRPr="00795916">
        <w:rPr>
          <w:rFonts w:ascii="Arial" w:hAnsi="Arial" w:cs="Arial"/>
          <w:sz w:val="22"/>
          <w:szCs w:val="22"/>
        </w:rPr>
        <w:t xml:space="preserve"> may include:</w:t>
      </w:r>
    </w:p>
    <w:p w:rsidR="008651D3" w:rsidRPr="00292A8C" w:rsidRDefault="008651D3" w:rsidP="008651D3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120"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795916">
        <w:rPr>
          <w:rFonts w:ascii="Arial" w:hAnsi="Arial" w:cs="Arial"/>
          <w:bCs/>
          <w:sz w:val="22"/>
          <w:szCs w:val="22"/>
          <w:lang w:val="en-US"/>
        </w:rPr>
        <w:t xml:space="preserve">Doorsets providing enhanced security and </w:t>
      </w:r>
      <w:r w:rsidRPr="00292A8C">
        <w:rPr>
          <w:rFonts w:ascii="Arial" w:hAnsi="Arial" w:cs="Arial"/>
          <w:bCs/>
          <w:sz w:val="22"/>
          <w:szCs w:val="22"/>
          <w:lang w:val="en-US"/>
        </w:rPr>
        <w:t>access to facilities such as meter cupboard</w:t>
      </w:r>
      <w:r w:rsidR="00E86D5C">
        <w:rPr>
          <w:rFonts w:ascii="Arial" w:hAnsi="Arial" w:cs="Arial"/>
          <w:bCs/>
          <w:sz w:val="22"/>
          <w:szCs w:val="22"/>
          <w:lang w:val="en-US"/>
        </w:rPr>
        <w:t>s</w:t>
      </w:r>
      <w:r w:rsidR="00EB71A5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Pr="00292A8C">
        <w:rPr>
          <w:rFonts w:ascii="Arial" w:hAnsi="Arial" w:cs="Arial"/>
          <w:bCs/>
          <w:sz w:val="22"/>
          <w:szCs w:val="22"/>
          <w:lang w:val="en-US"/>
        </w:rPr>
        <w:t>storage areas, bin stores, cycle stores etc.</w:t>
      </w:r>
    </w:p>
    <w:p w:rsidR="008651D3" w:rsidRPr="00292A8C" w:rsidRDefault="008651D3" w:rsidP="008651D3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120" w:line="276" w:lineRule="auto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Composite </w:t>
      </w:r>
      <w:r w:rsidRPr="00292A8C">
        <w:rPr>
          <w:rFonts w:ascii="Arial" w:hAnsi="Arial" w:cs="Arial"/>
          <w:bCs/>
          <w:sz w:val="22"/>
          <w:szCs w:val="22"/>
          <w:lang w:val="en-US"/>
        </w:rPr>
        <w:t>fanlights and side screens.</w:t>
      </w:r>
    </w:p>
    <w:p w:rsidR="00BA375B" w:rsidRPr="00DF1868" w:rsidRDefault="00BA375B" w:rsidP="008651D3">
      <w:pPr>
        <w:spacing w:before="120" w:after="120"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DF1868">
        <w:rPr>
          <w:rFonts w:ascii="Arial" w:hAnsi="Arial" w:cs="Arial"/>
          <w:bCs/>
          <w:sz w:val="22"/>
          <w:szCs w:val="22"/>
          <w:lang w:val="en-US"/>
        </w:rPr>
        <w:t xml:space="preserve">A comprehensive list of </w:t>
      </w:r>
      <w:r w:rsidR="00357855" w:rsidRPr="00357855">
        <w:rPr>
          <w:rFonts w:ascii="Arial" w:hAnsi="Arial" w:cs="Arial"/>
          <w:bCs/>
          <w:sz w:val="22"/>
          <w:szCs w:val="22"/>
          <w:lang w:val="en-US"/>
        </w:rPr>
        <w:t xml:space="preserve">product </w:t>
      </w:r>
      <w:r w:rsidRPr="00357855">
        <w:rPr>
          <w:rFonts w:ascii="Arial" w:hAnsi="Arial" w:cs="Arial"/>
          <w:bCs/>
          <w:sz w:val="22"/>
          <w:szCs w:val="22"/>
          <w:lang w:val="en-US"/>
        </w:rPr>
        <w:t>requirements</w:t>
      </w:r>
      <w:r w:rsidRPr="00DF1868">
        <w:rPr>
          <w:rFonts w:ascii="Arial" w:hAnsi="Arial" w:cs="Arial"/>
          <w:bCs/>
          <w:sz w:val="22"/>
          <w:szCs w:val="22"/>
          <w:lang w:val="en-US"/>
        </w:rPr>
        <w:t xml:space="preserve"> within this framework is set out under </w:t>
      </w:r>
      <w:r w:rsidRPr="00F336DB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F336DB" w:rsidRPr="00F336DB">
        <w:rPr>
          <w:rFonts w:ascii="Arial" w:hAnsi="Arial" w:cs="Arial"/>
          <w:b/>
          <w:bCs/>
          <w:sz w:val="22"/>
          <w:szCs w:val="22"/>
          <w:lang w:val="en-US"/>
        </w:rPr>
        <w:t>l</w:t>
      </w:r>
      <w:r w:rsidRPr="00F336DB">
        <w:rPr>
          <w:rFonts w:ascii="Arial" w:hAnsi="Arial" w:cs="Arial"/>
          <w:b/>
          <w:bCs/>
          <w:sz w:val="22"/>
          <w:szCs w:val="22"/>
          <w:lang w:val="en-US"/>
        </w:rPr>
        <w:t xml:space="preserve">ause E1.2 </w:t>
      </w:r>
      <w:r w:rsidRPr="00DF1868">
        <w:rPr>
          <w:rFonts w:ascii="Arial" w:hAnsi="Arial" w:cs="Arial"/>
          <w:bCs/>
          <w:sz w:val="22"/>
          <w:szCs w:val="22"/>
          <w:lang w:val="en-US"/>
        </w:rPr>
        <w:t>of this Invitation to Tender.</w:t>
      </w:r>
    </w:p>
    <w:p w:rsidR="008651D3" w:rsidRDefault="008651D3" w:rsidP="008651D3">
      <w:pPr>
        <w:spacing w:before="120" w:after="120" w:line="276" w:lineRule="auto"/>
        <w:rPr>
          <w:rFonts w:ascii="Arial" w:hAnsi="Arial" w:cs="Arial"/>
          <w:bCs/>
          <w:i/>
          <w:sz w:val="22"/>
          <w:szCs w:val="22"/>
          <w:lang w:val="en-US"/>
        </w:rPr>
      </w:pPr>
      <w:r w:rsidRPr="008651D3">
        <w:rPr>
          <w:rFonts w:ascii="Arial" w:hAnsi="Arial" w:cs="Arial"/>
          <w:bCs/>
          <w:i/>
          <w:sz w:val="22"/>
          <w:szCs w:val="22"/>
          <w:lang w:val="en-US"/>
        </w:rPr>
        <w:t>Note:                                                                                                                                                                         Entrance doorsets providing access directly to and from dwellings</w:t>
      </w:r>
      <w:r>
        <w:rPr>
          <w:rFonts w:ascii="Arial" w:hAnsi="Arial" w:cs="Arial"/>
          <w:bCs/>
          <w:i/>
          <w:sz w:val="22"/>
          <w:szCs w:val="22"/>
          <w:lang w:val="en-US"/>
        </w:rPr>
        <w:t xml:space="preserve"> (e.g. front doors)</w:t>
      </w:r>
      <w:r w:rsidR="00795916">
        <w:rPr>
          <w:rFonts w:ascii="Arial" w:hAnsi="Arial" w:cs="Arial"/>
          <w:bCs/>
          <w:i/>
          <w:sz w:val="22"/>
          <w:szCs w:val="22"/>
          <w:lang w:val="en-US"/>
        </w:rPr>
        <w:t xml:space="preserve"> and FD30 / FD60 fire doors</w:t>
      </w:r>
      <w:r w:rsidRPr="008651D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r w:rsidR="00077061">
        <w:rPr>
          <w:rFonts w:ascii="Arial" w:hAnsi="Arial" w:cs="Arial"/>
          <w:bCs/>
          <w:i/>
          <w:sz w:val="22"/>
          <w:szCs w:val="22"/>
          <w:lang w:val="en-US"/>
        </w:rPr>
        <w:t xml:space="preserve">not operated by an </w:t>
      </w:r>
      <w:r w:rsidR="0080021D" w:rsidRPr="00077061">
        <w:rPr>
          <w:rFonts w:ascii="Arial" w:hAnsi="Arial" w:cs="Arial"/>
          <w:bCs/>
          <w:i/>
          <w:sz w:val="22"/>
          <w:szCs w:val="22"/>
          <w:lang w:val="en-US"/>
        </w:rPr>
        <w:t>access control</w:t>
      </w:r>
      <w:r w:rsidR="00B75247" w:rsidRPr="00077061">
        <w:rPr>
          <w:rFonts w:ascii="Arial" w:hAnsi="Arial" w:cs="Arial"/>
          <w:bCs/>
          <w:i/>
          <w:sz w:val="22"/>
          <w:szCs w:val="22"/>
          <w:lang w:val="en-US"/>
        </w:rPr>
        <w:t xml:space="preserve"> system,</w:t>
      </w:r>
      <w:r w:rsidR="0080021D" w:rsidRPr="00077061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r w:rsidRPr="008651D3">
        <w:rPr>
          <w:rFonts w:ascii="Arial" w:hAnsi="Arial" w:cs="Arial"/>
          <w:bCs/>
          <w:i/>
          <w:sz w:val="22"/>
          <w:szCs w:val="22"/>
          <w:lang w:val="en-US"/>
        </w:rPr>
        <w:t>do not fall with</w:t>
      </w:r>
      <w:r w:rsidR="00BA375B">
        <w:rPr>
          <w:rFonts w:ascii="Arial" w:hAnsi="Arial" w:cs="Arial"/>
          <w:bCs/>
          <w:i/>
          <w:sz w:val="22"/>
          <w:szCs w:val="22"/>
          <w:lang w:val="en-US"/>
        </w:rPr>
        <w:t>in the scope of this framework</w:t>
      </w:r>
      <w:r w:rsidR="00077061">
        <w:rPr>
          <w:rFonts w:ascii="Arial" w:hAnsi="Arial" w:cs="Arial"/>
          <w:bCs/>
          <w:i/>
          <w:sz w:val="22"/>
          <w:szCs w:val="22"/>
          <w:lang w:val="en-US"/>
        </w:rPr>
        <w:t>. T</w:t>
      </w:r>
      <w:r w:rsidRPr="008651D3">
        <w:rPr>
          <w:rFonts w:ascii="Arial" w:hAnsi="Arial" w:cs="Arial"/>
          <w:bCs/>
          <w:i/>
          <w:sz w:val="22"/>
          <w:szCs w:val="22"/>
          <w:lang w:val="en-US"/>
        </w:rPr>
        <w:t xml:space="preserve">hese are specifically provided for within the LHC Entrance Doorsets Framework Arrangement </w:t>
      </w:r>
      <w:r w:rsidR="00240ECC">
        <w:rPr>
          <w:rFonts w:ascii="Arial" w:hAnsi="Arial" w:cs="Arial"/>
          <w:bCs/>
          <w:i/>
          <w:sz w:val="22"/>
          <w:szCs w:val="22"/>
          <w:lang w:val="en-US"/>
        </w:rPr>
        <w:t xml:space="preserve">– currently </w:t>
      </w:r>
      <w:r w:rsidRPr="008651D3">
        <w:rPr>
          <w:rFonts w:ascii="Arial" w:hAnsi="Arial" w:cs="Arial"/>
          <w:bCs/>
          <w:i/>
          <w:sz w:val="22"/>
          <w:szCs w:val="22"/>
          <w:lang w:val="en-US"/>
        </w:rPr>
        <w:t>C7</w:t>
      </w:r>
      <w:r w:rsidR="00240ECC">
        <w:rPr>
          <w:rFonts w:ascii="Arial" w:hAnsi="Arial" w:cs="Arial"/>
          <w:bCs/>
          <w:i/>
          <w:sz w:val="22"/>
          <w:szCs w:val="22"/>
          <w:lang w:val="en-US"/>
        </w:rPr>
        <w:t>.</w:t>
      </w:r>
      <w:r w:rsidRPr="008651D3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</w:p>
    <w:p w:rsidR="00357855" w:rsidRPr="00C82188" w:rsidRDefault="00357855" w:rsidP="00357855">
      <w:pPr>
        <w:spacing w:before="120" w:after="120" w:line="276" w:lineRule="auto"/>
      </w:pPr>
      <w:r>
        <w:rPr>
          <w:rFonts w:ascii="Arial" w:hAnsi="Arial" w:cs="Arial"/>
          <w:sz w:val="22"/>
          <w:szCs w:val="22"/>
          <w:lang w:val="en-US"/>
        </w:rPr>
        <w:t>Included within the services will be the ability to offer a cyclical maintenance package and emergency call-out service. Products and installation shall be supported by a minimum 10-year guarantee.</w:t>
      </w:r>
    </w:p>
    <w:p w:rsidR="00357855" w:rsidRPr="00DF1868" w:rsidRDefault="00357855" w:rsidP="00357855">
      <w:pPr>
        <w:spacing w:before="120" w:after="120"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DF1868">
        <w:rPr>
          <w:rFonts w:ascii="Arial" w:hAnsi="Arial" w:cs="Arial"/>
          <w:bCs/>
          <w:sz w:val="22"/>
          <w:szCs w:val="22"/>
          <w:lang w:val="en-US"/>
        </w:rPr>
        <w:t xml:space="preserve">A comprehensive list of </w:t>
      </w:r>
      <w:r w:rsidRPr="008318AA">
        <w:rPr>
          <w:rFonts w:ascii="Arial" w:hAnsi="Arial" w:cs="Arial"/>
          <w:bCs/>
          <w:sz w:val="22"/>
          <w:szCs w:val="22"/>
          <w:lang w:val="en-US"/>
        </w:rPr>
        <w:t>services</w:t>
      </w:r>
      <w:r w:rsidRPr="00DF1868">
        <w:rPr>
          <w:rFonts w:ascii="Arial" w:hAnsi="Arial" w:cs="Arial"/>
          <w:bCs/>
          <w:sz w:val="22"/>
          <w:szCs w:val="22"/>
          <w:lang w:val="en-US"/>
        </w:rPr>
        <w:t xml:space="preserve"> expected to be offered under this framework is set out under </w:t>
      </w:r>
      <w:r w:rsidRPr="00F336DB">
        <w:rPr>
          <w:rFonts w:ascii="Arial" w:hAnsi="Arial" w:cs="Arial"/>
          <w:b/>
          <w:bCs/>
          <w:sz w:val="22"/>
          <w:szCs w:val="22"/>
          <w:lang w:val="en-US"/>
        </w:rPr>
        <w:t>Clause E1.3</w:t>
      </w:r>
      <w:r w:rsidRPr="00DF1868">
        <w:rPr>
          <w:rFonts w:ascii="Arial" w:hAnsi="Arial" w:cs="Arial"/>
          <w:bCs/>
          <w:sz w:val="22"/>
          <w:szCs w:val="22"/>
          <w:lang w:val="en-US"/>
        </w:rPr>
        <w:t xml:space="preserve"> of this Invitation to Tender. </w:t>
      </w:r>
    </w:p>
    <w:p w:rsidR="0080021D" w:rsidRDefault="008318AA" w:rsidP="00795916">
      <w:pPr>
        <w:spacing w:before="120" w:after="120"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applications for which this framework will be used shall be projects funded by public finance </w:t>
      </w:r>
      <w:r w:rsidR="0080021D">
        <w:rPr>
          <w:rFonts w:ascii="Arial" w:hAnsi="Arial" w:cs="Arial"/>
          <w:sz w:val="22"/>
          <w:szCs w:val="22"/>
          <w:lang w:val="en-US"/>
        </w:rPr>
        <w:t xml:space="preserve">undertaken by </w:t>
      </w:r>
      <w:r w:rsidR="0080021D" w:rsidRPr="0082707A">
        <w:rPr>
          <w:rFonts w:ascii="Arial" w:hAnsi="Arial" w:cs="Arial"/>
          <w:sz w:val="22"/>
          <w:szCs w:val="22"/>
          <w:lang w:val="en-US"/>
        </w:rPr>
        <w:t>local author</w:t>
      </w:r>
      <w:r w:rsidR="0080021D">
        <w:rPr>
          <w:rFonts w:ascii="Arial" w:hAnsi="Arial" w:cs="Arial"/>
          <w:sz w:val="22"/>
          <w:szCs w:val="22"/>
          <w:lang w:val="en-US"/>
        </w:rPr>
        <w:t>ities, tenant management organiz</w:t>
      </w:r>
      <w:r w:rsidR="0080021D" w:rsidRPr="0082707A">
        <w:rPr>
          <w:rFonts w:ascii="Arial" w:hAnsi="Arial" w:cs="Arial"/>
          <w:sz w:val="22"/>
          <w:szCs w:val="22"/>
          <w:lang w:val="en-US"/>
        </w:rPr>
        <w:t xml:space="preserve">ations, housing associations and </w:t>
      </w:r>
      <w:r w:rsidR="0080021D">
        <w:rPr>
          <w:rFonts w:ascii="Arial" w:hAnsi="Arial" w:cs="Arial"/>
          <w:sz w:val="22"/>
          <w:szCs w:val="22"/>
          <w:lang w:val="en-US"/>
        </w:rPr>
        <w:t xml:space="preserve">other </w:t>
      </w:r>
      <w:r w:rsidR="0080021D" w:rsidRPr="0082707A">
        <w:rPr>
          <w:rFonts w:ascii="Arial" w:hAnsi="Arial" w:cs="Arial"/>
          <w:sz w:val="22"/>
          <w:szCs w:val="22"/>
          <w:lang w:val="en-US"/>
        </w:rPr>
        <w:t>bodie</w:t>
      </w:r>
      <w:r w:rsidR="0080021D">
        <w:rPr>
          <w:rFonts w:ascii="Arial" w:hAnsi="Arial" w:cs="Arial"/>
          <w:sz w:val="22"/>
          <w:szCs w:val="22"/>
          <w:lang w:val="en-US"/>
        </w:rPr>
        <w:t xml:space="preserve">s throughout the United Kingdom </w:t>
      </w:r>
      <w:r w:rsidR="0080021D" w:rsidRPr="006F0270">
        <w:rPr>
          <w:rFonts w:ascii="Arial" w:hAnsi="Arial" w:cs="Arial"/>
          <w:sz w:val="22"/>
          <w:szCs w:val="22"/>
          <w:lang w:val="en-US"/>
        </w:rPr>
        <w:t>(excl</w:t>
      </w:r>
      <w:r w:rsidR="0080021D">
        <w:rPr>
          <w:rFonts w:ascii="Arial" w:hAnsi="Arial" w:cs="Arial"/>
          <w:sz w:val="22"/>
          <w:szCs w:val="22"/>
          <w:lang w:val="en-US"/>
        </w:rPr>
        <w:t>uding</w:t>
      </w:r>
      <w:r w:rsidR="0080021D" w:rsidRPr="006F0270">
        <w:rPr>
          <w:rFonts w:ascii="Arial" w:hAnsi="Arial" w:cs="Arial"/>
          <w:sz w:val="22"/>
          <w:szCs w:val="22"/>
          <w:lang w:val="en-US"/>
        </w:rPr>
        <w:t xml:space="preserve"> NI</w:t>
      </w:r>
      <w:r w:rsidR="0080021D">
        <w:rPr>
          <w:rFonts w:ascii="Arial" w:hAnsi="Arial" w:cs="Arial"/>
          <w:sz w:val="22"/>
          <w:szCs w:val="22"/>
          <w:lang w:val="en-US"/>
        </w:rPr>
        <w:t>).</w:t>
      </w:r>
    </w:p>
    <w:p w:rsidR="00077061" w:rsidRPr="00DF1868" w:rsidRDefault="00077061" w:rsidP="00077061">
      <w:pPr>
        <w:spacing w:before="120" w:after="120"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DF1868">
        <w:rPr>
          <w:rFonts w:ascii="Arial" w:hAnsi="Arial" w:cs="Arial"/>
          <w:bCs/>
          <w:sz w:val="22"/>
          <w:szCs w:val="22"/>
          <w:lang w:val="en-US"/>
        </w:rPr>
        <w:t xml:space="preserve">A comprehensive list of </w:t>
      </w:r>
      <w:r w:rsidRPr="008318AA">
        <w:rPr>
          <w:rFonts w:ascii="Arial" w:hAnsi="Arial" w:cs="Arial"/>
          <w:bCs/>
          <w:sz w:val="22"/>
          <w:szCs w:val="22"/>
          <w:lang w:val="en-US"/>
        </w:rPr>
        <w:t>applications</w:t>
      </w:r>
      <w:r w:rsidRPr="00DF1868">
        <w:rPr>
          <w:rFonts w:ascii="Arial" w:hAnsi="Arial" w:cs="Arial"/>
          <w:bCs/>
          <w:sz w:val="22"/>
          <w:szCs w:val="22"/>
          <w:lang w:val="en-US"/>
        </w:rPr>
        <w:t xml:space="preserve"> this framework will be used for is set out under </w:t>
      </w:r>
      <w:r w:rsidRPr="00F336DB">
        <w:rPr>
          <w:rFonts w:ascii="Arial" w:hAnsi="Arial" w:cs="Arial"/>
          <w:b/>
          <w:bCs/>
          <w:sz w:val="22"/>
          <w:szCs w:val="22"/>
          <w:lang w:val="en-US"/>
        </w:rPr>
        <w:t>Clause</w:t>
      </w:r>
      <w:r w:rsidRPr="00DF1868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F336DB">
        <w:rPr>
          <w:rFonts w:ascii="Arial" w:hAnsi="Arial" w:cs="Arial"/>
          <w:b/>
          <w:bCs/>
          <w:sz w:val="22"/>
          <w:szCs w:val="22"/>
          <w:lang w:val="en-US"/>
        </w:rPr>
        <w:t>E1.5</w:t>
      </w:r>
      <w:r w:rsidRPr="00DF1868">
        <w:rPr>
          <w:rFonts w:ascii="Arial" w:hAnsi="Arial" w:cs="Arial"/>
          <w:bCs/>
          <w:sz w:val="22"/>
          <w:szCs w:val="22"/>
          <w:lang w:val="en-US"/>
        </w:rPr>
        <w:t xml:space="preserve"> of this Invitation to Tender.</w:t>
      </w:r>
    </w:p>
    <w:p w:rsidR="00077061" w:rsidRDefault="00077061" w:rsidP="00795916">
      <w:pPr>
        <w:spacing w:before="120" w:after="120" w:line="276" w:lineRule="auto"/>
        <w:rPr>
          <w:rFonts w:ascii="Arial" w:hAnsi="Arial" w:cs="Arial"/>
          <w:sz w:val="22"/>
          <w:szCs w:val="22"/>
          <w:lang w:val="en-US"/>
        </w:rPr>
      </w:pPr>
    </w:p>
    <w:p w:rsidR="002611AE" w:rsidRPr="00A4771E" w:rsidRDefault="00755A75" w:rsidP="005A7FA8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This</w:t>
      </w:r>
      <w:r w:rsidR="002611AE" w:rsidRPr="00A4771E">
        <w:rPr>
          <w:rFonts w:ascii="Arial" w:hAnsi="Arial" w:cs="Arial"/>
          <w:sz w:val="22"/>
          <w:szCs w:val="22"/>
        </w:rPr>
        <w:t xml:space="preserve"> framework will be operated under </w:t>
      </w:r>
      <w:r w:rsidR="00577A8F">
        <w:rPr>
          <w:rFonts w:ascii="Arial" w:hAnsi="Arial" w:cs="Arial"/>
          <w:sz w:val="22"/>
          <w:szCs w:val="22"/>
        </w:rPr>
        <w:t>four</w:t>
      </w:r>
      <w:r w:rsidR="002611AE" w:rsidRPr="00A4771E">
        <w:rPr>
          <w:rFonts w:ascii="Arial" w:hAnsi="Arial" w:cs="Arial"/>
          <w:sz w:val="22"/>
          <w:szCs w:val="22"/>
        </w:rPr>
        <w:t xml:space="preserve"> (</w:t>
      </w:r>
      <w:r w:rsidR="00577A8F">
        <w:rPr>
          <w:rFonts w:ascii="Arial" w:hAnsi="Arial" w:cs="Arial"/>
          <w:sz w:val="22"/>
          <w:szCs w:val="22"/>
        </w:rPr>
        <w:t>4</w:t>
      </w:r>
      <w:r w:rsidR="002611AE" w:rsidRPr="00A4771E">
        <w:rPr>
          <w:rFonts w:ascii="Arial" w:hAnsi="Arial" w:cs="Arial"/>
          <w:sz w:val="22"/>
          <w:szCs w:val="22"/>
        </w:rPr>
        <w:t xml:space="preserve">) </w:t>
      </w:r>
      <w:r w:rsidR="00577A8F">
        <w:rPr>
          <w:rFonts w:ascii="Arial" w:hAnsi="Arial" w:cs="Arial"/>
          <w:sz w:val="22"/>
          <w:szCs w:val="22"/>
        </w:rPr>
        <w:t xml:space="preserve">main </w:t>
      </w:r>
      <w:proofErr w:type="spellStart"/>
      <w:r w:rsidR="002611AE" w:rsidRPr="00A4771E">
        <w:rPr>
          <w:rFonts w:ascii="Arial" w:hAnsi="Arial" w:cs="Arial"/>
          <w:sz w:val="22"/>
          <w:szCs w:val="22"/>
        </w:rPr>
        <w:t>workstreams</w:t>
      </w:r>
      <w:proofErr w:type="spellEnd"/>
      <w:r w:rsidR="002611AE" w:rsidRPr="00A4771E">
        <w:rPr>
          <w:rFonts w:ascii="Arial" w:hAnsi="Arial" w:cs="Arial"/>
          <w:sz w:val="22"/>
          <w:szCs w:val="22"/>
        </w:rPr>
        <w:t>, design</w:t>
      </w:r>
      <w:r w:rsidR="00DA0AEB" w:rsidRPr="00A4771E">
        <w:rPr>
          <w:rFonts w:ascii="Arial" w:hAnsi="Arial" w:cs="Arial"/>
          <w:sz w:val="22"/>
          <w:szCs w:val="22"/>
        </w:rPr>
        <w:t xml:space="preserve">ated by the </w:t>
      </w:r>
      <w:proofErr w:type="spellStart"/>
      <w:r w:rsidR="00DA0AEB" w:rsidRPr="00A4771E">
        <w:rPr>
          <w:rFonts w:ascii="Arial" w:hAnsi="Arial" w:cs="Arial"/>
          <w:sz w:val="22"/>
          <w:szCs w:val="22"/>
        </w:rPr>
        <w:t>doorleaf</w:t>
      </w:r>
      <w:proofErr w:type="spellEnd"/>
      <w:r w:rsidR="00DA0AEB" w:rsidRPr="00A4771E">
        <w:rPr>
          <w:rFonts w:ascii="Arial" w:hAnsi="Arial" w:cs="Arial"/>
          <w:sz w:val="22"/>
          <w:szCs w:val="22"/>
        </w:rPr>
        <w:t xml:space="preserve"> construction</w:t>
      </w:r>
      <w:r w:rsidR="002611AE" w:rsidRPr="00A4771E">
        <w:rPr>
          <w:rFonts w:ascii="Arial" w:hAnsi="Arial" w:cs="Arial"/>
          <w:sz w:val="22"/>
          <w:szCs w:val="22"/>
        </w:rPr>
        <w:t xml:space="preserve">, namely – </w:t>
      </w:r>
    </w:p>
    <w:p w:rsidR="002611AE" w:rsidRPr="00A4771E" w:rsidRDefault="002611AE" w:rsidP="002611AE">
      <w:pPr>
        <w:pStyle w:val="ListParagraph"/>
        <w:numPr>
          <w:ilvl w:val="0"/>
          <w:numId w:val="5"/>
        </w:numPr>
        <w:tabs>
          <w:tab w:val="left" w:pos="1134"/>
        </w:tabs>
        <w:spacing w:before="120" w:after="120" w:line="276" w:lineRule="auto"/>
        <w:ind w:left="1560" w:hanging="426"/>
        <w:rPr>
          <w:rFonts w:ascii="Arial" w:hAnsi="Arial" w:cs="Arial"/>
          <w:sz w:val="22"/>
          <w:szCs w:val="22"/>
        </w:rPr>
      </w:pPr>
      <w:proofErr w:type="spellStart"/>
      <w:r w:rsidRPr="00A4771E">
        <w:rPr>
          <w:rFonts w:ascii="Arial" w:hAnsi="Arial" w:cs="Arial"/>
          <w:sz w:val="22"/>
          <w:szCs w:val="22"/>
        </w:rPr>
        <w:t>Workstream</w:t>
      </w:r>
      <w:proofErr w:type="spellEnd"/>
      <w:r w:rsidRPr="00A4771E">
        <w:rPr>
          <w:rFonts w:ascii="Arial" w:hAnsi="Arial" w:cs="Arial"/>
          <w:sz w:val="22"/>
          <w:szCs w:val="22"/>
        </w:rPr>
        <w:t xml:space="preserve"> 1 = Aluminium</w:t>
      </w:r>
    </w:p>
    <w:p w:rsidR="002611AE" w:rsidRPr="00A4771E" w:rsidRDefault="002611AE" w:rsidP="002611AE">
      <w:pPr>
        <w:pStyle w:val="ListParagraph"/>
        <w:numPr>
          <w:ilvl w:val="0"/>
          <w:numId w:val="5"/>
        </w:numPr>
        <w:tabs>
          <w:tab w:val="left" w:pos="1134"/>
        </w:tabs>
        <w:spacing w:before="120" w:after="120" w:line="276" w:lineRule="auto"/>
        <w:ind w:left="1560" w:hanging="426"/>
        <w:rPr>
          <w:rFonts w:ascii="Arial" w:hAnsi="Arial" w:cs="Arial"/>
          <w:sz w:val="22"/>
          <w:szCs w:val="22"/>
        </w:rPr>
      </w:pPr>
      <w:proofErr w:type="spellStart"/>
      <w:r w:rsidRPr="00A4771E">
        <w:rPr>
          <w:rFonts w:ascii="Arial" w:hAnsi="Arial" w:cs="Arial"/>
          <w:sz w:val="22"/>
          <w:szCs w:val="22"/>
        </w:rPr>
        <w:t>Workstream</w:t>
      </w:r>
      <w:proofErr w:type="spellEnd"/>
      <w:r w:rsidRPr="00A4771E">
        <w:rPr>
          <w:rFonts w:ascii="Arial" w:hAnsi="Arial" w:cs="Arial"/>
          <w:sz w:val="22"/>
          <w:szCs w:val="22"/>
        </w:rPr>
        <w:t xml:space="preserve"> 2 = </w:t>
      </w:r>
      <w:r w:rsidR="009920CA">
        <w:rPr>
          <w:rFonts w:ascii="Arial" w:hAnsi="Arial" w:cs="Arial"/>
          <w:sz w:val="22"/>
          <w:szCs w:val="22"/>
        </w:rPr>
        <w:t xml:space="preserve">Mild </w:t>
      </w:r>
      <w:r w:rsidRPr="00A4771E">
        <w:rPr>
          <w:rFonts w:ascii="Arial" w:hAnsi="Arial" w:cs="Arial"/>
          <w:sz w:val="22"/>
          <w:szCs w:val="22"/>
        </w:rPr>
        <w:t>Steel</w:t>
      </w:r>
      <w:r w:rsidR="009920CA">
        <w:rPr>
          <w:rFonts w:ascii="Arial" w:hAnsi="Arial" w:cs="Arial"/>
          <w:sz w:val="22"/>
          <w:szCs w:val="22"/>
        </w:rPr>
        <w:t xml:space="preserve"> </w:t>
      </w:r>
    </w:p>
    <w:p w:rsidR="009920CA" w:rsidRDefault="002611AE" w:rsidP="002611AE">
      <w:pPr>
        <w:pStyle w:val="ListParagraph"/>
        <w:numPr>
          <w:ilvl w:val="0"/>
          <w:numId w:val="5"/>
        </w:numPr>
        <w:tabs>
          <w:tab w:val="left" w:pos="1134"/>
        </w:tabs>
        <w:spacing w:before="120" w:after="120" w:line="276" w:lineRule="auto"/>
        <w:ind w:left="1560" w:hanging="426"/>
        <w:rPr>
          <w:rFonts w:ascii="Arial" w:hAnsi="Arial" w:cs="Arial"/>
          <w:sz w:val="22"/>
          <w:szCs w:val="22"/>
        </w:rPr>
      </w:pPr>
      <w:proofErr w:type="spellStart"/>
      <w:r w:rsidRPr="00A4771E">
        <w:rPr>
          <w:rFonts w:ascii="Arial" w:hAnsi="Arial" w:cs="Arial"/>
          <w:sz w:val="22"/>
          <w:szCs w:val="22"/>
        </w:rPr>
        <w:t>Workstream</w:t>
      </w:r>
      <w:proofErr w:type="spellEnd"/>
      <w:r w:rsidRPr="00A4771E">
        <w:rPr>
          <w:rFonts w:ascii="Arial" w:hAnsi="Arial" w:cs="Arial"/>
          <w:sz w:val="22"/>
          <w:szCs w:val="22"/>
        </w:rPr>
        <w:t xml:space="preserve"> 3 = </w:t>
      </w:r>
      <w:r w:rsidR="009920CA">
        <w:rPr>
          <w:rFonts w:ascii="Arial" w:hAnsi="Arial" w:cs="Arial"/>
          <w:sz w:val="22"/>
          <w:szCs w:val="22"/>
        </w:rPr>
        <w:t>Stainless steel</w:t>
      </w:r>
    </w:p>
    <w:p w:rsidR="002611AE" w:rsidRPr="00A4771E" w:rsidRDefault="009920CA" w:rsidP="002611AE">
      <w:pPr>
        <w:pStyle w:val="ListParagraph"/>
        <w:numPr>
          <w:ilvl w:val="0"/>
          <w:numId w:val="5"/>
        </w:numPr>
        <w:tabs>
          <w:tab w:val="left" w:pos="1134"/>
        </w:tabs>
        <w:spacing w:before="120" w:after="120" w:line="276" w:lineRule="auto"/>
        <w:ind w:left="1560" w:hanging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Workstream</w:t>
      </w:r>
      <w:proofErr w:type="spellEnd"/>
      <w:r>
        <w:rPr>
          <w:rFonts w:ascii="Arial" w:hAnsi="Arial" w:cs="Arial"/>
          <w:sz w:val="22"/>
          <w:szCs w:val="22"/>
        </w:rPr>
        <w:t xml:space="preserve"> 4 = </w:t>
      </w:r>
      <w:r w:rsidR="002611AE" w:rsidRPr="00A4771E">
        <w:rPr>
          <w:rFonts w:ascii="Arial" w:hAnsi="Arial" w:cs="Arial"/>
          <w:sz w:val="22"/>
          <w:szCs w:val="22"/>
        </w:rPr>
        <w:t>Timber</w:t>
      </w:r>
      <w:r>
        <w:rPr>
          <w:rFonts w:ascii="Arial" w:hAnsi="Arial" w:cs="Arial"/>
          <w:sz w:val="22"/>
          <w:szCs w:val="22"/>
        </w:rPr>
        <w:t xml:space="preserve"> (timber</w:t>
      </w:r>
      <w:r w:rsidR="002611AE" w:rsidRPr="00A4771E">
        <w:rPr>
          <w:rFonts w:ascii="Arial" w:hAnsi="Arial" w:cs="Arial"/>
          <w:sz w:val="22"/>
          <w:szCs w:val="22"/>
        </w:rPr>
        <w:t xml:space="preserve"> / timber core</w:t>
      </w:r>
      <w:r>
        <w:rPr>
          <w:rFonts w:ascii="Arial" w:hAnsi="Arial" w:cs="Arial"/>
          <w:sz w:val="22"/>
          <w:szCs w:val="22"/>
        </w:rPr>
        <w:t>)</w:t>
      </w:r>
    </w:p>
    <w:p w:rsidR="00755A75" w:rsidRPr="0090737F" w:rsidRDefault="00240ECC" w:rsidP="00755A75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completion of the tender evaluation, a</w:t>
      </w:r>
      <w:r w:rsidR="00486E47">
        <w:rPr>
          <w:rFonts w:ascii="Arial" w:hAnsi="Arial" w:cs="Arial"/>
          <w:sz w:val="22"/>
          <w:szCs w:val="22"/>
        </w:rPr>
        <w:t xml:space="preserve"> </w:t>
      </w:r>
      <w:r w:rsidR="00E25F76">
        <w:rPr>
          <w:rFonts w:ascii="Arial" w:hAnsi="Arial" w:cs="Arial"/>
          <w:sz w:val="22"/>
          <w:szCs w:val="22"/>
        </w:rPr>
        <w:t>f</w:t>
      </w:r>
      <w:r w:rsidR="009920CA">
        <w:rPr>
          <w:rFonts w:ascii="Arial" w:hAnsi="Arial" w:cs="Arial"/>
          <w:sz w:val="22"/>
          <w:szCs w:val="22"/>
        </w:rPr>
        <w:t xml:space="preserve">urther </w:t>
      </w:r>
      <w:proofErr w:type="spellStart"/>
      <w:r w:rsidR="009920CA">
        <w:rPr>
          <w:rFonts w:ascii="Arial" w:hAnsi="Arial" w:cs="Arial"/>
          <w:sz w:val="22"/>
          <w:szCs w:val="22"/>
        </w:rPr>
        <w:t>workstream</w:t>
      </w:r>
      <w:proofErr w:type="spellEnd"/>
      <w:r w:rsidR="009920CA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9920CA">
        <w:rPr>
          <w:rFonts w:ascii="Arial" w:hAnsi="Arial" w:cs="Arial"/>
          <w:sz w:val="22"/>
          <w:szCs w:val="22"/>
        </w:rPr>
        <w:t>Workstream</w:t>
      </w:r>
      <w:proofErr w:type="spellEnd"/>
      <w:r w:rsidR="009920CA">
        <w:rPr>
          <w:rFonts w:ascii="Arial" w:hAnsi="Arial" w:cs="Arial"/>
          <w:sz w:val="22"/>
          <w:szCs w:val="22"/>
        </w:rPr>
        <w:t xml:space="preserve"> 5</w:t>
      </w:r>
      <w:r w:rsidR="00E25F76">
        <w:rPr>
          <w:rFonts w:ascii="Arial" w:hAnsi="Arial" w:cs="Arial"/>
          <w:sz w:val="22"/>
          <w:szCs w:val="22"/>
        </w:rPr>
        <w:t xml:space="preserve"> – will then be established comprising </w:t>
      </w:r>
      <w:r w:rsidR="00755A75" w:rsidRPr="0090737F">
        <w:rPr>
          <w:rFonts w:ascii="Arial" w:hAnsi="Arial" w:cs="Arial"/>
          <w:sz w:val="22"/>
          <w:szCs w:val="22"/>
        </w:rPr>
        <w:t xml:space="preserve">those companies selected </w:t>
      </w:r>
      <w:r w:rsidR="00B33262">
        <w:rPr>
          <w:rFonts w:ascii="Arial" w:hAnsi="Arial" w:cs="Arial"/>
          <w:sz w:val="22"/>
          <w:szCs w:val="22"/>
        </w:rPr>
        <w:t xml:space="preserve">to service </w:t>
      </w:r>
      <w:proofErr w:type="spellStart"/>
      <w:r w:rsidR="00B33262">
        <w:rPr>
          <w:rFonts w:ascii="Arial" w:hAnsi="Arial" w:cs="Arial"/>
          <w:sz w:val="22"/>
          <w:szCs w:val="22"/>
        </w:rPr>
        <w:t>Workstreams</w:t>
      </w:r>
      <w:proofErr w:type="spellEnd"/>
      <w:r w:rsidR="00B33262">
        <w:rPr>
          <w:rFonts w:ascii="Arial" w:hAnsi="Arial" w:cs="Arial"/>
          <w:sz w:val="22"/>
          <w:szCs w:val="22"/>
        </w:rPr>
        <w:t xml:space="preserve"> 1,</w:t>
      </w:r>
      <w:r w:rsidR="009920CA">
        <w:rPr>
          <w:rFonts w:ascii="Arial" w:hAnsi="Arial" w:cs="Arial"/>
          <w:sz w:val="22"/>
          <w:szCs w:val="22"/>
        </w:rPr>
        <w:t xml:space="preserve"> 2, </w:t>
      </w:r>
      <w:r w:rsidR="00B33262">
        <w:rPr>
          <w:rFonts w:ascii="Arial" w:hAnsi="Arial" w:cs="Arial"/>
          <w:sz w:val="22"/>
          <w:szCs w:val="22"/>
        </w:rPr>
        <w:t>3</w:t>
      </w:r>
      <w:r w:rsidR="009920CA">
        <w:rPr>
          <w:rFonts w:ascii="Arial" w:hAnsi="Arial" w:cs="Arial"/>
          <w:sz w:val="22"/>
          <w:szCs w:val="22"/>
        </w:rPr>
        <w:t xml:space="preserve"> and 4</w:t>
      </w:r>
      <w:r w:rsidR="00B33262">
        <w:rPr>
          <w:rFonts w:ascii="Arial" w:hAnsi="Arial" w:cs="Arial"/>
          <w:sz w:val="22"/>
          <w:szCs w:val="22"/>
        </w:rPr>
        <w:t xml:space="preserve"> </w:t>
      </w:r>
      <w:r w:rsidR="00755A75">
        <w:rPr>
          <w:rFonts w:ascii="Arial" w:hAnsi="Arial" w:cs="Arial"/>
          <w:sz w:val="22"/>
          <w:szCs w:val="22"/>
        </w:rPr>
        <w:t>from this tender</w:t>
      </w:r>
      <w:r w:rsidR="00B33262">
        <w:rPr>
          <w:rFonts w:ascii="Arial" w:hAnsi="Arial" w:cs="Arial"/>
          <w:sz w:val="22"/>
          <w:szCs w:val="22"/>
        </w:rPr>
        <w:t>,</w:t>
      </w:r>
      <w:r w:rsidR="00755A75">
        <w:rPr>
          <w:rFonts w:ascii="Arial" w:hAnsi="Arial" w:cs="Arial"/>
          <w:sz w:val="22"/>
          <w:szCs w:val="22"/>
        </w:rPr>
        <w:t xml:space="preserve"> </w:t>
      </w:r>
      <w:r w:rsidR="00755A75" w:rsidRPr="0090737F">
        <w:rPr>
          <w:rFonts w:ascii="Arial" w:hAnsi="Arial" w:cs="Arial"/>
          <w:sz w:val="22"/>
          <w:szCs w:val="22"/>
        </w:rPr>
        <w:t xml:space="preserve">thereby offering a choice of materials to the specifier </w:t>
      </w:r>
      <w:r w:rsidR="00755A75">
        <w:rPr>
          <w:rFonts w:ascii="Arial" w:hAnsi="Arial" w:cs="Arial"/>
          <w:sz w:val="22"/>
          <w:szCs w:val="22"/>
        </w:rPr>
        <w:t xml:space="preserve">under one </w:t>
      </w:r>
      <w:proofErr w:type="spellStart"/>
      <w:r w:rsidR="00755A75">
        <w:rPr>
          <w:rFonts w:ascii="Arial" w:hAnsi="Arial" w:cs="Arial"/>
          <w:sz w:val="22"/>
          <w:szCs w:val="22"/>
        </w:rPr>
        <w:t>workstream</w:t>
      </w:r>
      <w:proofErr w:type="spellEnd"/>
      <w:r w:rsidR="00755A75">
        <w:rPr>
          <w:rFonts w:ascii="Arial" w:hAnsi="Arial" w:cs="Arial"/>
          <w:sz w:val="22"/>
          <w:szCs w:val="22"/>
        </w:rPr>
        <w:t xml:space="preserve"> </w:t>
      </w:r>
    </w:p>
    <w:p w:rsidR="00F336DB" w:rsidRDefault="00F336DB" w:rsidP="00F336DB">
      <w:pPr>
        <w:tabs>
          <w:tab w:val="left" w:pos="1134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fram</w:t>
      </w:r>
      <w:r w:rsidR="009920CA">
        <w:rPr>
          <w:rFonts w:ascii="Arial" w:hAnsi="Arial" w:cs="Arial"/>
          <w:sz w:val="22"/>
          <w:szCs w:val="22"/>
        </w:rPr>
        <w:t>ework will be operated over three (3</w:t>
      </w:r>
      <w:r>
        <w:rPr>
          <w:rFonts w:ascii="Arial" w:hAnsi="Arial" w:cs="Arial"/>
          <w:sz w:val="22"/>
          <w:szCs w:val="22"/>
        </w:rPr>
        <w:t>) Regional Lots</w:t>
      </w:r>
      <w:r w:rsidR="00577A8F">
        <w:rPr>
          <w:rFonts w:ascii="Arial" w:hAnsi="Arial" w:cs="Arial"/>
          <w:sz w:val="22"/>
          <w:szCs w:val="22"/>
        </w:rPr>
        <w:t xml:space="preserve"> (England, Wales &amp; Scotland)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An illustration of the Areas contained within each Lot is set out in </w:t>
      </w:r>
      <w:r>
        <w:rPr>
          <w:rFonts w:ascii="Arial" w:hAnsi="Arial" w:cs="Arial"/>
          <w:b/>
          <w:sz w:val="22"/>
          <w:szCs w:val="22"/>
        </w:rPr>
        <w:t>Clause</w:t>
      </w:r>
      <w:r w:rsidRPr="00F336DB">
        <w:rPr>
          <w:rFonts w:ascii="Arial" w:hAnsi="Arial" w:cs="Arial"/>
          <w:b/>
          <w:sz w:val="22"/>
          <w:szCs w:val="22"/>
        </w:rPr>
        <w:t xml:space="preserve"> D1</w:t>
      </w:r>
      <w:r>
        <w:rPr>
          <w:rFonts w:ascii="Arial" w:hAnsi="Arial" w:cs="Arial"/>
          <w:b/>
          <w:sz w:val="22"/>
          <w:szCs w:val="22"/>
        </w:rPr>
        <w:t>.3</w:t>
      </w:r>
      <w:r>
        <w:rPr>
          <w:rFonts w:ascii="Arial" w:hAnsi="Arial" w:cs="Arial"/>
          <w:sz w:val="22"/>
          <w:szCs w:val="22"/>
        </w:rPr>
        <w:t xml:space="preserve"> </w:t>
      </w:r>
      <w:r w:rsidRPr="00DF1868">
        <w:rPr>
          <w:rFonts w:ascii="Arial" w:hAnsi="Arial" w:cs="Arial"/>
          <w:bCs/>
          <w:sz w:val="22"/>
          <w:szCs w:val="22"/>
          <w:lang w:val="en-US"/>
        </w:rPr>
        <w:t>of this Invitation to Tender.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36DB" w:rsidRPr="00A4771E" w:rsidRDefault="00F336DB" w:rsidP="00F336DB">
      <w:pPr>
        <w:tabs>
          <w:tab w:val="left" w:pos="1134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are invited to tender </w:t>
      </w:r>
      <w:r w:rsidR="00002BD8">
        <w:rPr>
          <w:rFonts w:ascii="Arial" w:hAnsi="Arial" w:cs="Arial"/>
          <w:sz w:val="22"/>
          <w:szCs w:val="22"/>
        </w:rPr>
        <w:t xml:space="preserve">to service one, or more, of the Lots – </w:t>
      </w:r>
      <w:r w:rsidRPr="00A4771E">
        <w:rPr>
          <w:rFonts w:ascii="Arial" w:hAnsi="Arial" w:cs="Arial"/>
          <w:sz w:val="22"/>
          <w:szCs w:val="22"/>
        </w:rPr>
        <w:t>offer</w:t>
      </w:r>
      <w:r w:rsidR="00002BD8">
        <w:rPr>
          <w:rFonts w:ascii="Arial" w:hAnsi="Arial" w:cs="Arial"/>
          <w:sz w:val="22"/>
          <w:szCs w:val="22"/>
        </w:rPr>
        <w:t>ing</w:t>
      </w:r>
      <w:r w:rsidRPr="00A4771E">
        <w:rPr>
          <w:rFonts w:ascii="Arial" w:hAnsi="Arial" w:cs="Arial"/>
          <w:sz w:val="22"/>
          <w:szCs w:val="22"/>
        </w:rPr>
        <w:t xml:space="preserve"> products from one</w:t>
      </w:r>
      <w:r w:rsidR="00002BD8">
        <w:rPr>
          <w:rFonts w:ascii="Arial" w:hAnsi="Arial" w:cs="Arial"/>
          <w:sz w:val="22"/>
          <w:szCs w:val="22"/>
        </w:rPr>
        <w:t>,</w:t>
      </w:r>
      <w:r w:rsidRPr="00A4771E">
        <w:rPr>
          <w:rFonts w:ascii="Arial" w:hAnsi="Arial" w:cs="Arial"/>
          <w:sz w:val="22"/>
          <w:szCs w:val="22"/>
        </w:rPr>
        <w:t xml:space="preserve"> or more </w:t>
      </w:r>
      <w:proofErr w:type="spellStart"/>
      <w:r w:rsidRPr="00A4771E">
        <w:rPr>
          <w:rFonts w:ascii="Arial" w:hAnsi="Arial" w:cs="Arial"/>
          <w:sz w:val="22"/>
          <w:szCs w:val="22"/>
        </w:rPr>
        <w:t>workstreams</w:t>
      </w:r>
      <w:proofErr w:type="spellEnd"/>
      <w:r w:rsidR="00002BD8">
        <w:rPr>
          <w:rFonts w:ascii="Arial" w:hAnsi="Arial" w:cs="Arial"/>
          <w:sz w:val="22"/>
          <w:szCs w:val="22"/>
        </w:rPr>
        <w:t xml:space="preserve"> – </w:t>
      </w:r>
      <w:r w:rsidRPr="00A4771E">
        <w:rPr>
          <w:rFonts w:ascii="Arial" w:hAnsi="Arial" w:cs="Arial"/>
          <w:sz w:val="22"/>
          <w:szCs w:val="22"/>
        </w:rPr>
        <w:t xml:space="preserve">to the specification and service requirements set out in </w:t>
      </w:r>
      <w:r w:rsidRPr="0021058A">
        <w:rPr>
          <w:rFonts w:ascii="Arial" w:hAnsi="Arial" w:cs="Arial"/>
          <w:b/>
          <w:sz w:val="22"/>
          <w:szCs w:val="22"/>
        </w:rPr>
        <w:t>Section E1.</w:t>
      </w:r>
      <w:r w:rsidRPr="00A4771E">
        <w:rPr>
          <w:rFonts w:ascii="Arial" w:hAnsi="Arial" w:cs="Arial"/>
          <w:sz w:val="22"/>
          <w:szCs w:val="22"/>
        </w:rPr>
        <w:t xml:space="preserve"> </w:t>
      </w:r>
    </w:p>
    <w:p w:rsidR="00795916" w:rsidRDefault="00795916" w:rsidP="005A7FA8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795916" w:rsidRPr="00795916" w:rsidRDefault="00795916" w:rsidP="00795916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95916">
        <w:rPr>
          <w:rFonts w:ascii="Arial" w:hAnsi="Arial" w:cs="Arial"/>
          <w:b/>
          <w:sz w:val="22"/>
          <w:szCs w:val="22"/>
        </w:rPr>
        <w:t>ENDS</w:t>
      </w:r>
    </w:p>
    <w:sectPr w:rsidR="00795916" w:rsidRPr="00795916" w:rsidSect="005A7FA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45 Helvetica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61F"/>
    <w:multiLevelType w:val="hybridMultilevel"/>
    <w:tmpl w:val="C09E1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589"/>
    <w:multiLevelType w:val="hybridMultilevel"/>
    <w:tmpl w:val="2D06C3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A7B7B59"/>
    <w:multiLevelType w:val="hybridMultilevel"/>
    <w:tmpl w:val="C7F2372E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5DCC24D0"/>
    <w:multiLevelType w:val="hybridMultilevel"/>
    <w:tmpl w:val="D0AC0DBA"/>
    <w:lvl w:ilvl="0" w:tplc="0809000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9" w:hanging="360"/>
      </w:pPr>
      <w:rPr>
        <w:rFonts w:ascii="Wingdings" w:hAnsi="Wingdings" w:hint="default"/>
      </w:rPr>
    </w:lvl>
  </w:abstractNum>
  <w:abstractNum w:abstractNumId="4" w15:restartNumberingAfterBreak="0">
    <w:nsid w:val="7C3A7DB8"/>
    <w:multiLevelType w:val="hybridMultilevel"/>
    <w:tmpl w:val="A69060A0"/>
    <w:lvl w:ilvl="0" w:tplc="08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88"/>
    <w:rsid w:val="00002BD8"/>
    <w:rsid w:val="0003111E"/>
    <w:rsid w:val="00077061"/>
    <w:rsid w:val="00095D1C"/>
    <w:rsid w:val="001738E0"/>
    <w:rsid w:val="001B3AF5"/>
    <w:rsid w:val="0021058A"/>
    <w:rsid w:val="00226F7E"/>
    <w:rsid w:val="00240ECC"/>
    <w:rsid w:val="002611AE"/>
    <w:rsid w:val="002B018D"/>
    <w:rsid w:val="00357855"/>
    <w:rsid w:val="003B5207"/>
    <w:rsid w:val="003E1E1A"/>
    <w:rsid w:val="00486E47"/>
    <w:rsid w:val="00577A8F"/>
    <w:rsid w:val="005A7FA8"/>
    <w:rsid w:val="00705794"/>
    <w:rsid w:val="00725561"/>
    <w:rsid w:val="00755A75"/>
    <w:rsid w:val="00795916"/>
    <w:rsid w:val="0080021D"/>
    <w:rsid w:val="008058F7"/>
    <w:rsid w:val="00826F1C"/>
    <w:rsid w:val="0082707A"/>
    <w:rsid w:val="008318AA"/>
    <w:rsid w:val="00860EA9"/>
    <w:rsid w:val="008651D3"/>
    <w:rsid w:val="009425CA"/>
    <w:rsid w:val="009920CA"/>
    <w:rsid w:val="009F79E0"/>
    <w:rsid w:val="00A433BD"/>
    <w:rsid w:val="00A4771E"/>
    <w:rsid w:val="00A81CCA"/>
    <w:rsid w:val="00B33262"/>
    <w:rsid w:val="00B360A5"/>
    <w:rsid w:val="00B57601"/>
    <w:rsid w:val="00B75247"/>
    <w:rsid w:val="00BA3263"/>
    <w:rsid w:val="00BA375B"/>
    <w:rsid w:val="00BF1F36"/>
    <w:rsid w:val="00C465CF"/>
    <w:rsid w:val="00C66582"/>
    <w:rsid w:val="00C82188"/>
    <w:rsid w:val="00CF551C"/>
    <w:rsid w:val="00D73C78"/>
    <w:rsid w:val="00DA0AEB"/>
    <w:rsid w:val="00DE3A87"/>
    <w:rsid w:val="00DF1868"/>
    <w:rsid w:val="00E25F76"/>
    <w:rsid w:val="00E56125"/>
    <w:rsid w:val="00E86D5C"/>
    <w:rsid w:val="00EB71A5"/>
    <w:rsid w:val="00F336DB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FA6E1-08F7-4808-A71F-282BAA0F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1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eading4">
    <w:name w:val="heading 4"/>
    <w:basedOn w:val="Heading6"/>
    <w:next w:val="Normal"/>
    <w:link w:val="Heading4Char"/>
    <w:unhideWhenUsed/>
    <w:qFormat/>
    <w:rsid w:val="00C82188"/>
    <w:pPr>
      <w:keepNext w:val="0"/>
      <w:keepLines w:val="0"/>
      <w:spacing w:before="240" w:after="60"/>
      <w:ind w:left="709" w:hanging="709"/>
      <w:outlineLvl w:val="3"/>
    </w:pPr>
    <w:rPr>
      <w:rFonts w:ascii="Arial" w:eastAsia="Times New Roman" w:hAnsi="Arial" w:cs="Times New Roman"/>
      <w:b/>
      <w:bCs/>
      <w:color w:val="auto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1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2188"/>
    <w:rPr>
      <w:rFonts w:ascii="Arial" w:eastAsia="Times New Roman" w:hAnsi="Arial" w:cs="Times New Roman"/>
      <w:b/>
      <w:bCs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C821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188"/>
    <w:rPr>
      <w:rFonts w:ascii="45 Helvetica Light" w:hAnsi="45 Helvetica Light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188"/>
    <w:rPr>
      <w:rFonts w:ascii="45 Helvetica Light" w:eastAsia="Times New Roman" w:hAnsi="45 Helvetica Light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1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88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Powell</dc:creator>
  <cp:keywords/>
  <dc:description/>
  <cp:lastModifiedBy>Jim Noble</cp:lastModifiedBy>
  <cp:revision>3</cp:revision>
  <dcterms:created xsi:type="dcterms:W3CDTF">2017-01-23T09:49:00Z</dcterms:created>
  <dcterms:modified xsi:type="dcterms:W3CDTF">2017-01-23T09:50:00Z</dcterms:modified>
</cp:coreProperties>
</file>