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68" w:rsidRPr="00B76668" w:rsidRDefault="00B76668" w:rsidP="00B76668">
      <w:pPr>
        <w:spacing w:before="330" w:after="0" w:line="300" w:lineRule="atLeast"/>
        <w:outlineLvl w:val="0"/>
        <w:rPr>
          <w:rFonts w:eastAsia="Times New Roman" w:cstheme="minorHAnsi"/>
          <w:b/>
          <w:bCs/>
          <w:kern w:val="36"/>
          <w:sz w:val="24"/>
          <w:szCs w:val="24"/>
          <w:lang w:eastAsia="en-GB"/>
        </w:rPr>
      </w:pPr>
      <w:r w:rsidRPr="00B76668">
        <w:rPr>
          <w:rFonts w:eastAsia="Times New Roman" w:cstheme="minorHAnsi"/>
          <w:b/>
          <w:bCs/>
          <w:kern w:val="36"/>
          <w:sz w:val="24"/>
          <w:szCs w:val="24"/>
          <w:lang w:eastAsia="en-GB"/>
        </w:rPr>
        <w:t>Supported Living Pseudo-DPS</w:t>
      </w:r>
    </w:p>
    <w:p w:rsidR="00B76668" w:rsidRPr="00B76668" w:rsidRDefault="00B76668" w:rsidP="00B76668">
      <w:pPr>
        <w:numPr>
          <w:ilvl w:val="0"/>
          <w:numId w:val="1"/>
        </w:numPr>
        <w:spacing w:after="0" w:line="240" w:lineRule="auto"/>
        <w:ind w:left="150"/>
        <w:rPr>
          <w:rFonts w:eastAsia="Times New Roman" w:cstheme="minorHAnsi"/>
          <w:color w:val="6F777B"/>
          <w:sz w:val="24"/>
          <w:szCs w:val="24"/>
          <w:lang w:eastAsia="en-GB"/>
        </w:rPr>
      </w:pPr>
      <w:r w:rsidRPr="00B76668">
        <w:rPr>
          <w:rFonts w:eastAsia="Times New Roman" w:cstheme="minorHAnsi"/>
          <w:color w:val="6F777B"/>
          <w:sz w:val="24"/>
          <w:szCs w:val="24"/>
          <w:lang w:eastAsia="en-GB"/>
        </w:rPr>
        <w:t>LONDON BOROUGH OF NEWHAM</w:t>
      </w:r>
    </w:p>
    <w:p w:rsidR="00B76668" w:rsidRPr="00B76668" w:rsidRDefault="00B76668" w:rsidP="00B76668">
      <w:pPr>
        <w:spacing w:after="0" w:line="240" w:lineRule="auto"/>
        <w:rPr>
          <w:rFonts w:eastAsia="Times New Roman" w:cstheme="minorHAnsi"/>
          <w:sz w:val="24"/>
          <w:szCs w:val="24"/>
          <w:lang w:eastAsia="en-GB"/>
        </w:rPr>
      </w:pPr>
      <w:r w:rsidRPr="00B76668">
        <w:rPr>
          <w:rFonts w:eastAsia="Times New Roman" w:cstheme="minorHAnsi"/>
          <w:sz w:val="24"/>
          <w:szCs w:val="24"/>
          <w:lang w:eastAsia="en-GB"/>
        </w:rPr>
        <w:t>F01: Prior information notice</w:t>
      </w:r>
    </w:p>
    <w:p w:rsidR="00B76668" w:rsidRPr="00B76668" w:rsidRDefault="00B76668" w:rsidP="00B76668">
      <w:pPr>
        <w:spacing w:line="240" w:lineRule="auto"/>
        <w:rPr>
          <w:rFonts w:eastAsia="Times New Roman" w:cstheme="minorHAnsi"/>
          <w:sz w:val="24"/>
          <w:szCs w:val="24"/>
          <w:lang w:eastAsia="en-GB"/>
        </w:rPr>
      </w:pPr>
      <w:r w:rsidRPr="00B76668">
        <w:rPr>
          <w:rFonts w:eastAsia="Times New Roman" w:cstheme="minorHAnsi"/>
          <w:sz w:val="24"/>
          <w:szCs w:val="24"/>
          <w:lang w:eastAsia="en-GB"/>
        </w:rPr>
        <w:t>Prior information only</w:t>
      </w:r>
    </w:p>
    <w:p w:rsidR="00B76668" w:rsidRPr="00B76668" w:rsidRDefault="00B76668" w:rsidP="00B76668">
      <w:pPr>
        <w:shd w:val="clear" w:color="auto" w:fill="FFFFFF"/>
        <w:spacing w:after="0" w:line="240" w:lineRule="auto"/>
        <w:outlineLvl w:val="2"/>
        <w:rPr>
          <w:rFonts w:eastAsia="Times New Roman" w:cstheme="minorHAnsi"/>
          <w:b/>
          <w:bCs/>
          <w:sz w:val="24"/>
          <w:szCs w:val="24"/>
          <w:lang w:eastAsia="en-GB"/>
        </w:rPr>
      </w:pPr>
      <w:r w:rsidRPr="00B76668">
        <w:rPr>
          <w:rFonts w:eastAsia="Times New Roman" w:cstheme="minorHAnsi"/>
          <w:b/>
          <w:bCs/>
          <w:sz w:val="24"/>
          <w:szCs w:val="24"/>
          <w:bdr w:val="none" w:sz="0" w:space="0" w:color="auto" w:frame="1"/>
          <w:lang w:eastAsia="en-GB"/>
        </w:rPr>
        <w:t xml:space="preserve">Section one: Contracting </w:t>
      </w:r>
      <w:proofErr w:type="spellStart"/>
      <w:r w:rsidRPr="00B76668">
        <w:rPr>
          <w:rFonts w:eastAsia="Times New Roman" w:cstheme="minorHAnsi"/>
          <w:b/>
          <w:bCs/>
          <w:sz w:val="24"/>
          <w:szCs w:val="24"/>
          <w:bdr w:val="none" w:sz="0" w:space="0" w:color="auto" w:frame="1"/>
          <w:lang w:eastAsia="en-GB"/>
        </w:rPr>
        <w:t>authoritySection</w:t>
      </w:r>
      <w:proofErr w:type="spellEnd"/>
      <w:r w:rsidRPr="00B76668">
        <w:rPr>
          <w:rFonts w:eastAsia="Times New Roman" w:cstheme="minorHAnsi"/>
          <w:b/>
          <w:bCs/>
          <w:sz w:val="24"/>
          <w:szCs w:val="24"/>
          <w:bdr w:val="none" w:sz="0" w:space="0" w:color="auto" w:frame="1"/>
          <w:lang w:eastAsia="en-GB"/>
        </w:rPr>
        <w:t xml:space="preserve"> I: Contracting authority</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one.1) Name and addressesI.1) Name and addresses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LONDON BOROUGH OF NEWHAM</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1000 Dockside Road</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LONDON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E162QU</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Email</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8" w:history="1">
        <w:r w:rsidR="00B76668" w:rsidRPr="00B76668">
          <w:rPr>
            <w:rFonts w:eastAsia="Times New Roman" w:cstheme="minorHAnsi"/>
            <w:color w:val="1D70B8"/>
            <w:sz w:val="24"/>
            <w:szCs w:val="24"/>
            <w:u w:val="single"/>
            <w:bdr w:val="none" w:sz="0" w:space="0" w:color="auto" w:frame="1"/>
            <w:lang w:eastAsia="en-GB"/>
          </w:rPr>
          <w:t>eprocurement@onesource.co.uk</w:t>
        </w:r>
      </w:hyperlink>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Country</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United Kingdom</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NUTS code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UKI41 - Hackney and Newham</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 xml:space="preserve">Internet </w:t>
      </w:r>
      <w:proofErr w:type="gramStart"/>
      <w:r w:rsidRPr="00B76668">
        <w:rPr>
          <w:rFonts w:eastAsia="Times New Roman" w:cstheme="minorHAnsi"/>
          <w:b/>
          <w:bCs/>
          <w:sz w:val="24"/>
          <w:szCs w:val="24"/>
          <w:bdr w:val="none" w:sz="0" w:space="0" w:color="auto" w:frame="1"/>
          <w:lang w:eastAsia="en-GB"/>
        </w:rPr>
        <w:t>address(</w:t>
      </w:r>
      <w:proofErr w:type="spellStart"/>
      <w:proofErr w:type="gramEnd"/>
      <w:r w:rsidRPr="00B76668">
        <w:rPr>
          <w:rFonts w:eastAsia="Times New Roman" w:cstheme="minorHAnsi"/>
          <w:b/>
          <w:bCs/>
          <w:sz w:val="24"/>
          <w:szCs w:val="24"/>
          <w:bdr w:val="none" w:sz="0" w:space="0" w:color="auto" w:frame="1"/>
          <w:lang w:eastAsia="en-GB"/>
        </w:rPr>
        <w:t>es</w:t>
      </w:r>
      <w:proofErr w:type="spellEnd"/>
      <w:r w:rsidRPr="00B76668">
        <w:rPr>
          <w:rFonts w:eastAsia="Times New Roman" w:cstheme="minorHAnsi"/>
          <w:b/>
          <w:bCs/>
          <w:sz w:val="24"/>
          <w:szCs w:val="24"/>
          <w:bdr w:val="none" w:sz="0" w:space="0" w:color="auto" w:frame="1"/>
          <w:lang w:eastAsia="en-GB"/>
        </w:rPr>
        <w:t>)</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Main address</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9" w:tgtFrame="_blank" w:history="1">
        <w:r w:rsidR="00B76668" w:rsidRPr="00B76668">
          <w:rPr>
            <w:rFonts w:eastAsia="Times New Roman" w:cstheme="minorHAnsi"/>
            <w:color w:val="1D70B8"/>
            <w:sz w:val="24"/>
            <w:szCs w:val="24"/>
            <w:u w:val="single"/>
            <w:bdr w:val="none" w:sz="0" w:space="0" w:color="auto" w:frame="1"/>
            <w:lang w:eastAsia="en-GB"/>
          </w:rPr>
          <w:t>www.newham.gov.uk</w:t>
        </w:r>
      </w:hyperlink>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Buyer's address</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10" w:tgtFrame="_blank" w:history="1">
        <w:r w:rsidR="00B76668" w:rsidRPr="00B76668">
          <w:rPr>
            <w:rFonts w:eastAsia="Times New Roman" w:cstheme="minorHAnsi"/>
            <w:color w:val="1D70B8"/>
            <w:sz w:val="24"/>
            <w:szCs w:val="24"/>
            <w:u w:val="single"/>
            <w:bdr w:val="none" w:sz="0" w:space="0" w:color="auto" w:frame="1"/>
            <w:lang w:eastAsia="en-GB"/>
          </w:rPr>
          <w:t>https://elyq.fa.em3.oraclecloud.com/fscmUI/faces/PrcPosRegisterSupplier?prcBuId=300000002089195</w:t>
        </w:r>
      </w:hyperlink>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one.3) CommunicationI.3) Communication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The procurement documents are available for unrestricted and full direct access, free of charge, at</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11" w:tgtFrame="_blank" w:history="1">
        <w:r w:rsidR="00B76668" w:rsidRPr="00B76668">
          <w:rPr>
            <w:rFonts w:eastAsia="Times New Roman" w:cstheme="minorHAnsi"/>
            <w:color w:val="1D70B8"/>
            <w:sz w:val="24"/>
            <w:szCs w:val="24"/>
            <w:u w:val="single"/>
            <w:bdr w:val="none" w:sz="0" w:space="0" w:color="auto" w:frame="1"/>
            <w:lang w:eastAsia="en-GB"/>
          </w:rPr>
          <w:t>https://elyq.fa.em3.oraclecloud.com/fscmUI/faces/PrcPosRegisterSupplier?prcBuId=300000002089195</w:t>
        </w:r>
      </w:hyperlink>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Additional information can be obtained from the above-mentioned address</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one.4) Type of the contracting authorityI.4) Type of the contracting authority</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Regional or local authority</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one.5) Main activityI.5) Main activity</w:t>
      </w:r>
    </w:p>
    <w:p w:rsidR="00B76668" w:rsidRPr="00B76668" w:rsidRDefault="00B76668" w:rsidP="00B76668">
      <w:pPr>
        <w:shd w:val="clear" w:color="auto" w:fill="FFFFFF"/>
        <w:spacing w:line="240" w:lineRule="auto"/>
        <w:rPr>
          <w:rFonts w:eastAsia="Times New Roman" w:cstheme="minorHAnsi"/>
          <w:sz w:val="24"/>
          <w:szCs w:val="24"/>
          <w:lang w:eastAsia="en-GB"/>
        </w:rPr>
      </w:pPr>
      <w:r w:rsidRPr="00B76668">
        <w:rPr>
          <w:rFonts w:eastAsia="Times New Roman" w:cstheme="minorHAnsi"/>
          <w:sz w:val="24"/>
          <w:szCs w:val="24"/>
          <w:lang w:eastAsia="en-GB"/>
        </w:rPr>
        <w:t>General public services</w:t>
      </w:r>
    </w:p>
    <w:p w:rsidR="00B76668" w:rsidRPr="00B76668" w:rsidRDefault="00A0639C" w:rsidP="00B76668">
      <w:pPr>
        <w:shd w:val="clear" w:color="auto" w:fill="FFFFFF"/>
        <w:spacing w:before="500" w:after="400" w:line="240" w:lineRule="auto"/>
        <w:rPr>
          <w:rFonts w:eastAsia="Times New Roman" w:cstheme="minorHAnsi"/>
          <w:sz w:val="24"/>
          <w:szCs w:val="24"/>
          <w:lang w:eastAsia="en-GB"/>
        </w:rPr>
      </w:pPr>
      <w:r>
        <w:rPr>
          <w:rFonts w:eastAsia="Times New Roman" w:cstheme="minorHAnsi"/>
          <w:sz w:val="24"/>
          <w:szCs w:val="24"/>
          <w:lang w:eastAsia="en-GB"/>
        </w:rPr>
        <w:pict w14:anchorId="5307F922">
          <v:rect id="_x0000_i1025" style="width:472.5pt;height:.75pt" o:hrpct="0" o:hralign="center" o:hrstd="t" o:hr="t" fillcolor="#a0a0a0" stroked="f"/>
        </w:pict>
      </w:r>
    </w:p>
    <w:p w:rsidR="00B76668" w:rsidRPr="00B76668" w:rsidRDefault="00B76668" w:rsidP="00B76668">
      <w:pPr>
        <w:shd w:val="clear" w:color="auto" w:fill="FFFFFF"/>
        <w:spacing w:after="0" w:line="240" w:lineRule="auto"/>
        <w:outlineLvl w:val="2"/>
        <w:rPr>
          <w:rFonts w:eastAsia="Times New Roman" w:cstheme="minorHAnsi"/>
          <w:b/>
          <w:bCs/>
          <w:sz w:val="24"/>
          <w:szCs w:val="24"/>
          <w:lang w:eastAsia="en-GB"/>
        </w:rPr>
      </w:pPr>
      <w:r w:rsidRPr="00B76668">
        <w:rPr>
          <w:rFonts w:eastAsia="Times New Roman" w:cstheme="minorHAnsi"/>
          <w:b/>
          <w:bCs/>
          <w:sz w:val="24"/>
          <w:szCs w:val="24"/>
          <w:bdr w:val="none" w:sz="0" w:space="0" w:color="auto" w:frame="1"/>
          <w:lang w:eastAsia="en-GB"/>
        </w:rPr>
        <w:t xml:space="preserve">Section two: </w:t>
      </w:r>
      <w:proofErr w:type="spellStart"/>
      <w:r w:rsidRPr="00B76668">
        <w:rPr>
          <w:rFonts w:eastAsia="Times New Roman" w:cstheme="minorHAnsi"/>
          <w:b/>
          <w:bCs/>
          <w:sz w:val="24"/>
          <w:szCs w:val="24"/>
          <w:bdr w:val="none" w:sz="0" w:space="0" w:color="auto" w:frame="1"/>
          <w:lang w:eastAsia="en-GB"/>
        </w:rPr>
        <w:t>ObjectSection</w:t>
      </w:r>
      <w:proofErr w:type="spellEnd"/>
      <w:r w:rsidRPr="00B76668">
        <w:rPr>
          <w:rFonts w:eastAsia="Times New Roman" w:cstheme="minorHAnsi"/>
          <w:b/>
          <w:bCs/>
          <w:sz w:val="24"/>
          <w:szCs w:val="24"/>
          <w:bdr w:val="none" w:sz="0" w:space="0" w:color="auto" w:frame="1"/>
          <w:lang w:eastAsia="en-GB"/>
        </w:rPr>
        <w:t xml:space="preserve"> II: Object</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 Scope of the procurementII.1) Scope of the procurement</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two.1.1) TitleII.1.1) Title</w:t>
      </w:r>
    </w:p>
    <w:p w:rsidR="00B76668" w:rsidRPr="00B76668" w:rsidRDefault="00A0639C" w:rsidP="00B76668">
      <w:pPr>
        <w:shd w:val="clear" w:color="auto" w:fill="FFFFFF"/>
        <w:spacing w:after="120" w:line="240" w:lineRule="auto"/>
        <w:rPr>
          <w:rFonts w:eastAsia="Times New Roman" w:cstheme="minorHAnsi"/>
          <w:sz w:val="24"/>
          <w:szCs w:val="24"/>
          <w:lang w:eastAsia="en-GB"/>
        </w:rPr>
      </w:pPr>
      <w:r>
        <w:rPr>
          <w:rFonts w:eastAsia="Times New Roman" w:cstheme="minorHAnsi"/>
          <w:sz w:val="24"/>
          <w:szCs w:val="24"/>
          <w:lang w:eastAsia="en-GB"/>
        </w:rPr>
        <w:t xml:space="preserve">LBN </w:t>
      </w:r>
      <w:r w:rsidR="00B76668" w:rsidRPr="00B76668">
        <w:rPr>
          <w:rFonts w:eastAsia="Times New Roman" w:cstheme="minorHAnsi"/>
          <w:sz w:val="24"/>
          <w:szCs w:val="24"/>
          <w:lang w:eastAsia="en-GB"/>
        </w:rPr>
        <w:t>Supported Living Pseudo-DPS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two.1.2) Main CPV codeII.1.2) Main CPV code</w:t>
      </w:r>
    </w:p>
    <w:p w:rsidR="00B76668" w:rsidRPr="00B76668" w:rsidRDefault="00B76668" w:rsidP="00B76668">
      <w:pPr>
        <w:numPr>
          <w:ilvl w:val="0"/>
          <w:numId w:val="2"/>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lastRenderedPageBreak/>
        <w:t>85000000 - Health and social work services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two.1.3) Type of contractII.1.3) Type of contract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Services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two.1.4) Short descriptionII.1.4) Short description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A Meet the Buyer's Webinar event has been scheduled for Supported Living, Floating Support &amp; Homelessness &amp; Rough Sleeping Accommodation based Services for the 14th Jan 2022. Newham council would like to share the proposed strategic vision and transformation of existing services, please see attached slide deck outlining the key components. The event will allow the Council to share high-level plans for the Council's upcoming procurement, and the planned imminent market testing with providers. This is not an invitation to tender.</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We are inviting individual organisations, partnerships or consortia to attend this </w:t>
      </w:r>
      <w:proofErr w:type="gramStart"/>
      <w:r w:rsidRPr="00B76668">
        <w:rPr>
          <w:rFonts w:eastAsia="Times New Roman" w:cstheme="minorHAnsi"/>
          <w:sz w:val="24"/>
          <w:szCs w:val="24"/>
          <w:lang w:eastAsia="en-GB"/>
        </w:rPr>
        <w:t>Meet</w:t>
      </w:r>
      <w:proofErr w:type="gramEnd"/>
      <w:r w:rsidRPr="00B76668">
        <w:rPr>
          <w:rFonts w:eastAsia="Times New Roman" w:cstheme="minorHAnsi"/>
          <w:sz w:val="24"/>
          <w:szCs w:val="24"/>
          <w:lang w:eastAsia="en-GB"/>
        </w:rPr>
        <w:t xml:space="preserve"> the Buyer's Event. Service Commissioners will provide a webinar to update the market about the strategic vision. Organisations will also be given the opportunity to ask commissioners any questions. If organisations have any immediate questions then please contact Nina Khatun (details below) and the commissioners can address this at the Event. All questions and answers will be shared with attendees of the Events.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This Event will be followed by a Market Test exercise. It is intended that organisation's with relevant experience return a completed questionnaire. Organisations are encouraged to attend the meetings with potential collaborative Partner's to discuss the solutions they currently offer and some of the challenges they come across. The Service is under increasing budgetary pressure and is keen to explore how providers secure additional funds</w:t>
      </w:r>
      <w:r w:rsidR="00B1425A">
        <w:rPr>
          <w:rFonts w:eastAsia="Times New Roman" w:cstheme="minorHAnsi"/>
          <w:sz w:val="24"/>
          <w:szCs w:val="24"/>
          <w:lang w:eastAsia="en-GB"/>
        </w:rPr>
        <w:t xml:space="preserve"> and </w:t>
      </w:r>
      <w:r w:rsidR="000B33DD">
        <w:rPr>
          <w:rFonts w:eastAsia="Times New Roman" w:cstheme="minorHAnsi"/>
          <w:sz w:val="24"/>
          <w:szCs w:val="24"/>
          <w:lang w:eastAsia="en-GB"/>
        </w:rPr>
        <w:t>efficiencies</w:t>
      </w:r>
      <w:r w:rsidRPr="00B76668">
        <w:rPr>
          <w:rFonts w:eastAsia="Times New Roman" w:cstheme="minorHAnsi"/>
          <w:sz w:val="24"/>
          <w:szCs w:val="24"/>
          <w:lang w:eastAsia="en-GB"/>
        </w:rPr>
        <w:t>. We are looking to achieve a service model that will provide positive, realistic and achievable outcomes for the service users. The Market Test will inform the Service Specification and key outcomes as well as the procurement process.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The Council is considering a </w:t>
      </w:r>
      <w:proofErr w:type="gramStart"/>
      <w:r w:rsidRPr="00B76668">
        <w:rPr>
          <w:rFonts w:eastAsia="Times New Roman" w:cstheme="minorHAnsi"/>
          <w:sz w:val="24"/>
          <w:szCs w:val="24"/>
          <w:lang w:eastAsia="en-GB"/>
        </w:rPr>
        <w:t>5 year</w:t>
      </w:r>
      <w:proofErr w:type="gramEnd"/>
      <w:r w:rsidRPr="00B76668">
        <w:rPr>
          <w:rFonts w:eastAsia="Times New Roman" w:cstheme="minorHAnsi"/>
          <w:sz w:val="24"/>
          <w:szCs w:val="24"/>
          <w:lang w:eastAsia="en-GB"/>
        </w:rPr>
        <w:t xml:space="preserve"> + optional </w:t>
      </w:r>
      <w:r w:rsidR="00D9142C">
        <w:rPr>
          <w:rFonts w:eastAsia="Times New Roman" w:cstheme="minorHAnsi"/>
          <w:sz w:val="24"/>
          <w:szCs w:val="24"/>
          <w:lang w:eastAsia="en-GB"/>
        </w:rPr>
        <w:t>5</w:t>
      </w:r>
      <w:r w:rsidRPr="00B76668">
        <w:rPr>
          <w:rFonts w:eastAsia="Times New Roman" w:cstheme="minorHAnsi"/>
          <w:sz w:val="24"/>
          <w:szCs w:val="24"/>
          <w:lang w:eastAsia="en-GB"/>
        </w:rPr>
        <w:t xml:space="preserve"> year extension Pseudo-DPS (PDPS) for this procurement.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The PDPS will be split into 4 lots: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Lot 1:</w:t>
      </w:r>
      <w:r w:rsidR="00B1425A">
        <w:rPr>
          <w:rFonts w:eastAsia="Times New Roman" w:cstheme="minorHAnsi"/>
          <w:sz w:val="24"/>
          <w:szCs w:val="24"/>
          <w:lang w:eastAsia="en-GB"/>
        </w:rPr>
        <w:t xml:space="preserve"> </w:t>
      </w:r>
      <w:r w:rsidRPr="00B76668">
        <w:rPr>
          <w:rFonts w:eastAsia="Times New Roman" w:cstheme="minorHAnsi"/>
          <w:sz w:val="24"/>
          <w:szCs w:val="24"/>
          <w:lang w:eastAsia="en-GB"/>
        </w:rPr>
        <w:t>Supported Living</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Lot 2: Floating Support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Lot 3: Housing Related Support (HRS)</w:t>
      </w:r>
    </w:p>
    <w:p w:rsid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Lot 4: Extra Care</w:t>
      </w:r>
    </w:p>
    <w:p w:rsidR="00D9142C" w:rsidRPr="00B76668" w:rsidRDefault="00D9142C" w:rsidP="00B76668">
      <w:pPr>
        <w:shd w:val="clear" w:color="auto" w:fill="FFFFFF"/>
        <w:spacing w:after="120" w:line="240" w:lineRule="auto"/>
        <w:rPr>
          <w:rFonts w:eastAsia="Times New Roman" w:cstheme="minorHAnsi"/>
          <w:sz w:val="24"/>
          <w:szCs w:val="24"/>
          <w:lang w:eastAsia="en-GB"/>
        </w:rPr>
      </w:pPr>
      <w:r>
        <w:rPr>
          <w:rFonts w:eastAsia="Times New Roman" w:cstheme="minorHAnsi"/>
          <w:sz w:val="24"/>
          <w:szCs w:val="24"/>
          <w:lang w:eastAsia="en-GB"/>
        </w:rPr>
        <w:t xml:space="preserve">Additional Lots maybe added to the PDPS subject to approval at Cabinet. </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You </w:t>
      </w:r>
      <w:proofErr w:type="gramStart"/>
      <w:r w:rsidRPr="00B76668">
        <w:rPr>
          <w:rFonts w:eastAsia="Times New Roman" w:cstheme="minorHAnsi"/>
          <w:sz w:val="24"/>
          <w:szCs w:val="24"/>
          <w:lang w:eastAsia="en-GB"/>
        </w:rPr>
        <w:t>are invited</w:t>
      </w:r>
      <w:proofErr w:type="gramEnd"/>
      <w:r w:rsidRPr="00B76668">
        <w:rPr>
          <w:rFonts w:eastAsia="Times New Roman" w:cstheme="minorHAnsi"/>
          <w:sz w:val="24"/>
          <w:szCs w:val="24"/>
          <w:lang w:eastAsia="en-GB"/>
        </w:rPr>
        <w:t xml:space="preserve"> to attend a Meet the Buyer webinar event to be held as follows: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Friday 14 January 2022 1:30pm to 3pm</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To secure your place, please register for the event using link below:</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12" w:tgtFrame="_blank" w:history="1">
        <w:r w:rsidR="00B76668" w:rsidRPr="00B76668">
          <w:rPr>
            <w:rFonts w:eastAsia="Times New Roman" w:cstheme="minorHAnsi"/>
            <w:color w:val="1D70B8"/>
            <w:sz w:val="24"/>
            <w:szCs w:val="24"/>
            <w:u w:val="single"/>
            <w:bdr w:val="none" w:sz="0" w:space="0" w:color="auto" w:frame="1"/>
            <w:lang w:eastAsia="en-GB"/>
          </w:rPr>
          <w:t>https://www.eventbrite.co.uk/e/supported-living-floating-support-homeless-rough-sleeping-dps-tickets-226824356757</w:t>
        </w:r>
      </w:hyperlink>
    </w:p>
    <w:p w:rsidR="00B76668" w:rsidRPr="00B76668" w:rsidRDefault="00B76668" w:rsidP="00B76668">
      <w:pPr>
        <w:shd w:val="clear" w:color="auto" w:fill="FFFFFF"/>
        <w:spacing w:after="0" w:line="240" w:lineRule="auto"/>
        <w:rPr>
          <w:rFonts w:eastAsia="Times New Roman" w:cstheme="minorHAnsi"/>
          <w:sz w:val="24"/>
          <w:szCs w:val="24"/>
          <w:lang w:eastAsia="en-GB"/>
        </w:rPr>
      </w:pPr>
      <w:r w:rsidRPr="00B76668">
        <w:rPr>
          <w:rFonts w:eastAsia="Times New Roman" w:cstheme="minorHAnsi"/>
          <w:sz w:val="24"/>
          <w:szCs w:val="24"/>
          <w:lang w:eastAsia="en-GB"/>
        </w:rPr>
        <w:t>• Please email </w:t>
      </w:r>
      <w:hyperlink r:id="rId13" w:history="1">
        <w:r w:rsidRPr="00B76668">
          <w:rPr>
            <w:rFonts w:eastAsia="Times New Roman" w:cstheme="minorHAnsi"/>
            <w:color w:val="1D70B8"/>
            <w:sz w:val="24"/>
            <w:szCs w:val="24"/>
            <w:u w:val="single"/>
            <w:bdr w:val="none" w:sz="0" w:space="0" w:color="auto" w:frame="1"/>
            <w:lang w:eastAsia="en-GB"/>
          </w:rPr>
          <w:t>Nina.Khatun@newham.gov.uk</w:t>
        </w:r>
      </w:hyperlink>
      <w:r w:rsidRPr="00B76668">
        <w:rPr>
          <w:rFonts w:eastAsia="Times New Roman" w:cstheme="minorHAnsi"/>
          <w:sz w:val="24"/>
          <w:szCs w:val="24"/>
          <w:lang w:eastAsia="en-GB"/>
        </w:rPr>
        <w:t> by 7th January 2022 4pm to receive Teams link, Market Event registration form and slide deck.</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two.1.5) Estimated total valueII.1.5) Estimated total value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Value excluding VAT: £</w:t>
      </w:r>
      <w:r w:rsidR="00D9142C">
        <w:rPr>
          <w:rFonts w:eastAsia="Times New Roman" w:cstheme="minorHAnsi"/>
          <w:sz w:val="24"/>
          <w:szCs w:val="24"/>
          <w:lang w:eastAsia="en-GB"/>
        </w:rPr>
        <w:t>150</w:t>
      </w:r>
      <w:r w:rsidRPr="00B76668">
        <w:rPr>
          <w:rFonts w:eastAsia="Times New Roman" w:cstheme="minorHAnsi"/>
          <w:sz w:val="24"/>
          <w:szCs w:val="24"/>
          <w:lang w:eastAsia="en-GB"/>
        </w:rPr>
        <w:t>,000,000</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lastRenderedPageBreak/>
        <w:t>two.1.6) Information about lotsII.1.6) Information about lots</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This contract is divided into lots: Yes</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 DescriptionII.2) Description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two.2.1) TitleII.2.1) Title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1: Supported Living</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Lot No</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1</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two.2.2) Additional CPV code(s</w:t>
      </w:r>
      <w:proofErr w:type="gramStart"/>
      <w:r w:rsidRPr="00B76668">
        <w:rPr>
          <w:rFonts w:eastAsia="Times New Roman" w:cstheme="minorHAnsi"/>
          <w:b/>
          <w:bCs/>
          <w:sz w:val="24"/>
          <w:szCs w:val="24"/>
          <w:bdr w:val="none" w:sz="0" w:space="0" w:color="auto" w:frame="1"/>
          <w:lang w:eastAsia="en-GB"/>
        </w:rPr>
        <w:t>)II.2.2</w:t>
      </w:r>
      <w:proofErr w:type="gramEnd"/>
      <w:r w:rsidRPr="00B76668">
        <w:rPr>
          <w:rFonts w:eastAsia="Times New Roman" w:cstheme="minorHAnsi"/>
          <w:b/>
          <w:bCs/>
          <w:sz w:val="24"/>
          <w:szCs w:val="24"/>
          <w:bdr w:val="none" w:sz="0" w:space="0" w:color="auto" w:frame="1"/>
          <w:lang w:eastAsia="en-GB"/>
        </w:rPr>
        <w:t>) Additional CPV code(s)</w:t>
      </w:r>
    </w:p>
    <w:p w:rsidR="00B76668" w:rsidRPr="00B76668" w:rsidRDefault="00B76668" w:rsidP="00B76668">
      <w:pPr>
        <w:numPr>
          <w:ilvl w:val="0"/>
          <w:numId w:val="3"/>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85000000 - Health and social work services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two.2.3) Place of performanceII.2.3) Place of performance</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NUTS codes</w:t>
      </w:r>
    </w:p>
    <w:p w:rsidR="00B76668" w:rsidRPr="00B76668" w:rsidRDefault="00B76668" w:rsidP="00B76668">
      <w:pPr>
        <w:numPr>
          <w:ilvl w:val="0"/>
          <w:numId w:val="4"/>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UKI - London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two.2.4) Description of the procurementII.2.4) Description of the procurement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1: Supported Living with specialisms that include primary need i.e., (1a) Mental Health, (1b) Learning Disability &amp; Autism, (1c) Physical (1d) Sensory (1e) Social Support (1f) Memory &amp; Cognition (1g) Gender and Culturally Specific and varying level of support high, medium or low.</w:t>
      </w:r>
      <w:r w:rsidR="00D9142C" w:rsidRPr="00D9142C">
        <w:t xml:space="preserve"> </w:t>
      </w:r>
      <w:r w:rsidR="00D9142C" w:rsidRPr="00D9142C">
        <w:rPr>
          <w:rFonts w:eastAsia="Times New Roman" w:cstheme="minorHAnsi"/>
          <w:sz w:val="24"/>
          <w:szCs w:val="24"/>
          <w:lang w:eastAsia="en-GB"/>
        </w:rPr>
        <w:t>Sub lots are subject to change based on market engagement discussion.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Further details </w:t>
      </w:r>
      <w:proofErr w:type="gramStart"/>
      <w:r w:rsidRPr="00B76668">
        <w:rPr>
          <w:rFonts w:eastAsia="Times New Roman" w:cstheme="minorHAnsi"/>
          <w:sz w:val="24"/>
          <w:szCs w:val="24"/>
          <w:lang w:eastAsia="en-GB"/>
        </w:rPr>
        <w:t>will be discussed</w:t>
      </w:r>
      <w:proofErr w:type="gramEnd"/>
      <w:r w:rsidRPr="00B76668">
        <w:rPr>
          <w:rFonts w:eastAsia="Times New Roman" w:cstheme="minorHAnsi"/>
          <w:sz w:val="24"/>
          <w:szCs w:val="24"/>
          <w:lang w:eastAsia="en-GB"/>
        </w:rPr>
        <w:t xml:space="preserve"> at the Market Event</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 DescriptionII.2) Description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two.2.1) TitleII.2.1) Title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2: Floating Support</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Lot No</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2</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two.2.2) Additional CPV code(s</w:t>
      </w:r>
      <w:proofErr w:type="gramStart"/>
      <w:r w:rsidRPr="00B76668">
        <w:rPr>
          <w:rFonts w:eastAsia="Times New Roman" w:cstheme="minorHAnsi"/>
          <w:b/>
          <w:bCs/>
          <w:sz w:val="24"/>
          <w:szCs w:val="24"/>
          <w:bdr w:val="none" w:sz="0" w:space="0" w:color="auto" w:frame="1"/>
          <w:lang w:eastAsia="en-GB"/>
        </w:rPr>
        <w:t>)II.2.2</w:t>
      </w:r>
      <w:proofErr w:type="gramEnd"/>
      <w:r w:rsidRPr="00B76668">
        <w:rPr>
          <w:rFonts w:eastAsia="Times New Roman" w:cstheme="minorHAnsi"/>
          <w:b/>
          <w:bCs/>
          <w:sz w:val="24"/>
          <w:szCs w:val="24"/>
          <w:bdr w:val="none" w:sz="0" w:space="0" w:color="auto" w:frame="1"/>
          <w:lang w:eastAsia="en-GB"/>
        </w:rPr>
        <w:t>) Additional CPV code(s)</w:t>
      </w:r>
    </w:p>
    <w:p w:rsidR="00B76668" w:rsidRPr="00B76668" w:rsidRDefault="00B76668" w:rsidP="00B76668">
      <w:pPr>
        <w:numPr>
          <w:ilvl w:val="0"/>
          <w:numId w:val="5"/>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85312000 - Social work services without accommodation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two.2.3) Place of performanceII.2.3) Place of performance</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NUTS codes</w:t>
      </w:r>
    </w:p>
    <w:p w:rsidR="00B76668" w:rsidRPr="00B76668" w:rsidRDefault="00B76668" w:rsidP="00B76668">
      <w:pPr>
        <w:numPr>
          <w:ilvl w:val="0"/>
          <w:numId w:val="6"/>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UKI - London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two.2.4) Description of the procurementII.2.4) Description of the procurement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2 - Floating Support with specialisms that include sustaining and maintaining tenancies in the community, prevention of homelessness or stepping down from higher needs accommodation-based support at varying level of needs.</w:t>
      </w:r>
      <w:r w:rsidR="00D9142C">
        <w:rPr>
          <w:rFonts w:eastAsia="Times New Roman" w:cstheme="minorHAnsi"/>
          <w:sz w:val="24"/>
          <w:szCs w:val="24"/>
          <w:lang w:eastAsia="en-GB"/>
        </w:rPr>
        <w:t xml:space="preserve"> Sub lots are </w:t>
      </w:r>
      <w:r w:rsidR="00D9142C" w:rsidRPr="00D9142C">
        <w:rPr>
          <w:rFonts w:eastAsia="Times New Roman" w:cstheme="minorHAnsi"/>
          <w:sz w:val="24"/>
          <w:szCs w:val="24"/>
          <w:lang w:eastAsia="en-GB"/>
        </w:rPr>
        <w:t>subject to change based on market engagement discussion.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Further details </w:t>
      </w:r>
      <w:proofErr w:type="gramStart"/>
      <w:r w:rsidRPr="00B76668">
        <w:rPr>
          <w:rFonts w:eastAsia="Times New Roman" w:cstheme="minorHAnsi"/>
          <w:sz w:val="24"/>
          <w:szCs w:val="24"/>
          <w:lang w:eastAsia="en-GB"/>
        </w:rPr>
        <w:t>will be discussed</w:t>
      </w:r>
      <w:proofErr w:type="gramEnd"/>
      <w:r w:rsidRPr="00B76668">
        <w:rPr>
          <w:rFonts w:eastAsia="Times New Roman" w:cstheme="minorHAnsi"/>
          <w:sz w:val="24"/>
          <w:szCs w:val="24"/>
          <w:lang w:eastAsia="en-GB"/>
        </w:rPr>
        <w:t xml:space="preserve"> at the Market Event</w:t>
      </w:r>
      <w:r w:rsidR="00D9142C">
        <w:rPr>
          <w:rFonts w:eastAsia="Times New Roman" w:cstheme="minorHAnsi"/>
          <w:sz w:val="24"/>
          <w:szCs w:val="24"/>
          <w:lang w:eastAsia="en-GB"/>
        </w:rPr>
        <w:t xml:space="preserve"> </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 DescriptionII.2) Description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two.2.1) TitleII.2.1) Title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3 - Housing Related Support (HRS)</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Lot No</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3</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two.2.2) Additional CPV code(s</w:t>
      </w:r>
      <w:proofErr w:type="gramStart"/>
      <w:r w:rsidRPr="00B76668">
        <w:rPr>
          <w:rFonts w:eastAsia="Times New Roman" w:cstheme="minorHAnsi"/>
          <w:b/>
          <w:bCs/>
          <w:sz w:val="24"/>
          <w:szCs w:val="24"/>
          <w:bdr w:val="none" w:sz="0" w:space="0" w:color="auto" w:frame="1"/>
          <w:lang w:eastAsia="en-GB"/>
        </w:rPr>
        <w:t>)II.2.2</w:t>
      </w:r>
      <w:proofErr w:type="gramEnd"/>
      <w:r w:rsidRPr="00B76668">
        <w:rPr>
          <w:rFonts w:eastAsia="Times New Roman" w:cstheme="minorHAnsi"/>
          <w:b/>
          <w:bCs/>
          <w:sz w:val="24"/>
          <w:szCs w:val="24"/>
          <w:bdr w:val="none" w:sz="0" w:space="0" w:color="auto" w:frame="1"/>
          <w:lang w:eastAsia="en-GB"/>
        </w:rPr>
        <w:t>) Additional CPV code(s)</w:t>
      </w:r>
    </w:p>
    <w:p w:rsidR="00B76668" w:rsidRPr="00B76668" w:rsidRDefault="00B76668" w:rsidP="00B76668">
      <w:pPr>
        <w:numPr>
          <w:ilvl w:val="0"/>
          <w:numId w:val="7"/>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85000000 - Health and social work services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lastRenderedPageBreak/>
        <w:t>two.2.3) Place of performanceII.2.3) Place of performance</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NUTS codes</w:t>
      </w:r>
    </w:p>
    <w:p w:rsidR="00B76668" w:rsidRPr="00B76668" w:rsidRDefault="00B76668" w:rsidP="00B76668">
      <w:pPr>
        <w:numPr>
          <w:ilvl w:val="0"/>
          <w:numId w:val="8"/>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UKI - London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two.2.4) Description of the procurementII.2.4) Description of the procurement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3 - Housing Related Support (HRS) with specialisms that include (3a) Rough Sleeping Complex needs beds</w:t>
      </w:r>
      <w:proofErr w:type="gramStart"/>
      <w:r w:rsidRPr="00B76668">
        <w:rPr>
          <w:rFonts w:eastAsia="Times New Roman" w:cstheme="minorHAnsi"/>
          <w:sz w:val="24"/>
          <w:szCs w:val="24"/>
          <w:lang w:eastAsia="en-GB"/>
        </w:rPr>
        <w:t>,(</w:t>
      </w:r>
      <w:proofErr w:type="gramEnd"/>
      <w:r w:rsidRPr="00B76668">
        <w:rPr>
          <w:rFonts w:eastAsia="Times New Roman" w:cstheme="minorHAnsi"/>
          <w:sz w:val="24"/>
          <w:szCs w:val="24"/>
          <w:lang w:eastAsia="en-GB"/>
        </w:rPr>
        <w:t>3b) Rough Sleeping Assessment Centre and (3c) Low to medium need accommodation-based support for single adults &amp; LGBT young people</w:t>
      </w:r>
      <w:r w:rsidR="00D9142C">
        <w:rPr>
          <w:rFonts w:eastAsia="Times New Roman" w:cstheme="minorHAnsi"/>
          <w:sz w:val="24"/>
          <w:szCs w:val="24"/>
          <w:lang w:eastAsia="en-GB"/>
        </w:rPr>
        <w:t xml:space="preserve">. </w:t>
      </w:r>
      <w:r w:rsidR="00D9142C" w:rsidRPr="00D9142C">
        <w:rPr>
          <w:rFonts w:eastAsia="Times New Roman" w:cstheme="minorHAnsi"/>
          <w:sz w:val="24"/>
          <w:szCs w:val="24"/>
          <w:lang w:eastAsia="en-GB"/>
        </w:rPr>
        <w:t>Sub lots are subject to change based on market engagement discussion.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xml:space="preserve">Further details </w:t>
      </w:r>
      <w:proofErr w:type="gramStart"/>
      <w:r w:rsidRPr="00B76668">
        <w:rPr>
          <w:rFonts w:eastAsia="Times New Roman" w:cstheme="minorHAnsi"/>
          <w:sz w:val="24"/>
          <w:szCs w:val="24"/>
          <w:lang w:eastAsia="en-GB"/>
        </w:rPr>
        <w:t>will be discussed</w:t>
      </w:r>
      <w:proofErr w:type="gramEnd"/>
      <w:r w:rsidRPr="00B76668">
        <w:rPr>
          <w:rFonts w:eastAsia="Times New Roman" w:cstheme="minorHAnsi"/>
          <w:sz w:val="24"/>
          <w:szCs w:val="24"/>
          <w:lang w:eastAsia="en-GB"/>
        </w:rPr>
        <w:t xml:space="preserve"> at the Market Event</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 DescriptionII.2) Description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two.2.1) TitleII.2.1) Title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Lot 4 - Extra Care</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Lot No</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4</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two.2.2) Additional CPV code(s</w:t>
      </w:r>
      <w:proofErr w:type="gramStart"/>
      <w:r w:rsidRPr="00B76668">
        <w:rPr>
          <w:rFonts w:eastAsia="Times New Roman" w:cstheme="minorHAnsi"/>
          <w:b/>
          <w:bCs/>
          <w:sz w:val="24"/>
          <w:szCs w:val="24"/>
          <w:bdr w:val="none" w:sz="0" w:space="0" w:color="auto" w:frame="1"/>
          <w:lang w:eastAsia="en-GB"/>
        </w:rPr>
        <w:t>)II.2.2</w:t>
      </w:r>
      <w:proofErr w:type="gramEnd"/>
      <w:r w:rsidRPr="00B76668">
        <w:rPr>
          <w:rFonts w:eastAsia="Times New Roman" w:cstheme="minorHAnsi"/>
          <w:b/>
          <w:bCs/>
          <w:sz w:val="24"/>
          <w:szCs w:val="24"/>
          <w:bdr w:val="none" w:sz="0" w:space="0" w:color="auto" w:frame="1"/>
          <w:lang w:eastAsia="en-GB"/>
        </w:rPr>
        <w:t>) Additional CPV code(s)</w:t>
      </w:r>
    </w:p>
    <w:p w:rsidR="00B76668" w:rsidRPr="00B76668" w:rsidRDefault="00B76668" w:rsidP="00B76668">
      <w:pPr>
        <w:numPr>
          <w:ilvl w:val="0"/>
          <w:numId w:val="9"/>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85000000 - Health and social work services</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two.2.3) Place of performanceII.2.3) Place of performance</w:t>
      </w:r>
    </w:p>
    <w:p w:rsidR="00B76668" w:rsidRPr="00B76668" w:rsidRDefault="00B76668" w:rsidP="00B76668">
      <w:pPr>
        <w:shd w:val="clear" w:color="auto" w:fill="FFFFFF"/>
        <w:spacing w:after="0" w:line="240" w:lineRule="auto"/>
        <w:outlineLvl w:val="5"/>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NUTS codes</w:t>
      </w:r>
    </w:p>
    <w:p w:rsidR="00B76668" w:rsidRPr="00B76668" w:rsidRDefault="00B76668" w:rsidP="00B76668">
      <w:pPr>
        <w:numPr>
          <w:ilvl w:val="0"/>
          <w:numId w:val="10"/>
        </w:numPr>
        <w:shd w:val="clear" w:color="auto" w:fill="FFFFFF"/>
        <w:spacing w:after="120" w:line="240" w:lineRule="auto"/>
        <w:ind w:left="255"/>
        <w:rPr>
          <w:rFonts w:eastAsia="Times New Roman" w:cstheme="minorHAnsi"/>
          <w:sz w:val="24"/>
          <w:szCs w:val="24"/>
          <w:lang w:eastAsia="en-GB"/>
        </w:rPr>
      </w:pPr>
      <w:r w:rsidRPr="00B76668">
        <w:rPr>
          <w:rFonts w:eastAsia="Times New Roman" w:cstheme="minorHAnsi"/>
          <w:sz w:val="24"/>
          <w:szCs w:val="24"/>
          <w:lang w:eastAsia="en-GB"/>
        </w:rPr>
        <w:t>UKI - London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two.2.4) Description of the procurementII.2.4) Description of the procurement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Extra Care Housing (ECH) is housing designed to meet the needs of predominantly older people who require 24-hour care and support because of their physical, learning, mental ill-health or disability. People who live in ECH have their own self-contained home, their own front door, and a legal right to occupy the property.</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ECH enables the Council to meet several council and departmental strategic priorities. The social benefits of ECH are well-documented and include: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Better quality of life,</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Access to leisure and social activities to reduce social isolation and improve well-being,</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 Well-designed environment can be a home for life and enables older people to remain in their own home even as they require increasing care and support.</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The overall aim of Extra Care shall be to work with the Council, Customers, Landlords and other stakeholders to create and maintain a safe, supportive and inclusive environment that promotes independence, health and well-being.</w:t>
      </w:r>
      <w:r w:rsidR="00D9142C" w:rsidRPr="00D9142C">
        <w:t xml:space="preserve"> </w:t>
      </w:r>
      <w:r w:rsidR="00D9142C">
        <w:t>S</w:t>
      </w:r>
      <w:r w:rsidR="00D9142C" w:rsidRPr="00D9142C">
        <w:rPr>
          <w:rFonts w:eastAsia="Times New Roman" w:cstheme="minorHAnsi"/>
          <w:sz w:val="24"/>
          <w:szCs w:val="24"/>
          <w:lang w:eastAsia="en-GB"/>
        </w:rPr>
        <w:t>ubject to change based on market engagement discussion.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Further details will be discussed at the Market Event</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two.3) Estimated date of publication of contract noticeII.3) Estimated date of publication of contract notice</w:t>
      </w:r>
    </w:p>
    <w:p w:rsidR="00B76668" w:rsidRPr="00B76668" w:rsidRDefault="00B76668" w:rsidP="00B76668">
      <w:pPr>
        <w:shd w:val="clear" w:color="auto" w:fill="FFFFFF"/>
        <w:spacing w:line="240" w:lineRule="auto"/>
        <w:rPr>
          <w:rFonts w:eastAsia="Times New Roman" w:cstheme="minorHAnsi"/>
          <w:sz w:val="24"/>
          <w:szCs w:val="24"/>
          <w:lang w:eastAsia="en-GB"/>
        </w:rPr>
      </w:pPr>
      <w:r w:rsidRPr="00B76668">
        <w:rPr>
          <w:rFonts w:eastAsia="Times New Roman" w:cstheme="minorHAnsi"/>
          <w:sz w:val="24"/>
          <w:szCs w:val="24"/>
          <w:lang w:eastAsia="en-GB"/>
        </w:rPr>
        <w:t>9 May 2022</w:t>
      </w:r>
    </w:p>
    <w:p w:rsidR="00B76668" w:rsidRPr="00B76668" w:rsidRDefault="00A0639C" w:rsidP="00B76668">
      <w:pPr>
        <w:shd w:val="clear" w:color="auto" w:fill="FFFFFF"/>
        <w:spacing w:before="500" w:after="400" w:line="240" w:lineRule="auto"/>
        <w:rPr>
          <w:rFonts w:eastAsia="Times New Roman" w:cstheme="minorHAnsi"/>
          <w:sz w:val="24"/>
          <w:szCs w:val="24"/>
          <w:lang w:eastAsia="en-GB"/>
        </w:rPr>
      </w:pPr>
      <w:r>
        <w:rPr>
          <w:rFonts w:eastAsia="Times New Roman" w:cstheme="minorHAnsi"/>
          <w:sz w:val="24"/>
          <w:szCs w:val="24"/>
          <w:lang w:eastAsia="en-GB"/>
        </w:rPr>
        <w:pict w14:anchorId="73ED5C9F">
          <v:rect id="_x0000_i1026" style="width:472.5pt;height:.75pt" o:hrpct="0" o:hralign="center" o:hrstd="t" o:hr="t" fillcolor="#a0a0a0" stroked="f"/>
        </w:pict>
      </w:r>
    </w:p>
    <w:p w:rsidR="00B76668" w:rsidRPr="00B76668" w:rsidRDefault="00B76668" w:rsidP="00B76668">
      <w:pPr>
        <w:shd w:val="clear" w:color="auto" w:fill="FFFFFF"/>
        <w:spacing w:after="0" w:line="240" w:lineRule="auto"/>
        <w:outlineLvl w:val="2"/>
        <w:rPr>
          <w:rFonts w:eastAsia="Times New Roman" w:cstheme="minorHAnsi"/>
          <w:b/>
          <w:bCs/>
          <w:sz w:val="24"/>
          <w:szCs w:val="24"/>
          <w:lang w:eastAsia="en-GB"/>
        </w:rPr>
      </w:pPr>
      <w:r w:rsidRPr="00B76668">
        <w:rPr>
          <w:rFonts w:eastAsia="Times New Roman" w:cstheme="minorHAnsi"/>
          <w:b/>
          <w:bCs/>
          <w:sz w:val="24"/>
          <w:szCs w:val="24"/>
          <w:bdr w:val="none" w:sz="0" w:space="0" w:color="auto" w:frame="1"/>
          <w:lang w:eastAsia="en-GB"/>
        </w:rPr>
        <w:lastRenderedPageBreak/>
        <w:t xml:space="preserve">Section four. </w:t>
      </w:r>
      <w:proofErr w:type="spellStart"/>
      <w:r w:rsidRPr="00B76668">
        <w:rPr>
          <w:rFonts w:eastAsia="Times New Roman" w:cstheme="minorHAnsi"/>
          <w:b/>
          <w:bCs/>
          <w:sz w:val="24"/>
          <w:szCs w:val="24"/>
          <w:bdr w:val="none" w:sz="0" w:space="0" w:color="auto" w:frame="1"/>
          <w:lang w:eastAsia="en-GB"/>
        </w:rPr>
        <w:t>ProcedureSection</w:t>
      </w:r>
      <w:proofErr w:type="spellEnd"/>
      <w:r w:rsidRPr="00B76668">
        <w:rPr>
          <w:rFonts w:eastAsia="Times New Roman" w:cstheme="minorHAnsi"/>
          <w:b/>
          <w:bCs/>
          <w:sz w:val="24"/>
          <w:szCs w:val="24"/>
          <w:bdr w:val="none" w:sz="0" w:space="0" w:color="auto" w:frame="1"/>
          <w:lang w:eastAsia="en-GB"/>
        </w:rPr>
        <w:t xml:space="preserve"> IV. Procedure</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four.1) DescriptionIV.1) Description</w:t>
      </w:r>
    </w:p>
    <w:p w:rsidR="00B76668" w:rsidRPr="00B76668" w:rsidRDefault="00B76668" w:rsidP="00B76668">
      <w:pPr>
        <w:shd w:val="clear" w:color="auto" w:fill="FFFFFF"/>
        <w:spacing w:after="0" w:line="240" w:lineRule="auto"/>
        <w:outlineLvl w:val="4"/>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four.1.8) Information about the Government Procurement Agreement (GPA</w:t>
      </w:r>
      <w:proofErr w:type="gramStart"/>
      <w:r w:rsidRPr="00B76668">
        <w:rPr>
          <w:rFonts w:eastAsia="Times New Roman" w:cstheme="minorHAnsi"/>
          <w:b/>
          <w:bCs/>
          <w:sz w:val="24"/>
          <w:szCs w:val="24"/>
          <w:bdr w:val="none" w:sz="0" w:space="0" w:color="auto" w:frame="1"/>
          <w:lang w:eastAsia="en-GB"/>
        </w:rPr>
        <w:t>)IV.1.8</w:t>
      </w:r>
      <w:proofErr w:type="gramEnd"/>
      <w:r w:rsidRPr="00B76668">
        <w:rPr>
          <w:rFonts w:eastAsia="Times New Roman" w:cstheme="minorHAnsi"/>
          <w:b/>
          <w:bCs/>
          <w:sz w:val="24"/>
          <w:szCs w:val="24"/>
          <w:bdr w:val="none" w:sz="0" w:space="0" w:color="auto" w:frame="1"/>
          <w:lang w:eastAsia="en-GB"/>
        </w:rPr>
        <w:t>) Information about the Government Procurement Agreement (GPA)</w:t>
      </w:r>
    </w:p>
    <w:p w:rsidR="00B76668" w:rsidRPr="00B76668" w:rsidRDefault="00B76668" w:rsidP="00B76668">
      <w:pPr>
        <w:shd w:val="clear" w:color="auto" w:fill="FFFFFF"/>
        <w:spacing w:line="240" w:lineRule="auto"/>
        <w:rPr>
          <w:rFonts w:eastAsia="Times New Roman" w:cstheme="minorHAnsi"/>
          <w:sz w:val="24"/>
          <w:szCs w:val="24"/>
          <w:lang w:eastAsia="en-GB"/>
        </w:rPr>
      </w:pPr>
      <w:r w:rsidRPr="00B76668">
        <w:rPr>
          <w:rFonts w:eastAsia="Times New Roman" w:cstheme="minorHAnsi"/>
          <w:sz w:val="24"/>
          <w:szCs w:val="24"/>
          <w:lang w:eastAsia="en-GB"/>
        </w:rPr>
        <w:t>The procurement is covered by the Government Procurement Agreement: Yes</w:t>
      </w:r>
    </w:p>
    <w:p w:rsidR="00B76668" w:rsidRPr="00B76668" w:rsidRDefault="00A0639C" w:rsidP="00B76668">
      <w:pPr>
        <w:shd w:val="clear" w:color="auto" w:fill="FFFFFF"/>
        <w:spacing w:before="500" w:after="400" w:line="240" w:lineRule="auto"/>
        <w:rPr>
          <w:rFonts w:eastAsia="Times New Roman" w:cstheme="minorHAnsi"/>
          <w:sz w:val="24"/>
          <w:szCs w:val="24"/>
          <w:lang w:eastAsia="en-GB"/>
        </w:rPr>
      </w:pPr>
      <w:r>
        <w:rPr>
          <w:rFonts w:eastAsia="Times New Roman" w:cstheme="minorHAnsi"/>
          <w:sz w:val="24"/>
          <w:szCs w:val="24"/>
          <w:lang w:eastAsia="en-GB"/>
        </w:rPr>
        <w:pict w14:anchorId="740746B4">
          <v:rect id="_x0000_i1027" style="width:472.5pt;height:.75pt" o:hrpct="0" o:hralign="center" o:hrstd="t" o:hr="t" fillcolor="#a0a0a0" stroked="f"/>
        </w:pict>
      </w:r>
    </w:p>
    <w:p w:rsidR="00B76668" w:rsidRPr="00B76668" w:rsidRDefault="00B76668" w:rsidP="00B76668">
      <w:pPr>
        <w:shd w:val="clear" w:color="auto" w:fill="FFFFFF"/>
        <w:spacing w:after="0" w:line="240" w:lineRule="auto"/>
        <w:outlineLvl w:val="2"/>
        <w:rPr>
          <w:rFonts w:eastAsia="Times New Roman" w:cstheme="minorHAnsi"/>
          <w:b/>
          <w:bCs/>
          <w:sz w:val="24"/>
          <w:szCs w:val="24"/>
          <w:lang w:eastAsia="en-GB"/>
        </w:rPr>
      </w:pPr>
      <w:r w:rsidRPr="00B76668">
        <w:rPr>
          <w:rFonts w:eastAsia="Times New Roman" w:cstheme="minorHAnsi"/>
          <w:b/>
          <w:bCs/>
          <w:sz w:val="24"/>
          <w:szCs w:val="24"/>
          <w:bdr w:val="none" w:sz="0" w:space="0" w:color="auto" w:frame="1"/>
          <w:lang w:eastAsia="en-GB"/>
        </w:rPr>
        <w:t xml:space="preserve">Section six. Complementary </w:t>
      </w:r>
      <w:proofErr w:type="spellStart"/>
      <w:r w:rsidRPr="00B76668">
        <w:rPr>
          <w:rFonts w:eastAsia="Times New Roman" w:cstheme="minorHAnsi"/>
          <w:b/>
          <w:bCs/>
          <w:sz w:val="24"/>
          <w:szCs w:val="24"/>
          <w:bdr w:val="none" w:sz="0" w:space="0" w:color="auto" w:frame="1"/>
          <w:lang w:eastAsia="en-GB"/>
        </w:rPr>
        <w:t>informationSection</w:t>
      </w:r>
      <w:proofErr w:type="spellEnd"/>
      <w:r w:rsidRPr="00B76668">
        <w:rPr>
          <w:rFonts w:eastAsia="Times New Roman" w:cstheme="minorHAnsi"/>
          <w:b/>
          <w:bCs/>
          <w:sz w:val="24"/>
          <w:szCs w:val="24"/>
          <w:bdr w:val="none" w:sz="0" w:space="0" w:color="auto" w:frame="1"/>
          <w:lang w:eastAsia="en-GB"/>
        </w:rPr>
        <w:t xml:space="preserve"> VI. Complementary information</w:t>
      </w:r>
    </w:p>
    <w:p w:rsidR="00B76668" w:rsidRPr="00B76668" w:rsidRDefault="00B76668" w:rsidP="00B76668">
      <w:pPr>
        <w:shd w:val="clear" w:color="auto" w:fill="FFFFFF"/>
        <w:spacing w:after="0" w:line="240" w:lineRule="auto"/>
        <w:outlineLvl w:val="3"/>
        <w:rPr>
          <w:rFonts w:eastAsia="Times New Roman" w:cstheme="minorHAnsi"/>
          <w:sz w:val="24"/>
          <w:szCs w:val="24"/>
          <w:lang w:eastAsia="en-GB"/>
        </w:rPr>
      </w:pPr>
      <w:r w:rsidRPr="00B76668">
        <w:rPr>
          <w:rFonts w:eastAsia="Times New Roman" w:cstheme="minorHAnsi"/>
          <w:b/>
          <w:bCs/>
          <w:sz w:val="24"/>
          <w:szCs w:val="24"/>
          <w:bdr w:val="none" w:sz="0" w:space="0" w:color="auto" w:frame="1"/>
          <w:lang w:eastAsia="en-GB"/>
        </w:rPr>
        <w:t>six.3) Additional informationVI.3) Additional information</w:t>
      </w:r>
    </w:p>
    <w:p w:rsidR="00B76668" w:rsidRPr="00B76668" w:rsidRDefault="00B76668" w:rsidP="00B76668">
      <w:pPr>
        <w:shd w:val="clear" w:color="auto" w:fill="FFFFFF"/>
        <w:spacing w:after="120" w:line="240" w:lineRule="auto"/>
        <w:rPr>
          <w:rFonts w:eastAsia="Times New Roman" w:cstheme="minorHAnsi"/>
          <w:sz w:val="24"/>
          <w:szCs w:val="24"/>
          <w:lang w:eastAsia="en-GB"/>
        </w:rPr>
      </w:pPr>
      <w:r w:rsidRPr="00B76668">
        <w:rPr>
          <w:rFonts w:eastAsia="Times New Roman" w:cstheme="minorHAnsi"/>
          <w:sz w:val="24"/>
          <w:szCs w:val="24"/>
          <w:lang w:eastAsia="en-GB"/>
        </w:rPr>
        <w:t>Newham Council uses the Oracle Fusion e-tendering system. Please register using link below to access tender opportunities.</w:t>
      </w:r>
    </w:p>
    <w:p w:rsidR="00B76668" w:rsidRPr="00B76668" w:rsidRDefault="00A0639C" w:rsidP="00B76668">
      <w:pPr>
        <w:shd w:val="clear" w:color="auto" w:fill="FFFFFF"/>
        <w:spacing w:after="0" w:line="240" w:lineRule="auto"/>
        <w:rPr>
          <w:rFonts w:eastAsia="Times New Roman" w:cstheme="minorHAnsi"/>
          <w:sz w:val="24"/>
          <w:szCs w:val="24"/>
          <w:lang w:eastAsia="en-GB"/>
        </w:rPr>
      </w:pPr>
      <w:hyperlink r:id="rId14" w:tgtFrame="_blank" w:history="1">
        <w:r w:rsidR="00B76668" w:rsidRPr="00B76668">
          <w:rPr>
            <w:rFonts w:eastAsia="Times New Roman" w:cstheme="minorHAnsi"/>
            <w:color w:val="1D70B8"/>
            <w:sz w:val="24"/>
            <w:szCs w:val="24"/>
            <w:u w:val="single"/>
            <w:bdr w:val="none" w:sz="0" w:space="0" w:color="auto" w:frame="1"/>
            <w:lang w:eastAsia="en-GB"/>
          </w:rPr>
          <w:t>https://elyq.fa.em3.oraclecloud.com/fscmUI/faces/PrcPosRegisterSupplier?prcBuId=300000002089195</w:t>
        </w:r>
      </w:hyperlink>
    </w:p>
    <w:p w:rsidR="00B76668" w:rsidRPr="00B76668" w:rsidRDefault="00B76668" w:rsidP="00B76668">
      <w:pPr>
        <w:shd w:val="clear" w:color="auto" w:fill="FFFFFF"/>
        <w:spacing w:line="240" w:lineRule="auto"/>
        <w:rPr>
          <w:rFonts w:eastAsia="Times New Roman" w:cstheme="minorHAnsi"/>
          <w:sz w:val="24"/>
          <w:szCs w:val="24"/>
          <w:lang w:eastAsia="en-GB"/>
        </w:rPr>
      </w:pPr>
      <w:r w:rsidRPr="00B76668">
        <w:rPr>
          <w:rFonts w:eastAsia="Times New Roman" w:cstheme="minorHAnsi"/>
          <w:sz w:val="24"/>
          <w:szCs w:val="24"/>
          <w:lang w:eastAsia="en-GB"/>
        </w:rPr>
        <w:t>Further details of how to register will be discussed at the Market Event</w:t>
      </w:r>
      <w:bookmarkStart w:id="0" w:name="_GoBack"/>
      <w:bookmarkEnd w:id="0"/>
    </w:p>
    <w:sectPr w:rsidR="00B76668" w:rsidRPr="00B76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BEC"/>
    <w:multiLevelType w:val="multilevel"/>
    <w:tmpl w:val="75C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5261E"/>
    <w:multiLevelType w:val="multilevel"/>
    <w:tmpl w:val="087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62218"/>
    <w:multiLevelType w:val="multilevel"/>
    <w:tmpl w:val="5D0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51A64"/>
    <w:multiLevelType w:val="multilevel"/>
    <w:tmpl w:val="2CD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C19C3"/>
    <w:multiLevelType w:val="multilevel"/>
    <w:tmpl w:val="FDC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93EE7"/>
    <w:multiLevelType w:val="multilevel"/>
    <w:tmpl w:val="C5D0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81016"/>
    <w:multiLevelType w:val="multilevel"/>
    <w:tmpl w:val="A2FE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13EEE"/>
    <w:multiLevelType w:val="multilevel"/>
    <w:tmpl w:val="C9E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065AD"/>
    <w:multiLevelType w:val="multilevel"/>
    <w:tmpl w:val="C9D6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A7D65"/>
    <w:multiLevelType w:val="multilevel"/>
    <w:tmpl w:val="BCC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9"/>
  </w:num>
  <w:num w:numId="6">
    <w:abstractNumId w:val="3"/>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68"/>
    <w:rsid w:val="000B33DD"/>
    <w:rsid w:val="008E6213"/>
    <w:rsid w:val="009207A7"/>
    <w:rsid w:val="00A0639C"/>
    <w:rsid w:val="00B1425A"/>
    <w:rsid w:val="00B76668"/>
    <w:rsid w:val="00BB370A"/>
    <w:rsid w:val="00C2013E"/>
    <w:rsid w:val="00D91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7D4"/>
  <w15:chartTrackingRefBased/>
  <w15:docId w15:val="{76CA0D96-C693-4E36-BA50-3C403F7D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6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766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7666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B7666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B76668"/>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6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7666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76668"/>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B76668"/>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B76668"/>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B766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ia-only">
    <w:name w:val="aria-only"/>
    <w:basedOn w:val="DefaultParagraphFont"/>
    <w:rsid w:val="00B76668"/>
  </w:style>
  <w:style w:type="character" w:styleId="Strong">
    <w:name w:val="Strong"/>
    <w:basedOn w:val="DefaultParagraphFont"/>
    <w:uiPriority w:val="22"/>
    <w:qFormat/>
    <w:rsid w:val="00B76668"/>
    <w:rPr>
      <w:b/>
      <w:bCs/>
    </w:rPr>
  </w:style>
  <w:style w:type="character" w:styleId="Hyperlink">
    <w:name w:val="Hyperlink"/>
    <w:basedOn w:val="DefaultParagraphFont"/>
    <w:uiPriority w:val="99"/>
    <w:semiHidden/>
    <w:unhideWhenUsed/>
    <w:rsid w:val="00B76668"/>
    <w:rPr>
      <w:color w:val="0000FF"/>
      <w:u w:val="single"/>
    </w:rPr>
  </w:style>
  <w:style w:type="paragraph" w:styleId="z-TopofForm">
    <w:name w:val="HTML Top of Form"/>
    <w:basedOn w:val="Normal"/>
    <w:next w:val="Normal"/>
    <w:link w:val="z-TopofFormChar"/>
    <w:hidden/>
    <w:uiPriority w:val="99"/>
    <w:semiHidden/>
    <w:unhideWhenUsed/>
    <w:rsid w:val="00B7666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7666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7666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76668"/>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3830">
      <w:bodyDiv w:val="1"/>
      <w:marLeft w:val="0"/>
      <w:marRight w:val="0"/>
      <w:marTop w:val="0"/>
      <w:marBottom w:val="0"/>
      <w:divBdr>
        <w:top w:val="none" w:sz="0" w:space="0" w:color="auto"/>
        <w:left w:val="none" w:sz="0" w:space="0" w:color="auto"/>
        <w:bottom w:val="none" w:sz="0" w:space="0" w:color="auto"/>
        <w:right w:val="none" w:sz="0" w:space="0" w:color="auto"/>
      </w:divBdr>
      <w:divsChild>
        <w:div w:id="693992637">
          <w:marLeft w:val="-225"/>
          <w:marRight w:val="-225"/>
          <w:marTop w:val="0"/>
          <w:marBottom w:val="0"/>
          <w:divBdr>
            <w:top w:val="none" w:sz="0" w:space="0" w:color="auto"/>
            <w:left w:val="none" w:sz="0" w:space="0" w:color="auto"/>
            <w:bottom w:val="none" w:sz="0" w:space="0" w:color="auto"/>
            <w:right w:val="none" w:sz="0" w:space="0" w:color="auto"/>
          </w:divBdr>
          <w:divsChild>
            <w:div w:id="1024328721">
              <w:marLeft w:val="0"/>
              <w:marRight w:val="0"/>
              <w:marTop w:val="0"/>
              <w:marBottom w:val="0"/>
              <w:divBdr>
                <w:top w:val="none" w:sz="0" w:space="0" w:color="auto"/>
                <w:left w:val="none" w:sz="0" w:space="0" w:color="auto"/>
                <w:bottom w:val="none" w:sz="0" w:space="0" w:color="auto"/>
                <w:right w:val="none" w:sz="0" w:space="0" w:color="auto"/>
              </w:divBdr>
              <w:divsChild>
                <w:div w:id="2083020141">
                  <w:marLeft w:val="0"/>
                  <w:marRight w:val="0"/>
                  <w:marTop w:val="0"/>
                  <w:marBottom w:val="0"/>
                  <w:divBdr>
                    <w:top w:val="none" w:sz="0" w:space="0" w:color="auto"/>
                    <w:left w:val="none" w:sz="0" w:space="0" w:color="auto"/>
                    <w:bottom w:val="none" w:sz="0" w:space="0" w:color="auto"/>
                    <w:right w:val="none" w:sz="0" w:space="0" w:color="auto"/>
                  </w:divBdr>
                </w:div>
                <w:div w:id="1037044560">
                  <w:marLeft w:val="0"/>
                  <w:marRight w:val="0"/>
                  <w:marTop w:val="0"/>
                  <w:marBottom w:val="300"/>
                  <w:divBdr>
                    <w:top w:val="none" w:sz="0" w:space="0" w:color="auto"/>
                    <w:left w:val="none" w:sz="0" w:space="0" w:color="auto"/>
                    <w:bottom w:val="none" w:sz="0" w:space="0" w:color="auto"/>
                    <w:right w:val="none" w:sz="0" w:space="0" w:color="auto"/>
                  </w:divBdr>
                </w:div>
                <w:div w:id="1957060092">
                  <w:marLeft w:val="0"/>
                  <w:marRight w:val="0"/>
                  <w:marTop w:val="384"/>
                  <w:marBottom w:val="384"/>
                  <w:divBdr>
                    <w:top w:val="none" w:sz="0" w:space="0" w:color="auto"/>
                    <w:left w:val="none" w:sz="0" w:space="0" w:color="auto"/>
                    <w:bottom w:val="none" w:sz="0" w:space="0" w:color="auto"/>
                    <w:right w:val="none" w:sz="0" w:space="0" w:color="auto"/>
                  </w:divBdr>
                  <w:divsChild>
                    <w:div w:id="1667781180">
                      <w:marLeft w:val="0"/>
                      <w:marRight w:val="0"/>
                      <w:marTop w:val="0"/>
                      <w:marBottom w:val="0"/>
                      <w:divBdr>
                        <w:top w:val="none" w:sz="0" w:space="0" w:color="auto"/>
                        <w:left w:val="none" w:sz="0" w:space="0" w:color="auto"/>
                        <w:bottom w:val="none" w:sz="0" w:space="0" w:color="auto"/>
                        <w:right w:val="none" w:sz="0" w:space="0" w:color="auto"/>
                      </w:divBdr>
                      <w:divsChild>
                        <w:div w:id="37509219">
                          <w:marLeft w:val="0"/>
                          <w:marRight w:val="0"/>
                          <w:marTop w:val="240"/>
                          <w:marBottom w:val="240"/>
                          <w:divBdr>
                            <w:top w:val="none" w:sz="0" w:space="0" w:color="auto"/>
                            <w:left w:val="none" w:sz="0" w:space="0" w:color="auto"/>
                            <w:bottom w:val="none" w:sz="0" w:space="0" w:color="auto"/>
                            <w:right w:val="none" w:sz="0" w:space="0" w:color="auto"/>
                          </w:divBdr>
                        </w:div>
                        <w:div w:id="1752314163">
                          <w:marLeft w:val="0"/>
                          <w:marRight w:val="0"/>
                          <w:marTop w:val="240"/>
                          <w:marBottom w:val="240"/>
                          <w:divBdr>
                            <w:top w:val="none" w:sz="0" w:space="0" w:color="auto"/>
                            <w:left w:val="none" w:sz="0" w:space="0" w:color="auto"/>
                            <w:bottom w:val="none" w:sz="0" w:space="0" w:color="auto"/>
                            <w:right w:val="none" w:sz="0" w:space="0" w:color="auto"/>
                          </w:divBdr>
                        </w:div>
                        <w:div w:id="13651148">
                          <w:marLeft w:val="0"/>
                          <w:marRight w:val="0"/>
                          <w:marTop w:val="240"/>
                          <w:marBottom w:val="240"/>
                          <w:divBdr>
                            <w:top w:val="none" w:sz="0" w:space="0" w:color="auto"/>
                            <w:left w:val="none" w:sz="0" w:space="0" w:color="auto"/>
                            <w:bottom w:val="none" w:sz="0" w:space="0" w:color="auto"/>
                            <w:right w:val="none" w:sz="0" w:space="0" w:color="auto"/>
                          </w:divBdr>
                        </w:div>
                        <w:div w:id="15700757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1794929">
              <w:marLeft w:val="0"/>
              <w:marRight w:val="0"/>
              <w:marTop w:val="0"/>
              <w:marBottom w:val="0"/>
              <w:divBdr>
                <w:top w:val="none" w:sz="0" w:space="0" w:color="auto"/>
                <w:left w:val="none" w:sz="0" w:space="0" w:color="auto"/>
                <w:bottom w:val="none" w:sz="0" w:space="0" w:color="auto"/>
                <w:right w:val="none" w:sz="0" w:space="0" w:color="auto"/>
              </w:divBdr>
              <w:divsChild>
                <w:div w:id="1672681863">
                  <w:marLeft w:val="0"/>
                  <w:marRight w:val="0"/>
                  <w:marTop w:val="0"/>
                  <w:marBottom w:val="0"/>
                  <w:divBdr>
                    <w:top w:val="none" w:sz="0" w:space="0" w:color="auto"/>
                    <w:left w:val="none" w:sz="0" w:space="0" w:color="auto"/>
                    <w:bottom w:val="none" w:sz="0" w:space="0" w:color="auto"/>
                    <w:right w:val="none" w:sz="0" w:space="0" w:color="auto"/>
                  </w:divBdr>
                  <w:divsChild>
                    <w:div w:id="1381396724">
                      <w:marLeft w:val="0"/>
                      <w:marRight w:val="0"/>
                      <w:marTop w:val="0"/>
                      <w:marBottom w:val="0"/>
                      <w:divBdr>
                        <w:top w:val="none" w:sz="0" w:space="0" w:color="auto"/>
                        <w:left w:val="none" w:sz="0" w:space="0" w:color="auto"/>
                        <w:bottom w:val="none" w:sz="0" w:space="0" w:color="auto"/>
                        <w:right w:val="none" w:sz="0" w:space="0" w:color="auto"/>
                      </w:divBdr>
                      <w:divsChild>
                        <w:div w:id="1144391803">
                          <w:marLeft w:val="0"/>
                          <w:marRight w:val="0"/>
                          <w:marTop w:val="0"/>
                          <w:marBottom w:val="0"/>
                          <w:divBdr>
                            <w:top w:val="none" w:sz="0" w:space="0" w:color="auto"/>
                            <w:left w:val="none" w:sz="0" w:space="0" w:color="auto"/>
                            <w:bottom w:val="none" w:sz="0" w:space="0" w:color="auto"/>
                            <w:right w:val="none" w:sz="0" w:space="0" w:color="auto"/>
                          </w:divBdr>
                          <w:divsChild>
                            <w:div w:id="276059389">
                              <w:marLeft w:val="0"/>
                              <w:marRight w:val="0"/>
                              <w:marTop w:val="0"/>
                              <w:marBottom w:val="0"/>
                              <w:divBdr>
                                <w:top w:val="none" w:sz="0" w:space="0" w:color="auto"/>
                                <w:left w:val="none" w:sz="0" w:space="0" w:color="auto"/>
                                <w:bottom w:val="none" w:sz="0" w:space="0" w:color="auto"/>
                                <w:right w:val="none" w:sz="0" w:space="0" w:color="auto"/>
                              </w:divBdr>
                            </w:div>
                            <w:div w:id="1130703920">
                              <w:marLeft w:val="0"/>
                              <w:marRight w:val="0"/>
                              <w:marTop w:val="384"/>
                              <w:marBottom w:val="384"/>
                              <w:divBdr>
                                <w:top w:val="none" w:sz="0" w:space="0" w:color="auto"/>
                                <w:left w:val="none" w:sz="0" w:space="0" w:color="auto"/>
                                <w:bottom w:val="none" w:sz="0" w:space="0" w:color="auto"/>
                                <w:right w:val="none" w:sz="0" w:space="0" w:color="auto"/>
                              </w:divBdr>
                              <w:divsChild>
                                <w:div w:id="837118712">
                                  <w:marLeft w:val="0"/>
                                  <w:marRight w:val="0"/>
                                  <w:marTop w:val="0"/>
                                  <w:marBottom w:val="0"/>
                                  <w:divBdr>
                                    <w:top w:val="none" w:sz="0" w:space="0" w:color="auto"/>
                                    <w:left w:val="none" w:sz="0" w:space="0" w:color="auto"/>
                                    <w:bottom w:val="none" w:sz="0" w:space="0" w:color="auto"/>
                                    <w:right w:val="none" w:sz="0" w:space="0" w:color="auto"/>
                                  </w:divBdr>
                                  <w:divsChild>
                                    <w:div w:id="187107179">
                                      <w:marLeft w:val="0"/>
                                      <w:marRight w:val="0"/>
                                      <w:marTop w:val="0"/>
                                      <w:marBottom w:val="0"/>
                                      <w:divBdr>
                                        <w:top w:val="none" w:sz="0" w:space="0" w:color="auto"/>
                                        <w:left w:val="none" w:sz="0" w:space="0" w:color="auto"/>
                                        <w:bottom w:val="none" w:sz="0" w:space="0" w:color="auto"/>
                                        <w:right w:val="none" w:sz="0" w:space="0" w:color="auto"/>
                                      </w:divBdr>
                                    </w:div>
                                    <w:div w:id="546339777">
                                      <w:marLeft w:val="0"/>
                                      <w:marRight w:val="0"/>
                                      <w:marTop w:val="0"/>
                                      <w:marBottom w:val="0"/>
                                      <w:divBdr>
                                        <w:top w:val="none" w:sz="0" w:space="0" w:color="auto"/>
                                        <w:left w:val="none" w:sz="0" w:space="0" w:color="auto"/>
                                        <w:bottom w:val="none" w:sz="0" w:space="0" w:color="auto"/>
                                        <w:right w:val="none" w:sz="0" w:space="0" w:color="auto"/>
                                      </w:divBdr>
                                    </w:div>
                                    <w:div w:id="11496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curement@onesource.co.uk" TargetMode="External"/><Relationship Id="rId13" Type="http://schemas.openxmlformats.org/officeDocument/2006/relationships/hyperlink" Target="mailto:Nina.Khatun@newham.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uk/e/supported-living-floating-support-homeless-rough-sleeping-dps-tickets-2268243567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yq.fa.em3.oraclecloud.com/fscmUI/faces/PrcPosRegisterSupplier?prcBuId=30000000208919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lyq.fa.em3.oraclecloud.com/fscmUI/faces/PrcPosRegisterSupplier?prcBuId=300000002089195" TargetMode="External"/><Relationship Id="rId4" Type="http://schemas.openxmlformats.org/officeDocument/2006/relationships/numbering" Target="numbering.xml"/><Relationship Id="rId9" Type="http://schemas.openxmlformats.org/officeDocument/2006/relationships/hyperlink" Target="http://www.newham.gov.uk/" TargetMode="External"/><Relationship Id="rId14" Type="http://schemas.openxmlformats.org/officeDocument/2006/relationships/hyperlink" Target="https://elyq.fa.em3.oraclecloud.com/fscmUI/faces/PrcPosRegisterSupplier?prcBuId=300000002089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CFFC78696C94DB686CED8311953D3" ma:contentTypeVersion="13" ma:contentTypeDescription="Create a new document." ma:contentTypeScope="" ma:versionID="f5a0b4a9e0676243e0422f242bbb4ef7">
  <xsd:schema xmlns:xsd="http://www.w3.org/2001/XMLSchema" xmlns:xs="http://www.w3.org/2001/XMLSchema" xmlns:p="http://schemas.microsoft.com/office/2006/metadata/properties" xmlns:ns3="7da7f502-4c3b-4620-938a-a442d9e7c1d8" xmlns:ns4="f898c223-9616-452a-b2df-b75af385e6f7" targetNamespace="http://schemas.microsoft.com/office/2006/metadata/properties" ma:root="true" ma:fieldsID="f9adc175b6171af9e7ab7f01a7963de2" ns3:_="" ns4:_="">
    <xsd:import namespace="7da7f502-4c3b-4620-938a-a442d9e7c1d8"/>
    <xsd:import namespace="f898c223-9616-452a-b2df-b75af385e6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f502-4c3b-4620-938a-a442d9e7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98c223-9616-452a-b2df-b75af385e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80A83-55B9-42B2-BDD2-04F3189F58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148ED9-E80F-4323-9DB9-EA3F3A6E49A5}">
  <ds:schemaRefs>
    <ds:schemaRef ds:uri="http://schemas.microsoft.com/sharepoint/v3/contenttype/forms"/>
  </ds:schemaRefs>
</ds:datastoreItem>
</file>

<file path=customXml/itemProps3.xml><?xml version="1.0" encoding="utf-8"?>
<ds:datastoreItem xmlns:ds="http://schemas.openxmlformats.org/officeDocument/2006/customXml" ds:itemID="{C84961FA-638C-47F4-BE76-7553AEE8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f502-4c3b-4620-938a-a442d9e7c1d8"/>
    <ds:schemaRef ds:uri="f898c223-9616-452a-b2df-b75af385e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Sophie Furniss</cp:lastModifiedBy>
  <cp:revision>3</cp:revision>
  <dcterms:created xsi:type="dcterms:W3CDTF">2021-12-17T13:05:00Z</dcterms:created>
  <dcterms:modified xsi:type="dcterms:W3CDTF">2021-12-17T15:10:00Z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0x010100882CFFC78696C94DB686CED8311953D3</vt:lpwstr>
  </property>
</Properties>
</file>