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3936"/>
        <w:gridCol w:w="3118"/>
        <w:gridCol w:w="2909"/>
      </w:tblGrid>
      <w:tr w:rsidR="002D615D" w:rsidRPr="008B017B" w14:paraId="5F9441DB" w14:textId="77777777" w:rsidTr="37E3AEA2">
        <w:trPr>
          <w:trHeight w:val="1163"/>
        </w:trPr>
        <w:tc>
          <w:tcPr>
            <w:tcW w:w="4112" w:type="dxa"/>
            <w:gridSpan w:val="2"/>
            <w:vMerge w:val="restart"/>
            <w:shd w:val="clear" w:color="auto" w:fill="auto"/>
          </w:tcPr>
          <w:p w14:paraId="4141F94B" w14:textId="6C2284A3" w:rsidR="002D615D" w:rsidRPr="008B017B" w:rsidRDefault="0035604E" w:rsidP="005A4C2F">
            <w:pPr>
              <w:spacing w:before="0" w:after="0" w:line="240" w:lineRule="auto"/>
              <w:ind w:left="88"/>
              <w:jc w:val="both"/>
              <w:rPr>
                <w:color w:val="FFFFFF"/>
                <w:sz w:val="28"/>
              </w:rPr>
            </w:pPr>
            <w:r>
              <w:rPr>
                <w:rFonts w:cs="Arial"/>
                <w:noProof/>
                <w:color w:val="FFFFFF"/>
                <w:sz w:val="28"/>
                <w:lang w:eastAsia="en-GB"/>
              </w:rPr>
              <w:drawing>
                <wp:inline distT="0" distB="0" distL="0" distR="0" wp14:anchorId="56BE38CC" wp14:editId="214A7936">
                  <wp:extent cx="2055495" cy="10604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</w:tcPr>
          <w:p w14:paraId="63827766" w14:textId="77777777" w:rsid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>Defra group Commercial</w:t>
            </w:r>
          </w:p>
          <w:p w14:paraId="39810863" w14:textId="69EFE934" w:rsidR="0019159F" w:rsidRP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 xml:space="preserve">Lateral House </w:t>
            </w:r>
          </w:p>
          <w:p w14:paraId="70E75174" w14:textId="77777777" w:rsidR="0019159F" w:rsidRP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 xml:space="preserve">8 City Walk </w:t>
            </w:r>
          </w:p>
          <w:p w14:paraId="52B3B95F" w14:textId="77777777" w:rsidR="0019159F" w:rsidRP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 xml:space="preserve">Leeds </w:t>
            </w:r>
          </w:p>
          <w:p w14:paraId="1B059168" w14:textId="1F200AC8" w:rsidR="002D615D" w:rsidRP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>LS11 9AT</w:t>
            </w:r>
          </w:p>
        </w:tc>
        <w:tc>
          <w:tcPr>
            <w:tcW w:w="2909" w:type="dxa"/>
            <w:vMerge w:val="restart"/>
            <w:shd w:val="clear" w:color="auto" w:fill="auto"/>
          </w:tcPr>
          <w:p w14:paraId="3FA8107B" w14:textId="77777777" w:rsidR="002D615D" w:rsidRPr="006D3998" w:rsidRDefault="002D615D" w:rsidP="0019159F">
            <w:pPr>
              <w:tabs>
                <w:tab w:val="left" w:pos="8385"/>
              </w:tabs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D81430">
              <w:rPr>
                <w:sz w:val="22"/>
              </w:rPr>
              <w:t xml:space="preserve">: </w:t>
            </w:r>
            <w:bookmarkStart w:id="0" w:name="telMain"/>
            <w:bookmarkEnd w:id="0"/>
            <w:r w:rsidR="006D3998">
              <w:rPr>
                <w:sz w:val="22"/>
              </w:rPr>
              <w:t>03459 335577</w:t>
            </w:r>
          </w:p>
          <w:p w14:paraId="10D95B32" w14:textId="2EA8004C" w:rsidR="009E7E58" w:rsidRPr="00363358" w:rsidRDefault="009E7E58" w:rsidP="0019159F">
            <w:pPr>
              <w:spacing w:before="0" w:after="0" w:line="240" w:lineRule="auto"/>
              <w:rPr>
                <w:color w:val="FFFFFF"/>
                <w:sz w:val="22"/>
              </w:rPr>
            </w:pPr>
            <w:hyperlink r:id="rId13" w:history="1">
              <w:r w:rsidRPr="000E2301">
                <w:rPr>
                  <w:rStyle w:val="Hyperlink"/>
                  <w:sz w:val="22"/>
                </w:rPr>
                <w:t>helpline@defra.gsi.gov.uk</w:t>
              </w:r>
            </w:hyperlink>
          </w:p>
          <w:p w14:paraId="1B06666E" w14:textId="77777777" w:rsidR="002D615D" w:rsidRPr="0033473F" w:rsidRDefault="00825F6E" w:rsidP="0019159F">
            <w:pPr>
              <w:spacing w:before="0" w:after="0" w:line="240" w:lineRule="auto"/>
              <w:rPr>
                <w:color w:val="00AF41"/>
                <w:sz w:val="22"/>
              </w:rPr>
            </w:pPr>
            <w:r w:rsidRPr="0033473F">
              <w:rPr>
                <w:color w:val="00AF41"/>
                <w:sz w:val="22"/>
              </w:rPr>
              <w:t>www.gov.uk/defra</w:t>
            </w:r>
          </w:p>
        </w:tc>
      </w:tr>
      <w:tr w:rsidR="002D615D" w:rsidRPr="008B017B" w14:paraId="64ABA20E" w14:textId="77777777" w:rsidTr="37E3AEA2">
        <w:trPr>
          <w:trHeight w:val="1065"/>
        </w:trPr>
        <w:tc>
          <w:tcPr>
            <w:tcW w:w="4112" w:type="dxa"/>
            <w:gridSpan w:val="2"/>
            <w:vMerge/>
          </w:tcPr>
          <w:p w14:paraId="55AF5BBA" w14:textId="77777777" w:rsidR="002D615D" w:rsidRDefault="002D615D" w:rsidP="0019159F">
            <w:pPr>
              <w:spacing w:before="0" w:after="0" w:line="240" w:lineRule="auto"/>
              <w:rPr>
                <w:color w:val="FFFFFF"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A2429E8" w14:textId="1F2B7CC4" w:rsidR="002D615D" w:rsidRPr="00B206B4" w:rsidRDefault="002D615D" w:rsidP="0019159F">
            <w:pPr>
              <w:spacing w:before="0" w:after="0" w:line="240" w:lineRule="auto"/>
              <w:rPr>
                <w:i/>
                <w:iCs/>
                <w:sz w:val="22"/>
              </w:rPr>
            </w:pPr>
          </w:p>
          <w:p w14:paraId="1868812D" w14:textId="77777777" w:rsidR="002D615D" w:rsidRPr="0089584B" w:rsidRDefault="002D615D" w:rsidP="0019159F">
            <w:pPr>
              <w:spacing w:before="0" w:after="0" w:line="240" w:lineRule="auto"/>
              <w:rPr>
                <w:noProof/>
                <w:sz w:val="22"/>
                <w:lang w:eastAsia="en-GB"/>
              </w:rPr>
            </w:pPr>
          </w:p>
        </w:tc>
        <w:tc>
          <w:tcPr>
            <w:tcW w:w="2909" w:type="dxa"/>
            <w:vMerge/>
          </w:tcPr>
          <w:p w14:paraId="7C30514B" w14:textId="77777777" w:rsidR="002D615D" w:rsidRDefault="002D615D" w:rsidP="0019159F">
            <w:pPr>
              <w:tabs>
                <w:tab w:val="left" w:pos="8385"/>
              </w:tabs>
              <w:spacing w:before="0" w:after="0" w:line="240" w:lineRule="auto"/>
              <w:rPr>
                <w:sz w:val="22"/>
              </w:rPr>
            </w:pPr>
          </w:p>
        </w:tc>
      </w:tr>
      <w:tr w:rsidR="00C47EA2" w:rsidRPr="00432920" w14:paraId="008438CC" w14:textId="77777777" w:rsidTr="37E3AEA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76" w:type="dxa"/>
          <w:trHeight w:val="720"/>
        </w:trPr>
        <w:tc>
          <w:tcPr>
            <w:tcW w:w="7054" w:type="dxa"/>
            <w:gridSpan w:val="2"/>
          </w:tcPr>
          <w:p w14:paraId="29648313" w14:textId="2EF67A82" w:rsidR="009E7E58" w:rsidRPr="00432920" w:rsidRDefault="009E7E58" w:rsidP="005A4C2F">
            <w:pPr>
              <w:spacing w:before="0" w:after="0" w:line="240" w:lineRule="auto"/>
              <w:jc w:val="both"/>
              <w:rPr>
                <w:szCs w:val="24"/>
              </w:rPr>
            </w:pPr>
            <w:bookmarkStart w:id="1" w:name="recName"/>
            <w:bookmarkEnd w:id="1"/>
            <w:r w:rsidRPr="00432920">
              <w:rPr>
                <w:szCs w:val="24"/>
              </w:rPr>
              <w:t>All Interested Parties</w:t>
            </w:r>
          </w:p>
          <w:p w14:paraId="1C254F16" w14:textId="20406622" w:rsidR="00C47EA2" w:rsidRPr="00432920" w:rsidRDefault="009E7E58" w:rsidP="005A4C2F">
            <w:pPr>
              <w:spacing w:before="0" w:after="0" w:line="240" w:lineRule="auto"/>
              <w:jc w:val="both"/>
              <w:rPr>
                <w:i/>
                <w:iCs/>
                <w:color w:val="FF0000"/>
                <w:szCs w:val="24"/>
              </w:rPr>
            </w:pPr>
            <w:r w:rsidRPr="00432920">
              <w:rPr>
                <w:szCs w:val="24"/>
              </w:rPr>
              <w:t>Published Online</w:t>
            </w:r>
            <w:bookmarkStart w:id="2" w:name="recComp"/>
            <w:bookmarkEnd w:id="2"/>
          </w:p>
        </w:tc>
        <w:tc>
          <w:tcPr>
            <w:tcW w:w="2909" w:type="dxa"/>
          </w:tcPr>
          <w:p w14:paraId="67382250" w14:textId="343E2634" w:rsidR="00C47EA2" w:rsidRPr="00432920" w:rsidRDefault="00C47EA2" w:rsidP="005A4C2F">
            <w:pPr>
              <w:tabs>
                <w:tab w:val="left" w:pos="1134"/>
              </w:tabs>
              <w:spacing w:before="0" w:after="0" w:line="240" w:lineRule="auto"/>
              <w:ind w:left="-108"/>
              <w:jc w:val="both"/>
              <w:rPr>
                <w:sz w:val="22"/>
              </w:rPr>
            </w:pPr>
            <w:r w:rsidRPr="00432920">
              <w:rPr>
                <w:sz w:val="22"/>
              </w:rPr>
              <w:t>Our ref:</w:t>
            </w:r>
            <w:r w:rsidRPr="00432920">
              <w:rPr>
                <w:sz w:val="22"/>
              </w:rPr>
              <w:tab/>
            </w:r>
            <w:bookmarkStart w:id="3" w:name="ourRef"/>
            <w:bookmarkEnd w:id="3"/>
            <w:r w:rsidR="00015475" w:rsidRPr="00015475">
              <w:rPr>
                <w:sz w:val="22"/>
              </w:rPr>
              <w:t>P-32071</w:t>
            </w:r>
          </w:p>
          <w:p w14:paraId="6F894761" w14:textId="415BA577" w:rsidR="00C47EA2" w:rsidRPr="00432920" w:rsidRDefault="00C47EA2" w:rsidP="005A4C2F">
            <w:pPr>
              <w:tabs>
                <w:tab w:val="left" w:pos="1134"/>
              </w:tabs>
              <w:spacing w:before="0" w:after="0" w:line="240" w:lineRule="auto"/>
              <w:ind w:left="-108"/>
              <w:jc w:val="both"/>
            </w:pPr>
            <w:r w:rsidRPr="00432920">
              <w:rPr>
                <w:sz w:val="22"/>
              </w:rPr>
              <w:t>Date:</w:t>
            </w:r>
            <w:r w:rsidRPr="00432920">
              <w:rPr>
                <w:sz w:val="22"/>
              </w:rPr>
              <w:tab/>
            </w:r>
            <w:bookmarkStart w:id="4" w:name="date"/>
            <w:bookmarkEnd w:id="4"/>
            <w:r w:rsidR="00AF7DE1">
              <w:rPr>
                <w:sz w:val="22"/>
              </w:rPr>
              <w:t>21</w:t>
            </w:r>
            <w:r w:rsidR="00AF7DE1" w:rsidRPr="00AF7DE1">
              <w:rPr>
                <w:sz w:val="22"/>
                <w:vertAlign w:val="superscript"/>
              </w:rPr>
              <w:t>st</w:t>
            </w:r>
            <w:r w:rsidR="00AF7DE1">
              <w:rPr>
                <w:sz w:val="22"/>
              </w:rPr>
              <w:t xml:space="preserve"> </w:t>
            </w:r>
            <w:r w:rsidR="00432920" w:rsidRPr="00015475">
              <w:rPr>
                <w:sz w:val="22"/>
              </w:rPr>
              <w:t>March 2025</w:t>
            </w:r>
          </w:p>
        </w:tc>
      </w:tr>
    </w:tbl>
    <w:p w14:paraId="024126EC" w14:textId="77777777" w:rsidR="009E7E58" w:rsidRPr="00432920" w:rsidRDefault="009E7E58" w:rsidP="005A4C2F">
      <w:pPr>
        <w:spacing w:before="0" w:line="240" w:lineRule="auto"/>
        <w:jc w:val="both"/>
      </w:pPr>
    </w:p>
    <w:p w14:paraId="3B6B6E4F" w14:textId="5BFF42F0" w:rsidR="00B617E0" w:rsidRDefault="009E7E58" w:rsidP="005A4C2F">
      <w:pPr>
        <w:spacing w:before="0" w:line="240" w:lineRule="auto"/>
        <w:jc w:val="both"/>
      </w:pPr>
      <w:r>
        <w:t>To Whom It Will Concern</w:t>
      </w:r>
      <w:bookmarkStart w:id="5" w:name="salute"/>
      <w:bookmarkEnd w:id="5"/>
    </w:p>
    <w:p w14:paraId="4C7EBA81" w14:textId="14970816" w:rsidR="009E7E58" w:rsidRDefault="009E7E58" w:rsidP="005A4C2F">
      <w:pPr>
        <w:pStyle w:val="Heading1"/>
        <w:spacing w:before="0"/>
        <w:jc w:val="both"/>
      </w:pPr>
      <w:bookmarkStart w:id="6" w:name="subject"/>
      <w:bookmarkStart w:id="7" w:name="type"/>
      <w:bookmarkEnd w:id="6"/>
      <w:bookmarkEnd w:id="7"/>
      <w:r>
        <w:t>Market Engagement:</w:t>
      </w:r>
      <w:r w:rsidR="00744558" w:rsidRPr="00744558">
        <w:t xml:space="preserve"> Provision of Agricultural Valuation Services</w:t>
      </w:r>
      <w:r w:rsidR="004F0CB3">
        <w:t xml:space="preserve"> to Government</w:t>
      </w:r>
    </w:p>
    <w:p w14:paraId="22D0D8F3" w14:textId="333A65DE" w:rsidR="00744558" w:rsidRDefault="00337879" w:rsidP="003D75DF">
      <w:pPr>
        <w:spacing w:before="0" w:after="0" w:line="240" w:lineRule="auto"/>
        <w:jc w:val="both"/>
      </w:pPr>
      <w:r>
        <w:t>We require</w:t>
      </w:r>
      <w:r w:rsidR="001C5F47">
        <w:t xml:space="preserve"> a range</w:t>
      </w:r>
      <w:r>
        <w:t xml:space="preserve"> </w:t>
      </w:r>
      <w:r w:rsidR="001A5243">
        <w:t xml:space="preserve">of </w:t>
      </w:r>
      <w:r w:rsidR="00207F1B">
        <w:t>valuers</w:t>
      </w:r>
      <w:r w:rsidR="00156609">
        <w:t xml:space="preserve"> to work on behalf </w:t>
      </w:r>
      <w:r w:rsidR="00CC7C93">
        <w:t>of</w:t>
      </w:r>
      <w:r w:rsidR="00015475">
        <w:t xml:space="preserve"> </w:t>
      </w:r>
      <w:r w:rsidR="00156609">
        <w:t>Government to value</w:t>
      </w:r>
      <w:r w:rsidR="001C5F47">
        <w:t xml:space="preserve"> livestock,</w:t>
      </w:r>
      <w:r w:rsidR="009E7E58">
        <w:t xml:space="preserve"> </w:t>
      </w:r>
      <w:r w:rsidR="003D75DF">
        <w:t>crops, agricultural plant</w:t>
      </w:r>
      <w:r w:rsidR="00E77CE9">
        <w:t>,</w:t>
      </w:r>
      <w:r w:rsidR="003D75DF">
        <w:t xml:space="preserve"> equipment and other similar </w:t>
      </w:r>
      <w:r w:rsidR="00156609">
        <w:t xml:space="preserve">assets.  </w:t>
      </w:r>
      <w:r w:rsidR="00E77CE9">
        <w:t>Valuations are required</w:t>
      </w:r>
      <w:r w:rsidR="00156609">
        <w:t xml:space="preserve"> to </w:t>
      </w:r>
      <w:r w:rsidR="00E60C09">
        <w:t>enable</w:t>
      </w:r>
      <w:r w:rsidR="00156609">
        <w:t xml:space="preserve"> Government</w:t>
      </w:r>
      <w:r w:rsidR="00E60C09">
        <w:t xml:space="preserve"> to pay compensation to owners of animals, crops</w:t>
      </w:r>
      <w:r w:rsidR="00BB0BFE">
        <w:t xml:space="preserve">, </w:t>
      </w:r>
      <w:r w:rsidR="00E60C09">
        <w:t xml:space="preserve">equipment </w:t>
      </w:r>
      <w:r w:rsidR="00BB0BFE">
        <w:t xml:space="preserve">etc. </w:t>
      </w:r>
      <w:r w:rsidR="00E60C09">
        <w:t xml:space="preserve">when we order the destruction of their property.  For example, </w:t>
      </w:r>
      <w:r w:rsidR="00BB0BFE">
        <w:t xml:space="preserve">we will order the </w:t>
      </w:r>
      <w:r w:rsidR="00E77CE9">
        <w:t xml:space="preserve">culling </w:t>
      </w:r>
      <w:r w:rsidR="00BB0BFE">
        <w:t xml:space="preserve">of </w:t>
      </w:r>
      <w:r w:rsidR="00891B46">
        <w:t>animals with</w:t>
      </w:r>
      <w:r w:rsidR="00293FA3">
        <w:t xml:space="preserve"> </w:t>
      </w:r>
      <w:r w:rsidR="004F0CB3">
        <w:t>disease</w:t>
      </w:r>
      <w:r w:rsidR="00207F1B">
        <w:t>s</w:t>
      </w:r>
      <w:r w:rsidR="004F0CB3">
        <w:t xml:space="preserve"> such as TB, avian influenza and foot and mouth.</w:t>
      </w:r>
      <w:r w:rsidR="004A220F">
        <w:t xml:space="preserve">  </w:t>
      </w:r>
    </w:p>
    <w:p w14:paraId="766CA256" w14:textId="77777777" w:rsidR="00337879" w:rsidRDefault="00337879" w:rsidP="005A4C2F">
      <w:pPr>
        <w:spacing w:before="0" w:after="0" w:line="240" w:lineRule="auto"/>
        <w:jc w:val="both"/>
      </w:pPr>
    </w:p>
    <w:p w14:paraId="387936BC" w14:textId="4CE3A9D2" w:rsidR="00E73824" w:rsidRDefault="00891B46" w:rsidP="005A4C2F">
      <w:pPr>
        <w:spacing w:before="0" w:after="0" w:line="240" w:lineRule="auto"/>
        <w:jc w:val="both"/>
      </w:pPr>
      <w:r>
        <w:t>We have existing agreements in place to provide a</w:t>
      </w:r>
      <w:r w:rsidRPr="00891B46">
        <w:t xml:space="preserve">gricultural </w:t>
      </w:r>
      <w:r>
        <w:t>v</w:t>
      </w:r>
      <w:r w:rsidRPr="00891B46">
        <w:t xml:space="preserve">aluation </w:t>
      </w:r>
      <w:r>
        <w:t>s</w:t>
      </w:r>
      <w:r w:rsidRPr="00891B46">
        <w:t>ervices</w:t>
      </w:r>
      <w:r>
        <w:t xml:space="preserve">, but these agreements will come to </w:t>
      </w:r>
      <w:r w:rsidR="00091D9E">
        <w:t xml:space="preserve">an </w:t>
      </w:r>
      <w:r>
        <w:t xml:space="preserve">end in </w:t>
      </w:r>
      <w:r w:rsidR="0065661E">
        <w:t>s</w:t>
      </w:r>
      <w:r w:rsidR="00814048">
        <w:t xml:space="preserve">pring </w:t>
      </w:r>
      <w:r w:rsidR="00744558">
        <w:t>2025.</w:t>
      </w:r>
      <w:r w:rsidR="00D17FCF">
        <w:t xml:space="preserve">  </w:t>
      </w:r>
      <w:r w:rsidR="00744558">
        <w:t>Prior to</w:t>
      </w:r>
      <w:r>
        <w:t xml:space="preserve"> seeking a new set of agreements, we </w:t>
      </w:r>
      <w:r w:rsidR="00091D9E">
        <w:t xml:space="preserve">want to </w:t>
      </w:r>
      <w:r>
        <w:t>understand if our</w:t>
      </w:r>
      <w:r w:rsidR="00744558">
        <w:t xml:space="preserve"> specification </w:t>
      </w:r>
      <w:r w:rsidR="00091D9E">
        <w:t>is</w:t>
      </w:r>
      <w:r>
        <w:t xml:space="preserve"> fit for purpose.  The specification is the document which describes</w:t>
      </w:r>
      <w:r w:rsidR="00E73824">
        <w:t>:</w:t>
      </w:r>
    </w:p>
    <w:p w14:paraId="2F1FB61B" w14:textId="77777777" w:rsidR="00E73824" w:rsidRDefault="00E73824" w:rsidP="005A4C2F">
      <w:pPr>
        <w:spacing w:before="0" w:after="0" w:line="240" w:lineRule="auto"/>
        <w:jc w:val="both"/>
      </w:pPr>
    </w:p>
    <w:p w14:paraId="19EE7A8C" w14:textId="75C6D6D8" w:rsidR="00891B46" w:rsidRDefault="00E73824" w:rsidP="00E73824">
      <w:pPr>
        <w:pStyle w:val="ListParagraph"/>
        <w:numPr>
          <w:ilvl w:val="0"/>
          <w:numId w:val="4"/>
        </w:numPr>
        <w:spacing w:before="0" w:after="0" w:line="240" w:lineRule="auto"/>
        <w:jc w:val="both"/>
      </w:pPr>
      <w:r>
        <w:t>How value</w:t>
      </w:r>
      <w:r w:rsidR="00A97616">
        <w:t>r</w:t>
      </w:r>
      <w:r>
        <w:t>s work on our behalf</w:t>
      </w:r>
    </w:p>
    <w:p w14:paraId="2390DFBD" w14:textId="1F312128" w:rsidR="00E73824" w:rsidRDefault="00E73824" w:rsidP="00E73824">
      <w:pPr>
        <w:pStyle w:val="ListParagraph"/>
        <w:numPr>
          <w:ilvl w:val="0"/>
          <w:numId w:val="4"/>
        </w:numPr>
        <w:spacing w:before="0" w:after="0" w:line="240" w:lineRule="auto"/>
        <w:jc w:val="both"/>
      </w:pPr>
      <w:r>
        <w:t>What experience valuers must have</w:t>
      </w:r>
    </w:p>
    <w:p w14:paraId="4559D673" w14:textId="7BB33AF9" w:rsidR="00D17FCF" w:rsidRDefault="00D17FCF" w:rsidP="00E73824">
      <w:pPr>
        <w:pStyle w:val="ListParagraph"/>
        <w:numPr>
          <w:ilvl w:val="0"/>
          <w:numId w:val="4"/>
        </w:numPr>
        <w:spacing w:before="0" w:after="0" w:line="240" w:lineRule="auto"/>
        <w:jc w:val="both"/>
      </w:pPr>
      <w:r>
        <w:t>*New Requirement* The code of conduct we expect valuers to follow</w:t>
      </w:r>
    </w:p>
    <w:p w14:paraId="1A58E436" w14:textId="6B96CB27" w:rsidR="00E73824" w:rsidRDefault="00E73824" w:rsidP="00E73824">
      <w:pPr>
        <w:spacing w:before="0" w:after="0" w:line="240" w:lineRule="auto"/>
        <w:ind w:left="420"/>
        <w:jc w:val="both"/>
      </w:pPr>
    </w:p>
    <w:p w14:paraId="36217DE7" w14:textId="70FCDFA3" w:rsidR="00744558" w:rsidRDefault="00D17FCF" w:rsidP="005A4C2F">
      <w:pPr>
        <w:spacing w:before="0" w:after="0" w:line="240" w:lineRule="auto"/>
        <w:jc w:val="both"/>
      </w:pPr>
      <w:r>
        <w:t xml:space="preserve">We </w:t>
      </w:r>
      <w:r w:rsidR="004A3A2D">
        <w:t>are seeking feedback from</w:t>
      </w:r>
      <w:r>
        <w:t xml:space="preserve"> valuers, experts and interested parties</w:t>
      </w:r>
      <w:r w:rsidR="004A3A2D">
        <w:t xml:space="preserve"> on our draft specification.  This represents your opportunity to</w:t>
      </w:r>
      <w:r w:rsidR="008D660C">
        <w:t xml:space="preserve"> help</w:t>
      </w:r>
      <w:r w:rsidR="004A3A2D">
        <w:t xml:space="preserve"> shape, change and define </w:t>
      </w:r>
      <w:r w:rsidR="0068618B">
        <w:t>Government</w:t>
      </w:r>
      <w:r w:rsidR="00A97616">
        <w:t>s</w:t>
      </w:r>
      <w:r w:rsidR="0068618B">
        <w:t xml:space="preserve"> approach</w:t>
      </w:r>
      <w:r w:rsidR="004A3A2D">
        <w:t xml:space="preserve"> to</w:t>
      </w:r>
      <w:r w:rsidR="004A3A2D" w:rsidRPr="004A3A2D">
        <w:t xml:space="preserve"> </w:t>
      </w:r>
      <w:r w:rsidR="004A3A2D">
        <w:t>a</w:t>
      </w:r>
      <w:r w:rsidR="004A3A2D" w:rsidRPr="00744558">
        <w:t xml:space="preserve">gricultural </w:t>
      </w:r>
      <w:r w:rsidR="004A3A2D">
        <w:t>v</w:t>
      </w:r>
      <w:r w:rsidR="004A3A2D" w:rsidRPr="00744558">
        <w:t xml:space="preserve">aluation </w:t>
      </w:r>
      <w:r w:rsidR="004A3A2D">
        <w:t>s</w:t>
      </w:r>
      <w:r w:rsidR="004A3A2D" w:rsidRPr="00744558">
        <w:t>ervices</w:t>
      </w:r>
      <w:r w:rsidR="0068618B">
        <w:t>.</w:t>
      </w:r>
    </w:p>
    <w:p w14:paraId="56AA1931" w14:textId="77777777" w:rsidR="00744558" w:rsidRDefault="00744558" w:rsidP="005A4C2F">
      <w:pPr>
        <w:spacing w:before="0" w:after="0" w:line="240" w:lineRule="auto"/>
        <w:jc w:val="both"/>
      </w:pPr>
    </w:p>
    <w:p w14:paraId="5A44A9C2" w14:textId="25EA6E46" w:rsidR="0068618B" w:rsidRDefault="00744558" w:rsidP="005A4C2F">
      <w:pPr>
        <w:spacing w:before="0" w:after="0" w:line="240" w:lineRule="auto"/>
        <w:jc w:val="both"/>
      </w:pPr>
      <w:r>
        <w:t>I</w:t>
      </w:r>
      <w:r w:rsidR="0068618B">
        <w:t>f you would like to help shape the future of Government</w:t>
      </w:r>
      <w:r w:rsidR="00095C1C">
        <w:t>s</w:t>
      </w:r>
      <w:r w:rsidR="0068618B">
        <w:t xml:space="preserve"> approach to</w:t>
      </w:r>
      <w:r w:rsidR="0068618B" w:rsidRPr="004A3A2D">
        <w:t xml:space="preserve"> </w:t>
      </w:r>
      <w:r w:rsidR="0068618B">
        <w:t>a</w:t>
      </w:r>
      <w:r w:rsidR="0068618B" w:rsidRPr="00744558">
        <w:t xml:space="preserve">gricultural </w:t>
      </w:r>
      <w:r w:rsidR="0068618B">
        <w:t>v</w:t>
      </w:r>
      <w:r w:rsidR="0068618B" w:rsidRPr="00744558">
        <w:t xml:space="preserve">aluation </w:t>
      </w:r>
      <w:r w:rsidR="0068618B">
        <w:t>s</w:t>
      </w:r>
      <w:r w:rsidR="0068618B" w:rsidRPr="00744558">
        <w:t>ervices</w:t>
      </w:r>
      <w:r w:rsidR="0068618B">
        <w:t xml:space="preserve">, please review the draft specification &amp; our questions overleaf.  Please return your questionnaire, along with any other comments you have to </w:t>
      </w:r>
      <w:hyperlink r:id="rId14" w:history="1">
        <w:r w:rsidR="0068618B" w:rsidRPr="007A0A90">
          <w:rPr>
            <w:rStyle w:val="Hyperlink"/>
          </w:rPr>
          <w:t>tom.redfearn@defra.gov.uk</w:t>
        </w:r>
      </w:hyperlink>
      <w:r w:rsidR="0068618B">
        <w:t>.</w:t>
      </w:r>
    </w:p>
    <w:p w14:paraId="18705D9B" w14:textId="1C354F6B" w:rsidR="0068618B" w:rsidRDefault="0068618B" w:rsidP="005A4C2F">
      <w:pPr>
        <w:spacing w:before="0" w:after="0" w:line="240" w:lineRule="auto"/>
        <w:jc w:val="both"/>
      </w:pPr>
    </w:p>
    <w:p w14:paraId="1D48E7FD" w14:textId="5CAE2EE9" w:rsidR="00141432" w:rsidRDefault="00141432" w:rsidP="005A4C2F">
      <w:pPr>
        <w:spacing w:before="0" w:after="0" w:line="240" w:lineRule="auto"/>
        <w:jc w:val="both"/>
      </w:pPr>
      <w:r>
        <w:t xml:space="preserve">We are asking for your feedback </w:t>
      </w:r>
      <w:r w:rsidR="00A97616">
        <w:t xml:space="preserve">by </w:t>
      </w:r>
      <w:r w:rsidR="00AF7DE1">
        <w:t>6</w:t>
      </w:r>
      <w:r w:rsidR="00AF7DE1" w:rsidRPr="00AF7DE1">
        <w:rPr>
          <w:vertAlign w:val="superscript"/>
        </w:rPr>
        <w:t>th</w:t>
      </w:r>
      <w:r w:rsidR="00AF7DE1">
        <w:t xml:space="preserve"> April</w:t>
      </w:r>
      <w:r>
        <w:t xml:space="preserve"> 2025, we would then look to take your feedback on board and launch the procurement exercise to set up new agreement</w:t>
      </w:r>
      <w:r w:rsidR="00A97616">
        <w:t>s</w:t>
      </w:r>
      <w:r>
        <w:t xml:space="preserve"> later in the </w:t>
      </w:r>
      <w:r w:rsidR="0065661E">
        <w:t>s</w:t>
      </w:r>
      <w:r>
        <w:t>pring.</w:t>
      </w:r>
      <w:r w:rsidR="006D0D8A">
        <w:t xml:space="preserve">  </w:t>
      </w:r>
      <w:r>
        <w:t xml:space="preserve">I hope you are interested in this opportunity to help shape </w:t>
      </w:r>
      <w:r w:rsidR="00095C1C">
        <w:t>our</w:t>
      </w:r>
      <w:r>
        <w:t xml:space="preserve"> thinking</w:t>
      </w:r>
      <w:r w:rsidR="006D0D8A">
        <w:t xml:space="preserve"> and I look forward to hearing from you</w:t>
      </w:r>
      <w:r w:rsidR="00A97616">
        <w:t>.</w:t>
      </w:r>
    </w:p>
    <w:p w14:paraId="6A7D1991" w14:textId="77777777" w:rsidR="00744558" w:rsidRDefault="00744558" w:rsidP="005A4C2F">
      <w:pPr>
        <w:spacing w:before="0" w:after="0" w:line="240" w:lineRule="auto"/>
        <w:jc w:val="both"/>
      </w:pPr>
    </w:p>
    <w:p w14:paraId="3E574DB5" w14:textId="6FD7FAAF" w:rsidR="00FD5821" w:rsidRDefault="00FD5821" w:rsidP="005A4C2F">
      <w:pPr>
        <w:spacing w:before="0" w:line="240" w:lineRule="auto"/>
        <w:jc w:val="both"/>
      </w:pPr>
      <w:r w:rsidRPr="005E3801">
        <w:t xml:space="preserve">Yours </w:t>
      </w:r>
      <w:r w:rsidR="0014161C">
        <w:t>faithfully</w:t>
      </w:r>
      <w:r w:rsidR="0019159F">
        <w:t>,</w:t>
      </w:r>
    </w:p>
    <w:p w14:paraId="458CF6C8" w14:textId="2830E073" w:rsidR="0019159F" w:rsidRDefault="00C348EB" w:rsidP="005A4C2F">
      <w:pPr>
        <w:spacing w:before="0" w:line="240" w:lineRule="auto"/>
        <w:jc w:val="both"/>
      </w:pPr>
      <w:r>
        <w:rPr>
          <w:noProof/>
        </w:rPr>
        <w:drawing>
          <wp:inline distT="0" distB="0" distL="0" distR="0" wp14:anchorId="3A932BF4" wp14:editId="4712681C">
            <wp:extent cx="1343660" cy="524510"/>
            <wp:effectExtent l="0" t="0" r="8890" b="8890"/>
            <wp:docPr id="104308464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83416" w14:textId="761F734A" w:rsidR="0019159F" w:rsidRDefault="0019159F" w:rsidP="005A4C2F">
      <w:pPr>
        <w:spacing w:before="0" w:after="0" w:line="240" w:lineRule="auto"/>
        <w:jc w:val="both"/>
      </w:pPr>
      <w:r>
        <w:t>Tom Redfearn</w:t>
      </w:r>
    </w:p>
    <w:p w14:paraId="593BA9A3" w14:textId="60E39A0D" w:rsidR="005A4C2F" w:rsidRDefault="0019159F" w:rsidP="005A4C2F">
      <w:pPr>
        <w:spacing w:before="0" w:line="240" w:lineRule="auto"/>
        <w:jc w:val="both"/>
      </w:pPr>
      <w:r>
        <w:t>Senior Category Officer, Defra group Commercial</w:t>
      </w:r>
    </w:p>
    <w:p w14:paraId="2DC48C88" w14:textId="0D7EEE17" w:rsidR="003A45DC" w:rsidRDefault="003A45DC" w:rsidP="000D10DA">
      <w:pPr>
        <w:pStyle w:val="Heading1"/>
        <w:spacing w:before="0" w:after="0"/>
      </w:pPr>
      <w:r>
        <w:br w:type="page"/>
      </w:r>
      <w:r w:rsidR="009E7E58">
        <w:lastRenderedPageBreak/>
        <w:t>Questionnaire</w:t>
      </w:r>
      <w:r w:rsidR="008D660C">
        <w:t xml:space="preserve">: </w:t>
      </w:r>
      <w:r w:rsidR="008D660C" w:rsidRPr="00744558">
        <w:t>Agricultural Valuation Services</w:t>
      </w:r>
    </w:p>
    <w:p w14:paraId="75F2EA0F" w14:textId="77777777" w:rsidR="000D10DA" w:rsidRDefault="000D10DA" w:rsidP="000D10DA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36DC6" w14:paraId="1A875247" w14:textId="77777777" w:rsidTr="00594382">
        <w:tc>
          <w:tcPr>
            <w:tcW w:w="4814" w:type="dxa"/>
            <w:shd w:val="clear" w:color="auto" w:fill="BFBFBF" w:themeFill="background1" w:themeFillShade="BF"/>
          </w:tcPr>
          <w:p w14:paraId="118DE154" w14:textId="58E5DE01" w:rsidR="00236DC6" w:rsidRDefault="00236DC6" w:rsidP="000D10DA">
            <w:pPr>
              <w:spacing w:before="0" w:after="0" w:line="240" w:lineRule="auto"/>
            </w:pPr>
            <w:r>
              <w:t>Question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0B0A05A5" w14:textId="5C5BAEA9" w:rsidR="00236DC6" w:rsidRDefault="00236DC6" w:rsidP="000D10DA">
            <w:pPr>
              <w:spacing w:before="0" w:after="0" w:line="240" w:lineRule="auto"/>
            </w:pPr>
            <w:r>
              <w:t>Response</w:t>
            </w:r>
          </w:p>
        </w:tc>
      </w:tr>
      <w:tr w:rsidR="000D10DA" w14:paraId="7D73EF57" w14:textId="77777777" w:rsidTr="00236DC6">
        <w:tc>
          <w:tcPr>
            <w:tcW w:w="4814" w:type="dxa"/>
          </w:tcPr>
          <w:p w14:paraId="7A08690D" w14:textId="34181760" w:rsidR="000D10DA" w:rsidRDefault="000D10DA" w:rsidP="000D10DA">
            <w:pPr>
              <w:spacing w:before="0" w:after="0" w:line="240" w:lineRule="auto"/>
            </w:pPr>
            <w:r>
              <w:t xml:space="preserve">We have introduced a new code of conduct </w:t>
            </w:r>
            <w:r w:rsidR="00FE00AC">
              <w:t>into</w:t>
            </w:r>
            <w:r>
              <w:t xml:space="preserve"> this specification at </w:t>
            </w:r>
            <w:r w:rsidR="000B57AE" w:rsidRPr="00484FD4">
              <w:rPr>
                <w:i/>
              </w:rPr>
              <w:t>S</w:t>
            </w:r>
            <w:r w:rsidRPr="00484FD4">
              <w:rPr>
                <w:i/>
              </w:rPr>
              <w:t>ection</w:t>
            </w:r>
            <w:r w:rsidR="002C7741" w:rsidRPr="00484FD4">
              <w:rPr>
                <w:i/>
              </w:rPr>
              <w:t xml:space="preserve"> 3 Sub-Section 6: Code of Conduct</w:t>
            </w:r>
            <w:r w:rsidR="002C7741">
              <w:t xml:space="preserve"> (page 15) with the code set out in full on page </w:t>
            </w:r>
            <w:r w:rsidR="000B57AE">
              <w:t>38.</w:t>
            </w:r>
          </w:p>
          <w:p w14:paraId="2A6910B0" w14:textId="77777777" w:rsidR="00FE00AC" w:rsidRDefault="00FE00AC" w:rsidP="000D10DA">
            <w:pPr>
              <w:spacing w:before="0" w:after="0" w:line="240" w:lineRule="auto"/>
            </w:pPr>
          </w:p>
          <w:p w14:paraId="17A6CF0C" w14:textId="77777777" w:rsidR="00FE00AC" w:rsidRDefault="000D10DA" w:rsidP="000D10DA">
            <w:pPr>
              <w:spacing w:before="0" w:after="0" w:line="240" w:lineRule="auto"/>
            </w:pPr>
            <w:r>
              <w:t xml:space="preserve">Is this code of conduct workable?  </w:t>
            </w:r>
          </w:p>
          <w:p w14:paraId="0C665332" w14:textId="77777777" w:rsidR="00FE00AC" w:rsidRDefault="00FE00AC" w:rsidP="000D10DA">
            <w:pPr>
              <w:spacing w:before="0" w:after="0" w:line="240" w:lineRule="auto"/>
            </w:pPr>
          </w:p>
          <w:p w14:paraId="404D2AF5" w14:textId="77777777" w:rsidR="000D10DA" w:rsidRDefault="000D10DA" w:rsidP="000D10DA">
            <w:pPr>
              <w:spacing w:before="0" w:after="0" w:line="240" w:lineRule="auto"/>
            </w:pPr>
            <w:r>
              <w:t>Would you propose something different?</w:t>
            </w:r>
          </w:p>
          <w:p w14:paraId="251A605B" w14:textId="77777777" w:rsidR="00FE00AC" w:rsidRDefault="00FE00AC" w:rsidP="000D10DA">
            <w:pPr>
              <w:spacing w:before="0" w:after="0" w:line="240" w:lineRule="auto"/>
            </w:pPr>
          </w:p>
          <w:p w14:paraId="3BA10DFF" w14:textId="4DE23FB4" w:rsidR="00FE00AC" w:rsidRDefault="00FE00AC" w:rsidP="000D10DA">
            <w:pPr>
              <w:spacing w:before="0" w:after="0" w:line="240" w:lineRule="auto"/>
            </w:pPr>
            <w:r>
              <w:t>Do you use a different code of conduct in your work? If so, we’d be interested in seeing your code of conduct.</w:t>
            </w:r>
          </w:p>
        </w:tc>
        <w:tc>
          <w:tcPr>
            <w:tcW w:w="4814" w:type="dxa"/>
          </w:tcPr>
          <w:p w14:paraId="2CA2D28B" w14:textId="77777777" w:rsidR="000D10DA" w:rsidRDefault="000D10DA" w:rsidP="000D10DA">
            <w:pPr>
              <w:spacing w:before="0" w:after="0" w:line="240" w:lineRule="auto"/>
            </w:pPr>
          </w:p>
        </w:tc>
      </w:tr>
      <w:tr w:rsidR="000D10DA" w14:paraId="22E78027" w14:textId="77777777" w:rsidTr="00236DC6">
        <w:tc>
          <w:tcPr>
            <w:tcW w:w="4814" w:type="dxa"/>
          </w:tcPr>
          <w:p w14:paraId="261D70EF" w14:textId="678BC0EF" w:rsidR="000D10DA" w:rsidRDefault="00FE00AC" w:rsidP="000D10DA">
            <w:pPr>
              <w:spacing w:before="0" w:after="0" w:line="240" w:lineRule="auto"/>
            </w:pPr>
            <w:r>
              <w:t>Would you propose any changes to the specification?</w:t>
            </w:r>
          </w:p>
          <w:p w14:paraId="6C4A8F88" w14:textId="77777777" w:rsidR="00FE00AC" w:rsidRDefault="00FE00AC" w:rsidP="000D10DA">
            <w:pPr>
              <w:spacing w:before="0" w:after="0" w:line="240" w:lineRule="auto"/>
            </w:pPr>
          </w:p>
          <w:p w14:paraId="5DF0BBD5" w14:textId="5DD2EB94" w:rsidR="00FE00AC" w:rsidRDefault="00FE00AC" w:rsidP="000D10DA">
            <w:pPr>
              <w:spacing w:before="0" w:after="0" w:line="240" w:lineRule="auto"/>
            </w:pPr>
            <w:r>
              <w:t>Do you think some aspects are not deliverable</w:t>
            </w:r>
            <w:r w:rsidR="00484FD4">
              <w:t xml:space="preserve"> or will cost a lot</w:t>
            </w:r>
            <w:r>
              <w:t xml:space="preserve">? </w:t>
            </w:r>
          </w:p>
        </w:tc>
        <w:tc>
          <w:tcPr>
            <w:tcW w:w="4814" w:type="dxa"/>
          </w:tcPr>
          <w:p w14:paraId="7762C333" w14:textId="77777777" w:rsidR="000D10DA" w:rsidRDefault="000D10DA" w:rsidP="000D10DA">
            <w:pPr>
              <w:spacing w:before="0" w:after="0" w:line="240" w:lineRule="auto"/>
            </w:pPr>
          </w:p>
        </w:tc>
      </w:tr>
      <w:tr w:rsidR="00236DC6" w14:paraId="3FD0F9A0" w14:textId="77777777" w:rsidTr="00236DC6">
        <w:tc>
          <w:tcPr>
            <w:tcW w:w="4814" w:type="dxa"/>
          </w:tcPr>
          <w:p w14:paraId="38226F59" w14:textId="77777777" w:rsidR="00760544" w:rsidRDefault="00760544" w:rsidP="000D10DA">
            <w:pPr>
              <w:spacing w:before="0" w:after="0" w:line="240" w:lineRule="auto"/>
            </w:pPr>
            <w:r>
              <w:t>What pricing do you use in your business?</w:t>
            </w:r>
          </w:p>
          <w:p w14:paraId="255A272E" w14:textId="77777777" w:rsidR="00760544" w:rsidRDefault="00760544" w:rsidP="000D10DA">
            <w:pPr>
              <w:spacing w:before="0" w:after="0" w:line="240" w:lineRule="auto"/>
            </w:pPr>
          </w:p>
          <w:p w14:paraId="1A3A41D7" w14:textId="38090384" w:rsidR="00236DC6" w:rsidRDefault="00760544" w:rsidP="000D10DA">
            <w:pPr>
              <w:spacing w:before="0" w:after="0" w:line="240" w:lineRule="auto"/>
            </w:pPr>
            <w:r>
              <w:t>For example, a day rate, fixed price for each valuation etc.</w:t>
            </w:r>
          </w:p>
        </w:tc>
        <w:tc>
          <w:tcPr>
            <w:tcW w:w="4814" w:type="dxa"/>
          </w:tcPr>
          <w:p w14:paraId="47FC9445" w14:textId="77777777" w:rsidR="00236DC6" w:rsidRDefault="00236DC6" w:rsidP="000D10DA">
            <w:pPr>
              <w:spacing w:before="0" w:after="0" w:line="240" w:lineRule="auto"/>
            </w:pPr>
          </w:p>
        </w:tc>
      </w:tr>
      <w:tr w:rsidR="00236DC6" w14:paraId="14DABCA3" w14:textId="77777777" w:rsidTr="00236DC6">
        <w:tc>
          <w:tcPr>
            <w:tcW w:w="4814" w:type="dxa"/>
          </w:tcPr>
          <w:p w14:paraId="35A3D45A" w14:textId="55A2BA34" w:rsidR="001928F4" w:rsidRDefault="00FE00AC" w:rsidP="000D10DA">
            <w:pPr>
              <w:spacing w:before="0" w:after="0" w:line="240" w:lineRule="auto"/>
            </w:pPr>
            <w:r>
              <w:t>I</w:t>
            </w:r>
            <w:r w:rsidR="001928F4">
              <w:t>s the</w:t>
            </w:r>
            <w:r>
              <w:t xml:space="preserve"> level of</w:t>
            </w:r>
            <w:r w:rsidR="001928F4">
              <w:t xml:space="preserve"> experience </w:t>
            </w:r>
            <w:r>
              <w:t xml:space="preserve">we have required </w:t>
            </w:r>
            <w:r w:rsidR="00F351CE">
              <w:t>realistic</w:t>
            </w:r>
            <w:r>
              <w:t xml:space="preserve">? </w:t>
            </w:r>
          </w:p>
          <w:p w14:paraId="2E66A678" w14:textId="77777777" w:rsidR="00B27495" w:rsidRDefault="00B27495" w:rsidP="000D10DA">
            <w:pPr>
              <w:spacing w:before="0" w:after="0" w:line="240" w:lineRule="auto"/>
            </w:pPr>
          </w:p>
          <w:p w14:paraId="19155682" w14:textId="23B647FD" w:rsidR="00B27495" w:rsidRDefault="00B27495" w:rsidP="003F5680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>
              <w:t>Two</w:t>
            </w:r>
            <w:r w:rsidR="00AE2EFA">
              <w:t xml:space="preserve"> </w:t>
            </w:r>
            <w:r>
              <w:t>year</w:t>
            </w:r>
            <w:r w:rsidR="00AE2EFA">
              <w:t>s</w:t>
            </w:r>
            <w:r w:rsidR="00CB6A47">
              <w:t>’</w:t>
            </w:r>
            <w:r>
              <w:t xml:space="preserve"> experience for valu</w:t>
            </w:r>
            <w:r w:rsidR="00643A8D">
              <w:t>ations</w:t>
            </w:r>
            <w:r w:rsidR="00AE2EFA">
              <w:t xml:space="preserve"> in </w:t>
            </w:r>
            <w:r w:rsidR="00AE2EFA" w:rsidRPr="00AE2EFA">
              <w:t>England and Scotland</w:t>
            </w:r>
            <w:r w:rsidR="00AE2EFA">
              <w:t>.</w:t>
            </w:r>
          </w:p>
          <w:p w14:paraId="0A609258" w14:textId="77777777" w:rsidR="00AE2EFA" w:rsidRDefault="00AE2EFA" w:rsidP="000D10DA">
            <w:pPr>
              <w:spacing w:before="0" w:after="0" w:line="240" w:lineRule="auto"/>
            </w:pPr>
          </w:p>
          <w:p w14:paraId="1D43E1A4" w14:textId="67BF5B1D" w:rsidR="00CB6A47" w:rsidRDefault="00AE2EFA" w:rsidP="003F5680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>
              <w:t xml:space="preserve">Eight </w:t>
            </w:r>
            <w:r w:rsidR="00CB6A47">
              <w:t>years’ experience</w:t>
            </w:r>
            <w:r>
              <w:t xml:space="preserve"> for </w:t>
            </w:r>
            <w:r w:rsidR="00643A8D">
              <w:t>valuations</w:t>
            </w:r>
            <w:r>
              <w:t xml:space="preserve"> in Wales</w:t>
            </w:r>
            <w:r w:rsidR="003F5680">
              <w:t>.</w:t>
            </w:r>
          </w:p>
          <w:p w14:paraId="7B26E9BB" w14:textId="77777777" w:rsidR="00CB6A47" w:rsidRDefault="00CB6A47" w:rsidP="00AE2EFA">
            <w:pPr>
              <w:spacing w:before="0" w:after="0" w:line="240" w:lineRule="auto"/>
            </w:pPr>
          </w:p>
          <w:p w14:paraId="74F31BEA" w14:textId="4D41344C" w:rsidR="00AE2EFA" w:rsidRDefault="00CB6A47" w:rsidP="003F5680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>
              <w:t xml:space="preserve">10 years’ experience for </w:t>
            </w:r>
            <w:r w:rsidRPr="00CB6A47">
              <w:t>Expert Valu</w:t>
            </w:r>
            <w:r w:rsidR="0058461A">
              <w:t>ations</w:t>
            </w:r>
            <w:r>
              <w:t xml:space="preserve"> (a valuer who will review valuations done by a</w:t>
            </w:r>
            <w:r w:rsidR="0058461A">
              <w:t>nother</w:t>
            </w:r>
            <w:r>
              <w:t xml:space="preserve"> valuer that </w:t>
            </w:r>
            <w:r w:rsidR="0058461A">
              <w:t xml:space="preserve">may </w:t>
            </w:r>
            <w:r>
              <w:t>have been challenged by the owner of the animal)</w:t>
            </w:r>
            <w:r w:rsidR="00AE2EFA">
              <w:t>.</w:t>
            </w:r>
          </w:p>
          <w:p w14:paraId="5AE3703B" w14:textId="77777777" w:rsidR="008A7C6A" w:rsidRDefault="008A7C6A" w:rsidP="000D10DA">
            <w:pPr>
              <w:spacing w:before="0" w:after="0" w:line="240" w:lineRule="auto"/>
            </w:pPr>
          </w:p>
          <w:p w14:paraId="3F0A985A" w14:textId="61C3EE4A" w:rsidR="00FE00AC" w:rsidRDefault="008A7C6A" w:rsidP="003F5680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>
              <w:t xml:space="preserve">15 years’ experience for </w:t>
            </w:r>
            <w:r w:rsidRPr="008A7C6A">
              <w:t>Monitor Va</w:t>
            </w:r>
            <w:r>
              <w:t>luers (a valuer who will</w:t>
            </w:r>
            <w:r w:rsidR="0071191F">
              <w:t xml:space="preserve"> assess the work of valuers &amp; e</w:t>
            </w:r>
            <w:r w:rsidR="0071191F" w:rsidRPr="00CB6A47">
              <w:t xml:space="preserve">xpert </w:t>
            </w:r>
            <w:r w:rsidR="0071191F">
              <w:t>v</w:t>
            </w:r>
            <w:r w:rsidR="0071191F" w:rsidRPr="00CB6A47">
              <w:t>aluer</w:t>
            </w:r>
            <w:r w:rsidR="0071191F">
              <w:t>s</w:t>
            </w:r>
            <w:r w:rsidR="003F5680">
              <w:t xml:space="preserve"> for audit purposes</w:t>
            </w:r>
            <w:r w:rsidR="004A3067">
              <w:t xml:space="preserve"> e.g., during large animal disease outbreaks</w:t>
            </w:r>
            <w:r w:rsidR="003F5680">
              <w:t>)</w:t>
            </w:r>
          </w:p>
        </w:tc>
        <w:tc>
          <w:tcPr>
            <w:tcW w:w="4814" w:type="dxa"/>
          </w:tcPr>
          <w:p w14:paraId="148386E5" w14:textId="77777777" w:rsidR="00236DC6" w:rsidRDefault="00236DC6" w:rsidP="000D10DA">
            <w:pPr>
              <w:spacing w:before="0" w:after="0" w:line="240" w:lineRule="auto"/>
            </w:pPr>
          </w:p>
        </w:tc>
      </w:tr>
      <w:tr w:rsidR="00236DC6" w14:paraId="6EF83F7C" w14:textId="77777777" w:rsidTr="00236DC6">
        <w:tc>
          <w:tcPr>
            <w:tcW w:w="4814" w:type="dxa"/>
          </w:tcPr>
          <w:p w14:paraId="082D89CA" w14:textId="5B9B3C7F" w:rsidR="00F46586" w:rsidRDefault="00F46586" w:rsidP="00F46586">
            <w:pPr>
              <w:spacing w:before="0" w:after="0" w:line="240" w:lineRule="auto"/>
            </w:pPr>
            <w:r>
              <w:t>In relation to TB Valuations in Wales</w:t>
            </w:r>
            <w:r w:rsidR="008C5A20">
              <w:t xml:space="preserve"> only</w:t>
            </w:r>
            <w:r>
              <w:t>:</w:t>
            </w:r>
          </w:p>
          <w:p w14:paraId="33AC67B3" w14:textId="77777777" w:rsidR="008C5A20" w:rsidRDefault="008C5A20" w:rsidP="00F46586">
            <w:pPr>
              <w:spacing w:before="0" w:after="0" w:line="240" w:lineRule="auto"/>
            </w:pPr>
          </w:p>
          <w:p w14:paraId="69CD4F6C" w14:textId="2FCA40FF" w:rsidR="0076371C" w:rsidRDefault="00F46586" w:rsidP="00F46586">
            <w:pPr>
              <w:spacing w:before="0" w:after="0" w:line="240" w:lineRule="auto"/>
            </w:pPr>
            <w:r>
              <w:t xml:space="preserve">We are exploring </w:t>
            </w:r>
            <w:r w:rsidR="00865AC5">
              <w:t xml:space="preserve">an option for </w:t>
            </w:r>
            <w:r>
              <w:t xml:space="preserve">electronic returns of the </w:t>
            </w:r>
            <w:r w:rsidR="0076371C">
              <w:t>valuation form.</w:t>
            </w:r>
          </w:p>
          <w:p w14:paraId="0143747E" w14:textId="77777777" w:rsidR="008C5A20" w:rsidRDefault="008C5A20" w:rsidP="00F46586">
            <w:pPr>
              <w:spacing w:before="0" w:after="0" w:line="240" w:lineRule="auto"/>
            </w:pPr>
          </w:p>
          <w:p w14:paraId="12454338" w14:textId="2225E4F2" w:rsidR="00F46586" w:rsidRDefault="0076371C" w:rsidP="00F46586">
            <w:pPr>
              <w:spacing w:before="0" w:after="0" w:line="240" w:lineRule="auto"/>
            </w:pPr>
            <w:r>
              <w:t>This will mean that v</w:t>
            </w:r>
            <w:r w:rsidR="00F46586" w:rsidRPr="00F46586">
              <w:t xml:space="preserve">aluers will be required to update and submit an electronic version of the Valuation Form to APHA. The </w:t>
            </w:r>
            <w:r w:rsidR="00F46586" w:rsidRPr="00F46586">
              <w:lastRenderedPageBreak/>
              <w:t>relevant software will be required along with a device that would enable completion of the Valuation Form on farm</w:t>
            </w:r>
            <w:r w:rsidR="002735E0">
              <w:t>;</w:t>
            </w:r>
            <w:r w:rsidR="00F46586" w:rsidRPr="00F46586">
              <w:t xml:space="preserve"> or alternatively a laptop/computer so that the details can be uploaded to the electronic Valuation Form and submitted after the valuation visit (</w:t>
            </w:r>
            <w:r w:rsidR="00C826F6" w:rsidRPr="00F46586">
              <w:t>e.g.</w:t>
            </w:r>
            <w:r w:rsidR="00F46586" w:rsidRPr="00F46586">
              <w:t xml:space="preserve"> when back in </w:t>
            </w:r>
            <w:r w:rsidR="00C826F6">
              <w:t>your</w:t>
            </w:r>
            <w:r w:rsidR="00F46586" w:rsidRPr="00F46586">
              <w:t xml:space="preserve"> office).</w:t>
            </w:r>
          </w:p>
          <w:p w14:paraId="0174698F" w14:textId="77777777" w:rsidR="002735E0" w:rsidRPr="00F46586" w:rsidRDefault="002735E0" w:rsidP="00F46586">
            <w:pPr>
              <w:spacing w:before="0" w:after="0" w:line="240" w:lineRule="auto"/>
            </w:pPr>
          </w:p>
          <w:p w14:paraId="3F61E6C9" w14:textId="0580C0F6" w:rsidR="00236DC6" w:rsidRDefault="002735E0" w:rsidP="000D10DA">
            <w:pPr>
              <w:spacing w:before="0" w:after="0" w:line="240" w:lineRule="auto"/>
            </w:pPr>
            <w:r>
              <w:t>Can you envisage this c</w:t>
            </w:r>
            <w:r w:rsidR="009C5394">
              <w:t>aus</w:t>
            </w:r>
            <w:r>
              <w:t>ing</w:t>
            </w:r>
            <w:r w:rsidR="009C5394">
              <w:t xml:space="preserve"> any issues in returning the </w:t>
            </w:r>
            <w:r w:rsidR="005A615B">
              <w:t xml:space="preserve">TB Valuation </w:t>
            </w:r>
            <w:r w:rsidR="009C5394">
              <w:t>forms to APHA in Wales?</w:t>
            </w:r>
          </w:p>
          <w:p w14:paraId="25616FFA" w14:textId="77777777" w:rsidR="00C826F6" w:rsidRDefault="00C826F6" w:rsidP="000D10DA">
            <w:pPr>
              <w:spacing w:before="0" w:after="0" w:line="240" w:lineRule="auto"/>
            </w:pPr>
          </w:p>
          <w:p w14:paraId="0AA41FE5" w14:textId="3808D2F9" w:rsidR="00C826F6" w:rsidRDefault="00C826F6" w:rsidP="000D10DA">
            <w:pPr>
              <w:spacing w:before="0" w:after="0" w:line="240" w:lineRule="auto"/>
            </w:pPr>
            <w:r>
              <w:t>Would you propose a different approach?</w:t>
            </w:r>
          </w:p>
          <w:p w14:paraId="4932DD61" w14:textId="70C17CDB" w:rsidR="00236DC6" w:rsidRDefault="00236DC6" w:rsidP="000D10DA">
            <w:pPr>
              <w:spacing w:before="0" w:after="0" w:line="240" w:lineRule="auto"/>
            </w:pPr>
          </w:p>
        </w:tc>
        <w:tc>
          <w:tcPr>
            <w:tcW w:w="4814" w:type="dxa"/>
          </w:tcPr>
          <w:p w14:paraId="3F63B3DF" w14:textId="77777777" w:rsidR="00236DC6" w:rsidRDefault="00236DC6" w:rsidP="000D10DA">
            <w:pPr>
              <w:spacing w:before="0" w:after="0" w:line="240" w:lineRule="auto"/>
            </w:pPr>
          </w:p>
        </w:tc>
      </w:tr>
    </w:tbl>
    <w:p w14:paraId="649AE968" w14:textId="77777777" w:rsidR="00236DC6" w:rsidRPr="00744558" w:rsidRDefault="00236DC6" w:rsidP="000D10DA">
      <w:pPr>
        <w:spacing w:before="0" w:after="0" w:line="240" w:lineRule="auto"/>
      </w:pPr>
    </w:p>
    <w:sectPr w:rsidR="00236DC6" w:rsidRPr="00744558" w:rsidSect="00037E89">
      <w:footerReference w:type="first" r:id="rId16"/>
      <w:type w:val="continuous"/>
      <w:pgSz w:w="11906" w:h="16838" w:code="9"/>
      <w:pgMar w:top="1134" w:right="1134" w:bottom="1134" w:left="1134" w:header="567" w:footer="68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1AEB" w14:textId="77777777" w:rsidR="00C9377B" w:rsidRDefault="00C9377B">
      <w:r>
        <w:separator/>
      </w:r>
    </w:p>
  </w:endnote>
  <w:endnote w:type="continuationSeparator" w:id="0">
    <w:p w14:paraId="74C38EC5" w14:textId="77777777" w:rsidR="00C9377B" w:rsidRDefault="00C9377B">
      <w:r>
        <w:continuationSeparator/>
      </w:r>
    </w:p>
  </w:endnote>
  <w:endnote w:type="continuationNotice" w:id="1">
    <w:p w14:paraId="48DDA4C3" w14:textId="77777777" w:rsidR="00C9377B" w:rsidRDefault="00C9377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E195" w14:textId="3DE188AF" w:rsidR="00BE7F5D" w:rsidRDefault="003560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0" allowOverlap="1" wp14:anchorId="418BB47C" wp14:editId="5B49EBA2">
          <wp:simplePos x="0" y="0"/>
          <wp:positionH relativeFrom="margin">
            <wp:posOffset>6014085</wp:posOffset>
          </wp:positionH>
          <wp:positionV relativeFrom="page">
            <wp:posOffset>10036175</wp:posOffset>
          </wp:positionV>
          <wp:extent cx="448945" cy="359410"/>
          <wp:effectExtent l="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F2DD" w14:textId="77777777" w:rsidR="00C9377B" w:rsidRDefault="00C9377B">
      <w:r>
        <w:separator/>
      </w:r>
    </w:p>
  </w:footnote>
  <w:footnote w:type="continuationSeparator" w:id="0">
    <w:p w14:paraId="0AAAC7CC" w14:textId="77777777" w:rsidR="00C9377B" w:rsidRDefault="00C9377B">
      <w:r>
        <w:continuationSeparator/>
      </w:r>
    </w:p>
  </w:footnote>
  <w:footnote w:type="continuationNotice" w:id="1">
    <w:p w14:paraId="55AD0A0F" w14:textId="77777777" w:rsidR="00C9377B" w:rsidRDefault="00C9377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3D"/>
    <w:multiLevelType w:val="hybridMultilevel"/>
    <w:tmpl w:val="62F60B6C"/>
    <w:lvl w:ilvl="0" w:tplc="92E843F8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8FB"/>
    <w:multiLevelType w:val="multilevel"/>
    <w:tmpl w:val="03FC5B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83339D2"/>
    <w:multiLevelType w:val="hybridMultilevel"/>
    <w:tmpl w:val="E1CE4FBA"/>
    <w:lvl w:ilvl="0" w:tplc="1C428566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0CF2"/>
    <w:multiLevelType w:val="hybridMultilevel"/>
    <w:tmpl w:val="0E426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2F7A"/>
    <w:multiLevelType w:val="hybridMultilevel"/>
    <w:tmpl w:val="36EC59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26164763">
    <w:abstractNumId w:val="2"/>
  </w:num>
  <w:num w:numId="2" w16cid:durableId="949707692">
    <w:abstractNumId w:val="0"/>
  </w:num>
  <w:num w:numId="3" w16cid:durableId="1456830164">
    <w:abstractNumId w:val="1"/>
  </w:num>
  <w:num w:numId="4" w16cid:durableId="1750813397">
    <w:abstractNumId w:val="4"/>
  </w:num>
  <w:num w:numId="5" w16cid:durableId="1072311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98"/>
    <w:rsid w:val="000009AD"/>
    <w:rsid w:val="000046C2"/>
    <w:rsid w:val="00015475"/>
    <w:rsid w:val="00016CCF"/>
    <w:rsid w:val="00022D95"/>
    <w:rsid w:val="0003204B"/>
    <w:rsid w:val="00037E89"/>
    <w:rsid w:val="0004015B"/>
    <w:rsid w:val="00050C91"/>
    <w:rsid w:val="00053A7E"/>
    <w:rsid w:val="00060188"/>
    <w:rsid w:val="00063836"/>
    <w:rsid w:val="0006499C"/>
    <w:rsid w:val="00070FD9"/>
    <w:rsid w:val="00075D6B"/>
    <w:rsid w:val="00091D9E"/>
    <w:rsid w:val="00095C1C"/>
    <w:rsid w:val="000A41B4"/>
    <w:rsid w:val="000A6A3D"/>
    <w:rsid w:val="000B55CB"/>
    <w:rsid w:val="000B57AE"/>
    <w:rsid w:val="000C3151"/>
    <w:rsid w:val="000C67F8"/>
    <w:rsid w:val="000D10DA"/>
    <w:rsid w:val="000E115C"/>
    <w:rsid w:val="000E17DA"/>
    <w:rsid w:val="000E26F2"/>
    <w:rsid w:val="000F6294"/>
    <w:rsid w:val="001027C0"/>
    <w:rsid w:val="00103C54"/>
    <w:rsid w:val="0010726E"/>
    <w:rsid w:val="0010758C"/>
    <w:rsid w:val="001120DC"/>
    <w:rsid w:val="00131544"/>
    <w:rsid w:val="00133D17"/>
    <w:rsid w:val="00141432"/>
    <w:rsid w:val="0014161C"/>
    <w:rsid w:val="001434A4"/>
    <w:rsid w:val="00143AEF"/>
    <w:rsid w:val="0014632D"/>
    <w:rsid w:val="001535C4"/>
    <w:rsid w:val="00155942"/>
    <w:rsid w:val="00156609"/>
    <w:rsid w:val="00161044"/>
    <w:rsid w:val="00171FD9"/>
    <w:rsid w:val="00176488"/>
    <w:rsid w:val="0019159F"/>
    <w:rsid w:val="001928F4"/>
    <w:rsid w:val="00195ABA"/>
    <w:rsid w:val="001A0510"/>
    <w:rsid w:val="001A4F8B"/>
    <w:rsid w:val="001A5243"/>
    <w:rsid w:val="001A6118"/>
    <w:rsid w:val="001B1594"/>
    <w:rsid w:val="001B6DD2"/>
    <w:rsid w:val="001B743F"/>
    <w:rsid w:val="001C0CA7"/>
    <w:rsid w:val="001C5F47"/>
    <w:rsid w:val="001C788D"/>
    <w:rsid w:val="001D175B"/>
    <w:rsid w:val="001E247F"/>
    <w:rsid w:val="001F1CCE"/>
    <w:rsid w:val="001F21EA"/>
    <w:rsid w:val="00202A05"/>
    <w:rsid w:val="00207F1B"/>
    <w:rsid w:val="00214373"/>
    <w:rsid w:val="00230F70"/>
    <w:rsid w:val="00236DC6"/>
    <w:rsid w:val="002452C1"/>
    <w:rsid w:val="002735E0"/>
    <w:rsid w:val="0027423D"/>
    <w:rsid w:val="00292D08"/>
    <w:rsid w:val="00293FA3"/>
    <w:rsid w:val="0029525B"/>
    <w:rsid w:val="002A0C88"/>
    <w:rsid w:val="002A689C"/>
    <w:rsid w:val="002B04A5"/>
    <w:rsid w:val="002B250A"/>
    <w:rsid w:val="002B46D9"/>
    <w:rsid w:val="002B5240"/>
    <w:rsid w:val="002C37C0"/>
    <w:rsid w:val="002C7741"/>
    <w:rsid w:val="002D03D4"/>
    <w:rsid w:val="002D349F"/>
    <w:rsid w:val="002D3EBB"/>
    <w:rsid w:val="002D5B6A"/>
    <w:rsid w:val="002D5F87"/>
    <w:rsid w:val="002D615D"/>
    <w:rsid w:val="0030180C"/>
    <w:rsid w:val="0030259E"/>
    <w:rsid w:val="003057D5"/>
    <w:rsid w:val="0030596D"/>
    <w:rsid w:val="00307B95"/>
    <w:rsid w:val="003133F0"/>
    <w:rsid w:val="00315B6D"/>
    <w:rsid w:val="003163D9"/>
    <w:rsid w:val="00324DD3"/>
    <w:rsid w:val="003268FB"/>
    <w:rsid w:val="0033473F"/>
    <w:rsid w:val="00336BA2"/>
    <w:rsid w:val="00337879"/>
    <w:rsid w:val="00341269"/>
    <w:rsid w:val="0034592D"/>
    <w:rsid w:val="0034682E"/>
    <w:rsid w:val="00350C71"/>
    <w:rsid w:val="003522AC"/>
    <w:rsid w:val="0035604E"/>
    <w:rsid w:val="0037191F"/>
    <w:rsid w:val="00375BD5"/>
    <w:rsid w:val="00382244"/>
    <w:rsid w:val="00382591"/>
    <w:rsid w:val="003849C6"/>
    <w:rsid w:val="00395594"/>
    <w:rsid w:val="003A454E"/>
    <w:rsid w:val="003A45DC"/>
    <w:rsid w:val="003A4BBF"/>
    <w:rsid w:val="003A6B21"/>
    <w:rsid w:val="003B2971"/>
    <w:rsid w:val="003B463C"/>
    <w:rsid w:val="003B52E3"/>
    <w:rsid w:val="003B5629"/>
    <w:rsid w:val="003C18C4"/>
    <w:rsid w:val="003C34D7"/>
    <w:rsid w:val="003C3EC5"/>
    <w:rsid w:val="003D75DF"/>
    <w:rsid w:val="003E4C8E"/>
    <w:rsid w:val="003E7D9B"/>
    <w:rsid w:val="003F2857"/>
    <w:rsid w:val="003F5680"/>
    <w:rsid w:val="003F7E6D"/>
    <w:rsid w:val="004062B4"/>
    <w:rsid w:val="00422796"/>
    <w:rsid w:val="004314A1"/>
    <w:rsid w:val="00431B58"/>
    <w:rsid w:val="00432920"/>
    <w:rsid w:val="00442DA8"/>
    <w:rsid w:val="00453E60"/>
    <w:rsid w:val="00466363"/>
    <w:rsid w:val="0046780A"/>
    <w:rsid w:val="00471207"/>
    <w:rsid w:val="00472647"/>
    <w:rsid w:val="004750E1"/>
    <w:rsid w:val="00481C74"/>
    <w:rsid w:val="00484FD4"/>
    <w:rsid w:val="00490384"/>
    <w:rsid w:val="004968AA"/>
    <w:rsid w:val="004A220F"/>
    <w:rsid w:val="004A2E21"/>
    <w:rsid w:val="004A2FD1"/>
    <w:rsid w:val="004A3067"/>
    <w:rsid w:val="004A3A2D"/>
    <w:rsid w:val="004B6BA5"/>
    <w:rsid w:val="004B7AD4"/>
    <w:rsid w:val="004D5947"/>
    <w:rsid w:val="004D7AA3"/>
    <w:rsid w:val="004E56CC"/>
    <w:rsid w:val="004E66C7"/>
    <w:rsid w:val="004E7776"/>
    <w:rsid w:val="004F0CB3"/>
    <w:rsid w:val="004F174B"/>
    <w:rsid w:val="005238F7"/>
    <w:rsid w:val="00525A06"/>
    <w:rsid w:val="00540985"/>
    <w:rsid w:val="005519E2"/>
    <w:rsid w:val="00557800"/>
    <w:rsid w:val="005678D9"/>
    <w:rsid w:val="00567B34"/>
    <w:rsid w:val="005815A7"/>
    <w:rsid w:val="0058322D"/>
    <w:rsid w:val="0058461A"/>
    <w:rsid w:val="00594382"/>
    <w:rsid w:val="005976B1"/>
    <w:rsid w:val="005A4C2F"/>
    <w:rsid w:val="005A615B"/>
    <w:rsid w:val="005A6243"/>
    <w:rsid w:val="005A7AA4"/>
    <w:rsid w:val="005B2EE2"/>
    <w:rsid w:val="005B46D9"/>
    <w:rsid w:val="005B62A0"/>
    <w:rsid w:val="005B69D0"/>
    <w:rsid w:val="005D1318"/>
    <w:rsid w:val="005D2956"/>
    <w:rsid w:val="005D33BD"/>
    <w:rsid w:val="005D4883"/>
    <w:rsid w:val="005E3801"/>
    <w:rsid w:val="005E65CB"/>
    <w:rsid w:val="005F0A2B"/>
    <w:rsid w:val="005F2BCA"/>
    <w:rsid w:val="005F3E27"/>
    <w:rsid w:val="005F6C09"/>
    <w:rsid w:val="00601984"/>
    <w:rsid w:val="00621C29"/>
    <w:rsid w:val="00622512"/>
    <w:rsid w:val="00623E7D"/>
    <w:rsid w:val="00641DF6"/>
    <w:rsid w:val="0064214F"/>
    <w:rsid w:val="0064241A"/>
    <w:rsid w:val="00643A8D"/>
    <w:rsid w:val="00654A6A"/>
    <w:rsid w:val="0065661E"/>
    <w:rsid w:val="00660876"/>
    <w:rsid w:val="00671349"/>
    <w:rsid w:val="00671686"/>
    <w:rsid w:val="0068073A"/>
    <w:rsid w:val="00680A7E"/>
    <w:rsid w:val="00680D1C"/>
    <w:rsid w:val="0068618B"/>
    <w:rsid w:val="0069010B"/>
    <w:rsid w:val="006928D1"/>
    <w:rsid w:val="006A1FD8"/>
    <w:rsid w:val="006A2C8E"/>
    <w:rsid w:val="006A6C3C"/>
    <w:rsid w:val="006B0238"/>
    <w:rsid w:val="006B5EA1"/>
    <w:rsid w:val="006C06BB"/>
    <w:rsid w:val="006C416E"/>
    <w:rsid w:val="006C7398"/>
    <w:rsid w:val="006D0D8A"/>
    <w:rsid w:val="006D3998"/>
    <w:rsid w:val="006E2B9B"/>
    <w:rsid w:val="006F1577"/>
    <w:rsid w:val="006F1892"/>
    <w:rsid w:val="006F4391"/>
    <w:rsid w:val="0071191F"/>
    <w:rsid w:val="00714B9C"/>
    <w:rsid w:val="00727E04"/>
    <w:rsid w:val="007314C4"/>
    <w:rsid w:val="0073322B"/>
    <w:rsid w:val="007403AA"/>
    <w:rsid w:val="00744558"/>
    <w:rsid w:val="00750281"/>
    <w:rsid w:val="00756A5E"/>
    <w:rsid w:val="00757CFD"/>
    <w:rsid w:val="00760544"/>
    <w:rsid w:val="0076371C"/>
    <w:rsid w:val="00770B14"/>
    <w:rsid w:val="007762DF"/>
    <w:rsid w:val="00781AC0"/>
    <w:rsid w:val="00783B30"/>
    <w:rsid w:val="00787233"/>
    <w:rsid w:val="00787C4C"/>
    <w:rsid w:val="00791AD5"/>
    <w:rsid w:val="00791DC3"/>
    <w:rsid w:val="007A19B4"/>
    <w:rsid w:val="007B084D"/>
    <w:rsid w:val="007B27CB"/>
    <w:rsid w:val="007C69EE"/>
    <w:rsid w:val="007E18A8"/>
    <w:rsid w:val="007E2527"/>
    <w:rsid w:val="008042F9"/>
    <w:rsid w:val="00807E17"/>
    <w:rsid w:val="0081268E"/>
    <w:rsid w:val="00814048"/>
    <w:rsid w:val="00815B71"/>
    <w:rsid w:val="008200EC"/>
    <w:rsid w:val="00825F6E"/>
    <w:rsid w:val="00827AE9"/>
    <w:rsid w:val="00843544"/>
    <w:rsid w:val="00845C5A"/>
    <w:rsid w:val="0084714E"/>
    <w:rsid w:val="00856513"/>
    <w:rsid w:val="00865AC5"/>
    <w:rsid w:val="008741FB"/>
    <w:rsid w:val="00876CD1"/>
    <w:rsid w:val="00877F75"/>
    <w:rsid w:val="00886B60"/>
    <w:rsid w:val="00887246"/>
    <w:rsid w:val="00890BC4"/>
    <w:rsid w:val="00891B46"/>
    <w:rsid w:val="0089584B"/>
    <w:rsid w:val="00896915"/>
    <w:rsid w:val="00896E61"/>
    <w:rsid w:val="008A2284"/>
    <w:rsid w:val="008A328C"/>
    <w:rsid w:val="008A329D"/>
    <w:rsid w:val="008A7C6A"/>
    <w:rsid w:val="008B2433"/>
    <w:rsid w:val="008C1452"/>
    <w:rsid w:val="008C227F"/>
    <w:rsid w:val="008C459C"/>
    <w:rsid w:val="008C5A20"/>
    <w:rsid w:val="008C5AB9"/>
    <w:rsid w:val="008C5D4D"/>
    <w:rsid w:val="008C75CB"/>
    <w:rsid w:val="008D32A5"/>
    <w:rsid w:val="008D46D2"/>
    <w:rsid w:val="008D660C"/>
    <w:rsid w:val="008E1D09"/>
    <w:rsid w:val="00902569"/>
    <w:rsid w:val="00914A95"/>
    <w:rsid w:val="00915D9A"/>
    <w:rsid w:val="00925C3F"/>
    <w:rsid w:val="009329A7"/>
    <w:rsid w:val="00937A3E"/>
    <w:rsid w:val="00944824"/>
    <w:rsid w:val="00950A24"/>
    <w:rsid w:val="00950B27"/>
    <w:rsid w:val="0095238D"/>
    <w:rsid w:val="009523CE"/>
    <w:rsid w:val="009536C5"/>
    <w:rsid w:val="00954DA1"/>
    <w:rsid w:val="00971215"/>
    <w:rsid w:val="00983BAA"/>
    <w:rsid w:val="00986A0C"/>
    <w:rsid w:val="009951DC"/>
    <w:rsid w:val="009A38AE"/>
    <w:rsid w:val="009B606A"/>
    <w:rsid w:val="009B7A67"/>
    <w:rsid w:val="009C2EDB"/>
    <w:rsid w:val="009C3BD4"/>
    <w:rsid w:val="009C5394"/>
    <w:rsid w:val="009D683E"/>
    <w:rsid w:val="009D717F"/>
    <w:rsid w:val="009E4768"/>
    <w:rsid w:val="009E7E58"/>
    <w:rsid w:val="009F699D"/>
    <w:rsid w:val="00A020A6"/>
    <w:rsid w:val="00A05078"/>
    <w:rsid w:val="00A05196"/>
    <w:rsid w:val="00A20D49"/>
    <w:rsid w:val="00A22410"/>
    <w:rsid w:val="00A319B3"/>
    <w:rsid w:val="00A328E4"/>
    <w:rsid w:val="00A33529"/>
    <w:rsid w:val="00A372C1"/>
    <w:rsid w:val="00A418A2"/>
    <w:rsid w:val="00A437CF"/>
    <w:rsid w:val="00A447E6"/>
    <w:rsid w:val="00A47418"/>
    <w:rsid w:val="00A56CDE"/>
    <w:rsid w:val="00A56EE3"/>
    <w:rsid w:val="00A6521C"/>
    <w:rsid w:val="00A667B3"/>
    <w:rsid w:val="00A67AA3"/>
    <w:rsid w:val="00A75445"/>
    <w:rsid w:val="00A7603C"/>
    <w:rsid w:val="00A955FD"/>
    <w:rsid w:val="00A97616"/>
    <w:rsid w:val="00AA0B82"/>
    <w:rsid w:val="00AB1D0A"/>
    <w:rsid w:val="00AB3D5E"/>
    <w:rsid w:val="00AB6DC4"/>
    <w:rsid w:val="00AC6DCF"/>
    <w:rsid w:val="00AE10B1"/>
    <w:rsid w:val="00AE2EFA"/>
    <w:rsid w:val="00AE4CAF"/>
    <w:rsid w:val="00AE6F6D"/>
    <w:rsid w:val="00AE7537"/>
    <w:rsid w:val="00AE7DA0"/>
    <w:rsid w:val="00AF2936"/>
    <w:rsid w:val="00AF7DE1"/>
    <w:rsid w:val="00B04C80"/>
    <w:rsid w:val="00B10227"/>
    <w:rsid w:val="00B14B8F"/>
    <w:rsid w:val="00B206B4"/>
    <w:rsid w:val="00B24437"/>
    <w:rsid w:val="00B25E11"/>
    <w:rsid w:val="00B27495"/>
    <w:rsid w:val="00B37DB8"/>
    <w:rsid w:val="00B47A0B"/>
    <w:rsid w:val="00B50459"/>
    <w:rsid w:val="00B617E0"/>
    <w:rsid w:val="00B83C4E"/>
    <w:rsid w:val="00B84938"/>
    <w:rsid w:val="00BA1420"/>
    <w:rsid w:val="00BB0BFE"/>
    <w:rsid w:val="00BB33F5"/>
    <w:rsid w:val="00BD0880"/>
    <w:rsid w:val="00BE221B"/>
    <w:rsid w:val="00BE7F5D"/>
    <w:rsid w:val="00BF09B5"/>
    <w:rsid w:val="00BF3AED"/>
    <w:rsid w:val="00C04F4D"/>
    <w:rsid w:val="00C27EA4"/>
    <w:rsid w:val="00C348EB"/>
    <w:rsid w:val="00C412EF"/>
    <w:rsid w:val="00C47EA2"/>
    <w:rsid w:val="00C64909"/>
    <w:rsid w:val="00C753A2"/>
    <w:rsid w:val="00C77E7E"/>
    <w:rsid w:val="00C80606"/>
    <w:rsid w:val="00C826F6"/>
    <w:rsid w:val="00C9377B"/>
    <w:rsid w:val="00CA0A4B"/>
    <w:rsid w:val="00CA4934"/>
    <w:rsid w:val="00CA7C23"/>
    <w:rsid w:val="00CB0BAD"/>
    <w:rsid w:val="00CB6A47"/>
    <w:rsid w:val="00CC0C92"/>
    <w:rsid w:val="00CC7C93"/>
    <w:rsid w:val="00CE0311"/>
    <w:rsid w:val="00CE0478"/>
    <w:rsid w:val="00CE1636"/>
    <w:rsid w:val="00CF3037"/>
    <w:rsid w:val="00CF6370"/>
    <w:rsid w:val="00D02236"/>
    <w:rsid w:val="00D17FCF"/>
    <w:rsid w:val="00D218C2"/>
    <w:rsid w:val="00D27E9D"/>
    <w:rsid w:val="00D31210"/>
    <w:rsid w:val="00D34A4A"/>
    <w:rsid w:val="00D42A57"/>
    <w:rsid w:val="00D54B95"/>
    <w:rsid w:val="00D56845"/>
    <w:rsid w:val="00D57BB9"/>
    <w:rsid w:val="00D61D52"/>
    <w:rsid w:val="00D623E2"/>
    <w:rsid w:val="00D81430"/>
    <w:rsid w:val="00D85546"/>
    <w:rsid w:val="00DA2A57"/>
    <w:rsid w:val="00DA4917"/>
    <w:rsid w:val="00DA5807"/>
    <w:rsid w:val="00DB5AB3"/>
    <w:rsid w:val="00DC7B69"/>
    <w:rsid w:val="00DD10F2"/>
    <w:rsid w:val="00DD1EB1"/>
    <w:rsid w:val="00DE4700"/>
    <w:rsid w:val="00DE4B67"/>
    <w:rsid w:val="00DE51B1"/>
    <w:rsid w:val="00DE5DFA"/>
    <w:rsid w:val="00DE6587"/>
    <w:rsid w:val="00DE7C01"/>
    <w:rsid w:val="00DF62ED"/>
    <w:rsid w:val="00DF6FBE"/>
    <w:rsid w:val="00DF7F88"/>
    <w:rsid w:val="00E0397E"/>
    <w:rsid w:val="00E077FB"/>
    <w:rsid w:val="00E15E6F"/>
    <w:rsid w:val="00E161A7"/>
    <w:rsid w:val="00E300C6"/>
    <w:rsid w:val="00E36D53"/>
    <w:rsid w:val="00E4614B"/>
    <w:rsid w:val="00E60C09"/>
    <w:rsid w:val="00E656AD"/>
    <w:rsid w:val="00E712D7"/>
    <w:rsid w:val="00E73824"/>
    <w:rsid w:val="00E73EA4"/>
    <w:rsid w:val="00E7640C"/>
    <w:rsid w:val="00E77CE9"/>
    <w:rsid w:val="00E8510F"/>
    <w:rsid w:val="00E85915"/>
    <w:rsid w:val="00E8662E"/>
    <w:rsid w:val="00E926CC"/>
    <w:rsid w:val="00E95D93"/>
    <w:rsid w:val="00E97AC9"/>
    <w:rsid w:val="00EB0C8F"/>
    <w:rsid w:val="00EC2B2E"/>
    <w:rsid w:val="00EC6023"/>
    <w:rsid w:val="00EC7F4F"/>
    <w:rsid w:val="00ED0D5C"/>
    <w:rsid w:val="00ED3BE3"/>
    <w:rsid w:val="00EE3225"/>
    <w:rsid w:val="00EE6498"/>
    <w:rsid w:val="00EF0D9E"/>
    <w:rsid w:val="00EF38C0"/>
    <w:rsid w:val="00F07846"/>
    <w:rsid w:val="00F179F8"/>
    <w:rsid w:val="00F201D9"/>
    <w:rsid w:val="00F351CE"/>
    <w:rsid w:val="00F46586"/>
    <w:rsid w:val="00F50D31"/>
    <w:rsid w:val="00F536CD"/>
    <w:rsid w:val="00F62449"/>
    <w:rsid w:val="00F6675E"/>
    <w:rsid w:val="00F70CCD"/>
    <w:rsid w:val="00F7371B"/>
    <w:rsid w:val="00F81B94"/>
    <w:rsid w:val="00F826D2"/>
    <w:rsid w:val="00F83005"/>
    <w:rsid w:val="00F8623F"/>
    <w:rsid w:val="00F905C0"/>
    <w:rsid w:val="00FA5154"/>
    <w:rsid w:val="00FB2171"/>
    <w:rsid w:val="00FB3E5B"/>
    <w:rsid w:val="00FB5083"/>
    <w:rsid w:val="00FC6789"/>
    <w:rsid w:val="00FD325C"/>
    <w:rsid w:val="00FD5821"/>
    <w:rsid w:val="00FD72C3"/>
    <w:rsid w:val="00FE00AC"/>
    <w:rsid w:val="00FE0AD0"/>
    <w:rsid w:val="37E3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CC1D2"/>
  <w15:chartTrackingRefBased/>
  <w15:docId w15:val="{AB1B6A20-A4AE-40D1-97BE-616A1F08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/>
    <w:lsdException w:name="Emphasis" w:locked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4968AA"/>
    <w:pPr>
      <w:spacing w:before="240" w:after="12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uiPriority w:val="9"/>
    <w:unhideWhenUsed/>
    <w:qFormat/>
    <w:locked/>
    <w:rsid w:val="000E17DA"/>
    <w:pPr>
      <w:keepNext/>
      <w:keepLines/>
      <w:spacing w:before="360" w:line="240" w:lineRule="auto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46780A"/>
    <w:pPr>
      <w:keepNext/>
      <w:keepLines/>
      <w:spacing w:before="120" w:after="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ocked/>
    <w:rPr>
      <w:color w:val="0000FF"/>
      <w:u w:val="single"/>
    </w:rPr>
  </w:style>
  <w:style w:type="paragraph" w:styleId="Footer">
    <w:name w:val="foot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character" w:customStyle="1" w:styleId="Heading4Char">
    <w:name w:val="Heading 4 Char"/>
    <w:link w:val="Heading4"/>
    <w:uiPriority w:val="9"/>
    <w:rsid w:val="0046780A"/>
    <w:rPr>
      <w:b/>
      <w:bCs/>
      <w:i/>
      <w:i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27EA4"/>
    <w:pPr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C27EA4"/>
    <w:rPr>
      <w:rFonts w:ascii="Arial" w:hAnsi="Arial"/>
      <w:bCs/>
      <w:kern w:val="28"/>
      <w:sz w:val="40"/>
      <w:szCs w:val="32"/>
      <w:lang w:eastAsia="en-US"/>
    </w:rPr>
  </w:style>
  <w:style w:type="paragraph" w:customStyle="1" w:styleId="Contents">
    <w:name w:val="Contents"/>
    <w:basedOn w:val="Normal"/>
    <w:uiPriority w:val="9"/>
    <w:rsid w:val="00C80606"/>
    <w:pPr>
      <w:spacing w:before="480"/>
    </w:pPr>
    <w:rPr>
      <w:b/>
      <w:color w:val="000000"/>
      <w:sz w:val="28"/>
    </w:rPr>
  </w:style>
  <w:style w:type="paragraph" w:customStyle="1" w:styleId="TableText">
    <w:name w:val="Table Text"/>
    <w:basedOn w:val="Normal"/>
    <w:qFormat/>
    <w:rsid w:val="00C80606"/>
    <w:pPr>
      <w:spacing w:before="60" w:after="80"/>
    </w:pPr>
    <w:rPr>
      <w:sz w:val="22"/>
    </w:rPr>
  </w:style>
  <w:style w:type="paragraph" w:styleId="NormalWeb">
    <w:name w:val="Normal (Web)"/>
    <w:basedOn w:val="Normal"/>
    <w:uiPriority w:val="99"/>
    <w:unhideWhenUsed/>
    <w:locked/>
    <w:rsid w:val="005E3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CommentReference">
    <w:name w:val="annotation reference"/>
    <w:locked/>
    <w:rsid w:val="00986A0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86A0C"/>
    <w:rPr>
      <w:sz w:val="20"/>
      <w:szCs w:val="20"/>
    </w:rPr>
  </w:style>
  <w:style w:type="character" w:customStyle="1" w:styleId="CommentTextChar">
    <w:name w:val="Comment Text Char"/>
    <w:link w:val="CommentText"/>
    <w:rsid w:val="00986A0C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986A0C"/>
    <w:rPr>
      <w:b/>
      <w:bCs/>
    </w:rPr>
  </w:style>
  <w:style w:type="character" w:customStyle="1" w:styleId="CommentSubjectChar">
    <w:name w:val="Comment Subject Char"/>
    <w:link w:val="CommentSubject"/>
    <w:rsid w:val="00986A0C"/>
    <w:rPr>
      <w:rFonts w:eastAsia="Calibri"/>
      <w:b/>
      <w:bCs/>
      <w:lang w:eastAsia="en-US"/>
    </w:rPr>
  </w:style>
  <w:style w:type="paragraph" w:styleId="BalloonText">
    <w:name w:val="Balloon Text"/>
    <w:basedOn w:val="Normal"/>
    <w:link w:val="BalloonTextChar"/>
    <w:locked/>
    <w:rsid w:val="00986A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6A0C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7E58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23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E7382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A30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line@defra.gsi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m.redfearn@defra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79820\AppData\Roaming\Microsoft\Templates\Defra%20Templates\Defra-letter-HM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E2A25DD9A3B3641933696ED874AA927" ma:contentTypeVersion="31" ma:contentTypeDescription="Create a new document." ma:contentTypeScope="" ma:versionID="9d4ac68045da282480d53d1c9e5bccb9">
  <xsd:schema xmlns:xsd="http://www.w3.org/2001/XMLSchema" xmlns:xs="http://www.w3.org/2001/XMLSchema" xmlns:p="http://schemas.microsoft.com/office/2006/metadata/properties" xmlns:ns2="662745e8-e224-48e8-a2e3-254862b8c2f5" xmlns:ns3="f07de730-43da-4d07-915d-8f31be19368d" xmlns:ns4="bafd4cc7-c814-4ae5-a910-3fda9c58c657" targetNamespace="http://schemas.microsoft.com/office/2006/metadata/properties" ma:root="true" ma:fieldsID="c24a008b3c388135dd827329e173e30a" ns2:_="" ns3:_="" ns4:_="">
    <xsd:import namespace="662745e8-e224-48e8-a2e3-254862b8c2f5"/>
    <xsd:import namespace="f07de730-43da-4d07-915d-8f31be19368d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e5e840-408f-4abf-9fb3-eadd04d40ab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e5e840-408f-4abf-9fb3-eadd04d40ab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APHA Contracts" ma:internalName="Team" ma:readOnly="false">
      <xsd:simpleType>
        <xsd:restriction base="dms:Text"/>
      </xsd:simpleType>
    </xsd:element>
    <xsd:element name="Topic" ma:index="20" nillable="true" ma:displayName="Topic" ma:default="Valuation Services Framework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APHA|8cfe9d61-c27f-47b7-a138-543088555a27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e730-43da-4d07-915d-8f31be19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TaxCatchAll"><![CDATA[6;#Official|14c80daa-741b-422c-9722-f71693c9ede4;#10;#Team|ff0485df-0575-416f-802f-e999165821b7;#9;#Internal Core Defra|836ac8df-3ab9-4c95-a1f0-07f825804935;#8;#Defra Group Commercial|88c065df-18f9-4530-b972-ea809b7dd96d;#7;#Crown|69589897-2828-4761-976e-717fd8e631c9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17</Value>
      <Value>10</Value>
      <Value>15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Valuation Services Framework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APHA Contracts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634F7029-7049-4EC7-BB58-79721ACAC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07de730-43da-4d07-915d-8f31be19368d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A022B-F215-4CFE-9B5F-77446C9DC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42B9D-EFD4-46FC-A951-50234D8CDFB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A87846A8-55E4-4074-951F-ACEFD5D75B8A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CDB1E76C-6127-46E9-BCAA-28F979C5E43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Defra-letter-HMG</Template>
  <TotalTime>0</TotalTime>
  <Pages>3</Pages>
  <Words>591</Words>
  <Characters>3370</Characters>
  <Application>Microsoft Office Word</Application>
  <DocSecurity>0</DocSecurity>
  <Lines>28</Lines>
  <Paragraphs>7</Paragraphs>
  <ScaleCrop>false</ScaleCrop>
  <Company>Defra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 threshold contract and framework agreement award letter</dc:title>
  <dc:subject/>
  <dc:creator>Defra</dc:creator>
  <cp:keywords/>
  <dc:description>Version 3.3 last updated: 16 April 2013</dc:description>
  <cp:lastModifiedBy>Redfearn, Tom</cp:lastModifiedBy>
  <cp:revision>4</cp:revision>
  <cp:lastPrinted>2006-06-13T18:36:00Z</cp:lastPrinted>
  <dcterms:created xsi:type="dcterms:W3CDTF">2025-03-12T10:47:00Z</dcterms:created>
  <dcterms:modified xsi:type="dcterms:W3CDTF">2025-03-21T10:31:00Z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1.0.0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cf401361b24e474cb011be6eb76c0e76">
    <vt:lpwstr>Crown|69589897-2828-4761-976e-717fd8e631c9</vt:lpwstr>
  </property>
  <property fmtid="{D5CDD505-2E9C-101B-9397-08002B2CF9AE}" pid="5" name="ddeb1fd0a9ad4436a96525d34737dc44">
    <vt:lpwstr>Internal Core Defra|836ac8df-3ab9-4c95-a1f0-07f825804935</vt:lpwstr>
  </property>
  <property fmtid="{D5CDD505-2E9C-101B-9397-08002B2CF9AE}" pid="6" name="fe59e9859d6a491389c5b03567f5dda5">
    <vt:lpwstr>Defra Group Commercial|88c065df-18f9-4530-b972-ea809b7dd96d</vt:lpwstr>
  </property>
  <property fmtid="{D5CDD505-2E9C-101B-9397-08002B2CF9AE}" pid="7" name="TaxCatchAll">
    <vt:lpwstr>6;#Official|14c80daa-741b-422c-9722-f71693c9ede4;#10;#Team|ff0485df-0575-416f-802f-e999165821b7;#9;#Internal Core Defra|836ac8df-3ab9-4c95-a1f0-07f825804935;#8;#Defra Group Commercial|88c065df-18f9-4530-b972-ea809b7dd96d;#7;#Crown|69589897-2828-4761-976e-</vt:lpwstr>
  </property>
  <property fmtid="{D5CDD505-2E9C-101B-9397-08002B2CF9AE}" pid="8" name="n7493b4506bf40e28c373b1e51a33445">
    <vt:lpwstr>Team|ff0485df-0575-416f-802f-e999165821b7</vt:lpwstr>
  </property>
  <property fmtid="{D5CDD505-2E9C-101B-9397-08002B2CF9AE}" pid="9" name="OrganisationalUnit">
    <vt:lpwstr>15;#Defra Group Commercial|88c065df-18f9-4530-b972-ea809b7dd96d</vt:lpwstr>
  </property>
  <property fmtid="{D5CDD505-2E9C-101B-9397-08002B2CF9AE}" pid="10" name="HOGovernmentSecurityClassification">
    <vt:lpwstr>6;#Official|14c80daa-741b-422c-9722-f71693c9ede4</vt:lpwstr>
  </property>
  <property fmtid="{D5CDD505-2E9C-101B-9397-08002B2CF9AE}" pid="11" name="HOSiteType">
    <vt:lpwstr>10;#Team|ff0485df-0575-416f-802f-e999165821b7</vt:lpwstr>
  </property>
  <property fmtid="{D5CDD505-2E9C-101B-9397-08002B2CF9AE}" pid="12" name="HOCopyrightLevel">
    <vt:lpwstr>7;#Crown|69589897-2828-4761-976e-717fd8e631c9</vt:lpwstr>
  </property>
  <property fmtid="{D5CDD505-2E9C-101B-9397-08002B2CF9AE}" pid="13" name="Distribution">
    <vt:lpwstr>17;#Internal Core Defra|836ac8df-3ab9-4c95-a1f0-07f825804935</vt:lpwstr>
  </property>
  <property fmtid="{D5CDD505-2E9C-101B-9397-08002B2CF9AE}" pid="14" name="ContentTypeId">
    <vt:lpwstr>0x010100A5BF1C78D9F64B679A5EBDE1C6598EBC01005E2A25DD9A3B3641933696ED874AA927</vt:lpwstr>
  </property>
  <property fmtid="{D5CDD505-2E9C-101B-9397-08002B2CF9AE}" pid="15" name="_dlc_DocIdItemGuid">
    <vt:lpwstr>532b5535-ca6d-4486-83f2-33a5af781c2d</vt:lpwstr>
  </property>
  <property fmtid="{D5CDD505-2E9C-101B-9397-08002B2CF9AE}" pid="16" name="_ip_UnifiedCompliancePolicyUIAction">
    <vt:lpwstr/>
  </property>
  <property fmtid="{D5CDD505-2E9C-101B-9397-08002B2CF9AE}" pid="17" name="_ip_UnifiedCompliancePolicyProperties">
    <vt:lpwstr/>
  </property>
  <property fmtid="{D5CDD505-2E9C-101B-9397-08002B2CF9AE}" pid="18" name="MediaServiceImageTags">
    <vt:lpwstr/>
  </property>
  <property fmtid="{D5CDD505-2E9C-101B-9397-08002B2CF9AE}" pid="19" name="InformationType">
    <vt:lpwstr/>
  </property>
</Properties>
</file>