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5DA3D" w14:textId="77777777" w:rsidR="006374AA" w:rsidRDefault="006374AA">
      <w:pPr>
        <w:keepNext/>
        <w:pBdr>
          <w:top w:val="nil"/>
          <w:left w:val="nil"/>
          <w:bottom w:val="nil"/>
          <w:right w:val="nil"/>
          <w:between w:val="nil"/>
        </w:pBdr>
        <w:ind w:left="0"/>
        <w:jc w:val="left"/>
        <w:rPr>
          <w:b/>
          <w:color w:val="000000"/>
          <w:sz w:val="32"/>
          <w:szCs w:val="32"/>
        </w:rPr>
      </w:pPr>
      <w:bookmarkStart w:id="0" w:name="_heading=h.1ci93xb" w:colFirst="0" w:colLast="0"/>
      <w:bookmarkStart w:id="1" w:name="_GoBack"/>
      <w:bookmarkEnd w:id="0"/>
      <w:bookmarkEnd w:id="1"/>
    </w:p>
    <w:p w14:paraId="69E5DA3E" w14:textId="77777777" w:rsidR="006374AA" w:rsidRDefault="000439C1">
      <w:pPr>
        <w:keepNext/>
        <w:pBdr>
          <w:top w:val="nil"/>
          <w:left w:val="nil"/>
          <w:bottom w:val="nil"/>
          <w:right w:val="nil"/>
          <w:between w:val="nil"/>
        </w:pBdr>
        <w:ind w:left="0"/>
        <w:jc w:val="left"/>
        <w:rPr>
          <w:b/>
          <w:color w:val="000000"/>
          <w:sz w:val="36"/>
          <w:szCs w:val="36"/>
        </w:rPr>
      </w:pPr>
      <w:r>
        <w:rPr>
          <w:b/>
          <w:color w:val="000000"/>
          <w:sz w:val="36"/>
          <w:szCs w:val="36"/>
        </w:rPr>
        <w:t>Call-Off Schedule 8 (Business Continuity and Disaster Recovery)</w:t>
      </w:r>
    </w:p>
    <w:p w14:paraId="69E5DA3F" w14:textId="77777777" w:rsidR="006374AA" w:rsidRDefault="000439C1">
      <w:pPr>
        <w:keepNext/>
        <w:numPr>
          <w:ilvl w:val="0"/>
          <w:numId w:val="9"/>
        </w:numPr>
        <w:pBdr>
          <w:top w:val="nil"/>
          <w:left w:val="nil"/>
          <w:bottom w:val="nil"/>
          <w:right w:val="nil"/>
          <w:between w:val="nil"/>
        </w:pBdr>
        <w:tabs>
          <w:tab w:val="left" w:pos="0"/>
        </w:tabs>
        <w:spacing w:before="240"/>
        <w:jc w:val="left"/>
        <w:rPr>
          <w:b/>
          <w:smallCaps/>
          <w:color w:val="000000"/>
          <w:sz w:val="24"/>
          <w:szCs w:val="24"/>
        </w:rPr>
      </w:pPr>
      <w:bookmarkStart w:id="2" w:name="_heading=h.gjdgxs" w:colFirst="0" w:colLast="0"/>
      <w:bookmarkEnd w:id="2"/>
      <w:r>
        <w:rPr>
          <w:b/>
          <w:smallCaps/>
          <w:color w:val="000000"/>
          <w:sz w:val="24"/>
          <w:szCs w:val="24"/>
        </w:rPr>
        <w:t>D</w:t>
      </w:r>
      <w:r>
        <w:rPr>
          <w:rFonts w:ascii="Arial Bold" w:eastAsia="Arial Bold" w:hAnsi="Arial Bold" w:cs="Arial Bold"/>
          <w:b/>
          <w:color w:val="000000"/>
          <w:sz w:val="24"/>
          <w:szCs w:val="24"/>
        </w:rPr>
        <w:t>efinitions</w:t>
      </w:r>
    </w:p>
    <w:p w14:paraId="69E5DA40" w14:textId="77777777" w:rsidR="006374AA" w:rsidRDefault="000439C1">
      <w:pPr>
        <w:keepNext/>
        <w:numPr>
          <w:ilvl w:val="1"/>
          <w:numId w:val="9"/>
        </w:numPr>
        <w:pBdr>
          <w:top w:val="nil"/>
          <w:left w:val="nil"/>
          <w:bottom w:val="nil"/>
          <w:right w:val="nil"/>
          <w:between w:val="nil"/>
        </w:pBdr>
        <w:spacing w:before="120" w:after="120"/>
        <w:jc w:val="left"/>
        <w:rPr>
          <w:color w:val="000000"/>
          <w:sz w:val="24"/>
          <w:szCs w:val="24"/>
        </w:rPr>
      </w:pPr>
      <w:r>
        <w:rPr>
          <w:color w:val="000000"/>
          <w:sz w:val="24"/>
          <w:szCs w:val="24"/>
        </w:rPr>
        <w:t>In this Schedule, the following words shall have the following meanings and they shall supplement Joint Schedule 1 (Definitions):</w:t>
      </w:r>
    </w:p>
    <w:tbl>
      <w:tblPr>
        <w:tblStyle w:val="a0"/>
        <w:tblW w:w="817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7"/>
        <w:gridCol w:w="5075"/>
      </w:tblGrid>
      <w:tr w:rsidR="006374AA" w14:paraId="69E5DA45" w14:textId="77777777">
        <w:tc>
          <w:tcPr>
            <w:tcW w:w="3097" w:type="dxa"/>
          </w:tcPr>
          <w:p w14:paraId="69E5DA41"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“Annual Revenue”</w:t>
            </w:r>
          </w:p>
        </w:tc>
        <w:tc>
          <w:tcPr>
            <w:tcW w:w="5075" w:type="dxa"/>
          </w:tcPr>
          <w:p w14:paraId="69E5DA42" w14:textId="77777777" w:rsidR="006374AA" w:rsidRDefault="000439C1">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w:t>
            </w:r>
          </w:p>
          <w:p w14:paraId="69E5DA43" w14:textId="77777777" w:rsidR="006374AA" w:rsidRDefault="000439C1">
            <w:pPr>
              <w:numPr>
                <w:ilvl w:val="4"/>
                <w:numId w:val="10"/>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 xml:space="preserve">figures for accounting periods of other than 12 months should be scaled pro rata to produce a proforma figure for a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 and</w:t>
            </w:r>
          </w:p>
          <w:p w14:paraId="69E5DA44" w14:textId="77777777" w:rsidR="006374AA" w:rsidRDefault="000439C1">
            <w:pPr>
              <w:numPr>
                <w:ilvl w:val="4"/>
                <w:numId w:val="10"/>
              </w:numPr>
              <w:pBdr>
                <w:top w:val="nil"/>
                <w:left w:val="nil"/>
                <w:bottom w:val="nil"/>
                <w:right w:val="nil"/>
                <w:between w:val="nil"/>
              </w:pBdr>
              <w:spacing w:after="240"/>
              <w:ind w:left="605" w:hanging="567"/>
              <w:rPr>
                <w:rFonts w:ascii="Arial" w:eastAsia="Arial" w:hAnsi="Arial" w:cs="Arial"/>
                <w:color w:val="000000"/>
                <w:sz w:val="24"/>
                <w:szCs w:val="24"/>
              </w:rPr>
            </w:pPr>
            <w:r>
              <w:rPr>
                <w:rFonts w:ascii="Arial" w:eastAsia="Arial" w:hAnsi="Arial" w:cs="Arial"/>
                <w:color w:val="000000"/>
                <w:sz w:val="24"/>
                <w:szCs w:val="24"/>
              </w:rPr>
              <w:t>where the Supplier, the Supplier Group and/or their joint ventures and Associates report in a foreign currency, revenue should be converted to British Pound Sterling at the closing exchange rate on the Accounting Reference Date;</w:t>
            </w:r>
          </w:p>
        </w:tc>
      </w:tr>
      <w:tr w:rsidR="006374AA" w14:paraId="69E5DA48" w14:textId="77777777">
        <w:tc>
          <w:tcPr>
            <w:tcW w:w="3097" w:type="dxa"/>
          </w:tcPr>
          <w:p w14:paraId="69E5DA46"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“Appropriate Authority” or “Appropriate Authorities”</w:t>
            </w:r>
          </w:p>
        </w:tc>
        <w:tc>
          <w:tcPr>
            <w:tcW w:w="5075" w:type="dxa"/>
          </w:tcPr>
          <w:p w14:paraId="69E5DA47"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Buyer and the Cabinet Office Markets and Suppliers Team or, where the Supplier is a Strategic Supplier, the Cabinet Office Markets and Suppliers Team;</w:t>
            </w:r>
          </w:p>
        </w:tc>
      </w:tr>
      <w:tr w:rsidR="006374AA" w14:paraId="69E5DA4B" w14:textId="77777777">
        <w:tc>
          <w:tcPr>
            <w:tcW w:w="3097" w:type="dxa"/>
          </w:tcPr>
          <w:p w14:paraId="69E5DA49"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“Associates”</w:t>
            </w:r>
          </w:p>
        </w:tc>
        <w:tc>
          <w:tcPr>
            <w:tcW w:w="5075" w:type="dxa"/>
          </w:tcPr>
          <w:p w14:paraId="69E5DA4A"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in relation to an entity, an undertaking in which the entity owns, directly or indirectly, between 20% and 50% of the voting rights and exercises a degree of control sufficient for the undertaking to be treated as an associate under generally accepted accounting principles;</w:t>
            </w:r>
          </w:p>
        </w:tc>
      </w:tr>
      <w:tr w:rsidR="006374AA" w14:paraId="69E5DA51" w14:textId="77777777">
        <w:tc>
          <w:tcPr>
            <w:tcW w:w="3097" w:type="dxa"/>
          </w:tcPr>
          <w:p w14:paraId="69E5DA4C"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"BCDR Plan"</w:t>
            </w:r>
          </w:p>
        </w:tc>
        <w:tc>
          <w:tcPr>
            <w:tcW w:w="5075" w:type="dxa"/>
          </w:tcPr>
          <w:p w14:paraId="69E5DA4D" w14:textId="77777777" w:rsidR="006374AA" w:rsidRDefault="000439C1">
            <w:pPr>
              <w:pBdr>
                <w:top w:val="nil"/>
                <w:left w:val="nil"/>
                <w:bottom w:val="nil"/>
                <w:right w:val="nil"/>
                <w:between w:val="nil"/>
              </w:pBdr>
              <w:spacing w:before="120" w:after="120"/>
              <w:ind w:left="0"/>
              <w:jc w:val="left"/>
              <w:rPr>
                <w:rFonts w:ascii="Arial" w:eastAsia="Arial" w:hAnsi="Arial" w:cs="Arial"/>
                <w:color w:val="000000"/>
                <w:sz w:val="24"/>
                <w:szCs w:val="24"/>
              </w:rPr>
            </w:pPr>
            <w:r>
              <w:rPr>
                <w:rFonts w:ascii="Arial" w:eastAsia="Arial" w:hAnsi="Arial" w:cs="Arial"/>
                <w:color w:val="000000"/>
                <w:sz w:val="24"/>
                <w:szCs w:val="24"/>
              </w:rPr>
              <w:t>a plan which details the processes and arrangements that the Supplier shall follow to:</w:t>
            </w:r>
          </w:p>
          <w:p w14:paraId="69E5DA4E" w14:textId="77777777" w:rsidR="006374AA" w:rsidRDefault="000439C1">
            <w:pPr>
              <w:numPr>
                <w:ilvl w:val="3"/>
                <w:numId w:val="9"/>
              </w:numPr>
              <w:pBdr>
                <w:top w:val="nil"/>
                <w:left w:val="nil"/>
                <w:bottom w:val="nil"/>
                <w:right w:val="nil"/>
                <w:between w:val="nil"/>
              </w:pBdr>
              <w:tabs>
                <w:tab w:val="left" w:pos="1985"/>
                <w:tab w:val="left" w:pos="2127"/>
              </w:tabs>
              <w:spacing w:before="120" w:after="120"/>
              <w:rPr>
                <w:color w:val="000000"/>
                <w:sz w:val="24"/>
                <w:szCs w:val="24"/>
              </w:rPr>
            </w:pPr>
            <w:r>
              <w:rPr>
                <w:rFonts w:ascii="Arial" w:eastAsia="Arial" w:hAnsi="Arial" w:cs="Arial"/>
                <w:color w:val="000000"/>
                <w:sz w:val="24"/>
                <w:szCs w:val="24"/>
              </w:rPr>
              <w:lastRenderedPageBreak/>
              <w:t>ensure continuity of the business processes and operations supported by the Services following any failure or disruption of any element of the Deliverables; and</w:t>
            </w:r>
          </w:p>
          <w:p w14:paraId="69E5DA4F" w14:textId="77777777" w:rsidR="006374AA" w:rsidRDefault="000439C1">
            <w:pPr>
              <w:pBdr>
                <w:top w:val="nil"/>
                <w:left w:val="nil"/>
                <w:bottom w:val="nil"/>
                <w:right w:val="nil"/>
                <w:between w:val="nil"/>
              </w:pBdr>
              <w:tabs>
                <w:tab w:val="left" w:pos="1455"/>
              </w:tabs>
              <w:spacing w:before="120" w:after="120"/>
              <w:ind w:left="1440" w:hanging="693"/>
              <w:jc w:val="left"/>
              <w:rPr>
                <w:rFonts w:ascii="Arial" w:eastAsia="Arial" w:hAnsi="Arial" w:cs="Arial"/>
                <w:color w:val="000000"/>
                <w:sz w:val="24"/>
                <w:szCs w:val="24"/>
              </w:rPr>
            </w:pPr>
            <w:r>
              <w:rPr>
                <w:rFonts w:ascii="Arial" w:eastAsia="Arial" w:hAnsi="Arial" w:cs="Arial"/>
                <w:color w:val="000000"/>
                <w:sz w:val="24"/>
                <w:szCs w:val="24"/>
              </w:rPr>
              <w:t>(b)      the recovery of the Deliverables in the event of a Disaster;</w:t>
            </w:r>
          </w:p>
          <w:p w14:paraId="69E5DA50" w14:textId="77777777" w:rsidR="006374AA" w:rsidRDefault="006374AA">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p>
        </w:tc>
      </w:tr>
      <w:tr w:rsidR="006374AA" w14:paraId="69E5DA54" w14:textId="77777777">
        <w:tc>
          <w:tcPr>
            <w:tcW w:w="3097" w:type="dxa"/>
          </w:tcPr>
          <w:p w14:paraId="69E5DA52"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lastRenderedPageBreak/>
              <w:t>"Business Continuity Plan"</w:t>
            </w:r>
          </w:p>
        </w:tc>
        <w:tc>
          <w:tcPr>
            <w:tcW w:w="5075" w:type="dxa"/>
          </w:tcPr>
          <w:p w14:paraId="69E5DA53"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1.3.2 of Part B of this Schedule;</w:t>
            </w:r>
          </w:p>
        </w:tc>
      </w:tr>
      <w:tr w:rsidR="006374AA" w14:paraId="69E5DA57" w14:textId="77777777">
        <w:tc>
          <w:tcPr>
            <w:tcW w:w="3097" w:type="dxa"/>
          </w:tcPr>
          <w:p w14:paraId="69E5DA55"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“Class 1 Transaction”</w:t>
            </w:r>
          </w:p>
        </w:tc>
        <w:tc>
          <w:tcPr>
            <w:tcW w:w="5075" w:type="dxa"/>
          </w:tcPr>
          <w:p w14:paraId="69E5DA56"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the listing rules issued by the UK Listing Authority;</w:t>
            </w:r>
          </w:p>
        </w:tc>
      </w:tr>
      <w:tr w:rsidR="006374AA" w14:paraId="69E5DA5A" w14:textId="77777777">
        <w:tc>
          <w:tcPr>
            <w:tcW w:w="3097" w:type="dxa"/>
          </w:tcPr>
          <w:p w14:paraId="69E5DA58"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“Control”</w:t>
            </w:r>
          </w:p>
        </w:tc>
        <w:tc>
          <w:tcPr>
            <w:tcW w:w="5075" w:type="dxa"/>
          </w:tcPr>
          <w:p w14:paraId="69E5DA59"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the possession by a person, directly or indirectly, of the power to direct or cause the direction of the management and policies of the other person (whether through the ownership of voting shares, by contract or otherwise) and “</w:t>
            </w:r>
            <w:r>
              <w:rPr>
                <w:rFonts w:ascii="Arial" w:eastAsia="Arial" w:hAnsi="Arial" w:cs="Arial"/>
                <w:b/>
                <w:sz w:val="24"/>
                <w:szCs w:val="24"/>
              </w:rPr>
              <w:t>Controls</w:t>
            </w:r>
            <w:r>
              <w:rPr>
                <w:rFonts w:ascii="Arial" w:eastAsia="Arial" w:hAnsi="Arial" w:cs="Arial"/>
                <w:sz w:val="24"/>
                <w:szCs w:val="24"/>
              </w:rPr>
              <w:t>” and “</w:t>
            </w:r>
            <w:r>
              <w:rPr>
                <w:rFonts w:ascii="Arial" w:eastAsia="Arial" w:hAnsi="Arial" w:cs="Arial"/>
                <w:b/>
                <w:sz w:val="24"/>
                <w:szCs w:val="24"/>
              </w:rPr>
              <w:t>Controlled</w:t>
            </w:r>
            <w:r>
              <w:rPr>
                <w:rFonts w:ascii="Arial" w:eastAsia="Arial" w:hAnsi="Arial" w:cs="Arial"/>
                <w:sz w:val="24"/>
                <w:szCs w:val="24"/>
              </w:rPr>
              <w:t>” shall be interpreted accordingly;</w:t>
            </w:r>
          </w:p>
        </w:tc>
      </w:tr>
      <w:tr w:rsidR="006374AA" w14:paraId="69E5DA67" w14:textId="77777777">
        <w:tc>
          <w:tcPr>
            <w:tcW w:w="3097" w:type="dxa"/>
          </w:tcPr>
          <w:p w14:paraId="69E5DA5B"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“Corporate Change Event”</w:t>
            </w:r>
          </w:p>
        </w:tc>
        <w:tc>
          <w:tcPr>
            <w:tcW w:w="5075" w:type="dxa"/>
          </w:tcPr>
          <w:p w14:paraId="69E5DA5C" w14:textId="77777777" w:rsidR="006374AA" w:rsidRDefault="000439C1">
            <w:pPr>
              <w:pBdr>
                <w:top w:val="nil"/>
                <w:left w:val="nil"/>
                <w:bottom w:val="nil"/>
                <w:right w:val="nil"/>
                <w:between w:val="nil"/>
              </w:pBdr>
              <w:spacing w:before="100"/>
              <w:ind w:left="0"/>
              <w:jc w:val="left"/>
              <w:rPr>
                <w:rFonts w:ascii="Arial" w:eastAsia="Arial" w:hAnsi="Arial" w:cs="Arial"/>
                <w:color w:val="000000"/>
                <w:sz w:val="24"/>
                <w:szCs w:val="24"/>
              </w:rPr>
            </w:pPr>
            <w:r>
              <w:rPr>
                <w:rFonts w:ascii="Arial" w:eastAsia="Arial" w:hAnsi="Arial" w:cs="Arial"/>
                <w:color w:val="000000"/>
                <w:sz w:val="24"/>
                <w:szCs w:val="24"/>
              </w:rPr>
              <w:t>means:</w:t>
            </w:r>
          </w:p>
          <w:p w14:paraId="69E5DA5D"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any change of Control of the Supplier or a Parent Undertaking of the Supplier;</w:t>
            </w:r>
          </w:p>
          <w:p w14:paraId="69E5DA5E"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 xml:space="preserve">any change of Control of any member of the Supplier Group which, in the reasonable opinion of the Buyer, could have a material adverse effect on the Deliverables; </w:t>
            </w:r>
          </w:p>
          <w:p w14:paraId="69E5DA5F"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any change to the business of the Supplier or any member of the Supplier Group which, in the reasonable opinion of the Buyer, could have a material adverse effect on the Deliverables;</w:t>
            </w:r>
          </w:p>
          <w:p w14:paraId="69E5DA60"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a Class 1 Transaction taking place in relation to the shares of the Supplier or any Parent Undertaking of the Supplier whose shares are listed on the main market of the London Stock Exchange plc;</w:t>
            </w:r>
          </w:p>
          <w:p w14:paraId="69E5DA61"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an event that could reasonably be regarded as being equivalent to a Class 1 Transaction taking place in respect of the Supplier or any Parent Undertaking of the Supplier;</w:t>
            </w:r>
          </w:p>
          <w:p w14:paraId="69E5DA62"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lastRenderedPageBreak/>
              <w:t xml:space="preserve">payment of dividends by the Supplier or the ultimate Parent Undertaking of the Supplier Group exceeding 25% of the Net Asset Value of the Supplier or the ultimate Parent Undertaking of the Supplier Group respectively in any </w:t>
            </w:r>
            <w:proofErr w:type="gramStart"/>
            <w:r>
              <w:rPr>
                <w:rFonts w:ascii="Arial" w:eastAsia="Arial" w:hAnsi="Arial" w:cs="Arial"/>
                <w:color w:val="000000"/>
                <w:sz w:val="24"/>
                <w:szCs w:val="24"/>
              </w:rPr>
              <w:t>12 month</w:t>
            </w:r>
            <w:proofErr w:type="gramEnd"/>
            <w:r>
              <w:rPr>
                <w:rFonts w:ascii="Arial" w:eastAsia="Arial" w:hAnsi="Arial" w:cs="Arial"/>
                <w:color w:val="000000"/>
                <w:sz w:val="24"/>
                <w:szCs w:val="24"/>
              </w:rPr>
              <w:t xml:space="preserve"> period;</w:t>
            </w:r>
          </w:p>
          <w:p w14:paraId="69E5DA63"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 xml:space="preserve">an order is made or an effective resolution is passed for the winding up of any member of the Supplier Group; </w:t>
            </w:r>
          </w:p>
          <w:p w14:paraId="69E5DA64"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w:t>
            </w:r>
          </w:p>
          <w:p w14:paraId="69E5DA65" w14:textId="77777777" w:rsidR="006374AA" w:rsidRDefault="000439C1">
            <w:pPr>
              <w:numPr>
                <w:ilvl w:val="4"/>
                <w:numId w:val="5"/>
              </w:numPr>
              <w:pBdr>
                <w:top w:val="nil"/>
                <w:left w:val="nil"/>
                <w:bottom w:val="nil"/>
                <w:right w:val="nil"/>
                <w:between w:val="nil"/>
              </w:pBdr>
              <w:ind w:left="605" w:hanging="567"/>
              <w:rPr>
                <w:rFonts w:ascii="Arial" w:eastAsia="Arial" w:hAnsi="Arial" w:cs="Arial"/>
                <w:color w:val="000000"/>
                <w:sz w:val="24"/>
                <w:szCs w:val="24"/>
              </w:rPr>
            </w:pPr>
            <w:r>
              <w:rPr>
                <w:rFonts w:ascii="Arial" w:eastAsia="Arial" w:hAnsi="Arial" w:cs="Arial"/>
                <w:color w:val="000000"/>
                <w:sz w:val="24"/>
                <w:szCs w:val="24"/>
              </w:rPr>
              <w:t>the appointment of a receiver, administrative receiver or administrator in respect of or over all or a material part of the undertaking or assets of any member of the Supplier Group; and/or</w:t>
            </w:r>
          </w:p>
          <w:p w14:paraId="69E5DA66" w14:textId="77777777" w:rsidR="006374AA" w:rsidRDefault="000439C1">
            <w:pPr>
              <w:numPr>
                <w:ilvl w:val="4"/>
                <w:numId w:val="5"/>
              </w:numPr>
              <w:pBdr>
                <w:top w:val="nil"/>
                <w:left w:val="nil"/>
                <w:bottom w:val="nil"/>
                <w:right w:val="nil"/>
                <w:between w:val="nil"/>
              </w:pBdr>
              <w:spacing w:after="240"/>
              <w:ind w:left="605" w:hanging="567"/>
              <w:rPr>
                <w:rFonts w:ascii="Arial" w:eastAsia="Arial" w:hAnsi="Arial" w:cs="Arial"/>
                <w:color w:val="000000"/>
                <w:sz w:val="24"/>
                <w:szCs w:val="24"/>
              </w:rPr>
            </w:pPr>
            <w:r>
              <w:rPr>
                <w:rFonts w:ascii="Arial" w:eastAsia="Arial" w:hAnsi="Arial" w:cs="Arial"/>
                <w:color w:val="000000"/>
                <w:sz w:val="24"/>
                <w:szCs w:val="24"/>
              </w:rPr>
              <w:t>any process or events with an effect analogous to those in paragraphs (e) to (g) inclusive above occurring to a member of the Supplier Group in a jurisdiction outside England and Wales;</w:t>
            </w:r>
          </w:p>
        </w:tc>
      </w:tr>
      <w:tr w:rsidR="006374AA" w14:paraId="69E5DA6C" w14:textId="77777777">
        <w:tc>
          <w:tcPr>
            <w:tcW w:w="3097" w:type="dxa"/>
          </w:tcPr>
          <w:p w14:paraId="69E5DA68"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“Critical National Infrastructure”</w:t>
            </w:r>
          </w:p>
        </w:tc>
        <w:tc>
          <w:tcPr>
            <w:tcW w:w="5075" w:type="dxa"/>
          </w:tcPr>
          <w:p w14:paraId="69E5DA69" w14:textId="77777777" w:rsidR="006374AA" w:rsidRDefault="000439C1">
            <w:pPr>
              <w:pBdr>
                <w:top w:val="nil"/>
                <w:left w:val="nil"/>
                <w:bottom w:val="nil"/>
                <w:right w:val="nil"/>
                <w:between w:val="nil"/>
              </w:pBdr>
              <w:ind w:left="0"/>
              <w:rPr>
                <w:rFonts w:ascii="Arial" w:eastAsia="Arial" w:hAnsi="Arial" w:cs="Arial"/>
                <w:color w:val="000000"/>
                <w:sz w:val="24"/>
                <w:szCs w:val="24"/>
              </w:rPr>
            </w:pPr>
            <w:r>
              <w:rPr>
                <w:rFonts w:ascii="Arial" w:eastAsia="Arial" w:hAnsi="Arial" w:cs="Arial"/>
                <w:color w:val="000000"/>
                <w:sz w:val="24"/>
                <w:szCs w:val="24"/>
              </w:rPr>
              <w:t>means those critical elements of UK national infrastructure (namely assets, facilities, systems, networks or processes and the essential workers that operate and facilitate them), the loss or compromise of which could result in:</w:t>
            </w:r>
          </w:p>
          <w:p w14:paraId="69E5DA6A" w14:textId="77777777" w:rsidR="006374AA" w:rsidRDefault="000439C1">
            <w:pPr>
              <w:numPr>
                <w:ilvl w:val="4"/>
                <w:numId w:val="7"/>
              </w:numPr>
              <w:pBdr>
                <w:top w:val="nil"/>
                <w:left w:val="nil"/>
                <w:bottom w:val="nil"/>
                <w:right w:val="nil"/>
                <w:between w:val="nil"/>
              </w:pBdr>
              <w:ind w:left="596" w:hanging="567"/>
              <w:rPr>
                <w:rFonts w:ascii="Arial" w:eastAsia="Arial" w:hAnsi="Arial" w:cs="Arial"/>
                <w:color w:val="000000"/>
                <w:sz w:val="24"/>
                <w:szCs w:val="24"/>
              </w:rPr>
            </w:pPr>
            <w:r>
              <w:rPr>
                <w:rFonts w:ascii="Arial" w:eastAsia="Arial" w:hAnsi="Arial" w:cs="Arial"/>
                <w:color w:val="000000"/>
                <w:sz w:val="24"/>
                <w:szCs w:val="24"/>
              </w:rPr>
              <w:t xml:space="preserve">major detrimental impact on the availability, integrity or delivery of essential services – including those services whose integrity, if compromised, could result in significant loss of life or casualties – </w:t>
            </w:r>
            <w:proofErr w:type="gramStart"/>
            <w:r>
              <w:rPr>
                <w:rFonts w:ascii="Arial" w:eastAsia="Arial" w:hAnsi="Arial" w:cs="Arial"/>
                <w:color w:val="000000"/>
                <w:sz w:val="24"/>
                <w:szCs w:val="24"/>
              </w:rPr>
              <w:t>taking into account</w:t>
            </w:r>
            <w:proofErr w:type="gramEnd"/>
            <w:r>
              <w:rPr>
                <w:rFonts w:ascii="Arial" w:eastAsia="Arial" w:hAnsi="Arial" w:cs="Arial"/>
                <w:color w:val="000000"/>
                <w:sz w:val="24"/>
                <w:szCs w:val="24"/>
              </w:rPr>
              <w:t xml:space="preserve"> significant economic or social impacts; and/or</w:t>
            </w:r>
          </w:p>
          <w:p w14:paraId="69E5DA6B" w14:textId="77777777" w:rsidR="006374AA" w:rsidRDefault="000439C1">
            <w:pPr>
              <w:numPr>
                <w:ilvl w:val="4"/>
                <w:numId w:val="7"/>
              </w:numPr>
              <w:pBdr>
                <w:top w:val="nil"/>
                <w:left w:val="nil"/>
                <w:bottom w:val="nil"/>
                <w:right w:val="nil"/>
                <w:between w:val="nil"/>
              </w:pBdr>
              <w:spacing w:after="240"/>
              <w:ind w:left="605" w:hanging="567"/>
              <w:rPr>
                <w:rFonts w:ascii="Arial" w:eastAsia="Arial" w:hAnsi="Arial" w:cs="Arial"/>
                <w:color w:val="000000"/>
                <w:sz w:val="24"/>
                <w:szCs w:val="24"/>
              </w:rPr>
            </w:pPr>
            <w:r>
              <w:rPr>
                <w:rFonts w:ascii="Arial" w:eastAsia="Arial" w:hAnsi="Arial" w:cs="Arial"/>
                <w:color w:val="000000"/>
                <w:sz w:val="24"/>
                <w:szCs w:val="24"/>
              </w:rPr>
              <w:lastRenderedPageBreak/>
              <w:t>significant impact on the national security, national defence, or the functioning of the UK;</w:t>
            </w:r>
          </w:p>
        </w:tc>
      </w:tr>
      <w:tr w:rsidR="006374AA" w14:paraId="69E5DA6F" w14:textId="77777777">
        <w:tc>
          <w:tcPr>
            <w:tcW w:w="3097" w:type="dxa"/>
          </w:tcPr>
          <w:p w14:paraId="69E5DA6D"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“Critical Service Contract”</w:t>
            </w:r>
          </w:p>
        </w:tc>
        <w:tc>
          <w:tcPr>
            <w:tcW w:w="5075" w:type="dxa"/>
          </w:tcPr>
          <w:p w14:paraId="69E5DA6E"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 xml:space="preserve">a service contract which the Buyer has categorised as a Gold Contract </w:t>
            </w:r>
            <w:r>
              <w:rPr>
                <w:rFonts w:ascii="Arial" w:eastAsia="Arial" w:hAnsi="Arial" w:cs="Arial"/>
                <w:color w:val="000000"/>
                <w:sz w:val="24"/>
                <w:szCs w:val="24"/>
              </w:rPr>
              <w:t>using the Cabinet Office Contract Tiering Tool</w:t>
            </w:r>
            <w:r>
              <w:rPr>
                <w:rFonts w:ascii="Arial" w:eastAsia="Arial" w:hAnsi="Arial" w:cs="Arial"/>
                <w:sz w:val="24"/>
                <w:szCs w:val="24"/>
              </w:rPr>
              <w:t xml:space="preserve"> or which the Buyer otherwise considers should be classed as a Critical Service Contract;</w:t>
            </w:r>
          </w:p>
        </w:tc>
      </w:tr>
      <w:tr w:rsidR="006374AA" w14:paraId="69E5DA74" w14:textId="77777777">
        <w:tc>
          <w:tcPr>
            <w:tcW w:w="3097" w:type="dxa"/>
          </w:tcPr>
          <w:p w14:paraId="69E5DA70"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“CRP Information”</w:t>
            </w:r>
          </w:p>
        </w:tc>
        <w:tc>
          <w:tcPr>
            <w:tcW w:w="5075" w:type="dxa"/>
          </w:tcPr>
          <w:p w14:paraId="69E5DA71" w14:textId="77777777" w:rsidR="006374AA" w:rsidRDefault="000439C1">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means, together, the:</w:t>
            </w:r>
          </w:p>
          <w:p w14:paraId="69E5DA72" w14:textId="77777777" w:rsidR="006374AA" w:rsidRDefault="000439C1">
            <w:pPr>
              <w:pBdr>
                <w:top w:val="nil"/>
                <w:left w:val="nil"/>
                <w:bottom w:val="nil"/>
                <w:right w:val="nil"/>
                <w:between w:val="nil"/>
              </w:pBdr>
              <w:spacing w:before="100" w:after="200"/>
              <w:ind w:left="0"/>
              <w:jc w:val="left"/>
              <w:rPr>
                <w:rFonts w:ascii="Arial" w:eastAsia="Arial" w:hAnsi="Arial" w:cs="Arial"/>
                <w:color w:val="000000"/>
                <w:sz w:val="24"/>
                <w:szCs w:val="24"/>
              </w:rPr>
            </w:pPr>
            <w:r>
              <w:rPr>
                <w:rFonts w:ascii="Arial" w:eastAsia="Arial" w:hAnsi="Arial" w:cs="Arial"/>
                <w:color w:val="000000"/>
                <w:sz w:val="24"/>
                <w:szCs w:val="24"/>
              </w:rPr>
              <w:t>Group Structure Information and Resolution Commentary; and</w:t>
            </w:r>
          </w:p>
          <w:p w14:paraId="69E5DA73"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UK Public Sector and CNI Contract Information;</w:t>
            </w:r>
          </w:p>
        </w:tc>
      </w:tr>
      <w:tr w:rsidR="006374AA" w14:paraId="69E5DA77" w14:textId="77777777">
        <w:tc>
          <w:tcPr>
            <w:tcW w:w="3097" w:type="dxa"/>
          </w:tcPr>
          <w:p w14:paraId="69E5DA75"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“Dependent Parent Undertaking”</w:t>
            </w:r>
          </w:p>
        </w:tc>
        <w:tc>
          <w:tcPr>
            <w:tcW w:w="5075" w:type="dxa"/>
          </w:tcPr>
          <w:p w14:paraId="69E5DA76"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any Parent Undertaking which provides any of its Subsidiary Undertakings and/or 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Contract, including for the avoidance of doubt the provision of the Deliverables in accordance with the terms of the Contract;</w:t>
            </w:r>
          </w:p>
        </w:tc>
      </w:tr>
      <w:tr w:rsidR="006374AA" w14:paraId="69E5DA7A" w14:textId="77777777">
        <w:tc>
          <w:tcPr>
            <w:tcW w:w="3097" w:type="dxa"/>
          </w:tcPr>
          <w:p w14:paraId="69E5DA78"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w:t>
            </w:r>
          </w:p>
        </w:tc>
        <w:tc>
          <w:tcPr>
            <w:tcW w:w="5075" w:type="dxa"/>
          </w:tcPr>
          <w:p w14:paraId="69E5DA79"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bookmarkStart w:id="3" w:name="_heading=h.30j0zll" w:colFirst="0" w:colLast="0"/>
            <w:bookmarkEnd w:id="3"/>
            <w:r>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6374AA" w14:paraId="69E5DA7D" w14:textId="77777777">
        <w:tc>
          <w:tcPr>
            <w:tcW w:w="3097" w:type="dxa"/>
          </w:tcPr>
          <w:p w14:paraId="69E5DA7B"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Deliverables"</w:t>
            </w:r>
          </w:p>
        </w:tc>
        <w:tc>
          <w:tcPr>
            <w:tcW w:w="5075" w:type="dxa"/>
          </w:tcPr>
          <w:p w14:paraId="69E5DA7C" w14:textId="77777777" w:rsidR="006374AA" w:rsidRDefault="000439C1">
            <w:pPr>
              <w:pBdr>
                <w:top w:val="nil"/>
                <w:left w:val="nil"/>
                <w:bottom w:val="nil"/>
                <w:right w:val="nil"/>
                <w:between w:val="nil"/>
              </w:pBdr>
              <w:tabs>
                <w:tab w:val="left" w:pos="-9"/>
                <w:tab w:val="left" w:pos="-17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6374AA" w14:paraId="69E5DA80" w14:textId="77777777">
        <w:tc>
          <w:tcPr>
            <w:tcW w:w="3097" w:type="dxa"/>
          </w:tcPr>
          <w:p w14:paraId="69E5DA7E"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Plan"</w:t>
            </w:r>
          </w:p>
        </w:tc>
        <w:tc>
          <w:tcPr>
            <w:tcW w:w="5075" w:type="dxa"/>
          </w:tcPr>
          <w:p w14:paraId="69E5DA7F"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 xml:space="preserve">has the meaning given to it in Paragraph </w:t>
            </w:r>
            <w:r>
              <w:rPr>
                <w:rFonts w:ascii="Arial" w:eastAsia="Arial" w:hAnsi="Arial" w:cs="Arial"/>
                <w:sz w:val="24"/>
                <w:szCs w:val="24"/>
              </w:rPr>
              <w:t>1.3.3 of</w:t>
            </w:r>
            <w:r>
              <w:rPr>
                <w:rFonts w:ascii="Arial" w:eastAsia="Arial" w:hAnsi="Arial" w:cs="Arial"/>
                <w:color w:val="000000"/>
                <w:sz w:val="24"/>
                <w:szCs w:val="24"/>
              </w:rPr>
              <w:t xml:space="preserve"> Part B of this Schedule;</w:t>
            </w:r>
          </w:p>
        </w:tc>
      </w:tr>
      <w:tr w:rsidR="006374AA" w14:paraId="69E5DA83" w14:textId="77777777">
        <w:tc>
          <w:tcPr>
            <w:tcW w:w="3097" w:type="dxa"/>
          </w:tcPr>
          <w:p w14:paraId="69E5DA81"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"Disaster Recovery System"</w:t>
            </w:r>
          </w:p>
        </w:tc>
        <w:tc>
          <w:tcPr>
            <w:tcW w:w="5075" w:type="dxa"/>
          </w:tcPr>
          <w:p w14:paraId="69E5DA82"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the system embodied in the processes and procedures for restoring the provision of Deliverables following the occurrence of a Disaster;</w:t>
            </w:r>
          </w:p>
        </w:tc>
      </w:tr>
      <w:tr w:rsidR="006374AA" w14:paraId="69E5DA86" w14:textId="77777777">
        <w:tc>
          <w:tcPr>
            <w:tcW w:w="3097" w:type="dxa"/>
          </w:tcPr>
          <w:p w14:paraId="69E5DA84"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lastRenderedPageBreak/>
              <w:t>“Group Structure Information and Resolution Commentary”</w:t>
            </w:r>
          </w:p>
        </w:tc>
        <w:tc>
          <w:tcPr>
            <w:tcW w:w="5075" w:type="dxa"/>
          </w:tcPr>
          <w:p w14:paraId="69E5DA85"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and Appendix 1 to Part C;</w:t>
            </w:r>
          </w:p>
        </w:tc>
      </w:tr>
      <w:tr w:rsidR="006374AA" w14:paraId="69E5DA89" w14:textId="77777777">
        <w:tc>
          <w:tcPr>
            <w:tcW w:w="3097" w:type="dxa"/>
          </w:tcPr>
          <w:p w14:paraId="69E5DA87"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“Parent Undertaking”</w:t>
            </w:r>
          </w:p>
        </w:tc>
        <w:tc>
          <w:tcPr>
            <w:tcW w:w="5075" w:type="dxa"/>
          </w:tcPr>
          <w:p w14:paraId="69E5DA88"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6374AA" w14:paraId="69E5DA8C" w14:textId="77777777">
        <w:tc>
          <w:tcPr>
            <w:tcW w:w="3097" w:type="dxa"/>
          </w:tcPr>
          <w:p w14:paraId="69E5DA8A"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“Public Sector Dependent Supplier”</w:t>
            </w:r>
          </w:p>
        </w:tc>
        <w:tc>
          <w:tcPr>
            <w:tcW w:w="5075" w:type="dxa"/>
          </w:tcPr>
          <w:p w14:paraId="69E5DA8B"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 supplier where that supplier, or that supplier’s group has Annual Revenue of £50 million or more of which over 50% is generated from UK Public Sector Business;</w:t>
            </w:r>
          </w:p>
        </w:tc>
      </w:tr>
      <w:tr w:rsidR="006374AA" w14:paraId="69E5DA8F" w14:textId="77777777">
        <w:trPr>
          <w:trHeight w:val="567"/>
        </w:trPr>
        <w:tc>
          <w:tcPr>
            <w:tcW w:w="3097" w:type="dxa"/>
          </w:tcPr>
          <w:p w14:paraId="69E5DA8D"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"Related Supplier"</w:t>
            </w:r>
          </w:p>
        </w:tc>
        <w:tc>
          <w:tcPr>
            <w:tcW w:w="5075" w:type="dxa"/>
          </w:tcPr>
          <w:p w14:paraId="69E5DA8E"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any person who provides Deliverables to the Buyer which are related to the Deliverables from time to time;</w:t>
            </w:r>
          </w:p>
        </w:tc>
      </w:tr>
      <w:tr w:rsidR="006374AA" w14:paraId="69E5DA92" w14:textId="77777777">
        <w:trPr>
          <w:trHeight w:val="567"/>
        </w:trPr>
        <w:tc>
          <w:tcPr>
            <w:tcW w:w="3097" w:type="dxa"/>
          </w:tcPr>
          <w:p w14:paraId="69E5DA90"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"Review Report"</w:t>
            </w:r>
          </w:p>
        </w:tc>
        <w:tc>
          <w:tcPr>
            <w:tcW w:w="5075" w:type="dxa"/>
          </w:tcPr>
          <w:p w14:paraId="69E5DA91"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6.3 of Part B of this Schedule; and</w:t>
            </w:r>
          </w:p>
        </w:tc>
      </w:tr>
      <w:tr w:rsidR="006374AA" w14:paraId="69E5DA95" w14:textId="77777777">
        <w:trPr>
          <w:trHeight w:val="567"/>
        </w:trPr>
        <w:tc>
          <w:tcPr>
            <w:tcW w:w="3097" w:type="dxa"/>
          </w:tcPr>
          <w:p w14:paraId="69E5DA93"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“Standard BCDR Plan”</w:t>
            </w:r>
          </w:p>
        </w:tc>
        <w:tc>
          <w:tcPr>
            <w:tcW w:w="5075" w:type="dxa"/>
          </w:tcPr>
          <w:p w14:paraId="69E5DA94"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sz w:val="24"/>
                <w:szCs w:val="24"/>
              </w:rPr>
            </w:pPr>
            <w:r>
              <w:rPr>
                <w:rFonts w:ascii="Arial" w:eastAsia="Arial" w:hAnsi="Arial" w:cs="Arial"/>
                <w:color w:val="000000"/>
                <w:sz w:val="24"/>
                <w:szCs w:val="24"/>
              </w:rPr>
              <w:t>means the Supplier’s standard BCDR Plan;</w:t>
            </w:r>
          </w:p>
        </w:tc>
      </w:tr>
      <w:tr w:rsidR="006374AA" w14:paraId="69E5DA99" w14:textId="77777777">
        <w:trPr>
          <w:trHeight w:val="567"/>
        </w:trPr>
        <w:tc>
          <w:tcPr>
            <w:tcW w:w="3097" w:type="dxa"/>
          </w:tcPr>
          <w:p w14:paraId="69E5DA96"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“Strategic Supplier”</w:t>
            </w:r>
          </w:p>
        </w:tc>
        <w:tc>
          <w:tcPr>
            <w:tcW w:w="5075" w:type="dxa"/>
          </w:tcPr>
          <w:p w14:paraId="69E5DA97" w14:textId="77777777" w:rsidR="006374AA" w:rsidRDefault="000439C1">
            <w:pPr>
              <w:ind w:left="0"/>
              <w:jc w:val="left"/>
              <w:rPr>
                <w:rFonts w:ascii="Arial" w:eastAsia="Arial" w:hAnsi="Arial" w:cs="Arial"/>
                <w:sz w:val="24"/>
                <w:szCs w:val="24"/>
              </w:rPr>
            </w:pPr>
            <w:r>
              <w:rPr>
                <w:rFonts w:ascii="Arial" w:eastAsia="Arial" w:hAnsi="Arial" w:cs="Arial"/>
                <w:sz w:val="24"/>
                <w:szCs w:val="24"/>
              </w:rPr>
              <w:t>means those suppliers to government listed at</w:t>
            </w:r>
          </w:p>
          <w:p w14:paraId="69E5DA98"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https://www.gov.uk/government/publications/strategic-suppliers;</w:t>
            </w:r>
          </w:p>
        </w:tc>
      </w:tr>
      <w:tr w:rsidR="006374AA" w14:paraId="69E5DA9C" w14:textId="77777777">
        <w:trPr>
          <w:trHeight w:val="567"/>
        </w:trPr>
        <w:tc>
          <w:tcPr>
            <w:tcW w:w="3097" w:type="dxa"/>
          </w:tcPr>
          <w:p w14:paraId="69E5DA9A"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“Subsidiary Undertaking”</w:t>
            </w:r>
          </w:p>
        </w:tc>
        <w:tc>
          <w:tcPr>
            <w:tcW w:w="5075" w:type="dxa"/>
          </w:tcPr>
          <w:p w14:paraId="69E5DA9B"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has the meaning set out in section 1162 of the Companies Act 2006;</w:t>
            </w:r>
          </w:p>
        </w:tc>
      </w:tr>
      <w:tr w:rsidR="006374AA" w14:paraId="69E5DA9F" w14:textId="77777777">
        <w:trPr>
          <w:trHeight w:val="567"/>
        </w:trPr>
        <w:tc>
          <w:tcPr>
            <w:tcW w:w="3097" w:type="dxa"/>
          </w:tcPr>
          <w:p w14:paraId="69E5DA9D"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“Supplier Group”</w:t>
            </w:r>
          </w:p>
        </w:tc>
        <w:tc>
          <w:tcPr>
            <w:tcW w:w="5075" w:type="dxa"/>
          </w:tcPr>
          <w:p w14:paraId="69E5DA9E"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Supplier, its Dependent Parent Undertakings and all Subsidiary Undertakings and Associates of such Dependent Parent Undertakings;</w:t>
            </w:r>
          </w:p>
        </w:tc>
      </w:tr>
      <w:tr w:rsidR="006374AA" w14:paraId="69E5DAA2" w14:textId="77777777">
        <w:tc>
          <w:tcPr>
            <w:tcW w:w="3097" w:type="dxa"/>
          </w:tcPr>
          <w:p w14:paraId="69E5DAA0"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color w:val="000000"/>
                <w:sz w:val="24"/>
                <w:szCs w:val="24"/>
              </w:rPr>
              <w:t>"Supplier's Proposals"</w:t>
            </w:r>
          </w:p>
        </w:tc>
        <w:tc>
          <w:tcPr>
            <w:tcW w:w="5075" w:type="dxa"/>
          </w:tcPr>
          <w:p w14:paraId="69E5DAA1"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color w:val="000000"/>
                <w:sz w:val="24"/>
                <w:szCs w:val="24"/>
              </w:rPr>
              <w:t>has the meaning given to it in Paragraph 6.3 of Part B of this Schedule;</w:t>
            </w:r>
          </w:p>
        </w:tc>
      </w:tr>
      <w:tr w:rsidR="006374AA" w14:paraId="69E5DAA5" w14:textId="77777777">
        <w:tc>
          <w:tcPr>
            <w:tcW w:w="3097" w:type="dxa"/>
          </w:tcPr>
          <w:p w14:paraId="69E5DAA3"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Business”</w:t>
            </w:r>
          </w:p>
        </w:tc>
        <w:tc>
          <w:tcPr>
            <w:tcW w:w="5075" w:type="dxa"/>
          </w:tcPr>
          <w:p w14:paraId="69E5DAA4"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w:t>
            </w:r>
          </w:p>
        </w:tc>
      </w:tr>
      <w:tr w:rsidR="006374AA" w14:paraId="69E5DAA8" w14:textId="77777777">
        <w:tc>
          <w:tcPr>
            <w:tcW w:w="3097" w:type="dxa"/>
          </w:tcPr>
          <w:p w14:paraId="69E5DAA6" w14:textId="77777777" w:rsidR="006374AA" w:rsidRDefault="000439C1">
            <w:pPr>
              <w:pBdr>
                <w:top w:val="nil"/>
                <w:left w:val="nil"/>
                <w:bottom w:val="nil"/>
                <w:right w:val="nil"/>
                <w:between w:val="nil"/>
              </w:pBdr>
              <w:spacing w:after="120"/>
              <w:ind w:left="-108"/>
              <w:jc w:val="left"/>
              <w:rPr>
                <w:rFonts w:ascii="Arial" w:eastAsia="Arial" w:hAnsi="Arial" w:cs="Arial"/>
                <w:b/>
                <w:color w:val="000000"/>
                <w:sz w:val="24"/>
                <w:szCs w:val="24"/>
              </w:rPr>
            </w:pPr>
            <w:r>
              <w:rPr>
                <w:rFonts w:ascii="Arial" w:eastAsia="Arial" w:hAnsi="Arial" w:cs="Arial"/>
                <w:b/>
                <w:sz w:val="24"/>
                <w:szCs w:val="24"/>
              </w:rPr>
              <w:t>“UK Public Sector / CNI Contract Information”</w:t>
            </w:r>
          </w:p>
        </w:tc>
        <w:tc>
          <w:tcPr>
            <w:tcW w:w="5075" w:type="dxa"/>
          </w:tcPr>
          <w:p w14:paraId="69E5DAA7" w14:textId="77777777" w:rsidR="006374AA" w:rsidRDefault="000439C1">
            <w:pPr>
              <w:pBdr>
                <w:top w:val="nil"/>
                <w:left w:val="nil"/>
                <w:bottom w:val="nil"/>
                <w:right w:val="nil"/>
                <w:between w:val="nil"/>
              </w:pBdr>
              <w:tabs>
                <w:tab w:val="left" w:pos="-9"/>
              </w:tabs>
              <w:spacing w:after="120"/>
              <w:ind w:left="0"/>
              <w:jc w:val="left"/>
              <w:rPr>
                <w:rFonts w:ascii="Arial" w:eastAsia="Arial" w:hAnsi="Arial" w:cs="Arial"/>
                <w:color w:val="000000"/>
                <w:sz w:val="24"/>
                <w:szCs w:val="24"/>
              </w:rPr>
            </w:pPr>
            <w:r>
              <w:rPr>
                <w:rFonts w:ascii="Arial" w:eastAsia="Arial" w:hAnsi="Arial" w:cs="Arial"/>
                <w:sz w:val="24"/>
                <w:szCs w:val="24"/>
              </w:rPr>
              <w:t>means the information relating to the Supplier Group to be provided by the Supplier in accordance with Paragraphs 2 to 4 of Part C and Appendix 2 of Part C;</w:t>
            </w:r>
          </w:p>
        </w:tc>
      </w:tr>
    </w:tbl>
    <w:p w14:paraId="69E5DAA9" w14:textId="5868718D" w:rsidR="006374AA" w:rsidRDefault="000439C1">
      <w:pPr>
        <w:pBdr>
          <w:top w:val="nil"/>
          <w:left w:val="nil"/>
          <w:bottom w:val="nil"/>
          <w:right w:val="nil"/>
          <w:between w:val="nil"/>
        </w:pBdr>
        <w:spacing w:before="120" w:after="120"/>
        <w:ind w:left="0"/>
        <w:jc w:val="left"/>
        <w:rPr>
          <w:b/>
          <w:sz w:val="32"/>
          <w:szCs w:val="32"/>
        </w:rPr>
      </w:pPr>
      <w:r>
        <w:rPr>
          <w:b/>
          <w:sz w:val="32"/>
          <w:szCs w:val="32"/>
        </w:rPr>
        <w:t xml:space="preserve">Part A: </w:t>
      </w:r>
      <w:r>
        <w:rPr>
          <w:b/>
          <w:color w:val="000000"/>
          <w:sz w:val="32"/>
          <w:szCs w:val="32"/>
        </w:rPr>
        <w:t>BCDR</w:t>
      </w:r>
      <w:r>
        <w:rPr>
          <w:b/>
          <w:sz w:val="32"/>
          <w:szCs w:val="32"/>
        </w:rPr>
        <w:t xml:space="preserve"> Plan – Short Form</w:t>
      </w:r>
      <w:r w:rsidR="00823C3B">
        <w:rPr>
          <w:b/>
          <w:sz w:val="32"/>
          <w:szCs w:val="32"/>
        </w:rPr>
        <w:t xml:space="preserve"> </w:t>
      </w:r>
      <w:r w:rsidR="00823C3B" w:rsidRPr="00823C3B">
        <w:rPr>
          <w:b/>
          <w:color w:val="FF0000"/>
          <w:sz w:val="32"/>
          <w:szCs w:val="32"/>
        </w:rPr>
        <w:t>(Not Applicable)</w:t>
      </w:r>
    </w:p>
    <w:p w14:paraId="69E5DAAA" w14:textId="77777777" w:rsidR="006374AA" w:rsidRDefault="000439C1">
      <w:pPr>
        <w:pBdr>
          <w:top w:val="nil"/>
          <w:left w:val="nil"/>
          <w:bottom w:val="nil"/>
          <w:right w:val="nil"/>
          <w:between w:val="nil"/>
        </w:pBdr>
        <w:spacing w:before="120" w:after="120"/>
        <w:ind w:left="0"/>
        <w:jc w:val="left"/>
        <w:rPr>
          <w:sz w:val="24"/>
          <w:szCs w:val="24"/>
        </w:rPr>
      </w:pPr>
      <w:r>
        <w:rPr>
          <w:sz w:val="24"/>
          <w:szCs w:val="24"/>
        </w:rPr>
        <w:lastRenderedPageBreak/>
        <w:t>Unless otherwise specified in this Schedule, this Part A shall apply only to Call-Off Contracts which have been awarded via Direct Award in accordance with Framework Schedule 7 (Call-Off Contract Award Procedure).</w:t>
      </w:r>
    </w:p>
    <w:p w14:paraId="69E5DAAC" w14:textId="77777777" w:rsidR="006374AA" w:rsidRDefault="000439C1">
      <w:pPr>
        <w:keepNext/>
        <w:numPr>
          <w:ilvl w:val="0"/>
          <w:numId w:val="1"/>
        </w:numPr>
        <w:pBdr>
          <w:top w:val="nil"/>
          <w:left w:val="nil"/>
          <w:bottom w:val="nil"/>
          <w:right w:val="nil"/>
          <w:between w:val="nil"/>
        </w:pBdr>
        <w:tabs>
          <w:tab w:val="left" w:pos="0"/>
        </w:tabs>
        <w:spacing w:before="240"/>
        <w:jc w:val="left"/>
        <w:rPr>
          <w:rFonts w:ascii="Arial Bold" w:eastAsia="Arial Bold" w:hAnsi="Arial Bold" w:cs="Arial Bold"/>
          <w:b/>
          <w:smallCaps/>
          <w:color w:val="000000"/>
          <w:sz w:val="24"/>
          <w:szCs w:val="24"/>
        </w:rPr>
      </w:pPr>
      <w:r>
        <w:rPr>
          <w:rFonts w:ascii="Arial Bold" w:eastAsia="Arial Bold" w:hAnsi="Arial Bold" w:cs="Arial Bold"/>
          <w:b/>
          <w:smallCaps/>
          <w:color w:val="000000"/>
          <w:sz w:val="24"/>
          <w:szCs w:val="24"/>
        </w:rPr>
        <w:t>BCDR Plan</w:t>
      </w:r>
    </w:p>
    <w:p w14:paraId="69E5DAAD" w14:textId="77777777" w:rsidR="006374AA" w:rsidRDefault="000439C1">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69E5DAAE" w14:textId="77777777" w:rsidR="006374AA" w:rsidRDefault="000439C1">
      <w:pPr>
        <w:numPr>
          <w:ilvl w:val="1"/>
          <w:numId w:val="1"/>
        </w:numPr>
        <w:pBdr>
          <w:top w:val="nil"/>
          <w:left w:val="nil"/>
          <w:bottom w:val="nil"/>
          <w:right w:val="nil"/>
          <w:between w:val="nil"/>
        </w:pBdr>
        <w:spacing w:before="120" w:after="120"/>
        <w:jc w:val="left"/>
        <w:rPr>
          <w:sz w:val="24"/>
          <w:szCs w:val="24"/>
        </w:rPr>
      </w:pPr>
      <w:r>
        <w:rPr>
          <w:color w:val="000000"/>
          <w:sz w:val="24"/>
          <w:szCs w:val="24"/>
        </w:rPr>
        <w:t>Promptly (and in any event within 30 days) after the Start Date,</w:t>
      </w:r>
      <w:r>
        <w:rPr>
          <w:sz w:val="24"/>
          <w:szCs w:val="24"/>
        </w:rPr>
        <w:t xml:space="preserve"> the Supplier shall provide to the Buyer </w:t>
      </w:r>
      <w:r>
        <w:rPr>
          <w:color w:val="000000"/>
          <w:sz w:val="24"/>
          <w:szCs w:val="24"/>
        </w:rPr>
        <w:t>its Standard BCDR Plan.</w:t>
      </w:r>
    </w:p>
    <w:p w14:paraId="69E5DAAF" w14:textId="77777777" w:rsidR="006374AA" w:rsidRDefault="000439C1">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 shall ensure at all times that its Standard BCDR Plan conforms with Good Industry Practice.</w:t>
      </w:r>
    </w:p>
    <w:p w14:paraId="69E5DAB0" w14:textId="77777777" w:rsidR="006374AA" w:rsidRDefault="000439C1">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 may from time to time during the Contract Period review, update, and/or test its Standard BCDR Plan. The Supplier shall ensure that any use by it or any Subcontractor of "live" Buyer Data in such testing is first approved with the Buyer. Copies of live test data used in any such testing shall be (if so required by the Buyer) destroyed or returned to the Buyer on completion of the test.</w:t>
      </w:r>
    </w:p>
    <w:p w14:paraId="69E5DAB1" w14:textId="77777777" w:rsidR="006374AA" w:rsidRDefault="000439C1">
      <w:pPr>
        <w:keepNext/>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The Supplier shall, within twenty (20) Working Days of the conclusion of each test of its Standard BCDR Plan, provide to the Buyer a report setting out:</w:t>
      </w:r>
    </w:p>
    <w:p w14:paraId="69E5DAB2" w14:textId="77777777" w:rsidR="006374AA" w:rsidRDefault="000439C1">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outcome of the test;</w:t>
      </w:r>
    </w:p>
    <w:p w14:paraId="69E5DAB3" w14:textId="77777777" w:rsidR="006374AA" w:rsidRDefault="000439C1">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any failures in the Standard BCDR Plan (including the Standard BCDR Plan's procedures) revealed by the test; and</w:t>
      </w:r>
    </w:p>
    <w:p w14:paraId="69E5DAB4" w14:textId="77777777" w:rsidR="006374AA" w:rsidRDefault="000439C1">
      <w:pPr>
        <w:numPr>
          <w:ilvl w:val="2"/>
          <w:numId w:val="1"/>
        </w:numPr>
        <w:pBdr>
          <w:top w:val="nil"/>
          <w:left w:val="nil"/>
          <w:bottom w:val="nil"/>
          <w:right w:val="nil"/>
          <w:between w:val="nil"/>
        </w:pBdr>
        <w:tabs>
          <w:tab w:val="left" w:pos="1985"/>
          <w:tab w:val="left" w:pos="2127"/>
        </w:tabs>
        <w:spacing w:before="120" w:after="120"/>
        <w:jc w:val="left"/>
        <w:rPr>
          <w:color w:val="000000"/>
          <w:sz w:val="24"/>
          <w:szCs w:val="24"/>
        </w:rPr>
      </w:pPr>
      <w:r>
        <w:rPr>
          <w:color w:val="000000"/>
          <w:sz w:val="24"/>
          <w:szCs w:val="24"/>
        </w:rPr>
        <w:t>the Supplier's proposals for remedying any such failures.</w:t>
      </w:r>
    </w:p>
    <w:p w14:paraId="69E5DAB5" w14:textId="77777777" w:rsidR="006374AA" w:rsidRDefault="000439C1">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In the event of a complete loss of service or in the event of a Disaster, the Supplier shall immediately invoke its Standard BCDR Plan (and shall inform the Buyer promptly of such invocation). In all other instances the Supplier shall invoke or test the Standard BCDR Plan only with the prior consent of the Buyer.</w:t>
      </w:r>
    </w:p>
    <w:p w14:paraId="69E5DAB6" w14:textId="77777777" w:rsidR="006374AA" w:rsidRDefault="000439C1">
      <w:pPr>
        <w:numPr>
          <w:ilvl w:val="1"/>
          <w:numId w:val="1"/>
        </w:numPr>
        <w:pBdr>
          <w:top w:val="nil"/>
          <w:left w:val="nil"/>
          <w:bottom w:val="nil"/>
          <w:right w:val="nil"/>
          <w:between w:val="nil"/>
        </w:pBdr>
        <w:spacing w:before="120" w:after="120"/>
        <w:jc w:val="left"/>
        <w:rPr>
          <w:color w:val="000000"/>
          <w:sz w:val="24"/>
          <w:szCs w:val="24"/>
        </w:rPr>
      </w:pPr>
      <w:r>
        <w:rPr>
          <w:color w:val="000000"/>
          <w:sz w:val="24"/>
          <w:szCs w:val="24"/>
        </w:rPr>
        <w:t xml:space="preserve">To the extent the Standard BCDR Plan contains processes, procedures, and/or other content which is designed to permit the </w:t>
      </w:r>
      <w:r>
        <w:rPr>
          <w:sz w:val="24"/>
          <w:szCs w:val="24"/>
        </w:rPr>
        <w:t>continuity of the business operations of the Buyer supported by the Deliverables through continued provision of the Deliverables following an Insolvency Event of the Supplier, any Key Sub-contractor and/or any Supplier</w:t>
      </w:r>
      <w:r>
        <w:rPr>
          <w:color w:val="000000"/>
          <w:sz w:val="24"/>
          <w:szCs w:val="24"/>
        </w:rPr>
        <w:t>, the Standard BCDR Plan shall be invoked by the Supplier:</w:t>
      </w:r>
    </w:p>
    <w:p w14:paraId="69E5DAB7" w14:textId="77777777" w:rsidR="006374AA" w:rsidRDefault="000439C1">
      <w:pPr>
        <w:pBdr>
          <w:top w:val="nil"/>
          <w:left w:val="nil"/>
          <w:bottom w:val="nil"/>
          <w:right w:val="nil"/>
          <w:between w:val="nil"/>
        </w:pBdr>
        <w:tabs>
          <w:tab w:val="left" w:pos="1985"/>
          <w:tab w:val="left" w:pos="2127"/>
        </w:tabs>
        <w:spacing w:before="120" w:after="120"/>
        <w:ind w:left="1656"/>
        <w:rPr>
          <w:rFonts w:eastAsia="Arial"/>
          <w:color w:val="000000"/>
          <w:sz w:val="24"/>
          <w:szCs w:val="24"/>
        </w:rPr>
      </w:pPr>
      <w:bookmarkStart w:id="4" w:name="_heading=h.3whwml4" w:colFirst="0" w:colLast="0"/>
      <w:bookmarkEnd w:id="4"/>
      <w:r>
        <w:rPr>
          <w:rFonts w:eastAsia="Arial"/>
          <w:color w:val="000000"/>
          <w:sz w:val="24"/>
          <w:szCs w:val="24"/>
        </w:rPr>
        <w:t>where an Insolvency Event of a Key Sub-contractor and/or Supplier Group member (other than the Supplier) could reasonably be expected to adversely affect delivery of the Deliverables; and/or</w:t>
      </w:r>
    </w:p>
    <w:p w14:paraId="69E5DAB8" w14:textId="77777777" w:rsidR="006374AA" w:rsidRDefault="000439C1">
      <w:pPr>
        <w:pBdr>
          <w:top w:val="nil"/>
          <w:left w:val="nil"/>
          <w:bottom w:val="nil"/>
          <w:right w:val="nil"/>
          <w:between w:val="nil"/>
        </w:pBdr>
        <w:tabs>
          <w:tab w:val="left" w:pos="1985"/>
          <w:tab w:val="left" w:pos="2127"/>
        </w:tabs>
        <w:spacing w:before="120" w:after="120"/>
        <w:ind w:left="1656"/>
        <w:rPr>
          <w:rFonts w:eastAsia="Arial"/>
          <w:color w:val="000000"/>
          <w:sz w:val="24"/>
          <w:szCs w:val="24"/>
        </w:rPr>
      </w:pPr>
      <w:r>
        <w:rPr>
          <w:rFonts w:eastAsia="Arial"/>
          <w:color w:val="000000"/>
          <w:sz w:val="24"/>
          <w:szCs w:val="24"/>
        </w:rPr>
        <w:t>where there is an Insolvency Event of the Supplier and the insolvency arrangements enable the Supplier to invoke the plan.</w:t>
      </w:r>
    </w:p>
    <w:p w14:paraId="69E5DAB9" w14:textId="77777777" w:rsidR="006374AA" w:rsidRDefault="006374AA">
      <w:pPr>
        <w:ind w:left="0"/>
      </w:pPr>
    </w:p>
    <w:p w14:paraId="69E5DABA" w14:textId="77777777" w:rsidR="006374AA" w:rsidRDefault="000439C1">
      <w:pPr>
        <w:pBdr>
          <w:top w:val="nil"/>
          <w:left w:val="nil"/>
          <w:bottom w:val="nil"/>
          <w:right w:val="nil"/>
          <w:between w:val="nil"/>
        </w:pBdr>
        <w:spacing w:before="120" w:after="120"/>
        <w:ind w:left="0"/>
        <w:jc w:val="left"/>
        <w:rPr>
          <w:b/>
          <w:sz w:val="32"/>
          <w:szCs w:val="32"/>
        </w:rPr>
      </w:pPr>
      <w:r>
        <w:rPr>
          <w:b/>
          <w:sz w:val="32"/>
          <w:szCs w:val="32"/>
        </w:rPr>
        <w:lastRenderedPageBreak/>
        <w:t xml:space="preserve">Part B: BCDR Plan – Long Form </w:t>
      </w:r>
    </w:p>
    <w:p w14:paraId="69E5DABB" w14:textId="77777777" w:rsidR="006374AA" w:rsidRDefault="000439C1">
      <w:pPr>
        <w:pBdr>
          <w:top w:val="nil"/>
          <w:left w:val="nil"/>
          <w:bottom w:val="nil"/>
          <w:right w:val="nil"/>
          <w:between w:val="nil"/>
        </w:pBdr>
        <w:spacing w:before="120" w:after="120"/>
        <w:ind w:left="0"/>
        <w:jc w:val="left"/>
        <w:rPr>
          <w:sz w:val="24"/>
          <w:szCs w:val="24"/>
        </w:rPr>
      </w:pPr>
      <w:r>
        <w:rPr>
          <w:sz w:val="24"/>
          <w:szCs w:val="24"/>
        </w:rPr>
        <w:t xml:space="preserve">This Part B shall apply to all Call-Off Contracts which have been awarded via a Further Competition procedure in accordance with Framework Schedule 7 (Call-Off Contract Award Procedure) and shall not apply to any Call-Off Contracts awarded via Direct Award. </w:t>
      </w:r>
    </w:p>
    <w:p w14:paraId="69E5DABE" w14:textId="77777777" w:rsidR="006374AA" w:rsidRDefault="000439C1">
      <w:pPr>
        <w:pStyle w:val="Heading2"/>
        <w:numPr>
          <w:ilvl w:val="0"/>
          <w:numId w:val="6"/>
        </w:numPr>
        <w:tabs>
          <w:tab w:val="left" w:pos="0"/>
        </w:tabs>
        <w:spacing w:before="240"/>
        <w:jc w:val="left"/>
        <w:rPr>
          <w:sz w:val="24"/>
          <w:szCs w:val="24"/>
        </w:rPr>
      </w:pPr>
      <w:bookmarkStart w:id="5" w:name="_heading=h.u1hkr9gaqp09" w:colFirst="0" w:colLast="0"/>
      <w:bookmarkEnd w:id="5"/>
      <w:r>
        <w:rPr>
          <w:sz w:val="24"/>
          <w:szCs w:val="24"/>
        </w:rPr>
        <w:t>BCDR Plan</w:t>
      </w:r>
    </w:p>
    <w:p w14:paraId="69E5DAC7" w14:textId="08922986" w:rsidR="006374AA" w:rsidRDefault="000439C1" w:rsidP="00B23551">
      <w:pPr>
        <w:numPr>
          <w:ilvl w:val="1"/>
          <w:numId w:val="6"/>
        </w:numPr>
        <w:pBdr>
          <w:top w:val="nil"/>
          <w:left w:val="nil"/>
          <w:bottom w:val="nil"/>
          <w:right w:val="nil"/>
          <w:between w:val="nil"/>
        </w:pBdr>
        <w:spacing w:before="120" w:after="120"/>
        <w:ind w:left="851" w:hanging="851"/>
        <w:jc w:val="left"/>
        <w:rPr>
          <w:sz w:val="24"/>
          <w:szCs w:val="24"/>
        </w:rPr>
      </w:pPr>
      <w:bookmarkStart w:id="6" w:name="_heading=h.1fob9te" w:colFirst="0" w:colLast="0"/>
      <w:bookmarkEnd w:id="6"/>
      <w:r>
        <w:rPr>
          <w:color w:val="000000"/>
          <w:sz w:val="24"/>
          <w:szCs w:val="24"/>
        </w:rPr>
        <w:t>The Parties shall comply with the terms set out in Part A of this Schedule.</w:t>
      </w:r>
      <w:bookmarkStart w:id="7" w:name="_heading=h.2bn6wsx" w:colFirst="0" w:colLast="0"/>
      <w:bookmarkStart w:id="8" w:name="_heading=h.3znysh7" w:colFirst="0" w:colLast="0"/>
      <w:bookmarkStart w:id="9" w:name="_heading=h.2et92p0" w:colFirst="0" w:colLast="0"/>
      <w:bookmarkStart w:id="10" w:name="_heading=h.tyjcwt" w:colFirst="0" w:colLast="0"/>
      <w:bookmarkStart w:id="11" w:name="_heading=h.3dy6vkm" w:colFirst="0" w:colLast="0"/>
      <w:bookmarkStart w:id="12" w:name="_heading=h.qsh70q" w:colFirst="0" w:colLast="0"/>
      <w:bookmarkEnd w:id="7"/>
      <w:bookmarkEnd w:id="8"/>
      <w:bookmarkEnd w:id="9"/>
      <w:bookmarkEnd w:id="10"/>
      <w:bookmarkEnd w:id="11"/>
      <w:bookmarkEnd w:id="12"/>
    </w:p>
    <w:p w14:paraId="69E5DAC8" w14:textId="77777777" w:rsidR="006374AA" w:rsidRDefault="000439C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bookmarkStart w:id="13" w:name="_heading=h.1t3h5sf" w:colFirst="0" w:colLast="0"/>
      <w:bookmarkEnd w:id="13"/>
      <w:r>
        <w:rPr>
          <w:rFonts w:ascii="Arial Bold" w:eastAsia="Arial Bold" w:hAnsi="Arial Bold" w:cs="Arial Bold"/>
          <w:b/>
          <w:color w:val="000000"/>
          <w:sz w:val="24"/>
          <w:szCs w:val="24"/>
        </w:rPr>
        <w:t>General Principles of the BCDR Plan (Section 1)</w:t>
      </w:r>
    </w:p>
    <w:p w14:paraId="69E5DAC9"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Section 1 of the BCDR Plan shall:</w:t>
      </w:r>
    </w:p>
    <w:p w14:paraId="69E5DACA"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set out how the business continuity and disaster recovery elements of the BCDR Plan link to each other;</w:t>
      </w:r>
    </w:p>
    <w:p w14:paraId="69E5DACB"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provide details of how the invocation of any element of the BCDR Plan may impact upon the provision of the Deliverables and any goods and/or services provided to the Buyer by a Related Supplier;</w:t>
      </w:r>
    </w:p>
    <w:p w14:paraId="69E5DACC"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contain an obligation upon the Supplier to liaise with the Buyer and any Related Suppliers with respect to business continuity and disaster recovery;</w:t>
      </w:r>
    </w:p>
    <w:p w14:paraId="69E5DACD"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detail how the BCDR Plan interoperates with any overarching disaster recovery or business continuity plan of the Buyer and any Related Supplier(s) in each case as notified to the Supplier by the Buyer from time to time;</w:t>
      </w:r>
    </w:p>
    <w:p w14:paraId="69E5DACE"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contain a communication strategy including details of an incident and problem management service and advice and help desk facility which can be accessed via multiple channels;</w:t>
      </w:r>
    </w:p>
    <w:p w14:paraId="69E5DACF"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contain a risk analysis, including:</w:t>
      </w:r>
    </w:p>
    <w:p w14:paraId="69E5DAD0" w14:textId="77777777" w:rsidR="006374AA" w:rsidRDefault="000439C1">
      <w:pPr>
        <w:numPr>
          <w:ilvl w:val="3"/>
          <w:numId w:val="6"/>
        </w:numPr>
        <w:pBdr>
          <w:top w:val="nil"/>
          <w:left w:val="nil"/>
          <w:bottom w:val="nil"/>
          <w:right w:val="nil"/>
          <w:between w:val="nil"/>
        </w:pBdr>
        <w:tabs>
          <w:tab w:val="left" w:pos="2552"/>
        </w:tabs>
        <w:spacing w:before="120" w:after="120"/>
        <w:ind w:left="2552" w:hanging="851"/>
        <w:jc w:val="left"/>
        <w:rPr>
          <w:color w:val="000000"/>
          <w:sz w:val="24"/>
          <w:szCs w:val="24"/>
        </w:rPr>
      </w:pPr>
      <w:r>
        <w:rPr>
          <w:color w:val="000000"/>
          <w:sz w:val="24"/>
          <w:szCs w:val="24"/>
        </w:rPr>
        <w:t>failure or disruption scenarios and assessments of likely frequency of occurrence;</w:t>
      </w:r>
    </w:p>
    <w:p w14:paraId="69E5DAD1" w14:textId="77777777" w:rsidR="006374AA" w:rsidRDefault="000439C1">
      <w:pPr>
        <w:numPr>
          <w:ilvl w:val="3"/>
          <w:numId w:val="6"/>
        </w:numPr>
        <w:pBdr>
          <w:top w:val="nil"/>
          <w:left w:val="nil"/>
          <w:bottom w:val="nil"/>
          <w:right w:val="nil"/>
          <w:between w:val="nil"/>
        </w:pBdr>
        <w:tabs>
          <w:tab w:val="left" w:pos="2552"/>
        </w:tabs>
        <w:spacing w:before="120" w:after="120"/>
        <w:ind w:left="2552" w:hanging="851"/>
        <w:jc w:val="left"/>
        <w:rPr>
          <w:color w:val="000000"/>
          <w:sz w:val="24"/>
          <w:szCs w:val="24"/>
        </w:rPr>
      </w:pPr>
      <w:r>
        <w:rPr>
          <w:color w:val="000000"/>
          <w:sz w:val="24"/>
          <w:szCs w:val="24"/>
        </w:rPr>
        <w:t>identification of any single points of failure within the provision of Deliverables and processes for managing those risks;</w:t>
      </w:r>
    </w:p>
    <w:p w14:paraId="69E5DAD2" w14:textId="77777777" w:rsidR="006374AA" w:rsidRDefault="000439C1">
      <w:pPr>
        <w:numPr>
          <w:ilvl w:val="3"/>
          <w:numId w:val="6"/>
        </w:numPr>
        <w:pBdr>
          <w:top w:val="nil"/>
          <w:left w:val="nil"/>
          <w:bottom w:val="nil"/>
          <w:right w:val="nil"/>
          <w:between w:val="nil"/>
        </w:pBdr>
        <w:tabs>
          <w:tab w:val="left" w:pos="2552"/>
        </w:tabs>
        <w:spacing w:before="120" w:after="120"/>
        <w:ind w:left="2552" w:hanging="851"/>
        <w:jc w:val="left"/>
        <w:rPr>
          <w:color w:val="000000"/>
          <w:sz w:val="24"/>
          <w:szCs w:val="24"/>
        </w:rPr>
      </w:pPr>
      <w:r>
        <w:rPr>
          <w:color w:val="000000"/>
          <w:sz w:val="24"/>
          <w:szCs w:val="24"/>
        </w:rPr>
        <w:t>identification of risks arising from the interaction of the provision of Deliverables with the goods and/or services provided by a Related Supplier; and</w:t>
      </w:r>
    </w:p>
    <w:p w14:paraId="69E5DAD3" w14:textId="77777777" w:rsidR="006374AA" w:rsidRDefault="000439C1">
      <w:pPr>
        <w:numPr>
          <w:ilvl w:val="3"/>
          <w:numId w:val="6"/>
        </w:numPr>
        <w:pBdr>
          <w:top w:val="nil"/>
          <w:left w:val="nil"/>
          <w:bottom w:val="nil"/>
          <w:right w:val="nil"/>
          <w:between w:val="nil"/>
        </w:pBdr>
        <w:tabs>
          <w:tab w:val="left" w:pos="2552"/>
        </w:tabs>
        <w:spacing w:before="120" w:after="120"/>
        <w:ind w:left="2552" w:hanging="851"/>
        <w:jc w:val="left"/>
        <w:rPr>
          <w:color w:val="000000"/>
          <w:sz w:val="24"/>
          <w:szCs w:val="24"/>
        </w:rPr>
      </w:pPr>
      <w:r>
        <w:rPr>
          <w:color w:val="000000"/>
          <w:sz w:val="24"/>
          <w:szCs w:val="24"/>
        </w:rPr>
        <w:t>a business impact analysis of different anticipated failures or disruptions;</w:t>
      </w:r>
    </w:p>
    <w:p w14:paraId="69E5DAD4"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provide for documentation of processes, including business processes, and procedures;</w:t>
      </w:r>
    </w:p>
    <w:p w14:paraId="69E5DAD5"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set out key contact details for the Supplier (and any Subcontractors) and for the Buyer;</w:t>
      </w:r>
    </w:p>
    <w:p w14:paraId="69E5DAD6"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lastRenderedPageBreak/>
        <w:t>identify the procedures for reverting to "normal service";</w:t>
      </w:r>
    </w:p>
    <w:p w14:paraId="69E5DAD7"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set out method(s) of recovering or updating data collected (or which ought to have been collected) during a failure or disruption to minimise data loss;</w:t>
      </w:r>
    </w:p>
    <w:p w14:paraId="69E5DAD8"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 xml:space="preserve">identify the responsibilities (if any) that the Buyer has agreed it will assume in the event of the invocation of the BCDR Plan; </w:t>
      </w:r>
    </w:p>
    <w:p w14:paraId="69E5DAD9"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provide for the provision of technical assistance to key contacts at the Buyer as required by the Buyer to inform decisions in support of the Buyer’s business continuity plans;</w:t>
      </w:r>
    </w:p>
    <w:p w14:paraId="69E5DADA"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bookmarkStart w:id="14" w:name="_heading=h.3as4poj" w:colFirst="0" w:colLast="0"/>
      <w:bookmarkEnd w:id="14"/>
      <w:r>
        <w:rPr>
          <w:color w:val="000000"/>
          <w:sz w:val="24"/>
          <w:szCs w:val="24"/>
        </w:rPr>
        <w:t>set out how the business continuity and disaster recovery elements of the BCDR Plan link to the Insolvency Continuity Plan, and how the Insolvency Continuity Plan links to the business continuity and disaster recovery elements of the BCDR Plan;</w:t>
      </w:r>
    </w:p>
    <w:p w14:paraId="69E5DADB"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contain an obligation upon the Supplier to liaise with the Buyer and (at the Buyer’s request) any Related Supplier with respect to issues concerning insolvency continuity where applicable; and</w:t>
      </w:r>
    </w:p>
    <w:p w14:paraId="69E5DADC"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bookmarkStart w:id="15" w:name="_heading=h.1pxezwc" w:colFirst="0" w:colLast="0"/>
      <w:bookmarkEnd w:id="15"/>
      <w:r>
        <w:rPr>
          <w:color w:val="000000"/>
          <w:sz w:val="24"/>
          <w:szCs w:val="24"/>
        </w:rPr>
        <w:t>detail how the BCDR Plan links and interoperates with any overarching and/or connected insolvency continuity plan of the Buyer and any of its other Related Suppliers in each case as notified to the Supplier by the Buyer from time to time.</w:t>
      </w:r>
    </w:p>
    <w:p w14:paraId="69E5DADD"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The BCDR Plan shall be designed so as to ensure that:</w:t>
      </w:r>
    </w:p>
    <w:p w14:paraId="69E5DADE"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the Deliverables are provided in accordance with this Contract at all times during and after the invocation of the BCDR Plan;</w:t>
      </w:r>
    </w:p>
    <w:p w14:paraId="69E5DADF"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 xml:space="preserve">the adverse impact of any Disaster is minimised as far as reasonably possible; </w:t>
      </w:r>
    </w:p>
    <w:p w14:paraId="69E5DAE0"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it complies with the relevant provisions of ISO/IEC 27002; ISO22301/ISO22313 and all other industry standards from time to time in force; and</w:t>
      </w:r>
    </w:p>
    <w:p w14:paraId="69E5DAE1"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it details a process for the management of disaster recovery testing.</w:t>
      </w:r>
    </w:p>
    <w:p w14:paraId="69E5DAE2"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The BCDR Plan shall be upgradeable and sufficiently flexible to support any changes to the Deliverables and the business operations supported by the provision of Deliverables.</w:t>
      </w:r>
    </w:p>
    <w:p w14:paraId="69E5DAE3"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69E5DAE4" w14:textId="77777777" w:rsidR="006374AA" w:rsidRDefault="000439C1">
      <w:pPr>
        <w:keepNext/>
        <w:numPr>
          <w:ilvl w:val="0"/>
          <w:numId w:val="6"/>
        </w:numPr>
        <w:pBdr>
          <w:top w:val="nil"/>
          <w:left w:val="nil"/>
          <w:bottom w:val="nil"/>
          <w:right w:val="nil"/>
          <w:between w:val="nil"/>
        </w:pBdr>
        <w:tabs>
          <w:tab w:val="left" w:pos="0"/>
        </w:tabs>
        <w:spacing w:before="240"/>
        <w:jc w:val="left"/>
        <w:rPr>
          <w:b/>
          <w:smallCaps/>
          <w:color w:val="000000"/>
          <w:sz w:val="24"/>
          <w:szCs w:val="24"/>
        </w:rPr>
      </w:pPr>
      <w:r>
        <w:rPr>
          <w:rFonts w:ascii="Arial Bold" w:eastAsia="Arial Bold" w:hAnsi="Arial Bold" w:cs="Arial Bold"/>
          <w:b/>
          <w:color w:val="000000"/>
          <w:sz w:val="24"/>
          <w:szCs w:val="24"/>
        </w:rPr>
        <w:t>Business Continuity (Section 2)</w:t>
      </w:r>
    </w:p>
    <w:p w14:paraId="69E5DAE5"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bookmarkStart w:id="16" w:name="_heading=h.4d34og8" w:colFirst="0" w:colLast="0"/>
      <w:bookmarkEnd w:id="16"/>
      <w:r>
        <w:rPr>
          <w:color w:val="000000"/>
          <w:sz w:val="24"/>
          <w:szCs w:val="24"/>
        </w:rPr>
        <w:t xml:space="preserve">The Business Continuity Plan shall set out the arrangements that are to be invoked to ensure that the business processes facilitated by the provision of </w:t>
      </w:r>
      <w:r>
        <w:rPr>
          <w:color w:val="000000"/>
          <w:sz w:val="24"/>
          <w:szCs w:val="24"/>
        </w:rPr>
        <w:lastRenderedPageBreak/>
        <w:t>Deliverables remain supported and to ensure continuity of the business operations supported by the Services including:</w:t>
      </w:r>
    </w:p>
    <w:p w14:paraId="69E5DAE6"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the alternative processes, options and responsibilities that may be adopted in the event of a failure in or disruption to the provision of Deliverables; and</w:t>
      </w:r>
    </w:p>
    <w:p w14:paraId="69E5DAE7"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the steps to be taken by the Supplier upon resumption of the provision of Deliverables in order to address the effect of the failure or disruption.</w:t>
      </w:r>
    </w:p>
    <w:p w14:paraId="69E5DAE8"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The Business Continuity Plan shall:</w:t>
      </w:r>
    </w:p>
    <w:p w14:paraId="69E5DAE9"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address the various possible levels of failures of or disruptions to the provision of Deliverables;</w:t>
      </w:r>
    </w:p>
    <w:p w14:paraId="69E5DAEA"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bookmarkStart w:id="17" w:name="_heading=h.2s8eyo1" w:colFirst="0" w:colLast="0"/>
      <w:bookmarkEnd w:id="17"/>
      <w:r>
        <w:rPr>
          <w:color w:val="000000"/>
          <w:sz w:val="24"/>
          <w:szCs w:val="24"/>
        </w:rPr>
        <w:t>set out the goods and/or services to be provided and the steps to be taken to remedy the different levels of failures of and disruption to the Deliverables;</w:t>
      </w:r>
    </w:p>
    <w:p w14:paraId="69E5DAEB"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9E5DAEC"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set out the circumstances in which the Business Continuity Plan is invoked.</w:t>
      </w:r>
    </w:p>
    <w:p w14:paraId="69E5DAED" w14:textId="77777777" w:rsidR="006374AA" w:rsidRDefault="000439C1">
      <w:pPr>
        <w:keepNext/>
        <w:numPr>
          <w:ilvl w:val="0"/>
          <w:numId w:val="6"/>
        </w:numPr>
        <w:pBdr>
          <w:top w:val="nil"/>
          <w:left w:val="nil"/>
          <w:bottom w:val="nil"/>
          <w:right w:val="nil"/>
          <w:between w:val="nil"/>
        </w:pBdr>
        <w:tabs>
          <w:tab w:val="left" w:pos="0"/>
        </w:tabs>
        <w:spacing w:before="240"/>
        <w:ind w:left="851" w:hanging="851"/>
        <w:jc w:val="left"/>
        <w:rPr>
          <w:b/>
          <w:smallCaps/>
          <w:color w:val="000000"/>
          <w:sz w:val="24"/>
          <w:szCs w:val="24"/>
        </w:rPr>
      </w:pPr>
      <w:r>
        <w:rPr>
          <w:rFonts w:ascii="Arial Bold" w:eastAsia="Arial Bold" w:hAnsi="Arial Bold" w:cs="Arial Bold"/>
          <w:b/>
          <w:color w:val="000000"/>
          <w:sz w:val="24"/>
          <w:szCs w:val="24"/>
        </w:rPr>
        <w:t>Disaster Recovery (Section 3)</w:t>
      </w:r>
    </w:p>
    <w:p w14:paraId="69E5DAEE"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bookmarkStart w:id="18" w:name="_heading=h.17dp8vu" w:colFirst="0" w:colLast="0"/>
      <w:bookmarkEnd w:id="18"/>
      <w:r>
        <w:rPr>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69E5DAEF"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The Supplier's BCDR Plan shall include an approach to business continuity and disaster recovery that addresses the following:</w:t>
      </w:r>
    </w:p>
    <w:p w14:paraId="69E5DAF0"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loss of access to the Buyer Premises;</w:t>
      </w:r>
    </w:p>
    <w:p w14:paraId="69E5DAF1"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loss of utilities to the Buyer Premises;</w:t>
      </w:r>
    </w:p>
    <w:p w14:paraId="69E5DAF2"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loss of the Supplier's helpdesk or CAFM system;</w:t>
      </w:r>
    </w:p>
    <w:p w14:paraId="69E5DAF3"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loss of a Subcontractor;</w:t>
      </w:r>
    </w:p>
    <w:p w14:paraId="69E5DAF4"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emergency notification and escalation process;</w:t>
      </w:r>
    </w:p>
    <w:p w14:paraId="69E5DAF5"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contact lists;</w:t>
      </w:r>
    </w:p>
    <w:p w14:paraId="69E5DAF6"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staff training and awareness;</w:t>
      </w:r>
    </w:p>
    <w:p w14:paraId="69E5DAF7"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 xml:space="preserve">BCDR Plan testing; </w:t>
      </w:r>
    </w:p>
    <w:p w14:paraId="69E5DAF8"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 xml:space="preserve">post implementation review process; </w:t>
      </w:r>
    </w:p>
    <w:p w14:paraId="69E5DAF9"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lastRenderedPageBreak/>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9E5DAFA"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details of how the Supplier shall ensure compliance with security standards ensuring that compliance is maintained for any period during which the Disaster Recovery Plan is invoked;</w:t>
      </w:r>
    </w:p>
    <w:p w14:paraId="69E5DAFB"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access controls to any disaster recovery sites used by the Supplier in relation to its obligations pursuant to this Schedule; and</w:t>
      </w:r>
    </w:p>
    <w:p w14:paraId="69E5DAFC"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testing and management arrangements.</w:t>
      </w:r>
    </w:p>
    <w:p w14:paraId="69E5DAFD" w14:textId="77777777" w:rsidR="006374AA" w:rsidRDefault="000439C1">
      <w:pPr>
        <w:keepNext/>
        <w:numPr>
          <w:ilvl w:val="0"/>
          <w:numId w:val="6"/>
        </w:numPr>
        <w:pBdr>
          <w:top w:val="nil"/>
          <w:left w:val="nil"/>
          <w:bottom w:val="nil"/>
          <w:right w:val="nil"/>
          <w:between w:val="nil"/>
        </w:pBdr>
        <w:tabs>
          <w:tab w:val="left" w:pos="0"/>
        </w:tabs>
        <w:spacing w:before="240"/>
        <w:ind w:left="851" w:hanging="851"/>
        <w:jc w:val="left"/>
        <w:rPr>
          <w:rFonts w:ascii="Arial Bold" w:eastAsia="Arial Bold" w:hAnsi="Arial Bold" w:cs="Arial Bold"/>
          <w:b/>
          <w:color w:val="000000"/>
          <w:sz w:val="24"/>
          <w:szCs w:val="24"/>
        </w:rPr>
      </w:pPr>
      <w:bookmarkStart w:id="19" w:name="_heading=h.49x2ik5" w:colFirst="0" w:colLast="0"/>
      <w:bookmarkEnd w:id="19"/>
      <w:r>
        <w:rPr>
          <w:rFonts w:ascii="Arial Bold" w:eastAsia="Arial Bold" w:hAnsi="Arial Bold" w:cs="Arial Bold"/>
          <w:b/>
          <w:color w:val="000000"/>
          <w:sz w:val="24"/>
          <w:szCs w:val="24"/>
        </w:rPr>
        <w:t>Insolvency Continuity Plan (Section 4)</w:t>
      </w:r>
    </w:p>
    <w:p w14:paraId="69E5DAFE" w14:textId="77777777" w:rsidR="006374AA" w:rsidRDefault="000439C1">
      <w:pPr>
        <w:keepNext/>
        <w:numPr>
          <w:ilvl w:val="1"/>
          <w:numId w:val="6"/>
        </w:numPr>
        <w:pBdr>
          <w:top w:val="nil"/>
          <w:left w:val="nil"/>
          <w:bottom w:val="nil"/>
          <w:right w:val="nil"/>
          <w:between w:val="nil"/>
        </w:pBdr>
        <w:spacing w:before="120" w:after="120"/>
        <w:ind w:left="851" w:hanging="851"/>
        <w:jc w:val="left"/>
        <w:rPr>
          <w:sz w:val="24"/>
          <w:szCs w:val="24"/>
        </w:rPr>
      </w:pPr>
      <w:r>
        <w:rPr>
          <w:sz w:val="24"/>
          <w:szCs w:val="24"/>
        </w:rPr>
        <w:t xml:space="preserve">The Insolvency Continuity Plan shall be designed by the Supplier to permit continuity of the business operations of the Buyer supported by the Deliverables through continued </w:t>
      </w:r>
      <w:r>
        <w:rPr>
          <w:color w:val="000000"/>
          <w:sz w:val="24"/>
          <w:szCs w:val="24"/>
        </w:rPr>
        <w:t>provision</w:t>
      </w:r>
      <w:r>
        <w:rPr>
          <w:sz w:val="24"/>
          <w:szCs w:val="24"/>
        </w:rPr>
        <w:t xml:space="preserve"> of the Deliverables following an Insolvency Event of the Supplier, any Key Sub-contractor and/or any Supplier Group member with, as far as reasonably possible, minimal adverse impact.</w:t>
      </w:r>
    </w:p>
    <w:p w14:paraId="69E5DAFF" w14:textId="77777777" w:rsidR="006374AA" w:rsidRDefault="000439C1">
      <w:pPr>
        <w:keepNext/>
        <w:numPr>
          <w:ilvl w:val="1"/>
          <w:numId w:val="6"/>
        </w:numPr>
        <w:pBdr>
          <w:top w:val="nil"/>
          <w:left w:val="nil"/>
          <w:bottom w:val="nil"/>
          <w:right w:val="nil"/>
          <w:between w:val="nil"/>
        </w:pBdr>
        <w:spacing w:before="120" w:after="120"/>
        <w:ind w:left="851" w:hanging="851"/>
        <w:jc w:val="left"/>
        <w:rPr>
          <w:sz w:val="24"/>
          <w:szCs w:val="24"/>
        </w:rPr>
      </w:pPr>
      <w:r>
        <w:rPr>
          <w:sz w:val="24"/>
          <w:szCs w:val="24"/>
        </w:rPr>
        <w:t xml:space="preserve">The Insolvency </w:t>
      </w:r>
      <w:r>
        <w:rPr>
          <w:color w:val="000000"/>
          <w:sz w:val="24"/>
          <w:szCs w:val="24"/>
        </w:rPr>
        <w:t>Continuity</w:t>
      </w:r>
      <w:r>
        <w:rPr>
          <w:sz w:val="24"/>
          <w:szCs w:val="24"/>
        </w:rPr>
        <w:t xml:space="preserve"> Plan shall include the following:</w:t>
      </w:r>
    </w:p>
    <w:p w14:paraId="69E5DB00"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communication strategies which are designed to minimise the potential disruption to the provision of the Deliverables, including key contact details in respect of the supply chain and key contact details for operational and contract Supplier Staff, Key Subcontractor personnel and Supplier Group member personnel;</w:t>
      </w:r>
    </w:p>
    <w:p w14:paraId="69E5DB01"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identification, explanation, assessment and an impact analysis of risks in respect of dependencies between the Supplier, Key Subcontractors and Supplier Group members where failure of those dependencies could reasonably have an adverse impact on the Deliverables;</w:t>
      </w:r>
    </w:p>
    <w:p w14:paraId="69E5DB02"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plans to manage and mitigate identified risks;</w:t>
      </w:r>
    </w:p>
    <w:p w14:paraId="69E5DB03"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details of the roles and responsibilities of the Supplier, Key Subcontractors and/or Supplier Group members to minimise and mitigate the effects of an Insolvency Event of such persons on the Deliverables;</w:t>
      </w:r>
    </w:p>
    <w:p w14:paraId="69E5DB04"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details of the recovery team to be put in place by the Supplier (which may include representatives of the Supplier, Key Subcontractors and Supplier Group members); and</w:t>
      </w:r>
    </w:p>
    <w:p w14:paraId="69E5DB05"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sufficient detail to enable an appointed insolvency practitioner to invoke the plan in the event of an Insolvency Event of the Supplier.</w:t>
      </w:r>
    </w:p>
    <w:p w14:paraId="69E5DB06" w14:textId="77777777" w:rsidR="006374AA" w:rsidRDefault="000439C1">
      <w:pPr>
        <w:keepNext/>
        <w:numPr>
          <w:ilvl w:val="0"/>
          <w:numId w:val="6"/>
        </w:numPr>
        <w:pBdr>
          <w:top w:val="nil"/>
          <w:left w:val="nil"/>
          <w:bottom w:val="nil"/>
          <w:right w:val="nil"/>
          <w:between w:val="nil"/>
        </w:pBdr>
        <w:tabs>
          <w:tab w:val="left" w:pos="0"/>
        </w:tabs>
        <w:spacing w:before="240"/>
        <w:ind w:left="851" w:hanging="851"/>
        <w:jc w:val="left"/>
        <w:rPr>
          <w:b/>
          <w:smallCaps/>
          <w:color w:val="000000"/>
          <w:sz w:val="24"/>
          <w:szCs w:val="24"/>
        </w:rPr>
      </w:pPr>
      <w:r>
        <w:rPr>
          <w:rFonts w:ascii="Arial Bold" w:eastAsia="Arial Bold" w:hAnsi="Arial Bold" w:cs="Arial Bold"/>
          <w:b/>
          <w:color w:val="000000"/>
          <w:sz w:val="24"/>
          <w:szCs w:val="24"/>
        </w:rPr>
        <w:lastRenderedPageBreak/>
        <w:t>Review and changing the BCDR Plan</w:t>
      </w:r>
    </w:p>
    <w:p w14:paraId="69E5DB07"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bookmarkStart w:id="20" w:name="_heading=h.3rdcrjn" w:colFirst="0" w:colLast="0"/>
      <w:bookmarkEnd w:id="20"/>
      <w:r>
        <w:rPr>
          <w:color w:val="000000"/>
          <w:sz w:val="24"/>
          <w:szCs w:val="24"/>
        </w:rPr>
        <w:t>The Supplier shall review the BCDR Plan:</w:t>
      </w:r>
    </w:p>
    <w:p w14:paraId="69E5DB08"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bookmarkStart w:id="21" w:name="_heading=h.26in1rg" w:colFirst="0" w:colLast="0"/>
      <w:bookmarkEnd w:id="21"/>
      <w:r>
        <w:rPr>
          <w:color w:val="000000"/>
          <w:sz w:val="24"/>
          <w:szCs w:val="24"/>
        </w:rPr>
        <w:t>on a regular basis and as a minimum once every six (6) Months;</w:t>
      </w:r>
    </w:p>
    <w:p w14:paraId="69E5DB09"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bookmarkStart w:id="22" w:name="_heading=h.lnxbz9" w:colFirst="0" w:colLast="0"/>
      <w:bookmarkEnd w:id="22"/>
      <w:r>
        <w:rPr>
          <w:color w:val="000000"/>
          <w:sz w:val="24"/>
          <w:szCs w:val="24"/>
        </w:rPr>
        <w:t>within three (3) calendar Months of the BCDR Plan (or any part) having been invoked pursuant to Paragraph 8 of Part B; and</w:t>
      </w:r>
    </w:p>
    <w:p w14:paraId="69E5DB0A"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bookmarkStart w:id="23" w:name="_heading=h.35nkun2" w:colFirst="0" w:colLast="0"/>
      <w:bookmarkEnd w:id="23"/>
      <w:r>
        <w:rPr>
          <w:color w:val="000000"/>
          <w:sz w:val="24"/>
          <w:szCs w:val="24"/>
        </w:rPr>
        <w:t xml:space="preserve">where the Buyer requests in writing any additional reviews (over and above those provided for in Paragraphs 6.1.1 and 6.1.2 of Part B of this Schedule) whereupon the Supplier shall conduct such reviews in accordance with the Buyer’s written requirements. Prior to starting its review, the Supplier shall provide an accurate written estimate of the total </w:t>
      </w:r>
      <w:proofErr w:type="gramStart"/>
      <w:r>
        <w:rPr>
          <w:color w:val="000000"/>
          <w:sz w:val="24"/>
          <w:szCs w:val="24"/>
        </w:rPr>
        <w:t>costs</w:t>
      </w:r>
      <w:proofErr w:type="gramEnd"/>
      <w:r>
        <w:rPr>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69E5DB0B"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bookmarkStart w:id="24" w:name="_heading=h.1ksv4uv" w:colFirst="0" w:colLast="0"/>
      <w:bookmarkEnd w:id="24"/>
      <w:r>
        <w:rPr>
          <w:color w:val="000000"/>
          <w:sz w:val="24"/>
          <w:szCs w:val="24"/>
        </w:rPr>
        <w:t xml:space="preserve">Each review of the BCDR Plan pursuant to Paragraph 6.1 of Part B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69E5DB0C"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bookmarkStart w:id="25" w:name="_heading=h.44sinio" w:colFirst="0" w:colLast="0"/>
      <w:bookmarkEnd w:id="25"/>
      <w:r>
        <w:rPr>
          <w:color w:val="000000"/>
          <w:sz w:val="24"/>
          <w:szCs w:val="24"/>
        </w:rPr>
        <w:t>The Supplier shall, within twenty (20) Working Days of the conclusion of each such review of the BCDR Plan, provide to the Buyer a report (a "Review Report") setting out the Supplier's proposals (the "Supplier's Proposals") for addressing any changes in the risk profile and its proposals for amendments to the BCDR Plan.</w:t>
      </w:r>
    </w:p>
    <w:p w14:paraId="69E5DB0D"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bookmarkStart w:id="26" w:name="_heading=h.2jxsxqh" w:colFirst="0" w:colLast="0"/>
      <w:bookmarkEnd w:id="26"/>
      <w:r>
        <w:rPr>
          <w:color w:val="000000"/>
          <w:sz w:val="24"/>
          <w:szCs w:val="24"/>
        </w:rPr>
        <w:t xml:space="preserve">Following receipt of the Review Report and the Supplier’s Proposals, the Parties shall use reasonable endeavours to agree the Review Report and the Supplier's Proposals. If the Parties are unable to agree the Review Report and the Supplier's Proposals within twenty (20) Working Days of its submission, then such Dispute shall be resolved in accordance with the Dispute Resolution Procedure. </w:t>
      </w:r>
    </w:p>
    <w:p w14:paraId="69E5DB0E"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 xml:space="preserve">The Supplier shall as soon as </w:t>
      </w:r>
      <w:proofErr w:type="gramStart"/>
      <w:r>
        <w:rPr>
          <w:color w:val="000000"/>
          <w:sz w:val="24"/>
          <w:szCs w:val="24"/>
        </w:rPr>
        <w:t>is</w:t>
      </w:r>
      <w:proofErr w:type="gramEnd"/>
      <w:r>
        <w:rPr>
          <w:color w:val="000000"/>
          <w:sz w:val="24"/>
          <w:szCs w:val="24"/>
        </w:rP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w:t>
      </w:r>
      <w:r>
        <w:rPr>
          <w:color w:val="000000"/>
          <w:sz w:val="24"/>
          <w:szCs w:val="24"/>
        </w:rPr>
        <w:lastRenderedPageBreak/>
        <w:t>shown that the changes are required because of a material change to the risk profile of the Deliverables.</w:t>
      </w:r>
    </w:p>
    <w:p w14:paraId="69E5DB0F" w14:textId="77777777" w:rsidR="006374AA" w:rsidRDefault="000439C1">
      <w:pPr>
        <w:keepNext/>
        <w:numPr>
          <w:ilvl w:val="0"/>
          <w:numId w:val="6"/>
        </w:numPr>
        <w:pBdr>
          <w:top w:val="nil"/>
          <w:left w:val="nil"/>
          <w:bottom w:val="nil"/>
          <w:right w:val="nil"/>
          <w:between w:val="nil"/>
        </w:pBdr>
        <w:tabs>
          <w:tab w:val="left" w:pos="0"/>
        </w:tabs>
        <w:spacing w:before="240"/>
        <w:ind w:left="851" w:hanging="851"/>
        <w:jc w:val="left"/>
        <w:rPr>
          <w:rFonts w:ascii="Arial Bold" w:eastAsia="Arial Bold" w:hAnsi="Arial Bold" w:cs="Arial Bold"/>
          <w:b/>
          <w:color w:val="000000"/>
          <w:sz w:val="24"/>
          <w:szCs w:val="24"/>
        </w:rPr>
      </w:pPr>
      <w:bookmarkStart w:id="27" w:name="_heading=h.z337ya" w:colFirst="0" w:colLast="0"/>
      <w:bookmarkEnd w:id="27"/>
      <w:r>
        <w:rPr>
          <w:rFonts w:ascii="Arial Bold" w:eastAsia="Arial Bold" w:hAnsi="Arial Bold" w:cs="Arial Bold"/>
          <w:b/>
          <w:color w:val="000000"/>
          <w:sz w:val="24"/>
          <w:szCs w:val="24"/>
        </w:rPr>
        <w:t>Testing the BCDR Plan</w:t>
      </w:r>
    </w:p>
    <w:p w14:paraId="69E5DB10"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bookmarkStart w:id="28" w:name="_heading=h.3j2qqm3" w:colFirst="0" w:colLast="0"/>
      <w:bookmarkEnd w:id="28"/>
      <w:r>
        <w:rPr>
          <w:color w:val="000000"/>
          <w:sz w:val="24"/>
          <w:szCs w:val="24"/>
        </w:rPr>
        <w:t xml:space="preserve">The Supplier shall test the BCDR Plan: </w:t>
      </w:r>
    </w:p>
    <w:p w14:paraId="69E5DB11"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regularly and in any event not less than once in every Contract Year;</w:t>
      </w:r>
    </w:p>
    <w:p w14:paraId="69E5DB12"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in the event of any major reconfiguration of the Deliverables</w:t>
      </w:r>
    </w:p>
    <w:p w14:paraId="69E5DB13"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 xml:space="preserve">at any time where the Buyer considers it necessary (acting in its sole discretion).  </w:t>
      </w:r>
    </w:p>
    <w:p w14:paraId="69E5DB14"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bookmarkStart w:id="29" w:name="_heading=h.1y810tw" w:colFirst="0" w:colLast="0"/>
      <w:bookmarkEnd w:id="29"/>
      <w:r>
        <w:rPr>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69E5DB15"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9E5DB16"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The Supplier shall ensure that any use by it or any Subcontractor of "live" data in such testing is first approved by the Buyer. Copies of live test data used in any such testing shall be (if so required by the Buyer) destroyed or returned to the Buyer on completion of the test.</w:t>
      </w:r>
    </w:p>
    <w:p w14:paraId="69E5DB17" w14:textId="77777777" w:rsidR="006374AA" w:rsidRDefault="000439C1">
      <w:pPr>
        <w:keepNext/>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The Supplier shall, within twenty (20) Working Days of the conclusion of each test, provide to the Buyer a report setting out:</w:t>
      </w:r>
    </w:p>
    <w:p w14:paraId="69E5DB18"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the outcome of the test;</w:t>
      </w:r>
    </w:p>
    <w:p w14:paraId="69E5DB19"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any failures in the BCDR Plan (including the BCDR Plan's procedures) revealed by the test; and</w:t>
      </w:r>
    </w:p>
    <w:p w14:paraId="69E5DB1A"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the Supplier's proposals for remedying any such failures.</w:t>
      </w:r>
    </w:p>
    <w:p w14:paraId="69E5DB1B"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bookmarkStart w:id="30" w:name="_heading=h.4i7ojhp" w:colFirst="0" w:colLast="0"/>
      <w:bookmarkEnd w:id="30"/>
      <w:r>
        <w:rPr>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9E5DB1C" w14:textId="77777777" w:rsidR="006374AA" w:rsidRDefault="000439C1">
      <w:pPr>
        <w:keepNext/>
        <w:numPr>
          <w:ilvl w:val="0"/>
          <w:numId w:val="6"/>
        </w:numPr>
        <w:pBdr>
          <w:top w:val="nil"/>
          <w:left w:val="nil"/>
          <w:bottom w:val="nil"/>
          <w:right w:val="nil"/>
          <w:between w:val="nil"/>
        </w:pBdr>
        <w:tabs>
          <w:tab w:val="left" w:pos="0"/>
        </w:tabs>
        <w:spacing w:before="240"/>
        <w:ind w:left="851" w:hanging="851"/>
        <w:jc w:val="left"/>
        <w:rPr>
          <w:rFonts w:ascii="Arial Bold" w:eastAsia="Arial Bold" w:hAnsi="Arial Bold" w:cs="Arial Bold"/>
          <w:b/>
          <w:color w:val="000000"/>
          <w:sz w:val="24"/>
          <w:szCs w:val="24"/>
        </w:rPr>
      </w:pPr>
      <w:bookmarkStart w:id="31" w:name="_heading=h.2xcytpi" w:colFirst="0" w:colLast="0"/>
      <w:bookmarkEnd w:id="31"/>
      <w:r>
        <w:rPr>
          <w:rFonts w:ascii="Arial Bold" w:eastAsia="Arial Bold" w:hAnsi="Arial Bold" w:cs="Arial Bold"/>
          <w:b/>
          <w:color w:val="000000"/>
          <w:sz w:val="24"/>
          <w:szCs w:val="24"/>
        </w:rPr>
        <w:t>Invoking the BCDR Plan</w:t>
      </w:r>
    </w:p>
    <w:p w14:paraId="69E5DB1D"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69E5DB1E"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bookmarkStart w:id="32" w:name="_heading=h.2p2csry" w:colFirst="0" w:colLast="0"/>
      <w:bookmarkEnd w:id="32"/>
      <w:r>
        <w:rPr>
          <w:color w:val="000000"/>
          <w:sz w:val="24"/>
          <w:szCs w:val="24"/>
        </w:rPr>
        <w:t>The Insolvency Continuity Plan element of the BCDR Plan, including any linked elements in other parts of the BCDR Plan, shall be invoked by the Supplier:</w:t>
      </w:r>
    </w:p>
    <w:p w14:paraId="69E5DB1F"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sz w:val="24"/>
          <w:szCs w:val="24"/>
        </w:rPr>
        <w:lastRenderedPageBreak/>
        <w:t xml:space="preserve">where an Insolvency Event of a Key Sub-contractor and/or Supplier Group </w:t>
      </w:r>
      <w:r>
        <w:rPr>
          <w:color w:val="000000"/>
          <w:sz w:val="24"/>
          <w:szCs w:val="24"/>
        </w:rPr>
        <w:t>member (other than the Supplier) could reasonably be expected to adversely affect delivery of the Deliverables; and/or</w:t>
      </w:r>
    </w:p>
    <w:p w14:paraId="69E5DB20"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color w:val="000000"/>
          <w:sz w:val="24"/>
          <w:szCs w:val="24"/>
        </w:rPr>
        <w:t>where there is an Insolvency Event of the Supplier and the insolvency arrangements</w:t>
      </w:r>
      <w:r>
        <w:rPr>
          <w:sz w:val="24"/>
          <w:szCs w:val="24"/>
        </w:rPr>
        <w:t xml:space="preserve"> enable the Supplier to invoke the plan.</w:t>
      </w:r>
    </w:p>
    <w:p w14:paraId="69E5DB21" w14:textId="77777777" w:rsidR="006374AA" w:rsidRDefault="000439C1">
      <w:pPr>
        <w:keepNext/>
        <w:numPr>
          <w:ilvl w:val="0"/>
          <w:numId w:val="6"/>
        </w:numPr>
        <w:pBdr>
          <w:top w:val="nil"/>
          <w:left w:val="nil"/>
          <w:bottom w:val="nil"/>
          <w:right w:val="nil"/>
          <w:between w:val="nil"/>
        </w:pBdr>
        <w:tabs>
          <w:tab w:val="left" w:pos="0"/>
          <w:tab w:val="left" w:pos="851"/>
        </w:tabs>
        <w:spacing w:before="240"/>
        <w:ind w:left="851" w:hanging="851"/>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Circumstances beyond your control</w:t>
      </w:r>
    </w:p>
    <w:p w14:paraId="69E5DB22"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69E5DB23" w14:textId="77777777" w:rsidR="006374AA" w:rsidRDefault="000439C1">
      <w:pPr>
        <w:keepNext/>
        <w:numPr>
          <w:ilvl w:val="0"/>
          <w:numId w:val="6"/>
        </w:numPr>
        <w:pBdr>
          <w:top w:val="nil"/>
          <w:left w:val="nil"/>
          <w:bottom w:val="nil"/>
          <w:right w:val="nil"/>
          <w:between w:val="nil"/>
        </w:pBdr>
        <w:tabs>
          <w:tab w:val="left" w:pos="0"/>
        </w:tabs>
        <w:spacing w:before="240"/>
        <w:ind w:left="851" w:hanging="851"/>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Amendments to this Schedule in respect of Bronze Contracts</w:t>
      </w:r>
    </w:p>
    <w:p w14:paraId="69E5DB24" w14:textId="77777777" w:rsidR="006374AA" w:rsidRDefault="000439C1">
      <w:pPr>
        <w:numPr>
          <w:ilvl w:val="1"/>
          <w:numId w:val="6"/>
        </w:numPr>
        <w:pBdr>
          <w:top w:val="nil"/>
          <w:left w:val="nil"/>
          <w:bottom w:val="nil"/>
          <w:right w:val="nil"/>
          <w:between w:val="nil"/>
        </w:pBdr>
        <w:spacing w:before="120" w:after="120"/>
        <w:ind w:left="851" w:hanging="851"/>
        <w:jc w:val="left"/>
        <w:rPr>
          <w:color w:val="000000"/>
          <w:sz w:val="24"/>
          <w:szCs w:val="24"/>
        </w:rPr>
      </w:pPr>
      <w:r>
        <w:rPr>
          <w:color w:val="000000"/>
          <w:sz w:val="24"/>
          <w:szCs w:val="24"/>
        </w:rPr>
        <w:t>Where a Buyer’s Call-Off Contract is a Bronze Contract, if specified in the Order Form, the following provisions of this Call-Off Schedule 8, shall be disapplied in respect of that Contract:</w:t>
      </w:r>
    </w:p>
    <w:p w14:paraId="69E5DB25"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sz w:val="24"/>
          <w:szCs w:val="24"/>
        </w:rPr>
        <w:t xml:space="preserve">Paragraph 1.3.4 of Part B so that the BCDR plan shall only be required to be </w:t>
      </w:r>
      <w:r>
        <w:rPr>
          <w:color w:val="000000"/>
          <w:sz w:val="24"/>
          <w:szCs w:val="24"/>
        </w:rPr>
        <w:t>split into the three sections detailed in paragraphs 1.3.1 to 1.3.3 of Part B inclusive;</w:t>
      </w:r>
    </w:p>
    <w:p w14:paraId="69E5DB26"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Paragraphs 2.1.13 to 2.1.15 of Part B, inclusive;</w:t>
      </w:r>
    </w:p>
    <w:p w14:paraId="69E5DB27"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Paragraph 5 (Insolvency Continuity Plan) of Part B;</w:t>
      </w:r>
    </w:p>
    <w:p w14:paraId="69E5DB28"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color w:val="000000"/>
          <w:sz w:val="24"/>
          <w:szCs w:val="24"/>
        </w:rPr>
      </w:pPr>
      <w:r>
        <w:rPr>
          <w:color w:val="000000"/>
          <w:sz w:val="24"/>
          <w:szCs w:val="24"/>
        </w:rPr>
        <w:t>Paragraph 8.2 of Part B; and</w:t>
      </w:r>
    </w:p>
    <w:p w14:paraId="69E5DB29"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color w:val="000000"/>
          <w:sz w:val="24"/>
          <w:szCs w:val="24"/>
        </w:rPr>
        <w:t>The entirety</w:t>
      </w:r>
      <w:r>
        <w:rPr>
          <w:sz w:val="24"/>
          <w:szCs w:val="24"/>
        </w:rPr>
        <w:t xml:space="preserve"> of Part C of this Schedule.</w:t>
      </w:r>
    </w:p>
    <w:p w14:paraId="69E5DB2A" w14:textId="77777777" w:rsidR="006374AA" w:rsidRDefault="000439C1">
      <w:pPr>
        <w:numPr>
          <w:ilvl w:val="1"/>
          <w:numId w:val="6"/>
        </w:numPr>
        <w:pBdr>
          <w:top w:val="nil"/>
          <w:left w:val="nil"/>
          <w:bottom w:val="nil"/>
          <w:right w:val="nil"/>
          <w:between w:val="nil"/>
        </w:pBdr>
        <w:spacing w:before="120" w:after="120"/>
        <w:jc w:val="left"/>
        <w:rPr>
          <w:color w:val="000000"/>
          <w:sz w:val="24"/>
          <w:szCs w:val="24"/>
        </w:rPr>
      </w:pPr>
      <w:r>
        <w:rPr>
          <w:color w:val="000000"/>
          <w:sz w:val="24"/>
          <w:szCs w:val="24"/>
        </w:rPr>
        <w:t>Where a Buyer’s Call-Off Contract is a Bronze Contract, if specified in the Order Form, the following definitions in Paragraph 1 of Part B of this Call-Off Schedule 8, shall be deemed to be deleted:</w:t>
      </w:r>
    </w:p>
    <w:p w14:paraId="69E5DB2B"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Annual Review;</w:t>
      </w:r>
    </w:p>
    <w:p w14:paraId="69E5DB2C"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Appropriate Authority or Appropriate Authorities;</w:t>
      </w:r>
    </w:p>
    <w:p w14:paraId="69E5DB2D"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Associates;</w:t>
      </w:r>
    </w:p>
    <w:p w14:paraId="69E5DB2E"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Class 1 Transaction;</w:t>
      </w:r>
    </w:p>
    <w:p w14:paraId="69E5DB2F"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Control;</w:t>
      </w:r>
    </w:p>
    <w:p w14:paraId="69E5DB30"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Corporate Change Event;</w:t>
      </w:r>
    </w:p>
    <w:p w14:paraId="69E5DB31"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Critical National Infrastructure;</w:t>
      </w:r>
    </w:p>
    <w:p w14:paraId="69E5DB32"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Critical Service Contract;</w:t>
      </w:r>
    </w:p>
    <w:p w14:paraId="69E5DB33"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CRP Information;</w:t>
      </w:r>
    </w:p>
    <w:p w14:paraId="69E5DB34"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Dependent Parent Undertaking;</w:t>
      </w:r>
    </w:p>
    <w:p w14:paraId="69E5DB35"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Group Structure Information and Resolution Commentary;</w:t>
      </w:r>
    </w:p>
    <w:p w14:paraId="69E5DB36"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Parent Undertaking;</w:t>
      </w:r>
    </w:p>
    <w:p w14:paraId="69E5DB37"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lastRenderedPageBreak/>
        <w:t>Public Sector Dependent Supplier;</w:t>
      </w:r>
    </w:p>
    <w:p w14:paraId="69E5DB38"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Subsidiary Undertaking;</w:t>
      </w:r>
    </w:p>
    <w:p w14:paraId="69E5DB39"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Supplier Group;</w:t>
      </w:r>
    </w:p>
    <w:p w14:paraId="69E5DB3A"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UK Public Sector Business; and</w:t>
      </w:r>
    </w:p>
    <w:p w14:paraId="69E5DB3B" w14:textId="77777777" w:rsidR="006374AA" w:rsidRDefault="000439C1">
      <w:pPr>
        <w:numPr>
          <w:ilvl w:val="2"/>
          <w:numId w:val="6"/>
        </w:numPr>
        <w:pBdr>
          <w:top w:val="nil"/>
          <w:left w:val="nil"/>
          <w:bottom w:val="nil"/>
          <w:right w:val="nil"/>
          <w:between w:val="nil"/>
        </w:pBdr>
        <w:tabs>
          <w:tab w:val="left" w:pos="1985"/>
          <w:tab w:val="left" w:pos="2127"/>
        </w:tabs>
        <w:spacing w:before="120" w:after="120"/>
        <w:ind w:left="1701" w:hanging="850"/>
        <w:jc w:val="left"/>
        <w:rPr>
          <w:sz w:val="24"/>
          <w:szCs w:val="24"/>
        </w:rPr>
      </w:pPr>
      <w:r>
        <w:rPr>
          <w:sz w:val="24"/>
          <w:szCs w:val="24"/>
        </w:rPr>
        <w:t>UK Public Sector/CNI Contract Information.]</w:t>
      </w:r>
    </w:p>
    <w:p w14:paraId="69E5DB3C" w14:textId="77777777" w:rsidR="006374AA" w:rsidRDefault="006374AA">
      <w:pPr>
        <w:ind w:left="0"/>
        <w:rPr>
          <w:sz w:val="24"/>
          <w:szCs w:val="24"/>
        </w:rPr>
      </w:pPr>
    </w:p>
    <w:p w14:paraId="69E5DB3D" w14:textId="77777777" w:rsidR="006374AA" w:rsidRDefault="000439C1">
      <w:pPr>
        <w:pBdr>
          <w:top w:val="nil"/>
          <w:left w:val="nil"/>
          <w:bottom w:val="nil"/>
          <w:right w:val="nil"/>
          <w:between w:val="nil"/>
        </w:pBdr>
        <w:spacing w:before="120" w:after="120"/>
        <w:ind w:left="720" w:hanging="720"/>
        <w:rPr>
          <w:b/>
          <w:color w:val="000000"/>
          <w:sz w:val="32"/>
          <w:szCs w:val="32"/>
        </w:rPr>
      </w:pPr>
      <w:r>
        <w:rPr>
          <w:b/>
          <w:color w:val="000000"/>
          <w:sz w:val="32"/>
          <w:szCs w:val="32"/>
        </w:rPr>
        <w:t>Part C:  Corporate Resolution Planning</w:t>
      </w:r>
    </w:p>
    <w:p w14:paraId="69E5DB3E" w14:textId="77777777" w:rsidR="006374AA" w:rsidRDefault="000439C1">
      <w:pPr>
        <w:pBdr>
          <w:top w:val="nil"/>
          <w:left w:val="nil"/>
          <w:bottom w:val="nil"/>
          <w:right w:val="nil"/>
          <w:between w:val="nil"/>
        </w:pBdr>
        <w:spacing w:before="120" w:after="120"/>
        <w:ind w:left="720" w:hanging="720"/>
        <w:rPr>
          <w:color w:val="000000"/>
          <w:sz w:val="32"/>
          <w:szCs w:val="32"/>
        </w:rPr>
      </w:pPr>
      <w:r>
        <w:rPr>
          <w:color w:val="000000"/>
          <w:sz w:val="24"/>
          <w:szCs w:val="24"/>
        </w:rPr>
        <w:t xml:space="preserve">This Part C shall apply to all Call-Off Contracts. </w:t>
      </w:r>
    </w:p>
    <w:p w14:paraId="69E5DB3F" w14:textId="77777777" w:rsidR="006374AA" w:rsidRDefault="000439C1">
      <w:pPr>
        <w:keepNext/>
        <w:numPr>
          <w:ilvl w:val="0"/>
          <w:numId w:val="8"/>
        </w:numPr>
        <w:pBdr>
          <w:top w:val="nil"/>
          <w:left w:val="nil"/>
          <w:bottom w:val="nil"/>
          <w:right w:val="nil"/>
          <w:between w:val="nil"/>
        </w:pBdr>
        <w:tabs>
          <w:tab w:val="left" w:pos="0"/>
        </w:tabs>
        <w:spacing w:before="240"/>
        <w:jc w:val="left"/>
        <w:rPr>
          <w:b/>
          <w:color w:val="000000"/>
          <w:sz w:val="24"/>
          <w:szCs w:val="24"/>
        </w:rPr>
      </w:pPr>
      <w:r>
        <w:rPr>
          <w:rFonts w:ascii="Arial Bold" w:eastAsia="Arial Bold" w:hAnsi="Arial Bold" w:cs="Arial Bold"/>
          <w:b/>
          <w:color w:val="000000"/>
          <w:sz w:val="24"/>
          <w:szCs w:val="24"/>
        </w:rPr>
        <w:t>Service</w:t>
      </w:r>
      <w:r>
        <w:rPr>
          <w:b/>
          <w:color w:val="000000"/>
          <w:sz w:val="24"/>
          <w:szCs w:val="24"/>
        </w:rPr>
        <w:t xml:space="preserve"> Status and Supplier Status</w:t>
      </w:r>
    </w:p>
    <w:p w14:paraId="69E5DB40" w14:textId="10506B13" w:rsidR="006374AA" w:rsidRDefault="000439C1">
      <w:pPr>
        <w:keepNext/>
        <w:numPr>
          <w:ilvl w:val="1"/>
          <w:numId w:val="8"/>
        </w:numPr>
        <w:pBdr>
          <w:top w:val="nil"/>
          <w:left w:val="nil"/>
          <w:bottom w:val="nil"/>
          <w:right w:val="nil"/>
          <w:between w:val="nil"/>
        </w:pBdr>
        <w:tabs>
          <w:tab w:val="left" w:pos="0"/>
        </w:tabs>
        <w:spacing w:before="240"/>
        <w:ind w:left="851" w:hanging="851"/>
        <w:jc w:val="left"/>
        <w:rPr>
          <w:b/>
          <w:color w:val="000000"/>
          <w:sz w:val="24"/>
          <w:szCs w:val="24"/>
        </w:rPr>
      </w:pPr>
      <w:r>
        <w:rPr>
          <w:color w:val="000000"/>
          <w:sz w:val="24"/>
          <w:szCs w:val="24"/>
        </w:rPr>
        <w:t xml:space="preserve">This Contract </w:t>
      </w:r>
      <w:r w:rsidR="005D0B23">
        <w:rPr>
          <w:color w:val="000000"/>
          <w:sz w:val="24"/>
          <w:szCs w:val="24"/>
        </w:rPr>
        <w:t>is not</w:t>
      </w:r>
      <w:r>
        <w:rPr>
          <w:color w:val="000000"/>
          <w:sz w:val="24"/>
          <w:szCs w:val="24"/>
        </w:rPr>
        <w:t xml:space="preserve"> a Critical Service Contract.</w:t>
      </w:r>
    </w:p>
    <w:p w14:paraId="69E5DB41"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The Supplier shall notify the Buyer in writing within 5 Working Days of the Effective Date and throughout the Call-Off Contract Period within 120 days after each Accounting Reference Date as to whether or not it is a Public Sector Dependent Supplier.</w:t>
      </w:r>
    </w:p>
    <w:p w14:paraId="69E5DB42" w14:textId="77777777" w:rsidR="006374AA" w:rsidRDefault="000439C1">
      <w:pPr>
        <w:keepNext/>
        <w:numPr>
          <w:ilvl w:val="0"/>
          <w:numId w:val="2"/>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Provision of Corporate Resolution Planning Information</w:t>
      </w:r>
    </w:p>
    <w:p w14:paraId="69E5DB43"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Paragraphs 2 to 4 of this Part C shall apply if the Contract has been specified as a Critical Service Contract under Paragraph 1.1 of this Part C or the Supplier is or becomes a Public Sector Dependent Supplier.</w:t>
      </w:r>
    </w:p>
    <w:p w14:paraId="69E5DB44"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Subject to Paragraphs 2.6, 2.10 and 2.11 of this Part C:</w:t>
      </w:r>
    </w:p>
    <w:p w14:paraId="69E5DB45"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where the Contract is a Critical Service Contract, the Supplier shall provide the Appropriate Authority or Appropriate Authorities</w:t>
      </w:r>
      <w:r>
        <w:rPr>
          <w:sz w:val="28"/>
          <w:szCs w:val="28"/>
        </w:rPr>
        <w:t xml:space="preserve"> </w:t>
      </w:r>
      <w:r>
        <w:rPr>
          <w:sz w:val="24"/>
          <w:szCs w:val="24"/>
        </w:rPr>
        <w:t>with the CRP Information within 60 days of the Effective Date; and</w:t>
      </w:r>
    </w:p>
    <w:p w14:paraId="69E5DB46"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w:t>
      </w:r>
    </w:p>
    <w:p w14:paraId="69E5DB47"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The Supplier shall ensure that the CRP Information provided pursuant to Paragraphs 2.2, 2.8 and 2.9 of this Part C:</w:t>
      </w:r>
    </w:p>
    <w:p w14:paraId="69E5DB48"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is full, comprehensive, accurate and up to date;</w:t>
      </w:r>
    </w:p>
    <w:p w14:paraId="69E5DB49"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is split into two parts:</w:t>
      </w:r>
    </w:p>
    <w:p w14:paraId="69E5DB4A" w14:textId="77777777" w:rsidR="006374AA" w:rsidRDefault="000439C1">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Group Structure Information and Resolution Commentary;</w:t>
      </w:r>
    </w:p>
    <w:p w14:paraId="69E5DB4B" w14:textId="77777777" w:rsidR="006374AA" w:rsidRDefault="000439C1">
      <w:pPr>
        <w:numPr>
          <w:ilvl w:val="3"/>
          <w:numId w:val="2"/>
        </w:numPr>
        <w:pBdr>
          <w:top w:val="nil"/>
          <w:left w:val="nil"/>
          <w:bottom w:val="nil"/>
          <w:right w:val="nil"/>
          <w:between w:val="nil"/>
        </w:pBdr>
        <w:tabs>
          <w:tab w:val="left" w:pos="1985"/>
          <w:tab w:val="left" w:pos="2127"/>
        </w:tabs>
        <w:spacing w:before="120" w:after="120"/>
        <w:ind w:left="2127"/>
        <w:rPr>
          <w:color w:val="000000"/>
          <w:sz w:val="24"/>
          <w:szCs w:val="24"/>
        </w:rPr>
      </w:pPr>
      <w:r>
        <w:rPr>
          <w:color w:val="000000"/>
          <w:sz w:val="24"/>
          <w:szCs w:val="24"/>
        </w:rPr>
        <w:t xml:space="preserve">UK Public Service / CNI Contract Information and is structured and presented in accordance with the requirements and explanatory notes set out at Annex I of the latest published version of the Resolution Planning Guidance published by the Cabinet Office Government Commercial Function and available at </w:t>
      </w:r>
      <w:r>
        <w:rPr>
          <w:color w:val="000000"/>
          <w:sz w:val="24"/>
          <w:szCs w:val="24"/>
        </w:rPr>
        <w:lastRenderedPageBreak/>
        <w:t>https://www.gov.uk/government/publications/the-outsourcingplaybook and contains the level of detail required (adapted as necessary to the Supplier’s circumstances);</w:t>
      </w:r>
    </w:p>
    <w:p w14:paraId="69E5DB4C"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incorporates any additional commentary, supporting documents and evidence which would reasonably be required by the Appropriate Authority or Appropriate Authorities to understand and consider the information for approval;</w:t>
      </w:r>
    </w:p>
    <w:p w14:paraId="69E5DB4D"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provides a clear description and explanation of the Supplier Group members that have agreements for goods, services or works provision in respect of UK Public Sector Business and/or Critical National Infrastructure and the nature of those agreements; and</w:t>
      </w:r>
    </w:p>
    <w:p w14:paraId="69E5DB4E"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complies with the requirements set out at Appendix 1 (Group Structure Information and Resolution Commentary) and Appendix 2 (UK Public Sector / CNI Contract Information) respectively.</w:t>
      </w:r>
    </w:p>
    <w:p w14:paraId="69E5DB4F"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Following receipt by the Appropriate Authority or Appropriate Authorities of the CRP Information pursuant to Paragraphs 2.2, 2.8 and 2.9 of this Part C,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approves the CRP Information or that the Appropriate Authority or Appropriate Authorities rejects the CRP Information.</w:t>
      </w:r>
    </w:p>
    <w:p w14:paraId="69E5DB50"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If the Appropriate Authority or Appropriate Authorities rejects the CRP Information:</w:t>
      </w:r>
    </w:p>
    <w:p w14:paraId="69E5DB51"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the Buyer shall (and shall procure that the Cabinet Office Markets and Suppliers Team shall) inform the Supplier in writing of its reasons for its rejection; and</w:t>
      </w:r>
    </w:p>
    <w:p w14:paraId="69E5DB52"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the Supplier shall revise the CRP Information, taking reasonable account of the Appropriate Authority’s or Appropriate Authorities’ comments, and shall re-submit the CRP Information to the Appropriate Authority or Appropriate Authorities for approval within 30 days of the date of the Appropriate Authority’s or Appropriate Authorities’ rejection. The provisions of paragraph 2.3 to 2.5 of this Part C shall apply again to any resubmitted CRP Information provided that either Party may refer any disputed matters for resolution by the Dispute Resolution Procedure under Clause 34 of the Core Terms at any time.</w:t>
      </w:r>
    </w:p>
    <w:p w14:paraId="69E5DB53"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 xml:space="preserve">Where the Supplier or a member of the Supplier Group has already provided CRP Information to a Department or the Cabinet Office Markets and Suppliers Team (or, in the case of a Strategic Supplier, solely to the Cabinet Office Markets and Suppliers Team) and has received an Assurance of its CRP Information from that Department and the Cabinet Office Markets and Suppliers Team (or, in the case of a Strategic Supplier, solely from the Cabinet Office Markets and Suppliers Team), then provided that the Assurance </w:t>
      </w:r>
      <w:r>
        <w:rPr>
          <w:color w:val="000000"/>
          <w:sz w:val="24"/>
          <w:szCs w:val="24"/>
        </w:rPr>
        <w:lastRenderedPageBreak/>
        <w:t>remains Valid (which has the meaning in paragraph 2.7 below) on the date by which the CRP Information would otherwise be required, the Supplier shall not be required to provide the CRP Information under Paragraph 2.2 of this Part C if it provides a copy of the Valid Assurance to the Appropriate Authority or Appropriate Authorities on or before the date on which the CRP Information would otherwise have been required.</w:t>
      </w:r>
    </w:p>
    <w:p w14:paraId="69E5DB54"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An Assurance shall be deemed Valid for the purposes of Paragraph 2.6 of this Part C if:</w:t>
      </w:r>
    </w:p>
    <w:p w14:paraId="69E5DB55"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the Assurance is within the validity period stated in the Assurance (or, if no validity period is stated, no more than 12 months has elapsed since it was issued and no more than 18 months has elapsed since the Accounting Reference Date on which the CRP Information was based); and</w:t>
      </w:r>
    </w:p>
    <w:p w14:paraId="69E5DB56"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no Corporate Change Events or Financial Distress Events (or events which would be deemed to be Corporate Change Events or Financial Distress Events if the Contract had then been in force) have occurred since the date of issue of the Assurance.</w:t>
      </w:r>
    </w:p>
    <w:p w14:paraId="69E5DB57"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If the Contract is a Critical Service Contract, the Supplier shall provide an updated version of the CRP Information (or, in the case of Paragraph 2.8.3 of this Part C its initial CRP Information) to the Appropriate Authority or Appropriate Authorities:</w:t>
      </w:r>
    </w:p>
    <w:p w14:paraId="69E5DB58"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within 14 days of the occurrence of a Financial Distress Event (along with any additional highly confidential information no longer exempted from disclosure under Paragraph 2.11 of this Part C) unless the Supplier is relieved of the consequences of the Financial Distress Event under Paragraph 7.1 of Joint Schedule 7 (Financial Distress) (if applicable);</w:t>
      </w:r>
    </w:p>
    <w:p w14:paraId="69E5DB59"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within 30 days of a Corporate Change Event unless not required pursuant to Paragraph 2.10 of this Part C;</w:t>
      </w:r>
    </w:p>
    <w:p w14:paraId="69E5DB5A"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within 30 days of the date that:</w:t>
      </w:r>
    </w:p>
    <w:p w14:paraId="69E5DB5B" w14:textId="77777777" w:rsidR="006374AA" w:rsidRDefault="000439C1">
      <w:pPr>
        <w:numPr>
          <w:ilvl w:val="3"/>
          <w:numId w:val="2"/>
        </w:numPr>
        <w:pBdr>
          <w:top w:val="nil"/>
          <w:left w:val="nil"/>
          <w:bottom w:val="nil"/>
          <w:right w:val="nil"/>
          <w:between w:val="nil"/>
        </w:pBdr>
        <w:tabs>
          <w:tab w:val="left" w:pos="1985"/>
          <w:tab w:val="left" w:pos="2552"/>
        </w:tabs>
        <w:spacing w:before="120" w:after="120"/>
        <w:ind w:left="2552" w:hanging="851"/>
        <w:rPr>
          <w:color w:val="000000"/>
          <w:sz w:val="24"/>
          <w:szCs w:val="24"/>
        </w:rPr>
      </w:pPr>
      <w:r>
        <w:rPr>
          <w:color w:val="000000"/>
          <w:sz w:val="24"/>
          <w:szCs w:val="24"/>
        </w:rPr>
        <w:t>the credit rating(s) of each of the Supplier and its Parent Undertakings fail to meet any of the criteria specified in Paragraph 2.10 of this Part C; or</w:t>
      </w:r>
    </w:p>
    <w:p w14:paraId="69E5DB5C" w14:textId="77777777" w:rsidR="006374AA" w:rsidRDefault="000439C1">
      <w:pPr>
        <w:numPr>
          <w:ilvl w:val="3"/>
          <w:numId w:val="2"/>
        </w:numPr>
        <w:pBdr>
          <w:top w:val="nil"/>
          <w:left w:val="nil"/>
          <w:bottom w:val="nil"/>
          <w:right w:val="nil"/>
          <w:between w:val="nil"/>
        </w:pBdr>
        <w:tabs>
          <w:tab w:val="left" w:pos="1985"/>
          <w:tab w:val="left" w:pos="2552"/>
        </w:tabs>
        <w:spacing w:before="120" w:after="120"/>
        <w:ind w:left="2552" w:hanging="851"/>
        <w:rPr>
          <w:color w:val="000000"/>
          <w:sz w:val="24"/>
          <w:szCs w:val="24"/>
        </w:rPr>
      </w:pPr>
      <w:r>
        <w:rPr>
          <w:color w:val="000000"/>
          <w:sz w:val="24"/>
          <w:szCs w:val="24"/>
        </w:rPr>
        <w:t>none of the credit rating agencies specified at Paragraph 2.10 of this Part C hold a public credit rating for the Supplier or any of its Parent Undertakings; and</w:t>
      </w:r>
    </w:p>
    <w:p w14:paraId="69E5DB5D" w14:textId="77777777" w:rsidR="006374AA" w:rsidRDefault="000439C1">
      <w:pPr>
        <w:keepNext/>
        <w:numPr>
          <w:ilvl w:val="2"/>
          <w:numId w:val="2"/>
        </w:numPr>
        <w:pBdr>
          <w:top w:val="nil"/>
          <w:left w:val="nil"/>
          <w:bottom w:val="nil"/>
          <w:right w:val="nil"/>
          <w:between w:val="nil"/>
        </w:pBdr>
        <w:spacing w:before="120" w:after="120"/>
        <w:jc w:val="left"/>
        <w:rPr>
          <w:sz w:val="24"/>
          <w:szCs w:val="24"/>
        </w:rPr>
      </w:pPr>
      <w:r>
        <w:rPr>
          <w:sz w:val="24"/>
          <w:szCs w:val="24"/>
        </w:rPr>
        <w:t>in any event, within 6 months after each Accounting Reference Date or within 15 months of the date of the previous Assurance received from the Appropriate Authority (whichever is the earlier), unless:</w:t>
      </w:r>
    </w:p>
    <w:p w14:paraId="69E5DB5E" w14:textId="77777777" w:rsidR="006374AA" w:rsidRDefault="000439C1">
      <w:pPr>
        <w:numPr>
          <w:ilvl w:val="3"/>
          <w:numId w:val="2"/>
        </w:numPr>
        <w:pBdr>
          <w:top w:val="nil"/>
          <w:left w:val="nil"/>
          <w:bottom w:val="nil"/>
          <w:right w:val="nil"/>
          <w:between w:val="nil"/>
        </w:pBdr>
        <w:tabs>
          <w:tab w:val="left" w:pos="1985"/>
          <w:tab w:val="left" w:pos="2552"/>
        </w:tabs>
        <w:spacing w:before="120" w:after="120"/>
        <w:ind w:left="2552" w:hanging="851"/>
        <w:rPr>
          <w:color w:val="000000"/>
          <w:sz w:val="24"/>
          <w:szCs w:val="24"/>
        </w:rPr>
      </w:pPr>
      <w:r>
        <w:rPr>
          <w:color w:val="000000"/>
          <w:sz w:val="24"/>
          <w:szCs w:val="24"/>
        </w:rPr>
        <w:t xml:space="preserve">updated CRP Information has been provided under any of Paragraphs 2.8.1 2.8.2 or 2.8.3 of this Part C since the most recent Accounting Reference Date (being no more than 12 months previously) within the timescales that would ordinarily </w:t>
      </w:r>
      <w:r>
        <w:rPr>
          <w:color w:val="000000"/>
          <w:sz w:val="24"/>
          <w:szCs w:val="24"/>
        </w:rPr>
        <w:lastRenderedPageBreak/>
        <w:t>be required for the provision of that information under this Paragraph 2.8.4 of this Part C; or</w:t>
      </w:r>
    </w:p>
    <w:p w14:paraId="69E5DB5F" w14:textId="77777777" w:rsidR="006374AA" w:rsidRDefault="000439C1">
      <w:pPr>
        <w:numPr>
          <w:ilvl w:val="3"/>
          <w:numId w:val="2"/>
        </w:numPr>
        <w:pBdr>
          <w:top w:val="nil"/>
          <w:left w:val="nil"/>
          <w:bottom w:val="nil"/>
          <w:right w:val="nil"/>
          <w:between w:val="nil"/>
        </w:pBdr>
        <w:tabs>
          <w:tab w:val="left" w:pos="1985"/>
          <w:tab w:val="left" w:pos="2552"/>
        </w:tabs>
        <w:spacing w:before="120" w:after="120"/>
        <w:ind w:left="2552" w:hanging="851"/>
        <w:rPr>
          <w:color w:val="000000"/>
          <w:sz w:val="24"/>
          <w:szCs w:val="24"/>
        </w:rPr>
      </w:pPr>
      <w:r>
        <w:rPr>
          <w:color w:val="000000"/>
          <w:sz w:val="24"/>
          <w:szCs w:val="24"/>
        </w:rPr>
        <w:t>unless not required pursuant to Paragraph 2.10 of this Part C.</w:t>
      </w:r>
    </w:p>
    <w:p w14:paraId="69E5DB60"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Where the Supplier is a Public Sector Dependent Supplier and the Contract is not a Critical Service Contract, then on the occurrence of any of the events   specified in Paragraphs 2.8.1 to 2.8.4 of this Part C, the Supplier shall provide at the request of the Appropriate Authority or Appropriate Authorities and within the applicable timescales for each event as set out in Paragraph 2.8 (or such longer timescales as may be notified to the Supplier by the Buyer), the CRP Information to the Appropriate Authority or Appropriate Authorities.</w:t>
      </w:r>
    </w:p>
    <w:p w14:paraId="69E5DB61"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Where the Supplier or a Parent Undertaking of the Supplier has a credit rating of either:</w:t>
      </w:r>
    </w:p>
    <w:p w14:paraId="69E5DB62"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Aa3 or better from Moody’s;</w:t>
      </w:r>
    </w:p>
    <w:p w14:paraId="69E5DB63"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 xml:space="preserve">AA- or better from Standard and </w:t>
      </w:r>
      <w:proofErr w:type="spellStart"/>
      <w:r>
        <w:rPr>
          <w:sz w:val="24"/>
          <w:szCs w:val="24"/>
        </w:rPr>
        <w:t>Poors</w:t>
      </w:r>
      <w:proofErr w:type="spellEnd"/>
      <w:r>
        <w:rPr>
          <w:sz w:val="24"/>
          <w:szCs w:val="24"/>
        </w:rPr>
        <w:t>;</w:t>
      </w:r>
    </w:p>
    <w:p w14:paraId="69E5DB64"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AA- or better from Fitch,</w:t>
      </w:r>
    </w:p>
    <w:p w14:paraId="69E5DB65" w14:textId="77777777" w:rsidR="006374AA" w:rsidRDefault="000439C1">
      <w:pPr>
        <w:keepNext/>
        <w:pBdr>
          <w:top w:val="nil"/>
          <w:left w:val="nil"/>
          <w:bottom w:val="nil"/>
          <w:right w:val="nil"/>
          <w:between w:val="nil"/>
        </w:pBdr>
        <w:spacing w:before="120" w:after="120"/>
        <w:ind w:left="851"/>
        <w:jc w:val="left"/>
        <w:rPr>
          <w:sz w:val="24"/>
          <w:szCs w:val="24"/>
        </w:rPr>
      </w:pPr>
      <w:r>
        <w:rPr>
          <w:sz w:val="24"/>
          <w:szCs w:val="24"/>
        </w:rPr>
        <w:t>the Supplier will not be required to provide any CRP Information unless or until either (</w:t>
      </w:r>
      <w:proofErr w:type="spellStart"/>
      <w:r>
        <w:rPr>
          <w:sz w:val="24"/>
          <w:szCs w:val="24"/>
        </w:rPr>
        <w:t>i</w:t>
      </w:r>
      <w:proofErr w:type="spellEnd"/>
      <w:r>
        <w:rPr>
          <w:sz w:val="24"/>
          <w:szCs w:val="24"/>
        </w:rPr>
        <w:t xml:space="preserve">) a Financial Distress Event occurs (unless the Supplier is relieved of the consequences of the Financial Distress Event under Paragraph 7.1 of Annex 3 to Joint Schedule 7 (Financial Distress), if applicable) or (ii) the Supplier and its Parent Undertakings cease to fulfil the criteria set out in this Paragraph 2.10 </w:t>
      </w:r>
      <w:r>
        <w:rPr>
          <w:color w:val="000000"/>
          <w:sz w:val="24"/>
          <w:szCs w:val="24"/>
        </w:rPr>
        <w:t>of this Part C</w:t>
      </w:r>
      <w:r>
        <w:rPr>
          <w:sz w:val="24"/>
          <w:szCs w:val="24"/>
        </w:rPr>
        <w:t xml:space="preserve">, in which cases the Supplier shall provide the updated version of the CRP Information in accordance with paragraph 2.8 </w:t>
      </w:r>
      <w:r>
        <w:rPr>
          <w:color w:val="000000"/>
          <w:sz w:val="24"/>
          <w:szCs w:val="24"/>
        </w:rPr>
        <w:t>of this Part C</w:t>
      </w:r>
      <w:r>
        <w:rPr>
          <w:sz w:val="24"/>
          <w:szCs w:val="24"/>
        </w:rPr>
        <w:t>.</w:t>
      </w:r>
    </w:p>
    <w:p w14:paraId="69E5DB66"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Subject to Paragraph 4 of this Part C, where the Supplier demonstrates to the reasonable satisfaction of the Appropriate Authority or Appropriate Authorities that a particular item of CRP Information is highly confidential, the Supplier may, having orally disclosed and discussed that information with the 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2.8 of this Part C.</w:t>
      </w:r>
    </w:p>
    <w:p w14:paraId="69E5DB67" w14:textId="77777777" w:rsidR="006374AA" w:rsidRDefault="000439C1">
      <w:pPr>
        <w:keepNext/>
        <w:numPr>
          <w:ilvl w:val="0"/>
          <w:numId w:val="2"/>
        </w:numPr>
        <w:pBdr>
          <w:top w:val="nil"/>
          <w:left w:val="nil"/>
          <w:bottom w:val="nil"/>
          <w:right w:val="nil"/>
          <w:between w:val="nil"/>
        </w:pBdr>
        <w:tabs>
          <w:tab w:val="left" w:pos="0"/>
        </w:tabs>
        <w:spacing w:before="240"/>
        <w:jc w:val="left"/>
        <w:rPr>
          <w:b/>
          <w:color w:val="000000"/>
          <w:sz w:val="24"/>
          <w:szCs w:val="24"/>
        </w:rPr>
      </w:pPr>
      <w:r>
        <w:rPr>
          <w:b/>
          <w:color w:val="000000"/>
          <w:sz w:val="24"/>
          <w:szCs w:val="24"/>
        </w:rPr>
        <w:t>Termination Rights</w:t>
      </w:r>
    </w:p>
    <w:p w14:paraId="69E5DB68"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The Buyer shall be entitled to terminate the Contract if the Supplier is required to provide CRP Information under Paragraph 2 of this Part C and either:</w:t>
      </w:r>
    </w:p>
    <w:p w14:paraId="69E5DB69"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 xml:space="preserve">the Supplier fails to provide the CRP Information within 4 months of the Effective Date if this is a Critical Service Contract or otherwise </w:t>
      </w:r>
      <w:r>
        <w:rPr>
          <w:sz w:val="24"/>
          <w:szCs w:val="24"/>
        </w:rPr>
        <w:lastRenderedPageBreak/>
        <w:t>within 4 months of the Appropriate Authority’s or Appropriate Authorities’ request; or</w:t>
      </w:r>
    </w:p>
    <w:p w14:paraId="69E5DB6A"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the Supplier fails to obtain an Assurance from the Appropriate Authority or Appropriate Authorities within 4 months of the date that it was first required to provide the CRP Information under the Contract,</w:t>
      </w:r>
    </w:p>
    <w:p w14:paraId="69E5DB6B" w14:textId="77777777" w:rsidR="006374AA" w:rsidRDefault="000439C1">
      <w:pPr>
        <w:pBdr>
          <w:top w:val="nil"/>
          <w:left w:val="nil"/>
          <w:bottom w:val="nil"/>
          <w:right w:val="nil"/>
          <w:between w:val="nil"/>
        </w:pBdr>
        <w:spacing w:before="120" w:after="120"/>
        <w:ind w:left="851"/>
        <w:rPr>
          <w:color w:val="000000"/>
          <w:sz w:val="24"/>
          <w:szCs w:val="24"/>
        </w:rPr>
      </w:pPr>
      <w:r>
        <w:rPr>
          <w:color w:val="000000"/>
          <w:sz w:val="24"/>
          <w:szCs w:val="24"/>
        </w:rPr>
        <w:t>which shall be deemed to be an event to which Clause 10.4.1 of the Core Terms applies and Clauses 10.6.1 and 10.6.2 of the Core Terms shall apply accordingly.</w:t>
      </w:r>
    </w:p>
    <w:p w14:paraId="69E5DB6C" w14:textId="77777777" w:rsidR="006374AA" w:rsidRDefault="000439C1">
      <w:pPr>
        <w:keepNext/>
        <w:numPr>
          <w:ilvl w:val="0"/>
          <w:numId w:val="2"/>
        </w:numPr>
        <w:pBdr>
          <w:top w:val="nil"/>
          <w:left w:val="nil"/>
          <w:bottom w:val="nil"/>
          <w:right w:val="nil"/>
          <w:between w:val="nil"/>
        </w:pBdr>
        <w:tabs>
          <w:tab w:val="left" w:pos="0"/>
        </w:tabs>
        <w:spacing w:before="240"/>
        <w:ind w:left="851" w:hanging="851"/>
        <w:jc w:val="left"/>
        <w:rPr>
          <w:b/>
          <w:color w:val="000000"/>
          <w:sz w:val="24"/>
          <w:szCs w:val="24"/>
        </w:rPr>
      </w:pPr>
      <w:r>
        <w:rPr>
          <w:b/>
          <w:color w:val="000000"/>
          <w:sz w:val="24"/>
          <w:szCs w:val="24"/>
        </w:rPr>
        <w:t>Confidentiality and usage of CRP Information</w:t>
      </w:r>
    </w:p>
    <w:p w14:paraId="69E5DB6D"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w:t>
      </w:r>
    </w:p>
    <w:p w14:paraId="69E5DB6E"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bookmarkStart w:id="33" w:name="_heading=h.23ckvvd" w:colFirst="0" w:colLast="0"/>
      <w:bookmarkEnd w:id="33"/>
      <w:r>
        <w:rPr>
          <w:color w:val="000000"/>
          <w:sz w:val="24"/>
          <w:szCs w:val="24"/>
        </w:rPr>
        <w:t>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4.1 of this Part C and Clause 15 of the Core Terms.</w:t>
      </w:r>
    </w:p>
    <w:p w14:paraId="69E5DB6F"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The Supplier shall use reasonable endeavours to obtain consent from any third party which has restricted the disclosure of the CRP Information to enable disclosure of that information to the Appropriate Authority or Appropriate Authorities pursuant to Paragraph 2 of this Part C subject, where necessary, to the Appropriate Authority or Appropriate Authorities entering into an appropriate confidentiality agreement in the form required by the third party.</w:t>
      </w:r>
    </w:p>
    <w:p w14:paraId="69E5DB70" w14:textId="77777777" w:rsidR="006374AA" w:rsidRDefault="000439C1">
      <w:pPr>
        <w:numPr>
          <w:ilvl w:val="1"/>
          <w:numId w:val="2"/>
        </w:numPr>
        <w:pBdr>
          <w:top w:val="nil"/>
          <w:left w:val="nil"/>
          <w:bottom w:val="nil"/>
          <w:right w:val="nil"/>
          <w:between w:val="nil"/>
        </w:pBdr>
        <w:spacing w:before="120" w:after="120"/>
        <w:ind w:left="851" w:hanging="851"/>
        <w:rPr>
          <w:color w:val="000000"/>
          <w:sz w:val="24"/>
          <w:szCs w:val="24"/>
        </w:rPr>
      </w:pPr>
      <w:r>
        <w:rPr>
          <w:color w:val="000000"/>
          <w:sz w:val="24"/>
          <w:szCs w:val="24"/>
        </w:rPr>
        <w:t>Where the Supplier is unable to procure consent pursuant to Paragraph 4.3 of this Part C, the Supplier shall use all reasonable endeavours to disclose the CRP Information to the fullest extent possible by limiting the amount of information it withholds including by:</w:t>
      </w:r>
    </w:p>
    <w:p w14:paraId="69E5DB71"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redacting only those parts of the information which are subject to such obligations of confidentiality;</w:t>
      </w:r>
    </w:p>
    <w:p w14:paraId="69E5DB72" w14:textId="77777777" w:rsidR="006374AA" w:rsidRDefault="000439C1">
      <w:pPr>
        <w:keepNext/>
        <w:numPr>
          <w:ilvl w:val="2"/>
          <w:numId w:val="2"/>
        </w:numPr>
        <w:pBdr>
          <w:top w:val="nil"/>
          <w:left w:val="nil"/>
          <w:bottom w:val="nil"/>
          <w:right w:val="nil"/>
          <w:between w:val="nil"/>
        </w:pBdr>
        <w:spacing w:before="120" w:after="120"/>
        <w:ind w:left="1701" w:hanging="850"/>
        <w:jc w:val="left"/>
        <w:rPr>
          <w:sz w:val="24"/>
          <w:szCs w:val="24"/>
        </w:rPr>
      </w:pPr>
      <w:r>
        <w:rPr>
          <w:sz w:val="24"/>
          <w:szCs w:val="24"/>
        </w:rPr>
        <w:t>providing the information in a form that does not breach its obligations of confidentiality including (where possible) by:</w:t>
      </w:r>
    </w:p>
    <w:p w14:paraId="69E5DB73" w14:textId="77777777" w:rsidR="006374AA" w:rsidRDefault="000439C1">
      <w:pPr>
        <w:numPr>
          <w:ilvl w:val="3"/>
          <w:numId w:val="2"/>
        </w:numPr>
        <w:pBdr>
          <w:top w:val="nil"/>
          <w:left w:val="nil"/>
          <w:bottom w:val="nil"/>
          <w:right w:val="nil"/>
          <w:between w:val="nil"/>
        </w:pBdr>
        <w:tabs>
          <w:tab w:val="left" w:pos="2552"/>
        </w:tabs>
        <w:spacing w:before="120" w:after="120"/>
        <w:ind w:left="2552" w:hanging="851"/>
        <w:rPr>
          <w:color w:val="000000"/>
          <w:sz w:val="24"/>
          <w:szCs w:val="24"/>
        </w:rPr>
      </w:pPr>
      <w:r>
        <w:rPr>
          <w:color w:val="000000"/>
          <w:sz w:val="24"/>
          <w:szCs w:val="24"/>
        </w:rPr>
        <w:t>summarising the information;</w:t>
      </w:r>
    </w:p>
    <w:p w14:paraId="69E5DB74" w14:textId="77777777" w:rsidR="006374AA" w:rsidRDefault="000439C1">
      <w:pPr>
        <w:numPr>
          <w:ilvl w:val="3"/>
          <w:numId w:val="2"/>
        </w:numPr>
        <w:pBdr>
          <w:top w:val="nil"/>
          <w:left w:val="nil"/>
          <w:bottom w:val="nil"/>
          <w:right w:val="nil"/>
          <w:between w:val="nil"/>
        </w:pBdr>
        <w:tabs>
          <w:tab w:val="left" w:pos="2552"/>
        </w:tabs>
        <w:spacing w:before="120" w:after="120"/>
        <w:ind w:left="2552" w:hanging="851"/>
        <w:rPr>
          <w:color w:val="000000"/>
          <w:sz w:val="24"/>
          <w:szCs w:val="24"/>
        </w:rPr>
      </w:pPr>
      <w:r>
        <w:rPr>
          <w:color w:val="000000"/>
          <w:sz w:val="24"/>
          <w:szCs w:val="24"/>
        </w:rPr>
        <w:t>grouping the information;</w:t>
      </w:r>
    </w:p>
    <w:p w14:paraId="69E5DB75" w14:textId="77777777" w:rsidR="006374AA" w:rsidRDefault="000439C1">
      <w:pPr>
        <w:numPr>
          <w:ilvl w:val="3"/>
          <w:numId w:val="2"/>
        </w:numPr>
        <w:pBdr>
          <w:top w:val="nil"/>
          <w:left w:val="nil"/>
          <w:bottom w:val="nil"/>
          <w:right w:val="nil"/>
          <w:between w:val="nil"/>
        </w:pBdr>
        <w:tabs>
          <w:tab w:val="left" w:pos="2552"/>
        </w:tabs>
        <w:spacing w:before="120" w:after="120"/>
        <w:ind w:left="2552" w:hanging="851"/>
        <w:rPr>
          <w:color w:val="000000"/>
          <w:sz w:val="24"/>
          <w:szCs w:val="24"/>
        </w:rPr>
      </w:pPr>
      <w:r>
        <w:rPr>
          <w:color w:val="000000"/>
          <w:sz w:val="24"/>
          <w:szCs w:val="24"/>
        </w:rPr>
        <w:t>anonymising the information; and</w:t>
      </w:r>
    </w:p>
    <w:p w14:paraId="69E5DB76" w14:textId="77777777" w:rsidR="006374AA" w:rsidRDefault="000439C1">
      <w:pPr>
        <w:numPr>
          <w:ilvl w:val="3"/>
          <w:numId w:val="2"/>
        </w:numPr>
        <w:pBdr>
          <w:top w:val="nil"/>
          <w:left w:val="nil"/>
          <w:bottom w:val="nil"/>
          <w:right w:val="nil"/>
          <w:between w:val="nil"/>
        </w:pBdr>
        <w:tabs>
          <w:tab w:val="left" w:pos="2552"/>
        </w:tabs>
        <w:spacing w:before="120" w:after="120"/>
        <w:ind w:left="2552" w:hanging="851"/>
        <w:rPr>
          <w:color w:val="000000"/>
          <w:sz w:val="24"/>
          <w:szCs w:val="24"/>
        </w:rPr>
      </w:pPr>
      <w:r>
        <w:rPr>
          <w:color w:val="000000"/>
          <w:sz w:val="24"/>
          <w:szCs w:val="24"/>
        </w:rPr>
        <w:t>presenting the information in general terms</w:t>
      </w:r>
    </w:p>
    <w:p w14:paraId="69E5DB77" w14:textId="77777777" w:rsidR="006374AA" w:rsidRDefault="000439C1">
      <w:pPr>
        <w:numPr>
          <w:ilvl w:val="1"/>
          <w:numId w:val="2"/>
        </w:numPr>
        <w:pBdr>
          <w:top w:val="nil"/>
          <w:left w:val="nil"/>
          <w:bottom w:val="nil"/>
          <w:right w:val="nil"/>
          <w:between w:val="nil"/>
        </w:pBdr>
        <w:spacing w:before="120" w:after="120"/>
        <w:rPr>
          <w:color w:val="000000"/>
          <w:sz w:val="24"/>
          <w:szCs w:val="24"/>
        </w:rPr>
      </w:pPr>
      <w:r>
        <w:rPr>
          <w:color w:val="000000"/>
          <w:sz w:val="24"/>
          <w:szCs w:val="24"/>
        </w:rPr>
        <w:t>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w:t>
      </w:r>
    </w:p>
    <w:p w14:paraId="69E5DB78" w14:textId="77777777" w:rsidR="006374AA" w:rsidRDefault="006374AA">
      <w:pPr>
        <w:pBdr>
          <w:top w:val="nil"/>
          <w:left w:val="nil"/>
          <w:bottom w:val="nil"/>
          <w:right w:val="nil"/>
          <w:between w:val="nil"/>
        </w:pBdr>
        <w:spacing w:before="120" w:after="120"/>
        <w:ind w:left="720" w:hanging="720"/>
        <w:rPr>
          <w:rFonts w:ascii="Calibri" w:eastAsia="Calibri" w:hAnsi="Calibri" w:cs="Calibri"/>
          <w:color w:val="000000"/>
        </w:rPr>
      </w:pPr>
    </w:p>
    <w:p w14:paraId="69E5DB79" w14:textId="77777777" w:rsidR="006374AA" w:rsidRDefault="000439C1">
      <w:pPr>
        <w:ind w:left="0"/>
      </w:pPr>
      <w:r>
        <w:br w:type="page"/>
      </w:r>
    </w:p>
    <w:p w14:paraId="69E5DB7A" w14:textId="77777777" w:rsidR="006374AA" w:rsidRDefault="000439C1">
      <w:pPr>
        <w:ind w:left="0"/>
        <w:rPr>
          <w:b/>
          <w:sz w:val="32"/>
          <w:szCs w:val="32"/>
        </w:rPr>
      </w:pPr>
      <w:r>
        <w:rPr>
          <w:b/>
          <w:sz w:val="32"/>
          <w:szCs w:val="32"/>
        </w:rPr>
        <w:lastRenderedPageBreak/>
        <w:t>Appendix 1: Group structure information and resolution commentary</w:t>
      </w:r>
    </w:p>
    <w:p w14:paraId="69E5DB7B" w14:textId="77777777" w:rsidR="006374AA" w:rsidRDefault="000439C1">
      <w:pPr>
        <w:numPr>
          <w:ilvl w:val="0"/>
          <w:numId w:val="3"/>
        </w:numPr>
        <w:pBdr>
          <w:top w:val="nil"/>
          <w:left w:val="nil"/>
          <w:bottom w:val="nil"/>
          <w:right w:val="nil"/>
          <w:between w:val="nil"/>
        </w:pBdr>
        <w:ind w:left="851" w:hanging="851"/>
        <w:rPr>
          <w:color w:val="000000"/>
          <w:sz w:val="24"/>
          <w:szCs w:val="24"/>
        </w:rPr>
      </w:pPr>
      <w:r>
        <w:rPr>
          <w:color w:val="000000"/>
          <w:sz w:val="24"/>
          <w:szCs w:val="24"/>
        </w:rPr>
        <w:t>The Supplier shall:</w:t>
      </w:r>
    </w:p>
    <w:p w14:paraId="69E5DB7C" w14:textId="77777777" w:rsidR="006374AA" w:rsidRDefault="000439C1">
      <w:pPr>
        <w:numPr>
          <w:ilvl w:val="1"/>
          <w:numId w:val="3"/>
        </w:numPr>
        <w:pBdr>
          <w:top w:val="nil"/>
          <w:left w:val="nil"/>
          <w:bottom w:val="nil"/>
          <w:right w:val="nil"/>
          <w:between w:val="nil"/>
        </w:pBdr>
        <w:ind w:left="851" w:hanging="851"/>
        <w:rPr>
          <w:color w:val="000000"/>
          <w:sz w:val="24"/>
          <w:szCs w:val="24"/>
        </w:rPr>
      </w:pPr>
      <w:r>
        <w:rPr>
          <w:color w:val="000000"/>
          <w:sz w:val="24"/>
          <w:szCs w:val="24"/>
        </w:rPr>
        <w:t>provide sufficient information to allow the Appropriate Authority to understand the implications on the Supplier Group’s UK Public Sector Business and CNI contracts listed pursuant to Appendix 2 if the Supplier or another member of the Supplier Group is subject to an Insolvency Event;</w:t>
      </w:r>
    </w:p>
    <w:p w14:paraId="69E5DB7D" w14:textId="77777777" w:rsidR="006374AA" w:rsidRDefault="000439C1">
      <w:pPr>
        <w:numPr>
          <w:ilvl w:val="1"/>
          <w:numId w:val="3"/>
        </w:numPr>
        <w:pBdr>
          <w:top w:val="nil"/>
          <w:left w:val="nil"/>
          <w:bottom w:val="nil"/>
          <w:right w:val="nil"/>
          <w:between w:val="nil"/>
        </w:pBdr>
        <w:ind w:left="851" w:hanging="851"/>
        <w:rPr>
          <w:color w:val="000000"/>
          <w:sz w:val="24"/>
          <w:szCs w:val="24"/>
        </w:rPr>
      </w:pPr>
      <w:r>
        <w:rPr>
          <w:color w:val="000000"/>
          <w:sz w:val="24"/>
          <w:szCs w:val="24"/>
        </w:rPr>
        <w:t>ensure that the information is presented so as to provide a simple, effective and easily understood overview of the Supplier Group; and</w:t>
      </w:r>
    </w:p>
    <w:p w14:paraId="69E5DB7E" w14:textId="77777777" w:rsidR="006374AA" w:rsidRDefault="000439C1">
      <w:pPr>
        <w:numPr>
          <w:ilvl w:val="1"/>
          <w:numId w:val="3"/>
        </w:numPr>
        <w:pBdr>
          <w:top w:val="nil"/>
          <w:left w:val="nil"/>
          <w:bottom w:val="nil"/>
          <w:right w:val="nil"/>
          <w:between w:val="nil"/>
        </w:pBdr>
        <w:ind w:left="851" w:hanging="851"/>
        <w:rPr>
          <w:color w:val="000000"/>
          <w:sz w:val="24"/>
          <w:szCs w:val="24"/>
        </w:rPr>
      </w:pPr>
      <w:r>
        <w:rPr>
          <w:color w:val="000000"/>
          <w:sz w:val="24"/>
          <w:szCs w:val="24"/>
        </w:rPr>
        <w:t>provide full details of the importance of each member of the Supplier Group to the Supplier Group’s UK Public Sector Business and CNI contracts listed pursuant to Appendix 2 and the dependencies between each.</w:t>
      </w:r>
    </w:p>
    <w:p w14:paraId="69E5DB7F" w14:textId="77777777" w:rsidR="006374AA" w:rsidRDefault="000439C1">
      <w:pPr>
        <w:ind w:firstLine="1418"/>
      </w:pPr>
      <w:r>
        <w:br w:type="page"/>
      </w:r>
    </w:p>
    <w:p w14:paraId="69E5DB80" w14:textId="77777777" w:rsidR="006374AA" w:rsidRDefault="000439C1">
      <w:pPr>
        <w:ind w:left="0"/>
        <w:rPr>
          <w:b/>
          <w:sz w:val="32"/>
          <w:szCs w:val="32"/>
        </w:rPr>
      </w:pPr>
      <w:r>
        <w:rPr>
          <w:b/>
          <w:sz w:val="32"/>
          <w:szCs w:val="32"/>
        </w:rPr>
        <w:lastRenderedPageBreak/>
        <w:t>Appendix 2: UK Public Sector / CNI Contract Information</w:t>
      </w:r>
    </w:p>
    <w:p w14:paraId="69E5DB81" w14:textId="77777777" w:rsidR="006374AA" w:rsidRDefault="000439C1">
      <w:pPr>
        <w:numPr>
          <w:ilvl w:val="0"/>
          <w:numId w:val="4"/>
        </w:numPr>
        <w:pBdr>
          <w:top w:val="nil"/>
          <w:left w:val="nil"/>
          <w:bottom w:val="nil"/>
          <w:right w:val="nil"/>
          <w:between w:val="nil"/>
        </w:pBdr>
        <w:ind w:left="851" w:hanging="851"/>
        <w:rPr>
          <w:color w:val="000000"/>
          <w:sz w:val="24"/>
          <w:szCs w:val="24"/>
        </w:rPr>
      </w:pPr>
      <w:r>
        <w:rPr>
          <w:color w:val="000000"/>
          <w:sz w:val="24"/>
          <w:szCs w:val="24"/>
        </w:rPr>
        <w:t>The Supplier shall:</w:t>
      </w:r>
    </w:p>
    <w:p w14:paraId="69E5DB82" w14:textId="77777777" w:rsidR="006374AA" w:rsidRDefault="000439C1">
      <w:pPr>
        <w:numPr>
          <w:ilvl w:val="1"/>
          <w:numId w:val="4"/>
        </w:numPr>
        <w:pBdr>
          <w:top w:val="nil"/>
          <w:left w:val="nil"/>
          <w:bottom w:val="nil"/>
          <w:right w:val="nil"/>
          <w:between w:val="nil"/>
        </w:pBdr>
        <w:ind w:left="851" w:hanging="851"/>
        <w:rPr>
          <w:color w:val="000000"/>
          <w:sz w:val="24"/>
          <w:szCs w:val="24"/>
        </w:rPr>
      </w:pPr>
      <w:r>
        <w:rPr>
          <w:color w:val="000000"/>
          <w:sz w:val="24"/>
          <w:szCs w:val="24"/>
        </w:rPr>
        <w:t>provide details of all agreements held by members of the Supplier Group where those agreements are for goods, services or works provision and:</w:t>
      </w:r>
    </w:p>
    <w:p w14:paraId="69E5DB83" w14:textId="77777777" w:rsidR="006374AA" w:rsidRDefault="000439C1">
      <w:pPr>
        <w:numPr>
          <w:ilvl w:val="2"/>
          <w:numId w:val="4"/>
        </w:numPr>
        <w:pBdr>
          <w:top w:val="nil"/>
          <w:left w:val="nil"/>
          <w:bottom w:val="nil"/>
          <w:right w:val="nil"/>
          <w:between w:val="nil"/>
        </w:pBdr>
        <w:ind w:left="1701" w:hanging="850"/>
        <w:rPr>
          <w:color w:val="000000"/>
          <w:sz w:val="24"/>
          <w:szCs w:val="24"/>
        </w:rPr>
      </w:pPr>
      <w:r>
        <w:rPr>
          <w:color w:val="000000"/>
          <w:sz w:val="24"/>
          <w:szCs w:val="24"/>
        </w:rPr>
        <w:t>are with any UK public sector bodies including: central Government departments and their arms-length bodies and agencies, non-departmental public bodies, NHS bodies, local authorities, health bodies, police fire and rescue, education bodies and the devolved administrations;</w:t>
      </w:r>
    </w:p>
    <w:p w14:paraId="69E5DB84" w14:textId="77777777" w:rsidR="006374AA" w:rsidRDefault="000439C1">
      <w:pPr>
        <w:numPr>
          <w:ilvl w:val="2"/>
          <w:numId w:val="4"/>
        </w:numPr>
        <w:pBdr>
          <w:top w:val="nil"/>
          <w:left w:val="nil"/>
          <w:bottom w:val="nil"/>
          <w:right w:val="nil"/>
          <w:between w:val="nil"/>
        </w:pBdr>
        <w:ind w:left="1701" w:hanging="850"/>
        <w:rPr>
          <w:color w:val="000000"/>
          <w:sz w:val="24"/>
          <w:szCs w:val="24"/>
        </w:rPr>
      </w:pPr>
      <w:r>
        <w:rPr>
          <w:color w:val="000000"/>
          <w:sz w:val="24"/>
          <w:szCs w:val="24"/>
        </w:rPr>
        <w:t>are with any private sector entities where the end recipient of the service, goods or works provision is any of the bodies set out in paragraph 1.1.1 of this Appendix 2 and where the member of the Supplier Group is acting as a key sub-contractor under the agreement with the end recipient; or</w:t>
      </w:r>
    </w:p>
    <w:p w14:paraId="69E5DB85" w14:textId="77777777" w:rsidR="006374AA" w:rsidRDefault="000439C1">
      <w:pPr>
        <w:numPr>
          <w:ilvl w:val="2"/>
          <w:numId w:val="4"/>
        </w:numPr>
        <w:pBdr>
          <w:top w:val="nil"/>
          <w:left w:val="nil"/>
          <w:bottom w:val="nil"/>
          <w:right w:val="nil"/>
          <w:between w:val="nil"/>
        </w:pBdr>
        <w:ind w:left="1701" w:hanging="850"/>
        <w:rPr>
          <w:color w:val="000000"/>
          <w:sz w:val="24"/>
          <w:szCs w:val="24"/>
        </w:rPr>
      </w:pPr>
      <w:r>
        <w:rPr>
          <w:color w:val="000000"/>
          <w:sz w:val="24"/>
          <w:szCs w:val="24"/>
        </w:rPr>
        <w:t>involve or could reasonably be considered to involve CNI;</w:t>
      </w:r>
    </w:p>
    <w:p w14:paraId="69E5DB86" w14:textId="77777777" w:rsidR="006374AA" w:rsidRDefault="000439C1">
      <w:pPr>
        <w:numPr>
          <w:ilvl w:val="1"/>
          <w:numId w:val="4"/>
        </w:numPr>
        <w:pBdr>
          <w:top w:val="nil"/>
          <w:left w:val="nil"/>
          <w:bottom w:val="nil"/>
          <w:right w:val="nil"/>
          <w:between w:val="nil"/>
        </w:pBdr>
        <w:ind w:left="851" w:hanging="851"/>
        <w:rPr>
          <w:color w:val="000000"/>
          <w:sz w:val="24"/>
          <w:szCs w:val="24"/>
        </w:rPr>
      </w:pPr>
      <w:r>
        <w:rPr>
          <w:color w:val="000000"/>
          <w:sz w:val="24"/>
          <w:szCs w:val="24"/>
        </w:rPr>
        <w:t>provide the Appropriate Authority with a copy of the latest version of each underlying contract worth more than £5m per contract year and their related key sub-contracts, which shall be included as embedded documents within the CRP Information or via a directly accessible link.</w:t>
      </w:r>
    </w:p>
    <w:p w14:paraId="69E5DB87" w14:textId="77777777" w:rsidR="006374AA" w:rsidRDefault="006374AA">
      <w:pPr>
        <w:pBdr>
          <w:top w:val="nil"/>
          <w:left w:val="nil"/>
          <w:bottom w:val="nil"/>
          <w:right w:val="nil"/>
          <w:between w:val="nil"/>
        </w:pBdr>
        <w:tabs>
          <w:tab w:val="left" w:pos="1985"/>
          <w:tab w:val="left" w:pos="2127"/>
        </w:tabs>
        <w:spacing w:before="120" w:after="120"/>
        <w:ind w:left="1656"/>
        <w:rPr>
          <w:rFonts w:ascii="Calibri" w:eastAsia="Calibri" w:hAnsi="Calibri" w:cs="Calibri"/>
          <w:color w:val="000000"/>
          <w:sz w:val="24"/>
          <w:szCs w:val="24"/>
        </w:rPr>
      </w:pPr>
    </w:p>
    <w:sectPr w:rsidR="006374AA">
      <w:headerReference w:type="default" r:id="rId8"/>
      <w:footerReference w:type="defaul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C2F70" w14:textId="77777777" w:rsidR="006B3613" w:rsidRDefault="006B3613">
      <w:pPr>
        <w:spacing w:after="0"/>
      </w:pPr>
      <w:r>
        <w:separator/>
      </w:r>
    </w:p>
  </w:endnote>
  <w:endnote w:type="continuationSeparator" w:id="0">
    <w:p w14:paraId="12E160EA" w14:textId="77777777" w:rsidR="006B3613" w:rsidRDefault="006B36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DB8C" w14:textId="77777777" w:rsidR="006374AA" w:rsidRDefault="006374AA">
    <w:pPr>
      <w:tabs>
        <w:tab w:val="center" w:pos="4513"/>
        <w:tab w:val="right" w:pos="9026"/>
      </w:tabs>
      <w:spacing w:after="0"/>
      <w:ind w:left="0"/>
      <w:rPr>
        <w:rFonts w:ascii="Calibri" w:eastAsia="Calibri" w:hAnsi="Calibri" w:cs="Calibri"/>
        <w:color w:val="A6A6A6"/>
      </w:rPr>
    </w:pPr>
  </w:p>
  <w:p w14:paraId="69E5DB8D" w14:textId="77777777" w:rsidR="006374AA" w:rsidRDefault="000439C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 xml:space="preserve">Framework Ref: </w:t>
    </w:r>
    <w:r>
      <w:rPr>
        <w:sz w:val="20"/>
        <w:szCs w:val="20"/>
      </w:rPr>
      <w:t>RM6261</w:t>
    </w:r>
  </w:p>
  <w:p w14:paraId="69E5DB8E" w14:textId="1F63DD33" w:rsidR="006374AA" w:rsidRDefault="000439C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sidR="00FD2C21">
      <w:rPr>
        <w:noProof/>
        <w:color w:val="000000"/>
        <w:sz w:val="20"/>
        <w:szCs w:val="20"/>
      </w:rPr>
      <w:t>1</w:t>
    </w:r>
    <w:r>
      <w:rPr>
        <w:color w:val="000000"/>
        <w:sz w:val="20"/>
        <w:szCs w:val="20"/>
      </w:rPr>
      <w:fldChar w:fldCharType="end"/>
    </w:r>
  </w:p>
  <w:p w14:paraId="69E5DB8F" w14:textId="77777777" w:rsidR="006374AA" w:rsidRDefault="000439C1">
    <w:pPr>
      <w:pBdr>
        <w:top w:val="nil"/>
        <w:left w:val="nil"/>
        <w:bottom w:val="nil"/>
        <w:right w:val="nil"/>
        <w:between w:val="nil"/>
      </w:pBdr>
      <w:tabs>
        <w:tab w:val="center" w:pos="4513"/>
        <w:tab w:val="right" w:pos="9026"/>
      </w:tabs>
      <w:spacing w:after="0"/>
      <w:ind w:left="0"/>
      <w:rPr>
        <w:color w:val="A6A6A6"/>
        <w:sz w:val="20"/>
        <w:szCs w:val="20"/>
      </w:rPr>
    </w:pPr>
    <w:r>
      <w:rPr>
        <w:color w:val="000000"/>
        <w:sz w:val="20"/>
        <w:szCs w:val="20"/>
      </w:rPr>
      <w:t>Model Version: v3.</w:t>
    </w:r>
    <w:r>
      <w:rPr>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DB90" w14:textId="77777777" w:rsidR="006374AA" w:rsidRDefault="000439C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Framework Ref: RM</w:t>
    </w:r>
    <w:r>
      <w:rPr>
        <w:color w:val="000000"/>
        <w:sz w:val="20"/>
        <w:szCs w:val="20"/>
      </w:rPr>
      <w:tab/>
      <w:t xml:space="preserve">                                           </w:t>
    </w:r>
  </w:p>
  <w:p w14:paraId="69E5DB91" w14:textId="77777777" w:rsidR="006374AA" w:rsidRDefault="000439C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Project Version: v1.0</w:t>
    </w:r>
    <w:r>
      <w:rPr>
        <w:color w:val="000000"/>
        <w:sz w:val="20"/>
        <w:szCs w:val="20"/>
      </w:rPr>
      <w:tab/>
    </w:r>
    <w:r>
      <w:rPr>
        <w:color w:val="000000"/>
        <w:sz w:val="20"/>
        <w:szCs w:val="20"/>
      </w:rPr>
      <w:tab/>
    </w:r>
    <w:r>
      <w:rPr>
        <w:color w:val="000000"/>
        <w:sz w:val="20"/>
        <w:szCs w:val="20"/>
      </w:rPr>
      <w:tab/>
      <w:t>-</w:t>
    </w:r>
    <w:r>
      <w:rPr>
        <w:color w:val="000000"/>
        <w:sz w:val="20"/>
        <w:szCs w:val="20"/>
      </w:rPr>
      <w:fldChar w:fldCharType="begin"/>
    </w:r>
    <w:r>
      <w:rPr>
        <w:color w:val="000000"/>
        <w:sz w:val="20"/>
        <w:szCs w:val="20"/>
      </w:rPr>
      <w:instrText>PAGE</w:instrText>
    </w:r>
    <w:r>
      <w:rPr>
        <w:color w:val="000000"/>
        <w:sz w:val="20"/>
        <w:szCs w:val="20"/>
      </w:rPr>
      <w:fldChar w:fldCharType="end"/>
    </w:r>
    <w:r>
      <w:rPr>
        <w:color w:val="000000"/>
        <w:sz w:val="20"/>
        <w:szCs w:val="20"/>
      </w:rPr>
      <w:t>-</w:t>
    </w:r>
  </w:p>
  <w:p w14:paraId="69E5DB92" w14:textId="77777777" w:rsidR="006374AA" w:rsidRDefault="000439C1">
    <w:pPr>
      <w:pBdr>
        <w:top w:val="nil"/>
        <w:left w:val="nil"/>
        <w:bottom w:val="nil"/>
        <w:right w:val="nil"/>
        <w:between w:val="nil"/>
      </w:pBdr>
      <w:tabs>
        <w:tab w:val="center" w:pos="4513"/>
        <w:tab w:val="right" w:pos="9026"/>
      </w:tabs>
      <w:spacing w:after="0"/>
      <w:ind w:left="0"/>
      <w:rPr>
        <w:color w:val="000000"/>
        <w:sz w:val="20"/>
        <w:szCs w:val="20"/>
      </w:rPr>
    </w:pPr>
    <w:r>
      <w:rPr>
        <w:color w:val="000000"/>
        <w:sz w:val="20"/>
        <w:szCs w:val="20"/>
      </w:rPr>
      <w:t>Model Version: v2.9</w:t>
    </w: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F9DE" w14:textId="77777777" w:rsidR="006B3613" w:rsidRDefault="006B3613">
      <w:pPr>
        <w:spacing w:after="0"/>
      </w:pPr>
      <w:r>
        <w:separator/>
      </w:r>
    </w:p>
  </w:footnote>
  <w:footnote w:type="continuationSeparator" w:id="0">
    <w:p w14:paraId="78F50070" w14:textId="77777777" w:rsidR="006B3613" w:rsidRDefault="006B361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5DB88" w14:textId="77777777" w:rsidR="006374AA" w:rsidRDefault="000439C1">
    <w:pPr>
      <w:tabs>
        <w:tab w:val="center" w:pos="4513"/>
        <w:tab w:val="right" w:pos="9026"/>
      </w:tabs>
      <w:spacing w:after="0"/>
      <w:ind w:left="0"/>
      <w:jc w:val="left"/>
      <w:rPr>
        <w:sz w:val="20"/>
        <w:szCs w:val="20"/>
      </w:rPr>
    </w:pPr>
    <w:r>
      <w:rPr>
        <w:b/>
        <w:sz w:val="20"/>
        <w:szCs w:val="20"/>
      </w:rPr>
      <w:t>Call-Off Schedule 8 (Business Continuity and Disaster Recovery)</w:t>
    </w:r>
  </w:p>
  <w:p w14:paraId="69E5DB89" w14:textId="77777777" w:rsidR="006374AA" w:rsidRDefault="000439C1">
    <w:pPr>
      <w:tabs>
        <w:tab w:val="center" w:pos="4513"/>
        <w:tab w:val="right" w:pos="9026"/>
      </w:tabs>
      <w:spacing w:after="0"/>
      <w:ind w:left="0"/>
      <w:jc w:val="left"/>
      <w:rPr>
        <w:sz w:val="20"/>
        <w:szCs w:val="20"/>
      </w:rPr>
    </w:pPr>
    <w:r>
      <w:rPr>
        <w:sz w:val="20"/>
        <w:szCs w:val="20"/>
      </w:rPr>
      <w:t>Call-Off Ref:</w:t>
    </w:r>
  </w:p>
  <w:p w14:paraId="69E5DB8A" w14:textId="77777777" w:rsidR="006374AA" w:rsidRDefault="000439C1">
    <w:pPr>
      <w:tabs>
        <w:tab w:val="center" w:pos="4513"/>
        <w:tab w:val="right" w:pos="9026"/>
      </w:tabs>
      <w:spacing w:after="0"/>
      <w:ind w:left="0"/>
      <w:jc w:val="left"/>
      <w:rPr>
        <w:sz w:val="20"/>
        <w:szCs w:val="20"/>
      </w:rPr>
    </w:pPr>
    <w:r>
      <w:rPr>
        <w:sz w:val="20"/>
        <w:szCs w:val="20"/>
      </w:rPr>
      <w:t>Crown Copyright 2022</w:t>
    </w:r>
  </w:p>
  <w:p w14:paraId="69E5DB8B" w14:textId="77777777" w:rsidR="006374AA" w:rsidRDefault="006374AA">
    <w:pPr>
      <w:tabs>
        <w:tab w:val="center" w:pos="4513"/>
        <w:tab w:val="right" w:pos="9026"/>
      </w:tabs>
      <w:spacing w:after="0"/>
      <w:ind w:left="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31A3C"/>
    <w:multiLevelType w:val="multilevel"/>
    <w:tmpl w:val="4FB682B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0E812247"/>
    <w:multiLevelType w:val="multilevel"/>
    <w:tmpl w:val="60BEBD5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14DA2265"/>
    <w:multiLevelType w:val="multilevel"/>
    <w:tmpl w:val="4CEE973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1F135AE"/>
    <w:multiLevelType w:val="multilevel"/>
    <w:tmpl w:val="2C9EF6F2"/>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34F5600C"/>
    <w:multiLevelType w:val="multilevel"/>
    <w:tmpl w:val="D0D038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ACE1E57"/>
    <w:multiLevelType w:val="multilevel"/>
    <w:tmpl w:val="3AB6CB2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0B3B0F"/>
    <w:multiLevelType w:val="multilevel"/>
    <w:tmpl w:val="B7F27654"/>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59932052"/>
    <w:multiLevelType w:val="multilevel"/>
    <w:tmpl w:val="367448D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decimal"/>
      <w:lvlText w:val=""/>
      <w:lvlJc w:val="left"/>
      <w:pPr>
        <w:ind w:left="252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8" w15:restartNumberingAfterBreak="0">
    <w:nsid w:val="6A231D61"/>
    <w:multiLevelType w:val="multilevel"/>
    <w:tmpl w:val="8D403A7C"/>
    <w:lvl w:ilvl="0">
      <w:start w:val="1"/>
      <w:numFmt w:val="decimal"/>
      <w:lvlText w:val="%1."/>
      <w:lvlJc w:val="left"/>
      <w:pPr>
        <w:ind w:left="720" w:hanging="720"/>
      </w:pPr>
      <w:rPr>
        <w:smallCaps w:val="0"/>
        <w:strike w:val="0"/>
        <w:color w:val="000000"/>
        <w:u w:val="none"/>
        <w:vertAlign w:val="baseline"/>
      </w:rPr>
    </w:lvl>
    <w:lvl w:ilvl="1">
      <w:start w:val="1"/>
      <w:numFmt w:val="decimal"/>
      <w:lvlText w:val="%1.%2"/>
      <w:lvlJc w:val="left"/>
      <w:pPr>
        <w:ind w:left="720" w:hanging="720"/>
      </w:pPr>
      <w:rPr>
        <w:rFonts w:ascii="Arial" w:eastAsia="Arial" w:hAnsi="Arial" w:cs="Arial"/>
        <w:b w:val="0"/>
        <w:i w:val="0"/>
        <w:smallCaps w:val="0"/>
        <w:strike w:val="0"/>
        <w:color w:val="000000"/>
        <w:u w:val="none"/>
        <w:vertAlign w:val="baseline"/>
      </w:rPr>
    </w:lvl>
    <w:lvl w:ilvl="2">
      <w:start w:val="1"/>
      <w:numFmt w:val="decimal"/>
      <w:lvlText w:val="%1.%2.%3"/>
      <w:lvlJc w:val="left"/>
      <w:pPr>
        <w:ind w:left="1440" w:hanging="720"/>
      </w:pPr>
      <w:rPr>
        <w:i w:val="0"/>
        <w:smallCaps w:val="0"/>
        <w:strike w:val="0"/>
        <w:color w:val="000000"/>
        <w:sz w:val="24"/>
        <w:szCs w:val="24"/>
        <w:u w:val="none"/>
        <w:vertAlign w:val="baseline"/>
      </w:rPr>
    </w:lvl>
    <w:lvl w:ilvl="3">
      <w:start w:val="1"/>
      <w:numFmt w:val="lowerLetter"/>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70B52864"/>
    <w:multiLevelType w:val="multilevel"/>
    <w:tmpl w:val="9300E420"/>
    <w:lvl w:ilvl="0">
      <w:start w:val="1"/>
      <w:numFmt w:val="decimal"/>
      <w:pStyle w:val="GPsDefinition"/>
      <w:lvlText w:val="%1."/>
      <w:lvlJc w:val="left"/>
      <w:pPr>
        <w:ind w:left="720" w:hanging="720"/>
      </w:pPr>
      <w:rPr>
        <w:smallCaps w:val="0"/>
        <w:strike w:val="0"/>
        <w:color w:val="000000"/>
        <w:u w:val="none"/>
        <w:vertAlign w:val="baseline"/>
      </w:rPr>
    </w:lvl>
    <w:lvl w:ilvl="1">
      <w:start w:val="1"/>
      <w:numFmt w:val="decimal"/>
      <w:pStyle w:val="GPSDefinitionL2"/>
      <w:lvlText w:val="%1.%2"/>
      <w:lvlJc w:val="left"/>
      <w:pPr>
        <w:ind w:left="720" w:hanging="720"/>
      </w:pPr>
      <w:rPr>
        <w:rFonts w:ascii="Arial" w:eastAsia="Arial" w:hAnsi="Arial" w:cs="Arial"/>
        <w:i w:val="0"/>
        <w:smallCaps w:val="0"/>
        <w:strike w:val="0"/>
        <w:color w:val="000000"/>
        <w:u w:val="none"/>
        <w:vertAlign w:val="baseline"/>
      </w:rPr>
    </w:lvl>
    <w:lvl w:ilvl="2">
      <w:start w:val="1"/>
      <w:numFmt w:val="decimal"/>
      <w:pStyle w:val="GPSDefinitionL3"/>
      <w:lvlText w:val="%1.%2.%3"/>
      <w:lvlJc w:val="left"/>
      <w:pPr>
        <w:ind w:left="1440" w:hanging="720"/>
      </w:pPr>
      <w:rPr>
        <w:i w:val="0"/>
        <w:smallCaps w:val="0"/>
        <w:strike w:val="0"/>
        <w:color w:val="000000"/>
        <w:u w:val="none"/>
        <w:vertAlign w:val="baseline"/>
      </w:rPr>
    </w:lvl>
    <w:lvl w:ilvl="3">
      <w:start w:val="1"/>
      <w:numFmt w:val="lowerLetter"/>
      <w:pStyle w:val="GPSDefinitionL4"/>
      <w:lvlText w:val="(%4)"/>
      <w:lvlJc w:val="left"/>
      <w:pPr>
        <w:ind w:left="1440" w:hanging="720"/>
      </w:pPr>
      <w:rPr>
        <w:rFonts w:ascii="Arial" w:eastAsia="Arial" w:hAnsi="Arial" w:cs="Arial"/>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abstractNumId w:val="3"/>
  </w:num>
  <w:num w:numId="2">
    <w:abstractNumId w:val="9"/>
  </w:num>
  <w:num w:numId="3">
    <w:abstractNumId w:val="0"/>
  </w:num>
  <w:num w:numId="4">
    <w:abstractNumId w:val="7"/>
  </w:num>
  <w:num w:numId="5">
    <w:abstractNumId w:val="4"/>
  </w:num>
  <w:num w:numId="6">
    <w:abstractNumId w:val="1"/>
  </w:num>
  <w:num w:numId="7">
    <w:abstractNumId w:val="2"/>
  </w:num>
  <w:num w:numId="8">
    <w:abstractNumId w:val="8"/>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AA"/>
    <w:rsid w:val="000439C1"/>
    <w:rsid w:val="0058598E"/>
    <w:rsid w:val="005D0B23"/>
    <w:rsid w:val="006374AA"/>
    <w:rsid w:val="006B3613"/>
    <w:rsid w:val="007A4FC8"/>
    <w:rsid w:val="00823C3B"/>
    <w:rsid w:val="008C1AF7"/>
    <w:rsid w:val="00B23551"/>
    <w:rsid w:val="00FD2C2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DA3D"/>
  <w15:docId w15:val="{FA327BE8-AC60-43F8-955C-2AF0FE8B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240"/>
        <w:ind w:left="1418"/>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C64"/>
    <w:pPr>
      <w:overflowPunct w:val="0"/>
      <w:autoSpaceDE w:val="0"/>
      <w:autoSpaceDN w:val="0"/>
      <w:adjustRightInd w:val="0"/>
      <w:textAlignment w:val="baseline"/>
    </w:pPr>
    <w:rPr>
      <w:rFonts w:eastAsia="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paragraph" w:customStyle="1" w:styleId="GPSmacrorestart">
    <w:name w:val="GPS macro restart"/>
    <w:basedOn w:val="Normal"/>
    <w:qFormat/>
    <w:pPr>
      <w:spacing w:after="0"/>
      <w:ind w:left="0"/>
    </w:pPr>
    <w:rPr>
      <w:color w:val="FFFFFF"/>
      <w:sz w:val="16"/>
      <w:szCs w:val="16"/>
    </w:rPr>
  </w:style>
  <w:style w:type="paragraph" w:customStyle="1" w:styleId="GPSL1CLAUSEHEADING">
    <w:name w:val="GPS L1 CLAUSE HEADING"/>
    <w:basedOn w:val="Normal"/>
    <w:next w:val="Normal"/>
    <w:qFormat/>
    <w:pPr>
      <w:tabs>
        <w:tab w:val="left" w:pos="0"/>
      </w:tabs>
      <w:overflowPunct/>
      <w:autoSpaceDE/>
      <w:autoSpaceDN/>
      <w:spacing w:before="240"/>
      <w:ind w:left="0"/>
      <w:textAlignment w:val="auto"/>
      <w:outlineLvl w:val="1"/>
    </w:pPr>
    <w:rPr>
      <w:rFonts w:ascii="Arial Bold" w:eastAsia="STZhongsong" w:hAnsi="Arial Bold"/>
      <w:b/>
      <w:caps/>
      <w:lang w:eastAsia="zh-CN"/>
    </w:rPr>
  </w:style>
  <w:style w:type="paragraph" w:customStyle="1" w:styleId="GPSL2numberedclause">
    <w:name w:val="GPS L2 numbered clause"/>
    <w:basedOn w:val="Normal"/>
    <w:link w:val="GPSL2numberedclauseChar1"/>
    <w:qFormat/>
    <w:pPr>
      <w:overflowPunct/>
      <w:autoSpaceDE/>
      <w:autoSpaceDN/>
      <w:spacing w:before="120" w:after="120"/>
      <w:ind w:left="0"/>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ind w:left="1656"/>
    </w:pPr>
  </w:style>
  <w:style w:type="paragraph" w:customStyle="1" w:styleId="GPSL4numberedclause">
    <w:name w:val="GPS L4 numbered clause"/>
    <w:basedOn w:val="GPSL3numberedclause"/>
    <w:link w:val="GPSL4numberedclauseChar"/>
    <w:qFormat/>
    <w:pPr>
      <w:numPr>
        <w:ilvl w:val="3"/>
      </w:numPr>
      <w:tabs>
        <w:tab w:val="clear" w:pos="1985"/>
        <w:tab w:val="clear" w:pos="2127"/>
      </w:tabs>
      <w:ind w:left="2592" w:hanging="936"/>
    </w:pPr>
    <w:rPr>
      <w:szCs w:val="20"/>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Term">
    <w:name w:val="GPS Definition Term"/>
    <w:basedOn w:val="Normal"/>
    <w:qFormat/>
    <w:pPr>
      <w:spacing w:after="120"/>
      <w:ind w:left="-108"/>
      <w:jc w:val="left"/>
    </w:pPr>
    <w:rPr>
      <w:b/>
    </w:rPr>
  </w:style>
  <w:style w:type="paragraph" w:customStyle="1" w:styleId="GPsDefinition">
    <w:name w:val="GPs Definition"/>
    <w:basedOn w:val="Normal"/>
    <w:qFormat/>
    <w:pPr>
      <w:numPr>
        <w:numId w:val="2"/>
      </w:numPr>
      <w:tabs>
        <w:tab w:val="left" w:pos="-9"/>
      </w:tabs>
      <w:spacing w:after="120"/>
    </w:p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eastAsia="Times New Roman" w:hAnsi="Arial" w:cs="Arial"/>
      <w:b/>
      <w:bCs/>
      <w:sz w:val="20"/>
      <w:szCs w:val="20"/>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Revision">
    <w:name w:val="Revision"/>
    <w:hidden/>
    <w:uiPriority w:val="99"/>
    <w:semiHidden/>
    <w:pPr>
      <w:spacing w:after="0"/>
    </w:pPr>
    <w:rPr>
      <w:rFonts w:eastAsia="Times New Roman"/>
    </w:rPr>
  </w:style>
  <w:style w:type="table" w:styleId="TableGrid">
    <w:name w:val="Table Grid"/>
    <w:basedOn w:val="TableNormal"/>
    <w:uiPriority w:val="59"/>
    <w:pPr>
      <w:spacing w:after="0"/>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653882"/>
    <w:pPr>
      <w:ind w:left="720"/>
      <w:contextualSpacing/>
    </w:pPr>
  </w:style>
  <w:style w:type="table" w:customStyle="1" w:styleId="a0">
    <w:basedOn w:val="TableNormal"/>
    <w:pPr>
      <w:spacing w:after="0"/>
    </w:pPr>
    <w:rPr>
      <w:rFonts w:ascii="Calibri" w:eastAsia="Calibri" w:hAnsi="Calibri" w:cs="Calibri"/>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mR7uPM1ZajFBY1Ys+fZEFHcqqQ==">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Donaldson,BW,Barton,CGLDE R</dc:creator>
  <cp:lastModifiedBy>Jennifer Thomas</cp:lastModifiedBy>
  <cp:revision>2</cp:revision>
  <dcterms:created xsi:type="dcterms:W3CDTF">2024-05-15T11:51:00Z</dcterms:created>
  <dcterms:modified xsi:type="dcterms:W3CDTF">2024-05-15T11:51:00Z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y fmtid="{D5CDD505-2E9C-101B-9397-08002B2CF9AE}" pid="3" name="MSIP_Label_55818d02-8d25-4bb9-b27c-e4db64670887_Enabled">
    <vt:lpwstr>true</vt:lpwstr>
  </property>
  <property fmtid="{D5CDD505-2E9C-101B-9397-08002B2CF9AE}" pid="4" name="MSIP_Label_55818d02-8d25-4bb9-b27c-e4db64670887_SetDate">
    <vt:lpwstr>2024-04-23T20:09:36Z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39fe435c-177d-492e-91fa-9ba684dc2bff</vt:lpwstr>
  </property>
  <property fmtid="{D5CDD505-2E9C-101B-9397-08002B2CF9AE}" pid="9" name="MSIP_Label_55818d02-8d25-4bb9-b27c-e4db64670887_ContentBits">
    <vt:lpwstr>0</vt:lpwstr>
  </property>
</Properties>
</file>