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27C" w:rsidRPr="00A67177" w:rsidRDefault="00A67177" w:rsidP="00A67177">
      <w:pPr>
        <w:spacing w:after="0" w:line="240" w:lineRule="auto"/>
        <w:rPr>
          <w:rFonts w:asciiTheme="minorHAnsi" w:hAnsiTheme="minorHAnsi" w:cstheme="minorHAnsi"/>
          <w:b/>
          <w:u w:val="single"/>
        </w:rPr>
      </w:pPr>
      <w:bookmarkStart w:id="0" w:name="_GoBack"/>
      <w:bookmarkEnd w:id="0"/>
      <w:r w:rsidRPr="00A67177">
        <w:rPr>
          <w:rFonts w:asciiTheme="minorHAnsi" w:hAnsiTheme="minorHAnsi" w:cstheme="minorHAnsi"/>
          <w:b/>
          <w:u w:val="single"/>
        </w:rPr>
        <w:t>Question &amp; Answer Log</w:t>
      </w:r>
    </w:p>
    <w:p w:rsidR="00A67177" w:rsidRPr="00A67177" w:rsidRDefault="00A67177" w:rsidP="00A67177">
      <w:pPr>
        <w:spacing w:after="0" w:line="240" w:lineRule="auto"/>
        <w:rPr>
          <w:rFonts w:asciiTheme="minorHAnsi" w:hAnsiTheme="minorHAnsi" w:cstheme="minorHAnsi"/>
        </w:rPr>
      </w:pPr>
    </w:p>
    <w:p w:rsidR="00A67177" w:rsidRPr="00A67177" w:rsidRDefault="00A67177" w:rsidP="00A67177">
      <w:pPr>
        <w:spacing w:after="0" w:line="240" w:lineRule="auto"/>
        <w:rPr>
          <w:rFonts w:asciiTheme="minorHAnsi" w:hAnsiTheme="minorHAnsi" w:cstheme="minorHAnsi"/>
          <w:b/>
          <w:sz w:val="22"/>
          <w:szCs w:val="22"/>
        </w:rPr>
      </w:pPr>
      <w:r w:rsidRPr="00A67177">
        <w:rPr>
          <w:rFonts w:asciiTheme="minorHAnsi" w:hAnsiTheme="minorHAnsi" w:cstheme="minorHAnsi"/>
          <w:b/>
          <w:sz w:val="22"/>
          <w:szCs w:val="22"/>
        </w:rPr>
        <w:t>Invitation to Tender for Enterprise Content Management (ECM) Requirements Articulation, Market Assessment and Early Supplier Engagement and Pre-procurement assistance.</w:t>
      </w:r>
    </w:p>
    <w:p w:rsidR="00A67177" w:rsidRPr="00A67177" w:rsidRDefault="00A67177" w:rsidP="00A67177">
      <w:pPr>
        <w:spacing w:after="0" w:line="240" w:lineRule="auto"/>
        <w:rPr>
          <w:rFonts w:asciiTheme="minorHAnsi" w:hAnsiTheme="minorHAnsi" w:cstheme="minorHAnsi"/>
          <w:b/>
          <w:sz w:val="36"/>
          <w:szCs w:val="36"/>
        </w:rPr>
      </w:pPr>
    </w:p>
    <w:p w:rsidR="00A67177" w:rsidRPr="00A67177" w:rsidRDefault="00A67177" w:rsidP="00A67177">
      <w:pPr>
        <w:spacing w:after="0" w:line="240" w:lineRule="auto"/>
        <w:rPr>
          <w:rFonts w:asciiTheme="minorHAnsi" w:hAnsiTheme="minorHAnsi" w:cstheme="minorHAnsi"/>
          <w:sz w:val="22"/>
          <w:szCs w:val="22"/>
        </w:rPr>
      </w:pPr>
      <w:r w:rsidRPr="00A67177">
        <w:rPr>
          <w:rFonts w:asciiTheme="minorHAnsi" w:hAnsiTheme="minorHAnsi" w:cstheme="minorHAnsi"/>
          <w:sz w:val="22"/>
          <w:szCs w:val="22"/>
        </w:rPr>
        <w:t xml:space="preserve">Tender Reference Number: </w:t>
      </w:r>
      <w:r w:rsidRPr="00A67177">
        <w:rPr>
          <w:rFonts w:asciiTheme="minorHAnsi" w:hAnsiTheme="minorHAnsi" w:cstheme="minorHAnsi"/>
          <w:b/>
          <w:sz w:val="22"/>
          <w:szCs w:val="22"/>
        </w:rPr>
        <w:t>TRN 059/11/2016</w:t>
      </w:r>
    </w:p>
    <w:p w:rsidR="00A67177" w:rsidRPr="00A67177" w:rsidRDefault="00A67177" w:rsidP="00A67177">
      <w:pPr>
        <w:spacing w:after="0" w:line="240" w:lineRule="auto"/>
        <w:rPr>
          <w:rFonts w:asciiTheme="minorHAnsi" w:hAnsiTheme="minorHAnsi" w:cstheme="minorHAnsi"/>
          <w:sz w:val="22"/>
          <w:szCs w:val="22"/>
        </w:rPr>
      </w:pPr>
    </w:p>
    <w:p w:rsidR="00A67177" w:rsidRPr="00A67177" w:rsidRDefault="00A67177" w:rsidP="00A67177">
      <w:pPr>
        <w:spacing w:after="0" w:line="240" w:lineRule="auto"/>
        <w:rPr>
          <w:rFonts w:asciiTheme="minorHAnsi" w:hAnsiTheme="minorHAnsi" w:cstheme="minorHAnsi"/>
          <w:sz w:val="22"/>
          <w:szCs w:val="22"/>
        </w:rPr>
      </w:pPr>
      <w:r w:rsidRPr="00A67177">
        <w:rPr>
          <w:rFonts w:asciiTheme="minorHAnsi" w:hAnsiTheme="minorHAnsi" w:cstheme="minorHAnsi"/>
          <w:sz w:val="22"/>
          <w:szCs w:val="22"/>
        </w:rPr>
        <w:t xml:space="preserve">Deadline for Tender Responses: </w:t>
      </w:r>
      <w:r w:rsidRPr="00A67177">
        <w:rPr>
          <w:rFonts w:asciiTheme="minorHAnsi" w:hAnsiTheme="minorHAnsi" w:cstheme="minorHAnsi"/>
          <w:b/>
          <w:sz w:val="22"/>
          <w:szCs w:val="22"/>
        </w:rPr>
        <w:t>14:00 GMT, 9 December 2016</w:t>
      </w:r>
    </w:p>
    <w:p w:rsidR="00161124" w:rsidRPr="00161124" w:rsidRDefault="00161124">
      <w:pPr>
        <w:rPr>
          <w:rFonts w:asciiTheme="minorHAnsi" w:hAnsiTheme="minorHAnsi" w:cstheme="minorHAnsi"/>
          <w:sz w:val="18"/>
          <w:szCs w:val="18"/>
        </w:rPr>
      </w:pPr>
    </w:p>
    <w:tbl>
      <w:tblPr>
        <w:tblStyle w:val="TableGrid"/>
        <w:tblW w:w="0" w:type="auto"/>
        <w:tblLook w:val="04A0" w:firstRow="1" w:lastRow="0" w:firstColumn="1" w:lastColumn="0" w:noHBand="0" w:noVBand="1"/>
      </w:tblPr>
      <w:tblGrid>
        <w:gridCol w:w="959"/>
        <w:gridCol w:w="4252"/>
        <w:gridCol w:w="4031"/>
      </w:tblGrid>
      <w:tr w:rsidR="00161124" w:rsidRPr="00161124" w:rsidTr="00D16324">
        <w:tc>
          <w:tcPr>
            <w:tcW w:w="959" w:type="dxa"/>
            <w:shd w:val="clear" w:color="auto" w:fill="D9D9D9" w:themeFill="background1" w:themeFillShade="D9"/>
          </w:tcPr>
          <w:p w:rsidR="00161124" w:rsidRPr="00161124" w:rsidRDefault="00161124">
            <w:pPr>
              <w:rPr>
                <w:rFonts w:asciiTheme="minorHAnsi" w:hAnsiTheme="minorHAnsi" w:cstheme="minorHAnsi"/>
                <w:sz w:val="18"/>
                <w:szCs w:val="18"/>
              </w:rPr>
            </w:pPr>
            <w:r>
              <w:rPr>
                <w:rFonts w:asciiTheme="minorHAnsi" w:hAnsiTheme="minorHAnsi" w:cstheme="minorHAnsi"/>
                <w:sz w:val="18"/>
                <w:szCs w:val="18"/>
              </w:rPr>
              <w:t>Date</w:t>
            </w:r>
          </w:p>
        </w:tc>
        <w:tc>
          <w:tcPr>
            <w:tcW w:w="4252" w:type="dxa"/>
            <w:shd w:val="clear" w:color="auto" w:fill="D9D9D9" w:themeFill="background1" w:themeFillShade="D9"/>
          </w:tcPr>
          <w:p w:rsidR="00161124" w:rsidRDefault="00161124">
            <w:pPr>
              <w:rPr>
                <w:rFonts w:asciiTheme="minorHAnsi" w:hAnsiTheme="minorHAnsi" w:cstheme="minorHAnsi"/>
                <w:sz w:val="18"/>
                <w:szCs w:val="18"/>
              </w:rPr>
            </w:pPr>
            <w:r w:rsidRPr="00161124">
              <w:rPr>
                <w:rFonts w:asciiTheme="minorHAnsi" w:hAnsiTheme="minorHAnsi" w:cstheme="minorHAnsi"/>
                <w:sz w:val="18"/>
                <w:szCs w:val="18"/>
              </w:rPr>
              <w:t>Question</w:t>
            </w:r>
          </w:p>
          <w:p w:rsidR="00161124" w:rsidRPr="00161124" w:rsidRDefault="00161124">
            <w:pPr>
              <w:rPr>
                <w:rFonts w:asciiTheme="minorHAnsi" w:hAnsiTheme="minorHAnsi" w:cstheme="minorHAnsi"/>
                <w:sz w:val="18"/>
                <w:szCs w:val="18"/>
              </w:rPr>
            </w:pPr>
          </w:p>
        </w:tc>
        <w:tc>
          <w:tcPr>
            <w:tcW w:w="4031" w:type="dxa"/>
            <w:shd w:val="clear" w:color="auto" w:fill="D9D9D9" w:themeFill="background1" w:themeFillShade="D9"/>
          </w:tcPr>
          <w:p w:rsidR="00161124" w:rsidRPr="00161124" w:rsidRDefault="00161124">
            <w:pPr>
              <w:rPr>
                <w:rFonts w:asciiTheme="minorHAnsi" w:hAnsiTheme="minorHAnsi" w:cstheme="minorHAnsi"/>
                <w:sz w:val="18"/>
                <w:szCs w:val="18"/>
              </w:rPr>
            </w:pPr>
            <w:r>
              <w:rPr>
                <w:rFonts w:asciiTheme="minorHAnsi" w:hAnsiTheme="minorHAnsi" w:cstheme="minorHAnsi"/>
                <w:sz w:val="18"/>
                <w:szCs w:val="18"/>
              </w:rPr>
              <w:t>Answer</w:t>
            </w:r>
          </w:p>
        </w:tc>
      </w:tr>
      <w:tr w:rsidR="00161124" w:rsidRPr="00161124" w:rsidTr="00D16324">
        <w:tc>
          <w:tcPr>
            <w:tcW w:w="959" w:type="dxa"/>
          </w:tcPr>
          <w:p w:rsidR="00161124" w:rsidRDefault="00161124" w:rsidP="00161124">
            <w:pPr>
              <w:rPr>
                <w:rFonts w:asciiTheme="minorHAnsi" w:hAnsiTheme="minorHAnsi" w:cstheme="minorHAnsi"/>
                <w:color w:val="1F497D"/>
                <w:sz w:val="18"/>
                <w:szCs w:val="18"/>
                <w:lang w:val="en-US"/>
              </w:rPr>
            </w:pPr>
            <w:r>
              <w:rPr>
                <w:rFonts w:asciiTheme="minorHAnsi" w:hAnsiTheme="minorHAnsi" w:cstheme="minorHAnsi"/>
                <w:color w:val="1F497D"/>
                <w:sz w:val="18"/>
                <w:szCs w:val="18"/>
                <w:lang w:val="en-US"/>
              </w:rPr>
              <w:t>25.11.16</w:t>
            </w:r>
          </w:p>
          <w:p w:rsidR="00161124" w:rsidRPr="00161124" w:rsidRDefault="00A67177" w:rsidP="00161124">
            <w:pPr>
              <w:rPr>
                <w:rFonts w:asciiTheme="minorHAnsi" w:hAnsiTheme="minorHAnsi" w:cstheme="minorHAnsi"/>
                <w:color w:val="1F497D"/>
                <w:sz w:val="18"/>
                <w:szCs w:val="18"/>
                <w:lang w:val="en-US"/>
              </w:rPr>
            </w:pPr>
            <w:r>
              <w:rPr>
                <w:rFonts w:asciiTheme="minorHAnsi" w:hAnsiTheme="minorHAnsi" w:cstheme="minorHAnsi"/>
                <w:color w:val="1F497D"/>
                <w:sz w:val="18"/>
                <w:szCs w:val="18"/>
                <w:lang w:val="en-US"/>
              </w:rPr>
              <w:t>001</w:t>
            </w:r>
          </w:p>
        </w:tc>
        <w:tc>
          <w:tcPr>
            <w:tcW w:w="4252" w:type="dxa"/>
          </w:tcPr>
          <w:p w:rsidR="00161124" w:rsidRPr="00161124" w:rsidRDefault="00161124" w:rsidP="00161124">
            <w:pPr>
              <w:rPr>
                <w:rFonts w:asciiTheme="minorHAnsi" w:hAnsiTheme="minorHAnsi" w:cstheme="minorHAnsi"/>
                <w:color w:val="1F497D"/>
                <w:sz w:val="18"/>
                <w:szCs w:val="18"/>
                <w:lang w:val="en-US"/>
              </w:rPr>
            </w:pPr>
            <w:r w:rsidRPr="00161124">
              <w:rPr>
                <w:rFonts w:asciiTheme="minorHAnsi" w:hAnsiTheme="minorHAnsi" w:cstheme="minorHAnsi"/>
                <w:color w:val="1F497D"/>
                <w:sz w:val="18"/>
                <w:szCs w:val="18"/>
                <w:lang w:val="en-US"/>
              </w:rPr>
              <w:t>As mentioned in the criteria that you have asked the references in the Oil &amp; Gas sector</w:t>
            </w:r>
          </w:p>
          <w:p w:rsidR="00161124" w:rsidRPr="00161124" w:rsidRDefault="00161124" w:rsidP="00161124">
            <w:pPr>
              <w:pStyle w:val="ListParagraph"/>
              <w:numPr>
                <w:ilvl w:val="1"/>
                <w:numId w:val="2"/>
              </w:numPr>
              <w:ind w:left="459"/>
              <w:rPr>
                <w:rFonts w:asciiTheme="minorHAnsi" w:hAnsiTheme="minorHAnsi" w:cstheme="minorHAnsi"/>
                <w:color w:val="FF0000"/>
                <w:sz w:val="18"/>
                <w:szCs w:val="18"/>
                <w:lang w:val="en-US"/>
              </w:rPr>
            </w:pPr>
            <w:r w:rsidRPr="00161124">
              <w:rPr>
                <w:rFonts w:asciiTheme="minorHAnsi" w:hAnsiTheme="minorHAnsi" w:cstheme="minorHAnsi"/>
                <w:color w:val="1F497D"/>
                <w:sz w:val="18"/>
                <w:szCs w:val="18"/>
                <w:lang w:val="en-US"/>
              </w:rPr>
              <w:t xml:space="preserve">Is it for UK/Europe only or reference/s outside UK/Europe will be fine? </w:t>
            </w:r>
          </w:p>
          <w:p w:rsidR="00161124" w:rsidRPr="00161124" w:rsidRDefault="00161124" w:rsidP="00630BCF">
            <w:pPr>
              <w:pStyle w:val="ListParagraph"/>
              <w:numPr>
                <w:ilvl w:val="1"/>
                <w:numId w:val="2"/>
              </w:numPr>
              <w:ind w:left="459"/>
              <w:rPr>
                <w:rFonts w:asciiTheme="minorHAnsi" w:hAnsiTheme="minorHAnsi" w:cstheme="minorHAnsi"/>
                <w:sz w:val="18"/>
                <w:szCs w:val="18"/>
              </w:rPr>
            </w:pPr>
            <w:r w:rsidRPr="00161124">
              <w:rPr>
                <w:rFonts w:asciiTheme="minorHAnsi" w:hAnsiTheme="minorHAnsi" w:cstheme="minorHAnsi"/>
                <w:color w:val="1F497D"/>
                <w:sz w:val="18"/>
                <w:szCs w:val="18"/>
                <w:lang w:val="en-US"/>
              </w:rPr>
              <w:t xml:space="preserve">In case, We don’t have references from the Oil &amp; Gas industry- would you be considering references from other sectors like Manufacturing, Utilities, Banks, Insurance &amp; government bodies having done the similar kind of work in large enterprise within this sector and sub sector. </w:t>
            </w:r>
          </w:p>
        </w:tc>
        <w:tc>
          <w:tcPr>
            <w:tcW w:w="4031" w:type="dxa"/>
          </w:tcPr>
          <w:p w:rsidR="00161124" w:rsidRDefault="00161124">
            <w:pPr>
              <w:rPr>
                <w:rFonts w:asciiTheme="minorHAnsi" w:hAnsiTheme="minorHAnsi" w:cstheme="minorHAnsi"/>
                <w:sz w:val="18"/>
                <w:szCs w:val="18"/>
              </w:rPr>
            </w:pPr>
          </w:p>
          <w:p w:rsidR="00161124" w:rsidRDefault="00161124" w:rsidP="00161124">
            <w:pPr>
              <w:pStyle w:val="ListParagraph"/>
              <w:numPr>
                <w:ilvl w:val="0"/>
                <w:numId w:val="3"/>
              </w:numPr>
              <w:rPr>
                <w:rFonts w:asciiTheme="minorHAnsi" w:hAnsiTheme="minorHAnsi" w:cstheme="minorHAnsi"/>
                <w:sz w:val="18"/>
                <w:szCs w:val="18"/>
              </w:rPr>
            </w:pPr>
            <w:r w:rsidRPr="00161124">
              <w:rPr>
                <w:rFonts w:asciiTheme="minorHAnsi" w:hAnsiTheme="minorHAnsi" w:cstheme="minorHAnsi"/>
                <w:sz w:val="18"/>
                <w:szCs w:val="18"/>
              </w:rPr>
              <w:t>Our preference would be for UK/European references, but Suppliers will not be disadvantaged if Oil &amp; Gas references are for other areas of the World.</w:t>
            </w:r>
          </w:p>
          <w:p w:rsidR="00161124" w:rsidRPr="00161124" w:rsidRDefault="00161124" w:rsidP="00161124">
            <w:pPr>
              <w:pStyle w:val="ListParagraph"/>
              <w:numPr>
                <w:ilvl w:val="0"/>
                <w:numId w:val="3"/>
              </w:numPr>
              <w:rPr>
                <w:rFonts w:asciiTheme="minorHAnsi" w:hAnsiTheme="minorHAnsi" w:cstheme="minorHAnsi"/>
                <w:sz w:val="18"/>
                <w:szCs w:val="18"/>
              </w:rPr>
            </w:pPr>
            <w:r>
              <w:rPr>
                <w:rFonts w:asciiTheme="minorHAnsi" w:hAnsiTheme="minorHAnsi" w:cstheme="minorHAnsi"/>
                <w:sz w:val="18"/>
                <w:szCs w:val="18"/>
              </w:rPr>
              <w:t xml:space="preserve">Should Suppliers not be able to reference projects in the Oil &amp; Gas industry they are welcome to put forward references in other sectors. However, the evaluation </w:t>
            </w:r>
            <w:r w:rsidR="00160D84">
              <w:rPr>
                <w:rFonts w:asciiTheme="minorHAnsi" w:hAnsiTheme="minorHAnsi" w:cstheme="minorHAnsi"/>
                <w:sz w:val="18"/>
                <w:szCs w:val="18"/>
              </w:rPr>
              <w:t>and marking schema will score Oil &amp; Gas references higher.</w:t>
            </w:r>
          </w:p>
        </w:tc>
      </w:tr>
      <w:tr w:rsidR="00161124" w:rsidRPr="00161124" w:rsidTr="00D16324">
        <w:tc>
          <w:tcPr>
            <w:tcW w:w="959" w:type="dxa"/>
          </w:tcPr>
          <w:p w:rsidR="00A67177" w:rsidRDefault="00A67177" w:rsidP="00A67177">
            <w:pPr>
              <w:rPr>
                <w:rFonts w:asciiTheme="minorHAnsi" w:hAnsiTheme="minorHAnsi" w:cstheme="minorHAnsi"/>
                <w:color w:val="1F497D"/>
                <w:sz w:val="18"/>
                <w:szCs w:val="18"/>
                <w:lang w:val="en-US"/>
              </w:rPr>
            </w:pPr>
            <w:r>
              <w:rPr>
                <w:rFonts w:asciiTheme="minorHAnsi" w:hAnsiTheme="minorHAnsi" w:cstheme="minorHAnsi"/>
                <w:color w:val="1F497D"/>
                <w:sz w:val="18"/>
                <w:szCs w:val="18"/>
                <w:lang w:val="en-US"/>
              </w:rPr>
              <w:t>25.11.16</w:t>
            </w:r>
          </w:p>
          <w:p w:rsidR="00161124" w:rsidRPr="00A67177" w:rsidRDefault="00A67177" w:rsidP="00A67177">
            <w:pPr>
              <w:rPr>
                <w:rFonts w:asciiTheme="minorHAnsi" w:hAnsiTheme="minorHAnsi" w:cstheme="minorHAnsi"/>
                <w:color w:val="1F497D"/>
                <w:sz w:val="18"/>
                <w:szCs w:val="18"/>
                <w:lang w:val="en-US"/>
              </w:rPr>
            </w:pPr>
            <w:r>
              <w:rPr>
                <w:rFonts w:asciiTheme="minorHAnsi" w:hAnsiTheme="minorHAnsi" w:cstheme="minorHAnsi"/>
                <w:color w:val="1F497D"/>
                <w:sz w:val="18"/>
                <w:szCs w:val="18"/>
                <w:lang w:val="en-US"/>
              </w:rPr>
              <w:t>002</w:t>
            </w:r>
          </w:p>
        </w:tc>
        <w:tc>
          <w:tcPr>
            <w:tcW w:w="4252" w:type="dxa"/>
          </w:tcPr>
          <w:p w:rsidR="00161124" w:rsidRPr="00161124" w:rsidRDefault="00161124" w:rsidP="00F50A64">
            <w:pPr>
              <w:pStyle w:val="ListParagraph"/>
              <w:numPr>
                <w:ilvl w:val="0"/>
                <w:numId w:val="2"/>
              </w:numPr>
              <w:ind w:left="459"/>
              <w:rPr>
                <w:rFonts w:asciiTheme="minorHAnsi" w:hAnsiTheme="minorHAnsi" w:cstheme="minorHAnsi"/>
                <w:color w:val="FF0000"/>
                <w:sz w:val="18"/>
                <w:szCs w:val="18"/>
                <w:lang w:val="en-US"/>
              </w:rPr>
            </w:pPr>
            <w:r w:rsidRPr="00161124">
              <w:rPr>
                <w:rFonts w:asciiTheme="minorHAnsi" w:hAnsiTheme="minorHAnsi" w:cstheme="minorHAnsi"/>
                <w:color w:val="1F497D"/>
                <w:sz w:val="18"/>
                <w:szCs w:val="18"/>
                <w:lang w:val="en-US"/>
              </w:rPr>
              <w:t>As I understand that the tender submission date is 09</w:t>
            </w:r>
            <w:r w:rsidRPr="00161124">
              <w:rPr>
                <w:rFonts w:asciiTheme="minorHAnsi" w:hAnsiTheme="minorHAnsi" w:cstheme="minorHAnsi"/>
                <w:color w:val="1F497D"/>
                <w:sz w:val="18"/>
                <w:szCs w:val="18"/>
                <w:vertAlign w:val="superscript"/>
                <w:lang w:val="en-US"/>
              </w:rPr>
              <w:t>th</w:t>
            </w:r>
            <w:r w:rsidRPr="00161124">
              <w:rPr>
                <w:rFonts w:asciiTheme="minorHAnsi" w:hAnsiTheme="minorHAnsi" w:cstheme="minorHAnsi"/>
                <w:color w:val="1F497D"/>
                <w:sz w:val="18"/>
                <w:szCs w:val="18"/>
                <w:lang w:val="en-US"/>
              </w:rPr>
              <w:t xml:space="preserve"> December, Is it possible for you to extend it for a week? </w:t>
            </w:r>
          </w:p>
          <w:p w:rsidR="00161124" w:rsidRPr="00161124" w:rsidRDefault="00161124">
            <w:pPr>
              <w:rPr>
                <w:rFonts w:asciiTheme="minorHAnsi" w:hAnsiTheme="minorHAnsi" w:cstheme="minorHAnsi"/>
                <w:sz w:val="18"/>
                <w:szCs w:val="18"/>
              </w:rPr>
            </w:pPr>
          </w:p>
        </w:tc>
        <w:tc>
          <w:tcPr>
            <w:tcW w:w="4031" w:type="dxa"/>
          </w:tcPr>
          <w:p w:rsidR="00161124" w:rsidRPr="00161124" w:rsidRDefault="00160D84" w:rsidP="00630BCF">
            <w:pPr>
              <w:rPr>
                <w:rFonts w:asciiTheme="minorHAnsi" w:hAnsiTheme="minorHAnsi" w:cstheme="minorHAnsi"/>
                <w:sz w:val="18"/>
                <w:szCs w:val="18"/>
              </w:rPr>
            </w:pPr>
            <w:r w:rsidRPr="00160D84">
              <w:rPr>
                <w:rFonts w:asciiTheme="minorHAnsi" w:hAnsiTheme="minorHAnsi" w:cstheme="minorHAnsi"/>
                <w:sz w:val="18"/>
                <w:szCs w:val="18"/>
                <w:lang w:val="en-US"/>
              </w:rPr>
              <w:t xml:space="preserve">At this stage we have no plans to allow a further </w:t>
            </w:r>
            <w:r w:rsidR="00A67177">
              <w:rPr>
                <w:rFonts w:asciiTheme="minorHAnsi" w:hAnsiTheme="minorHAnsi" w:cstheme="minorHAnsi"/>
                <w:sz w:val="18"/>
                <w:szCs w:val="18"/>
                <w:lang w:val="en-US"/>
              </w:rPr>
              <w:t xml:space="preserve">period of time for Suppliers to respond. </w:t>
            </w:r>
          </w:p>
        </w:tc>
      </w:tr>
      <w:tr w:rsidR="00161124" w:rsidRPr="00161124" w:rsidTr="00D16324">
        <w:tc>
          <w:tcPr>
            <w:tcW w:w="959" w:type="dxa"/>
          </w:tcPr>
          <w:p w:rsidR="00A67177" w:rsidRDefault="00A67177" w:rsidP="00A67177">
            <w:pPr>
              <w:rPr>
                <w:rFonts w:asciiTheme="minorHAnsi" w:hAnsiTheme="minorHAnsi" w:cstheme="minorHAnsi"/>
                <w:color w:val="1F497D"/>
                <w:sz w:val="18"/>
                <w:szCs w:val="18"/>
                <w:lang w:val="en-US"/>
              </w:rPr>
            </w:pPr>
            <w:r>
              <w:rPr>
                <w:rFonts w:asciiTheme="minorHAnsi" w:hAnsiTheme="minorHAnsi" w:cstheme="minorHAnsi"/>
                <w:color w:val="1F497D"/>
                <w:sz w:val="18"/>
                <w:szCs w:val="18"/>
                <w:lang w:val="en-US"/>
              </w:rPr>
              <w:t>25.11.16</w:t>
            </w:r>
          </w:p>
          <w:p w:rsidR="00161124" w:rsidRPr="00A67177" w:rsidRDefault="00A67177" w:rsidP="00A67177">
            <w:pPr>
              <w:rPr>
                <w:rFonts w:asciiTheme="minorHAnsi" w:hAnsiTheme="minorHAnsi" w:cstheme="minorHAnsi"/>
                <w:color w:val="1F497D"/>
                <w:sz w:val="18"/>
                <w:szCs w:val="18"/>
                <w:lang w:val="en-US"/>
              </w:rPr>
            </w:pPr>
            <w:r>
              <w:rPr>
                <w:rFonts w:asciiTheme="minorHAnsi" w:hAnsiTheme="minorHAnsi" w:cstheme="minorHAnsi"/>
                <w:color w:val="1F497D"/>
                <w:sz w:val="18"/>
                <w:szCs w:val="18"/>
                <w:lang w:val="en-US"/>
              </w:rPr>
              <w:t>003</w:t>
            </w:r>
          </w:p>
        </w:tc>
        <w:tc>
          <w:tcPr>
            <w:tcW w:w="4252" w:type="dxa"/>
          </w:tcPr>
          <w:p w:rsidR="00161124" w:rsidRPr="00161124" w:rsidRDefault="00161124" w:rsidP="00F50A64">
            <w:pPr>
              <w:pStyle w:val="ListParagraph"/>
              <w:numPr>
                <w:ilvl w:val="0"/>
                <w:numId w:val="2"/>
              </w:numPr>
              <w:ind w:left="459"/>
              <w:rPr>
                <w:rFonts w:asciiTheme="minorHAnsi" w:hAnsiTheme="minorHAnsi" w:cstheme="minorHAnsi"/>
                <w:color w:val="FF0000"/>
                <w:sz w:val="18"/>
                <w:szCs w:val="18"/>
                <w:lang w:val="en-US"/>
              </w:rPr>
            </w:pPr>
            <w:r w:rsidRPr="00161124">
              <w:rPr>
                <w:rFonts w:asciiTheme="minorHAnsi" w:hAnsiTheme="minorHAnsi" w:cstheme="minorHAnsi"/>
                <w:color w:val="1F497D"/>
                <w:sz w:val="18"/>
                <w:szCs w:val="18"/>
                <w:lang w:val="en-US"/>
              </w:rPr>
              <w:t xml:space="preserve">Is there a preference of an ECM platform? </w:t>
            </w:r>
            <w:proofErr w:type="gramStart"/>
            <w:r w:rsidRPr="00161124">
              <w:rPr>
                <w:rFonts w:asciiTheme="minorHAnsi" w:hAnsiTheme="minorHAnsi" w:cstheme="minorHAnsi"/>
                <w:color w:val="1F497D"/>
                <w:sz w:val="18"/>
                <w:szCs w:val="18"/>
                <w:lang w:val="en-US"/>
              </w:rPr>
              <w:t>if</w:t>
            </w:r>
            <w:proofErr w:type="gramEnd"/>
            <w:r w:rsidRPr="00161124">
              <w:rPr>
                <w:rFonts w:asciiTheme="minorHAnsi" w:hAnsiTheme="minorHAnsi" w:cstheme="minorHAnsi"/>
                <w:color w:val="1F497D"/>
                <w:sz w:val="18"/>
                <w:szCs w:val="18"/>
                <w:lang w:val="en-US"/>
              </w:rPr>
              <w:t xml:space="preserve"> you may have chosen or thought of migrating it to other system like Microsoft, IBM or any open source ECM like Alfresco. </w:t>
            </w:r>
          </w:p>
          <w:p w:rsidR="00161124" w:rsidRPr="00161124" w:rsidRDefault="00161124">
            <w:pPr>
              <w:rPr>
                <w:rFonts w:asciiTheme="minorHAnsi" w:hAnsiTheme="minorHAnsi" w:cstheme="minorHAnsi"/>
                <w:sz w:val="18"/>
                <w:szCs w:val="18"/>
              </w:rPr>
            </w:pPr>
          </w:p>
        </w:tc>
        <w:tc>
          <w:tcPr>
            <w:tcW w:w="4031" w:type="dxa"/>
          </w:tcPr>
          <w:p w:rsidR="00160D84" w:rsidRDefault="00161124">
            <w:pPr>
              <w:rPr>
                <w:rFonts w:asciiTheme="minorHAnsi" w:hAnsiTheme="minorHAnsi" w:cstheme="minorHAnsi"/>
                <w:sz w:val="18"/>
                <w:szCs w:val="18"/>
                <w:lang w:val="en-US"/>
              </w:rPr>
            </w:pPr>
            <w:r w:rsidRPr="00160D84">
              <w:rPr>
                <w:rFonts w:asciiTheme="minorHAnsi" w:hAnsiTheme="minorHAnsi" w:cstheme="minorHAnsi"/>
                <w:sz w:val="18"/>
                <w:szCs w:val="18"/>
                <w:lang w:val="en-US"/>
              </w:rPr>
              <w:t>T</w:t>
            </w:r>
            <w:r w:rsidR="00160D84">
              <w:rPr>
                <w:rFonts w:asciiTheme="minorHAnsi" w:hAnsiTheme="minorHAnsi" w:cstheme="minorHAnsi"/>
                <w:sz w:val="18"/>
                <w:szCs w:val="18"/>
                <w:lang w:val="en-US"/>
              </w:rPr>
              <w:t>here is no preference at this time. This Phase of the project is to establish and articulate the OGA requirements for an Enterprise Content Management service, regardless of technology.</w:t>
            </w:r>
          </w:p>
          <w:p w:rsidR="00161124" w:rsidRPr="00161124" w:rsidRDefault="00161124">
            <w:pPr>
              <w:rPr>
                <w:rFonts w:asciiTheme="minorHAnsi" w:hAnsiTheme="minorHAnsi" w:cstheme="minorHAnsi"/>
                <w:sz w:val="18"/>
                <w:szCs w:val="18"/>
              </w:rPr>
            </w:pPr>
          </w:p>
        </w:tc>
      </w:tr>
      <w:tr w:rsidR="00856569" w:rsidRPr="00C15894" w:rsidTr="00D16324">
        <w:tc>
          <w:tcPr>
            <w:tcW w:w="959" w:type="dxa"/>
          </w:tcPr>
          <w:p w:rsidR="00856569" w:rsidRDefault="00856569" w:rsidP="00856569">
            <w:pPr>
              <w:rPr>
                <w:rFonts w:asciiTheme="minorHAnsi" w:hAnsiTheme="minorHAnsi" w:cstheme="minorHAnsi"/>
                <w:color w:val="1F497D"/>
                <w:sz w:val="18"/>
                <w:szCs w:val="18"/>
                <w:lang w:val="en-US"/>
              </w:rPr>
            </w:pPr>
            <w:r>
              <w:rPr>
                <w:rFonts w:asciiTheme="minorHAnsi" w:hAnsiTheme="minorHAnsi" w:cstheme="minorHAnsi"/>
                <w:color w:val="1F497D"/>
                <w:sz w:val="18"/>
                <w:szCs w:val="18"/>
                <w:lang w:val="en-US"/>
              </w:rPr>
              <w:t>30.11.16</w:t>
            </w:r>
          </w:p>
          <w:p w:rsidR="00856569" w:rsidRPr="00C15894" w:rsidRDefault="00856569" w:rsidP="00856569">
            <w:pPr>
              <w:rPr>
                <w:rFonts w:asciiTheme="minorHAnsi" w:hAnsiTheme="minorHAnsi" w:cstheme="minorHAnsi"/>
                <w:sz w:val="18"/>
                <w:szCs w:val="18"/>
              </w:rPr>
            </w:pPr>
            <w:r>
              <w:rPr>
                <w:rFonts w:asciiTheme="minorHAnsi" w:hAnsiTheme="minorHAnsi" w:cstheme="minorHAnsi"/>
                <w:color w:val="1F497D"/>
                <w:sz w:val="18"/>
                <w:szCs w:val="18"/>
                <w:lang w:val="en-US"/>
              </w:rPr>
              <w:t>004</w:t>
            </w:r>
          </w:p>
        </w:tc>
        <w:tc>
          <w:tcPr>
            <w:tcW w:w="4252" w:type="dxa"/>
          </w:tcPr>
          <w:p w:rsidR="00856569" w:rsidRPr="00C15894" w:rsidRDefault="00856569" w:rsidP="003125C1">
            <w:pPr>
              <w:rPr>
                <w:rFonts w:asciiTheme="minorHAnsi" w:hAnsiTheme="minorHAnsi" w:cstheme="minorHAnsi"/>
                <w:sz w:val="18"/>
                <w:szCs w:val="18"/>
              </w:rPr>
            </w:pPr>
            <w:r w:rsidRPr="00C15894">
              <w:rPr>
                <w:rFonts w:asciiTheme="minorHAnsi" w:hAnsiTheme="minorHAnsi" w:cstheme="minorHAnsi"/>
                <w:sz w:val="18"/>
                <w:szCs w:val="18"/>
              </w:rPr>
              <w:t>Requirement 5 calls for live references for similar projects in the Oil and Gas Industry. Would responses be valid if this requirement were to be met in another way, for example a combination of live projects involving SharePoint / Regulators and completed projects involving the Oil and Gas Industry?</w:t>
            </w:r>
          </w:p>
        </w:tc>
        <w:tc>
          <w:tcPr>
            <w:tcW w:w="4031" w:type="dxa"/>
          </w:tcPr>
          <w:p w:rsidR="00856569" w:rsidRPr="00C15894" w:rsidRDefault="00D16324" w:rsidP="004A5613">
            <w:pPr>
              <w:rPr>
                <w:rFonts w:asciiTheme="minorHAnsi" w:hAnsiTheme="minorHAnsi" w:cstheme="minorHAnsi"/>
                <w:sz w:val="18"/>
                <w:szCs w:val="18"/>
              </w:rPr>
            </w:pPr>
            <w:r>
              <w:rPr>
                <w:rFonts w:asciiTheme="minorHAnsi" w:hAnsiTheme="minorHAnsi" w:cstheme="minorHAnsi"/>
                <w:sz w:val="18"/>
                <w:szCs w:val="18"/>
              </w:rPr>
              <w:t xml:space="preserve">[See </w:t>
            </w:r>
            <w:r w:rsidR="00EB1B92">
              <w:rPr>
                <w:rFonts w:asciiTheme="minorHAnsi" w:hAnsiTheme="minorHAnsi" w:cstheme="minorHAnsi"/>
                <w:sz w:val="18"/>
                <w:szCs w:val="18"/>
              </w:rPr>
              <w:t xml:space="preserve">Answer to </w:t>
            </w:r>
            <w:r>
              <w:rPr>
                <w:rFonts w:asciiTheme="minorHAnsi" w:hAnsiTheme="minorHAnsi" w:cstheme="minorHAnsi"/>
                <w:sz w:val="18"/>
                <w:szCs w:val="18"/>
              </w:rPr>
              <w:t>25.11.16 001]</w:t>
            </w:r>
          </w:p>
        </w:tc>
      </w:tr>
      <w:tr w:rsidR="00856569" w:rsidRPr="00C15894" w:rsidTr="00D16324">
        <w:tc>
          <w:tcPr>
            <w:tcW w:w="959" w:type="dxa"/>
          </w:tcPr>
          <w:p w:rsidR="00856569" w:rsidRDefault="00856569" w:rsidP="00856569">
            <w:pPr>
              <w:rPr>
                <w:rFonts w:asciiTheme="minorHAnsi" w:hAnsiTheme="minorHAnsi" w:cstheme="minorHAnsi"/>
                <w:color w:val="1F497D"/>
                <w:sz w:val="18"/>
                <w:szCs w:val="18"/>
                <w:lang w:val="en-US"/>
              </w:rPr>
            </w:pPr>
            <w:r>
              <w:rPr>
                <w:rFonts w:asciiTheme="minorHAnsi" w:hAnsiTheme="minorHAnsi" w:cstheme="minorHAnsi"/>
                <w:color w:val="1F497D"/>
                <w:sz w:val="18"/>
                <w:szCs w:val="18"/>
                <w:lang w:val="en-US"/>
              </w:rPr>
              <w:t>30.11.16</w:t>
            </w:r>
          </w:p>
          <w:p w:rsidR="00856569" w:rsidRPr="00C15894" w:rsidRDefault="00856569" w:rsidP="00856569">
            <w:pPr>
              <w:rPr>
                <w:rFonts w:asciiTheme="minorHAnsi" w:hAnsiTheme="minorHAnsi" w:cstheme="minorHAnsi"/>
                <w:sz w:val="18"/>
                <w:szCs w:val="18"/>
              </w:rPr>
            </w:pPr>
            <w:r>
              <w:rPr>
                <w:rFonts w:asciiTheme="minorHAnsi" w:hAnsiTheme="minorHAnsi" w:cstheme="minorHAnsi"/>
                <w:color w:val="1F497D"/>
                <w:sz w:val="18"/>
                <w:szCs w:val="18"/>
                <w:lang w:val="en-US"/>
              </w:rPr>
              <w:t>005</w:t>
            </w:r>
          </w:p>
        </w:tc>
        <w:tc>
          <w:tcPr>
            <w:tcW w:w="4252" w:type="dxa"/>
          </w:tcPr>
          <w:p w:rsidR="00856569" w:rsidRPr="00C15894" w:rsidRDefault="00856569" w:rsidP="00D16324">
            <w:pPr>
              <w:rPr>
                <w:rFonts w:asciiTheme="minorHAnsi" w:hAnsiTheme="minorHAnsi" w:cstheme="minorHAnsi"/>
                <w:sz w:val="18"/>
                <w:szCs w:val="18"/>
              </w:rPr>
            </w:pPr>
            <w:r w:rsidRPr="00C15894">
              <w:rPr>
                <w:rFonts w:asciiTheme="minorHAnsi" w:hAnsiTheme="minorHAnsi" w:cstheme="minorHAnsi"/>
                <w:sz w:val="18"/>
                <w:szCs w:val="18"/>
              </w:rPr>
              <w:t>Regarding Requirement 3.9, are you able to share the OGA expenses policy and guidelines for travel expenses?</w:t>
            </w:r>
          </w:p>
        </w:tc>
        <w:tc>
          <w:tcPr>
            <w:tcW w:w="4031" w:type="dxa"/>
          </w:tcPr>
          <w:p w:rsidR="00856569" w:rsidRDefault="00587CEE" w:rsidP="004A5613">
            <w:pPr>
              <w:rPr>
                <w:rFonts w:asciiTheme="minorHAnsi" w:hAnsiTheme="minorHAnsi" w:cstheme="minorHAnsi"/>
                <w:sz w:val="18"/>
                <w:szCs w:val="18"/>
              </w:rPr>
            </w:pPr>
            <w:r w:rsidRPr="00587CEE">
              <w:rPr>
                <w:rFonts w:asciiTheme="minorHAnsi" w:hAnsiTheme="minorHAnsi" w:cstheme="minorHAnsi"/>
                <w:sz w:val="18"/>
                <w:szCs w:val="18"/>
              </w:rPr>
              <w:t>See Appendix 1 – OGA Travel Guide</w:t>
            </w:r>
            <w:r w:rsidR="00C6415B">
              <w:rPr>
                <w:rFonts w:asciiTheme="minorHAnsi" w:hAnsiTheme="minorHAnsi" w:cstheme="minorHAnsi"/>
                <w:sz w:val="18"/>
                <w:szCs w:val="18"/>
              </w:rPr>
              <w:t>.</w:t>
            </w:r>
          </w:p>
          <w:p w:rsidR="00C6415B" w:rsidRDefault="00C6415B" w:rsidP="004A5613">
            <w:pPr>
              <w:rPr>
                <w:rFonts w:asciiTheme="minorHAnsi" w:hAnsiTheme="minorHAnsi" w:cstheme="minorHAnsi"/>
                <w:sz w:val="18"/>
                <w:szCs w:val="18"/>
              </w:rPr>
            </w:pPr>
          </w:p>
          <w:p w:rsidR="00C6415B" w:rsidRDefault="00C6415B" w:rsidP="004A5613">
            <w:pPr>
              <w:rPr>
                <w:rFonts w:asciiTheme="minorHAnsi" w:hAnsiTheme="minorHAnsi" w:cstheme="minorHAnsi"/>
                <w:sz w:val="18"/>
                <w:szCs w:val="18"/>
              </w:rPr>
            </w:pPr>
            <w:r>
              <w:rPr>
                <w:rFonts w:asciiTheme="minorHAnsi" w:hAnsiTheme="minorHAnsi" w:cstheme="minorHAnsi"/>
                <w:sz w:val="18"/>
                <w:szCs w:val="18"/>
              </w:rPr>
              <w:t xml:space="preserve">Suppliers are expected to operate under the OGA Travel and Expenses </w:t>
            </w:r>
            <w:proofErr w:type="gramStart"/>
            <w:r>
              <w:rPr>
                <w:rFonts w:asciiTheme="minorHAnsi" w:hAnsiTheme="minorHAnsi" w:cstheme="minorHAnsi"/>
                <w:sz w:val="18"/>
                <w:szCs w:val="18"/>
              </w:rPr>
              <w:t>guide,</w:t>
            </w:r>
            <w:proofErr w:type="gramEnd"/>
            <w:r>
              <w:rPr>
                <w:rFonts w:asciiTheme="minorHAnsi" w:hAnsiTheme="minorHAnsi" w:cstheme="minorHAnsi"/>
                <w:sz w:val="18"/>
                <w:szCs w:val="18"/>
              </w:rPr>
              <w:t xml:space="preserve"> and to the limits therein.</w:t>
            </w:r>
          </w:p>
          <w:p w:rsidR="00C6415B" w:rsidRPr="00C15894" w:rsidRDefault="00C6415B" w:rsidP="004A5613">
            <w:pPr>
              <w:rPr>
                <w:rFonts w:asciiTheme="minorHAnsi" w:hAnsiTheme="minorHAnsi" w:cstheme="minorHAnsi"/>
                <w:sz w:val="18"/>
                <w:szCs w:val="18"/>
              </w:rPr>
            </w:pPr>
          </w:p>
        </w:tc>
      </w:tr>
      <w:tr w:rsidR="00856569" w:rsidRPr="00C15894" w:rsidTr="00D16324">
        <w:tc>
          <w:tcPr>
            <w:tcW w:w="959" w:type="dxa"/>
          </w:tcPr>
          <w:p w:rsidR="00856569" w:rsidRDefault="00856569" w:rsidP="00856569">
            <w:pPr>
              <w:rPr>
                <w:rFonts w:asciiTheme="minorHAnsi" w:hAnsiTheme="minorHAnsi" w:cstheme="minorHAnsi"/>
                <w:color w:val="1F497D"/>
                <w:sz w:val="18"/>
                <w:szCs w:val="18"/>
                <w:lang w:val="en-US"/>
              </w:rPr>
            </w:pPr>
            <w:r>
              <w:rPr>
                <w:rFonts w:asciiTheme="minorHAnsi" w:hAnsiTheme="minorHAnsi" w:cstheme="minorHAnsi"/>
                <w:color w:val="1F497D"/>
                <w:sz w:val="18"/>
                <w:szCs w:val="18"/>
                <w:lang w:val="en-US"/>
              </w:rPr>
              <w:t>30.11.16</w:t>
            </w:r>
          </w:p>
          <w:p w:rsidR="00856569" w:rsidRDefault="00856569" w:rsidP="00856569">
            <w:pPr>
              <w:rPr>
                <w:rFonts w:asciiTheme="minorHAnsi" w:hAnsiTheme="minorHAnsi" w:cstheme="minorHAnsi"/>
                <w:color w:val="1F497D"/>
                <w:sz w:val="18"/>
                <w:szCs w:val="18"/>
                <w:lang w:val="en-US"/>
              </w:rPr>
            </w:pPr>
            <w:r>
              <w:rPr>
                <w:rFonts w:asciiTheme="minorHAnsi" w:hAnsiTheme="minorHAnsi" w:cstheme="minorHAnsi"/>
                <w:color w:val="1F497D"/>
                <w:sz w:val="18"/>
                <w:szCs w:val="18"/>
                <w:lang w:val="en-US"/>
              </w:rPr>
              <w:t>006</w:t>
            </w:r>
          </w:p>
          <w:p w:rsidR="00856569" w:rsidRPr="00C15894" w:rsidRDefault="00856569" w:rsidP="00856569">
            <w:pPr>
              <w:pStyle w:val="ListParagraph"/>
              <w:ind w:left="0" w:hanging="360"/>
              <w:rPr>
                <w:rFonts w:asciiTheme="minorHAnsi" w:hAnsiTheme="minorHAnsi" w:cstheme="minorHAnsi"/>
                <w:sz w:val="18"/>
                <w:szCs w:val="18"/>
              </w:rPr>
            </w:pPr>
            <w:r>
              <w:rPr>
                <w:rFonts w:asciiTheme="minorHAnsi" w:hAnsiTheme="minorHAnsi" w:cstheme="minorHAnsi"/>
                <w:color w:val="1F497D"/>
                <w:sz w:val="18"/>
                <w:szCs w:val="18"/>
                <w:lang w:val="en-US"/>
              </w:rPr>
              <w:t>004</w:t>
            </w:r>
          </w:p>
        </w:tc>
        <w:tc>
          <w:tcPr>
            <w:tcW w:w="4252" w:type="dxa"/>
          </w:tcPr>
          <w:p w:rsidR="00D16324" w:rsidRDefault="00856569" w:rsidP="00856569">
            <w:pPr>
              <w:rPr>
                <w:rFonts w:asciiTheme="minorHAnsi" w:hAnsiTheme="minorHAnsi" w:cstheme="minorHAnsi"/>
                <w:sz w:val="18"/>
                <w:szCs w:val="18"/>
              </w:rPr>
            </w:pPr>
            <w:r w:rsidRPr="00C15894">
              <w:rPr>
                <w:rFonts w:asciiTheme="minorHAnsi" w:hAnsiTheme="minorHAnsi" w:cstheme="minorHAnsi"/>
                <w:sz w:val="18"/>
                <w:szCs w:val="18"/>
              </w:rPr>
              <w:t>In your ITT document (PF9) you advise</w:t>
            </w:r>
          </w:p>
          <w:p w:rsidR="00D16324" w:rsidRDefault="00D16324" w:rsidP="00856569">
            <w:pPr>
              <w:rPr>
                <w:rFonts w:asciiTheme="minorHAnsi" w:hAnsiTheme="minorHAnsi" w:cstheme="minorHAnsi"/>
                <w:sz w:val="18"/>
                <w:szCs w:val="18"/>
              </w:rPr>
            </w:pPr>
          </w:p>
          <w:p w:rsidR="00856569" w:rsidRDefault="00856569" w:rsidP="00856569">
            <w:pPr>
              <w:rPr>
                <w:rFonts w:asciiTheme="minorHAnsi" w:hAnsiTheme="minorHAnsi" w:cstheme="minorHAnsi"/>
                <w:sz w:val="18"/>
                <w:szCs w:val="18"/>
              </w:rPr>
            </w:pPr>
            <w:r w:rsidRPr="00D16324">
              <w:rPr>
                <w:rFonts w:asciiTheme="minorHAnsi" w:hAnsiTheme="minorHAnsi" w:cstheme="minorHAnsi"/>
                <w:i/>
                <w:sz w:val="18"/>
                <w:szCs w:val="18"/>
              </w:rPr>
              <w:t>“Requirement 3.4: Supplier must also submit project costs as a distinct Microsoft Excel Spreadsheet.”</w:t>
            </w:r>
            <w:r w:rsidRPr="00C15894">
              <w:rPr>
                <w:rFonts w:asciiTheme="minorHAnsi" w:hAnsiTheme="minorHAnsi" w:cstheme="minorHAnsi"/>
                <w:sz w:val="18"/>
                <w:szCs w:val="18"/>
              </w:rPr>
              <w:t xml:space="preserve"> </w:t>
            </w:r>
          </w:p>
          <w:p w:rsidR="00D16324" w:rsidRPr="00C15894" w:rsidRDefault="00D16324" w:rsidP="00856569">
            <w:pPr>
              <w:rPr>
                <w:rFonts w:asciiTheme="minorHAnsi" w:hAnsiTheme="minorHAnsi" w:cstheme="minorHAnsi"/>
                <w:sz w:val="18"/>
                <w:szCs w:val="18"/>
              </w:rPr>
            </w:pPr>
          </w:p>
          <w:p w:rsidR="00856569" w:rsidRDefault="00856569" w:rsidP="00856569">
            <w:pPr>
              <w:rPr>
                <w:rFonts w:asciiTheme="minorHAnsi" w:hAnsiTheme="minorHAnsi" w:cstheme="minorHAnsi"/>
                <w:sz w:val="18"/>
                <w:szCs w:val="18"/>
              </w:rPr>
            </w:pPr>
            <w:r w:rsidRPr="00C15894">
              <w:rPr>
                <w:rFonts w:asciiTheme="minorHAnsi" w:hAnsiTheme="minorHAnsi" w:cstheme="minorHAnsi"/>
                <w:sz w:val="18"/>
                <w:szCs w:val="18"/>
              </w:rPr>
              <w:t xml:space="preserve">However, it also instructs </w:t>
            </w:r>
            <w:r w:rsidRPr="00D16324">
              <w:rPr>
                <w:rFonts w:asciiTheme="minorHAnsi" w:hAnsiTheme="minorHAnsi" w:cstheme="minorHAnsi"/>
                <w:i/>
                <w:sz w:val="18"/>
                <w:szCs w:val="18"/>
              </w:rPr>
              <w:t>“Complete the price schedule attached at Annex A.”</w:t>
            </w:r>
          </w:p>
          <w:p w:rsidR="00D16324" w:rsidRPr="00C15894" w:rsidRDefault="00D16324" w:rsidP="00856569">
            <w:pPr>
              <w:rPr>
                <w:rFonts w:asciiTheme="minorHAnsi" w:hAnsiTheme="minorHAnsi" w:cstheme="minorHAnsi"/>
                <w:sz w:val="18"/>
                <w:szCs w:val="18"/>
              </w:rPr>
            </w:pPr>
          </w:p>
          <w:p w:rsidR="00856569" w:rsidRPr="00C15894" w:rsidRDefault="00856569" w:rsidP="00856569">
            <w:pPr>
              <w:rPr>
                <w:rFonts w:asciiTheme="minorHAnsi" w:hAnsiTheme="minorHAnsi" w:cstheme="minorHAnsi"/>
                <w:sz w:val="18"/>
                <w:szCs w:val="18"/>
              </w:rPr>
            </w:pPr>
            <w:r w:rsidRPr="00C15894">
              <w:rPr>
                <w:rFonts w:asciiTheme="minorHAnsi" w:hAnsiTheme="minorHAnsi" w:cstheme="minorHAnsi"/>
                <w:sz w:val="18"/>
                <w:szCs w:val="18"/>
              </w:rPr>
              <w:t>Can you please confirm,</w:t>
            </w:r>
          </w:p>
          <w:p w:rsidR="00856569" w:rsidRPr="00C15894" w:rsidRDefault="00856569" w:rsidP="00856569">
            <w:pPr>
              <w:pStyle w:val="ListParagraph"/>
              <w:ind w:left="0" w:hanging="360"/>
              <w:rPr>
                <w:rFonts w:asciiTheme="minorHAnsi" w:hAnsiTheme="minorHAnsi" w:cstheme="minorHAnsi"/>
                <w:sz w:val="18"/>
                <w:szCs w:val="18"/>
              </w:rPr>
            </w:pPr>
            <w:r w:rsidRPr="00C15894">
              <w:rPr>
                <w:rFonts w:asciiTheme="minorHAnsi" w:hAnsiTheme="minorHAnsi" w:cstheme="minorHAnsi"/>
                <w:sz w:val="18"/>
                <w:szCs w:val="18"/>
              </w:rPr>
              <w:t>·         If the costs referred to are the same consideration?</w:t>
            </w:r>
          </w:p>
          <w:p w:rsidR="00856569" w:rsidRPr="00C15894" w:rsidRDefault="00856569" w:rsidP="00856569">
            <w:pPr>
              <w:pStyle w:val="ListParagraph"/>
              <w:ind w:left="0" w:hanging="360"/>
              <w:rPr>
                <w:rFonts w:asciiTheme="minorHAnsi" w:hAnsiTheme="minorHAnsi" w:cstheme="minorHAnsi"/>
                <w:sz w:val="18"/>
                <w:szCs w:val="18"/>
              </w:rPr>
            </w:pPr>
            <w:r w:rsidRPr="00C15894">
              <w:rPr>
                <w:rFonts w:asciiTheme="minorHAnsi" w:hAnsiTheme="minorHAnsi" w:cstheme="minorHAnsi"/>
                <w:sz w:val="18"/>
                <w:szCs w:val="18"/>
              </w:rPr>
              <w:t>·         If there are 2 separate costs to provide, please can you detail further what is included in each?</w:t>
            </w:r>
          </w:p>
          <w:p w:rsidR="00856569" w:rsidRPr="00C15894" w:rsidRDefault="00856569" w:rsidP="00856569">
            <w:pPr>
              <w:pStyle w:val="ListParagraph"/>
              <w:ind w:left="0" w:hanging="360"/>
              <w:rPr>
                <w:rFonts w:asciiTheme="minorHAnsi" w:hAnsiTheme="minorHAnsi" w:cstheme="minorHAnsi"/>
                <w:sz w:val="18"/>
                <w:szCs w:val="18"/>
              </w:rPr>
            </w:pPr>
            <w:r w:rsidRPr="00C15894">
              <w:rPr>
                <w:rFonts w:asciiTheme="minorHAnsi" w:hAnsiTheme="minorHAnsi" w:cstheme="minorHAnsi"/>
                <w:sz w:val="18"/>
                <w:szCs w:val="18"/>
              </w:rPr>
              <w:t>·         If this does not refer to separate costs, do you want the same costs presented both in a Spreadsheet and within Annex A?</w:t>
            </w:r>
          </w:p>
          <w:p w:rsidR="00856569" w:rsidRPr="00C15894" w:rsidRDefault="00856569" w:rsidP="00856569">
            <w:pPr>
              <w:pStyle w:val="ListParagraph"/>
              <w:ind w:left="0" w:hanging="360"/>
              <w:rPr>
                <w:rFonts w:asciiTheme="minorHAnsi" w:hAnsiTheme="minorHAnsi" w:cstheme="minorHAnsi"/>
                <w:sz w:val="18"/>
                <w:szCs w:val="18"/>
              </w:rPr>
            </w:pPr>
            <w:r w:rsidRPr="00C15894">
              <w:rPr>
                <w:rFonts w:asciiTheme="minorHAnsi" w:hAnsiTheme="minorHAnsi" w:cstheme="minorHAnsi"/>
                <w:sz w:val="18"/>
                <w:szCs w:val="18"/>
              </w:rPr>
              <w:lastRenderedPageBreak/>
              <w:t>·         If not, which would you prefer; spreadsheet or Annex A?</w:t>
            </w:r>
          </w:p>
          <w:p w:rsidR="00856569" w:rsidRPr="00C15894" w:rsidRDefault="00856569" w:rsidP="004A5613">
            <w:pPr>
              <w:rPr>
                <w:rFonts w:asciiTheme="minorHAnsi" w:hAnsiTheme="minorHAnsi" w:cstheme="minorHAnsi"/>
                <w:sz w:val="18"/>
                <w:szCs w:val="18"/>
              </w:rPr>
            </w:pPr>
          </w:p>
        </w:tc>
        <w:tc>
          <w:tcPr>
            <w:tcW w:w="4031" w:type="dxa"/>
          </w:tcPr>
          <w:p w:rsidR="00D16324" w:rsidRDefault="00D16324" w:rsidP="004A5613">
            <w:pPr>
              <w:rPr>
                <w:rFonts w:asciiTheme="minorHAnsi" w:hAnsiTheme="minorHAnsi" w:cstheme="minorHAnsi"/>
                <w:sz w:val="18"/>
                <w:szCs w:val="18"/>
              </w:rPr>
            </w:pPr>
            <w:r>
              <w:rPr>
                <w:rFonts w:asciiTheme="minorHAnsi" w:hAnsiTheme="minorHAnsi" w:cstheme="minorHAnsi"/>
                <w:sz w:val="18"/>
                <w:szCs w:val="18"/>
              </w:rPr>
              <w:lastRenderedPageBreak/>
              <w:t>Project Costs should be submitted;</w:t>
            </w:r>
          </w:p>
          <w:p w:rsidR="00D16324" w:rsidRDefault="00D16324" w:rsidP="004A5613">
            <w:pPr>
              <w:rPr>
                <w:rFonts w:asciiTheme="minorHAnsi" w:hAnsiTheme="minorHAnsi" w:cstheme="minorHAnsi"/>
                <w:sz w:val="18"/>
                <w:szCs w:val="18"/>
              </w:rPr>
            </w:pPr>
          </w:p>
          <w:p w:rsidR="00D16324" w:rsidRDefault="00D16324" w:rsidP="00D16324">
            <w:pPr>
              <w:pStyle w:val="ListParagraph"/>
              <w:numPr>
                <w:ilvl w:val="0"/>
                <w:numId w:val="4"/>
              </w:numPr>
              <w:rPr>
                <w:rFonts w:asciiTheme="minorHAnsi" w:hAnsiTheme="minorHAnsi" w:cstheme="minorHAnsi"/>
                <w:sz w:val="18"/>
                <w:szCs w:val="18"/>
              </w:rPr>
            </w:pPr>
            <w:r w:rsidRPr="00D16324">
              <w:rPr>
                <w:rFonts w:asciiTheme="minorHAnsi" w:hAnsiTheme="minorHAnsi" w:cstheme="minorHAnsi"/>
                <w:sz w:val="18"/>
                <w:szCs w:val="18"/>
              </w:rPr>
              <w:t xml:space="preserve">in paper form as per Annex A and </w:t>
            </w:r>
          </w:p>
          <w:p w:rsidR="00D16324" w:rsidRPr="00D16324" w:rsidRDefault="00D16324" w:rsidP="00D16324">
            <w:pPr>
              <w:pStyle w:val="ListParagraph"/>
              <w:ind w:left="1128"/>
              <w:rPr>
                <w:rFonts w:asciiTheme="minorHAnsi" w:hAnsiTheme="minorHAnsi" w:cstheme="minorHAnsi"/>
                <w:sz w:val="18"/>
                <w:szCs w:val="18"/>
              </w:rPr>
            </w:pPr>
          </w:p>
          <w:p w:rsidR="00D16324" w:rsidRPr="00C15894" w:rsidRDefault="00D16324" w:rsidP="00587CEE">
            <w:pPr>
              <w:pStyle w:val="ListParagraph"/>
              <w:numPr>
                <w:ilvl w:val="0"/>
                <w:numId w:val="4"/>
              </w:numPr>
              <w:rPr>
                <w:rFonts w:asciiTheme="minorHAnsi" w:hAnsiTheme="minorHAnsi" w:cstheme="minorHAnsi"/>
                <w:sz w:val="18"/>
                <w:szCs w:val="18"/>
              </w:rPr>
            </w:pPr>
            <w:proofErr w:type="gramStart"/>
            <w:r w:rsidRPr="00587CEE">
              <w:rPr>
                <w:rFonts w:asciiTheme="minorHAnsi" w:hAnsiTheme="minorHAnsi" w:cstheme="minorHAnsi"/>
                <w:sz w:val="18"/>
                <w:szCs w:val="18"/>
              </w:rPr>
              <w:t>in</w:t>
            </w:r>
            <w:proofErr w:type="gramEnd"/>
            <w:r w:rsidRPr="00587CEE">
              <w:rPr>
                <w:rFonts w:asciiTheme="minorHAnsi" w:hAnsiTheme="minorHAnsi" w:cstheme="minorHAnsi"/>
                <w:sz w:val="18"/>
                <w:szCs w:val="18"/>
              </w:rPr>
              <w:t xml:space="preserve"> spreadsheet form - the spreadsheet referenced must have the equivalent table </w:t>
            </w:r>
            <w:r w:rsidR="00587CEE" w:rsidRPr="00587CEE">
              <w:rPr>
                <w:rFonts w:asciiTheme="minorHAnsi" w:hAnsiTheme="minorHAnsi" w:cstheme="minorHAnsi"/>
                <w:sz w:val="18"/>
                <w:szCs w:val="18"/>
              </w:rPr>
              <w:t xml:space="preserve">to Annex A </w:t>
            </w:r>
            <w:r w:rsidRPr="00587CEE">
              <w:rPr>
                <w:rFonts w:asciiTheme="minorHAnsi" w:hAnsiTheme="minorHAnsi" w:cstheme="minorHAnsi"/>
                <w:sz w:val="18"/>
                <w:szCs w:val="18"/>
              </w:rPr>
              <w:t>within it.</w:t>
            </w:r>
            <w:r w:rsidR="00587CEE" w:rsidRPr="00587CEE">
              <w:rPr>
                <w:rFonts w:asciiTheme="minorHAnsi" w:hAnsiTheme="minorHAnsi" w:cstheme="minorHAnsi"/>
                <w:sz w:val="18"/>
                <w:szCs w:val="18"/>
              </w:rPr>
              <w:t xml:space="preserve"> </w:t>
            </w:r>
            <w:r>
              <w:rPr>
                <w:rFonts w:asciiTheme="minorHAnsi" w:hAnsiTheme="minorHAnsi" w:cstheme="minorHAnsi"/>
                <w:sz w:val="18"/>
                <w:szCs w:val="18"/>
              </w:rPr>
              <w:t>The spreadsheet format gives suppliers the opportunity to include more detail if they feel it appropriate.</w:t>
            </w:r>
          </w:p>
        </w:tc>
      </w:tr>
      <w:tr w:rsidR="00856569" w:rsidRPr="00C15894" w:rsidTr="00D16324">
        <w:tc>
          <w:tcPr>
            <w:tcW w:w="959" w:type="dxa"/>
          </w:tcPr>
          <w:p w:rsidR="00856569" w:rsidRDefault="00856569" w:rsidP="00856569">
            <w:pPr>
              <w:rPr>
                <w:rFonts w:asciiTheme="minorHAnsi" w:hAnsiTheme="minorHAnsi" w:cstheme="minorHAnsi"/>
                <w:color w:val="1F497D"/>
                <w:sz w:val="18"/>
                <w:szCs w:val="18"/>
                <w:lang w:val="en-US"/>
              </w:rPr>
            </w:pPr>
            <w:r>
              <w:rPr>
                <w:rFonts w:asciiTheme="minorHAnsi" w:hAnsiTheme="minorHAnsi" w:cstheme="minorHAnsi"/>
                <w:color w:val="1F497D"/>
                <w:sz w:val="18"/>
                <w:szCs w:val="18"/>
                <w:lang w:val="en-US"/>
              </w:rPr>
              <w:lastRenderedPageBreak/>
              <w:t>30.11.16</w:t>
            </w:r>
          </w:p>
          <w:p w:rsidR="00856569" w:rsidRDefault="00856569" w:rsidP="00856569">
            <w:pPr>
              <w:rPr>
                <w:rFonts w:asciiTheme="minorHAnsi" w:hAnsiTheme="minorHAnsi" w:cstheme="minorHAnsi"/>
                <w:color w:val="1F497D"/>
                <w:sz w:val="18"/>
                <w:szCs w:val="18"/>
                <w:lang w:val="en-US"/>
              </w:rPr>
            </w:pPr>
            <w:r>
              <w:rPr>
                <w:rFonts w:asciiTheme="minorHAnsi" w:hAnsiTheme="minorHAnsi" w:cstheme="minorHAnsi"/>
                <w:color w:val="1F497D"/>
                <w:sz w:val="18"/>
                <w:szCs w:val="18"/>
                <w:lang w:val="en-US"/>
              </w:rPr>
              <w:t>007</w:t>
            </w:r>
          </w:p>
          <w:p w:rsidR="00856569" w:rsidRPr="00C15894" w:rsidRDefault="00856569" w:rsidP="00856569">
            <w:pPr>
              <w:ind w:left="720"/>
              <w:rPr>
                <w:rFonts w:asciiTheme="minorHAnsi" w:hAnsiTheme="minorHAnsi" w:cstheme="minorHAnsi"/>
                <w:sz w:val="18"/>
                <w:szCs w:val="18"/>
              </w:rPr>
            </w:pPr>
          </w:p>
          <w:p w:rsidR="00856569" w:rsidRPr="00C15894" w:rsidRDefault="00856569" w:rsidP="00856569">
            <w:pPr>
              <w:rPr>
                <w:rFonts w:asciiTheme="minorHAnsi" w:hAnsiTheme="minorHAnsi" w:cstheme="minorHAnsi"/>
                <w:sz w:val="18"/>
                <w:szCs w:val="18"/>
              </w:rPr>
            </w:pPr>
          </w:p>
        </w:tc>
        <w:tc>
          <w:tcPr>
            <w:tcW w:w="4252" w:type="dxa"/>
          </w:tcPr>
          <w:p w:rsidR="00856569" w:rsidRPr="00C15894" w:rsidRDefault="00343A28" w:rsidP="00343A28">
            <w:pPr>
              <w:rPr>
                <w:rFonts w:asciiTheme="minorHAnsi" w:hAnsiTheme="minorHAnsi" w:cstheme="minorHAnsi"/>
                <w:sz w:val="18"/>
                <w:szCs w:val="18"/>
              </w:rPr>
            </w:pPr>
            <w:r>
              <w:rPr>
                <w:rFonts w:asciiTheme="minorHAnsi" w:hAnsiTheme="minorHAnsi" w:cstheme="minorHAnsi"/>
                <w:sz w:val="18"/>
                <w:szCs w:val="18"/>
              </w:rPr>
              <w:t>Withdrawn</w:t>
            </w:r>
          </w:p>
        </w:tc>
        <w:tc>
          <w:tcPr>
            <w:tcW w:w="4031" w:type="dxa"/>
          </w:tcPr>
          <w:p w:rsidR="00856569" w:rsidRPr="00C15894" w:rsidRDefault="00856569" w:rsidP="004A5613">
            <w:pPr>
              <w:rPr>
                <w:rFonts w:asciiTheme="minorHAnsi" w:hAnsiTheme="minorHAnsi" w:cstheme="minorHAnsi"/>
                <w:sz w:val="18"/>
                <w:szCs w:val="18"/>
              </w:rPr>
            </w:pPr>
          </w:p>
        </w:tc>
      </w:tr>
      <w:tr w:rsidR="00856569" w:rsidRPr="00C15894" w:rsidTr="00D16324">
        <w:tc>
          <w:tcPr>
            <w:tcW w:w="959" w:type="dxa"/>
          </w:tcPr>
          <w:p w:rsidR="00856569" w:rsidRDefault="00856569" w:rsidP="00856569">
            <w:pPr>
              <w:rPr>
                <w:rFonts w:asciiTheme="minorHAnsi" w:hAnsiTheme="minorHAnsi" w:cstheme="minorHAnsi"/>
                <w:color w:val="1F497D"/>
                <w:sz w:val="18"/>
                <w:szCs w:val="18"/>
                <w:lang w:val="en-US"/>
              </w:rPr>
            </w:pPr>
            <w:r>
              <w:rPr>
                <w:rFonts w:asciiTheme="minorHAnsi" w:hAnsiTheme="minorHAnsi" w:cstheme="minorHAnsi"/>
                <w:color w:val="1F497D"/>
                <w:sz w:val="18"/>
                <w:szCs w:val="18"/>
                <w:lang w:val="en-US"/>
              </w:rPr>
              <w:t>30.11.16</w:t>
            </w:r>
          </w:p>
          <w:p w:rsidR="00856569" w:rsidRDefault="00856569" w:rsidP="00856569">
            <w:pPr>
              <w:rPr>
                <w:rFonts w:asciiTheme="minorHAnsi" w:hAnsiTheme="minorHAnsi" w:cstheme="minorHAnsi"/>
                <w:color w:val="1F497D"/>
                <w:sz w:val="18"/>
                <w:szCs w:val="18"/>
                <w:lang w:val="en-US"/>
              </w:rPr>
            </w:pPr>
            <w:r>
              <w:rPr>
                <w:rFonts w:asciiTheme="minorHAnsi" w:hAnsiTheme="minorHAnsi" w:cstheme="minorHAnsi"/>
                <w:color w:val="1F497D"/>
                <w:sz w:val="18"/>
                <w:szCs w:val="18"/>
                <w:lang w:val="en-US"/>
              </w:rPr>
              <w:t>008</w:t>
            </w:r>
          </w:p>
          <w:p w:rsidR="00856569" w:rsidRPr="00C15894" w:rsidRDefault="00856569" w:rsidP="00856569">
            <w:pPr>
              <w:pStyle w:val="ListParagraph"/>
              <w:rPr>
                <w:rFonts w:asciiTheme="minorHAnsi" w:hAnsiTheme="minorHAnsi" w:cstheme="minorHAnsi"/>
                <w:sz w:val="18"/>
                <w:szCs w:val="18"/>
              </w:rPr>
            </w:pPr>
          </w:p>
        </w:tc>
        <w:tc>
          <w:tcPr>
            <w:tcW w:w="4252" w:type="dxa"/>
          </w:tcPr>
          <w:p w:rsidR="00856569" w:rsidRPr="00C15894" w:rsidRDefault="00856569" w:rsidP="00856569">
            <w:pPr>
              <w:pStyle w:val="ListParagraph"/>
              <w:ind w:left="175" w:hanging="76"/>
              <w:rPr>
                <w:rFonts w:asciiTheme="minorHAnsi" w:hAnsiTheme="minorHAnsi" w:cstheme="minorHAnsi"/>
                <w:color w:val="1F497D"/>
                <w:sz w:val="18"/>
                <w:szCs w:val="18"/>
                <w:lang w:val="en-IN" w:eastAsia="en-US"/>
              </w:rPr>
            </w:pPr>
            <w:r w:rsidRPr="00C15894">
              <w:rPr>
                <w:rFonts w:asciiTheme="minorHAnsi" w:hAnsiTheme="minorHAnsi" w:cstheme="minorHAnsi"/>
                <w:color w:val="1F497D"/>
                <w:sz w:val="18"/>
                <w:szCs w:val="18"/>
                <w:lang w:val="en-IN" w:eastAsia="en-US"/>
              </w:rPr>
              <w:t>Requirement 3.1 states that “</w:t>
            </w:r>
            <w:r w:rsidRPr="00C15894">
              <w:rPr>
                <w:rFonts w:asciiTheme="minorHAnsi" w:hAnsiTheme="minorHAnsi" w:cstheme="minorHAnsi"/>
                <w:i/>
                <w:iCs/>
                <w:color w:val="1F497D"/>
                <w:sz w:val="18"/>
                <w:szCs w:val="18"/>
                <w:lang w:val="en-IN" w:eastAsia="en-US"/>
              </w:rPr>
              <w:t>Supplier must confirm that they understand that bidding for this phase of a bigger project may exclude them from bidding for follow-on phases, including the operational provision of an ECM service.</w:t>
            </w:r>
            <w:r w:rsidRPr="00C15894">
              <w:rPr>
                <w:rFonts w:asciiTheme="minorHAnsi" w:hAnsiTheme="minorHAnsi" w:cstheme="minorHAnsi"/>
                <w:color w:val="1F497D"/>
                <w:sz w:val="18"/>
                <w:szCs w:val="18"/>
                <w:lang w:val="en-IN" w:eastAsia="en-US"/>
              </w:rPr>
              <w:t xml:space="preserve">” </w:t>
            </w:r>
          </w:p>
          <w:p w:rsidR="00856569" w:rsidRPr="00C15894" w:rsidRDefault="00856569" w:rsidP="00856569">
            <w:pPr>
              <w:pStyle w:val="ListParagraph"/>
              <w:ind w:left="175" w:hanging="76"/>
              <w:rPr>
                <w:rFonts w:asciiTheme="minorHAnsi" w:hAnsiTheme="minorHAnsi" w:cstheme="minorHAnsi"/>
                <w:color w:val="1F497D"/>
                <w:sz w:val="18"/>
                <w:szCs w:val="18"/>
                <w:lang w:val="en-IN" w:eastAsia="en-US"/>
              </w:rPr>
            </w:pPr>
            <w:r w:rsidRPr="00C15894">
              <w:rPr>
                <w:rFonts w:asciiTheme="minorHAnsi" w:hAnsiTheme="minorHAnsi" w:cstheme="minorHAnsi"/>
                <w:color w:val="1F497D"/>
                <w:sz w:val="18"/>
                <w:szCs w:val="18"/>
                <w:lang w:val="en-IN" w:eastAsia="en-US"/>
              </w:rPr>
              <w:t>Please clarify?</w:t>
            </w:r>
          </w:p>
          <w:p w:rsidR="00856569" w:rsidRPr="00C15894" w:rsidRDefault="00856569" w:rsidP="004A5613">
            <w:pPr>
              <w:rPr>
                <w:rFonts w:asciiTheme="minorHAnsi" w:hAnsiTheme="minorHAnsi" w:cstheme="minorHAnsi"/>
                <w:sz w:val="18"/>
                <w:szCs w:val="18"/>
              </w:rPr>
            </w:pPr>
          </w:p>
        </w:tc>
        <w:tc>
          <w:tcPr>
            <w:tcW w:w="4031" w:type="dxa"/>
          </w:tcPr>
          <w:p w:rsidR="00856569" w:rsidRDefault="003351F6" w:rsidP="004A5613">
            <w:pPr>
              <w:rPr>
                <w:rFonts w:asciiTheme="minorHAnsi" w:hAnsiTheme="minorHAnsi" w:cstheme="minorHAnsi"/>
                <w:sz w:val="18"/>
                <w:szCs w:val="18"/>
              </w:rPr>
            </w:pPr>
            <w:r>
              <w:rPr>
                <w:rFonts w:asciiTheme="minorHAnsi" w:hAnsiTheme="minorHAnsi" w:cstheme="minorHAnsi"/>
                <w:sz w:val="18"/>
                <w:szCs w:val="18"/>
              </w:rPr>
              <w:t>OGA reserve the right to exclude a Supplier where it feels it has carried forward an unfair advantage into later stages of this project, specifically around the provision of the operational Enterprise Content Management Service.</w:t>
            </w:r>
          </w:p>
          <w:p w:rsidR="003351F6" w:rsidRDefault="003351F6" w:rsidP="004A5613">
            <w:pPr>
              <w:rPr>
                <w:rFonts w:asciiTheme="minorHAnsi" w:hAnsiTheme="minorHAnsi" w:cstheme="minorHAnsi"/>
                <w:sz w:val="18"/>
                <w:szCs w:val="18"/>
              </w:rPr>
            </w:pPr>
          </w:p>
          <w:p w:rsidR="003351F6" w:rsidRDefault="003351F6" w:rsidP="004A5613">
            <w:pPr>
              <w:rPr>
                <w:rFonts w:asciiTheme="minorHAnsi" w:hAnsiTheme="minorHAnsi" w:cstheme="minorHAnsi"/>
                <w:sz w:val="18"/>
                <w:szCs w:val="18"/>
              </w:rPr>
            </w:pPr>
            <w:r>
              <w:rPr>
                <w:rFonts w:asciiTheme="minorHAnsi" w:hAnsiTheme="minorHAnsi" w:cstheme="minorHAnsi"/>
                <w:sz w:val="18"/>
                <w:szCs w:val="18"/>
              </w:rPr>
              <w:t>However, provided the Supplier can satisfy OGA at this stage that it can avoid that compromised situation, OGA will not exclude the Supplier from further phases of this project.</w:t>
            </w:r>
          </w:p>
          <w:p w:rsidR="00EB1B92" w:rsidRDefault="00EB1B92" w:rsidP="004A5613">
            <w:pPr>
              <w:rPr>
                <w:rFonts w:asciiTheme="minorHAnsi" w:hAnsiTheme="minorHAnsi" w:cstheme="minorHAnsi"/>
                <w:sz w:val="18"/>
                <w:szCs w:val="18"/>
              </w:rPr>
            </w:pPr>
          </w:p>
          <w:p w:rsidR="00EB1B92" w:rsidRDefault="00EB1B92" w:rsidP="004A5613">
            <w:pPr>
              <w:rPr>
                <w:rFonts w:asciiTheme="minorHAnsi" w:hAnsiTheme="minorHAnsi" w:cstheme="minorHAnsi"/>
                <w:sz w:val="18"/>
                <w:szCs w:val="18"/>
              </w:rPr>
            </w:pPr>
            <w:r>
              <w:rPr>
                <w:rFonts w:asciiTheme="minorHAnsi" w:hAnsiTheme="minorHAnsi" w:cstheme="minorHAnsi"/>
                <w:sz w:val="18"/>
                <w:szCs w:val="18"/>
              </w:rPr>
              <w:t>Where appropriate, OGA will ask for assurances from impacted Suppliers after the bidding phase.</w:t>
            </w:r>
          </w:p>
          <w:p w:rsidR="00EB1B92" w:rsidRDefault="00EB1B92" w:rsidP="004A5613">
            <w:pPr>
              <w:rPr>
                <w:rFonts w:asciiTheme="minorHAnsi" w:hAnsiTheme="minorHAnsi" w:cstheme="minorHAnsi"/>
                <w:sz w:val="18"/>
                <w:szCs w:val="18"/>
              </w:rPr>
            </w:pPr>
          </w:p>
          <w:p w:rsidR="00EB1B92" w:rsidRDefault="00EB1B92" w:rsidP="004A5613">
            <w:pPr>
              <w:rPr>
                <w:rFonts w:asciiTheme="minorHAnsi" w:hAnsiTheme="minorHAnsi" w:cstheme="minorHAnsi"/>
                <w:sz w:val="18"/>
                <w:szCs w:val="18"/>
              </w:rPr>
            </w:pPr>
            <w:r>
              <w:rPr>
                <w:rFonts w:asciiTheme="minorHAnsi" w:hAnsiTheme="minorHAnsi" w:cstheme="minorHAnsi"/>
                <w:sz w:val="18"/>
                <w:szCs w:val="18"/>
              </w:rPr>
              <w:t xml:space="preserve">By design, the deliverables from this Phase must be solution-independent and not influence solution selection in the procurement phase. This will help avoid any compromise where a Supplier constructing requirements </w:t>
            </w:r>
            <w:r w:rsidR="0059044B">
              <w:rPr>
                <w:rFonts w:asciiTheme="minorHAnsi" w:hAnsiTheme="minorHAnsi" w:cstheme="minorHAnsi"/>
                <w:sz w:val="18"/>
                <w:szCs w:val="18"/>
              </w:rPr>
              <w:t>includes elements that would direct a follow-on procurement to their own solution</w:t>
            </w:r>
            <w:r>
              <w:rPr>
                <w:rFonts w:asciiTheme="minorHAnsi" w:hAnsiTheme="minorHAnsi" w:cstheme="minorHAnsi"/>
                <w:sz w:val="18"/>
                <w:szCs w:val="18"/>
              </w:rPr>
              <w:t>.</w:t>
            </w:r>
          </w:p>
          <w:p w:rsidR="0059044B" w:rsidRPr="00C15894" w:rsidRDefault="0059044B" w:rsidP="004A5613">
            <w:pPr>
              <w:rPr>
                <w:rFonts w:asciiTheme="minorHAnsi" w:hAnsiTheme="minorHAnsi" w:cstheme="minorHAnsi"/>
                <w:sz w:val="18"/>
                <w:szCs w:val="18"/>
              </w:rPr>
            </w:pPr>
          </w:p>
        </w:tc>
      </w:tr>
      <w:tr w:rsidR="00856569" w:rsidRPr="00C15894" w:rsidTr="00D16324">
        <w:tc>
          <w:tcPr>
            <w:tcW w:w="959" w:type="dxa"/>
          </w:tcPr>
          <w:p w:rsidR="00856569" w:rsidRDefault="00856569" w:rsidP="00856569">
            <w:pPr>
              <w:rPr>
                <w:rFonts w:asciiTheme="minorHAnsi" w:hAnsiTheme="minorHAnsi" w:cstheme="minorHAnsi"/>
                <w:color w:val="1F497D"/>
                <w:sz w:val="18"/>
                <w:szCs w:val="18"/>
                <w:lang w:val="en-US"/>
              </w:rPr>
            </w:pPr>
            <w:r>
              <w:rPr>
                <w:rFonts w:asciiTheme="minorHAnsi" w:hAnsiTheme="minorHAnsi" w:cstheme="minorHAnsi"/>
                <w:color w:val="1F497D"/>
                <w:sz w:val="18"/>
                <w:szCs w:val="18"/>
                <w:lang w:val="en-US"/>
              </w:rPr>
              <w:t>30.11.16</w:t>
            </w:r>
          </w:p>
          <w:p w:rsidR="00856569" w:rsidRDefault="00856569" w:rsidP="00856569">
            <w:pPr>
              <w:rPr>
                <w:rFonts w:asciiTheme="minorHAnsi" w:hAnsiTheme="minorHAnsi" w:cstheme="minorHAnsi"/>
                <w:color w:val="1F497D"/>
                <w:sz w:val="18"/>
                <w:szCs w:val="18"/>
                <w:lang w:val="en-US"/>
              </w:rPr>
            </w:pPr>
            <w:r>
              <w:rPr>
                <w:rFonts w:asciiTheme="minorHAnsi" w:hAnsiTheme="minorHAnsi" w:cstheme="minorHAnsi"/>
                <w:color w:val="1F497D"/>
                <w:sz w:val="18"/>
                <w:szCs w:val="18"/>
                <w:lang w:val="en-US"/>
              </w:rPr>
              <w:t>009</w:t>
            </w:r>
          </w:p>
          <w:p w:rsidR="00856569" w:rsidRPr="00C15894" w:rsidRDefault="00856569" w:rsidP="004A5613">
            <w:pPr>
              <w:rPr>
                <w:rFonts w:asciiTheme="minorHAnsi" w:hAnsiTheme="minorHAnsi" w:cstheme="minorHAnsi"/>
                <w:sz w:val="18"/>
                <w:szCs w:val="18"/>
              </w:rPr>
            </w:pPr>
          </w:p>
        </w:tc>
        <w:tc>
          <w:tcPr>
            <w:tcW w:w="4252" w:type="dxa"/>
          </w:tcPr>
          <w:p w:rsidR="00856569" w:rsidRPr="00C15894" w:rsidRDefault="00856569" w:rsidP="004A5613">
            <w:pPr>
              <w:rPr>
                <w:rFonts w:asciiTheme="minorHAnsi" w:hAnsiTheme="minorHAnsi" w:cstheme="minorHAnsi"/>
                <w:sz w:val="18"/>
                <w:szCs w:val="18"/>
              </w:rPr>
            </w:pPr>
            <w:r w:rsidRPr="00C15894">
              <w:rPr>
                <w:rFonts w:asciiTheme="minorHAnsi" w:hAnsiTheme="minorHAnsi" w:cstheme="minorHAnsi"/>
                <w:color w:val="1F497D"/>
                <w:sz w:val="18"/>
                <w:szCs w:val="18"/>
                <w:lang w:val="en-IN"/>
              </w:rPr>
              <w:t xml:space="preserve">In a reply to our query on references in Oil &amp; Gas industry, the client has mentioned that </w:t>
            </w:r>
            <w:r w:rsidRPr="00C15894">
              <w:rPr>
                <w:rFonts w:asciiTheme="minorHAnsi" w:hAnsiTheme="minorHAnsi" w:cstheme="minorHAnsi"/>
                <w:i/>
                <w:iCs/>
                <w:color w:val="1F497D"/>
                <w:sz w:val="18"/>
                <w:szCs w:val="18"/>
                <w:lang w:val="en-IN"/>
              </w:rPr>
              <w:t>the evaluation and marking schema will score Oil &amp; Gas references higher</w:t>
            </w:r>
            <w:r w:rsidRPr="00C15894">
              <w:rPr>
                <w:rFonts w:asciiTheme="minorHAnsi" w:hAnsiTheme="minorHAnsi" w:cstheme="minorHAnsi"/>
                <w:color w:val="1F497D"/>
                <w:sz w:val="18"/>
                <w:szCs w:val="18"/>
                <w:lang w:val="en-IN"/>
              </w:rPr>
              <w:t>. It would be beneficial if we get clarity on how much more weightage will they give for the experience in Oil &amp; Gas industry.</w:t>
            </w:r>
          </w:p>
        </w:tc>
        <w:tc>
          <w:tcPr>
            <w:tcW w:w="4031" w:type="dxa"/>
          </w:tcPr>
          <w:p w:rsidR="003351F6" w:rsidRDefault="003351F6" w:rsidP="003351F6">
            <w:pPr>
              <w:rPr>
                <w:rFonts w:asciiTheme="minorHAnsi" w:hAnsiTheme="minorHAnsi" w:cstheme="minorHAnsi"/>
                <w:sz w:val="18"/>
                <w:szCs w:val="18"/>
              </w:rPr>
            </w:pPr>
            <w:r>
              <w:rPr>
                <w:rFonts w:asciiTheme="minorHAnsi" w:hAnsiTheme="minorHAnsi" w:cstheme="minorHAnsi"/>
                <w:sz w:val="18"/>
                <w:szCs w:val="18"/>
              </w:rPr>
              <w:t xml:space="preserve">A Supplier scoring 5/5 against this requirement will score 3.5% more than a Supplier scoring 0/5 overall. </w:t>
            </w:r>
          </w:p>
          <w:p w:rsidR="003351F6" w:rsidRDefault="003351F6" w:rsidP="003351F6">
            <w:pPr>
              <w:rPr>
                <w:rFonts w:asciiTheme="minorHAnsi" w:hAnsiTheme="minorHAnsi" w:cstheme="minorHAnsi"/>
                <w:sz w:val="18"/>
                <w:szCs w:val="18"/>
              </w:rPr>
            </w:pPr>
          </w:p>
          <w:p w:rsidR="00856569" w:rsidRPr="00C15894" w:rsidRDefault="003351F6" w:rsidP="0059044B">
            <w:pPr>
              <w:rPr>
                <w:rFonts w:asciiTheme="minorHAnsi" w:hAnsiTheme="minorHAnsi" w:cstheme="minorHAnsi"/>
                <w:sz w:val="18"/>
                <w:szCs w:val="18"/>
              </w:rPr>
            </w:pPr>
            <w:r>
              <w:rPr>
                <w:rFonts w:asciiTheme="minorHAnsi" w:hAnsiTheme="minorHAnsi" w:cstheme="minorHAnsi"/>
                <w:sz w:val="18"/>
                <w:szCs w:val="18"/>
              </w:rPr>
              <w:t xml:space="preserve">In our judgement this equates to </w:t>
            </w:r>
            <w:r w:rsidR="0059044B">
              <w:rPr>
                <w:rFonts w:asciiTheme="minorHAnsi" w:hAnsiTheme="minorHAnsi" w:cstheme="minorHAnsi"/>
                <w:sz w:val="18"/>
                <w:szCs w:val="18"/>
              </w:rPr>
              <w:t xml:space="preserve">an appropriate </w:t>
            </w:r>
            <w:r>
              <w:rPr>
                <w:rFonts w:asciiTheme="minorHAnsi" w:hAnsiTheme="minorHAnsi" w:cstheme="minorHAnsi"/>
                <w:sz w:val="18"/>
                <w:szCs w:val="18"/>
              </w:rPr>
              <w:t xml:space="preserve">value of a Supplier having valid experience in the unique challenges of the Oil &amp; Gas Sector. </w:t>
            </w:r>
          </w:p>
        </w:tc>
      </w:tr>
      <w:tr w:rsidR="00856569" w:rsidRPr="00C15894" w:rsidTr="00D16324">
        <w:tc>
          <w:tcPr>
            <w:tcW w:w="959" w:type="dxa"/>
          </w:tcPr>
          <w:p w:rsidR="00856569" w:rsidRDefault="00856569" w:rsidP="00856569">
            <w:pPr>
              <w:rPr>
                <w:rFonts w:asciiTheme="minorHAnsi" w:hAnsiTheme="minorHAnsi" w:cstheme="minorHAnsi"/>
                <w:color w:val="1F497D"/>
                <w:sz w:val="18"/>
                <w:szCs w:val="18"/>
                <w:lang w:val="en-US"/>
              </w:rPr>
            </w:pPr>
            <w:r>
              <w:rPr>
                <w:rFonts w:asciiTheme="minorHAnsi" w:hAnsiTheme="minorHAnsi" w:cstheme="minorHAnsi"/>
                <w:color w:val="1F497D"/>
                <w:sz w:val="18"/>
                <w:szCs w:val="18"/>
                <w:lang w:val="en-US"/>
              </w:rPr>
              <w:t>30.11.16</w:t>
            </w:r>
          </w:p>
          <w:p w:rsidR="00856569" w:rsidRDefault="00856569" w:rsidP="00856569">
            <w:pPr>
              <w:rPr>
                <w:rFonts w:asciiTheme="minorHAnsi" w:hAnsiTheme="minorHAnsi" w:cstheme="minorHAnsi"/>
                <w:color w:val="1F497D"/>
                <w:sz w:val="18"/>
                <w:szCs w:val="18"/>
                <w:lang w:val="en-US"/>
              </w:rPr>
            </w:pPr>
            <w:r>
              <w:rPr>
                <w:rFonts w:asciiTheme="minorHAnsi" w:hAnsiTheme="minorHAnsi" w:cstheme="minorHAnsi"/>
                <w:color w:val="1F497D"/>
                <w:sz w:val="18"/>
                <w:szCs w:val="18"/>
                <w:lang w:val="en-US"/>
              </w:rPr>
              <w:t>010</w:t>
            </w:r>
          </w:p>
          <w:p w:rsidR="00856569" w:rsidRPr="00C15894" w:rsidRDefault="00856569" w:rsidP="00856569">
            <w:pPr>
              <w:pStyle w:val="ListParagraph"/>
              <w:ind w:left="0"/>
              <w:rPr>
                <w:rFonts w:asciiTheme="minorHAnsi" w:hAnsiTheme="minorHAnsi" w:cstheme="minorHAnsi"/>
                <w:sz w:val="18"/>
                <w:szCs w:val="18"/>
              </w:rPr>
            </w:pPr>
          </w:p>
        </w:tc>
        <w:tc>
          <w:tcPr>
            <w:tcW w:w="4252" w:type="dxa"/>
          </w:tcPr>
          <w:p w:rsidR="00856569" w:rsidRPr="00C15894" w:rsidRDefault="00856569" w:rsidP="00856569">
            <w:pPr>
              <w:pStyle w:val="ListParagraph"/>
              <w:ind w:left="0"/>
              <w:rPr>
                <w:rFonts w:asciiTheme="minorHAnsi" w:hAnsiTheme="minorHAnsi" w:cstheme="minorHAnsi"/>
                <w:color w:val="1F497D"/>
                <w:sz w:val="18"/>
                <w:szCs w:val="18"/>
                <w:lang w:val="en-IN" w:eastAsia="en-US"/>
              </w:rPr>
            </w:pPr>
            <w:r w:rsidRPr="00C15894">
              <w:rPr>
                <w:rFonts w:asciiTheme="minorHAnsi" w:hAnsiTheme="minorHAnsi" w:cstheme="minorHAnsi"/>
                <w:color w:val="1F497D"/>
                <w:sz w:val="18"/>
                <w:szCs w:val="18"/>
                <w:lang w:val="en-IN" w:eastAsia="en-US"/>
              </w:rPr>
              <w:t>The scoring of the tenders is totally subjective with 60% of the weightage. There are 14 sub-requirements in Capability and 13 sub-requirements in Project area. It would be beneficial if we get sub-weightages for each of these sub-categories or a confirmation from them that each sub-category carries same weight.</w:t>
            </w:r>
          </w:p>
          <w:p w:rsidR="00856569" w:rsidRPr="00C15894" w:rsidRDefault="00856569" w:rsidP="00856569">
            <w:pPr>
              <w:pStyle w:val="ListParagraph"/>
              <w:ind w:left="0"/>
              <w:rPr>
                <w:rFonts w:asciiTheme="minorHAnsi" w:hAnsiTheme="minorHAnsi" w:cstheme="minorHAnsi"/>
                <w:color w:val="1F497D"/>
                <w:sz w:val="18"/>
                <w:szCs w:val="18"/>
                <w:lang w:val="en-IN" w:eastAsia="en-US"/>
              </w:rPr>
            </w:pPr>
          </w:p>
          <w:p w:rsidR="00856569" w:rsidRPr="00C15894" w:rsidRDefault="00856569" w:rsidP="00856569">
            <w:pPr>
              <w:pStyle w:val="ListParagraph"/>
              <w:ind w:left="0"/>
              <w:rPr>
                <w:rFonts w:asciiTheme="minorHAnsi" w:hAnsiTheme="minorHAnsi" w:cstheme="minorHAnsi"/>
                <w:color w:val="1F497D"/>
                <w:sz w:val="18"/>
                <w:szCs w:val="18"/>
                <w:lang w:val="en-IN" w:eastAsia="en-US"/>
              </w:rPr>
            </w:pPr>
            <w:r w:rsidRPr="00C15894">
              <w:rPr>
                <w:rFonts w:asciiTheme="minorHAnsi" w:hAnsiTheme="minorHAnsi" w:cstheme="minorHAnsi"/>
                <w:color w:val="1F497D"/>
                <w:sz w:val="18"/>
                <w:szCs w:val="18"/>
                <w:lang w:val="en-IN" w:eastAsia="en-US"/>
              </w:rPr>
              <w:t>Further, the score is also grade-based (Not satisfactory to Excellent) and not percentage based. With such subjective scoring criteria, we may not be able to judge as why we got a certain grade after technical evaluation.</w:t>
            </w:r>
          </w:p>
          <w:p w:rsidR="00856569" w:rsidRPr="00C15894" w:rsidRDefault="00856569" w:rsidP="004A5613">
            <w:pPr>
              <w:rPr>
                <w:rFonts w:asciiTheme="minorHAnsi" w:hAnsiTheme="minorHAnsi" w:cstheme="minorHAnsi"/>
                <w:sz w:val="18"/>
                <w:szCs w:val="18"/>
              </w:rPr>
            </w:pPr>
          </w:p>
        </w:tc>
        <w:tc>
          <w:tcPr>
            <w:tcW w:w="4031" w:type="dxa"/>
          </w:tcPr>
          <w:p w:rsidR="00856569" w:rsidRDefault="00856569" w:rsidP="00856569">
            <w:pPr>
              <w:rPr>
                <w:rFonts w:asciiTheme="minorHAnsi" w:hAnsiTheme="minorHAnsi" w:cstheme="minorHAnsi"/>
                <w:sz w:val="18"/>
                <w:szCs w:val="18"/>
              </w:rPr>
            </w:pPr>
            <w:r>
              <w:rPr>
                <w:rFonts w:asciiTheme="minorHAnsi" w:hAnsiTheme="minorHAnsi" w:cstheme="minorHAnsi"/>
                <w:sz w:val="18"/>
                <w:szCs w:val="18"/>
              </w:rPr>
              <w:t>We have no plans to share the weighting of individual requirements with Suppliers. They are not weighted equally</w:t>
            </w:r>
          </w:p>
          <w:p w:rsidR="00856569" w:rsidRDefault="00856569" w:rsidP="00856569">
            <w:pPr>
              <w:rPr>
                <w:rFonts w:asciiTheme="minorHAnsi" w:hAnsiTheme="minorHAnsi" w:cstheme="minorHAnsi"/>
                <w:sz w:val="18"/>
                <w:szCs w:val="18"/>
              </w:rPr>
            </w:pPr>
          </w:p>
          <w:p w:rsidR="00856569" w:rsidRDefault="00856569" w:rsidP="00856569">
            <w:pPr>
              <w:rPr>
                <w:rFonts w:asciiTheme="minorHAnsi" w:hAnsiTheme="minorHAnsi" w:cstheme="minorHAnsi"/>
                <w:sz w:val="18"/>
                <w:szCs w:val="18"/>
              </w:rPr>
            </w:pPr>
            <w:r>
              <w:rPr>
                <w:rFonts w:asciiTheme="minorHAnsi" w:hAnsiTheme="minorHAnsi" w:cstheme="minorHAnsi"/>
                <w:sz w:val="18"/>
                <w:szCs w:val="18"/>
              </w:rPr>
              <w:t>We will provide feedback to all unsuccessful Suppliers that request it, and will provide indicators of where Supplier tenders were weak and strong.</w:t>
            </w:r>
          </w:p>
        </w:tc>
      </w:tr>
      <w:tr w:rsidR="00856569" w:rsidRPr="00C15894" w:rsidTr="00D16324">
        <w:tc>
          <w:tcPr>
            <w:tcW w:w="959" w:type="dxa"/>
          </w:tcPr>
          <w:p w:rsidR="00856569" w:rsidRDefault="00856569" w:rsidP="00856569">
            <w:pPr>
              <w:rPr>
                <w:rFonts w:asciiTheme="minorHAnsi" w:hAnsiTheme="minorHAnsi" w:cstheme="minorHAnsi"/>
                <w:color w:val="1F497D"/>
                <w:sz w:val="18"/>
                <w:szCs w:val="18"/>
                <w:lang w:val="en-US"/>
              </w:rPr>
            </w:pPr>
            <w:r>
              <w:rPr>
                <w:rFonts w:asciiTheme="minorHAnsi" w:hAnsiTheme="minorHAnsi" w:cstheme="minorHAnsi"/>
                <w:color w:val="1F497D"/>
                <w:sz w:val="18"/>
                <w:szCs w:val="18"/>
                <w:lang w:val="en-US"/>
              </w:rPr>
              <w:t>30.11.16</w:t>
            </w:r>
          </w:p>
          <w:p w:rsidR="00856569" w:rsidRDefault="00856569" w:rsidP="00856569">
            <w:pPr>
              <w:rPr>
                <w:rFonts w:asciiTheme="minorHAnsi" w:hAnsiTheme="minorHAnsi" w:cstheme="minorHAnsi"/>
                <w:color w:val="1F497D"/>
                <w:sz w:val="18"/>
                <w:szCs w:val="18"/>
                <w:lang w:val="en-US"/>
              </w:rPr>
            </w:pPr>
            <w:r>
              <w:rPr>
                <w:rFonts w:asciiTheme="minorHAnsi" w:hAnsiTheme="minorHAnsi" w:cstheme="minorHAnsi"/>
                <w:color w:val="1F497D"/>
                <w:sz w:val="18"/>
                <w:szCs w:val="18"/>
                <w:lang w:val="en-US"/>
              </w:rPr>
              <w:t>011</w:t>
            </w:r>
          </w:p>
          <w:p w:rsidR="00856569" w:rsidRPr="00C15894" w:rsidRDefault="00856569" w:rsidP="004A5613">
            <w:pPr>
              <w:rPr>
                <w:rFonts w:asciiTheme="minorHAnsi" w:hAnsiTheme="minorHAnsi" w:cstheme="minorHAnsi"/>
                <w:sz w:val="18"/>
                <w:szCs w:val="18"/>
              </w:rPr>
            </w:pPr>
          </w:p>
        </w:tc>
        <w:tc>
          <w:tcPr>
            <w:tcW w:w="4252" w:type="dxa"/>
          </w:tcPr>
          <w:p w:rsidR="00856569" w:rsidRPr="00C15894" w:rsidRDefault="00856569" w:rsidP="004A5613">
            <w:pPr>
              <w:rPr>
                <w:rFonts w:asciiTheme="minorHAnsi" w:hAnsiTheme="minorHAnsi" w:cstheme="minorHAnsi"/>
                <w:sz w:val="18"/>
                <w:szCs w:val="18"/>
              </w:rPr>
            </w:pPr>
            <w:r w:rsidRPr="00C15894">
              <w:rPr>
                <w:rFonts w:asciiTheme="minorHAnsi" w:hAnsiTheme="minorHAnsi" w:cstheme="minorHAnsi"/>
                <w:color w:val="1F497D"/>
                <w:sz w:val="18"/>
                <w:szCs w:val="18"/>
                <w:lang w:val="en-IN"/>
              </w:rPr>
              <w:t>What items do the client envisages for Non-staff / project team charges? Are these the travel / stay charges? In the RFP it is mentioned that travel expenses are over and above the bid price. Kindly confirm the same.</w:t>
            </w:r>
          </w:p>
        </w:tc>
        <w:tc>
          <w:tcPr>
            <w:tcW w:w="4031" w:type="dxa"/>
          </w:tcPr>
          <w:p w:rsidR="00856569" w:rsidRPr="00C15894" w:rsidRDefault="00856569" w:rsidP="004A5613">
            <w:pPr>
              <w:rPr>
                <w:rFonts w:asciiTheme="minorHAnsi" w:hAnsiTheme="minorHAnsi" w:cstheme="minorHAnsi"/>
                <w:sz w:val="18"/>
                <w:szCs w:val="18"/>
              </w:rPr>
            </w:pPr>
          </w:p>
        </w:tc>
      </w:tr>
    </w:tbl>
    <w:p w:rsidR="00856569" w:rsidRDefault="00856569" w:rsidP="00856569"/>
    <w:p w:rsidR="00587CEE" w:rsidRDefault="00587CEE">
      <w:pPr>
        <w:rPr>
          <w:rFonts w:asciiTheme="minorHAnsi" w:hAnsiTheme="minorHAnsi" w:cstheme="minorHAnsi"/>
          <w:sz w:val="18"/>
          <w:szCs w:val="18"/>
        </w:rPr>
      </w:pPr>
      <w:r>
        <w:rPr>
          <w:rFonts w:asciiTheme="minorHAnsi" w:hAnsiTheme="minorHAnsi" w:cstheme="minorHAnsi"/>
          <w:sz w:val="18"/>
          <w:szCs w:val="18"/>
        </w:rPr>
        <w:br w:type="page"/>
      </w:r>
    </w:p>
    <w:p w:rsidR="00856569" w:rsidRPr="00587CEE" w:rsidRDefault="00587CEE">
      <w:pPr>
        <w:rPr>
          <w:rFonts w:asciiTheme="minorHAnsi" w:hAnsiTheme="minorHAnsi" w:cstheme="minorHAnsi"/>
          <w:b/>
          <w:sz w:val="18"/>
          <w:szCs w:val="18"/>
        </w:rPr>
      </w:pPr>
      <w:r w:rsidRPr="00587CEE">
        <w:rPr>
          <w:rFonts w:asciiTheme="minorHAnsi" w:hAnsiTheme="minorHAnsi" w:cstheme="minorHAnsi"/>
          <w:b/>
          <w:sz w:val="18"/>
          <w:szCs w:val="18"/>
        </w:rPr>
        <w:lastRenderedPageBreak/>
        <w:t>Appendix 1 – OGA Travel &amp; Expenses Guide</w:t>
      </w:r>
    </w:p>
    <w:p w:rsidR="00994A85" w:rsidRPr="00994A85" w:rsidRDefault="00994A85" w:rsidP="00587CEE">
      <w:pPr>
        <w:spacing w:before="240" w:after="240" w:line="240" w:lineRule="auto"/>
        <w:outlineLvl w:val="2"/>
        <w:rPr>
          <w:rFonts w:asciiTheme="minorHAnsi" w:eastAsia="Times New Roman" w:hAnsiTheme="minorHAnsi" w:cstheme="minorHAnsi"/>
          <w:bCs/>
          <w:color w:val="616265"/>
          <w:sz w:val="18"/>
          <w:szCs w:val="18"/>
          <w:lang w:eastAsia="en-GB"/>
        </w:rPr>
      </w:pPr>
      <w:r w:rsidRPr="00994A85">
        <w:rPr>
          <w:rFonts w:asciiTheme="minorHAnsi" w:eastAsia="Times New Roman" w:hAnsiTheme="minorHAnsi" w:cstheme="minorHAnsi"/>
          <w:bCs/>
          <w:color w:val="616265"/>
          <w:sz w:val="18"/>
          <w:szCs w:val="18"/>
          <w:lang w:eastAsia="en-GB"/>
        </w:rPr>
        <w:t xml:space="preserve">Within the M25, </w:t>
      </w:r>
      <w:r>
        <w:rPr>
          <w:rFonts w:asciiTheme="minorHAnsi" w:eastAsia="Times New Roman" w:hAnsiTheme="minorHAnsi" w:cstheme="minorHAnsi"/>
          <w:bCs/>
          <w:color w:val="616265"/>
          <w:sz w:val="18"/>
          <w:szCs w:val="18"/>
          <w:lang w:eastAsia="en-GB"/>
        </w:rPr>
        <w:t xml:space="preserve">for Suppliers, </w:t>
      </w:r>
      <w:r w:rsidRPr="00994A85">
        <w:rPr>
          <w:rFonts w:asciiTheme="minorHAnsi" w:eastAsia="Times New Roman" w:hAnsiTheme="minorHAnsi" w:cstheme="minorHAnsi"/>
          <w:bCs/>
          <w:color w:val="616265"/>
          <w:sz w:val="18"/>
          <w:szCs w:val="18"/>
          <w:lang w:eastAsia="en-GB"/>
        </w:rPr>
        <w:t>no expenses are payable unless authorised by OGA.</w:t>
      </w:r>
    </w:p>
    <w:p w:rsidR="00587CEE" w:rsidRPr="00587CEE" w:rsidRDefault="00587CEE" w:rsidP="00587CEE">
      <w:pPr>
        <w:spacing w:before="240" w:after="240" w:line="240" w:lineRule="auto"/>
        <w:outlineLvl w:val="2"/>
        <w:rPr>
          <w:rFonts w:asciiTheme="minorHAnsi" w:eastAsia="Times New Roman" w:hAnsiTheme="minorHAnsi" w:cstheme="minorHAnsi"/>
          <w:b/>
          <w:bCs/>
          <w:color w:val="616265"/>
          <w:sz w:val="18"/>
          <w:szCs w:val="18"/>
          <w:lang w:eastAsia="en-GB"/>
        </w:rPr>
      </w:pPr>
      <w:r w:rsidRPr="00587CEE">
        <w:rPr>
          <w:rFonts w:asciiTheme="minorHAnsi" w:eastAsia="Times New Roman" w:hAnsiTheme="minorHAnsi" w:cstheme="minorHAnsi"/>
          <w:b/>
          <w:bCs/>
          <w:color w:val="616265"/>
          <w:sz w:val="18"/>
          <w:szCs w:val="18"/>
          <w:lang w:eastAsia="en-GB"/>
        </w:rPr>
        <w:t>Value for money</w:t>
      </w:r>
    </w:p>
    <w:p w:rsidR="00587CEE" w:rsidRPr="00587CEE" w:rsidRDefault="00587CEE" w:rsidP="00587CEE">
      <w:pPr>
        <w:spacing w:before="240" w:after="240" w:line="240" w:lineRule="auto"/>
        <w:rPr>
          <w:rFonts w:asciiTheme="minorHAnsi" w:eastAsia="Times New Roman" w:hAnsiTheme="minorHAnsi" w:cstheme="minorHAnsi"/>
          <w:color w:val="616265"/>
          <w:sz w:val="18"/>
          <w:szCs w:val="18"/>
          <w:lang w:eastAsia="en-GB"/>
        </w:rPr>
      </w:pPr>
      <w:r w:rsidRPr="00587CEE">
        <w:rPr>
          <w:rFonts w:asciiTheme="minorHAnsi" w:eastAsia="Times New Roman" w:hAnsiTheme="minorHAnsi" w:cstheme="minorHAnsi"/>
          <w:color w:val="616265"/>
          <w:sz w:val="18"/>
          <w:szCs w:val="18"/>
          <w:lang w:eastAsia="en-GB"/>
        </w:rPr>
        <w:t>The OGA must keep firm control of its costs and expects staff to obtain the best value for money when booking travel and travelling on OGA business. </w:t>
      </w:r>
    </w:p>
    <w:p w:rsidR="00587CEE" w:rsidRPr="00587CEE" w:rsidRDefault="00587CEE" w:rsidP="00587CEE">
      <w:pPr>
        <w:spacing w:before="240" w:after="240" w:line="240" w:lineRule="auto"/>
        <w:rPr>
          <w:rFonts w:asciiTheme="minorHAnsi" w:eastAsia="Times New Roman" w:hAnsiTheme="minorHAnsi" w:cstheme="minorHAnsi"/>
          <w:color w:val="616265"/>
          <w:sz w:val="18"/>
          <w:szCs w:val="18"/>
          <w:lang w:eastAsia="en-GB"/>
        </w:rPr>
      </w:pPr>
      <w:r w:rsidRPr="00587CEE">
        <w:rPr>
          <w:rFonts w:asciiTheme="minorHAnsi" w:eastAsia="Times New Roman" w:hAnsiTheme="minorHAnsi" w:cstheme="minorHAnsi"/>
          <w:color w:val="616265"/>
          <w:sz w:val="18"/>
          <w:szCs w:val="18"/>
          <w:lang w:eastAsia="en-GB"/>
        </w:rPr>
        <w:t>Travel arrangements should be planned and booked as early as possible to benefit from better value fares. </w:t>
      </w:r>
    </w:p>
    <w:p w:rsidR="00587CEE" w:rsidRPr="00587CEE" w:rsidRDefault="00587CEE" w:rsidP="00587CEE">
      <w:pPr>
        <w:spacing w:before="240" w:after="240" w:line="240" w:lineRule="auto"/>
        <w:rPr>
          <w:rFonts w:asciiTheme="minorHAnsi" w:eastAsia="Times New Roman" w:hAnsiTheme="minorHAnsi" w:cstheme="minorHAnsi"/>
          <w:color w:val="616265"/>
          <w:sz w:val="18"/>
          <w:szCs w:val="18"/>
          <w:lang w:eastAsia="en-GB"/>
        </w:rPr>
      </w:pPr>
      <w:r w:rsidRPr="00587CEE">
        <w:rPr>
          <w:rFonts w:asciiTheme="minorHAnsi" w:eastAsia="Times New Roman" w:hAnsiTheme="minorHAnsi" w:cstheme="minorHAnsi"/>
          <w:color w:val="616265"/>
          <w:sz w:val="18"/>
          <w:szCs w:val="18"/>
          <w:lang w:eastAsia="en-GB"/>
        </w:rPr>
        <w:t>Video conferencing should always be considered if practicable.</w:t>
      </w:r>
    </w:p>
    <w:p w:rsidR="00587CEE" w:rsidRPr="00587CEE" w:rsidRDefault="00587CEE" w:rsidP="00587CEE">
      <w:pPr>
        <w:spacing w:before="240" w:after="240" w:line="240" w:lineRule="auto"/>
        <w:outlineLvl w:val="2"/>
        <w:rPr>
          <w:rFonts w:asciiTheme="minorHAnsi" w:eastAsia="Times New Roman" w:hAnsiTheme="minorHAnsi" w:cstheme="minorHAnsi"/>
          <w:b/>
          <w:bCs/>
          <w:color w:val="616265"/>
          <w:sz w:val="18"/>
          <w:szCs w:val="18"/>
          <w:lang w:eastAsia="en-GB"/>
        </w:rPr>
      </w:pPr>
      <w:r w:rsidRPr="00587CEE">
        <w:rPr>
          <w:rFonts w:asciiTheme="minorHAnsi" w:eastAsia="Times New Roman" w:hAnsiTheme="minorHAnsi" w:cstheme="minorHAnsi"/>
          <w:b/>
          <w:bCs/>
          <w:color w:val="616265"/>
          <w:sz w:val="18"/>
          <w:szCs w:val="18"/>
          <w:lang w:eastAsia="en-GB"/>
        </w:rPr>
        <w:t>Booking travel</w:t>
      </w:r>
    </w:p>
    <w:p w:rsidR="00587CEE" w:rsidRPr="00587CEE" w:rsidRDefault="00587CEE" w:rsidP="00587CEE">
      <w:pPr>
        <w:spacing w:before="240" w:after="240" w:line="240" w:lineRule="auto"/>
        <w:rPr>
          <w:rFonts w:asciiTheme="minorHAnsi" w:eastAsia="Times New Roman" w:hAnsiTheme="minorHAnsi" w:cstheme="minorHAnsi"/>
          <w:color w:val="616265"/>
          <w:sz w:val="18"/>
          <w:szCs w:val="18"/>
          <w:lang w:eastAsia="en-GB"/>
        </w:rPr>
      </w:pPr>
      <w:r w:rsidRPr="00587CEE">
        <w:rPr>
          <w:rFonts w:asciiTheme="minorHAnsi" w:eastAsia="Times New Roman" w:hAnsiTheme="minorHAnsi" w:cstheme="minorHAnsi"/>
          <w:color w:val="616265"/>
          <w:sz w:val="18"/>
          <w:szCs w:val="18"/>
          <w:lang w:eastAsia="en-GB"/>
        </w:rPr>
        <w:t>Air fares may only be claimed through subsistence claims in exceptional circumstances, supported by a valid ticket</w:t>
      </w:r>
      <w:r w:rsidR="00C6415B">
        <w:rPr>
          <w:rFonts w:asciiTheme="minorHAnsi" w:eastAsia="Times New Roman" w:hAnsiTheme="minorHAnsi" w:cstheme="minorHAnsi"/>
          <w:color w:val="616265"/>
          <w:sz w:val="18"/>
          <w:szCs w:val="18"/>
          <w:lang w:eastAsia="en-GB"/>
        </w:rPr>
        <w:t>.</w:t>
      </w:r>
    </w:p>
    <w:p w:rsidR="00587CEE" w:rsidRPr="00587CEE" w:rsidRDefault="00587CEE" w:rsidP="00587CEE">
      <w:pPr>
        <w:numPr>
          <w:ilvl w:val="0"/>
          <w:numId w:val="5"/>
        </w:numPr>
        <w:spacing w:before="100" w:beforeAutospacing="1" w:after="100" w:afterAutospacing="1" w:line="240" w:lineRule="auto"/>
        <w:ind w:left="240"/>
        <w:rPr>
          <w:rFonts w:asciiTheme="minorHAnsi" w:eastAsia="Times New Roman" w:hAnsiTheme="minorHAnsi" w:cstheme="minorHAnsi"/>
          <w:color w:val="616265"/>
          <w:sz w:val="18"/>
          <w:szCs w:val="18"/>
          <w:lang w:eastAsia="en-GB"/>
        </w:rPr>
      </w:pPr>
      <w:r w:rsidRPr="00587CEE">
        <w:rPr>
          <w:rFonts w:asciiTheme="minorHAnsi" w:eastAsia="Times New Roman" w:hAnsiTheme="minorHAnsi" w:cstheme="minorHAnsi"/>
          <w:color w:val="616265"/>
          <w:sz w:val="18"/>
          <w:szCs w:val="18"/>
          <w:lang w:eastAsia="en-GB"/>
        </w:rPr>
        <w:t>All flights under five hours duration may only be booked in economy class.</w:t>
      </w:r>
    </w:p>
    <w:p w:rsidR="00587CEE" w:rsidRPr="00587CEE" w:rsidRDefault="00587CEE" w:rsidP="00587CEE">
      <w:pPr>
        <w:numPr>
          <w:ilvl w:val="0"/>
          <w:numId w:val="5"/>
        </w:numPr>
        <w:spacing w:before="100" w:beforeAutospacing="1" w:after="100" w:afterAutospacing="1" w:line="240" w:lineRule="auto"/>
        <w:ind w:left="240"/>
        <w:rPr>
          <w:rFonts w:asciiTheme="minorHAnsi" w:eastAsia="Times New Roman" w:hAnsiTheme="minorHAnsi" w:cstheme="minorHAnsi"/>
          <w:color w:val="616265"/>
          <w:sz w:val="18"/>
          <w:szCs w:val="18"/>
          <w:lang w:eastAsia="en-GB"/>
        </w:rPr>
      </w:pPr>
      <w:r w:rsidRPr="00587CEE">
        <w:rPr>
          <w:rFonts w:asciiTheme="minorHAnsi" w:eastAsia="Times New Roman" w:hAnsiTheme="minorHAnsi" w:cstheme="minorHAnsi"/>
          <w:color w:val="616265"/>
          <w:sz w:val="18"/>
          <w:szCs w:val="18"/>
          <w:lang w:eastAsia="en-GB"/>
        </w:rPr>
        <w:t>Business class travel is only permissible for flights in excess of five hours and with the prior consent of a Director.</w:t>
      </w:r>
    </w:p>
    <w:p w:rsidR="00587CEE" w:rsidRPr="00587CEE" w:rsidRDefault="00587CEE" w:rsidP="00587CEE">
      <w:pPr>
        <w:numPr>
          <w:ilvl w:val="0"/>
          <w:numId w:val="5"/>
        </w:numPr>
        <w:spacing w:before="100" w:beforeAutospacing="1" w:after="100" w:afterAutospacing="1" w:line="240" w:lineRule="auto"/>
        <w:ind w:left="240"/>
        <w:rPr>
          <w:rFonts w:asciiTheme="minorHAnsi" w:eastAsia="Times New Roman" w:hAnsiTheme="minorHAnsi" w:cstheme="minorHAnsi"/>
          <w:color w:val="616265"/>
          <w:sz w:val="18"/>
          <w:szCs w:val="18"/>
          <w:lang w:eastAsia="en-GB"/>
        </w:rPr>
      </w:pPr>
      <w:r w:rsidRPr="00587CEE">
        <w:rPr>
          <w:rFonts w:asciiTheme="minorHAnsi" w:eastAsia="Times New Roman" w:hAnsiTheme="minorHAnsi" w:cstheme="minorHAnsi"/>
          <w:color w:val="616265"/>
          <w:sz w:val="18"/>
          <w:szCs w:val="18"/>
          <w:lang w:eastAsia="en-GB"/>
        </w:rPr>
        <w:t>Business class travel on Eurostar is not permitted.</w:t>
      </w:r>
    </w:p>
    <w:p w:rsidR="00587CEE" w:rsidRPr="00587CEE" w:rsidRDefault="00587CEE" w:rsidP="00587CEE">
      <w:pPr>
        <w:numPr>
          <w:ilvl w:val="0"/>
          <w:numId w:val="5"/>
        </w:numPr>
        <w:spacing w:before="100" w:beforeAutospacing="1" w:after="100" w:afterAutospacing="1" w:line="240" w:lineRule="auto"/>
        <w:ind w:left="240"/>
        <w:rPr>
          <w:rFonts w:asciiTheme="minorHAnsi" w:eastAsia="Times New Roman" w:hAnsiTheme="minorHAnsi" w:cstheme="minorHAnsi"/>
          <w:color w:val="616265"/>
          <w:sz w:val="18"/>
          <w:szCs w:val="18"/>
          <w:lang w:eastAsia="en-GB"/>
        </w:rPr>
      </w:pPr>
      <w:r w:rsidRPr="00587CEE">
        <w:rPr>
          <w:rFonts w:asciiTheme="minorHAnsi" w:eastAsia="Times New Roman" w:hAnsiTheme="minorHAnsi" w:cstheme="minorHAnsi"/>
          <w:color w:val="616265"/>
          <w:sz w:val="18"/>
          <w:szCs w:val="18"/>
          <w:lang w:eastAsia="en-GB"/>
        </w:rPr>
        <w:t>Under no circumstances will the OGA meet the cost of first class travel.</w:t>
      </w:r>
    </w:p>
    <w:p w:rsidR="00587CEE" w:rsidRPr="00587CEE" w:rsidRDefault="00587CEE" w:rsidP="00587CEE">
      <w:pPr>
        <w:numPr>
          <w:ilvl w:val="0"/>
          <w:numId w:val="5"/>
        </w:numPr>
        <w:spacing w:before="100" w:beforeAutospacing="1" w:after="100" w:afterAutospacing="1" w:line="240" w:lineRule="auto"/>
        <w:ind w:left="240"/>
        <w:rPr>
          <w:rFonts w:asciiTheme="minorHAnsi" w:eastAsia="Times New Roman" w:hAnsiTheme="minorHAnsi" w:cstheme="minorHAnsi"/>
          <w:color w:val="616265"/>
          <w:sz w:val="18"/>
          <w:szCs w:val="18"/>
          <w:lang w:eastAsia="en-GB"/>
        </w:rPr>
      </w:pPr>
      <w:r w:rsidRPr="00587CEE">
        <w:rPr>
          <w:rFonts w:asciiTheme="minorHAnsi" w:eastAsia="Times New Roman" w:hAnsiTheme="minorHAnsi" w:cstheme="minorHAnsi"/>
          <w:color w:val="616265"/>
          <w:sz w:val="18"/>
          <w:szCs w:val="18"/>
          <w:lang w:eastAsia="en-GB"/>
        </w:rPr>
        <w:t>International travel must be approved in advance by a Director.</w:t>
      </w:r>
    </w:p>
    <w:p w:rsidR="00587CEE" w:rsidRPr="00587CEE" w:rsidRDefault="00587CEE" w:rsidP="00587CEE">
      <w:pPr>
        <w:spacing w:before="240" w:after="240" w:line="240" w:lineRule="auto"/>
        <w:outlineLvl w:val="2"/>
        <w:rPr>
          <w:rFonts w:asciiTheme="minorHAnsi" w:eastAsia="Times New Roman" w:hAnsiTheme="minorHAnsi" w:cstheme="minorHAnsi"/>
          <w:b/>
          <w:bCs/>
          <w:color w:val="616265"/>
          <w:sz w:val="18"/>
          <w:szCs w:val="18"/>
          <w:lang w:eastAsia="en-GB"/>
        </w:rPr>
      </w:pPr>
      <w:r w:rsidRPr="00587CEE">
        <w:rPr>
          <w:rFonts w:asciiTheme="minorHAnsi" w:eastAsia="Times New Roman" w:hAnsiTheme="minorHAnsi" w:cstheme="minorHAnsi"/>
          <w:b/>
          <w:bCs/>
          <w:color w:val="616265"/>
          <w:sz w:val="18"/>
          <w:szCs w:val="18"/>
          <w:lang w:eastAsia="en-GB"/>
        </w:rPr>
        <w:t>Accommodation</w:t>
      </w:r>
    </w:p>
    <w:p w:rsidR="00587CEE" w:rsidRPr="00587CEE" w:rsidRDefault="00587CEE" w:rsidP="00587CEE">
      <w:pPr>
        <w:spacing w:before="240" w:after="240" w:line="240" w:lineRule="auto"/>
        <w:rPr>
          <w:rFonts w:asciiTheme="minorHAnsi" w:eastAsia="Times New Roman" w:hAnsiTheme="minorHAnsi" w:cstheme="minorHAnsi"/>
          <w:color w:val="616265"/>
          <w:sz w:val="18"/>
          <w:szCs w:val="18"/>
          <w:lang w:eastAsia="en-GB"/>
        </w:rPr>
      </w:pPr>
      <w:r w:rsidRPr="00587CEE">
        <w:rPr>
          <w:rFonts w:asciiTheme="minorHAnsi" w:eastAsia="Times New Roman" w:hAnsiTheme="minorHAnsi" w:cstheme="minorHAnsi"/>
          <w:color w:val="616265"/>
          <w:sz w:val="18"/>
          <w:szCs w:val="18"/>
          <w:lang w:eastAsia="en-GB"/>
        </w:rPr>
        <w:t>Overnight expenses may be incurred where staff cannot reasonably be expected to make a return journey to and from a meeting or other workplace in the same day. </w:t>
      </w:r>
    </w:p>
    <w:p w:rsidR="00587CEE" w:rsidRPr="00587CEE" w:rsidRDefault="00587CEE" w:rsidP="00587CEE">
      <w:pPr>
        <w:spacing w:before="240" w:after="240" w:line="240" w:lineRule="auto"/>
        <w:rPr>
          <w:rFonts w:asciiTheme="minorHAnsi" w:eastAsia="Times New Roman" w:hAnsiTheme="minorHAnsi" w:cstheme="minorHAnsi"/>
          <w:color w:val="616265"/>
          <w:sz w:val="18"/>
          <w:szCs w:val="18"/>
          <w:lang w:eastAsia="en-GB"/>
        </w:rPr>
      </w:pPr>
      <w:r w:rsidRPr="00587CEE">
        <w:rPr>
          <w:rFonts w:asciiTheme="minorHAnsi" w:eastAsia="Times New Roman" w:hAnsiTheme="minorHAnsi" w:cstheme="minorHAnsi"/>
          <w:color w:val="616265"/>
          <w:sz w:val="18"/>
          <w:szCs w:val="18"/>
          <w:lang w:eastAsia="en-GB"/>
        </w:rPr>
        <w:t>The maximum allowable cost of overnight stays on a bed and breakfast or room only (where a bed and breakfast rate is not available) basis is:</w:t>
      </w:r>
    </w:p>
    <w:p w:rsidR="00587CEE" w:rsidRPr="00587CEE" w:rsidRDefault="00587CEE" w:rsidP="00587CEE">
      <w:pPr>
        <w:numPr>
          <w:ilvl w:val="0"/>
          <w:numId w:val="6"/>
        </w:numPr>
        <w:spacing w:before="100" w:beforeAutospacing="1" w:after="100" w:afterAutospacing="1" w:line="240" w:lineRule="auto"/>
        <w:ind w:left="240"/>
        <w:rPr>
          <w:rFonts w:asciiTheme="minorHAnsi" w:eastAsia="Times New Roman" w:hAnsiTheme="minorHAnsi" w:cstheme="minorHAnsi"/>
          <w:color w:val="616265"/>
          <w:sz w:val="18"/>
          <w:szCs w:val="18"/>
          <w:lang w:eastAsia="en-GB"/>
        </w:rPr>
      </w:pPr>
      <w:r w:rsidRPr="00587CEE">
        <w:rPr>
          <w:rFonts w:asciiTheme="minorHAnsi" w:eastAsia="Times New Roman" w:hAnsiTheme="minorHAnsi" w:cstheme="minorHAnsi"/>
          <w:color w:val="616265"/>
          <w:sz w:val="18"/>
          <w:szCs w:val="18"/>
          <w:lang w:eastAsia="en-GB"/>
        </w:rPr>
        <w:t>£140.00 in central London</w:t>
      </w:r>
    </w:p>
    <w:p w:rsidR="00587CEE" w:rsidRPr="00587CEE" w:rsidRDefault="00587CEE" w:rsidP="00587CEE">
      <w:pPr>
        <w:numPr>
          <w:ilvl w:val="0"/>
          <w:numId w:val="6"/>
        </w:numPr>
        <w:spacing w:before="100" w:beforeAutospacing="1" w:after="100" w:afterAutospacing="1" w:line="240" w:lineRule="auto"/>
        <w:ind w:left="240"/>
        <w:rPr>
          <w:rFonts w:asciiTheme="minorHAnsi" w:eastAsia="Times New Roman" w:hAnsiTheme="minorHAnsi" w:cstheme="minorHAnsi"/>
          <w:color w:val="616265"/>
          <w:sz w:val="18"/>
          <w:szCs w:val="18"/>
          <w:lang w:eastAsia="en-GB"/>
        </w:rPr>
      </w:pPr>
      <w:r w:rsidRPr="00587CEE">
        <w:rPr>
          <w:rFonts w:asciiTheme="minorHAnsi" w:eastAsia="Times New Roman" w:hAnsiTheme="minorHAnsi" w:cstheme="minorHAnsi"/>
          <w:color w:val="616265"/>
          <w:sz w:val="18"/>
          <w:szCs w:val="18"/>
          <w:lang w:eastAsia="en-GB"/>
        </w:rPr>
        <w:t>£ 95.00 elsewhere in the UK</w:t>
      </w:r>
    </w:p>
    <w:p w:rsidR="00587CEE" w:rsidRPr="00587CEE" w:rsidRDefault="00587CEE" w:rsidP="00587CEE">
      <w:pPr>
        <w:numPr>
          <w:ilvl w:val="0"/>
          <w:numId w:val="6"/>
        </w:numPr>
        <w:spacing w:before="100" w:beforeAutospacing="1" w:after="100" w:afterAutospacing="1" w:line="240" w:lineRule="auto"/>
        <w:ind w:left="240"/>
        <w:rPr>
          <w:rFonts w:asciiTheme="minorHAnsi" w:eastAsia="Times New Roman" w:hAnsiTheme="minorHAnsi" w:cstheme="minorHAnsi"/>
          <w:color w:val="616265"/>
          <w:sz w:val="18"/>
          <w:szCs w:val="18"/>
          <w:lang w:eastAsia="en-GB"/>
        </w:rPr>
      </w:pPr>
      <w:r w:rsidRPr="00587CEE">
        <w:rPr>
          <w:rFonts w:asciiTheme="minorHAnsi" w:eastAsia="Times New Roman" w:hAnsiTheme="minorHAnsi" w:cstheme="minorHAnsi"/>
          <w:color w:val="616265"/>
          <w:sz w:val="18"/>
          <w:szCs w:val="18"/>
          <w:lang w:eastAsia="en-GB"/>
        </w:rPr>
        <w:t>The London accommodation rate should normally apply when travelling overseas but your Director will consider exceptions on a case by case basis.</w:t>
      </w:r>
    </w:p>
    <w:p w:rsidR="00587CEE" w:rsidRPr="00587CEE" w:rsidRDefault="00587CEE" w:rsidP="00587CEE">
      <w:pPr>
        <w:spacing w:before="100" w:beforeAutospacing="1" w:after="240" w:line="240" w:lineRule="auto"/>
        <w:outlineLvl w:val="1"/>
        <w:rPr>
          <w:rFonts w:asciiTheme="minorHAnsi" w:eastAsia="Times New Roman" w:hAnsiTheme="minorHAnsi" w:cstheme="minorHAnsi"/>
          <w:b/>
          <w:bCs/>
          <w:color w:val="616265"/>
          <w:sz w:val="18"/>
          <w:szCs w:val="18"/>
          <w:lang w:eastAsia="en-GB"/>
        </w:rPr>
      </w:pPr>
      <w:r w:rsidRPr="00587CEE">
        <w:rPr>
          <w:rFonts w:asciiTheme="minorHAnsi" w:eastAsia="Times New Roman" w:hAnsiTheme="minorHAnsi" w:cstheme="minorHAnsi"/>
          <w:b/>
          <w:bCs/>
          <w:color w:val="616265"/>
          <w:sz w:val="18"/>
          <w:szCs w:val="18"/>
          <w:lang w:eastAsia="en-GB"/>
        </w:rPr>
        <w:t>Subsistence costs</w:t>
      </w:r>
    </w:p>
    <w:p w:rsidR="00587CEE" w:rsidRPr="00587CEE" w:rsidRDefault="00587CEE" w:rsidP="00587CEE">
      <w:pPr>
        <w:spacing w:before="240" w:after="240" w:line="240" w:lineRule="auto"/>
        <w:rPr>
          <w:rFonts w:asciiTheme="minorHAnsi" w:eastAsia="Times New Roman" w:hAnsiTheme="minorHAnsi" w:cstheme="minorHAnsi"/>
          <w:color w:val="616265"/>
          <w:sz w:val="18"/>
          <w:szCs w:val="18"/>
          <w:lang w:eastAsia="en-GB"/>
        </w:rPr>
      </w:pPr>
      <w:r w:rsidRPr="00587CEE">
        <w:rPr>
          <w:rFonts w:asciiTheme="minorHAnsi" w:eastAsia="Times New Roman" w:hAnsiTheme="minorHAnsi" w:cstheme="minorHAnsi"/>
          <w:color w:val="616265"/>
          <w:sz w:val="18"/>
          <w:szCs w:val="18"/>
          <w:lang w:eastAsia="en-GB"/>
        </w:rPr>
        <w:t>The following limits apply to all claims for out of pocket expenses. The limits are inclusive of VAT and gratuities. The cost of alcohol will not be reimbursed.</w:t>
      </w:r>
    </w:p>
    <w:p w:rsidR="00587CEE" w:rsidRPr="00587CEE" w:rsidRDefault="00587CEE" w:rsidP="00587CEE">
      <w:pPr>
        <w:spacing w:before="240" w:after="240" w:line="240" w:lineRule="auto"/>
        <w:outlineLvl w:val="2"/>
        <w:rPr>
          <w:rFonts w:asciiTheme="minorHAnsi" w:eastAsia="Times New Roman" w:hAnsiTheme="minorHAnsi" w:cstheme="minorHAnsi"/>
          <w:b/>
          <w:bCs/>
          <w:color w:val="616265"/>
          <w:sz w:val="18"/>
          <w:szCs w:val="18"/>
          <w:lang w:eastAsia="en-GB"/>
        </w:rPr>
      </w:pPr>
      <w:r w:rsidRPr="00587CEE">
        <w:rPr>
          <w:rFonts w:asciiTheme="minorHAnsi" w:eastAsia="Times New Roman" w:hAnsiTheme="minorHAnsi" w:cstheme="minorHAnsi"/>
          <w:b/>
          <w:bCs/>
          <w:color w:val="616265"/>
          <w:sz w:val="18"/>
          <w:szCs w:val="18"/>
          <w:lang w:eastAsia="en-GB"/>
        </w:rPr>
        <w:t>UK</w:t>
      </w:r>
    </w:p>
    <w:p w:rsidR="00587CEE" w:rsidRPr="00587CEE" w:rsidRDefault="00587CEE" w:rsidP="00587CEE">
      <w:pPr>
        <w:numPr>
          <w:ilvl w:val="0"/>
          <w:numId w:val="7"/>
        </w:numPr>
        <w:spacing w:before="100" w:beforeAutospacing="1" w:after="100" w:afterAutospacing="1" w:line="240" w:lineRule="auto"/>
        <w:ind w:left="240"/>
        <w:rPr>
          <w:rFonts w:asciiTheme="minorHAnsi" w:eastAsia="Times New Roman" w:hAnsiTheme="minorHAnsi" w:cstheme="minorHAnsi"/>
          <w:color w:val="616265"/>
          <w:sz w:val="18"/>
          <w:szCs w:val="18"/>
          <w:lang w:eastAsia="en-GB"/>
        </w:rPr>
      </w:pPr>
      <w:r w:rsidRPr="00587CEE">
        <w:rPr>
          <w:rFonts w:asciiTheme="minorHAnsi" w:eastAsia="Times New Roman" w:hAnsiTheme="minorHAnsi" w:cstheme="minorHAnsi"/>
          <w:color w:val="616265"/>
          <w:sz w:val="18"/>
          <w:szCs w:val="18"/>
          <w:lang w:eastAsia="en-GB"/>
        </w:rPr>
        <w:t>Breakfast, after an early start or when not included in accommodation costs - £15.00</w:t>
      </w:r>
    </w:p>
    <w:p w:rsidR="00587CEE" w:rsidRPr="00587CEE" w:rsidRDefault="00587CEE" w:rsidP="00587CEE">
      <w:pPr>
        <w:numPr>
          <w:ilvl w:val="0"/>
          <w:numId w:val="7"/>
        </w:numPr>
        <w:spacing w:before="100" w:beforeAutospacing="1" w:after="100" w:afterAutospacing="1" w:line="240" w:lineRule="auto"/>
        <w:ind w:left="240"/>
        <w:rPr>
          <w:rFonts w:asciiTheme="minorHAnsi" w:eastAsia="Times New Roman" w:hAnsiTheme="minorHAnsi" w:cstheme="minorHAnsi"/>
          <w:color w:val="616265"/>
          <w:sz w:val="18"/>
          <w:szCs w:val="18"/>
          <w:lang w:eastAsia="en-GB"/>
        </w:rPr>
      </w:pPr>
      <w:r w:rsidRPr="00587CEE">
        <w:rPr>
          <w:rFonts w:asciiTheme="minorHAnsi" w:eastAsia="Times New Roman" w:hAnsiTheme="minorHAnsi" w:cstheme="minorHAnsi"/>
          <w:color w:val="616265"/>
          <w:sz w:val="18"/>
          <w:szCs w:val="18"/>
          <w:lang w:eastAsia="en-GB"/>
        </w:rPr>
        <w:t>Lunch (including non-alcoholic beverages) when no meals are provided - £8.50</w:t>
      </w:r>
    </w:p>
    <w:p w:rsidR="00587CEE" w:rsidRPr="00587CEE" w:rsidRDefault="00587CEE" w:rsidP="00587CEE">
      <w:pPr>
        <w:numPr>
          <w:ilvl w:val="0"/>
          <w:numId w:val="7"/>
        </w:numPr>
        <w:spacing w:before="100" w:beforeAutospacing="1" w:after="100" w:afterAutospacing="1" w:line="240" w:lineRule="auto"/>
        <w:ind w:left="240"/>
        <w:rPr>
          <w:rFonts w:asciiTheme="minorHAnsi" w:eastAsia="Times New Roman" w:hAnsiTheme="minorHAnsi" w:cstheme="minorHAnsi"/>
          <w:color w:val="616265"/>
          <w:sz w:val="18"/>
          <w:szCs w:val="18"/>
          <w:lang w:eastAsia="en-GB"/>
        </w:rPr>
      </w:pPr>
      <w:r w:rsidRPr="00587CEE">
        <w:rPr>
          <w:rFonts w:asciiTheme="minorHAnsi" w:eastAsia="Times New Roman" w:hAnsiTheme="minorHAnsi" w:cstheme="minorHAnsi"/>
          <w:color w:val="616265"/>
          <w:sz w:val="18"/>
          <w:szCs w:val="18"/>
          <w:lang w:eastAsia="en-GB"/>
        </w:rPr>
        <w:t>Evening meal (including non-alcoholic beverages) - £25.00 </w:t>
      </w:r>
    </w:p>
    <w:p w:rsidR="00587CEE" w:rsidRPr="00587CEE" w:rsidRDefault="00587CEE" w:rsidP="00587CEE">
      <w:pPr>
        <w:spacing w:before="240" w:after="240" w:line="240" w:lineRule="auto"/>
        <w:outlineLvl w:val="2"/>
        <w:rPr>
          <w:rFonts w:asciiTheme="minorHAnsi" w:eastAsia="Times New Roman" w:hAnsiTheme="minorHAnsi" w:cstheme="minorHAnsi"/>
          <w:b/>
          <w:bCs/>
          <w:color w:val="616265"/>
          <w:sz w:val="18"/>
          <w:szCs w:val="18"/>
          <w:lang w:eastAsia="en-GB"/>
        </w:rPr>
      </w:pPr>
      <w:r w:rsidRPr="00587CEE">
        <w:rPr>
          <w:rFonts w:asciiTheme="minorHAnsi" w:eastAsia="Times New Roman" w:hAnsiTheme="minorHAnsi" w:cstheme="minorHAnsi"/>
          <w:b/>
          <w:bCs/>
          <w:color w:val="616265"/>
          <w:sz w:val="18"/>
          <w:szCs w:val="18"/>
          <w:lang w:eastAsia="en-GB"/>
        </w:rPr>
        <w:t>Overseas</w:t>
      </w:r>
    </w:p>
    <w:p w:rsidR="00587CEE" w:rsidRPr="00587CEE" w:rsidRDefault="00587CEE" w:rsidP="00587CEE">
      <w:pPr>
        <w:spacing w:before="240" w:after="240" w:line="240" w:lineRule="auto"/>
        <w:rPr>
          <w:rFonts w:asciiTheme="minorHAnsi" w:eastAsia="Times New Roman" w:hAnsiTheme="minorHAnsi" w:cstheme="minorHAnsi"/>
          <w:color w:val="616265"/>
          <w:sz w:val="18"/>
          <w:szCs w:val="18"/>
          <w:lang w:eastAsia="en-GB"/>
        </w:rPr>
      </w:pPr>
      <w:r w:rsidRPr="00587CEE">
        <w:rPr>
          <w:rFonts w:asciiTheme="minorHAnsi" w:eastAsia="Times New Roman" w:hAnsiTheme="minorHAnsi" w:cstheme="minorHAnsi"/>
          <w:color w:val="616265"/>
          <w:sz w:val="18"/>
          <w:szCs w:val="18"/>
          <w:lang w:eastAsia="en-GB"/>
        </w:rPr>
        <w:t>UK subsistence rates normally apply when travelling overseas but your Director will consider reasonable exceptions on a case by case basis.</w:t>
      </w:r>
    </w:p>
    <w:p w:rsidR="00587CEE" w:rsidRPr="00587CEE" w:rsidRDefault="00587CEE" w:rsidP="00587CEE">
      <w:pPr>
        <w:spacing w:before="240" w:after="240" w:line="240" w:lineRule="auto"/>
        <w:rPr>
          <w:rFonts w:asciiTheme="minorHAnsi" w:eastAsia="Times New Roman" w:hAnsiTheme="minorHAnsi" w:cstheme="minorHAnsi"/>
          <w:color w:val="616265"/>
          <w:sz w:val="18"/>
          <w:szCs w:val="18"/>
          <w:lang w:eastAsia="en-GB"/>
        </w:rPr>
      </w:pPr>
      <w:r w:rsidRPr="00587CEE">
        <w:rPr>
          <w:rFonts w:asciiTheme="minorHAnsi" w:eastAsia="Times New Roman" w:hAnsiTheme="minorHAnsi" w:cstheme="minorHAnsi"/>
          <w:color w:val="616265"/>
          <w:sz w:val="18"/>
          <w:szCs w:val="18"/>
          <w:lang w:eastAsia="en-GB"/>
        </w:rPr>
        <w:t>Claims may only be submitted for actual costs incurred. Receipts must be retained, scanned and attached to expenses claims. If no receipt is available, an explanation should be included in the expenses claim. Proof of journey may be required for contactless or Oyster card travel on London transport. All legitimate out of pocket expenses incurred in accordance with this policy will be reimbursed. Line managers may challenge any claim which exceeds the above limits.</w:t>
      </w:r>
    </w:p>
    <w:p w:rsidR="00587CEE" w:rsidRPr="00587CEE" w:rsidRDefault="00587CEE" w:rsidP="00587CEE">
      <w:pPr>
        <w:spacing w:before="100" w:beforeAutospacing="1" w:after="240" w:line="240" w:lineRule="auto"/>
        <w:outlineLvl w:val="1"/>
        <w:rPr>
          <w:rFonts w:asciiTheme="minorHAnsi" w:eastAsia="Times New Roman" w:hAnsiTheme="minorHAnsi" w:cstheme="minorHAnsi"/>
          <w:b/>
          <w:bCs/>
          <w:color w:val="616265"/>
          <w:sz w:val="18"/>
          <w:szCs w:val="18"/>
          <w:lang w:eastAsia="en-GB"/>
        </w:rPr>
      </w:pPr>
      <w:r w:rsidRPr="00587CEE">
        <w:rPr>
          <w:rFonts w:asciiTheme="minorHAnsi" w:eastAsia="Times New Roman" w:hAnsiTheme="minorHAnsi" w:cstheme="minorHAnsi"/>
          <w:b/>
          <w:bCs/>
          <w:color w:val="616265"/>
          <w:sz w:val="18"/>
          <w:szCs w:val="18"/>
          <w:lang w:eastAsia="en-GB"/>
        </w:rPr>
        <w:t>Meals with stakeholders</w:t>
      </w:r>
    </w:p>
    <w:p w:rsidR="00587CEE" w:rsidRPr="00587CEE" w:rsidRDefault="00587CEE" w:rsidP="00587CEE">
      <w:pPr>
        <w:spacing w:before="240" w:after="240" w:line="240" w:lineRule="auto"/>
        <w:rPr>
          <w:rFonts w:asciiTheme="minorHAnsi" w:eastAsia="Times New Roman" w:hAnsiTheme="minorHAnsi" w:cstheme="minorHAnsi"/>
          <w:color w:val="616265"/>
          <w:sz w:val="18"/>
          <w:szCs w:val="18"/>
          <w:lang w:eastAsia="en-GB"/>
        </w:rPr>
      </w:pPr>
      <w:r w:rsidRPr="00587CEE">
        <w:rPr>
          <w:rFonts w:asciiTheme="minorHAnsi" w:eastAsia="Times New Roman" w:hAnsiTheme="minorHAnsi" w:cstheme="minorHAnsi"/>
          <w:color w:val="616265"/>
          <w:sz w:val="18"/>
          <w:szCs w:val="18"/>
          <w:lang w:eastAsia="en-GB"/>
        </w:rPr>
        <w:lastRenderedPageBreak/>
        <w:t>If it is necessary to join stakeholders for meals whilst at work or working away from home, with the prior written approval of your Director, the following allowances, including VAT and gratuities, apply:</w:t>
      </w:r>
    </w:p>
    <w:p w:rsidR="00587CEE" w:rsidRPr="00587CEE" w:rsidRDefault="00587CEE" w:rsidP="00587CEE">
      <w:pPr>
        <w:spacing w:before="240" w:after="240" w:line="240" w:lineRule="auto"/>
        <w:outlineLvl w:val="2"/>
        <w:rPr>
          <w:rFonts w:asciiTheme="minorHAnsi" w:eastAsia="Times New Roman" w:hAnsiTheme="minorHAnsi" w:cstheme="minorHAnsi"/>
          <w:b/>
          <w:bCs/>
          <w:color w:val="616265"/>
          <w:sz w:val="18"/>
          <w:szCs w:val="18"/>
          <w:lang w:eastAsia="en-GB"/>
        </w:rPr>
      </w:pPr>
      <w:r w:rsidRPr="00587CEE">
        <w:rPr>
          <w:rFonts w:asciiTheme="minorHAnsi" w:eastAsia="Times New Roman" w:hAnsiTheme="minorHAnsi" w:cstheme="minorHAnsi"/>
          <w:b/>
          <w:bCs/>
          <w:color w:val="616265"/>
          <w:sz w:val="18"/>
          <w:szCs w:val="18"/>
          <w:lang w:eastAsia="en-GB"/>
        </w:rPr>
        <w:t>UK</w:t>
      </w:r>
    </w:p>
    <w:p w:rsidR="00587CEE" w:rsidRPr="00587CEE" w:rsidRDefault="00587CEE" w:rsidP="00587CEE">
      <w:pPr>
        <w:numPr>
          <w:ilvl w:val="0"/>
          <w:numId w:val="8"/>
        </w:numPr>
        <w:spacing w:before="100" w:beforeAutospacing="1" w:after="100" w:afterAutospacing="1" w:line="240" w:lineRule="auto"/>
        <w:ind w:left="240"/>
        <w:rPr>
          <w:rFonts w:asciiTheme="minorHAnsi" w:eastAsia="Times New Roman" w:hAnsiTheme="minorHAnsi" w:cstheme="minorHAnsi"/>
          <w:color w:val="616265"/>
          <w:sz w:val="18"/>
          <w:szCs w:val="18"/>
          <w:lang w:eastAsia="en-GB"/>
        </w:rPr>
      </w:pPr>
      <w:r w:rsidRPr="00587CEE">
        <w:rPr>
          <w:rFonts w:asciiTheme="minorHAnsi" w:eastAsia="Times New Roman" w:hAnsiTheme="minorHAnsi" w:cstheme="minorHAnsi"/>
          <w:color w:val="616265"/>
          <w:sz w:val="18"/>
          <w:szCs w:val="18"/>
          <w:lang w:eastAsia="en-GB"/>
        </w:rPr>
        <w:t>Lunch - £30</w:t>
      </w:r>
    </w:p>
    <w:p w:rsidR="00587CEE" w:rsidRPr="00587CEE" w:rsidRDefault="00587CEE" w:rsidP="00587CEE">
      <w:pPr>
        <w:numPr>
          <w:ilvl w:val="0"/>
          <w:numId w:val="8"/>
        </w:numPr>
        <w:spacing w:before="100" w:beforeAutospacing="1" w:after="100" w:afterAutospacing="1" w:line="240" w:lineRule="auto"/>
        <w:ind w:left="240"/>
        <w:rPr>
          <w:rFonts w:asciiTheme="minorHAnsi" w:eastAsia="Times New Roman" w:hAnsiTheme="minorHAnsi" w:cstheme="minorHAnsi"/>
          <w:color w:val="616265"/>
          <w:sz w:val="18"/>
          <w:szCs w:val="18"/>
          <w:lang w:eastAsia="en-GB"/>
        </w:rPr>
      </w:pPr>
      <w:r w:rsidRPr="00587CEE">
        <w:rPr>
          <w:rFonts w:asciiTheme="minorHAnsi" w:eastAsia="Times New Roman" w:hAnsiTheme="minorHAnsi" w:cstheme="minorHAnsi"/>
          <w:color w:val="616265"/>
          <w:sz w:val="18"/>
          <w:szCs w:val="18"/>
          <w:lang w:eastAsia="en-GB"/>
        </w:rPr>
        <w:t>Evening meal - £40</w:t>
      </w:r>
    </w:p>
    <w:p w:rsidR="00587CEE" w:rsidRPr="00587CEE" w:rsidRDefault="00587CEE" w:rsidP="00587CEE">
      <w:pPr>
        <w:spacing w:before="240" w:after="240" w:line="240" w:lineRule="auto"/>
        <w:outlineLvl w:val="2"/>
        <w:rPr>
          <w:rFonts w:asciiTheme="minorHAnsi" w:eastAsia="Times New Roman" w:hAnsiTheme="minorHAnsi" w:cstheme="minorHAnsi"/>
          <w:b/>
          <w:bCs/>
          <w:color w:val="616265"/>
          <w:sz w:val="18"/>
          <w:szCs w:val="18"/>
          <w:lang w:eastAsia="en-GB"/>
        </w:rPr>
      </w:pPr>
      <w:r w:rsidRPr="00587CEE">
        <w:rPr>
          <w:rFonts w:asciiTheme="minorHAnsi" w:eastAsia="Times New Roman" w:hAnsiTheme="minorHAnsi" w:cstheme="minorHAnsi"/>
          <w:b/>
          <w:bCs/>
          <w:color w:val="616265"/>
          <w:sz w:val="18"/>
          <w:szCs w:val="18"/>
          <w:lang w:eastAsia="en-GB"/>
        </w:rPr>
        <w:t>Overseas</w:t>
      </w:r>
    </w:p>
    <w:p w:rsidR="00587CEE" w:rsidRPr="00587CEE" w:rsidRDefault="00587CEE" w:rsidP="00587CEE">
      <w:pPr>
        <w:spacing w:before="240" w:after="240" w:line="240" w:lineRule="auto"/>
        <w:rPr>
          <w:rFonts w:asciiTheme="minorHAnsi" w:eastAsia="Times New Roman" w:hAnsiTheme="minorHAnsi" w:cstheme="minorHAnsi"/>
          <w:color w:val="616265"/>
          <w:sz w:val="18"/>
          <w:szCs w:val="18"/>
          <w:lang w:eastAsia="en-GB"/>
        </w:rPr>
      </w:pPr>
      <w:r w:rsidRPr="00587CEE">
        <w:rPr>
          <w:rFonts w:asciiTheme="minorHAnsi" w:eastAsia="Times New Roman" w:hAnsiTheme="minorHAnsi" w:cstheme="minorHAnsi"/>
          <w:color w:val="616265"/>
          <w:sz w:val="18"/>
          <w:szCs w:val="18"/>
          <w:lang w:eastAsia="en-GB"/>
        </w:rPr>
        <w:t>UK meal rates normally apply when travelling overseas but your Director will consider reasonable exceptions on a case by case basis. </w:t>
      </w:r>
    </w:p>
    <w:p w:rsidR="00587CEE" w:rsidRPr="00587CEE" w:rsidRDefault="00587CEE" w:rsidP="00587CEE">
      <w:pPr>
        <w:spacing w:before="240" w:after="240" w:line="240" w:lineRule="auto"/>
        <w:rPr>
          <w:rFonts w:asciiTheme="minorHAnsi" w:eastAsia="Times New Roman" w:hAnsiTheme="minorHAnsi" w:cstheme="minorHAnsi"/>
          <w:color w:val="616265"/>
          <w:sz w:val="18"/>
          <w:szCs w:val="18"/>
          <w:lang w:eastAsia="en-GB"/>
        </w:rPr>
      </w:pPr>
      <w:r w:rsidRPr="00587CEE">
        <w:rPr>
          <w:rFonts w:asciiTheme="minorHAnsi" w:eastAsia="Times New Roman" w:hAnsiTheme="minorHAnsi" w:cstheme="minorHAnsi"/>
          <w:color w:val="616265"/>
          <w:sz w:val="18"/>
          <w:szCs w:val="18"/>
          <w:lang w:eastAsia="en-GB"/>
        </w:rPr>
        <w:t>Claims for meals with stakeholders should detail the name of each person attending, the organisation they represent, and the reason for the meal so that the OGA can prove that tax is not payable. Claims should be submitted in the usual way.</w:t>
      </w:r>
    </w:p>
    <w:p w:rsidR="00587CEE" w:rsidRPr="00587CEE" w:rsidRDefault="00587CEE" w:rsidP="00587CEE">
      <w:pPr>
        <w:spacing w:before="100" w:beforeAutospacing="1" w:after="240" w:line="240" w:lineRule="auto"/>
        <w:outlineLvl w:val="1"/>
        <w:rPr>
          <w:rFonts w:asciiTheme="minorHAnsi" w:eastAsia="Times New Roman" w:hAnsiTheme="minorHAnsi" w:cstheme="minorHAnsi"/>
          <w:b/>
          <w:bCs/>
          <w:color w:val="616265"/>
          <w:sz w:val="18"/>
          <w:szCs w:val="18"/>
          <w:lang w:eastAsia="en-GB"/>
        </w:rPr>
      </w:pPr>
      <w:r w:rsidRPr="00587CEE">
        <w:rPr>
          <w:rFonts w:asciiTheme="minorHAnsi" w:eastAsia="Times New Roman" w:hAnsiTheme="minorHAnsi" w:cstheme="minorHAnsi"/>
          <w:b/>
          <w:bCs/>
          <w:color w:val="616265"/>
          <w:sz w:val="18"/>
          <w:szCs w:val="18"/>
          <w:lang w:eastAsia="en-GB"/>
        </w:rPr>
        <w:t>Taxis</w:t>
      </w:r>
    </w:p>
    <w:p w:rsidR="00587CEE" w:rsidRPr="00587CEE" w:rsidRDefault="00587CEE" w:rsidP="00587CEE">
      <w:pPr>
        <w:spacing w:before="240" w:after="240" w:line="240" w:lineRule="auto"/>
        <w:rPr>
          <w:rFonts w:asciiTheme="minorHAnsi" w:eastAsia="Times New Roman" w:hAnsiTheme="minorHAnsi" w:cstheme="minorHAnsi"/>
          <w:color w:val="616265"/>
          <w:sz w:val="18"/>
          <w:szCs w:val="18"/>
          <w:lang w:eastAsia="en-GB"/>
        </w:rPr>
      </w:pPr>
      <w:r w:rsidRPr="00587CEE">
        <w:rPr>
          <w:rFonts w:asciiTheme="minorHAnsi" w:eastAsia="Times New Roman" w:hAnsiTheme="minorHAnsi" w:cstheme="minorHAnsi"/>
          <w:color w:val="616265"/>
          <w:sz w:val="18"/>
          <w:szCs w:val="18"/>
          <w:lang w:eastAsia="en-GB"/>
        </w:rPr>
        <w:t xml:space="preserve">Staff should use public transport wherever possible when travelling to and from airports and in major cities. When travelling to and from London airports from central London, </w:t>
      </w:r>
      <w:proofErr w:type="gramStart"/>
      <w:r w:rsidRPr="00587CEE">
        <w:rPr>
          <w:rFonts w:asciiTheme="minorHAnsi" w:eastAsia="Times New Roman" w:hAnsiTheme="minorHAnsi" w:cstheme="minorHAnsi"/>
          <w:color w:val="616265"/>
          <w:sz w:val="18"/>
          <w:szCs w:val="18"/>
          <w:lang w:eastAsia="en-GB"/>
        </w:rPr>
        <w:t>staff are</w:t>
      </w:r>
      <w:proofErr w:type="gramEnd"/>
      <w:r w:rsidRPr="00587CEE">
        <w:rPr>
          <w:rFonts w:asciiTheme="minorHAnsi" w:eastAsia="Times New Roman" w:hAnsiTheme="minorHAnsi" w:cstheme="minorHAnsi"/>
          <w:color w:val="616265"/>
          <w:sz w:val="18"/>
          <w:szCs w:val="18"/>
          <w:lang w:eastAsia="en-GB"/>
        </w:rPr>
        <w:t xml:space="preserve"> expected to use public transport. For travel to and from Aberdeen airport, an airport shuttle bus operates regularly and staff should use this during daylight hours. </w:t>
      </w:r>
    </w:p>
    <w:p w:rsidR="00587CEE" w:rsidRPr="00587CEE" w:rsidRDefault="00587CEE" w:rsidP="00587CEE">
      <w:pPr>
        <w:spacing w:before="240" w:after="240" w:line="240" w:lineRule="auto"/>
        <w:rPr>
          <w:rFonts w:asciiTheme="minorHAnsi" w:eastAsia="Times New Roman" w:hAnsiTheme="minorHAnsi" w:cstheme="minorHAnsi"/>
          <w:color w:val="616265"/>
          <w:sz w:val="18"/>
          <w:szCs w:val="18"/>
          <w:lang w:eastAsia="en-GB"/>
        </w:rPr>
      </w:pPr>
      <w:r w:rsidRPr="00587CEE">
        <w:rPr>
          <w:rFonts w:asciiTheme="minorHAnsi" w:eastAsia="Times New Roman" w:hAnsiTheme="minorHAnsi" w:cstheme="minorHAnsi"/>
          <w:color w:val="616265"/>
          <w:sz w:val="18"/>
          <w:szCs w:val="18"/>
          <w:lang w:eastAsia="en-GB"/>
        </w:rPr>
        <w:t>Otherwise, the OGA expects staff to use their common sense when deciding when best to use taxis, and they may be used in the following circumstances:</w:t>
      </w:r>
    </w:p>
    <w:p w:rsidR="00587CEE" w:rsidRPr="00587CEE" w:rsidRDefault="00587CEE" w:rsidP="00587CEE">
      <w:pPr>
        <w:numPr>
          <w:ilvl w:val="0"/>
          <w:numId w:val="9"/>
        </w:numPr>
        <w:spacing w:before="100" w:beforeAutospacing="1" w:after="100" w:afterAutospacing="1" w:line="240" w:lineRule="auto"/>
        <w:ind w:left="240"/>
        <w:rPr>
          <w:rFonts w:asciiTheme="minorHAnsi" w:eastAsia="Times New Roman" w:hAnsiTheme="minorHAnsi" w:cstheme="minorHAnsi"/>
          <w:color w:val="616265"/>
          <w:sz w:val="18"/>
          <w:szCs w:val="18"/>
          <w:lang w:eastAsia="en-GB"/>
        </w:rPr>
      </w:pPr>
      <w:r w:rsidRPr="00587CEE">
        <w:rPr>
          <w:rFonts w:asciiTheme="minorHAnsi" w:eastAsia="Times New Roman" w:hAnsiTheme="minorHAnsi" w:cstheme="minorHAnsi"/>
          <w:color w:val="616265"/>
          <w:sz w:val="18"/>
          <w:szCs w:val="18"/>
          <w:lang w:eastAsia="en-GB"/>
        </w:rPr>
        <w:t>When you share a taxi with an OGA colleague;</w:t>
      </w:r>
    </w:p>
    <w:p w:rsidR="00587CEE" w:rsidRPr="00587CEE" w:rsidRDefault="00587CEE" w:rsidP="00587CEE">
      <w:pPr>
        <w:numPr>
          <w:ilvl w:val="0"/>
          <w:numId w:val="9"/>
        </w:numPr>
        <w:spacing w:before="100" w:beforeAutospacing="1" w:after="100" w:afterAutospacing="1" w:line="240" w:lineRule="auto"/>
        <w:ind w:left="240"/>
        <w:rPr>
          <w:rFonts w:asciiTheme="minorHAnsi" w:eastAsia="Times New Roman" w:hAnsiTheme="minorHAnsi" w:cstheme="minorHAnsi"/>
          <w:color w:val="616265"/>
          <w:sz w:val="18"/>
          <w:szCs w:val="18"/>
          <w:lang w:eastAsia="en-GB"/>
        </w:rPr>
      </w:pPr>
      <w:r w:rsidRPr="00587CEE">
        <w:rPr>
          <w:rFonts w:asciiTheme="minorHAnsi" w:eastAsia="Times New Roman" w:hAnsiTheme="minorHAnsi" w:cstheme="minorHAnsi"/>
          <w:color w:val="616265"/>
          <w:sz w:val="18"/>
          <w:szCs w:val="18"/>
          <w:lang w:eastAsia="en-GB"/>
        </w:rPr>
        <w:t>For an early morning (before 07:30) or late airport transfer (after 19:30).</w:t>
      </w:r>
    </w:p>
    <w:p w:rsidR="00587CEE" w:rsidRPr="00587CEE" w:rsidRDefault="00587CEE" w:rsidP="00587CEE">
      <w:pPr>
        <w:numPr>
          <w:ilvl w:val="0"/>
          <w:numId w:val="9"/>
        </w:numPr>
        <w:spacing w:before="100" w:beforeAutospacing="1" w:after="100" w:afterAutospacing="1" w:line="240" w:lineRule="auto"/>
        <w:ind w:left="240"/>
        <w:rPr>
          <w:rFonts w:asciiTheme="minorHAnsi" w:eastAsia="Times New Roman" w:hAnsiTheme="minorHAnsi" w:cstheme="minorHAnsi"/>
          <w:color w:val="616265"/>
          <w:sz w:val="18"/>
          <w:szCs w:val="18"/>
          <w:lang w:eastAsia="en-GB"/>
        </w:rPr>
      </w:pPr>
      <w:r w:rsidRPr="00587CEE">
        <w:rPr>
          <w:rFonts w:asciiTheme="minorHAnsi" w:eastAsia="Times New Roman" w:hAnsiTheme="minorHAnsi" w:cstheme="minorHAnsi"/>
          <w:color w:val="616265"/>
          <w:sz w:val="18"/>
          <w:szCs w:val="18"/>
          <w:lang w:eastAsia="en-GB"/>
        </w:rPr>
        <w:t>You arrive at an airport (other than London airports) after 19:30.</w:t>
      </w:r>
    </w:p>
    <w:p w:rsidR="00587CEE" w:rsidRPr="00587CEE" w:rsidRDefault="00587CEE" w:rsidP="00587CEE">
      <w:pPr>
        <w:numPr>
          <w:ilvl w:val="0"/>
          <w:numId w:val="9"/>
        </w:numPr>
        <w:spacing w:before="100" w:beforeAutospacing="1" w:after="100" w:afterAutospacing="1" w:line="240" w:lineRule="auto"/>
        <w:ind w:left="240"/>
        <w:rPr>
          <w:rFonts w:asciiTheme="minorHAnsi" w:eastAsia="Times New Roman" w:hAnsiTheme="minorHAnsi" w:cstheme="minorHAnsi"/>
          <w:color w:val="616265"/>
          <w:sz w:val="18"/>
          <w:szCs w:val="18"/>
          <w:lang w:eastAsia="en-GB"/>
        </w:rPr>
      </w:pPr>
      <w:r w:rsidRPr="00587CEE">
        <w:rPr>
          <w:rFonts w:asciiTheme="minorHAnsi" w:eastAsia="Times New Roman" w:hAnsiTheme="minorHAnsi" w:cstheme="minorHAnsi"/>
          <w:color w:val="616265"/>
          <w:sz w:val="18"/>
          <w:szCs w:val="18"/>
          <w:lang w:eastAsia="en-GB"/>
        </w:rPr>
        <w:t>You are travelling with checked in luggage.</w:t>
      </w:r>
    </w:p>
    <w:p w:rsidR="00587CEE" w:rsidRPr="00587CEE" w:rsidRDefault="00587CEE" w:rsidP="00587CEE">
      <w:pPr>
        <w:numPr>
          <w:ilvl w:val="0"/>
          <w:numId w:val="9"/>
        </w:numPr>
        <w:spacing w:before="100" w:beforeAutospacing="1" w:after="100" w:afterAutospacing="1" w:line="240" w:lineRule="auto"/>
        <w:ind w:left="240"/>
        <w:rPr>
          <w:rFonts w:asciiTheme="minorHAnsi" w:eastAsia="Times New Roman" w:hAnsiTheme="minorHAnsi" w:cstheme="minorHAnsi"/>
          <w:color w:val="616265"/>
          <w:sz w:val="18"/>
          <w:szCs w:val="18"/>
          <w:lang w:eastAsia="en-GB"/>
        </w:rPr>
      </w:pPr>
      <w:r w:rsidRPr="00587CEE">
        <w:rPr>
          <w:rFonts w:asciiTheme="minorHAnsi" w:eastAsia="Times New Roman" w:hAnsiTheme="minorHAnsi" w:cstheme="minorHAnsi"/>
          <w:color w:val="616265"/>
          <w:sz w:val="18"/>
          <w:szCs w:val="18"/>
          <w:lang w:eastAsia="en-GB"/>
        </w:rPr>
        <w:t>You have a condition which impairs your mobility.</w:t>
      </w:r>
    </w:p>
    <w:p w:rsidR="00587CEE" w:rsidRPr="00587CEE" w:rsidRDefault="00587CEE" w:rsidP="00587CEE">
      <w:pPr>
        <w:numPr>
          <w:ilvl w:val="0"/>
          <w:numId w:val="9"/>
        </w:numPr>
        <w:spacing w:before="100" w:beforeAutospacing="1" w:after="100" w:afterAutospacing="1" w:line="240" w:lineRule="auto"/>
        <w:ind w:left="240"/>
        <w:rPr>
          <w:rFonts w:asciiTheme="minorHAnsi" w:eastAsia="Times New Roman" w:hAnsiTheme="minorHAnsi" w:cstheme="minorHAnsi"/>
          <w:color w:val="616265"/>
          <w:sz w:val="18"/>
          <w:szCs w:val="18"/>
          <w:lang w:eastAsia="en-GB"/>
        </w:rPr>
      </w:pPr>
      <w:r w:rsidRPr="00587CEE">
        <w:rPr>
          <w:rFonts w:asciiTheme="minorHAnsi" w:eastAsia="Times New Roman" w:hAnsiTheme="minorHAnsi" w:cstheme="minorHAnsi"/>
          <w:color w:val="616265"/>
          <w:sz w:val="18"/>
          <w:szCs w:val="18"/>
          <w:lang w:eastAsia="en-GB"/>
        </w:rPr>
        <w:t>To travel from your normal mainline or underground station if you have to work in the office after 21:00.</w:t>
      </w:r>
    </w:p>
    <w:p w:rsidR="00587CEE" w:rsidRPr="00587CEE" w:rsidRDefault="00587CEE" w:rsidP="00587CEE">
      <w:pPr>
        <w:spacing w:before="100" w:beforeAutospacing="1" w:after="240" w:line="240" w:lineRule="auto"/>
        <w:outlineLvl w:val="1"/>
        <w:rPr>
          <w:rFonts w:asciiTheme="minorHAnsi" w:eastAsia="Times New Roman" w:hAnsiTheme="minorHAnsi" w:cstheme="minorHAnsi"/>
          <w:b/>
          <w:bCs/>
          <w:color w:val="616265"/>
          <w:sz w:val="18"/>
          <w:szCs w:val="18"/>
          <w:lang w:eastAsia="en-GB"/>
        </w:rPr>
      </w:pPr>
      <w:r w:rsidRPr="00587CEE">
        <w:rPr>
          <w:rFonts w:asciiTheme="minorHAnsi" w:eastAsia="Times New Roman" w:hAnsiTheme="minorHAnsi" w:cstheme="minorHAnsi"/>
          <w:b/>
          <w:bCs/>
          <w:color w:val="616265"/>
          <w:sz w:val="18"/>
          <w:szCs w:val="18"/>
          <w:lang w:eastAsia="en-GB"/>
        </w:rPr>
        <w:t>Car hire</w:t>
      </w:r>
    </w:p>
    <w:p w:rsidR="00587CEE" w:rsidRPr="00587CEE" w:rsidRDefault="00587CEE" w:rsidP="00587CEE">
      <w:pPr>
        <w:spacing w:before="240" w:after="240" w:line="240" w:lineRule="auto"/>
        <w:outlineLvl w:val="3"/>
        <w:rPr>
          <w:rFonts w:asciiTheme="minorHAnsi" w:eastAsia="Times New Roman" w:hAnsiTheme="minorHAnsi" w:cstheme="minorHAnsi"/>
          <w:bCs/>
          <w:color w:val="616265"/>
          <w:sz w:val="18"/>
          <w:szCs w:val="18"/>
          <w:lang w:eastAsia="en-GB"/>
        </w:rPr>
      </w:pPr>
      <w:r w:rsidRPr="00587CEE">
        <w:rPr>
          <w:rFonts w:asciiTheme="minorHAnsi" w:eastAsia="Times New Roman" w:hAnsiTheme="minorHAnsi" w:cstheme="minorHAnsi"/>
          <w:bCs/>
          <w:color w:val="616265"/>
          <w:sz w:val="18"/>
          <w:szCs w:val="18"/>
          <w:lang w:eastAsia="en-GB"/>
        </w:rPr>
        <w:t>Cars should only be hired when reasonable public transport is not available. Car hire should be agreed in writing by a Director in advance.</w:t>
      </w:r>
    </w:p>
    <w:p w:rsidR="00587CEE" w:rsidRPr="00587CEE" w:rsidRDefault="00587CEE" w:rsidP="00587CEE">
      <w:pPr>
        <w:spacing w:before="100" w:beforeAutospacing="1" w:after="240" w:line="240" w:lineRule="auto"/>
        <w:outlineLvl w:val="1"/>
        <w:rPr>
          <w:rFonts w:asciiTheme="minorHAnsi" w:eastAsia="Times New Roman" w:hAnsiTheme="minorHAnsi" w:cstheme="minorHAnsi"/>
          <w:b/>
          <w:bCs/>
          <w:color w:val="616265"/>
          <w:sz w:val="18"/>
          <w:szCs w:val="18"/>
          <w:lang w:eastAsia="en-GB"/>
        </w:rPr>
      </w:pPr>
      <w:r w:rsidRPr="00587CEE">
        <w:rPr>
          <w:rFonts w:asciiTheme="minorHAnsi" w:eastAsia="Times New Roman" w:hAnsiTheme="minorHAnsi" w:cstheme="minorHAnsi"/>
          <w:b/>
          <w:bCs/>
          <w:color w:val="616265"/>
          <w:sz w:val="18"/>
          <w:szCs w:val="18"/>
          <w:lang w:eastAsia="en-GB"/>
        </w:rPr>
        <w:t>Parking</w:t>
      </w:r>
    </w:p>
    <w:p w:rsidR="00587CEE" w:rsidRPr="00587CEE" w:rsidRDefault="00587CEE" w:rsidP="00587CEE">
      <w:pPr>
        <w:spacing w:before="240" w:after="240" w:line="240" w:lineRule="auto"/>
        <w:rPr>
          <w:rFonts w:asciiTheme="minorHAnsi" w:eastAsia="Times New Roman" w:hAnsiTheme="minorHAnsi" w:cstheme="minorHAnsi"/>
          <w:color w:val="616265"/>
          <w:sz w:val="18"/>
          <w:szCs w:val="18"/>
          <w:lang w:eastAsia="en-GB"/>
        </w:rPr>
      </w:pPr>
      <w:r w:rsidRPr="00587CEE">
        <w:rPr>
          <w:rFonts w:asciiTheme="minorHAnsi" w:eastAsia="Times New Roman" w:hAnsiTheme="minorHAnsi" w:cstheme="minorHAnsi"/>
          <w:color w:val="616265"/>
          <w:sz w:val="18"/>
          <w:szCs w:val="18"/>
          <w:lang w:eastAsia="en-GB"/>
        </w:rPr>
        <w:t>The OGA will reimburse reasonable parking costs providing receipts are provided.</w:t>
      </w:r>
      <w:r w:rsidRPr="00587CEE">
        <w:rPr>
          <w:rFonts w:asciiTheme="minorHAnsi" w:eastAsia="Times New Roman" w:hAnsiTheme="minorHAnsi" w:cstheme="minorHAnsi"/>
          <w:b/>
          <w:bCs/>
          <w:color w:val="616265"/>
          <w:sz w:val="18"/>
          <w:szCs w:val="18"/>
          <w:lang w:eastAsia="en-GB"/>
        </w:rPr>
        <w:t> </w:t>
      </w:r>
    </w:p>
    <w:p w:rsidR="00587CEE" w:rsidRPr="00161124" w:rsidRDefault="00587CEE">
      <w:pPr>
        <w:rPr>
          <w:rFonts w:asciiTheme="minorHAnsi" w:hAnsiTheme="minorHAnsi" w:cstheme="minorHAnsi"/>
          <w:sz w:val="18"/>
          <w:szCs w:val="18"/>
        </w:rPr>
      </w:pPr>
    </w:p>
    <w:sectPr w:rsidR="00587CEE" w:rsidRPr="001611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6D90"/>
    <w:multiLevelType w:val="multilevel"/>
    <w:tmpl w:val="EFB6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9802AE"/>
    <w:multiLevelType w:val="multilevel"/>
    <w:tmpl w:val="D4B82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E5014D"/>
    <w:multiLevelType w:val="hybridMultilevel"/>
    <w:tmpl w:val="F61AF4D8"/>
    <w:lvl w:ilvl="0" w:tplc="C15ED1E0">
      <w:start w:val="1"/>
      <w:numFmt w:val="lowerRoman"/>
      <w:lvlText w:val="(%1)"/>
      <w:lvlJc w:val="left"/>
      <w:pPr>
        <w:ind w:left="1128" w:hanging="720"/>
      </w:pPr>
      <w:rPr>
        <w:rFonts w:hint="default"/>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3">
    <w:nsid w:val="256309C6"/>
    <w:multiLevelType w:val="hybridMultilevel"/>
    <w:tmpl w:val="47FAA62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D722214"/>
    <w:multiLevelType w:val="multilevel"/>
    <w:tmpl w:val="2C94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3E5139"/>
    <w:multiLevelType w:val="multilevel"/>
    <w:tmpl w:val="73306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C65055"/>
    <w:multiLevelType w:val="multilevel"/>
    <w:tmpl w:val="4244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7F02CB"/>
    <w:multiLevelType w:val="hybridMultilevel"/>
    <w:tmpl w:val="050C0606"/>
    <w:lvl w:ilvl="0" w:tplc="04090011">
      <w:start w:val="1"/>
      <w:numFmt w:val="decimal"/>
      <w:lvlText w:val="%1)"/>
      <w:lvlJc w:val="left"/>
      <w:pPr>
        <w:ind w:left="720" w:hanging="360"/>
      </w:pPr>
    </w:lvl>
    <w:lvl w:ilvl="1" w:tplc="98A2EB4E">
      <w:start w:val="1"/>
      <w:numFmt w:val="lowerLetter"/>
      <w:lvlText w:val="%2."/>
      <w:lvlJc w:val="left"/>
      <w:pPr>
        <w:ind w:left="1440" w:hanging="360"/>
      </w:pPr>
      <w:rPr>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B3115A9"/>
    <w:multiLevelType w:val="multilevel"/>
    <w:tmpl w:val="76D4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505610"/>
    <w:multiLevelType w:val="hybridMultilevel"/>
    <w:tmpl w:val="67B89142"/>
    <w:lvl w:ilvl="0" w:tplc="7A7A22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5"/>
  </w:num>
  <w:num w:numId="6">
    <w:abstractNumId w:val="4"/>
  </w:num>
  <w:num w:numId="7">
    <w:abstractNumId w:val="0"/>
  </w:num>
  <w:num w:numId="8">
    <w:abstractNumId w:val="6"/>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124"/>
    <w:rsid w:val="00160D84"/>
    <w:rsid w:val="00161124"/>
    <w:rsid w:val="003351F6"/>
    <w:rsid w:val="00343A28"/>
    <w:rsid w:val="00587CEE"/>
    <w:rsid w:val="0059044B"/>
    <w:rsid w:val="00630BCF"/>
    <w:rsid w:val="00856569"/>
    <w:rsid w:val="00994A85"/>
    <w:rsid w:val="00A67177"/>
    <w:rsid w:val="00B97370"/>
    <w:rsid w:val="00C6415B"/>
    <w:rsid w:val="00C82530"/>
    <w:rsid w:val="00D16324"/>
    <w:rsid w:val="00EB1B92"/>
    <w:rsid w:val="00F50A64"/>
    <w:rsid w:val="00F54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87CEE"/>
    <w:pPr>
      <w:spacing w:before="100" w:beforeAutospacing="1" w:after="240"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587CEE"/>
    <w:pPr>
      <w:spacing w:before="240" w:after="240"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587CEE"/>
    <w:pPr>
      <w:spacing w:before="240" w:after="240" w:line="240" w:lineRule="auto"/>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124"/>
    <w:pPr>
      <w:spacing w:after="0" w:line="240" w:lineRule="auto"/>
      <w:ind w:left="720"/>
    </w:pPr>
    <w:rPr>
      <w:rFonts w:ascii="Calibri" w:hAnsi="Calibri" w:cs="Calibri"/>
      <w:sz w:val="22"/>
      <w:szCs w:val="22"/>
      <w:lang w:eastAsia="en-GB"/>
    </w:rPr>
  </w:style>
  <w:style w:type="table" w:styleId="TableGrid">
    <w:name w:val="Table Grid"/>
    <w:basedOn w:val="TableNormal"/>
    <w:uiPriority w:val="59"/>
    <w:rsid w:val="00161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87CEE"/>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587CEE"/>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587CEE"/>
    <w:rPr>
      <w:rFonts w:ascii="Times New Roman" w:eastAsia="Times New Roman" w:hAnsi="Times New Roman" w:cs="Times New Roman"/>
      <w:b/>
      <w:bCs/>
      <w:lang w:eastAsia="en-GB"/>
    </w:rPr>
  </w:style>
  <w:style w:type="character" w:styleId="Hyperlink">
    <w:name w:val="Hyperlink"/>
    <w:basedOn w:val="DefaultParagraphFont"/>
    <w:uiPriority w:val="99"/>
    <w:semiHidden/>
    <w:unhideWhenUsed/>
    <w:rsid w:val="00587CEE"/>
    <w:rPr>
      <w:color w:val="0000FF"/>
      <w:u w:val="single"/>
    </w:rPr>
  </w:style>
  <w:style w:type="character" w:styleId="Strong">
    <w:name w:val="Strong"/>
    <w:basedOn w:val="DefaultParagraphFont"/>
    <w:uiPriority w:val="22"/>
    <w:qFormat/>
    <w:rsid w:val="00587CEE"/>
    <w:rPr>
      <w:b/>
      <w:bCs/>
    </w:rPr>
  </w:style>
  <w:style w:type="paragraph" w:styleId="NormalWeb">
    <w:name w:val="Normal (Web)"/>
    <w:basedOn w:val="Normal"/>
    <w:uiPriority w:val="99"/>
    <w:unhideWhenUsed/>
    <w:rsid w:val="00587CEE"/>
    <w:pPr>
      <w:spacing w:before="240" w:after="240" w:line="240" w:lineRule="auto"/>
    </w:pPr>
    <w:rPr>
      <w:rFonts w:ascii="Times New Roman" w:eastAsia="Times New Roman" w:hAnsi="Times New Roman" w:cs="Times New Roman"/>
      <w:lang w:eastAsia="en-GB"/>
    </w:rPr>
  </w:style>
  <w:style w:type="character" w:customStyle="1" w:styleId="baec5a81-e4d6-4674-97f3-e9220f0136c1">
    <w:name w:val="baec5a81-e4d6-4674-97f3-e9220f0136c1"/>
    <w:basedOn w:val="DefaultParagraphFont"/>
    <w:rsid w:val="00587C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87CEE"/>
    <w:pPr>
      <w:spacing w:before="100" w:beforeAutospacing="1" w:after="240"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587CEE"/>
    <w:pPr>
      <w:spacing w:before="240" w:after="240"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587CEE"/>
    <w:pPr>
      <w:spacing w:before="240" w:after="240" w:line="240" w:lineRule="auto"/>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124"/>
    <w:pPr>
      <w:spacing w:after="0" w:line="240" w:lineRule="auto"/>
      <w:ind w:left="720"/>
    </w:pPr>
    <w:rPr>
      <w:rFonts w:ascii="Calibri" w:hAnsi="Calibri" w:cs="Calibri"/>
      <w:sz w:val="22"/>
      <w:szCs w:val="22"/>
      <w:lang w:eastAsia="en-GB"/>
    </w:rPr>
  </w:style>
  <w:style w:type="table" w:styleId="TableGrid">
    <w:name w:val="Table Grid"/>
    <w:basedOn w:val="TableNormal"/>
    <w:uiPriority w:val="59"/>
    <w:rsid w:val="00161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87CEE"/>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587CEE"/>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587CEE"/>
    <w:rPr>
      <w:rFonts w:ascii="Times New Roman" w:eastAsia="Times New Roman" w:hAnsi="Times New Roman" w:cs="Times New Roman"/>
      <w:b/>
      <w:bCs/>
      <w:lang w:eastAsia="en-GB"/>
    </w:rPr>
  </w:style>
  <w:style w:type="character" w:styleId="Hyperlink">
    <w:name w:val="Hyperlink"/>
    <w:basedOn w:val="DefaultParagraphFont"/>
    <w:uiPriority w:val="99"/>
    <w:semiHidden/>
    <w:unhideWhenUsed/>
    <w:rsid w:val="00587CEE"/>
    <w:rPr>
      <w:color w:val="0000FF"/>
      <w:u w:val="single"/>
    </w:rPr>
  </w:style>
  <w:style w:type="character" w:styleId="Strong">
    <w:name w:val="Strong"/>
    <w:basedOn w:val="DefaultParagraphFont"/>
    <w:uiPriority w:val="22"/>
    <w:qFormat/>
    <w:rsid w:val="00587CEE"/>
    <w:rPr>
      <w:b/>
      <w:bCs/>
    </w:rPr>
  </w:style>
  <w:style w:type="paragraph" w:styleId="NormalWeb">
    <w:name w:val="Normal (Web)"/>
    <w:basedOn w:val="Normal"/>
    <w:uiPriority w:val="99"/>
    <w:unhideWhenUsed/>
    <w:rsid w:val="00587CEE"/>
    <w:pPr>
      <w:spacing w:before="240" w:after="240" w:line="240" w:lineRule="auto"/>
    </w:pPr>
    <w:rPr>
      <w:rFonts w:ascii="Times New Roman" w:eastAsia="Times New Roman" w:hAnsi="Times New Roman" w:cs="Times New Roman"/>
      <w:lang w:eastAsia="en-GB"/>
    </w:rPr>
  </w:style>
  <w:style w:type="character" w:customStyle="1" w:styleId="baec5a81-e4d6-4674-97f3-e9220f0136c1">
    <w:name w:val="baec5a81-e4d6-4674-97f3-e9220f0136c1"/>
    <w:basedOn w:val="DefaultParagraphFont"/>
    <w:rsid w:val="00587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952320">
      <w:bodyDiv w:val="1"/>
      <w:marLeft w:val="0"/>
      <w:marRight w:val="0"/>
      <w:marTop w:val="0"/>
      <w:marBottom w:val="0"/>
      <w:divBdr>
        <w:top w:val="none" w:sz="0" w:space="0" w:color="auto"/>
        <w:left w:val="none" w:sz="0" w:space="0" w:color="auto"/>
        <w:bottom w:val="none" w:sz="0" w:space="0" w:color="auto"/>
        <w:right w:val="none" w:sz="0" w:space="0" w:color="auto"/>
      </w:divBdr>
      <w:divsChild>
        <w:div w:id="303774782">
          <w:marLeft w:val="0"/>
          <w:marRight w:val="0"/>
          <w:marTop w:val="0"/>
          <w:marBottom w:val="0"/>
          <w:divBdr>
            <w:top w:val="none" w:sz="0" w:space="0" w:color="auto"/>
            <w:left w:val="none" w:sz="0" w:space="0" w:color="auto"/>
            <w:bottom w:val="none" w:sz="0" w:space="0" w:color="auto"/>
            <w:right w:val="none" w:sz="0" w:space="0" w:color="auto"/>
          </w:divBdr>
        </w:div>
      </w:divsChild>
    </w:div>
    <w:div w:id="1648169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1529</Words>
  <Characters>8718</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10227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Cusack Sean (Infrastructure &amp; Information Services)</dc:creator>
  <cp:lastModifiedBy>Saworsky Kate (OGA)</cp:lastModifiedBy>
  <cp:revision>2</cp:revision>
  <dcterms:created xsi:type="dcterms:W3CDTF">2016-12-02T11:11:00Z</dcterms:created>
  <dcterms:modified xsi:type="dcterms:W3CDTF">2016-12-02T11:11:00Z</dcterms:modified>
</cp:coreProperties>
</file>