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3135" w14:textId="6DDE5FAA" w:rsidR="006928BB" w:rsidRDefault="006928BB">
      <w:r>
        <w:rPr>
          <w:rFonts w:ascii="Calibri" w:hAnsi="Calibri" w:cs="Calibri"/>
          <w:color w:val="47494C"/>
          <w:sz w:val="27"/>
          <w:szCs w:val="27"/>
          <w:shd w:val="clear" w:color="auto" w:fill="FFFFFF"/>
        </w:rPr>
        <w:t>This is for information only, to communicate that the Authority invites interested providers to attend a virtual market engagement event for the South Yorkshire and Bassetlaw Pathology (SYBP) Managed Services Contract (MSC) procurement opportunity. This event will be broadcast via Microsoft (MS) Teams Live Event on 21 February 2024 at 15:30-17:30.</w:t>
      </w:r>
      <w:r>
        <w:rPr>
          <w:rFonts w:ascii="Calibri" w:hAnsi="Calibri" w:cs="Calibri"/>
          <w:color w:val="47494C"/>
          <w:sz w:val="27"/>
          <w:szCs w:val="27"/>
        </w:rPr>
        <w:br/>
      </w:r>
      <w:r>
        <w:rPr>
          <w:rFonts w:ascii="Calibri" w:hAnsi="Calibri" w:cs="Calibri"/>
          <w:color w:val="47494C"/>
          <w:sz w:val="27"/>
          <w:szCs w:val="27"/>
        </w:rPr>
        <w:br/>
      </w:r>
      <w:r>
        <w:rPr>
          <w:rFonts w:ascii="Calibri" w:hAnsi="Calibri" w:cs="Calibri"/>
          <w:color w:val="47494C"/>
          <w:sz w:val="27"/>
          <w:szCs w:val="27"/>
          <w:shd w:val="clear" w:color="auto" w:fill="FFFFFF"/>
        </w:rPr>
        <w:t>SYBP seeks to secure a long-term strategic partner for the provision of an MSC in support pathology providing services to the five NHS Partners. These include:</w:t>
      </w:r>
      <w:r>
        <w:rPr>
          <w:rFonts w:ascii="Calibri" w:hAnsi="Calibri" w:cs="Calibri"/>
          <w:color w:val="47494C"/>
          <w:sz w:val="27"/>
          <w:szCs w:val="27"/>
        </w:rPr>
        <w:br/>
      </w:r>
      <w:r>
        <w:rPr>
          <w:rFonts w:ascii="Calibri" w:hAnsi="Calibri" w:cs="Calibri"/>
          <w:color w:val="47494C"/>
          <w:sz w:val="27"/>
          <w:szCs w:val="27"/>
          <w:shd w:val="clear" w:color="auto" w:fill="FFFFFF"/>
        </w:rPr>
        <w:t>Barnsley NHS Foundation Trust</w:t>
      </w:r>
      <w:r>
        <w:rPr>
          <w:rFonts w:ascii="Calibri" w:hAnsi="Calibri" w:cs="Calibri"/>
          <w:color w:val="47494C"/>
          <w:sz w:val="27"/>
          <w:szCs w:val="27"/>
        </w:rPr>
        <w:br/>
      </w:r>
      <w:r>
        <w:rPr>
          <w:rFonts w:ascii="Calibri" w:hAnsi="Calibri" w:cs="Calibri"/>
          <w:color w:val="47494C"/>
          <w:sz w:val="27"/>
          <w:szCs w:val="27"/>
          <w:shd w:val="clear" w:color="auto" w:fill="FFFFFF"/>
        </w:rPr>
        <w:t>Doncaster &amp; Bassetlaw Teaching Hospitals NHS Foundation Trust</w:t>
      </w:r>
      <w:r>
        <w:rPr>
          <w:rFonts w:ascii="Calibri" w:hAnsi="Calibri" w:cs="Calibri"/>
          <w:color w:val="47494C"/>
          <w:sz w:val="27"/>
          <w:szCs w:val="27"/>
        </w:rPr>
        <w:br/>
      </w:r>
      <w:r>
        <w:rPr>
          <w:rFonts w:ascii="Calibri" w:hAnsi="Calibri" w:cs="Calibri"/>
          <w:color w:val="47494C"/>
          <w:sz w:val="27"/>
          <w:szCs w:val="27"/>
          <w:shd w:val="clear" w:color="auto" w:fill="FFFFFF"/>
        </w:rPr>
        <w:t>Sheffield Children’s NHS Foundation Trust</w:t>
      </w:r>
      <w:r>
        <w:rPr>
          <w:rFonts w:ascii="Calibri" w:hAnsi="Calibri" w:cs="Calibri"/>
          <w:color w:val="47494C"/>
          <w:sz w:val="27"/>
          <w:szCs w:val="27"/>
        </w:rPr>
        <w:br/>
      </w:r>
      <w:r>
        <w:rPr>
          <w:rFonts w:ascii="Calibri" w:hAnsi="Calibri" w:cs="Calibri"/>
          <w:color w:val="47494C"/>
          <w:sz w:val="27"/>
          <w:szCs w:val="27"/>
          <w:shd w:val="clear" w:color="auto" w:fill="FFFFFF"/>
        </w:rPr>
        <w:t>Sheffield Teaching Hospitals NHS Foundation Trust</w:t>
      </w:r>
      <w:r>
        <w:rPr>
          <w:rFonts w:ascii="Calibri" w:hAnsi="Calibri" w:cs="Calibri"/>
          <w:color w:val="47494C"/>
          <w:sz w:val="27"/>
          <w:szCs w:val="27"/>
        </w:rPr>
        <w:br/>
      </w:r>
      <w:r>
        <w:rPr>
          <w:rFonts w:ascii="Calibri" w:hAnsi="Calibri" w:cs="Calibri"/>
          <w:color w:val="47494C"/>
          <w:sz w:val="27"/>
          <w:szCs w:val="27"/>
          <w:shd w:val="clear" w:color="auto" w:fill="FFFFFF"/>
        </w:rPr>
        <w:t>The Rotherham NHS Foundation Trust</w:t>
      </w:r>
      <w:r>
        <w:rPr>
          <w:rFonts w:ascii="Calibri" w:hAnsi="Calibri" w:cs="Calibri"/>
          <w:color w:val="47494C"/>
          <w:sz w:val="27"/>
          <w:szCs w:val="27"/>
        </w:rPr>
        <w:br/>
      </w:r>
      <w:r>
        <w:rPr>
          <w:rFonts w:ascii="Calibri" w:hAnsi="Calibri" w:cs="Calibri"/>
          <w:color w:val="47494C"/>
          <w:sz w:val="27"/>
          <w:szCs w:val="27"/>
        </w:rPr>
        <w:br/>
      </w:r>
      <w:r>
        <w:rPr>
          <w:rFonts w:ascii="Calibri" w:hAnsi="Calibri" w:cs="Calibri"/>
          <w:color w:val="47494C"/>
          <w:sz w:val="27"/>
          <w:szCs w:val="27"/>
          <w:shd w:val="clear" w:color="auto" w:fill="FFFFFF"/>
        </w:rPr>
        <w:t>The establishment of a new MSC will support transition to a single pathology service, delivering quality and efficiency benefits for patients, clinicians, staff and wider stakeholders, including (but not limited to):</w:t>
      </w:r>
      <w:r>
        <w:rPr>
          <w:rFonts w:ascii="Calibri" w:hAnsi="Calibri" w:cs="Calibri"/>
          <w:color w:val="47494C"/>
          <w:sz w:val="27"/>
          <w:szCs w:val="27"/>
        </w:rPr>
        <w:br/>
      </w:r>
      <w:r>
        <w:rPr>
          <w:rFonts w:ascii="Calibri" w:hAnsi="Calibri" w:cs="Calibri"/>
          <w:color w:val="47494C"/>
          <w:sz w:val="27"/>
          <w:szCs w:val="27"/>
        </w:rPr>
        <w:br/>
      </w:r>
      <w:r>
        <w:rPr>
          <w:rFonts w:ascii="Calibri" w:hAnsi="Calibri" w:cs="Calibri"/>
          <w:color w:val="47494C"/>
          <w:sz w:val="27"/>
          <w:szCs w:val="27"/>
          <w:shd w:val="clear" w:color="auto" w:fill="FFFFFF"/>
        </w:rPr>
        <w:t>Common equipment platforms and middleware</w:t>
      </w:r>
      <w:r>
        <w:rPr>
          <w:rFonts w:ascii="Calibri" w:hAnsi="Calibri" w:cs="Calibri"/>
          <w:color w:val="47494C"/>
          <w:sz w:val="27"/>
          <w:szCs w:val="27"/>
        </w:rPr>
        <w:br/>
      </w:r>
      <w:r>
        <w:rPr>
          <w:rFonts w:ascii="Calibri" w:hAnsi="Calibri" w:cs="Calibri"/>
          <w:color w:val="47494C"/>
          <w:sz w:val="27"/>
          <w:szCs w:val="27"/>
          <w:shd w:val="clear" w:color="auto" w:fill="FFFFFF"/>
        </w:rPr>
        <w:t>Equitable access to tests and algorithms for all patients</w:t>
      </w:r>
      <w:r>
        <w:rPr>
          <w:rFonts w:ascii="Calibri" w:hAnsi="Calibri" w:cs="Calibri"/>
          <w:color w:val="47494C"/>
          <w:sz w:val="27"/>
          <w:szCs w:val="27"/>
        </w:rPr>
        <w:br/>
      </w:r>
      <w:r>
        <w:rPr>
          <w:rFonts w:ascii="Calibri" w:hAnsi="Calibri" w:cs="Calibri"/>
          <w:color w:val="47494C"/>
          <w:sz w:val="27"/>
          <w:szCs w:val="27"/>
          <w:shd w:val="clear" w:color="auto" w:fill="FFFFFF"/>
        </w:rPr>
        <w:t>Standardisation of testing</w:t>
      </w:r>
      <w:r>
        <w:rPr>
          <w:rFonts w:ascii="Calibri" w:hAnsi="Calibri" w:cs="Calibri"/>
          <w:color w:val="47494C"/>
          <w:sz w:val="27"/>
          <w:szCs w:val="27"/>
        </w:rPr>
        <w:br/>
      </w:r>
      <w:r>
        <w:rPr>
          <w:rFonts w:ascii="Calibri" w:hAnsi="Calibri" w:cs="Calibri"/>
          <w:color w:val="47494C"/>
          <w:sz w:val="27"/>
          <w:szCs w:val="27"/>
          <w:shd w:val="clear" w:color="auto" w:fill="FFFFFF"/>
        </w:rPr>
        <w:t>Facilitating essential movement of staff and/or workloads, as required</w:t>
      </w:r>
      <w:r>
        <w:rPr>
          <w:rFonts w:ascii="Calibri" w:hAnsi="Calibri" w:cs="Calibri"/>
          <w:color w:val="47494C"/>
          <w:sz w:val="27"/>
          <w:szCs w:val="27"/>
        </w:rPr>
        <w:br/>
      </w:r>
      <w:r>
        <w:rPr>
          <w:rFonts w:ascii="Calibri" w:hAnsi="Calibri" w:cs="Calibri"/>
          <w:color w:val="47494C"/>
          <w:sz w:val="27"/>
          <w:szCs w:val="27"/>
          <w:shd w:val="clear" w:color="auto" w:fill="FFFFFF"/>
        </w:rPr>
        <w:t>Integration of equipment and platforms</w:t>
      </w:r>
      <w:r>
        <w:rPr>
          <w:rFonts w:ascii="Calibri" w:hAnsi="Calibri" w:cs="Calibri"/>
          <w:color w:val="47494C"/>
          <w:sz w:val="27"/>
          <w:szCs w:val="27"/>
        </w:rPr>
        <w:br/>
      </w:r>
      <w:r>
        <w:rPr>
          <w:rFonts w:ascii="Calibri" w:hAnsi="Calibri" w:cs="Calibri"/>
          <w:color w:val="47494C"/>
          <w:sz w:val="27"/>
          <w:szCs w:val="27"/>
          <w:shd w:val="clear" w:color="auto" w:fill="FFFFFF"/>
        </w:rPr>
        <w:t>Integration of new Oracle health Laboratory Information Management Systems (LIMS) for consolidated reporting.</w:t>
      </w:r>
      <w:r>
        <w:rPr>
          <w:rFonts w:ascii="Calibri" w:hAnsi="Calibri" w:cs="Calibri"/>
          <w:color w:val="47494C"/>
          <w:sz w:val="27"/>
          <w:szCs w:val="27"/>
        </w:rPr>
        <w:br/>
      </w:r>
      <w:r>
        <w:rPr>
          <w:rFonts w:ascii="Calibri" w:hAnsi="Calibri" w:cs="Calibri"/>
          <w:color w:val="47494C"/>
          <w:sz w:val="27"/>
          <w:szCs w:val="27"/>
        </w:rPr>
        <w:br/>
      </w:r>
      <w:r>
        <w:rPr>
          <w:rFonts w:ascii="Calibri" w:hAnsi="Calibri" w:cs="Calibri"/>
          <w:color w:val="47494C"/>
          <w:sz w:val="27"/>
          <w:szCs w:val="27"/>
          <w:shd w:val="clear" w:color="auto" w:fill="FFFFFF"/>
        </w:rPr>
        <w:t>This is a pre-procurement market engagement event, the purpose of which is to provide an update to the market following previous engagement events ahead of our tender process going live. The Live Event will occur on 21 February 2024 at 15:30-17:30.</w:t>
      </w:r>
      <w:r>
        <w:rPr>
          <w:rFonts w:ascii="Calibri" w:hAnsi="Calibri" w:cs="Calibri"/>
          <w:color w:val="47494C"/>
          <w:sz w:val="27"/>
          <w:szCs w:val="27"/>
        </w:rPr>
        <w:br/>
      </w:r>
      <w:r>
        <w:rPr>
          <w:rFonts w:ascii="Calibri" w:hAnsi="Calibri" w:cs="Calibri"/>
          <w:color w:val="47494C"/>
          <w:sz w:val="27"/>
          <w:szCs w:val="27"/>
        </w:rPr>
        <w:br/>
      </w:r>
      <w:r>
        <w:rPr>
          <w:rFonts w:ascii="Calibri" w:hAnsi="Calibri" w:cs="Calibri"/>
          <w:color w:val="47494C"/>
          <w:sz w:val="27"/>
          <w:szCs w:val="27"/>
          <w:shd w:val="clear" w:color="auto" w:fill="FFFFFF"/>
        </w:rPr>
        <w:t>The format of the Live Event will be a presentation from the project team followed by an opportunity for the market to ask any questions.</w:t>
      </w:r>
      <w:r>
        <w:rPr>
          <w:rFonts w:ascii="Calibri" w:hAnsi="Calibri" w:cs="Calibri"/>
          <w:color w:val="47494C"/>
          <w:sz w:val="27"/>
          <w:szCs w:val="27"/>
        </w:rPr>
        <w:br/>
      </w:r>
      <w:r>
        <w:rPr>
          <w:rFonts w:ascii="Calibri" w:hAnsi="Calibri" w:cs="Calibri"/>
          <w:color w:val="47494C"/>
          <w:sz w:val="27"/>
          <w:szCs w:val="27"/>
        </w:rPr>
        <w:br/>
      </w:r>
      <w:r>
        <w:rPr>
          <w:rFonts w:ascii="Calibri" w:hAnsi="Calibri" w:cs="Calibri"/>
          <w:color w:val="47494C"/>
          <w:sz w:val="27"/>
          <w:szCs w:val="27"/>
          <w:shd w:val="clear" w:color="auto" w:fill="FFFFFF"/>
        </w:rPr>
        <w:t>All organisations wishing to attend the event must complete the following booking form.</w:t>
      </w:r>
      <w:r>
        <w:rPr>
          <w:rFonts w:ascii="Calibri" w:hAnsi="Calibri" w:cs="Calibri"/>
          <w:color w:val="47494C"/>
          <w:sz w:val="27"/>
          <w:szCs w:val="27"/>
        </w:rPr>
        <w:br/>
      </w:r>
      <w:r>
        <w:rPr>
          <w:rFonts w:ascii="Calibri" w:hAnsi="Calibri" w:cs="Calibri"/>
          <w:color w:val="47494C"/>
          <w:sz w:val="27"/>
          <w:szCs w:val="27"/>
        </w:rPr>
        <w:br/>
      </w:r>
      <w:hyperlink r:id="rId4" w:tgtFrame="_blank" w:history="1">
        <w:r>
          <w:rPr>
            <w:rStyle w:val="Hyperlink"/>
            <w:rFonts w:ascii="Calibri" w:hAnsi="Calibri" w:cs="Calibri"/>
            <w:color w:val="265BA8"/>
            <w:sz w:val="27"/>
            <w:szCs w:val="27"/>
            <w:shd w:val="clear" w:color="auto" w:fill="FFFFFF"/>
          </w:rPr>
          <w:t>https://events.teams.microsoft.com/event/ec1040b7-4a4e-4609-ae26-ca0e61be8a36@37c354b2-85b0-47f5-b222-07b48d774ee3</w:t>
        </w:r>
      </w:hyperlink>
      <w:r>
        <w:rPr>
          <w:rFonts w:ascii="Calibri" w:hAnsi="Calibri" w:cs="Calibri"/>
          <w:color w:val="47494C"/>
          <w:sz w:val="27"/>
          <w:szCs w:val="27"/>
        </w:rPr>
        <w:br/>
      </w:r>
      <w:r>
        <w:rPr>
          <w:rFonts w:ascii="Calibri" w:hAnsi="Calibri" w:cs="Calibri"/>
          <w:color w:val="47494C"/>
          <w:sz w:val="27"/>
          <w:szCs w:val="27"/>
        </w:rPr>
        <w:lastRenderedPageBreak/>
        <w:br/>
      </w:r>
      <w:r>
        <w:rPr>
          <w:rFonts w:ascii="Calibri" w:hAnsi="Calibri" w:cs="Calibri"/>
          <w:color w:val="47494C"/>
          <w:sz w:val="27"/>
          <w:szCs w:val="27"/>
          <w:shd w:val="clear" w:color="auto" w:fill="FFFFFF"/>
        </w:rPr>
        <w:t>The link to enable you to access the webinar will be provided automatically via email when registered.</w:t>
      </w:r>
      <w:r>
        <w:rPr>
          <w:rFonts w:ascii="Calibri" w:hAnsi="Calibri" w:cs="Calibri"/>
          <w:color w:val="47494C"/>
          <w:sz w:val="27"/>
          <w:szCs w:val="27"/>
        </w:rPr>
        <w:br/>
      </w:r>
      <w:r>
        <w:rPr>
          <w:rFonts w:ascii="Calibri" w:hAnsi="Calibri" w:cs="Calibri"/>
          <w:color w:val="47494C"/>
          <w:sz w:val="27"/>
          <w:szCs w:val="27"/>
        </w:rPr>
        <w:br/>
      </w:r>
      <w:r>
        <w:rPr>
          <w:rFonts w:ascii="Calibri" w:hAnsi="Calibri" w:cs="Calibri"/>
          <w:color w:val="47494C"/>
          <w:sz w:val="27"/>
          <w:szCs w:val="27"/>
          <w:shd w:val="clear" w:color="auto" w:fill="FFFFFF"/>
        </w:rPr>
        <w:t xml:space="preserve">Should you require any information regarding this event please respond to this message via the </w:t>
      </w:r>
      <w:proofErr w:type="spellStart"/>
      <w:r>
        <w:rPr>
          <w:rFonts w:ascii="Calibri" w:hAnsi="Calibri" w:cs="Calibri"/>
          <w:color w:val="47494C"/>
          <w:sz w:val="27"/>
          <w:szCs w:val="27"/>
          <w:shd w:val="clear" w:color="auto" w:fill="FFFFFF"/>
        </w:rPr>
        <w:t>etendering</w:t>
      </w:r>
      <w:proofErr w:type="spellEnd"/>
      <w:r>
        <w:rPr>
          <w:rFonts w:ascii="Calibri" w:hAnsi="Calibri" w:cs="Calibri"/>
          <w:color w:val="47494C"/>
          <w:sz w:val="27"/>
          <w:szCs w:val="27"/>
          <w:shd w:val="clear" w:color="auto" w:fill="FFFFFF"/>
        </w:rPr>
        <w:t xml:space="preserve"> portal.</w:t>
      </w:r>
      <w:r>
        <w:rPr>
          <w:rFonts w:ascii="Calibri" w:hAnsi="Calibri" w:cs="Calibri"/>
          <w:color w:val="47494C"/>
          <w:sz w:val="27"/>
          <w:szCs w:val="27"/>
        </w:rPr>
        <w:br/>
      </w:r>
      <w:r>
        <w:rPr>
          <w:rFonts w:ascii="Calibri" w:hAnsi="Calibri" w:cs="Calibri"/>
          <w:color w:val="47494C"/>
          <w:sz w:val="27"/>
          <w:szCs w:val="27"/>
          <w:shd w:val="clear" w:color="auto" w:fill="FFFFFF"/>
        </w:rPr>
        <w:t>The Authority shall not be responsible for any costs or expenses incurred by respondents to this market engagement event, in preparing and/or submitting responses and or attendance to such events.</w:t>
      </w:r>
    </w:p>
    <w:sectPr w:rsidR="00692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BB"/>
    <w:rsid w:val="00692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12D2"/>
  <w15:chartTrackingRefBased/>
  <w15:docId w15:val="{B1B8AFDD-8373-4DBB-9C0D-19AE074F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ents.teams.microsoft.com/event/ec1040b7-4a4e-4609-ae26-ca0e61be8a36@37c354b2-85b0-47f5-b222-07b48d774e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Emma (SHEFFIELD TEACHING HOSPITALS NHS FOUNDATION TRUST)</dc:creator>
  <cp:keywords/>
  <dc:description/>
  <cp:lastModifiedBy>RODGERS, Emma (SHEFFIELD TEACHING HOSPITALS NHS FOUNDATION TRUST)</cp:lastModifiedBy>
  <cp:revision>1</cp:revision>
  <dcterms:created xsi:type="dcterms:W3CDTF">2024-02-02T11:42:00Z</dcterms:created>
  <dcterms:modified xsi:type="dcterms:W3CDTF">2024-02-02T11:42:00Z</dcterms:modified>
</cp:coreProperties>
</file>