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24.0" w:type="dxa"/>
        <w:jc w:val="left"/>
        <w:tblInd w:w="-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24"/>
        <w:tblGridChange w:id="0">
          <w:tblGrid>
            <w:gridCol w:w="9524"/>
          </w:tblGrid>
        </w:tblGridChange>
      </w:tblGrid>
      <w:tr>
        <w:trPr>
          <w:cantSplit w:val="0"/>
          <w:trHeight w:val="1248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shd w:fill="ffffff" w:val="clear"/>
              <w:spacing w:line="240" w:lineRule="auto"/>
              <w:ind w:left="360" w:firstLine="0"/>
              <w:rPr>
                <w:rFonts w:ascii="Calibri" w:cs="Calibri" w:eastAsia="Calibri" w:hAnsi="Calibri"/>
                <w:b w:val="1"/>
                <w:color w:val="1f497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hd w:fill="ffffff" w:val="clear"/>
              <w:spacing w:line="240" w:lineRule="auto"/>
              <w:ind w:left="360" w:firstLine="0"/>
              <w:rPr>
                <w:rFonts w:ascii="Calibri" w:cs="Calibri" w:eastAsia="Calibri" w:hAnsi="Calibri"/>
                <w:b w:val="1"/>
                <w:color w:val="1f497d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This Framework Agreement RM6329 is for use by Contracting Authorities in the United Kingdom, British Overseas Territories, and Crown Dependencies that exist on 22/03/2024 and which fall into one or more of the following categories:</w:t>
            </w:r>
          </w:p>
          <w:p w:rsidR="00000000" w:rsidDel="00000000" w:rsidP="00000000" w:rsidRDefault="00000000" w:rsidRPr="00000000" w14:paraId="00000004">
            <w:pPr>
              <w:widowControl w:val="0"/>
              <w:shd w:fill="ffffff" w:val="clear"/>
              <w:spacing w:line="240" w:lineRule="auto"/>
              <w:ind w:left="720" w:firstLine="0"/>
              <w:rPr>
                <w:rFonts w:ascii="Calibri" w:cs="Calibri" w:eastAsia="Calibri" w:hAnsi="Calibri"/>
                <w:b w:val="1"/>
                <w:color w:val="1f497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5">
            <w:pPr>
              <w:widowControl w:val="0"/>
              <w:shd w:fill="ffffff" w:val="clear"/>
              <w:spacing w:line="240" w:lineRule="auto"/>
              <w:ind w:left="1080" w:firstLine="0"/>
              <w:rPr>
                <w:rFonts w:ascii="Calibri" w:cs="Calibri" w:eastAsia="Calibri" w:hAnsi="Calibri"/>
                <w:b w:val="1"/>
                <w:color w:val="1f497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497d"/>
                <w:sz w:val="14"/>
                <w:szCs w:val="14"/>
                <w:rtl w:val="0"/>
              </w:rPr>
              <w:t xml:space="preserve">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Any of the following:</w:t>
            </w:r>
          </w:p>
          <w:p w:rsidR="00000000" w:rsidDel="00000000" w:rsidP="00000000" w:rsidRDefault="00000000" w:rsidRPr="00000000" w14:paraId="00000006">
            <w:pPr>
              <w:widowControl w:val="0"/>
              <w:shd w:fill="ffffff" w:val="clear"/>
              <w:spacing w:line="240" w:lineRule="auto"/>
              <w:ind w:left="360" w:firstLine="0"/>
              <w:rPr>
                <w:rFonts w:ascii="Calibri" w:cs="Calibri" w:eastAsia="Calibri" w:hAnsi="Calibri"/>
                <w:b w:val="1"/>
                <w:color w:val="1f497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widowControl w:val="0"/>
              <w:shd w:fill="ffffff" w:val="clear"/>
              <w:spacing w:line="240" w:lineRule="auto"/>
              <w:ind w:left="1440" w:firstLine="0"/>
              <w:rPr>
                <w:rFonts w:ascii="Calibri" w:cs="Calibri" w:eastAsia="Calibri" w:hAnsi="Calibri"/>
                <w:b w:val="1"/>
                <w:color w:val="1f497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(a)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497d"/>
                <w:sz w:val="14"/>
                <w:szCs w:val="14"/>
                <w:rtl w:val="0"/>
              </w:rPr>
              <w:t xml:space="preserve">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Ministerial government departments;</w:t>
            </w:r>
          </w:p>
          <w:p w:rsidR="00000000" w:rsidDel="00000000" w:rsidP="00000000" w:rsidRDefault="00000000" w:rsidRPr="00000000" w14:paraId="00000008">
            <w:pPr>
              <w:widowControl w:val="0"/>
              <w:shd w:fill="ffffff" w:val="clear"/>
              <w:spacing w:line="240" w:lineRule="auto"/>
              <w:ind w:left="1440" w:firstLine="0"/>
              <w:rPr>
                <w:rFonts w:ascii="Calibri" w:cs="Calibri" w:eastAsia="Calibri" w:hAnsi="Calibri"/>
                <w:b w:val="1"/>
                <w:color w:val="1f497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(b)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497d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Non ministerial government departments;</w:t>
            </w:r>
          </w:p>
          <w:p w:rsidR="00000000" w:rsidDel="00000000" w:rsidP="00000000" w:rsidRDefault="00000000" w:rsidRPr="00000000" w14:paraId="00000009">
            <w:pPr>
              <w:widowControl w:val="0"/>
              <w:shd w:fill="ffffff" w:val="clear"/>
              <w:spacing w:line="240" w:lineRule="auto"/>
              <w:ind w:left="1440" w:firstLine="0"/>
              <w:rPr>
                <w:rFonts w:ascii="Calibri" w:cs="Calibri" w:eastAsia="Calibri" w:hAnsi="Calibri"/>
                <w:b w:val="1"/>
                <w:color w:val="1f497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(c)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497d"/>
                <w:sz w:val="14"/>
                <w:szCs w:val="14"/>
                <w:rtl w:val="0"/>
              </w:rPr>
              <w:t xml:space="preserve">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Executive agencies of government;</w:t>
            </w:r>
          </w:p>
          <w:p w:rsidR="00000000" w:rsidDel="00000000" w:rsidP="00000000" w:rsidRDefault="00000000" w:rsidRPr="00000000" w14:paraId="0000000A">
            <w:pPr>
              <w:widowControl w:val="0"/>
              <w:shd w:fill="ffffff" w:val="clear"/>
              <w:spacing w:line="240" w:lineRule="auto"/>
              <w:ind w:left="1440" w:firstLine="0"/>
              <w:rPr>
                <w:rFonts w:ascii="Calibri" w:cs="Calibri" w:eastAsia="Calibri" w:hAnsi="Calibri"/>
                <w:b w:val="1"/>
                <w:color w:val="1f497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(d)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497d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Non-Departmental Public Bodies (NDPBs), including advisory NDPBs, executive NDPBs, and tribunal NDPBs;</w:t>
            </w:r>
          </w:p>
          <w:p w:rsidR="00000000" w:rsidDel="00000000" w:rsidP="00000000" w:rsidRDefault="00000000" w:rsidRPr="00000000" w14:paraId="0000000B">
            <w:pPr>
              <w:widowControl w:val="0"/>
              <w:shd w:fill="ffffff" w:val="clear"/>
              <w:spacing w:line="240" w:lineRule="auto"/>
              <w:ind w:left="1440" w:firstLine="0"/>
              <w:rPr>
                <w:rFonts w:ascii="Calibri" w:cs="Calibri" w:eastAsia="Calibri" w:hAnsi="Calibri"/>
                <w:b w:val="1"/>
                <w:color w:val="1f497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(e)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497d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Assembly Sponsored Public Bodies (ASPBs);</w:t>
            </w:r>
          </w:p>
          <w:p w:rsidR="00000000" w:rsidDel="00000000" w:rsidP="00000000" w:rsidRDefault="00000000" w:rsidRPr="00000000" w14:paraId="0000000C">
            <w:pPr>
              <w:widowControl w:val="0"/>
              <w:shd w:fill="ffffff" w:val="clear"/>
              <w:spacing w:line="240" w:lineRule="auto"/>
              <w:ind w:left="1440" w:firstLine="0"/>
              <w:rPr>
                <w:rFonts w:ascii="Calibri" w:cs="Calibri" w:eastAsia="Calibri" w:hAnsi="Calibri"/>
                <w:b w:val="1"/>
                <w:color w:val="1f497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(f)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497d"/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Police forces;</w:t>
            </w:r>
          </w:p>
          <w:p w:rsidR="00000000" w:rsidDel="00000000" w:rsidP="00000000" w:rsidRDefault="00000000" w:rsidRPr="00000000" w14:paraId="0000000D">
            <w:pPr>
              <w:widowControl w:val="0"/>
              <w:shd w:fill="ffffff" w:val="clear"/>
              <w:spacing w:line="240" w:lineRule="auto"/>
              <w:ind w:left="1440" w:firstLine="0"/>
              <w:rPr>
                <w:rFonts w:ascii="Calibri" w:cs="Calibri" w:eastAsia="Calibri" w:hAnsi="Calibri"/>
                <w:b w:val="1"/>
                <w:color w:val="1f497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(g)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497d"/>
                <w:sz w:val="14"/>
                <w:szCs w:val="14"/>
                <w:rtl w:val="0"/>
              </w:rPr>
              <w:t xml:space="preserve">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Fire and rescue services;</w:t>
            </w:r>
          </w:p>
          <w:p w:rsidR="00000000" w:rsidDel="00000000" w:rsidP="00000000" w:rsidRDefault="00000000" w:rsidRPr="00000000" w14:paraId="0000000E">
            <w:pPr>
              <w:widowControl w:val="0"/>
              <w:shd w:fill="ffffff" w:val="clear"/>
              <w:spacing w:line="240" w:lineRule="auto"/>
              <w:ind w:left="1440" w:firstLine="0"/>
              <w:rPr>
                <w:rFonts w:ascii="Calibri" w:cs="Calibri" w:eastAsia="Calibri" w:hAnsi="Calibri"/>
                <w:b w:val="1"/>
                <w:color w:val="1f497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(h)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497d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Ambulance services;</w:t>
            </w:r>
          </w:p>
          <w:p w:rsidR="00000000" w:rsidDel="00000000" w:rsidP="00000000" w:rsidRDefault="00000000" w:rsidRPr="00000000" w14:paraId="0000000F">
            <w:pPr>
              <w:widowControl w:val="0"/>
              <w:shd w:fill="ffffff" w:val="clear"/>
              <w:spacing w:line="240" w:lineRule="auto"/>
              <w:ind w:left="1440" w:firstLine="0"/>
              <w:rPr>
                <w:rFonts w:ascii="Calibri" w:cs="Calibri" w:eastAsia="Calibri" w:hAnsi="Calibri"/>
                <w:b w:val="1"/>
                <w:color w:val="1f497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(i)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497d"/>
                <w:sz w:val="14"/>
                <w:szCs w:val="14"/>
                <w:rtl w:val="0"/>
              </w:rPr>
              <w:t xml:space="preserve">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Maritime and coastguard agency services;</w:t>
            </w:r>
          </w:p>
          <w:p w:rsidR="00000000" w:rsidDel="00000000" w:rsidP="00000000" w:rsidRDefault="00000000" w:rsidRPr="00000000" w14:paraId="00000010">
            <w:pPr>
              <w:widowControl w:val="0"/>
              <w:shd w:fill="ffffff" w:val="clear"/>
              <w:spacing w:line="240" w:lineRule="auto"/>
              <w:ind w:left="1440" w:firstLine="0"/>
              <w:rPr>
                <w:rFonts w:ascii="Calibri" w:cs="Calibri" w:eastAsia="Calibri" w:hAnsi="Calibri"/>
                <w:b w:val="1"/>
                <w:color w:val="1f497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(j)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497d"/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NHS bodies;</w:t>
            </w:r>
          </w:p>
          <w:p w:rsidR="00000000" w:rsidDel="00000000" w:rsidP="00000000" w:rsidRDefault="00000000" w:rsidRPr="00000000" w14:paraId="00000011">
            <w:pPr>
              <w:widowControl w:val="0"/>
              <w:shd w:fill="ffffff" w:val="clear"/>
              <w:spacing w:line="240" w:lineRule="auto"/>
              <w:ind w:left="1440" w:firstLine="0"/>
              <w:rPr>
                <w:rFonts w:ascii="Calibri" w:cs="Calibri" w:eastAsia="Calibri" w:hAnsi="Calibri"/>
                <w:b w:val="1"/>
                <w:color w:val="1f497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(k)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497d"/>
                <w:sz w:val="14"/>
                <w:szCs w:val="14"/>
                <w:rtl w:val="0"/>
              </w:rPr>
              <w:t xml:space="preserve">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Educational bodies or establishments including state schools (nursery schools, primary schools, middle or high schools, secondary schools, special schools), academies, colleges, Pupil Referral Unit (PRU), further education colleges and universities;</w:t>
            </w:r>
          </w:p>
          <w:p w:rsidR="00000000" w:rsidDel="00000000" w:rsidP="00000000" w:rsidRDefault="00000000" w:rsidRPr="00000000" w14:paraId="00000012">
            <w:pPr>
              <w:widowControl w:val="0"/>
              <w:shd w:fill="ffffff" w:val="clear"/>
              <w:spacing w:line="240" w:lineRule="auto"/>
              <w:ind w:left="1440" w:firstLine="0"/>
              <w:rPr>
                <w:rFonts w:ascii="Calibri" w:cs="Calibri" w:eastAsia="Calibri" w:hAnsi="Calibri"/>
                <w:b w:val="1"/>
                <w:color w:val="1f497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(l)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497d"/>
                <w:sz w:val="14"/>
                <w:szCs w:val="14"/>
                <w:rtl w:val="0"/>
              </w:rPr>
              <w:t xml:space="preserve">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Hospices;</w:t>
            </w:r>
          </w:p>
          <w:p w:rsidR="00000000" w:rsidDel="00000000" w:rsidP="00000000" w:rsidRDefault="00000000" w:rsidRPr="00000000" w14:paraId="00000013">
            <w:pPr>
              <w:widowControl w:val="0"/>
              <w:shd w:fill="ffffff" w:val="clear"/>
              <w:spacing w:line="240" w:lineRule="auto"/>
              <w:ind w:left="1440" w:firstLine="0"/>
              <w:rPr>
                <w:rFonts w:ascii="Calibri" w:cs="Calibri" w:eastAsia="Calibri" w:hAnsi="Calibri"/>
                <w:b w:val="1"/>
                <w:color w:val="1f497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(m)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497d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National Parks;</w:t>
            </w:r>
          </w:p>
          <w:p w:rsidR="00000000" w:rsidDel="00000000" w:rsidP="00000000" w:rsidRDefault="00000000" w:rsidRPr="00000000" w14:paraId="00000014">
            <w:pPr>
              <w:widowControl w:val="0"/>
              <w:shd w:fill="ffffff" w:val="clear"/>
              <w:spacing w:line="240" w:lineRule="auto"/>
              <w:ind w:left="1440" w:firstLine="0"/>
              <w:rPr>
                <w:rFonts w:ascii="Calibri" w:cs="Calibri" w:eastAsia="Calibri" w:hAnsi="Calibri"/>
                <w:b w:val="1"/>
                <w:color w:val="1f497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(n)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497d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Housing associations, including registered social landlords;</w:t>
            </w:r>
          </w:p>
          <w:p w:rsidR="00000000" w:rsidDel="00000000" w:rsidP="00000000" w:rsidRDefault="00000000" w:rsidRPr="00000000" w14:paraId="00000015">
            <w:pPr>
              <w:widowControl w:val="0"/>
              <w:shd w:fill="ffffff" w:val="clear"/>
              <w:spacing w:line="240" w:lineRule="auto"/>
              <w:ind w:left="1440" w:firstLine="0"/>
              <w:rPr>
                <w:rFonts w:ascii="Calibri" w:cs="Calibri" w:eastAsia="Calibri" w:hAnsi="Calibri"/>
                <w:b w:val="1"/>
                <w:color w:val="1f497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(o)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497d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Third sector and charities;</w:t>
            </w:r>
          </w:p>
          <w:p w:rsidR="00000000" w:rsidDel="00000000" w:rsidP="00000000" w:rsidRDefault="00000000" w:rsidRPr="00000000" w14:paraId="00000016">
            <w:pPr>
              <w:widowControl w:val="0"/>
              <w:shd w:fill="ffffff" w:val="clear"/>
              <w:spacing w:line="240" w:lineRule="auto"/>
              <w:ind w:left="1440" w:firstLine="0"/>
              <w:rPr>
                <w:rFonts w:ascii="Calibri" w:cs="Calibri" w:eastAsia="Calibri" w:hAnsi="Calibri"/>
                <w:b w:val="1"/>
                <w:color w:val="1f497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(p)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497d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Citizens advice bodies;</w:t>
            </w:r>
          </w:p>
          <w:p w:rsidR="00000000" w:rsidDel="00000000" w:rsidP="00000000" w:rsidRDefault="00000000" w:rsidRPr="00000000" w14:paraId="00000017">
            <w:pPr>
              <w:widowControl w:val="0"/>
              <w:shd w:fill="ffffff" w:val="clear"/>
              <w:spacing w:line="240" w:lineRule="auto"/>
              <w:ind w:left="1440" w:firstLine="0"/>
              <w:rPr>
                <w:rFonts w:ascii="Calibri" w:cs="Calibri" w:eastAsia="Calibri" w:hAnsi="Calibri"/>
                <w:b w:val="1"/>
                <w:color w:val="1f497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(q)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497d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Councils, including county councils, district councils, county borough councils, community councils, London borough councils, unitary councils, metropolitan councils, parish councils;</w:t>
            </w:r>
          </w:p>
          <w:p w:rsidR="00000000" w:rsidDel="00000000" w:rsidP="00000000" w:rsidRDefault="00000000" w:rsidRPr="00000000" w14:paraId="00000018">
            <w:pPr>
              <w:widowControl w:val="0"/>
              <w:shd w:fill="ffffff" w:val="clear"/>
              <w:spacing w:line="240" w:lineRule="auto"/>
              <w:ind w:left="1440" w:firstLine="0"/>
              <w:rPr>
                <w:rFonts w:ascii="Calibri" w:cs="Calibri" w:eastAsia="Calibri" w:hAnsi="Calibri"/>
                <w:b w:val="1"/>
                <w:color w:val="1f497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(r)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497d"/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Public corporations;</w:t>
            </w:r>
          </w:p>
          <w:p w:rsidR="00000000" w:rsidDel="00000000" w:rsidP="00000000" w:rsidRDefault="00000000" w:rsidRPr="00000000" w14:paraId="00000019">
            <w:pPr>
              <w:widowControl w:val="0"/>
              <w:shd w:fill="ffffff" w:val="clear"/>
              <w:spacing w:line="240" w:lineRule="auto"/>
              <w:ind w:left="1440" w:firstLine="0"/>
              <w:rPr>
                <w:rFonts w:ascii="Calibri" w:cs="Calibri" w:eastAsia="Calibri" w:hAnsi="Calibri"/>
                <w:b w:val="1"/>
                <w:color w:val="1f497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(s)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497d"/>
                <w:sz w:val="14"/>
                <w:szCs w:val="14"/>
                <w:rtl w:val="0"/>
              </w:rPr>
              <w:t xml:space="preserve">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Public financial bodies or institutions;</w:t>
            </w:r>
          </w:p>
          <w:p w:rsidR="00000000" w:rsidDel="00000000" w:rsidP="00000000" w:rsidRDefault="00000000" w:rsidRPr="00000000" w14:paraId="0000001A">
            <w:pPr>
              <w:widowControl w:val="0"/>
              <w:shd w:fill="ffffff" w:val="clear"/>
              <w:spacing w:line="240" w:lineRule="auto"/>
              <w:ind w:left="1440" w:firstLine="0"/>
              <w:rPr>
                <w:rFonts w:ascii="Calibri" w:cs="Calibri" w:eastAsia="Calibri" w:hAnsi="Calibri"/>
                <w:b w:val="1"/>
                <w:color w:val="1f497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(t)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497d"/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Public pension funds;</w:t>
            </w:r>
          </w:p>
          <w:p w:rsidR="00000000" w:rsidDel="00000000" w:rsidP="00000000" w:rsidRDefault="00000000" w:rsidRPr="00000000" w14:paraId="0000001B">
            <w:pPr>
              <w:widowControl w:val="0"/>
              <w:shd w:fill="ffffff" w:val="clear"/>
              <w:spacing w:line="240" w:lineRule="auto"/>
              <w:ind w:left="1440" w:firstLine="0"/>
              <w:rPr>
                <w:rFonts w:ascii="Calibri" w:cs="Calibri" w:eastAsia="Calibri" w:hAnsi="Calibri"/>
                <w:b w:val="1"/>
                <w:color w:val="1f497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(u)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497d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Central banks; and</w:t>
            </w:r>
          </w:p>
          <w:p w:rsidR="00000000" w:rsidDel="00000000" w:rsidP="00000000" w:rsidRDefault="00000000" w:rsidRPr="00000000" w14:paraId="0000001C">
            <w:pPr>
              <w:widowControl w:val="0"/>
              <w:shd w:fill="ffffff" w:val="clear"/>
              <w:spacing w:line="240" w:lineRule="auto"/>
              <w:ind w:left="1440" w:firstLine="0"/>
              <w:rPr>
                <w:rFonts w:ascii="Calibri" w:cs="Calibri" w:eastAsia="Calibri" w:hAnsi="Calibri"/>
                <w:b w:val="1"/>
                <w:color w:val="1f497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(v)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497d"/>
                <w:sz w:val="14"/>
                <w:szCs w:val="14"/>
                <w:rtl w:val="0"/>
              </w:rPr>
              <w:t xml:space="preserve">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Civil service bodies, including public sector buying organisations.</w:t>
            </w:r>
          </w:p>
          <w:p w:rsidR="00000000" w:rsidDel="00000000" w:rsidP="00000000" w:rsidRDefault="00000000" w:rsidRPr="00000000" w14:paraId="0000001D">
            <w:pPr>
              <w:widowControl w:val="0"/>
              <w:shd w:fill="ffffff" w:val="clear"/>
              <w:spacing w:line="240" w:lineRule="auto"/>
              <w:ind w:left="360" w:firstLine="0"/>
              <w:rPr>
                <w:rFonts w:ascii="Calibri" w:cs="Calibri" w:eastAsia="Calibri" w:hAnsi="Calibri"/>
                <w:b w:val="1"/>
                <w:color w:val="1f497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widowControl w:val="0"/>
              <w:shd w:fill="ffffff" w:val="clear"/>
              <w:spacing w:line="240" w:lineRule="auto"/>
              <w:ind w:left="1080" w:firstLine="0"/>
              <w:rPr>
                <w:rFonts w:ascii="Calibri" w:cs="Calibri" w:eastAsia="Calibri" w:hAnsi="Calibri"/>
                <w:b w:val="1"/>
                <w:color w:val="1f497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497d"/>
                <w:sz w:val="14"/>
                <w:szCs w:val="14"/>
                <w:rtl w:val="0"/>
              </w:rPr>
              <w:t xml:space="preserve">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Those listed and maintained by the Government on their website at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b w:val="1"/>
                  <w:color w:val="1155cc"/>
                  <w:u w:val="single"/>
                  <w:rtl w:val="0"/>
                </w:rPr>
                <w:t xml:space="preserve">https://www.gov.uk/government/organisations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 or any replacement or updated web-link.</w:t>
            </w:r>
          </w:p>
          <w:p w:rsidR="00000000" w:rsidDel="00000000" w:rsidP="00000000" w:rsidRDefault="00000000" w:rsidRPr="00000000" w14:paraId="0000001F">
            <w:pPr>
              <w:widowControl w:val="0"/>
              <w:shd w:fill="ffffff" w:val="clear"/>
              <w:spacing w:line="240" w:lineRule="auto"/>
              <w:ind w:left="1080" w:firstLine="0"/>
              <w:rPr>
                <w:rFonts w:ascii="Calibri" w:cs="Calibri" w:eastAsia="Calibri" w:hAnsi="Calibri"/>
                <w:b w:val="1"/>
                <w:color w:val="1f497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widowControl w:val="0"/>
              <w:shd w:fill="ffffff" w:val="clear"/>
              <w:spacing w:line="240" w:lineRule="auto"/>
              <w:ind w:left="1080" w:firstLine="0"/>
              <w:rPr>
                <w:rFonts w:ascii="Calibri" w:cs="Calibri" w:eastAsia="Calibri" w:hAnsi="Calibri"/>
                <w:b w:val="1"/>
                <w:color w:val="1f497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497d"/>
                <w:sz w:val="14"/>
                <w:szCs w:val="14"/>
                <w:rtl w:val="0"/>
              </w:rPr>
              <w:t xml:space="preserve">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Those listed and maintained by the Office of National Statistics (ONS) at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b w:val="1"/>
                  <w:color w:val="1155cc"/>
                  <w:u w:val="single"/>
                  <w:rtl w:val="0"/>
                </w:rPr>
                <w:t xml:space="preserve">https://www.ons.gov.uk/methodology/classificationsandstandards/economicstatisticsclassifications/introductiontoeconomicstatisticsclassifications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 or any replacement or updated web-link.</w:t>
            </w:r>
          </w:p>
          <w:p w:rsidR="00000000" w:rsidDel="00000000" w:rsidP="00000000" w:rsidRDefault="00000000" w:rsidRPr="00000000" w14:paraId="00000021">
            <w:pPr>
              <w:widowControl w:val="0"/>
              <w:shd w:fill="ffffff" w:val="clear"/>
              <w:spacing w:line="240" w:lineRule="auto"/>
              <w:ind w:left="1080" w:firstLine="0"/>
              <w:rPr>
                <w:rFonts w:ascii="Calibri" w:cs="Calibri" w:eastAsia="Calibri" w:hAnsi="Calibri"/>
                <w:b w:val="1"/>
                <w:color w:val="1f497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widowControl w:val="0"/>
              <w:shd w:fill="ffffff" w:val="clear"/>
              <w:spacing w:line="240" w:lineRule="auto"/>
              <w:ind w:left="1080" w:firstLine="0"/>
              <w:rPr>
                <w:rFonts w:ascii="Calibri" w:cs="Calibri" w:eastAsia="Calibri" w:hAnsi="Calibri"/>
                <w:b w:val="1"/>
                <w:color w:val="1f497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497d"/>
                <w:sz w:val="14"/>
                <w:szCs w:val="14"/>
                <w:rtl w:val="0"/>
              </w:rPr>
              <w:t xml:space="preserve">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Those bodies in England, Wales or Northern Ireland which are within the scope of  the definition of “Contracting Authority” in regulation 2(1) of the Public Contracts Regulations 2015 (PCR) and/or Schedule 1 PCR.</w:t>
            </w:r>
          </w:p>
          <w:p w:rsidR="00000000" w:rsidDel="00000000" w:rsidP="00000000" w:rsidRDefault="00000000" w:rsidRPr="00000000" w14:paraId="00000023">
            <w:pPr>
              <w:widowControl w:val="0"/>
              <w:shd w:fill="ffffff" w:val="clear"/>
              <w:spacing w:line="240" w:lineRule="auto"/>
              <w:ind w:left="1080" w:firstLine="0"/>
              <w:rPr>
                <w:rFonts w:ascii="Calibri" w:cs="Calibri" w:eastAsia="Calibri" w:hAnsi="Calibri"/>
                <w:b w:val="1"/>
                <w:color w:val="1f497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color w:val="444444"/>
          <w:highlight w:val="whit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line="240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Customer List  - v1.0</w:t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line="240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RM63</w:t>
    </w:r>
    <w:r w:rsidDel="00000000" w:rsidR="00000000" w:rsidRPr="00000000">
      <w:rPr>
        <w:sz w:val="20"/>
        <w:szCs w:val="20"/>
        <w:rtl w:val="0"/>
      </w:rPr>
      <w:t xml:space="preserve">29</w:t>
    </w:r>
    <w:r w:rsidDel="00000000" w:rsidR="00000000" w:rsidRPr="00000000">
      <w:rPr>
        <w:color w:val="000000"/>
        <w:sz w:val="20"/>
        <w:szCs w:val="20"/>
        <w:rtl w:val="0"/>
      </w:rPr>
      <w:t xml:space="preserve"> </w:t>
    </w:r>
    <w:r w:rsidDel="00000000" w:rsidR="00000000" w:rsidRPr="00000000">
      <w:rPr>
        <w:sz w:val="20"/>
        <w:szCs w:val="20"/>
        <w:rtl w:val="0"/>
      </w:rPr>
      <w:t xml:space="preserve">Logistics, Warehousing and Supply Chain Solutions</w:t>
    </w:r>
    <w:r w:rsidDel="00000000" w:rsidR="00000000" w:rsidRPr="00000000">
      <w:rPr>
        <w:color w:val="000000"/>
        <w:sz w:val="20"/>
        <w:szCs w:val="20"/>
        <w:rtl w:val="0"/>
      </w:rPr>
      <w:t xml:space="preserve"> Framework 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6B3526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HAns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6B3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6B352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6B35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6B3526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6B3526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B3526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B3526"/>
    <w:rPr>
      <w:rFonts w:ascii="Segoe UI" w:cs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semiHidden w:val="1"/>
    <w:unhideWhenUsed w:val="1"/>
    <w:rsid w:val="002751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2751F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320505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20505"/>
  </w:style>
  <w:style w:type="paragraph" w:styleId="Footer">
    <w:name w:val="footer"/>
    <w:basedOn w:val="Normal"/>
    <w:link w:val="FooterChar"/>
    <w:uiPriority w:val="99"/>
    <w:unhideWhenUsed w:val="1"/>
    <w:rsid w:val="00320505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20505"/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v.uk/government/organisations" TargetMode="External"/><Relationship Id="rId8" Type="http://schemas.openxmlformats.org/officeDocument/2006/relationships/hyperlink" Target="https://www.ons.gov.uk/methodology/classificationsandstandards/economicstatisticsclassifications/introductiontoeconomicstatisticsclassific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z2F+TDgOVhuevKSdmv1IJcUE9A==">CgMxLjAyCWguMzBqMHpsbDgAciExSEFiN2RzeGMtbk1xN2ZjVUpjVFFhS0NzZm9YME5QR0s=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2024-03-13T08:38:00Z</dcterms:created>
  <dc:creator>Ashutosh Paul</dc:creator>
</cp:coreProperties>
</file>