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1C44" w14:textId="77777777" w:rsidR="00FE18AC" w:rsidRDefault="00FE18AC" w:rsidP="00FE18AC">
      <w:pPr>
        <w:pStyle w:val="bodystrongcentred"/>
      </w:pPr>
      <w:r>
        <w:t>CONTENTS</w:t>
      </w:r>
    </w:p>
    <w:p w14:paraId="757634AA" w14:textId="77777777" w:rsidR="00FE18AC" w:rsidRDefault="00FE18AC" w:rsidP="00FE18AC"/>
    <w:p w14:paraId="0C4D58B8" w14:textId="77777777" w:rsidR="002962F2"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57913370" w:history="1">
        <w:r w:rsidR="002962F2" w:rsidRPr="00221F1E">
          <w:rPr>
            <w:rStyle w:val="Hyperlink"/>
            <w:noProof/>
          </w:rPr>
          <w:t>1.</w:t>
        </w:r>
        <w:r w:rsidR="002962F2">
          <w:rPr>
            <w:rFonts w:asciiTheme="minorHAnsi" w:eastAsiaTheme="minorEastAsia" w:hAnsiTheme="minorHAnsi" w:cstheme="minorBidi"/>
            <w:caps w:val="0"/>
            <w:noProof/>
            <w:szCs w:val="22"/>
            <w:lang w:eastAsia="en-GB"/>
          </w:rPr>
          <w:tab/>
        </w:r>
        <w:r w:rsidR="002962F2" w:rsidRPr="00221F1E">
          <w:rPr>
            <w:rStyle w:val="Hyperlink"/>
            <w:noProof/>
          </w:rPr>
          <w:t>PURPOSE</w:t>
        </w:r>
        <w:r w:rsidR="002962F2">
          <w:rPr>
            <w:noProof/>
            <w:webHidden/>
          </w:rPr>
          <w:tab/>
        </w:r>
        <w:r w:rsidR="002962F2">
          <w:rPr>
            <w:noProof/>
            <w:webHidden/>
          </w:rPr>
          <w:fldChar w:fldCharType="begin"/>
        </w:r>
        <w:r w:rsidR="002962F2">
          <w:rPr>
            <w:noProof/>
            <w:webHidden/>
          </w:rPr>
          <w:instrText xml:space="preserve"> PAGEREF _Toc457913370 \h </w:instrText>
        </w:r>
        <w:r w:rsidR="002962F2">
          <w:rPr>
            <w:noProof/>
            <w:webHidden/>
          </w:rPr>
        </w:r>
        <w:r w:rsidR="002962F2">
          <w:rPr>
            <w:noProof/>
            <w:webHidden/>
          </w:rPr>
          <w:fldChar w:fldCharType="separate"/>
        </w:r>
        <w:r w:rsidR="002962F2">
          <w:rPr>
            <w:noProof/>
            <w:webHidden/>
          </w:rPr>
          <w:t>2</w:t>
        </w:r>
        <w:r w:rsidR="002962F2">
          <w:rPr>
            <w:noProof/>
            <w:webHidden/>
          </w:rPr>
          <w:fldChar w:fldCharType="end"/>
        </w:r>
      </w:hyperlink>
    </w:p>
    <w:p w14:paraId="0E513AE0" w14:textId="77777777" w:rsidR="002962F2" w:rsidRDefault="001A17C3">
      <w:pPr>
        <w:pStyle w:val="TOC1"/>
        <w:rPr>
          <w:rFonts w:asciiTheme="minorHAnsi" w:eastAsiaTheme="minorEastAsia" w:hAnsiTheme="minorHAnsi" w:cstheme="minorBidi"/>
          <w:caps w:val="0"/>
          <w:noProof/>
          <w:szCs w:val="22"/>
          <w:lang w:eastAsia="en-GB"/>
        </w:rPr>
      </w:pPr>
      <w:hyperlink w:anchor="_Toc457913371" w:history="1">
        <w:r w:rsidR="002962F2" w:rsidRPr="00221F1E">
          <w:rPr>
            <w:rStyle w:val="Hyperlink"/>
            <w:noProof/>
          </w:rPr>
          <w:t>2.</w:t>
        </w:r>
        <w:r w:rsidR="002962F2">
          <w:rPr>
            <w:rFonts w:asciiTheme="minorHAnsi" w:eastAsiaTheme="minorEastAsia" w:hAnsiTheme="minorHAnsi" w:cstheme="minorBidi"/>
            <w:caps w:val="0"/>
            <w:noProof/>
            <w:szCs w:val="22"/>
            <w:lang w:eastAsia="en-GB"/>
          </w:rPr>
          <w:tab/>
        </w:r>
        <w:r w:rsidR="002962F2" w:rsidRPr="00221F1E">
          <w:rPr>
            <w:rStyle w:val="Hyperlink"/>
            <w:noProof/>
          </w:rPr>
          <w:t>BACKGROUND TO THE CONTRACTING aUTHORITy</w:t>
        </w:r>
        <w:r w:rsidR="002962F2">
          <w:rPr>
            <w:noProof/>
            <w:webHidden/>
          </w:rPr>
          <w:tab/>
        </w:r>
        <w:r w:rsidR="002962F2">
          <w:rPr>
            <w:noProof/>
            <w:webHidden/>
          </w:rPr>
          <w:fldChar w:fldCharType="begin"/>
        </w:r>
        <w:r w:rsidR="002962F2">
          <w:rPr>
            <w:noProof/>
            <w:webHidden/>
          </w:rPr>
          <w:instrText xml:space="preserve"> PAGEREF _Toc457913371 \h </w:instrText>
        </w:r>
        <w:r w:rsidR="002962F2">
          <w:rPr>
            <w:noProof/>
            <w:webHidden/>
          </w:rPr>
        </w:r>
        <w:r w:rsidR="002962F2">
          <w:rPr>
            <w:noProof/>
            <w:webHidden/>
          </w:rPr>
          <w:fldChar w:fldCharType="separate"/>
        </w:r>
        <w:r w:rsidR="002962F2">
          <w:rPr>
            <w:noProof/>
            <w:webHidden/>
          </w:rPr>
          <w:t>2</w:t>
        </w:r>
        <w:r w:rsidR="002962F2">
          <w:rPr>
            <w:noProof/>
            <w:webHidden/>
          </w:rPr>
          <w:fldChar w:fldCharType="end"/>
        </w:r>
      </w:hyperlink>
    </w:p>
    <w:p w14:paraId="5D4C6769" w14:textId="77777777" w:rsidR="002962F2" w:rsidRDefault="001A17C3">
      <w:pPr>
        <w:pStyle w:val="TOC1"/>
        <w:rPr>
          <w:rFonts w:asciiTheme="minorHAnsi" w:eastAsiaTheme="minorEastAsia" w:hAnsiTheme="minorHAnsi" w:cstheme="minorBidi"/>
          <w:caps w:val="0"/>
          <w:noProof/>
          <w:szCs w:val="22"/>
          <w:lang w:eastAsia="en-GB"/>
        </w:rPr>
      </w:pPr>
      <w:hyperlink w:anchor="_Toc457913372" w:history="1">
        <w:r w:rsidR="002962F2" w:rsidRPr="00221F1E">
          <w:rPr>
            <w:rStyle w:val="Hyperlink"/>
            <w:noProof/>
          </w:rPr>
          <w:t>3.</w:t>
        </w:r>
        <w:r w:rsidR="002962F2">
          <w:rPr>
            <w:rFonts w:asciiTheme="minorHAnsi" w:eastAsiaTheme="minorEastAsia" w:hAnsiTheme="minorHAnsi" w:cstheme="minorBidi"/>
            <w:caps w:val="0"/>
            <w:noProof/>
            <w:szCs w:val="22"/>
            <w:lang w:eastAsia="en-GB"/>
          </w:rPr>
          <w:tab/>
        </w:r>
        <w:r w:rsidR="002962F2" w:rsidRPr="00221F1E">
          <w:rPr>
            <w:rStyle w:val="Hyperlink"/>
            <w:noProof/>
          </w:rPr>
          <w:t>Background to requirement/OVERVIEW of requirement</w:t>
        </w:r>
        <w:r w:rsidR="002962F2">
          <w:rPr>
            <w:noProof/>
            <w:webHidden/>
          </w:rPr>
          <w:tab/>
        </w:r>
        <w:r w:rsidR="002962F2">
          <w:rPr>
            <w:noProof/>
            <w:webHidden/>
          </w:rPr>
          <w:fldChar w:fldCharType="begin"/>
        </w:r>
        <w:r w:rsidR="002962F2">
          <w:rPr>
            <w:noProof/>
            <w:webHidden/>
          </w:rPr>
          <w:instrText xml:space="preserve"> PAGEREF _Toc457913372 \h </w:instrText>
        </w:r>
        <w:r w:rsidR="002962F2">
          <w:rPr>
            <w:noProof/>
            <w:webHidden/>
          </w:rPr>
        </w:r>
        <w:r w:rsidR="002962F2">
          <w:rPr>
            <w:noProof/>
            <w:webHidden/>
          </w:rPr>
          <w:fldChar w:fldCharType="separate"/>
        </w:r>
        <w:r w:rsidR="002962F2">
          <w:rPr>
            <w:noProof/>
            <w:webHidden/>
          </w:rPr>
          <w:t>2</w:t>
        </w:r>
        <w:r w:rsidR="002962F2">
          <w:rPr>
            <w:noProof/>
            <w:webHidden/>
          </w:rPr>
          <w:fldChar w:fldCharType="end"/>
        </w:r>
      </w:hyperlink>
    </w:p>
    <w:p w14:paraId="5727FE49" w14:textId="77777777" w:rsidR="002962F2" w:rsidRDefault="001A17C3">
      <w:pPr>
        <w:pStyle w:val="TOC1"/>
        <w:rPr>
          <w:rFonts w:asciiTheme="minorHAnsi" w:eastAsiaTheme="minorEastAsia" w:hAnsiTheme="minorHAnsi" w:cstheme="minorBidi"/>
          <w:caps w:val="0"/>
          <w:noProof/>
          <w:szCs w:val="22"/>
          <w:lang w:eastAsia="en-GB"/>
        </w:rPr>
      </w:pPr>
      <w:hyperlink w:anchor="_Toc457913373" w:history="1">
        <w:r w:rsidR="002962F2" w:rsidRPr="00221F1E">
          <w:rPr>
            <w:rStyle w:val="Hyperlink"/>
            <w:noProof/>
          </w:rPr>
          <w:t>4.</w:t>
        </w:r>
        <w:r w:rsidR="002962F2">
          <w:rPr>
            <w:rFonts w:asciiTheme="minorHAnsi" w:eastAsiaTheme="minorEastAsia" w:hAnsiTheme="minorHAnsi" w:cstheme="minorBidi"/>
            <w:caps w:val="0"/>
            <w:noProof/>
            <w:szCs w:val="22"/>
            <w:lang w:eastAsia="en-GB"/>
          </w:rPr>
          <w:tab/>
        </w:r>
        <w:r w:rsidR="002962F2" w:rsidRPr="00221F1E">
          <w:rPr>
            <w:rStyle w:val="Hyperlink"/>
            <w:noProof/>
          </w:rPr>
          <w:t>definitions</w:t>
        </w:r>
        <w:r w:rsidR="002962F2">
          <w:rPr>
            <w:noProof/>
            <w:webHidden/>
          </w:rPr>
          <w:tab/>
        </w:r>
        <w:r w:rsidR="002962F2">
          <w:rPr>
            <w:noProof/>
            <w:webHidden/>
          </w:rPr>
          <w:fldChar w:fldCharType="begin"/>
        </w:r>
        <w:r w:rsidR="002962F2">
          <w:rPr>
            <w:noProof/>
            <w:webHidden/>
          </w:rPr>
          <w:instrText xml:space="preserve"> PAGEREF _Toc457913373 \h </w:instrText>
        </w:r>
        <w:r w:rsidR="002962F2">
          <w:rPr>
            <w:noProof/>
            <w:webHidden/>
          </w:rPr>
        </w:r>
        <w:r w:rsidR="002962F2">
          <w:rPr>
            <w:noProof/>
            <w:webHidden/>
          </w:rPr>
          <w:fldChar w:fldCharType="separate"/>
        </w:r>
        <w:r w:rsidR="002962F2">
          <w:rPr>
            <w:noProof/>
            <w:webHidden/>
          </w:rPr>
          <w:t>3</w:t>
        </w:r>
        <w:r w:rsidR="002962F2">
          <w:rPr>
            <w:noProof/>
            <w:webHidden/>
          </w:rPr>
          <w:fldChar w:fldCharType="end"/>
        </w:r>
      </w:hyperlink>
    </w:p>
    <w:p w14:paraId="345319E0" w14:textId="77777777" w:rsidR="002962F2" w:rsidRDefault="001A17C3">
      <w:pPr>
        <w:pStyle w:val="TOC1"/>
        <w:rPr>
          <w:rFonts w:asciiTheme="minorHAnsi" w:eastAsiaTheme="minorEastAsia" w:hAnsiTheme="minorHAnsi" w:cstheme="minorBidi"/>
          <w:caps w:val="0"/>
          <w:noProof/>
          <w:szCs w:val="22"/>
          <w:lang w:eastAsia="en-GB"/>
        </w:rPr>
      </w:pPr>
      <w:hyperlink w:anchor="_Toc457913374" w:history="1">
        <w:r w:rsidR="002962F2" w:rsidRPr="00221F1E">
          <w:rPr>
            <w:rStyle w:val="Hyperlink"/>
            <w:noProof/>
          </w:rPr>
          <w:t>5.</w:t>
        </w:r>
        <w:r w:rsidR="002962F2">
          <w:rPr>
            <w:rFonts w:asciiTheme="minorHAnsi" w:eastAsiaTheme="minorEastAsia" w:hAnsiTheme="minorHAnsi" w:cstheme="minorBidi"/>
            <w:caps w:val="0"/>
            <w:noProof/>
            <w:szCs w:val="22"/>
            <w:lang w:eastAsia="en-GB"/>
          </w:rPr>
          <w:tab/>
        </w:r>
        <w:r w:rsidR="002962F2" w:rsidRPr="00221F1E">
          <w:rPr>
            <w:rStyle w:val="Hyperlink"/>
            <w:noProof/>
          </w:rPr>
          <w:t>scope of requirement</w:t>
        </w:r>
        <w:r w:rsidR="002962F2">
          <w:rPr>
            <w:noProof/>
            <w:webHidden/>
          </w:rPr>
          <w:tab/>
        </w:r>
        <w:r w:rsidR="002962F2">
          <w:rPr>
            <w:noProof/>
            <w:webHidden/>
          </w:rPr>
          <w:fldChar w:fldCharType="begin"/>
        </w:r>
        <w:r w:rsidR="002962F2">
          <w:rPr>
            <w:noProof/>
            <w:webHidden/>
          </w:rPr>
          <w:instrText xml:space="preserve"> PAGEREF _Toc457913374 \h </w:instrText>
        </w:r>
        <w:r w:rsidR="002962F2">
          <w:rPr>
            <w:noProof/>
            <w:webHidden/>
          </w:rPr>
        </w:r>
        <w:r w:rsidR="002962F2">
          <w:rPr>
            <w:noProof/>
            <w:webHidden/>
          </w:rPr>
          <w:fldChar w:fldCharType="separate"/>
        </w:r>
        <w:r w:rsidR="002962F2">
          <w:rPr>
            <w:noProof/>
            <w:webHidden/>
          </w:rPr>
          <w:t>3</w:t>
        </w:r>
        <w:r w:rsidR="002962F2">
          <w:rPr>
            <w:noProof/>
            <w:webHidden/>
          </w:rPr>
          <w:fldChar w:fldCharType="end"/>
        </w:r>
      </w:hyperlink>
    </w:p>
    <w:p w14:paraId="73147AAB" w14:textId="77777777" w:rsidR="002962F2" w:rsidRDefault="001A17C3">
      <w:pPr>
        <w:pStyle w:val="TOC1"/>
        <w:rPr>
          <w:rFonts w:asciiTheme="minorHAnsi" w:eastAsiaTheme="minorEastAsia" w:hAnsiTheme="minorHAnsi" w:cstheme="minorBidi"/>
          <w:caps w:val="0"/>
          <w:noProof/>
          <w:szCs w:val="22"/>
          <w:lang w:eastAsia="en-GB"/>
        </w:rPr>
      </w:pPr>
      <w:hyperlink w:anchor="_Toc457913375" w:history="1">
        <w:r w:rsidR="002962F2" w:rsidRPr="00221F1E">
          <w:rPr>
            <w:rStyle w:val="Hyperlink"/>
            <w:noProof/>
          </w:rPr>
          <w:t>6.</w:t>
        </w:r>
        <w:r w:rsidR="002962F2">
          <w:rPr>
            <w:rFonts w:asciiTheme="minorHAnsi" w:eastAsiaTheme="minorEastAsia" w:hAnsiTheme="minorHAnsi" w:cstheme="minorBidi"/>
            <w:caps w:val="0"/>
            <w:noProof/>
            <w:szCs w:val="22"/>
            <w:lang w:eastAsia="en-GB"/>
          </w:rPr>
          <w:tab/>
        </w:r>
        <w:r w:rsidR="002962F2" w:rsidRPr="00221F1E">
          <w:rPr>
            <w:rStyle w:val="Hyperlink"/>
            <w:noProof/>
          </w:rPr>
          <w:t>The requirement</w:t>
        </w:r>
        <w:r w:rsidR="002962F2">
          <w:rPr>
            <w:noProof/>
            <w:webHidden/>
          </w:rPr>
          <w:tab/>
        </w:r>
        <w:r w:rsidR="002962F2">
          <w:rPr>
            <w:noProof/>
            <w:webHidden/>
          </w:rPr>
          <w:fldChar w:fldCharType="begin"/>
        </w:r>
        <w:r w:rsidR="002962F2">
          <w:rPr>
            <w:noProof/>
            <w:webHidden/>
          </w:rPr>
          <w:instrText xml:space="preserve"> PAGEREF _Toc457913375 \h </w:instrText>
        </w:r>
        <w:r w:rsidR="002962F2">
          <w:rPr>
            <w:noProof/>
            <w:webHidden/>
          </w:rPr>
        </w:r>
        <w:r w:rsidR="002962F2">
          <w:rPr>
            <w:noProof/>
            <w:webHidden/>
          </w:rPr>
          <w:fldChar w:fldCharType="separate"/>
        </w:r>
        <w:r w:rsidR="002962F2">
          <w:rPr>
            <w:noProof/>
            <w:webHidden/>
          </w:rPr>
          <w:t>4</w:t>
        </w:r>
        <w:r w:rsidR="002962F2">
          <w:rPr>
            <w:noProof/>
            <w:webHidden/>
          </w:rPr>
          <w:fldChar w:fldCharType="end"/>
        </w:r>
      </w:hyperlink>
    </w:p>
    <w:p w14:paraId="73B2D938" w14:textId="77777777" w:rsidR="002962F2" w:rsidRDefault="001A17C3">
      <w:pPr>
        <w:pStyle w:val="TOC1"/>
        <w:rPr>
          <w:rFonts w:asciiTheme="minorHAnsi" w:eastAsiaTheme="minorEastAsia" w:hAnsiTheme="minorHAnsi" w:cstheme="minorBidi"/>
          <w:caps w:val="0"/>
          <w:noProof/>
          <w:szCs w:val="22"/>
          <w:lang w:eastAsia="en-GB"/>
        </w:rPr>
      </w:pPr>
      <w:hyperlink w:anchor="_Toc457913376" w:history="1">
        <w:r w:rsidR="002962F2" w:rsidRPr="00221F1E">
          <w:rPr>
            <w:rStyle w:val="Hyperlink"/>
            <w:noProof/>
          </w:rPr>
          <w:t>7.</w:t>
        </w:r>
        <w:r w:rsidR="002962F2">
          <w:rPr>
            <w:rFonts w:asciiTheme="minorHAnsi" w:eastAsiaTheme="minorEastAsia" w:hAnsiTheme="minorHAnsi" w:cstheme="minorBidi"/>
            <w:caps w:val="0"/>
            <w:noProof/>
            <w:szCs w:val="22"/>
            <w:lang w:eastAsia="en-GB"/>
          </w:rPr>
          <w:tab/>
        </w:r>
        <w:r w:rsidR="002962F2" w:rsidRPr="00221F1E">
          <w:rPr>
            <w:rStyle w:val="Hyperlink"/>
            <w:noProof/>
          </w:rPr>
          <w:t>key milestones</w:t>
        </w:r>
        <w:r w:rsidR="002962F2">
          <w:rPr>
            <w:noProof/>
            <w:webHidden/>
          </w:rPr>
          <w:tab/>
        </w:r>
        <w:r w:rsidR="002962F2">
          <w:rPr>
            <w:noProof/>
            <w:webHidden/>
          </w:rPr>
          <w:fldChar w:fldCharType="begin"/>
        </w:r>
        <w:r w:rsidR="002962F2">
          <w:rPr>
            <w:noProof/>
            <w:webHidden/>
          </w:rPr>
          <w:instrText xml:space="preserve"> PAGEREF _Toc457913376 \h </w:instrText>
        </w:r>
        <w:r w:rsidR="002962F2">
          <w:rPr>
            <w:noProof/>
            <w:webHidden/>
          </w:rPr>
        </w:r>
        <w:r w:rsidR="002962F2">
          <w:rPr>
            <w:noProof/>
            <w:webHidden/>
          </w:rPr>
          <w:fldChar w:fldCharType="separate"/>
        </w:r>
        <w:r w:rsidR="002962F2">
          <w:rPr>
            <w:noProof/>
            <w:webHidden/>
          </w:rPr>
          <w:t>4</w:t>
        </w:r>
        <w:r w:rsidR="002962F2">
          <w:rPr>
            <w:noProof/>
            <w:webHidden/>
          </w:rPr>
          <w:fldChar w:fldCharType="end"/>
        </w:r>
      </w:hyperlink>
    </w:p>
    <w:p w14:paraId="2F443726" w14:textId="77777777" w:rsidR="002962F2" w:rsidRDefault="001A17C3">
      <w:pPr>
        <w:pStyle w:val="TOC1"/>
        <w:rPr>
          <w:rFonts w:asciiTheme="minorHAnsi" w:eastAsiaTheme="minorEastAsia" w:hAnsiTheme="minorHAnsi" w:cstheme="minorBidi"/>
          <w:caps w:val="0"/>
          <w:noProof/>
          <w:szCs w:val="22"/>
          <w:lang w:eastAsia="en-GB"/>
        </w:rPr>
      </w:pPr>
      <w:hyperlink w:anchor="_Toc457913377" w:history="1">
        <w:r w:rsidR="002962F2" w:rsidRPr="00221F1E">
          <w:rPr>
            <w:rStyle w:val="Hyperlink"/>
            <w:rFonts w:cs="Arial"/>
            <w:noProof/>
          </w:rPr>
          <w:t>8.</w:t>
        </w:r>
        <w:r w:rsidR="002962F2">
          <w:rPr>
            <w:rFonts w:asciiTheme="minorHAnsi" w:eastAsiaTheme="minorEastAsia" w:hAnsiTheme="minorHAnsi" w:cstheme="minorBidi"/>
            <w:caps w:val="0"/>
            <w:noProof/>
            <w:szCs w:val="22"/>
            <w:lang w:eastAsia="en-GB"/>
          </w:rPr>
          <w:tab/>
        </w:r>
        <w:r w:rsidR="002962F2" w:rsidRPr="00221F1E">
          <w:rPr>
            <w:rStyle w:val="Hyperlink"/>
            <w:rFonts w:cs="Arial"/>
            <w:noProof/>
          </w:rPr>
          <w:t>authority’s responsibilities</w:t>
        </w:r>
        <w:r w:rsidR="002962F2">
          <w:rPr>
            <w:noProof/>
            <w:webHidden/>
          </w:rPr>
          <w:tab/>
        </w:r>
        <w:r w:rsidR="002962F2">
          <w:rPr>
            <w:noProof/>
            <w:webHidden/>
          </w:rPr>
          <w:fldChar w:fldCharType="begin"/>
        </w:r>
        <w:r w:rsidR="002962F2">
          <w:rPr>
            <w:noProof/>
            <w:webHidden/>
          </w:rPr>
          <w:instrText xml:space="preserve"> PAGEREF _Toc457913377 \h </w:instrText>
        </w:r>
        <w:r w:rsidR="002962F2">
          <w:rPr>
            <w:noProof/>
            <w:webHidden/>
          </w:rPr>
        </w:r>
        <w:r w:rsidR="002962F2">
          <w:rPr>
            <w:noProof/>
            <w:webHidden/>
          </w:rPr>
          <w:fldChar w:fldCharType="separate"/>
        </w:r>
        <w:r w:rsidR="002962F2">
          <w:rPr>
            <w:noProof/>
            <w:webHidden/>
          </w:rPr>
          <w:t>5</w:t>
        </w:r>
        <w:r w:rsidR="002962F2">
          <w:rPr>
            <w:noProof/>
            <w:webHidden/>
          </w:rPr>
          <w:fldChar w:fldCharType="end"/>
        </w:r>
      </w:hyperlink>
    </w:p>
    <w:p w14:paraId="670485BE" w14:textId="77777777" w:rsidR="002962F2" w:rsidRDefault="001A17C3">
      <w:pPr>
        <w:pStyle w:val="TOC1"/>
        <w:rPr>
          <w:rFonts w:asciiTheme="minorHAnsi" w:eastAsiaTheme="minorEastAsia" w:hAnsiTheme="minorHAnsi" w:cstheme="minorBidi"/>
          <w:caps w:val="0"/>
          <w:noProof/>
          <w:szCs w:val="22"/>
          <w:lang w:eastAsia="en-GB"/>
        </w:rPr>
      </w:pPr>
      <w:hyperlink w:anchor="_Toc457913378" w:history="1">
        <w:r w:rsidR="002962F2" w:rsidRPr="00221F1E">
          <w:rPr>
            <w:rStyle w:val="Hyperlink"/>
            <w:rFonts w:cs="Arial"/>
            <w:noProof/>
          </w:rPr>
          <w:t>9.</w:t>
        </w:r>
        <w:r w:rsidR="002962F2">
          <w:rPr>
            <w:rFonts w:asciiTheme="minorHAnsi" w:eastAsiaTheme="minorEastAsia" w:hAnsiTheme="minorHAnsi" w:cstheme="minorBidi"/>
            <w:caps w:val="0"/>
            <w:noProof/>
            <w:szCs w:val="22"/>
            <w:lang w:eastAsia="en-GB"/>
          </w:rPr>
          <w:tab/>
        </w:r>
        <w:r w:rsidR="002962F2" w:rsidRPr="00221F1E">
          <w:rPr>
            <w:rStyle w:val="Hyperlink"/>
            <w:rFonts w:cs="Arial"/>
            <w:noProof/>
          </w:rPr>
          <w:t>continuous improvement</w:t>
        </w:r>
        <w:r w:rsidR="002962F2">
          <w:rPr>
            <w:noProof/>
            <w:webHidden/>
          </w:rPr>
          <w:tab/>
        </w:r>
        <w:r w:rsidR="002962F2">
          <w:rPr>
            <w:noProof/>
            <w:webHidden/>
          </w:rPr>
          <w:fldChar w:fldCharType="begin"/>
        </w:r>
        <w:r w:rsidR="002962F2">
          <w:rPr>
            <w:noProof/>
            <w:webHidden/>
          </w:rPr>
          <w:instrText xml:space="preserve"> PAGEREF _Toc457913378 \h </w:instrText>
        </w:r>
        <w:r w:rsidR="002962F2">
          <w:rPr>
            <w:noProof/>
            <w:webHidden/>
          </w:rPr>
        </w:r>
        <w:r w:rsidR="002962F2">
          <w:rPr>
            <w:noProof/>
            <w:webHidden/>
          </w:rPr>
          <w:fldChar w:fldCharType="separate"/>
        </w:r>
        <w:r w:rsidR="002962F2">
          <w:rPr>
            <w:noProof/>
            <w:webHidden/>
          </w:rPr>
          <w:t>5</w:t>
        </w:r>
        <w:r w:rsidR="002962F2">
          <w:rPr>
            <w:noProof/>
            <w:webHidden/>
          </w:rPr>
          <w:fldChar w:fldCharType="end"/>
        </w:r>
      </w:hyperlink>
    </w:p>
    <w:p w14:paraId="338BBB2B" w14:textId="77777777" w:rsidR="002962F2" w:rsidRDefault="001A17C3">
      <w:pPr>
        <w:pStyle w:val="TOC1"/>
        <w:rPr>
          <w:rFonts w:asciiTheme="minorHAnsi" w:eastAsiaTheme="minorEastAsia" w:hAnsiTheme="minorHAnsi" w:cstheme="minorBidi"/>
          <w:caps w:val="0"/>
          <w:noProof/>
          <w:szCs w:val="22"/>
          <w:lang w:eastAsia="en-GB"/>
        </w:rPr>
      </w:pPr>
      <w:hyperlink w:anchor="_Toc457913379" w:history="1">
        <w:r w:rsidR="002962F2" w:rsidRPr="00221F1E">
          <w:rPr>
            <w:rStyle w:val="Hyperlink"/>
            <w:rFonts w:cs="Arial"/>
            <w:noProof/>
          </w:rPr>
          <w:t>10.</w:t>
        </w:r>
        <w:r w:rsidR="002962F2">
          <w:rPr>
            <w:rFonts w:asciiTheme="minorHAnsi" w:eastAsiaTheme="minorEastAsia" w:hAnsiTheme="minorHAnsi" w:cstheme="minorBidi"/>
            <w:caps w:val="0"/>
            <w:noProof/>
            <w:szCs w:val="22"/>
            <w:lang w:eastAsia="en-GB"/>
          </w:rPr>
          <w:tab/>
        </w:r>
        <w:r w:rsidR="002962F2" w:rsidRPr="00221F1E">
          <w:rPr>
            <w:rStyle w:val="Hyperlink"/>
            <w:rFonts w:cs="Arial"/>
            <w:noProof/>
          </w:rPr>
          <w:t>PRICE</w:t>
        </w:r>
        <w:r w:rsidR="002962F2">
          <w:rPr>
            <w:noProof/>
            <w:webHidden/>
          </w:rPr>
          <w:tab/>
        </w:r>
        <w:r w:rsidR="002962F2">
          <w:rPr>
            <w:noProof/>
            <w:webHidden/>
          </w:rPr>
          <w:fldChar w:fldCharType="begin"/>
        </w:r>
        <w:r w:rsidR="002962F2">
          <w:rPr>
            <w:noProof/>
            <w:webHidden/>
          </w:rPr>
          <w:instrText xml:space="preserve"> PAGEREF _Toc457913379 \h </w:instrText>
        </w:r>
        <w:r w:rsidR="002962F2">
          <w:rPr>
            <w:noProof/>
            <w:webHidden/>
          </w:rPr>
        </w:r>
        <w:r w:rsidR="002962F2">
          <w:rPr>
            <w:noProof/>
            <w:webHidden/>
          </w:rPr>
          <w:fldChar w:fldCharType="separate"/>
        </w:r>
        <w:r w:rsidR="002962F2">
          <w:rPr>
            <w:noProof/>
            <w:webHidden/>
          </w:rPr>
          <w:t>5</w:t>
        </w:r>
        <w:r w:rsidR="002962F2">
          <w:rPr>
            <w:noProof/>
            <w:webHidden/>
          </w:rPr>
          <w:fldChar w:fldCharType="end"/>
        </w:r>
      </w:hyperlink>
    </w:p>
    <w:p w14:paraId="12981EBD" w14:textId="77777777" w:rsidR="002962F2" w:rsidRDefault="001A17C3">
      <w:pPr>
        <w:pStyle w:val="TOC1"/>
        <w:rPr>
          <w:rFonts w:asciiTheme="minorHAnsi" w:eastAsiaTheme="minorEastAsia" w:hAnsiTheme="minorHAnsi" w:cstheme="minorBidi"/>
          <w:caps w:val="0"/>
          <w:noProof/>
          <w:szCs w:val="22"/>
          <w:lang w:eastAsia="en-GB"/>
        </w:rPr>
      </w:pPr>
      <w:hyperlink w:anchor="_Toc457913380" w:history="1">
        <w:r w:rsidR="002962F2" w:rsidRPr="00221F1E">
          <w:rPr>
            <w:rStyle w:val="Hyperlink"/>
            <w:rFonts w:cs="Arial"/>
            <w:noProof/>
          </w:rPr>
          <w:t>11.</w:t>
        </w:r>
        <w:r w:rsidR="002962F2">
          <w:rPr>
            <w:rFonts w:asciiTheme="minorHAnsi" w:eastAsiaTheme="minorEastAsia" w:hAnsiTheme="minorHAnsi" w:cstheme="minorBidi"/>
            <w:caps w:val="0"/>
            <w:noProof/>
            <w:szCs w:val="22"/>
            <w:lang w:eastAsia="en-GB"/>
          </w:rPr>
          <w:tab/>
        </w:r>
        <w:r w:rsidR="002962F2" w:rsidRPr="00221F1E">
          <w:rPr>
            <w:rStyle w:val="Hyperlink"/>
            <w:rFonts w:cs="Arial"/>
            <w:noProof/>
          </w:rPr>
          <w:t>STAFF AND CUSTOMER SERVICE</w:t>
        </w:r>
        <w:r w:rsidR="002962F2">
          <w:rPr>
            <w:noProof/>
            <w:webHidden/>
          </w:rPr>
          <w:tab/>
        </w:r>
        <w:r w:rsidR="002962F2">
          <w:rPr>
            <w:noProof/>
            <w:webHidden/>
          </w:rPr>
          <w:fldChar w:fldCharType="begin"/>
        </w:r>
        <w:r w:rsidR="002962F2">
          <w:rPr>
            <w:noProof/>
            <w:webHidden/>
          </w:rPr>
          <w:instrText xml:space="preserve"> PAGEREF _Toc457913380 \h </w:instrText>
        </w:r>
        <w:r w:rsidR="002962F2">
          <w:rPr>
            <w:noProof/>
            <w:webHidden/>
          </w:rPr>
        </w:r>
        <w:r w:rsidR="002962F2">
          <w:rPr>
            <w:noProof/>
            <w:webHidden/>
          </w:rPr>
          <w:fldChar w:fldCharType="separate"/>
        </w:r>
        <w:r w:rsidR="002962F2">
          <w:rPr>
            <w:noProof/>
            <w:webHidden/>
          </w:rPr>
          <w:t>5</w:t>
        </w:r>
        <w:r w:rsidR="002962F2">
          <w:rPr>
            <w:noProof/>
            <w:webHidden/>
          </w:rPr>
          <w:fldChar w:fldCharType="end"/>
        </w:r>
      </w:hyperlink>
    </w:p>
    <w:p w14:paraId="70E00263" w14:textId="77777777" w:rsidR="002962F2" w:rsidRDefault="001A17C3">
      <w:pPr>
        <w:pStyle w:val="TOC1"/>
        <w:rPr>
          <w:rFonts w:asciiTheme="minorHAnsi" w:eastAsiaTheme="minorEastAsia" w:hAnsiTheme="minorHAnsi" w:cstheme="minorBidi"/>
          <w:caps w:val="0"/>
          <w:noProof/>
          <w:szCs w:val="22"/>
          <w:lang w:eastAsia="en-GB"/>
        </w:rPr>
      </w:pPr>
      <w:hyperlink w:anchor="_Toc457913381" w:history="1">
        <w:r w:rsidR="002962F2" w:rsidRPr="00221F1E">
          <w:rPr>
            <w:rStyle w:val="Hyperlink"/>
            <w:noProof/>
          </w:rPr>
          <w:t>12.</w:t>
        </w:r>
        <w:r w:rsidR="002962F2">
          <w:rPr>
            <w:rFonts w:asciiTheme="minorHAnsi" w:eastAsiaTheme="minorEastAsia" w:hAnsiTheme="minorHAnsi" w:cstheme="minorBidi"/>
            <w:caps w:val="0"/>
            <w:noProof/>
            <w:szCs w:val="22"/>
            <w:lang w:eastAsia="en-GB"/>
          </w:rPr>
          <w:tab/>
        </w:r>
        <w:r w:rsidR="002962F2" w:rsidRPr="00221F1E">
          <w:rPr>
            <w:rStyle w:val="Hyperlink"/>
            <w:noProof/>
          </w:rPr>
          <w:t>Security requirements</w:t>
        </w:r>
        <w:r w:rsidR="002962F2">
          <w:rPr>
            <w:noProof/>
            <w:webHidden/>
          </w:rPr>
          <w:tab/>
        </w:r>
        <w:r w:rsidR="002962F2">
          <w:rPr>
            <w:noProof/>
            <w:webHidden/>
          </w:rPr>
          <w:fldChar w:fldCharType="begin"/>
        </w:r>
        <w:r w:rsidR="002962F2">
          <w:rPr>
            <w:noProof/>
            <w:webHidden/>
          </w:rPr>
          <w:instrText xml:space="preserve"> PAGEREF _Toc457913381 \h </w:instrText>
        </w:r>
        <w:r w:rsidR="002962F2">
          <w:rPr>
            <w:noProof/>
            <w:webHidden/>
          </w:rPr>
        </w:r>
        <w:r w:rsidR="002962F2">
          <w:rPr>
            <w:noProof/>
            <w:webHidden/>
          </w:rPr>
          <w:fldChar w:fldCharType="separate"/>
        </w:r>
        <w:r w:rsidR="002962F2">
          <w:rPr>
            <w:noProof/>
            <w:webHidden/>
          </w:rPr>
          <w:t>5</w:t>
        </w:r>
        <w:r w:rsidR="002962F2">
          <w:rPr>
            <w:noProof/>
            <w:webHidden/>
          </w:rPr>
          <w:fldChar w:fldCharType="end"/>
        </w:r>
      </w:hyperlink>
    </w:p>
    <w:p w14:paraId="5CC885FA" w14:textId="77777777" w:rsidR="002962F2" w:rsidRDefault="001A17C3">
      <w:pPr>
        <w:pStyle w:val="TOC1"/>
        <w:rPr>
          <w:rFonts w:asciiTheme="minorHAnsi" w:eastAsiaTheme="minorEastAsia" w:hAnsiTheme="minorHAnsi" w:cstheme="minorBidi"/>
          <w:caps w:val="0"/>
          <w:noProof/>
          <w:szCs w:val="22"/>
          <w:lang w:eastAsia="en-GB"/>
        </w:rPr>
      </w:pPr>
      <w:hyperlink w:anchor="_Toc457913382" w:history="1">
        <w:r w:rsidR="002962F2" w:rsidRPr="00221F1E">
          <w:rPr>
            <w:rStyle w:val="Hyperlink"/>
            <w:rFonts w:cs="Arial"/>
            <w:noProof/>
          </w:rPr>
          <w:t>13.</w:t>
        </w:r>
        <w:r w:rsidR="002962F2">
          <w:rPr>
            <w:rFonts w:asciiTheme="minorHAnsi" w:eastAsiaTheme="minorEastAsia" w:hAnsiTheme="minorHAnsi" w:cstheme="minorBidi"/>
            <w:caps w:val="0"/>
            <w:noProof/>
            <w:szCs w:val="22"/>
            <w:lang w:eastAsia="en-GB"/>
          </w:rPr>
          <w:tab/>
        </w:r>
        <w:r w:rsidR="002962F2" w:rsidRPr="00221F1E">
          <w:rPr>
            <w:rStyle w:val="Hyperlink"/>
            <w:rFonts w:cs="Arial"/>
            <w:noProof/>
          </w:rPr>
          <w:t>payment</w:t>
        </w:r>
        <w:r w:rsidR="002962F2">
          <w:rPr>
            <w:noProof/>
            <w:webHidden/>
          </w:rPr>
          <w:tab/>
        </w:r>
        <w:r w:rsidR="002962F2">
          <w:rPr>
            <w:noProof/>
            <w:webHidden/>
          </w:rPr>
          <w:fldChar w:fldCharType="begin"/>
        </w:r>
        <w:r w:rsidR="002962F2">
          <w:rPr>
            <w:noProof/>
            <w:webHidden/>
          </w:rPr>
          <w:instrText xml:space="preserve"> PAGEREF _Toc457913382 \h </w:instrText>
        </w:r>
        <w:r w:rsidR="002962F2">
          <w:rPr>
            <w:noProof/>
            <w:webHidden/>
          </w:rPr>
        </w:r>
        <w:r w:rsidR="002962F2">
          <w:rPr>
            <w:noProof/>
            <w:webHidden/>
          </w:rPr>
          <w:fldChar w:fldCharType="separate"/>
        </w:r>
        <w:r w:rsidR="002962F2">
          <w:rPr>
            <w:noProof/>
            <w:webHidden/>
          </w:rPr>
          <w:t>5</w:t>
        </w:r>
        <w:r w:rsidR="002962F2">
          <w:rPr>
            <w:noProof/>
            <w:webHidden/>
          </w:rPr>
          <w:fldChar w:fldCharType="end"/>
        </w:r>
      </w:hyperlink>
    </w:p>
    <w:p w14:paraId="13C8A4F6" w14:textId="77777777" w:rsidR="002962F2" w:rsidRDefault="001A17C3">
      <w:pPr>
        <w:pStyle w:val="TOC1"/>
        <w:rPr>
          <w:rFonts w:asciiTheme="minorHAnsi" w:eastAsiaTheme="minorEastAsia" w:hAnsiTheme="minorHAnsi" w:cstheme="minorBidi"/>
          <w:caps w:val="0"/>
          <w:noProof/>
          <w:szCs w:val="22"/>
          <w:lang w:eastAsia="en-GB"/>
        </w:rPr>
      </w:pPr>
      <w:hyperlink w:anchor="_Toc457913383" w:history="1">
        <w:r w:rsidR="002962F2" w:rsidRPr="00221F1E">
          <w:rPr>
            <w:rStyle w:val="Hyperlink"/>
            <w:noProof/>
          </w:rPr>
          <w:t>14.</w:t>
        </w:r>
        <w:r w:rsidR="002962F2">
          <w:rPr>
            <w:rFonts w:asciiTheme="minorHAnsi" w:eastAsiaTheme="minorEastAsia" w:hAnsiTheme="minorHAnsi" w:cstheme="minorBidi"/>
            <w:caps w:val="0"/>
            <w:noProof/>
            <w:szCs w:val="22"/>
            <w:lang w:eastAsia="en-GB"/>
          </w:rPr>
          <w:tab/>
        </w:r>
        <w:r w:rsidR="002962F2" w:rsidRPr="00221F1E">
          <w:rPr>
            <w:rStyle w:val="Hyperlink"/>
            <w:noProof/>
          </w:rPr>
          <w:t>Location</w:t>
        </w:r>
        <w:r w:rsidR="002962F2">
          <w:rPr>
            <w:noProof/>
            <w:webHidden/>
          </w:rPr>
          <w:tab/>
        </w:r>
        <w:r w:rsidR="002962F2">
          <w:rPr>
            <w:noProof/>
            <w:webHidden/>
          </w:rPr>
          <w:fldChar w:fldCharType="begin"/>
        </w:r>
        <w:r w:rsidR="002962F2">
          <w:rPr>
            <w:noProof/>
            <w:webHidden/>
          </w:rPr>
          <w:instrText xml:space="preserve"> PAGEREF _Toc457913383 \h </w:instrText>
        </w:r>
        <w:r w:rsidR="002962F2">
          <w:rPr>
            <w:noProof/>
            <w:webHidden/>
          </w:rPr>
        </w:r>
        <w:r w:rsidR="002962F2">
          <w:rPr>
            <w:noProof/>
            <w:webHidden/>
          </w:rPr>
          <w:fldChar w:fldCharType="separate"/>
        </w:r>
        <w:r w:rsidR="002962F2">
          <w:rPr>
            <w:noProof/>
            <w:webHidden/>
          </w:rPr>
          <w:t>6</w:t>
        </w:r>
        <w:r w:rsidR="002962F2">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F44D62">
      <w:pPr>
        <w:adjustRightInd w:val="0"/>
        <w:spacing w:before="60" w:after="60"/>
        <w:jc w:val="center"/>
        <w:rPr>
          <w:rFonts w:eastAsia="STZhongsong" w:cs="Arial"/>
          <w:b/>
          <w:szCs w:val="22"/>
          <w:highlight w:val="yellow"/>
        </w:rPr>
      </w:pPr>
      <w:bookmarkStart w:id="0"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CE295C"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1" w:name="_Toc368573027"/>
      <w:bookmarkStart w:id="2" w:name="_Toc457913370"/>
      <w:r w:rsidRPr="00CE295C">
        <w:rPr>
          <w:caps w:val="0"/>
          <w:szCs w:val="22"/>
        </w:rPr>
        <w:lastRenderedPageBreak/>
        <w:t>PURPOSE</w:t>
      </w:r>
      <w:bookmarkEnd w:id="0"/>
      <w:bookmarkEnd w:id="1"/>
      <w:bookmarkEnd w:id="2"/>
    </w:p>
    <w:p w14:paraId="32E8DF6A" w14:textId="2BAA7A7B" w:rsidR="003F0C28" w:rsidRPr="00314A80" w:rsidRDefault="001E0FCB" w:rsidP="00314A80">
      <w:pPr>
        <w:pStyle w:val="ListParagraph"/>
        <w:spacing w:after="240"/>
        <w:ind w:hanging="720"/>
        <w:jc w:val="both"/>
        <w:rPr>
          <w:rFonts w:cs="Arial"/>
        </w:rPr>
      </w:pPr>
      <w:bookmarkStart w:id="3" w:name="_Toc296415791"/>
      <w:r w:rsidRPr="00314A80">
        <w:rPr>
          <w:rFonts w:cs="Arial"/>
        </w:rPr>
        <w:t>1.1</w:t>
      </w:r>
      <w:r w:rsidRPr="00314A80">
        <w:rPr>
          <w:rFonts w:cs="Arial"/>
        </w:rPr>
        <w:tab/>
      </w:r>
      <w:r w:rsidR="003F0C28" w:rsidRPr="00314A80">
        <w:rPr>
          <w:rFonts w:cs="Arial"/>
        </w:rPr>
        <w:t xml:space="preserve">The Defence Authority for Financial Management and Approvals </w:t>
      </w:r>
      <w:r w:rsidR="00407B4E" w:rsidRPr="00314A80">
        <w:rPr>
          <w:rFonts w:cs="Arial"/>
        </w:rPr>
        <w:t xml:space="preserve">(DAF) </w:t>
      </w:r>
      <w:r w:rsidR="003F0C28" w:rsidRPr="00314A80">
        <w:rPr>
          <w:rFonts w:cs="Arial"/>
        </w:rPr>
        <w:t>require a better understanding of the existing Oracle Corporation products</w:t>
      </w:r>
      <w:r w:rsidR="008613A7" w:rsidRPr="00314A80">
        <w:rPr>
          <w:rFonts w:cs="Arial"/>
        </w:rPr>
        <w:t>,</w:t>
      </w:r>
      <w:r w:rsidR="003F0C28" w:rsidRPr="00314A80">
        <w:rPr>
          <w:rFonts w:cs="Arial"/>
        </w:rPr>
        <w:t xml:space="preserve"> for which </w:t>
      </w:r>
      <w:r w:rsidR="001E6436" w:rsidRPr="00314A80">
        <w:rPr>
          <w:rFonts w:cs="Arial"/>
        </w:rPr>
        <w:t>they</w:t>
      </w:r>
      <w:r w:rsidR="003F0C28" w:rsidRPr="00314A80">
        <w:rPr>
          <w:rFonts w:cs="Arial"/>
        </w:rPr>
        <w:t xml:space="preserve"> own licenses</w:t>
      </w:r>
      <w:r w:rsidR="008613A7" w:rsidRPr="00314A80">
        <w:rPr>
          <w:rFonts w:cs="Arial"/>
        </w:rPr>
        <w:t>,</w:t>
      </w:r>
      <w:r w:rsidR="003F0C28" w:rsidRPr="00314A80">
        <w:rPr>
          <w:rFonts w:cs="Arial"/>
        </w:rPr>
        <w:t xml:space="preserve"> in order to exploit the system functionality to ensure the finance processes they support are as efficient and effective as possible. Better use of the functionality will also ensure </w:t>
      </w:r>
      <w:r w:rsidR="001E6436" w:rsidRPr="00314A80">
        <w:rPr>
          <w:rFonts w:cs="Arial"/>
        </w:rPr>
        <w:t xml:space="preserve">they </w:t>
      </w:r>
      <w:r w:rsidR="003F0C28" w:rsidRPr="00314A80">
        <w:rPr>
          <w:rFonts w:cs="Arial"/>
        </w:rPr>
        <w:t xml:space="preserve">maximise </w:t>
      </w:r>
      <w:r w:rsidR="00314A80" w:rsidRPr="00314A80">
        <w:rPr>
          <w:rFonts w:cs="Arial"/>
        </w:rPr>
        <w:t xml:space="preserve">their </w:t>
      </w:r>
      <w:r w:rsidR="003F0C28" w:rsidRPr="00314A80">
        <w:rPr>
          <w:rFonts w:cs="Arial"/>
        </w:rPr>
        <w:t>current investment.</w:t>
      </w:r>
    </w:p>
    <w:p w14:paraId="2ACFAE91" w14:textId="31484705" w:rsidR="003F0C28" w:rsidRPr="00314A80" w:rsidRDefault="001E0FCB" w:rsidP="00314A80">
      <w:pPr>
        <w:pStyle w:val="ListParagraph"/>
        <w:spacing w:after="240"/>
        <w:ind w:hanging="720"/>
        <w:jc w:val="both"/>
        <w:rPr>
          <w:rFonts w:cs="Arial"/>
        </w:rPr>
      </w:pPr>
      <w:r w:rsidRPr="00314A80">
        <w:rPr>
          <w:rFonts w:cs="Arial"/>
        </w:rPr>
        <w:t>1.2</w:t>
      </w:r>
      <w:r w:rsidRPr="00314A80">
        <w:rPr>
          <w:rFonts w:cs="Arial"/>
        </w:rPr>
        <w:tab/>
      </w:r>
      <w:r w:rsidR="003F0C28" w:rsidRPr="00314A80">
        <w:rPr>
          <w:rFonts w:cs="Arial"/>
        </w:rPr>
        <w:t xml:space="preserve">We also need to explore the opportunities available to </w:t>
      </w:r>
      <w:r w:rsidR="00314A80">
        <w:rPr>
          <w:rFonts w:cs="Arial"/>
        </w:rPr>
        <w:t>them</w:t>
      </w:r>
      <w:r w:rsidR="00314A80" w:rsidRPr="00314A80">
        <w:rPr>
          <w:rFonts w:cs="Arial"/>
        </w:rPr>
        <w:t xml:space="preserve"> </w:t>
      </w:r>
      <w:r w:rsidR="003F0C28" w:rsidRPr="00314A80">
        <w:rPr>
          <w:rFonts w:cs="Arial"/>
        </w:rPr>
        <w:t xml:space="preserve">to increase </w:t>
      </w:r>
      <w:r w:rsidR="001E6436" w:rsidRPr="00314A80">
        <w:rPr>
          <w:rFonts w:cs="Arial"/>
        </w:rPr>
        <w:t xml:space="preserve">their </w:t>
      </w:r>
      <w:r w:rsidR="003F0C28" w:rsidRPr="00314A80">
        <w:rPr>
          <w:rFonts w:cs="Arial"/>
        </w:rPr>
        <w:t>O</w:t>
      </w:r>
      <w:r w:rsidR="00B5462C" w:rsidRPr="00314A80">
        <w:rPr>
          <w:rFonts w:cs="Arial"/>
        </w:rPr>
        <w:t>racle</w:t>
      </w:r>
      <w:r w:rsidR="003F0C28" w:rsidRPr="00314A80">
        <w:rPr>
          <w:rFonts w:cs="Arial"/>
        </w:rPr>
        <w:t xml:space="preserve"> footprint, both considering how </w:t>
      </w:r>
      <w:r w:rsidR="00314A80">
        <w:rPr>
          <w:rFonts w:cs="Arial"/>
        </w:rPr>
        <w:t>they</w:t>
      </w:r>
      <w:r w:rsidR="00314A80" w:rsidRPr="00314A80">
        <w:rPr>
          <w:rFonts w:cs="Arial"/>
        </w:rPr>
        <w:t xml:space="preserve"> </w:t>
      </w:r>
      <w:r w:rsidR="003F0C28" w:rsidRPr="00314A80">
        <w:rPr>
          <w:rFonts w:cs="Arial"/>
        </w:rPr>
        <w:t xml:space="preserve">might use the functionality to better support </w:t>
      </w:r>
      <w:r w:rsidR="00314A80">
        <w:rPr>
          <w:rFonts w:cs="Arial"/>
        </w:rPr>
        <w:t>their</w:t>
      </w:r>
      <w:r w:rsidR="00314A80" w:rsidRPr="00314A80">
        <w:rPr>
          <w:rFonts w:cs="Arial"/>
        </w:rPr>
        <w:t xml:space="preserve"> </w:t>
      </w:r>
      <w:r w:rsidR="003F0C28" w:rsidRPr="00314A80">
        <w:rPr>
          <w:rFonts w:cs="Arial"/>
        </w:rPr>
        <w:t xml:space="preserve">management accounting processes and to understand how </w:t>
      </w:r>
      <w:r w:rsidR="00314A80">
        <w:rPr>
          <w:rFonts w:cs="Arial"/>
        </w:rPr>
        <w:t>they</w:t>
      </w:r>
      <w:r w:rsidR="00314A80" w:rsidRPr="00314A80">
        <w:rPr>
          <w:rFonts w:cs="Arial"/>
        </w:rPr>
        <w:t xml:space="preserve"> </w:t>
      </w:r>
      <w:r w:rsidR="003F0C28" w:rsidRPr="00314A80">
        <w:rPr>
          <w:rFonts w:cs="Arial"/>
        </w:rPr>
        <w:t xml:space="preserve">might integrate the Defence Financial Management Systems (DFMS) with development in project scheduling and time recording being undertaken in </w:t>
      </w:r>
      <w:r w:rsidR="00407B4E" w:rsidRPr="00314A80">
        <w:rPr>
          <w:rFonts w:cs="Arial"/>
        </w:rPr>
        <w:t>other parts of the M</w:t>
      </w:r>
      <w:r w:rsidR="00B5462C" w:rsidRPr="00314A80">
        <w:rPr>
          <w:rFonts w:cs="Arial"/>
        </w:rPr>
        <w:t>o</w:t>
      </w:r>
      <w:r w:rsidR="00407B4E" w:rsidRPr="00314A80">
        <w:rPr>
          <w:rFonts w:cs="Arial"/>
        </w:rPr>
        <w:t>D</w:t>
      </w:r>
      <w:r w:rsidR="003F0C28" w:rsidRPr="00314A80">
        <w:rPr>
          <w:rFonts w:cs="Arial"/>
        </w:rPr>
        <w:t>.</w:t>
      </w:r>
    </w:p>
    <w:p w14:paraId="2FF5A001" w14:textId="3CD94B2E" w:rsidR="003F0C28" w:rsidRPr="001E0FCB" w:rsidRDefault="001E0FCB" w:rsidP="00314A80">
      <w:pPr>
        <w:pStyle w:val="ListParagraph"/>
        <w:spacing w:after="240"/>
        <w:ind w:hanging="720"/>
        <w:jc w:val="both"/>
        <w:rPr>
          <w:rFonts w:cs="Arial"/>
        </w:rPr>
      </w:pPr>
      <w:r w:rsidRPr="00314A80">
        <w:rPr>
          <w:rFonts w:cs="Arial"/>
        </w:rPr>
        <w:t>1.3</w:t>
      </w:r>
      <w:r w:rsidRPr="00314A80">
        <w:rPr>
          <w:rFonts w:cs="Arial"/>
        </w:rPr>
        <w:tab/>
      </w:r>
      <w:r w:rsidR="003F0C28" w:rsidRPr="00314A80">
        <w:rPr>
          <w:rFonts w:cs="Arial"/>
        </w:rPr>
        <w:t xml:space="preserve">To support this </w:t>
      </w:r>
      <w:r w:rsidR="00314A80">
        <w:rPr>
          <w:rFonts w:cs="Arial"/>
        </w:rPr>
        <w:t>they</w:t>
      </w:r>
      <w:r w:rsidR="00314A80" w:rsidRPr="00314A80">
        <w:rPr>
          <w:rFonts w:cs="Arial"/>
        </w:rPr>
        <w:t xml:space="preserve"> </w:t>
      </w:r>
      <w:r w:rsidR="003F0C28" w:rsidRPr="00314A80">
        <w:rPr>
          <w:rFonts w:cs="Arial"/>
        </w:rPr>
        <w:t>need to understand the direction of travel the Oracle Corporation are looking to progress in the next 5 years to ensure that the M</w:t>
      </w:r>
      <w:r w:rsidR="00B5462C" w:rsidRPr="00314A80">
        <w:rPr>
          <w:rFonts w:cs="Arial"/>
        </w:rPr>
        <w:t>o</w:t>
      </w:r>
      <w:r w:rsidR="003F0C28" w:rsidRPr="00314A80">
        <w:rPr>
          <w:rFonts w:cs="Arial"/>
        </w:rPr>
        <w:t>D’s architectural approach is consistent (as far as is practicable</w:t>
      </w:r>
      <w:r w:rsidRPr="00314A80">
        <w:rPr>
          <w:rFonts w:cs="Arial"/>
        </w:rPr>
        <w:t>) with this direction of travel.</w:t>
      </w:r>
    </w:p>
    <w:p w14:paraId="7196B137" w14:textId="7D09C321" w:rsidR="00671798" w:rsidRPr="004E78BC" w:rsidRDefault="00FE18AC">
      <w:pPr>
        <w:pStyle w:val="Heading1"/>
        <w:tabs>
          <w:tab w:val="clear" w:pos="720"/>
        </w:tabs>
        <w:overflowPunct w:val="0"/>
        <w:autoSpaceDE w:val="0"/>
        <w:autoSpaceDN w:val="0"/>
        <w:spacing w:after="120"/>
        <w:textAlignment w:val="baseline"/>
        <w:rPr>
          <w:szCs w:val="22"/>
        </w:rPr>
      </w:pPr>
      <w:bookmarkStart w:id="4" w:name="_Toc368573028"/>
      <w:bookmarkStart w:id="5" w:name="_Toc457913371"/>
      <w:bookmarkStart w:id="6" w:name="_Toc297554773"/>
      <w:bookmarkStart w:id="7" w:name="_Toc296415805"/>
      <w:bookmarkStart w:id="8" w:name="_Toc296415793"/>
      <w:bookmarkEnd w:id="3"/>
      <w:r w:rsidRPr="004E78BC">
        <w:rPr>
          <w:szCs w:val="22"/>
        </w:rPr>
        <w:t>BACKGROUND TO THE CONTRACTING aUTHORIT</w:t>
      </w:r>
      <w:bookmarkEnd w:id="4"/>
      <w:r w:rsidR="001E0FCB">
        <w:rPr>
          <w:szCs w:val="22"/>
        </w:rPr>
        <w:t>y</w:t>
      </w:r>
      <w:bookmarkEnd w:id="5"/>
    </w:p>
    <w:p w14:paraId="20A64319" w14:textId="2E08BB40" w:rsidR="00E97B19" w:rsidRPr="00407B4E" w:rsidRDefault="001E0FCB" w:rsidP="001E0FCB">
      <w:pPr>
        <w:pStyle w:val="Heading2"/>
        <w:numPr>
          <w:ilvl w:val="0"/>
          <w:numId w:val="0"/>
        </w:numPr>
        <w:spacing w:after="120"/>
        <w:ind w:left="720" w:hanging="720"/>
      </w:pPr>
      <w:r>
        <w:t>2.1</w:t>
      </w:r>
      <w:r>
        <w:tab/>
      </w:r>
      <w:r w:rsidR="000638A2">
        <w:rPr>
          <w:rFonts w:cs="Arial"/>
        </w:rPr>
        <w:t xml:space="preserve">DAF </w:t>
      </w:r>
      <w:r w:rsidR="00E97B19" w:rsidRPr="00407B4E">
        <w:t>is responsible for procurement and maintenance of the Financial Systems in the MoD.</w:t>
      </w:r>
    </w:p>
    <w:p w14:paraId="151A9D23"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9" w:name="_Toc368573029"/>
      <w:bookmarkStart w:id="10" w:name="_Toc457913372"/>
      <w:r>
        <w:rPr>
          <w:szCs w:val="22"/>
        </w:rPr>
        <w:t>Background to requirement/</w:t>
      </w:r>
      <w:r w:rsidRPr="002C546C">
        <w:rPr>
          <w:szCs w:val="22"/>
        </w:rPr>
        <w:t>OVERVIEW</w:t>
      </w:r>
      <w:bookmarkEnd w:id="6"/>
      <w:r>
        <w:rPr>
          <w:szCs w:val="22"/>
        </w:rPr>
        <w:t xml:space="preserve"> of requirement</w:t>
      </w:r>
      <w:bookmarkEnd w:id="9"/>
      <w:bookmarkEnd w:id="10"/>
    </w:p>
    <w:p w14:paraId="07AAB9F2" w14:textId="471C2167" w:rsidR="003F0C28" w:rsidRPr="00020523" w:rsidRDefault="004A63F0" w:rsidP="00A003CA">
      <w:pPr>
        <w:pStyle w:val="ListParagraph"/>
        <w:spacing w:after="240"/>
        <w:ind w:hanging="720"/>
        <w:jc w:val="both"/>
        <w:rPr>
          <w:rFonts w:cs="Arial"/>
        </w:rPr>
      </w:pPr>
      <w:bookmarkStart w:id="11" w:name="_Toc297554774"/>
      <w:bookmarkEnd w:id="7"/>
      <w:r>
        <w:rPr>
          <w:rFonts w:cs="Arial"/>
        </w:rPr>
        <w:t>3.1</w:t>
      </w:r>
      <w:r>
        <w:rPr>
          <w:rFonts w:cs="Arial"/>
        </w:rPr>
        <w:tab/>
      </w:r>
      <w:r w:rsidR="003F0C28" w:rsidRPr="00020523">
        <w:rPr>
          <w:rFonts w:cs="Arial"/>
        </w:rPr>
        <w:t xml:space="preserve">The MoD has a significant </w:t>
      </w:r>
      <w:r w:rsidR="003F0C28">
        <w:rPr>
          <w:rFonts w:cs="Arial"/>
        </w:rPr>
        <w:t>O</w:t>
      </w:r>
      <w:r w:rsidR="00B5462C">
        <w:rPr>
          <w:rFonts w:cs="Arial"/>
        </w:rPr>
        <w:t>racle</w:t>
      </w:r>
      <w:r w:rsidR="003F0C28">
        <w:rPr>
          <w:rFonts w:cs="Arial"/>
        </w:rPr>
        <w:t xml:space="preserve"> footprint e</w:t>
      </w:r>
      <w:r w:rsidR="003F0C28" w:rsidRPr="00020523">
        <w:rPr>
          <w:rFonts w:cs="Arial"/>
        </w:rPr>
        <w:t>.g.</w:t>
      </w:r>
      <w:r w:rsidR="003F0C28">
        <w:rPr>
          <w:rFonts w:cs="Arial"/>
        </w:rPr>
        <w:t xml:space="preserve"> throughout </w:t>
      </w:r>
      <w:r w:rsidR="003F0C28" w:rsidRPr="00020523">
        <w:rPr>
          <w:rFonts w:cs="Arial"/>
        </w:rPr>
        <w:t>Finance, Military and Civilian Personnel</w:t>
      </w:r>
      <w:r w:rsidR="003F0C28">
        <w:rPr>
          <w:rFonts w:cs="Arial"/>
        </w:rPr>
        <w:t xml:space="preserve"> systems</w:t>
      </w:r>
      <w:r w:rsidR="003F0C28" w:rsidRPr="00020523">
        <w:rPr>
          <w:rFonts w:cs="Arial"/>
        </w:rPr>
        <w:t>.</w:t>
      </w:r>
      <w:r w:rsidR="003F0C28">
        <w:rPr>
          <w:rFonts w:cs="Arial"/>
        </w:rPr>
        <w:t xml:space="preserve"> </w:t>
      </w:r>
      <w:r w:rsidR="003F0C28" w:rsidRPr="00020523">
        <w:rPr>
          <w:rFonts w:cs="Arial"/>
        </w:rPr>
        <w:t>This has been implemented organically over a number of years through a series of incremental, mainly stand alone, projects. This has led to a footprint that is segmented over several sets of hardware</w:t>
      </w:r>
      <w:r w:rsidR="003F0C28">
        <w:rPr>
          <w:rFonts w:cs="Arial"/>
        </w:rPr>
        <w:t>, which</w:t>
      </w:r>
      <w:r w:rsidR="003F0C28" w:rsidRPr="00020523">
        <w:rPr>
          <w:rFonts w:cs="Arial"/>
        </w:rPr>
        <w:t xml:space="preserve"> means that business process flows are inherently de</w:t>
      </w:r>
      <w:r w:rsidR="003F0C28">
        <w:rPr>
          <w:rFonts w:cs="Arial"/>
        </w:rPr>
        <w:t>pendent upon a large amount of i</w:t>
      </w:r>
      <w:r w:rsidR="003F0C28" w:rsidRPr="00020523">
        <w:rPr>
          <w:rFonts w:cs="Arial"/>
        </w:rPr>
        <w:t xml:space="preserve">nterfaces which impact the smooth flow of data through the system and add unnecessary </w:t>
      </w:r>
      <w:r w:rsidR="003F0C28">
        <w:rPr>
          <w:rFonts w:cs="Arial"/>
        </w:rPr>
        <w:t>complexity.</w:t>
      </w:r>
    </w:p>
    <w:p w14:paraId="3BAC1DB4" w14:textId="7034A83A" w:rsidR="003F0C28" w:rsidRPr="005E7DD6" w:rsidRDefault="004A63F0" w:rsidP="00A003CA">
      <w:pPr>
        <w:pStyle w:val="ListParagraph"/>
        <w:spacing w:after="240"/>
        <w:ind w:hanging="720"/>
        <w:jc w:val="both"/>
        <w:rPr>
          <w:rFonts w:cs="Arial"/>
        </w:rPr>
      </w:pPr>
      <w:r>
        <w:rPr>
          <w:rFonts w:cs="Arial"/>
        </w:rPr>
        <w:t>3.2</w:t>
      </w:r>
      <w:r>
        <w:rPr>
          <w:rFonts w:cs="Arial"/>
        </w:rPr>
        <w:tab/>
      </w:r>
      <w:r w:rsidR="003F0C28" w:rsidRPr="005E7DD6">
        <w:rPr>
          <w:rFonts w:cs="Arial"/>
        </w:rPr>
        <w:t>The approach taken to date meets business requirements, though as the eBusiness Suite (eBS) is spread across disparate servers there has been limited ability to utilise the Commercial off the Shelf (CotS) workflow through the integration of eBS. The net result of the current deployed architecture is that there are inefficiencies in the use of applications and therefore in business process.</w:t>
      </w:r>
    </w:p>
    <w:p w14:paraId="54FC6359" w14:textId="5F715DC9" w:rsidR="003F0C28" w:rsidRDefault="004A63F0" w:rsidP="00A003CA">
      <w:pPr>
        <w:pStyle w:val="ListParagraph"/>
        <w:spacing w:after="240"/>
        <w:ind w:hanging="720"/>
        <w:jc w:val="both"/>
        <w:rPr>
          <w:rFonts w:cs="Arial"/>
        </w:rPr>
      </w:pPr>
      <w:r>
        <w:rPr>
          <w:rFonts w:cs="Arial"/>
        </w:rPr>
        <w:t>3.3</w:t>
      </w:r>
      <w:r>
        <w:rPr>
          <w:rFonts w:cs="Arial"/>
        </w:rPr>
        <w:tab/>
      </w:r>
      <w:r w:rsidR="003F0C28">
        <w:rPr>
          <w:rFonts w:cs="Arial"/>
        </w:rPr>
        <w:t xml:space="preserve">The release 2 of Contracting Purchasing and Finance (CP&amp;F) in </w:t>
      </w:r>
      <w:r w:rsidR="008613A7">
        <w:rPr>
          <w:rFonts w:cs="Arial"/>
        </w:rPr>
        <w:t>October</w:t>
      </w:r>
      <w:r w:rsidR="003F0C28">
        <w:rPr>
          <w:rFonts w:cs="Arial"/>
        </w:rPr>
        <w:t xml:space="preserve"> 2016 </w:t>
      </w:r>
      <w:r w:rsidR="003F0C28" w:rsidRPr="00226F0F">
        <w:rPr>
          <w:rFonts w:cs="Arial"/>
        </w:rPr>
        <w:t xml:space="preserve">will </w:t>
      </w:r>
      <w:r w:rsidR="003F0C28">
        <w:rPr>
          <w:rFonts w:cs="Arial"/>
        </w:rPr>
        <w:t xml:space="preserve">span the Finance and Procurement applications estate. </w:t>
      </w:r>
      <w:r w:rsidR="003F0C28" w:rsidRPr="00226F0F">
        <w:rPr>
          <w:rFonts w:cs="Arial"/>
        </w:rPr>
        <w:t>This will create opportunities, both to improve Business Process flows th</w:t>
      </w:r>
      <w:r w:rsidR="003F0C28">
        <w:rPr>
          <w:rFonts w:cs="Arial"/>
        </w:rPr>
        <w:t>r</w:t>
      </w:r>
      <w:r w:rsidR="003F0C28" w:rsidRPr="00226F0F">
        <w:rPr>
          <w:rFonts w:cs="Arial"/>
        </w:rPr>
        <w:t xml:space="preserve">ough CotS workflow and also System Data flows through CotS integration. </w:t>
      </w:r>
      <w:r w:rsidR="003F0C28">
        <w:rPr>
          <w:rFonts w:cs="Arial"/>
        </w:rPr>
        <w:t>Please note</w:t>
      </w:r>
      <w:r w:rsidR="003F0C28" w:rsidRPr="00226F0F">
        <w:rPr>
          <w:rFonts w:cs="Arial"/>
        </w:rPr>
        <w:t xml:space="preserve"> that H</w:t>
      </w:r>
      <w:r w:rsidR="008613A7">
        <w:rPr>
          <w:rFonts w:cs="Arial"/>
        </w:rPr>
        <w:t xml:space="preserve">uman </w:t>
      </w:r>
      <w:r w:rsidR="003F0C28" w:rsidRPr="00226F0F">
        <w:rPr>
          <w:rFonts w:cs="Arial"/>
        </w:rPr>
        <w:t>R</w:t>
      </w:r>
      <w:r w:rsidR="008613A7">
        <w:rPr>
          <w:rFonts w:cs="Arial"/>
        </w:rPr>
        <w:t>esources</w:t>
      </w:r>
      <w:r w:rsidR="003F0C28" w:rsidRPr="00226F0F">
        <w:rPr>
          <w:rFonts w:cs="Arial"/>
        </w:rPr>
        <w:t xml:space="preserve"> and Payroll will remain on their own hardware</w:t>
      </w:r>
      <w:r w:rsidR="003F0C28">
        <w:rPr>
          <w:rFonts w:cs="Arial"/>
        </w:rPr>
        <w:t xml:space="preserve"> and continue to provide finance related transactions (e.g. accounting impact of staff costs) to the D</w:t>
      </w:r>
      <w:r w:rsidR="008613A7">
        <w:rPr>
          <w:rFonts w:cs="Arial"/>
        </w:rPr>
        <w:t>efence Financial Management System</w:t>
      </w:r>
      <w:r w:rsidR="003F0C28">
        <w:rPr>
          <w:rFonts w:cs="Arial"/>
        </w:rPr>
        <w:t>.</w:t>
      </w:r>
    </w:p>
    <w:p w14:paraId="717C28D1" w14:textId="1D3A382C" w:rsidR="003F0C28" w:rsidRPr="0069798B" w:rsidRDefault="0014133B" w:rsidP="00A003CA">
      <w:pPr>
        <w:pStyle w:val="ListParagraph"/>
        <w:spacing w:after="240"/>
        <w:ind w:hanging="720"/>
        <w:jc w:val="both"/>
        <w:rPr>
          <w:rFonts w:cs="Arial"/>
        </w:rPr>
      </w:pPr>
      <w:r>
        <w:rPr>
          <w:rFonts w:cs="Arial"/>
        </w:rPr>
        <w:t>3.4</w:t>
      </w:r>
      <w:r>
        <w:rPr>
          <w:rFonts w:cs="Arial"/>
        </w:rPr>
        <w:tab/>
      </w:r>
      <w:r w:rsidR="003F0C28" w:rsidRPr="007172FF">
        <w:rPr>
          <w:rFonts w:cs="Arial"/>
        </w:rPr>
        <w:t xml:space="preserve">The Planning, Budget and Forecasting (PB&amp;F) process is mainly supported by </w:t>
      </w:r>
      <w:r w:rsidR="003F0C28" w:rsidRPr="004F7A6C">
        <w:rPr>
          <w:rFonts w:cs="Arial"/>
        </w:rPr>
        <w:t xml:space="preserve">Enterprise Planning, COGNOS functionality. The PB&amp;F application is large and complex, and there are many “off-system” processes </w:t>
      </w:r>
      <w:r w:rsidR="003F0C28" w:rsidRPr="007172FF">
        <w:rPr>
          <w:rFonts w:cs="Arial"/>
        </w:rPr>
        <w:t xml:space="preserve">(e.g. Excel), that support the application. </w:t>
      </w:r>
      <w:r w:rsidR="003F0C28">
        <w:rPr>
          <w:rFonts w:cs="Arial"/>
        </w:rPr>
        <w:t xml:space="preserve">In addition </w:t>
      </w:r>
      <w:r w:rsidR="003F0C28" w:rsidRPr="0069798B">
        <w:rPr>
          <w:rFonts w:cs="Arial"/>
        </w:rPr>
        <w:t>the business process that PB&amp;F supports is complex with many hand-offs between Head Office</w:t>
      </w:r>
      <w:r w:rsidR="003F0C28">
        <w:rPr>
          <w:rFonts w:cs="Arial"/>
        </w:rPr>
        <w:t xml:space="preserve">, </w:t>
      </w:r>
      <w:r w:rsidR="00407B4E">
        <w:rPr>
          <w:rFonts w:cs="Arial"/>
        </w:rPr>
        <w:t>and other M</w:t>
      </w:r>
      <w:r w:rsidR="00B5462C">
        <w:rPr>
          <w:rFonts w:cs="Arial"/>
        </w:rPr>
        <w:t>o</w:t>
      </w:r>
      <w:r w:rsidR="00407B4E">
        <w:rPr>
          <w:rFonts w:cs="Arial"/>
        </w:rPr>
        <w:t>D Departments</w:t>
      </w:r>
      <w:r w:rsidR="003F0C28" w:rsidRPr="0069798B">
        <w:rPr>
          <w:rFonts w:cs="Arial"/>
        </w:rPr>
        <w:t xml:space="preserve">. This in turn compounds the issues created by an over complex application. </w:t>
      </w:r>
    </w:p>
    <w:p w14:paraId="4336D1D0" w14:textId="20528FD0" w:rsidR="003F0C28" w:rsidRPr="003F0C28" w:rsidRDefault="0014133B" w:rsidP="00A003CA">
      <w:pPr>
        <w:pStyle w:val="BodyText"/>
        <w:spacing w:after="240"/>
        <w:ind w:left="720" w:hanging="720"/>
        <w:rPr>
          <w:rFonts w:cs="Arial"/>
          <w:szCs w:val="22"/>
          <w:lang w:eastAsia="en-GB"/>
        </w:rPr>
      </w:pPr>
      <w:r>
        <w:rPr>
          <w:rFonts w:cs="Arial"/>
          <w:szCs w:val="22"/>
          <w:lang w:eastAsia="en-GB"/>
        </w:rPr>
        <w:lastRenderedPageBreak/>
        <w:t>3.5</w:t>
      </w:r>
      <w:r>
        <w:rPr>
          <w:rFonts w:cs="Arial"/>
          <w:szCs w:val="22"/>
          <w:lang w:eastAsia="en-GB"/>
        </w:rPr>
        <w:tab/>
      </w:r>
      <w:r w:rsidR="003F0C28" w:rsidRPr="003F0C28">
        <w:rPr>
          <w:rFonts w:cs="Arial"/>
          <w:szCs w:val="22"/>
          <w:lang w:eastAsia="en-GB"/>
        </w:rPr>
        <w:t>D</w:t>
      </w:r>
      <w:r w:rsidR="00407B4E">
        <w:rPr>
          <w:rFonts w:cs="Arial"/>
          <w:szCs w:val="22"/>
          <w:lang w:eastAsia="en-GB"/>
        </w:rPr>
        <w:t xml:space="preserve">irector </w:t>
      </w:r>
      <w:r w:rsidR="003F0C28" w:rsidRPr="003F0C28">
        <w:rPr>
          <w:rFonts w:cs="Arial"/>
          <w:szCs w:val="22"/>
          <w:lang w:eastAsia="en-GB"/>
        </w:rPr>
        <w:t>G</w:t>
      </w:r>
      <w:r w:rsidR="00407B4E">
        <w:rPr>
          <w:rFonts w:cs="Arial"/>
          <w:szCs w:val="22"/>
          <w:lang w:eastAsia="en-GB"/>
        </w:rPr>
        <w:t>eneral</w:t>
      </w:r>
      <w:r w:rsidR="003F0C28" w:rsidRPr="003F0C28">
        <w:rPr>
          <w:rFonts w:cs="Arial"/>
          <w:szCs w:val="22"/>
          <w:lang w:eastAsia="en-GB"/>
        </w:rPr>
        <w:t xml:space="preserve"> Finance has established a Finance Transformation Programme to review the existing finance business processes and identify improvements. The Financial Management Strategy aligns to industry best practise </w:t>
      </w:r>
      <w:r w:rsidR="008613A7">
        <w:rPr>
          <w:rFonts w:cs="Arial"/>
          <w:szCs w:val="22"/>
          <w:lang w:eastAsia="en-GB"/>
        </w:rPr>
        <w:t xml:space="preserve">which states </w:t>
      </w:r>
      <w:r w:rsidR="003F0C28" w:rsidRPr="003F0C28">
        <w:rPr>
          <w:rFonts w:cs="Arial"/>
          <w:szCs w:val="22"/>
          <w:lang w:eastAsia="en-GB"/>
        </w:rPr>
        <w:t xml:space="preserve">that the Department should seek to continually improve the finance systems in incremental steps to deliver the improvements in the business process flows. </w:t>
      </w:r>
    </w:p>
    <w:p w14:paraId="75152D4D" w14:textId="1B27C036" w:rsidR="003F0C28" w:rsidRDefault="0014133B" w:rsidP="00A003CA">
      <w:pPr>
        <w:pStyle w:val="BodyText"/>
        <w:tabs>
          <w:tab w:val="left" w:pos="-993"/>
        </w:tabs>
        <w:spacing w:after="240"/>
        <w:ind w:left="720" w:hanging="720"/>
      </w:pPr>
      <w:r>
        <w:rPr>
          <w:rFonts w:cs="Arial"/>
          <w:szCs w:val="22"/>
          <w:lang w:eastAsia="en-GB"/>
        </w:rPr>
        <w:t>3.6</w:t>
      </w:r>
      <w:r>
        <w:rPr>
          <w:rFonts w:cs="Arial"/>
          <w:szCs w:val="22"/>
          <w:lang w:eastAsia="en-GB"/>
        </w:rPr>
        <w:tab/>
      </w:r>
      <w:r w:rsidR="003F0C28" w:rsidRPr="003F0C28">
        <w:rPr>
          <w:rFonts w:cs="Arial"/>
          <w:szCs w:val="22"/>
          <w:lang w:eastAsia="en-GB"/>
        </w:rPr>
        <w:t>The ISS Digital Service Strategy (DSS) states that Design Authorities must be technically, financially and commercially aware and should apply an architectural approach to lead and shape the development and delivery of capabilities to reduce complexity and cost. Another key principle is to not customise software but to utilise ‘out-of-the-box’ functionality as much as possible and to include as much of the finance application estate within the ERP as practicable. The work we are proposing will deliver both of these as well as potentially offer opportunities to make efficiencies across the finance business processes.</w:t>
      </w:r>
    </w:p>
    <w:p w14:paraId="081CFAE7" w14:textId="4404AA16" w:rsidR="00C4233A" w:rsidRDefault="00106F24">
      <w:pPr>
        <w:pStyle w:val="Heading1"/>
        <w:tabs>
          <w:tab w:val="clear" w:pos="720"/>
        </w:tabs>
        <w:overflowPunct w:val="0"/>
        <w:autoSpaceDE w:val="0"/>
        <w:autoSpaceDN w:val="0"/>
        <w:spacing w:after="120"/>
        <w:textAlignment w:val="baseline"/>
        <w:rPr>
          <w:szCs w:val="22"/>
        </w:rPr>
      </w:pPr>
      <w:bookmarkStart w:id="12" w:name="_Toc457913373"/>
      <w:bookmarkStart w:id="13" w:name="_Toc368573030"/>
      <w:r>
        <w:rPr>
          <w:szCs w:val="22"/>
        </w:rPr>
        <w:t>definitions</w:t>
      </w:r>
      <w:bookmarkEnd w:id="12"/>
      <w:r>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553CCD95" w14:textId="77777777" w:rsidTr="00106F24">
        <w:tc>
          <w:tcPr>
            <w:tcW w:w="1827" w:type="dxa"/>
            <w:shd w:val="clear" w:color="auto" w:fill="C6D9F1" w:themeFill="text2" w:themeFillTint="33"/>
          </w:tcPr>
          <w:p w14:paraId="2E04E555" w14:textId="1E410DA5" w:rsidR="00106F24" w:rsidRPr="0014133B" w:rsidRDefault="00106F24" w:rsidP="0081061A">
            <w:pPr>
              <w:pStyle w:val="Heading2"/>
              <w:numPr>
                <w:ilvl w:val="0"/>
                <w:numId w:val="0"/>
              </w:numPr>
              <w:spacing w:after="120"/>
              <w:ind w:left="18" w:hanging="18"/>
              <w:jc w:val="left"/>
              <w:outlineLvl w:val="1"/>
            </w:pPr>
            <w:r w:rsidRPr="0014133B">
              <w:t>Expression</w:t>
            </w:r>
            <w:r w:rsidR="0081061A" w:rsidRPr="0014133B">
              <w:t xml:space="preserve"> or </w:t>
            </w:r>
            <w:r w:rsidRPr="0014133B">
              <w:t>Acronym</w:t>
            </w:r>
          </w:p>
        </w:tc>
        <w:tc>
          <w:tcPr>
            <w:tcW w:w="6472" w:type="dxa"/>
            <w:shd w:val="clear" w:color="auto" w:fill="C6D9F1" w:themeFill="text2" w:themeFillTint="33"/>
          </w:tcPr>
          <w:p w14:paraId="0CDEAA6D" w14:textId="00739683" w:rsidR="00106F24" w:rsidRPr="0014133B" w:rsidRDefault="00106F24" w:rsidP="0081061A">
            <w:pPr>
              <w:pStyle w:val="Heading2"/>
              <w:numPr>
                <w:ilvl w:val="0"/>
                <w:numId w:val="0"/>
              </w:numPr>
              <w:spacing w:after="120"/>
              <w:ind w:left="720" w:hanging="720"/>
              <w:outlineLvl w:val="1"/>
            </w:pPr>
            <w:r w:rsidRPr="0014133B">
              <w:t>Definition</w:t>
            </w:r>
          </w:p>
        </w:tc>
      </w:tr>
      <w:tr w:rsidR="00106F24" w14:paraId="722819D3" w14:textId="77777777" w:rsidTr="00106F24">
        <w:tc>
          <w:tcPr>
            <w:tcW w:w="1827" w:type="dxa"/>
          </w:tcPr>
          <w:p w14:paraId="18A7B53F" w14:textId="5D89BBF6" w:rsidR="00106F24" w:rsidRPr="0081061A" w:rsidRDefault="00407B4E" w:rsidP="005B43D5">
            <w:pPr>
              <w:pStyle w:val="Heading2"/>
              <w:numPr>
                <w:ilvl w:val="0"/>
                <w:numId w:val="0"/>
              </w:numPr>
              <w:spacing w:after="120"/>
              <w:ind w:left="720" w:hanging="720"/>
              <w:outlineLvl w:val="1"/>
              <w:rPr>
                <w:highlight w:val="yellow"/>
              </w:rPr>
            </w:pPr>
            <w:r>
              <w:rPr>
                <w:rFonts w:cs="Arial"/>
              </w:rPr>
              <w:t>M</w:t>
            </w:r>
            <w:r w:rsidR="00B5462C">
              <w:rPr>
                <w:rFonts w:cs="Arial"/>
              </w:rPr>
              <w:t>o</w:t>
            </w:r>
            <w:r>
              <w:rPr>
                <w:rFonts w:cs="Arial"/>
              </w:rPr>
              <w:t>D</w:t>
            </w:r>
          </w:p>
        </w:tc>
        <w:tc>
          <w:tcPr>
            <w:tcW w:w="6472" w:type="dxa"/>
          </w:tcPr>
          <w:p w14:paraId="74E0E117" w14:textId="22FBDC9C" w:rsidR="00106F24" w:rsidRPr="0081061A" w:rsidRDefault="00407B4E" w:rsidP="00407B4E">
            <w:pPr>
              <w:pStyle w:val="Heading2"/>
              <w:numPr>
                <w:ilvl w:val="0"/>
                <w:numId w:val="0"/>
              </w:numPr>
              <w:spacing w:after="120"/>
              <w:outlineLvl w:val="1"/>
              <w:rPr>
                <w:highlight w:val="yellow"/>
              </w:rPr>
            </w:pPr>
            <w:r w:rsidRPr="00407B4E">
              <w:t>Ministry of Defence</w:t>
            </w:r>
          </w:p>
        </w:tc>
      </w:tr>
      <w:tr w:rsidR="00106F24" w14:paraId="0ED1505B" w14:textId="77777777" w:rsidTr="00106F24">
        <w:tc>
          <w:tcPr>
            <w:tcW w:w="1827" w:type="dxa"/>
          </w:tcPr>
          <w:p w14:paraId="0773B834" w14:textId="040FFACB" w:rsidR="00106F24" w:rsidRPr="00407B4E" w:rsidRDefault="00407B4E" w:rsidP="0081061A">
            <w:pPr>
              <w:pStyle w:val="Heading2"/>
              <w:numPr>
                <w:ilvl w:val="0"/>
                <w:numId w:val="0"/>
              </w:numPr>
              <w:spacing w:after="120"/>
              <w:ind w:left="720" w:hanging="720"/>
              <w:outlineLvl w:val="1"/>
            </w:pPr>
            <w:r w:rsidRPr="00407B4E">
              <w:t>ISS</w:t>
            </w:r>
          </w:p>
        </w:tc>
        <w:tc>
          <w:tcPr>
            <w:tcW w:w="6472" w:type="dxa"/>
          </w:tcPr>
          <w:p w14:paraId="7D6E62CD" w14:textId="280D8433" w:rsidR="00106F24" w:rsidRPr="00407B4E" w:rsidRDefault="00407B4E" w:rsidP="00407B4E">
            <w:pPr>
              <w:pStyle w:val="Heading2"/>
              <w:numPr>
                <w:ilvl w:val="0"/>
                <w:numId w:val="0"/>
              </w:numPr>
              <w:spacing w:after="120"/>
              <w:ind w:left="720" w:hanging="720"/>
              <w:outlineLvl w:val="1"/>
            </w:pPr>
            <w:r w:rsidRPr="00407B4E">
              <w:t>Information Systems</w:t>
            </w:r>
            <w:r>
              <w:t xml:space="preserve"> </w:t>
            </w:r>
            <w:r w:rsidR="0014133B">
              <w:t>and</w:t>
            </w:r>
            <w:r>
              <w:t xml:space="preserve"> </w:t>
            </w:r>
            <w:r w:rsidRPr="00407B4E">
              <w:t xml:space="preserve">Services </w:t>
            </w:r>
          </w:p>
        </w:tc>
      </w:tr>
      <w:tr w:rsidR="00106F24" w14:paraId="03344AB3" w14:textId="77777777" w:rsidTr="00106F24">
        <w:tc>
          <w:tcPr>
            <w:tcW w:w="1827" w:type="dxa"/>
          </w:tcPr>
          <w:p w14:paraId="0F046C88" w14:textId="391611F4" w:rsidR="00106F24" w:rsidRPr="0081061A" w:rsidRDefault="00407B4E" w:rsidP="0081061A">
            <w:pPr>
              <w:pStyle w:val="Heading2"/>
              <w:numPr>
                <w:ilvl w:val="0"/>
                <w:numId w:val="0"/>
              </w:numPr>
              <w:spacing w:after="120"/>
              <w:ind w:left="720" w:hanging="720"/>
              <w:outlineLvl w:val="1"/>
              <w:rPr>
                <w:highlight w:val="yellow"/>
              </w:rPr>
            </w:pPr>
            <w:r w:rsidRPr="003F0C28">
              <w:rPr>
                <w:rFonts w:cs="Arial"/>
                <w:szCs w:val="22"/>
                <w:lang w:eastAsia="en-GB"/>
              </w:rPr>
              <w:t>ERP</w:t>
            </w:r>
          </w:p>
        </w:tc>
        <w:tc>
          <w:tcPr>
            <w:tcW w:w="6472" w:type="dxa"/>
          </w:tcPr>
          <w:p w14:paraId="37C45D19" w14:textId="663A1747" w:rsidR="00106F24" w:rsidRPr="0081061A" w:rsidRDefault="00407B4E" w:rsidP="0081061A">
            <w:pPr>
              <w:pStyle w:val="Heading2"/>
              <w:numPr>
                <w:ilvl w:val="0"/>
                <w:numId w:val="0"/>
              </w:numPr>
              <w:spacing w:after="120"/>
              <w:outlineLvl w:val="1"/>
              <w:rPr>
                <w:highlight w:val="yellow"/>
              </w:rPr>
            </w:pPr>
            <w:r w:rsidRPr="00407B4E">
              <w:t>Enterprise Resource Planning</w:t>
            </w:r>
          </w:p>
        </w:tc>
      </w:tr>
    </w:tbl>
    <w:p w14:paraId="0DAF43A5" w14:textId="77777777" w:rsidR="00671798" w:rsidRDefault="00FE18AC" w:rsidP="00106F24">
      <w:pPr>
        <w:pStyle w:val="Heading1"/>
        <w:tabs>
          <w:tab w:val="clear" w:pos="720"/>
        </w:tabs>
        <w:overflowPunct w:val="0"/>
        <w:autoSpaceDE w:val="0"/>
        <w:autoSpaceDN w:val="0"/>
        <w:spacing w:before="240" w:after="120"/>
        <w:textAlignment w:val="baseline"/>
        <w:rPr>
          <w:szCs w:val="22"/>
        </w:rPr>
      </w:pPr>
      <w:bookmarkStart w:id="14" w:name="_Toc457913374"/>
      <w:r w:rsidRPr="00B9425F">
        <w:rPr>
          <w:szCs w:val="22"/>
        </w:rPr>
        <w:t>scope of requirement</w:t>
      </w:r>
      <w:bookmarkEnd w:id="11"/>
      <w:bookmarkEnd w:id="13"/>
      <w:bookmarkEnd w:id="14"/>
      <w:r w:rsidRPr="00B9425F">
        <w:rPr>
          <w:szCs w:val="22"/>
        </w:rPr>
        <w:t xml:space="preserve"> </w:t>
      </w:r>
    </w:p>
    <w:bookmarkEnd w:id="8"/>
    <w:p w14:paraId="5D5A78CE" w14:textId="15237ECD" w:rsidR="005577E2" w:rsidRDefault="005577E2" w:rsidP="0014133B">
      <w:pPr>
        <w:pStyle w:val="Heading2"/>
        <w:rPr>
          <w:sz w:val="24"/>
          <w:szCs w:val="24"/>
          <w:lang w:eastAsia="en-GB"/>
        </w:rPr>
      </w:pPr>
      <w:r w:rsidRPr="005577E2">
        <w:rPr>
          <w:lang w:eastAsia="en-GB"/>
        </w:rPr>
        <w:t xml:space="preserve">The DAF requires </w:t>
      </w:r>
      <w:r w:rsidR="000638A2">
        <w:rPr>
          <w:lang w:eastAsia="en-GB"/>
        </w:rPr>
        <w:t>four</w:t>
      </w:r>
      <w:r w:rsidRPr="005577E2">
        <w:rPr>
          <w:lang w:eastAsia="en-GB"/>
        </w:rPr>
        <w:t xml:space="preserve"> explorative workshops to examine current business processes to make optimum use of the </w:t>
      </w:r>
      <w:r w:rsidRPr="005577E2">
        <w:t>O</w:t>
      </w:r>
      <w:r w:rsidR="00B5462C">
        <w:t>racle</w:t>
      </w:r>
      <w:r w:rsidRPr="005577E2">
        <w:rPr>
          <w:lang w:eastAsia="en-GB"/>
        </w:rPr>
        <w:t xml:space="preserve"> R12</w:t>
      </w:r>
      <w:r w:rsidRPr="005577E2">
        <w:rPr>
          <w:lang w:val="en-US" w:eastAsia="en-GB"/>
        </w:rPr>
        <w:t xml:space="preserve"> e-business</w:t>
      </w:r>
      <w:r w:rsidRPr="005577E2">
        <w:rPr>
          <w:lang w:eastAsia="en-GB"/>
        </w:rPr>
        <w:t xml:space="preserve"> </w:t>
      </w:r>
      <w:r w:rsidRPr="005577E2">
        <w:rPr>
          <w:lang w:val="en-US" w:eastAsia="en-GB"/>
        </w:rPr>
        <w:t xml:space="preserve">suite </w:t>
      </w:r>
      <w:r w:rsidRPr="005577E2">
        <w:rPr>
          <w:lang w:eastAsia="en-GB"/>
        </w:rPr>
        <w:t xml:space="preserve">functionality and identify </w:t>
      </w:r>
      <w:r w:rsidR="00E878C9">
        <w:rPr>
          <w:lang w:eastAsia="en-GB"/>
        </w:rPr>
        <w:t xml:space="preserve">their </w:t>
      </w:r>
      <w:r w:rsidRPr="005577E2">
        <w:rPr>
          <w:lang w:eastAsia="en-GB"/>
        </w:rPr>
        <w:t>future finance system architecture.</w:t>
      </w:r>
      <w:r>
        <w:rPr>
          <w:sz w:val="24"/>
          <w:szCs w:val="24"/>
          <w:lang w:eastAsia="en-GB"/>
        </w:rPr>
        <w:t xml:space="preserve">  </w:t>
      </w:r>
    </w:p>
    <w:p w14:paraId="2FDD4E06" w14:textId="06B296B6" w:rsidR="003F0C28" w:rsidRPr="003F0C28" w:rsidRDefault="005D3E70" w:rsidP="00A003CA">
      <w:pPr>
        <w:pStyle w:val="BodyText"/>
        <w:spacing w:before="120"/>
        <w:ind w:left="709" w:hanging="709"/>
        <w:rPr>
          <w:rFonts w:cs="Arial"/>
          <w:szCs w:val="22"/>
          <w:lang w:eastAsia="en-GB"/>
        </w:rPr>
      </w:pPr>
      <w:r>
        <w:rPr>
          <w:rFonts w:cs="Arial"/>
          <w:szCs w:val="22"/>
          <w:lang w:eastAsia="en-GB"/>
        </w:rPr>
        <w:t>5.2</w:t>
      </w:r>
      <w:r>
        <w:rPr>
          <w:rFonts w:cs="Arial"/>
          <w:szCs w:val="22"/>
          <w:lang w:eastAsia="en-GB"/>
        </w:rPr>
        <w:tab/>
      </w:r>
      <w:r w:rsidR="003F0C28" w:rsidRPr="003F0C28">
        <w:rPr>
          <w:rFonts w:cs="Arial"/>
          <w:szCs w:val="22"/>
          <w:lang w:eastAsia="en-GB"/>
        </w:rPr>
        <w:t xml:space="preserve">Each of the four workshops will deliver a report, workshop notes, recommendations and a High Level Plan: </w:t>
      </w:r>
    </w:p>
    <w:p w14:paraId="580712DF" w14:textId="6AB7A95B" w:rsidR="003F0C28" w:rsidRDefault="005D3E70" w:rsidP="00A003CA">
      <w:pPr>
        <w:ind w:left="709"/>
        <w:jc w:val="both"/>
        <w:rPr>
          <w:rFonts w:cs="Arial"/>
        </w:rPr>
      </w:pPr>
      <w:r>
        <w:rPr>
          <w:rFonts w:cs="Arial"/>
        </w:rPr>
        <w:t>5.2.1</w:t>
      </w:r>
      <w:r>
        <w:rPr>
          <w:rFonts w:cs="Arial"/>
        </w:rPr>
        <w:tab/>
      </w:r>
      <w:r w:rsidR="003F0C28">
        <w:rPr>
          <w:rFonts w:cs="Arial"/>
        </w:rPr>
        <w:t xml:space="preserve">Workshop 1 - </w:t>
      </w:r>
      <w:r w:rsidR="003F0C28" w:rsidRPr="001F6132">
        <w:rPr>
          <w:rFonts w:cs="Arial"/>
        </w:rPr>
        <w:t>General Ledger – 1 day</w:t>
      </w:r>
    </w:p>
    <w:p w14:paraId="22E9015F" w14:textId="77777777" w:rsidR="005D3E70" w:rsidRPr="001F6132" w:rsidRDefault="005D3E70" w:rsidP="00A003CA">
      <w:pPr>
        <w:ind w:left="709"/>
        <w:jc w:val="both"/>
        <w:rPr>
          <w:rFonts w:cs="Arial"/>
        </w:rPr>
      </w:pPr>
    </w:p>
    <w:p w14:paraId="226BD4EC" w14:textId="161D89AF" w:rsidR="003F0C28" w:rsidRPr="00B83B7C" w:rsidRDefault="00B5462C" w:rsidP="00A003CA">
      <w:pPr>
        <w:ind w:left="1440"/>
        <w:jc w:val="both"/>
        <w:rPr>
          <w:rFonts w:cs="Arial"/>
        </w:rPr>
      </w:pPr>
      <w:r>
        <w:rPr>
          <w:rFonts w:cs="Arial"/>
        </w:rPr>
        <w:t>Oracle</w:t>
      </w:r>
      <w:r w:rsidRPr="00B83B7C">
        <w:rPr>
          <w:rFonts w:cs="Arial"/>
        </w:rPr>
        <w:t xml:space="preserve"> </w:t>
      </w:r>
      <w:r w:rsidR="003F0C28" w:rsidRPr="00B83B7C">
        <w:rPr>
          <w:rFonts w:cs="Arial"/>
        </w:rPr>
        <w:t>Subject Matter Experts (SMEs), together with business SMEs will explore how process and functionality could work better together in an integrated Oracle ERP.</w:t>
      </w:r>
      <w:r w:rsidR="003F0C28">
        <w:rPr>
          <w:rFonts w:cs="Arial"/>
        </w:rPr>
        <w:t xml:space="preserve"> </w:t>
      </w:r>
      <w:r w:rsidR="000638A2">
        <w:rPr>
          <w:rFonts w:cs="Arial"/>
        </w:rPr>
        <w:t xml:space="preserve">Each workshop / meeting will include ten attendees. </w:t>
      </w:r>
      <w:r w:rsidR="003F0C28" w:rsidRPr="00B83B7C">
        <w:rPr>
          <w:rFonts w:cs="Arial"/>
        </w:rPr>
        <w:t>This will be achieved by walking through best practice process flows and how the Department c</w:t>
      </w:r>
      <w:r w:rsidR="008613A7">
        <w:rPr>
          <w:rFonts w:cs="Arial"/>
        </w:rPr>
        <w:t xml:space="preserve">ould </w:t>
      </w:r>
      <w:r w:rsidR="003F0C28" w:rsidRPr="00B83B7C">
        <w:rPr>
          <w:rFonts w:cs="Arial"/>
        </w:rPr>
        <w:t>make optimum use of C</w:t>
      </w:r>
      <w:r w:rsidR="00407B4E">
        <w:rPr>
          <w:rFonts w:cs="Arial"/>
        </w:rPr>
        <w:t>ot</w:t>
      </w:r>
      <w:r w:rsidR="003F0C28" w:rsidRPr="00B83B7C">
        <w:rPr>
          <w:rFonts w:cs="Arial"/>
        </w:rPr>
        <w:t>S functionality, specifically in relation to the interplay between a thin G</w:t>
      </w:r>
      <w:r w:rsidR="003F0C28">
        <w:rPr>
          <w:rFonts w:cs="Arial"/>
        </w:rPr>
        <w:t xml:space="preserve">eneral </w:t>
      </w:r>
      <w:r w:rsidR="003F0C28" w:rsidRPr="00B83B7C">
        <w:rPr>
          <w:rFonts w:cs="Arial"/>
        </w:rPr>
        <w:t>L</w:t>
      </w:r>
      <w:r w:rsidR="003F0C28">
        <w:rPr>
          <w:rFonts w:cs="Arial"/>
        </w:rPr>
        <w:t>edger</w:t>
      </w:r>
      <w:r w:rsidR="003F0C28" w:rsidRPr="00B83B7C">
        <w:rPr>
          <w:rFonts w:cs="Arial"/>
        </w:rPr>
        <w:t>, the C</w:t>
      </w:r>
      <w:r w:rsidR="003F0C28">
        <w:rPr>
          <w:rFonts w:cs="Arial"/>
        </w:rPr>
        <w:t xml:space="preserve">hart of Accounts </w:t>
      </w:r>
      <w:r w:rsidR="003F0C28" w:rsidRPr="00B83B7C">
        <w:rPr>
          <w:rFonts w:cs="Arial"/>
        </w:rPr>
        <w:t>and the detail available in the sub-ledgers</w:t>
      </w:r>
      <w:r w:rsidR="003F0C28">
        <w:rPr>
          <w:rFonts w:cs="Arial"/>
        </w:rPr>
        <w:t>. This is crucial in order to minimise the days required to close the General Ledger and therefore produce the In Year Management forecasts quicker</w:t>
      </w:r>
      <w:r w:rsidR="003F0C28" w:rsidRPr="00B83B7C">
        <w:rPr>
          <w:rFonts w:cs="Arial"/>
        </w:rPr>
        <w:t>;</w:t>
      </w:r>
    </w:p>
    <w:p w14:paraId="1DD42865" w14:textId="77777777" w:rsidR="003F0C28" w:rsidRDefault="003F0C28" w:rsidP="003F0C28">
      <w:pPr>
        <w:ind w:left="1418" w:hanging="338"/>
        <w:rPr>
          <w:rFonts w:cs="Arial"/>
        </w:rPr>
      </w:pPr>
    </w:p>
    <w:p w14:paraId="6F1E692E" w14:textId="2194728A" w:rsidR="003F0C28" w:rsidRDefault="005D3E70" w:rsidP="003F0C28">
      <w:pPr>
        <w:ind w:left="709"/>
        <w:rPr>
          <w:rFonts w:cs="Arial"/>
        </w:rPr>
      </w:pPr>
      <w:r>
        <w:rPr>
          <w:rFonts w:cs="Arial"/>
        </w:rPr>
        <w:t>5.2.2</w:t>
      </w:r>
      <w:r>
        <w:rPr>
          <w:rFonts w:cs="Arial"/>
        </w:rPr>
        <w:tab/>
      </w:r>
      <w:r w:rsidR="003F0C28">
        <w:rPr>
          <w:rFonts w:cs="Arial"/>
        </w:rPr>
        <w:t xml:space="preserve">Workshop 2 - </w:t>
      </w:r>
      <w:r w:rsidR="003F0C28" w:rsidRPr="001F6132">
        <w:rPr>
          <w:rFonts w:cs="Arial"/>
        </w:rPr>
        <w:t>Non-current Assets (Fixed Assets) – 1 day</w:t>
      </w:r>
    </w:p>
    <w:p w14:paraId="56FAEA41" w14:textId="77777777" w:rsidR="005D3E70" w:rsidRPr="001F6132" w:rsidRDefault="005D3E70" w:rsidP="003F0C28">
      <w:pPr>
        <w:ind w:left="709"/>
        <w:rPr>
          <w:rFonts w:cs="Arial"/>
        </w:rPr>
      </w:pPr>
    </w:p>
    <w:p w14:paraId="7CB5F647" w14:textId="235A2E41" w:rsidR="003F0C28" w:rsidRPr="00B83B7C" w:rsidRDefault="003F0C28" w:rsidP="00A003CA">
      <w:pPr>
        <w:ind w:left="1440"/>
        <w:jc w:val="both"/>
        <w:rPr>
          <w:rFonts w:cs="Arial"/>
        </w:rPr>
      </w:pPr>
      <w:r w:rsidRPr="00B83B7C">
        <w:rPr>
          <w:rFonts w:cs="Arial"/>
        </w:rPr>
        <w:t>O</w:t>
      </w:r>
      <w:r w:rsidR="00B5462C">
        <w:rPr>
          <w:rFonts w:cs="Arial"/>
        </w:rPr>
        <w:t>racle</w:t>
      </w:r>
      <w:r w:rsidRPr="00B83B7C">
        <w:rPr>
          <w:rFonts w:cs="Arial"/>
        </w:rPr>
        <w:t xml:space="preserve"> Subject Matter Exper</w:t>
      </w:r>
      <w:bookmarkStart w:id="15" w:name="_GoBack"/>
      <w:bookmarkEnd w:id="15"/>
      <w:r w:rsidRPr="00B83B7C">
        <w:rPr>
          <w:rFonts w:cs="Arial"/>
        </w:rPr>
        <w:t>ts (SMEs), together with business SMEs will explore how and if functionality</w:t>
      </w:r>
      <w:r>
        <w:rPr>
          <w:rFonts w:cs="Arial"/>
        </w:rPr>
        <w:t xml:space="preserve"> currently in</w:t>
      </w:r>
      <w:r w:rsidRPr="00B83B7C">
        <w:rPr>
          <w:rFonts w:cs="Arial"/>
        </w:rPr>
        <w:t xml:space="preserve"> PB&amp;F </w:t>
      </w:r>
      <w:r>
        <w:rPr>
          <w:rFonts w:cs="Arial"/>
        </w:rPr>
        <w:t xml:space="preserve">can be moved </w:t>
      </w:r>
      <w:r w:rsidRPr="00B83B7C">
        <w:rPr>
          <w:rFonts w:cs="Arial"/>
        </w:rPr>
        <w:t xml:space="preserve">into Oracle Fixed Assets. </w:t>
      </w:r>
      <w:r>
        <w:rPr>
          <w:rFonts w:cs="Arial"/>
        </w:rPr>
        <w:t xml:space="preserve">This should simplify the PB&amp;F system and make it easier to </w:t>
      </w:r>
      <w:r>
        <w:rPr>
          <w:rFonts w:cs="Arial"/>
        </w:rPr>
        <w:lastRenderedPageBreak/>
        <w:t xml:space="preserve">support. </w:t>
      </w:r>
      <w:r w:rsidRPr="00B83B7C">
        <w:rPr>
          <w:rFonts w:cs="Arial"/>
        </w:rPr>
        <w:t xml:space="preserve"> This will be combined with a walk through of the asset lifecycle to inform the “fit” within the end to end process flows operated by the Department;</w:t>
      </w:r>
    </w:p>
    <w:p w14:paraId="6BB609A3" w14:textId="77777777" w:rsidR="003F0C28" w:rsidRDefault="003F0C28" w:rsidP="003F0C28">
      <w:pPr>
        <w:ind w:left="709" w:hanging="338"/>
        <w:rPr>
          <w:rFonts w:cs="Arial"/>
        </w:rPr>
      </w:pPr>
    </w:p>
    <w:p w14:paraId="419C9831" w14:textId="6CF3C3A3" w:rsidR="003F0C28" w:rsidRDefault="005D3E70" w:rsidP="00A003CA">
      <w:pPr>
        <w:ind w:left="720"/>
        <w:jc w:val="both"/>
        <w:rPr>
          <w:rFonts w:cs="Arial"/>
        </w:rPr>
      </w:pPr>
      <w:r>
        <w:rPr>
          <w:rFonts w:cs="Arial"/>
        </w:rPr>
        <w:t>5.2.3</w:t>
      </w:r>
      <w:r>
        <w:rPr>
          <w:rFonts w:cs="Arial"/>
        </w:rPr>
        <w:tab/>
      </w:r>
      <w:r w:rsidR="003F0C28">
        <w:rPr>
          <w:rFonts w:cs="Arial"/>
        </w:rPr>
        <w:t xml:space="preserve">Workshop 3 - </w:t>
      </w:r>
      <w:r w:rsidR="003F0C28" w:rsidRPr="001F6132">
        <w:rPr>
          <w:rFonts w:cs="Arial"/>
        </w:rPr>
        <w:t>Planning, Budgeting and Forecasting – 2 days</w:t>
      </w:r>
    </w:p>
    <w:p w14:paraId="5EA538BA" w14:textId="77777777" w:rsidR="005D3E70" w:rsidRPr="001F6132" w:rsidRDefault="005D3E70" w:rsidP="005D3E70">
      <w:pPr>
        <w:ind w:left="720"/>
        <w:rPr>
          <w:rFonts w:cs="Arial"/>
        </w:rPr>
      </w:pPr>
    </w:p>
    <w:p w14:paraId="2F8771E2" w14:textId="1A4BFD7B" w:rsidR="003F0C28" w:rsidRPr="00B83B7C" w:rsidRDefault="003F0C28" w:rsidP="00A003CA">
      <w:pPr>
        <w:ind w:left="1440"/>
        <w:jc w:val="both"/>
        <w:rPr>
          <w:rFonts w:cs="Arial"/>
        </w:rPr>
      </w:pPr>
      <w:r w:rsidRPr="00B83B7C">
        <w:rPr>
          <w:rFonts w:cs="Arial"/>
        </w:rPr>
        <w:t>O</w:t>
      </w:r>
      <w:r w:rsidR="00B5462C">
        <w:rPr>
          <w:rFonts w:cs="Arial"/>
        </w:rPr>
        <w:t>racle</w:t>
      </w:r>
      <w:r w:rsidRPr="00B83B7C">
        <w:rPr>
          <w:rFonts w:cs="Arial"/>
        </w:rPr>
        <w:t xml:space="preserve"> Subject Matter Experts (SMEs), together with business SMEs will explore what M</w:t>
      </w:r>
      <w:r w:rsidR="00B5462C">
        <w:rPr>
          <w:rFonts w:cs="Arial"/>
        </w:rPr>
        <w:t>o</w:t>
      </w:r>
      <w:r w:rsidRPr="00B83B7C">
        <w:rPr>
          <w:rFonts w:cs="Arial"/>
        </w:rPr>
        <w:t>D PB&amp;F capability the Oracle ERP application suite can support and to work through opportunities and associated benefits of moving to non-current applications such as Hyperion Planning and Finance Management.</w:t>
      </w:r>
      <w:r>
        <w:rPr>
          <w:rFonts w:cs="Arial"/>
        </w:rPr>
        <w:t xml:space="preserve"> </w:t>
      </w:r>
      <w:r w:rsidRPr="00B83B7C">
        <w:rPr>
          <w:rFonts w:cs="Arial"/>
        </w:rPr>
        <w:t xml:space="preserve">The workshop will also explore how the Department could manage </w:t>
      </w:r>
      <w:r w:rsidR="008613A7">
        <w:rPr>
          <w:rFonts w:cs="Arial"/>
        </w:rPr>
        <w:t>its</w:t>
      </w:r>
      <w:r w:rsidRPr="00B83B7C">
        <w:rPr>
          <w:rFonts w:cs="Arial"/>
        </w:rPr>
        <w:t xml:space="preserve"> process within Oracle CotS functionality and also relate the MoD eBS/COGNOS model to an “in-use” industry model;</w:t>
      </w:r>
    </w:p>
    <w:p w14:paraId="7A28BC05" w14:textId="77777777" w:rsidR="003F0C28" w:rsidRDefault="003F0C28" w:rsidP="003F0C28">
      <w:pPr>
        <w:ind w:left="709" w:hanging="338"/>
        <w:rPr>
          <w:rFonts w:cs="Arial"/>
        </w:rPr>
      </w:pPr>
    </w:p>
    <w:p w14:paraId="07C2129E" w14:textId="0B6C099D" w:rsidR="003F0C28" w:rsidRDefault="00603983" w:rsidP="00A003CA">
      <w:pPr>
        <w:pStyle w:val="ListParagraph"/>
        <w:ind w:left="709"/>
        <w:jc w:val="both"/>
        <w:rPr>
          <w:rFonts w:cs="Arial"/>
        </w:rPr>
      </w:pPr>
      <w:r>
        <w:rPr>
          <w:rFonts w:cs="Arial"/>
        </w:rPr>
        <w:t>5.2.4</w:t>
      </w:r>
      <w:r>
        <w:rPr>
          <w:rFonts w:cs="Arial"/>
        </w:rPr>
        <w:tab/>
      </w:r>
      <w:r w:rsidR="003F0C28">
        <w:rPr>
          <w:rFonts w:cs="Arial"/>
        </w:rPr>
        <w:t xml:space="preserve">Workshop 4 - </w:t>
      </w:r>
      <w:r w:rsidR="003F0C28" w:rsidRPr="0084145B">
        <w:rPr>
          <w:rFonts w:cs="Arial"/>
        </w:rPr>
        <w:t>Project</w:t>
      </w:r>
      <w:r w:rsidR="003F0C28">
        <w:rPr>
          <w:rFonts w:cs="Arial"/>
        </w:rPr>
        <w:t xml:space="preserve"> Accounting/Project Costing – 2 days</w:t>
      </w:r>
    </w:p>
    <w:p w14:paraId="4AB97E76" w14:textId="77777777" w:rsidR="00603983" w:rsidRPr="0084145B" w:rsidRDefault="00603983" w:rsidP="003F0C28">
      <w:pPr>
        <w:pStyle w:val="ListParagraph"/>
        <w:ind w:left="709"/>
        <w:rPr>
          <w:rFonts w:cs="Arial"/>
        </w:rPr>
      </w:pPr>
    </w:p>
    <w:p w14:paraId="3B50E22F" w14:textId="6A0616ED" w:rsidR="003F0C28" w:rsidRPr="00B83B7C" w:rsidRDefault="003F0C28" w:rsidP="00A003CA">
      <w:pPr>
        <w:ind w:left="1440"/>
        <w:jc w:val="both"/>
        <w:rPr>
          <w:rFonts w:cs="Arial"/>
        </w:rPr>
      </w:pPr>
      <w:r w:rsidRPr="00B83B7C">
        <w:rPr>
          <w:rFonts w:cs="Arial"/>
        </w:rPr>
        <w:t>O</w:t>
      </w:r>
      <w:r w:rsidR="00B5462C">
        <w:rPr>
          <w:rFonts w:cs="Arial"/>
        </w:rPr>
        <w:t>racle</w:t>
      </w:r>
      <w:r w:rsidRPr="00B83B7C">
        <w:rPr>
          <w:rFonts w:cs="Arial"/>
        </w:rPr>
        <w:t xml:space="preserve"> Subject Matter Experts (SMEs), together with business SMEs will explore opportunities to transfer project cost management out of the Chart of Accounts into a standard sub-ledger and how this could integrate with project, budgeting and forecasting capability.</w:t>
      </w:r>
      <w:r>
        <w:rPr>
          <w:rFonts w:cs="Arial"/>
        </w:rPr>
        <w:t xml:space="preserve"> </w:t>
      </w:r>
      <w:r w:rsidRPr="00B83B7C">
        <w:rPr>
          <w:rFonts w:cs="Arial"/>
        </w:rPr>
        <w:t>This will focus specifically on the Oracle Project Accounting/Costing module and its functionality.</w:t>
      </w:r>
    </w:p>
    <w:p w14:paraId="2901F40D" w14:textId="77777777" w:rsidR="003F0C28" w:rsidRPr="003F0C28" w:rsidRDefault="003F0C28" w:rsidP="003F0C28">
      <w:pPr>
        <w:pStyle w:val="ListParagraph"/>
        <w:ind w:left="1418"/>
        <w:rPr>
          <w:rFonts w:cs="Arial"/>
          <w:szCs w:val="22"/>
        </w:rPr>
      </w:pPr>
    </w:p>
    <w:p w14:paraId="5435D952" w14:textId="352C2083" w:rsidR="003F0C28" w:rsidRPr="003F0C28" w:rsidRDefault="00603983" w:rsidP="00A003CA">
      <w:pPr>
        <w:pStyle w:val="ListParagraph"/>
        <w:ind w:left="1437" w:hanging="728"/>
        <w:jc w:val="both"/>
        <w:rPr>
          <w:rFonts w:cs="Arial"/>
        </w:rPr>
      </w:pPr>
      <w:r>
        <w:rPr>
          <w:rFonts w:cs="Arial"/>
        </w:rPr>
        <w:t>5.2.5</w:t>
      </w:r>
      <w:r>
        <w:rPr>
          <w:rFonts w:cs="Arial"/>
        </w:rPr>
        <w:tab/>
      </w:r>
      <w:r w:rsidR="003F0C28" w:rsidRPr="003F0C28">
        <w:rPr>
          <w:rFonts w:cs="Arial"/>
        </w:rPr>
        <w:t>Once the workshops are complete, the reports, recommendations and High Level Plan will provide a clear set of requirements, timescales and estimated costs of options for a solution that the Department could implement</w:t>
      </w:r>
      <w:r w:rsidR="00537D39">
        <w:rPr>
          <w:rFonts w:cs="Arial"/>
        </w:rPr>
        <w:t>.</w:t>
      </w:r>
    </w:p>
    <w:p w14:paraId="39EBC9ED" w14:textId="77777777" w:rsidR="003F0C28" w:rsidRDefault="003F0C28" w:rsidP="003F0C28">
      <w:pPr>
        <w:pStyle w:val="Heading1"/>
        <w:numPr>
          <w:ilvl w:val="0"/>
          <w:numId w:val="0"/>
        </w:numPr>
        <w:ind w:left="720"/>
        <w:rPr>
          <w:highlight w:val="yellow"/>
        </w:rPr>
      </w:pPr>
    </w:p>
    <w:p w14:paraId="18C51B94" w14:textId="17D43642" w:rsidR="003F0C28" w:rsidRPr="00E111BD" w:rsidRDefault="00FE18AC" w:rsidP="00E111BD">
      <w:pPr>
        <w:pStyle w:val="Heading1"/>
        <w:spacing w:after="120"/>
      </w:pPr>
      <w:bookmarkStart w:id="16" w:name="_Toc368573031"/>
      <w:bookmarkStart w:id="17" w:name="_Toc457913375"/>
      <w:r w:rsidRPr="00BE6EE0">
        <w:t>The requirement</w:t>
      </w:r>
      <w:bookmarkEnd w:id="16"/>
      <w:bookmarkEnd w:id="17"/>
    </w:p>
    <w:p w14:paraId="3438AB67" w14:textId="0DC4473B" w:rsidR="003F0C28" w:rsidRPr="003F0C28" w:rsidRDefault="00E111BD" w:rsidP="00A003CA">
      <w:pPr>
        <w:pStyle w:val="BodyText"/>
        <w:spacing w:before="120"/>
        <w:ind w:left="720" w:hanging="720"/>
        <w:rPr>
          <w:rFonts w:cs="Arial"/>
          <w:szCs w:val="22"/>
          <w:lang w:eastAsia="en-GB"/>
        </w:rPr>
      </w:pPr>
      <w:r>
        <w:rPr>
          <w:rFonts w:cs="Arial"/>
          <w:szCs w:val="22"/>
          <w:lang w:eastAsia="en-GB"/>
        </w:rPr>
        <w:t>6.1</w:t>
      </w:r>
      <w:r>
        <w:rPr>
          <w:rFonts w:cs="Arial"/>
          <w:szCs w:val="22"/>
          <w:lang w:eastAsia="en-GB"/>
        </w:rPr>
        <w:tab/>
      </w:r>
      <w:r w:rsidR="003F0C28" w:rsidRPr="003F0C28">
        <w:rPr>
          <w:rFonts w:cs="Arial"/>
          <w:szCs w:val="22"/>
          <w:lang w:eastAsia="en-GB"/>
        </w:rPr>
        <w:t xml:space="preserve">The Defence Authority for Financial Management and Approvals requires </w:t>
      </w:r>
      <w:r w:rsidR="00037377">
        <w:rPr>
          <w:rFonts w:cs="Arial"/>
          <w:szCs w:val="22"/>
          <w:lang w:eastAsia="en-GB"/>
        </w:rPr>
        <w:t xml:space="preserve">four </w:t>
      </w:r>
      <w:r w:rsidR="003F0C28" w:rsidRPr="003F0C28">
        <w:rPr>
          <w:rFonts w:cs="Arial"/>
          <w:szCs w:val="22"/>
          <w:lang w:eastAsia="en-GB"/>
        </w:rPr>
        <w:t>explorative workshops with Oracle and other key stakeholders from across the Department to examine current business processes to make optimum use</w:t>
      </w:r>
      <w:r w:rsidR="003F0C28" w:rsidRPr="00AE1B8F">
        <w:rPr>
          <w:rFonts w:cs="Arial"/>
          <w:sz w:val="24"/>
          <w:szCs w:val="24"/>
          <w:lang w:eastAsia="en-GB"/>
        </w:rPr>
        <w:t xml:space="preserve"> </w:t>
      </w:r>
      <w:r w:rsidR="003F0C28" w:rsidRPr="003F0C28">
        <w:rPr>
          <w:rFonts w:cs="Arial"/>
          <w:szCs w:val="22"/>
          <w:lang w:eastAsia="en-GB"/>
        </w:rPr>
        <w:t>of the Oracle R12</w:t>
      </w:r>
      <w:r w:rsidR="003F0C28" w:rsidRPr="003F0C28">
        <w:rPr>
          <w:rFonts w:cs="Arial"/>
          <w:szCs w:val="22"/>
          <w:lang w:val="en-US" w:eastAsia="en-GB"/>
        </w:rPr>
        <w:t xml:space="preserve"> e-business</w:t>
      </w:r>
      <w:r w:rsidR="003F0C28" w:rsidRPr="003F0C28">
        <w:rPr>
          <w:rFonts w:cs="Arial"/>
          <w:szCs w:val="22"/>
          <w:lang w:eastAsia="en-GB"/>
        </w:rPr>
        <w:t xml:space="preserve"> </w:t>
      </w:r>
      <w:r w:rsidR="003F0C28" w:rsidRPr="003F0C28">
        <w:rPr>
          <w:rFonts w:cs="Arial"/>
          <w:szCs w:val="22"/>
          <w:lang w:val="en-US" w:eastAsia="en-GB"/>
        </w:rPr>
        <w:t xml:space="preserve">suite </w:t>
      </w:r>
      <w:r w:rsidR="003F0C28" w:rsidRPr="003F0C28">
        <w:rPr>
          <w:rFonts w:cs="Arial"/>
          <w:szCs w:val="22"/>
          <w:lang w:eastAsia="en-GB"/>
        </w:rPr>
        <w:t xml:space="preserve">functionality and identify </w:t>
      </w:r>
      <w:r w:rsidR="00E878C9">
        <w:rPr>
          <w:rFonts w:cs="Arial"/>
          <w:szCs w:val="22"/>
          <w:lang w:eastAsia="en-GB"/>
        </w:rPr>
        <w:t>their</w:t>
      </w:r>
      <w:r w:rsidR="003F0C28" w:rsidRPr="003F0C28">
        <w:rPr>
          <w:rFonts w:cs="Arial"/>
          <w:szCs w:val="22"/>
          <w:lang w:eastAsia="en-GB"/>
        </w:rPr>
        <w:t xml:space="preserve"> future finance system architecture.</w:t>
      </w:r>
    </w:p>
    <w:p w14:paraId="7D144E2E" w14:textId="0637C34A" w:rsidR="003F0C28" w:rsidRPr="00E111BD" w:rsidRDefault="003F0C28" w:rsidP="00A003CA">
      <w:pPr>
        <w:pStyle w:val="Heading2"/>
        <w:numPr>
          <w:ilvl w:val="1"/>
          <w:numId w:val="37"/>
        </w:numPr>
        <w:spacing w:before="120"/>
        <w:rPr>
          <w:rFonts w:cs="Arial"/>
          <w:szCs w:val="22"/>
          <w:lang w:eastAsia="en-GB"/>
        </w:rPr>
      </w:pPr>
      <w:r w:rsidRPr="00E111BD">
        <w:rPr>
          <w:rFonts w:cs="Arial"/>
          <w:szCs w:val="22"/>
          <w:lang w:eastAsia="en-GB"/>
        </w:rPr>
        <w:t xml:space="preserve">These workshops need to be facilitated by external SME’s, who have both the knowledge and expertise in Oracle ERP products and how they operate with industry best practice. This will ensure that the Department fully exploits systems for which </w:t>
      </w:r>
      <w:r w:rsidR="00537D39">
        <w:rPr>
          <w:rFonts w:cs="Arial"/>
          <w:szCs w:val="22"/>
          <w:lang w:eastAsia="en-GB"/>
        </w:rPr>
        <w:t>they</w:t>
      </w:r>
      <w:r w:rsidRPr="00E111BD">
        <w:rPr>
          <w:rFonts w:cs="Arial"/>
          <w:szCs w:val="22"/>
          <w:lang w:eastAsia="en-GB"/>
        </w:rPr>
        <w:t xml:space="preserve"> hold licenses and have invested in significantly over the last few years.</w:t>
      </w:r>
    </w:p>
    <w:p w14:paraId="5CBFC778" w14:textId="02656A4B" w:rsidR="003F0C28" w:rsidRPr="003F0C28" w:rsidRDefault="00E111BD" w:rsidP="00E878C9">
      <w:pPr>
        <w:pStyle w:val="Heading2"/>
        <w:numPr>
          <w:ilvl w:val="0"/>
          <w:numId w:val="0"/>
        </w:numPr>
        <w:spacing w:after="120"/>
        <w:ind w:left="720" w:hanging="720"/>
        <w:rPr>
          <w:szCs w:val="22"/>
          <w:highlight w:val="yellow"/>
        </w:rPr>
      </w:pPr>
      <w:r>
        <w:rPr>
          <w:rFonts w:cs="Arial"/>
          <w:szCs w:val="22"/>
          <w:lang w:eastAsia="en-GB"/>
        </w:rPr>
        <w:t>6.3</w:t>
      </w:r>
      <w:r>
        <w:rPr>
          <w:rFonts w:cs="Arial"/>
          <w:szCs w:val="22"/>
          <w:lang w:eastAsia="en-GB"/>
        </w:rPr>
        <w:tab/>
      </w:r>
      <w:r w:rsidR="003F0C28" w:rsidRPr="003F0C28">
        <w:rPr>
          <w:rFonts w:cs="Arial"/>
          <w:szCs w:val="22"/>
          <w:lang w:eastAsia="en-GB"/>
        </w:rPr>
        <w:t>The Finance Management Strategy sets the direction for our Finance systems over the next five years. In order to provide on-going future alignment these workshops need to cover the direction of where Oracle Corporation’s product</w:t>
      </w:r>
      <w:r w:rsidR="003F0C28" w:rsidRPr="003F0C28">
        <w:rPr>
          <w:rFonts w:cs="Arial"/>
          <w:szCs w:val="22"/>
          <w:lang w:val="en-US" w:eastAsia="en-GB"/>
        </w:rPr>
        <w:t>s</w:t>
      </w:r>
      <w:r w:rsidR="003F0C28" w:rsidRPr="003F0C28">
        <w:rPr>
          <w:rFonts w:cs="Arial"/>
          <w:szCs w:val="22"/>
          <w:lang w:eastAsia="en-GB"/>
        </w:rPr>
        <w:t xml:space="preserve"> </w:t>
      </w:r>
      <w:r w:rsidR="003F0C28" w:rsidRPr="003F0C28">
        <w:rPr>
          <w:rFonts w:cs="Arial"/>
          <w:szCs w:val="22"/>
          <w:lang w:val="en-US" w:eastAsia="en-GB"/>
        </w:rPr>
        <w:t xml:space="preserve">are </w:t>
      </w:r>
      <w:r w:rsidR="003F0C28" w:rsidRPr="003F0C28">
        <w:rPr>
          <w:rFonts w:cs="Arial"/>
          <w:szCs w:val="22"/>
          <w:lang w:eastAsia="en-GB"/>
        </w:rPr>
        <w:t>looking to progress within a similar timescale. This will ensure that the Department considers future exploitation opportunities when shaping and developing the current financial architecture</w:t>
      </w:r>
      <w:r>
        <w:rPr>
          <w:rFonts w:cs="Arial"/>
          <w:szCs w:val="22"/>
          <w:lang w:eastAsia="en-GB"/>
        </w:rPr>
        <w:t>.</w:t>
      </w:r>
    </w:p>
    <w:p w14:paraId="6EE7C8C4" w14:textId="7AC08B28" w:rsidR="00671798" w:rsidRPr="00E111BD" w:rsidRDefault="00FE18AC" w:rsidP="00E111BD">
      <w:pPr>
        <w:pStyle w:val="Heading1"/>
        <w:spacing w:after="120"/>
      </w:pPr>
      <w:bookmarkStart w:id="18" w:name="_Toc368573032"/>
      <w:bookmarkStart w:id="19" w:name="_Toc457913376"/>
      <w:r>
        <w:t>key milestones</w:t>
      </w:r>
      <w:bookmarkEnd w:id="18"/>
      <w:bookmarkEnd w:id="19"/>
    </w:p>
    <w:p w14:paraId="4D0E0CBA" w14:textId="33DF39C6" w:rsidR="00FE18AC"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The Potential Provider should note the following pr</w:t>
      </w:r>
      <w:r w:rsidR="00A57B4E">
        <w:rPr>
          <w:rFonts w:cs="Arial"/>
          <w:szCs w:val="22"/>
        </w:rPr>
        <w:t>oject milestones that the Authority</w:t>
      </w:r>
      <w:r w:rsidRPr="003438D3">
        <w:rPr>
          <w:rFonts w:cs="Arial"/>
          <w:szCs w:val="22"/>
        </w:rPr>
        <w:t xml:space="preserve"> will measure the quality of delivery against:</w:t>
      </w:r>
    </w:p>
    <w:p w14:paraId="744F09D9" w14:textId="77777777" w:rsidR="00E111BD" w:rsidRPr="00CA3806" w:rsidRDefault="00E111BD" w:rsidP="00E111BD">
      <w:pPr>
        <w:pStyle w:val="Heading2"/>
        <w:numPr>
          <w:ilvl w:val="0"/>
          <w:numId w:val="0"/>
        </w:numPr>
        <w:tabs>
          <w:tab w:val="num" w:pos="862"/>
        </w:tabs>
        <w:overflowPunct w:val="0"/>
        <w:autoSpaceDE w:val="0"/>
        <w:autoSpaceDN w:val="0"/>
        <w:spacing w:after="120"/>
        <w:ind w:left="709"/>
        <w:textAlignment w:val="baseline"/>
        <w:rPr>
          <w:rFonts w:cs="Arial"/>
          <w:szCs w:val="22"/>
        </w:rPr>
      </w:pPr>
    </w:p>
    <w:tbl>
      <w:tblPr>
        <w:tblStyle w:val="TableGrid"/>
        <w:tblW w:w="5000" w:type="pct"/>
        <w:tblLook w:val="04A0" w:firstRow="1" w:lastRow="0" w:firstColumn="1" w:lastColumn="0" w:noHBand="0" w:noVBand="1"/>
      </w:tblPr>
      <w:tblGrid>
        <w:gridCol w:w="1620"/>
        <w:gridCol w:w="4473"/>
        <w:gridCol w:w="2926"/>
      </w:tblGrid>
      <w:tr w:rsidR="00FE18AC" w:rsidRPr="00297CF4" w14:paraId="6BF78E35" w14:textId="77777777" w:rsidTr="00106F24">
        <w:tc>
          <w:tcPr>
            <w:tcW w:w="898" w:type="pct"/>
            <w:shd w:val="clear" w:color="auto" w:fill="C6D9F1" w:themeFill="text2" w:themeFillTint="33"/>
            <w:vAlign w:val="center"/>
          </w:tcPr>
          <w:p w14:paraId="2F0B096C" w14:textId="77777777" w:rsidR="00671798" w:rsidRPr="00E111BD" w:rsidRDefault="00FE18AC">
            <w:pPr>
              <w:pStyle w:val="Heading3"/>
              <w:numPr>
                <w:ilvl w:val="0"/>
                <w:numId w:val="0"/>
              </w:numPr>
              <w:spacing w:after="120"/>
              <w:jc w:val="center"/>
              <w:outlineLvl w:val="2"/>
              <w:rPr>
                <w:b/>
                <w:szCs w:val="24"/>
              </w:rPr>
            </w:pPr>
            <w:r w:rsidRPr="00E111BD">
              <w:rPr>
                <w:b/>
              </w:rPr>
              <w:lastRenderedPageBreak/>
              <w:t>Milestone</w:t>
            </w:r>
          </w:p>
        </w:tc>
        <w:tc>
          <w:tcPr>
            <w:tcW w:w="2480" w:type="pct"/>
            <w:shd w:val="clear" w:color="auto" w:fill="C6D9F1" w:themeFill="text2" w:themeFillTint="33"/>
            <w:vAlign w:val="center"/>
          </w:tcPr>
          <w:p w14:paraId="55754382" w14:textId="77777777" w:rsidR="00671798" w:rsidRPr="00E111BD" w:rsidRDefault="00FE18AC">
            <w:pPr>
              <w:pStyle w:val="Heading3"/>
              <w:numPr>
                <w:ilvl w:val="0"/>
                <w:numId w:val="0"/>
              </w:numPr>
              <w:spacing w:after="120"/>
              <w:jc w:val="center"/>
              <w:outlineLvl w:val="2"/>
              <w:rPr>
                <w:b/>
                <w:szCs w:val="24"/>
              </w:rPr>
            </w:pPr>
            <w:r w:rsidRPr="00E111BD">
              <w:rPr>
                <w:b/>
              </w:rPr>
              <w:t>Description</w:t>
            </w:r>
          </w:p>
        </w:tc>
        <w:tc>
          <w:tcPr>
            <w:tcW w:w="1622" w:type="pct"/>
            <w:shd w:val="clear" w:color="auto" w:fill="C6D9F1" w:themeFill="text2" w:themeFillTint="33"/>
            <w:vAlign w:val="center"/>
          </w:tcPr>
          <w:p w14:paraId="0EABB2D0" w14:textId="77777777" w:rsidR="00671798" w:rsidRPr="00E111BD" w:rsidRDefault="00FE18AC">
            <w:pPr>
              <w:pStyle w:val="Heading3"/>
              <w:numPr>
                <w:ilvl w:val="0"/>
                <w:numId w:val="0"/>
              </w:numPr>
              <w:spacing w:after="120"/>
              <w:jc w:val="center"/>
              <w:outlineLvl w:val="2"/>
              <w:rPr>
                <w:b/>
                <w:szCs w:val="24"/>
              </w:rPr>
            </w:pPr>
            <w:r w:rsidRPr="00E111BD">
              <w:rPr>
                <w:b/>
              </w:rPr>
              <w:t>Timeframe</w:t>
            </w:r>
          </w:p>
        </w:tc>
      </w:tr>
      <w:tr w:rsidR="00FE18AC" w:rsidRPr="00297CF4" w14:paraId="2B6EAC37" w14:textId="77777777" w:rsidTr="00E245A6">
        <w:tc>
          <w:tcPr>
            <w:tcW w:w="898" w:type="pct"/>
            <w:vAlign w:val="center"/>
          </w:tcPr>
          <w:p w14:paraId="13176D62" w14:textId="77777777" w:rsidR="00671798" w:rsidRDefault="00FE18AC">
            <w:pPr>
              <w:pStyle w:val="Heading3"/>
              <w:numPr>
                <w:ilvl w:val="0"/>
                <w:numId w:val="0"/>
              </w:numPr>
              <w:spacing w:after="120"/>
              <w:jc w:val="center"/>
              <w:outlineLvl w:val="2"/>
              <w:rPr>
                <w:szCs w:val="24"/>
                <w:highlight w:val="yellow"/>
              </w:rPr>
            </w:pPr>
            <w:r w:rsidRPr="00083557">
              <w:t>1</w:t>
            </w:r>
          </w:p>
        </w:tc>
        <w:tc>
          <w:tcPr>
            <w:tcW w:w="2480" w:type="pct"/>
            <w:vAlign w:val="center"/>
          </w:tcPr>
          <w:p w14:paraId="04CC1243" w14:textId="015E2540" w:rsidR="00671798" w:rsidRDefault="005D3C7C" w:rsidP="005D3C7C">
            <w:pPr>
              <w:pStyle w:val="Heading3"/>
              <w:numPr>
                <w:ilvl w:val="0"/>
                <w:numId w:val="0"/>
              </w:numPr>
              <w:spacing w:after="120"/>
              <w:jc w:val="left"/>
              <w:outlineLvl w:val="2"/>
              <w:rPr>
                <w:szCs w:val="24"/>
                <w:highlight w:val="yellow"/>
              </w:rPr>
            </w:pPr>
            <w:r>
              <w:t>D</w:t>
            </w:r>
            <w:r w:rsidR="00E97B19">
              <w:t xml:space="preserve">ates and locations of the workshops to be set up and agreed </w:t>
            </w:r>
          </w:p>
        </w:tc>
        <w:tc>
          <w:tcPr>
            <w:tcW w:w="1622" w:type="pct"/>
            <w:vAlign w:val="center"/>
          </w:tcPr>
          <w:p w14:paraId="23E536A9" w14:textId="13C7AC12" w:rsidR="00671798" w:rsidRDefault="00E97B19">
            <w:pPr>
              <w:pStyle w:val="Heading3"/>
              <w:numPr>
                <w:ilvl w:val="0"/>
                <w:numId w:val="0"/>
              </w:numPr>
              <w:spacing w:after="120"/>
              <w:jc w:val="center"/>
              <w:outlineLvl w:val="2"/>
              <w:rPr>
                <w:szCs w:val="24"/>
                <w:highlight w:val="yellow"/>
              </w:rPr>
            </w:pPr>
            <w:r w:rsidRPr="00083557">
              <w:t>Within week 2</w:t>
            </w:r>
            <w:r w:rsidR="00FE18AC" w:rsidRPr="00083557">
              <w:t xml:space="preserve"> of Contract Award </w:t>
            </w:r>
          </w:p>
        </w:tc>
      </w:tr>
      <w:tr w:rsidR="00FE18AC" w:rsidRPr="00297CF4" w14:paraId="16F113EC" w14:textId="77777777" w:rsidTr="00E245A6">
        <w:tc>
          <w:tcPr>
            <w:tcW w:w="898" w:type="pct"/>
            <w:vAlign w:val="center"/>
          </w:tcPr>
          <w:p w14:paraId="4FD18402" w14:textId="77777777" w:rsidR="00671798" w:rsidRDefault="00FE18AC">
            <w:pPr>
              <w:pStyle w:val="Heading3"/>
              <w:numPr>
                <w:ilvl w:val="0"/>
                <w:numId w:val="0"/>
              </w:numPr>
              <w:spacing w:after="120"/>
              <w:jc w:val="center"/>
              <w:outlineLvl w:val="2"/>
              <w:rPr>
                <w:szCs w:val="24"/>
                <w:highlight w:val="yellow"/>
              </w:rPr>
            </w:pPr>
            <w:r w:rsidRPr="00083557">
              <w:t>2</w:t>
            </w:r>
          </w:p>
        </w:tc>
        <w:tc>
          <w:tcPr>
            <w:tcW w:w="2480" w:type="pct"/>
            <w:vAlign w:val="center"/>
          </w:tcPr>
          <w:p w14:paraId="33C22C40" w14:textId="1CAC70D8" w:rsidR="00E97B19" w:rsidRDefault="00E97B19" w:rsidP="00E97B19">
            <w:pPr>
              <w:pStyle w:val="Heading3"/>
              <w:numPr>
                <w:ilvl w:val="0"/>
                <w:numId w:val="0"/>
              </w:numPr>
              <w:spacing w:after="120"/>
              <w:jc w:val="left"/>
              <w:outlineLvl w:val="2"/>
              <w:rPr>
                <w:szCs w:val="24"/>
                <w:highlight w:val="yellow"/>
              </w:rPr>
            </w:pPr>
            <w:r w:rsidRPr="00E97B19">
              <w:t>Workshop</w:t>
            </w:r>
            <w:r>
              <w:t>s</w:t>
            </w:r>
            <w:r w:rsidRPr="00E97B19">
              <w:t xml:space="preserve"> to be held</w:t>
            </w:r>
          </w:p>
        </w:tc>
        <w:tc>
          <w:tcPr>
            <w:tcW w:w="1622" w:type="pct"/>
            <w:vAlign w:val="center"/>
          </w:tcPr>
          <w:p w14:paraId="3B285FD4" w14:textId="5FB0CCC4" w:rsidR="00671798" w:rsidRDefault="00FE18AC" w:rsidP="00E97B19">
            <w:pPr>
              <w:pStyle w:val="Heading3"/>
              <w:numPr>
                <w:ilvl w:val="0"/>
                <w:numId w:val="0"/>
              </w:numPr>
              <w:spacing w:after="120"/>
              <w:jc w:val="center"/>
              <w:outlineLvl w:val="2"/>
              <w:rPr>
                <w:szCs w:val="24"/>
                <w:highlight w:val="yellow"/>
              </w:rPr>
            </w:pPr>
            <w:r w:rsidRPr="00083557">
              <w:t xml:space="preserve">Within week </w:t>
            </w:r>
            <w:r w:rsidR="00E97B19" w:rsidRPr="00083557">
              <w:t>6</w:t>
            </w:r>
            <w:r w:rsidRPr="00083557">
              <w:t xml:space="preserve"> of Contract Award</w:t>
            </w:r>
          </w:p>
        </w:tc>
      </w:tr>
      <w:tr w:rsidR="00FE18AC" w:rsidRPr="00297CF4" w14:paraId="3FD394DC" w14:textId="77777777" w:rsidTr="00E245A6">
        <w:tc>
          <w:tcPr>
            <w:tcW w:w="898" w:type="pct"/>
            <w:vAlign w:val="center"/>
          </w:tcPr>
          <w:p w14:paraId="3995F849" w14:textId="77777777" w:rsidR="00671798" w:rsidRDefault="00FE18AC">
            <w:pPr>
              <w:pStyle w:val="Heading3"/>
              <w:numPr>
                <w:ilvl w:val="0"/>
                <w:numId w:val="0"/>
              </w:numPr>
              <w:spacing w:after="120"/>
              <w:jc w:val="center"/>
              <w:outlineLvl w:val="2"/>
              <w:rPr>
                <w:szCs w:val="24"/>
                <w:highlight w:val="yellow"/>
              </w:rPr>
            </w:pPr>
            <w:r w:rsidRPr="00083557">
              <w:t>3</w:t>
            </w:r>
          </w:p>
        </w:tc>
        <w:tc>
          <w:tcPr>
            <w:tcW w:w="2480" w:type="pct"/>
            <w:vAlign w:val="center"/>
          </w:tcPr>
          <w:p w14:paraId="3CB15AAC" w14:textId="3B038CBC" w:rsidR="00C81AF3" w:rsidRPr="003F0C28" w:rsidRDefault="00C81AF3" w:rsidP="001E4A31">
            <w:pPr>
              <w:pStyle w:val="ListParagraph"/>
              <w:ind w:left="0"/>
              <w:rPr>
                <w:rFonts w:cs="Arial"/>
              </w:rPr>
            </w:pPr>
            <w:r>
              <w:rPr>
                <w:rFonts w:cs="Arial"/>
              </w:rPr>
              <w:t>T</w:t>
            </w:r>
            <w:r w:rsidRPr="003F0C28">
              <w:rPr>
                <w:rFonts w:cs="Arial"/>
              </w:rPr>
              <w:t xml:space="preserve">he reports, recommendations and High Level Plan </w:t>
            </w:r>
            <w:r>
              <w:rPr>
                <w:rFonts w:cs="Arial"/>
              </w:rPr>
              <w:t xml:space="preserve">for each workshop will provide a clear set </w:t>
            </w:r>
            <w:r w:rsidRPr="003F0C28">
              <w:rPr>
                <w:rFonts w:cs="Arial"/>
              </w:rPr>
              <w:t>of requirements, timescales and estimated costs of opti</w:t>
            </w:r>
            <w:r>
              <w:rPr>
                <w:rFonts w:cs="Arial"/>
              </w:rPr>
              <w:t xml:space="preserve">ons for a solution. The reports to be submitted to Business Development Dept Hd </w:t>
            </w:r>
          </w:p>
          <w:p w14:paraId="4962E129" w14:textId="6C0B6122" w:rsidR="00E97B19" w:rsidRDefault="00E97B19" w:rsidP="00C81AF3">
            <w:pPr>
              <w:pStyle w:val="Heading3"/>
              <w:numPr>
                <w:ilvl w:val="0"/>
                <w:numId w:val="0"/>
              </w:numPr>
              <w:spacing w:after="120"/>
              <w:jc w:val="left"/>
              <w:outlineLvl w:val="2"/>
              <w:rPr>
                <w:szCs w:val="24"/>
                <w:highlight w:val="yellow"/>
              </w:rPr>
            </w:pPr>
          </w:p>
        </w:tc>
        <w:tc>
          <w:tcPr>
            <w:tcW w:w="1622" w:type="pct"/>
            <w:vAlign w:val="center"/>
          </w:tcPr>
          <w:p w14:paraId="7164B729" w14:textId="7A264838" w:rsidR="00671798" w:rsidRDefault="00FE18AC" w:rsidP="00E97B19">
            <w:pPr>
              <w:pStyle w:val="Heading3"/>
              <w:numPr>
                <w:ilvl w:val="0"/>
                <w:numId w:val="0"/>
              </w:numPr>
              <w:spacing w:after="120"/>
              <w:jc w:val="center"/>
              <w:outlineLvl w:val="2"/>
              <w:rPr>
                <w:szCs w:val="24"/>
                <w:highlight w:val="yellow"/>
              </w:rPr>
            </w:pPr>
            <w:r w:rsidRPr="00083557">
              <w:t xml:space="preserve">Within week </w:t>
            </w:r>
            <w:r w:rsidR="00E97B19" w:rsidRPr="00083557">
              <w:t>10</w:t>
            </w:r>
            <w:r w:rsidRPr="00083557">
              <w:t xml:space="preserve"> of Contract Award</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0" w:name="_Toc302637211"/>
    </w:p>
    <w:p w14:paraId="3C36765A" w14:textId="482E4F08"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444518873"/>
      <w:bookmarkStart w:id="22" w:name="_Toc457913377"/>
      <w:bookmarkStart w:id="23" w:name="_Toc368573033"/>
      <w:r>
        <w:rPr>
          <w:rFonts w:cs="Arial"/>
          <w:szCs w:val="22"/>
        </w:rPr>
        <w:t>authority’s responsibilities</w:t>
      </w:r>
      <w:bookmarkEnd w:id="21"/>
      <w:bookmarkEnd w:id="22"/>
    </w:p>
    <w:p w14:paraId="29AD8787" w14:textId="40AA6F55" w:rsidR="00E97B19" w:rsidRPr="00E97B19" w:rsidRDefault="00083557" w:rsidP="00083557">
      <w:pPr>
        <w:pStyle w:val="Heading2"/>
        <w:numPr>
          <w:ilvl w:val="0"/>
          <w:numId w:val="0"/>
        </w:numPr>
        <w:ind w:left="720" w:hanging="720"/>
      </w:pPr>
      <w:r>
        <w:t>8.1</w:t>
      </w:r>
      <w:r>
        <w:tab/>
      </w:r>
      <w:r w:rsidR="00E97B19" w:rsidRPr="00E97B19">
        <w:t xml:space="preserve">The </w:t>
      </w:r>
      <w:r w:rsidR="00407B4E" w:rsidRPr="003F0C28">
        <w:rPr>
          <w:rFonts w:cs="Arial"/>
          <w:szCs w:val="22"/>
          <w:lang w:eastAsia="en-GB"/>
        </w:rPr>
        <w:t xml:space="preserve">Defence Authority for Financial Management and Approvals </w:t>
      </w:r>
      <w:r>
        <w:rPr>
          <w:rFonts w:cs="Arial"/>
          <w:szCs w:val="22"/>
          <w:lang w:eastAsia="en-GB"/>
        </w:rPr>
        <w:t xml:space="preserve">will </w:t>
      </w:r>
      <w:r>
        <w:t>need to invite MoD Subject Matter E</w:t>
      </w:r>
      <w:r w:rsidR="00E97B19" w:rsidRPr="00E97B19">
        <w:t>xperts</w:t>
      </w:r>
      <w:r>
        <w:t>. Their</w:t>
      </w:r>
      <w:r w:rsidR="00E97B19" w:rsidRPr="00E97B19">
        <w:t xml:space="preserve"> availability may affect the timings of workshops. </w:t>
      </w:r>
    </w:p>
    <w:p w14:paraId="0C1E78CC"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4" w:name="_Toc368573035"/>
      <w:bookmarkStart w:id="25" w:name="_Toc457913378"/>
      <w:bookmarkEnd w:id="23"/>
      <w:r w:rsidRPr="00BE6EE0">
        <w:rPr>
          <w:rFonts w:cs="Arial"/>
          <w:szCs w:val="22"/>
        </w:rPr>
        <w:t>continuous improvement</w:t>
      </w:r>
      <w:bookmarkEnd w:id="24"/>
      <w:bookmarkEnd w:id="25"/>
    </w:p>
    <w:p w14:paraId="73ED8F03" w14:textId="16BD45CD" w:rsidR="00671798" w:rsidRDefault="00FE18AC">
      <w:pPr>
        <w:pStyle w:val="Heading2"/>
        <w:tabs>
          <w:tab w:val="clear" w:pos="720"/>
          <w:tab w:val="num" w:pos="709"/>
        </w:tabs>
        <w:spacing w:after="120"/>
        <w:ind w:left="709" w:hanging="709"/>
      </w:pPr>
      <w:r w:rsidRPr="008104E0">
        <w:t xml:space="preserve">The </w:t>
      </w:r>
      <w:r w:rsidR="003047E0">
        <w:t>Supplier</w:t>
      </w:r>
      <w:r w:rsidRPr="008104E0">
        <w:t xml:space="preserve"> will be expected to continually improve the way in which the required Services are to be delivered throughout the </w:t>
      </w:r>
      <w:r w:rsidR="0052086C">
        <w:t xml:space="preserve">Contract </w:t>
      </w:r>
      <w:r w:rsidRPr="008104E0">
        <w:t>duration.</w:t>
      </w:r>
    </w:p>
    <w:p w14:paraId="0F74F32E" w14:textId="5BDDEA22" w:rsidR="00E97B19" w:rsidRDefault="007E7127" w:rsidP="007E7127">
      <w:pPr>
        <w:pStyle w:val="Heading2"/>
        <w:numPr>
          <w:ilvl w:val="0"/>
          <w:numId w:val="0"/>
        </w:numPr>
        <w:spacing w:after="120"/>
        <w:ind w:left="709" w:hanging="709"/>
      </w:pPr>
      <w:r>
        <w:t>9.2</w:t>
      </w:r>
      <w:r>
        <w:tab/>
      </w:r>
      <w:r w:rsidR="00E97B19">
        <w:t>T</w:t>
      </w:r>
      <w:r w:rsidR="00E97B19" w:rsidRPr="008104E0">
        <w:t xml:space="preserve">he </w:t>
      </w:r>
      <w:r w:rsidR="00E97B19">
        <w:t>Supplier</w:t>
      </w:r>
      <w:r w:rsidR="00E97B19" w:rsidRPr="008104E0">
        <w:t xml:space="preserve"> will be expected to </w:t>
      </w:r>
      <w:r w:rsidR="00E97B19">
        <w:t>review the way in which each workshop is delivered and</w:t>
      </w:r>
      <w:r w:rsidR="00407B4E">
        <w:t xml:space="preserve"> apply</w:t>
      </w:r>
      <w:r w:rsidR="00E97B19">
        <w:t xml:space="preserve"> any lessons learned to remaining workshops.</w:t>
      </w:r>
    </w:p>
    <w:p w14:paraId="031D2B5A" w14:textId="2894E130" w:rsidR="00671798" w:rsidRDefault="00FE18AC" w:rsidP="007E7127">
      <w:pPr>
        <w:pStyle w:val="Heading2"/>
        <w:numPr>
          <w:ilvl w:val="1"/>
          <w:numId w:val="38"/>
        </w:numPr>
        <w:spacing w:after="120"/>
      </w:pPr>
      <w:r w:rsidRPr="008104E0">
        <w:t>Changes to the way in which the Services are to be delivered must be brought to the</w:t>
      </w:r>
      <w:r>
        <w:t xml:space="preserve"> </w:t>
      </w:r>
      <w:r w:rsidRPr="008104E0">
        <w:t xml:space="preserve">Authority’s attention and agreed prior to any </w:t>
      </w:r>
      <w:r>
        <w:t>changes being implemented.</w:t>
      </w:r>
      <w:r w:rsidR="00407B4E">
        <w:t xml:space="preserve"> </w:t>
      </w:r>
    </w:p>
    <w:p w14:paraId="533C7A5A"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6" w:name="_Toc368573037"/>
      <w:bookmarkStart w:id="27" w:name="_Toc457913379"/>
      <w:r w:rsidRPr="00BE6EE0">
        <w:rPr>
          <w:rFonts w:cs="Arial"/>
          <w:szCs w:val="22"/>
        </w:rPr>
        <w:t>PRICE</w:t>
      </w:r>
      <w:bookmarkEnd w:id="26"/>
      <w:bookmarkEnd w:id="27"/>
    </w:p>
    <w:p w14:paraId="1A7BCC5F" w14:textId="355D8F83" w:rsidR="007E7127" w:rsidRPr="00EC3D2C" w:rsidRDefault="007E7127" w:rsidP="007E7127">
      <w:pPr>
        <w:pStyle w:val="Heading2"/>
        <w:tabs>
          <w:tab w:val="clear" w:pos="720"/>
          <w:tab w:val="num" w:pos="709"/>
        </w:tabs>
        <w:spacing w:after="120"/>
        <w:ind w:left="709" w:hanging="709"/>
        <w:rPr>
          <w:rFonts w:cs="Arial"/>
          <w:szCs w:val="22"/>
        </w:rPr>
      </w:pPr>
      <w:r>
        <w:rPr>
          <w:rFonts w:cs="Arial"/>
          <w:szCs w:val="22"/>
        </w:rPr>
        <w:t xml:space="preserve">The contract will be a Capped Cost </w:t>
      </w:r>
      <w:r w:rsidR="00017C64">
        <w:rPr>
          <w:rFonts w:cs="Arial"/>
          <w:szCs w:val="22"/>
        </w:rPr>
        <w:t>C</w:t>
      </w:r>
      <w:r>
        <w:rPr>
          <w:rFonts w:cs="Arial"/>
          <w:szCs w:val="22"/>
        </w:rPr>
        <w:t xml:space="preserve">ontract. </w:t>
      </w:r>
      <w:r w:rsidRPr="00EC3D2C">
        <w:rPr>
          <w:rFonts w:cs="Arial"/>
          <w:szCs w:val="22"/>
        </w:rPr>
        <w:t>The pr</w:t>
      </w:r>
      <w:r>
        <w:rPr>
          <w:rFonts w:cs="Arial"/>
          <w:szCs w:val="22"/>
        </w:rPr>
        <w:t>ice should be broken down by th</w:t>
      </w:r>
      <w:r w:rsidRPr="00EC3D2C">
        <w:rPr>
          <w:rFonts w:cs="Arial"/>
          <w:szCs w:val="22"/>
        </w:rPr>
        <w:t>e</w:t>
      </w:r>
      <w:r>
        <w:rPr>
          <w:rFonts w:cs="Arial"/>
          <w:szCs w:val="22"/>
        </w:rPr>
        <w:t xml:space="preserve"> </w:t>
      </w:r>
      <w:r w:rsidRPr="00EC3D2C">
        <w:rPr>
          <w:rFonts w:cs="Arial"/>
          <w:szCs w:val="22"/>
        </w:rPr>
        <w:t xml:space="preserve">number of days and </w:t>
      </w:r>
      <w:r w:rsidR="005106FB">
        <w:rPr>
          <w:rFonts w:cs="Arial"/>
          <w:szCs w:val="22"/>
        </w:rPr>
        <w:t>price</w:t>
      </w:r>
      <w:r w:rsidRPr="00EC3D2C">
        <w:rPr>
          <w:rFonts w:cs="Arial"/>
          <w:szCs w:val="22"/>
        </w:rPr>
        <w:t xml:space="preserve"> for each </w:t>
      </w:r>
      <w:r>
        <w:rPr>
          <w:rFonts w:cs="Arial"/>
          <w:szCs w:val="22"/>
        </w:rPr>
        <w:t>work package in the requirement.</w:t>
      </w:r>
    </w:p>
    <w:p w14:paraId="645D51EC" w14:textId="61C27581" w:rsidR="00671798" w:rsidRDefault="00FE18AC">
      <w:pPr>
        <w:pStyle w:val="Heading2"/>
        <w:tabs>
          <w:tab w:val="clear" w:pos="720"/>
          <w:tab w:val="num" w:pos="709"/>
        </w:tabs>
        <w:spacing w:after="120"/>
        <w:ind w:left="709" w:hanging="709"/>
      </w:pPr>
      <w:r>
        <w:t xml:space="preserve">Prices are to be submitted via the </w:t>
      </w:r>
      <w:r w:rsidR="007E7127" w:rsidRPr="007E7127">
        <w:t>Appendix E</w:t>
      </w:r>
      <w:r>
        <w:t xml:space="preserve"> excluding VAT</w:t>
      </w:r>
      <w:r w:rsidR="00AE3C65">
        <w:t>.</w:t>
      </w:r>
    </w:p>
    <w:p w14:paraId="6222B140" w14:textId="48B44C16" w:rsidR="00A1650B" w:rsidRDefault="00A1650B">
      <w:pPr>
        <w:pStyle w:val="Heading2"/>
        <w:tabs>
          <w:tab w:val="clear" w:pos="720"/>
          <w:tab w:val="num" w:pos="709"/>
        </w:tabs>
        <w:spacing w:after="120"/>
        <w:ind w:left="709" w:hanging="709"/>
      </w:pPr>
      <w:r w:rsidRPr="000B6BE1">
        <w:t>The maximum budget for the full requirement is £</w:t>
      </w:r>
      <w:r>
        <w:t>75,000 (exc. VAT). B</w:t>
      </w:r>
      <w:r w:rsidRPr="000B6BE1">
        <w:t>ids received over this budget will be deemed non-compliant.</w:t>
      </w:r>
    </w:p>
    <w:p w14:paraId="6B1CA851"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8" w:name="_Toc368573038"/>
      <w:bookmarkStart w:id="29" w:name="_Toc457913380"/>
      <w:r w:rsidRPr="00BE6EE0">
        <w:rPr>
          <w:rFonts w:cs="Arial"/>
          <w:szCs w:val="22"/>
        </w:rPr>
        <w:t>STAFF AND CUSTOMER SERVICE</w:t>
      </w:r>
      <w:bookmarkEnd w:id="28"/>
      <w:bookmarkEnd w:id="29"/>
    </w:p>
    <w:p w14:paraId="473FF9D3" w14:textId="6765E817" w:rsidR="00671798" w:rsidRDefault="00FE18AC">
      <w:pPr>
        <w:pStyle w:val="Heading2"/>
        <w:tabs>
          <w:tab w:val="clear" w:pos="720"/>
          <w:tab w:val="num" w:pos="709"/>
        </w:tabs>
        <w:spacing w:after="120"/>
        <w:ind w:left="709" w:hanging="709"/>
      </w:pPr>
      <w:r w:rsidRPr="002E7082">
        <w:t>The</w:t>
      </w:r>
      <w:r>
        <w:t xml:space="preserve"> </w:t>
      </w:r>
      <w:r w:rsidRPr="002E7082">
        <w:t>Authority requires the Potential Provider to</w:t>
      </w:r>
      <w:r>
        <w:t xml:space="preserve"> provide a sufficient level of resource throughout the duration of the </w:t>
      </w:r>
      <w:r w:rsidR="00407B4E" w:rsidRPr="00407B4E">
        <w:t>Finance Systems Future St</w:t>
      </w:r>
      <w:r w:rsidR="00017C64">
        <w:t>r</w:t>
      </w:r>
      <w:r w:rsidR="00407B4E" w:rsidRPr="00407B4E">
        <w:t xml:space="preserve">ategy Workshops </w:t>
      </w:r>
      <w:r>
        <w:t>Contract in order to consistently deliver a quality service to all Parties.</w:t>
      </w:r>
    </w:p>
    <w:p w14:paraId="7C5FF49B" w14:textId="6A95BB06" w:rsidR="00671798" w:rsidRDefault="00FE18AC">
      <w:pPr>
        <w:pStyle w:val="Heading2"/>
        <w:tabs>
          <w:tab w:val="clear" w:pos="720"/>
          <w:tab w:val="num" w:pos="709"/>
        </w:tabs>
        <w:spacing w:after="120"/>
        <w:ind w:left="709" w:hanging="709"/>
      </w:pPr>
      <w:r>
        <w:t xml:space="preserve">Potential Provider’s staff assigned to the </w:t>
      </w:r>
      <w:r w:rsidR="00017C64">
        <w:t xml:space="preserve">Finance Systems Future </w:t>
      </w:r>
      <w:r w:rsidR="00407B4E" w:rsidRPr="00407B4E">
        <w:t>St</w:t>
      </w:r>
      <w:r w:rsidR="00017C64">
        <w:t>rategy Workshops</w:t>
      </w:r>
      <w:r w:rsidR="00407B4E" w:rsidRPr="00407B4E">
        <w:t xml:space="preserve"> </w:t>
      </w:r>
      <w:r w:rsidRPr="00407B4E">
        <w:t xml:space="preserve">Contract shall have </w:t>
      </w:r>
      <w:r w:rsidR="00E63412" w:rsidRPr="00407B4E">
        <w:t xml:space="preserve">the </w:t>
      </w:r>
      <w:r w:rsidRPr="00407B4E">
        <w:t>relevant qualifications and experience to deliver</w:t>
      </w:r>
      <w:r w:rsidR="00E63412">
        <w:t xml:space="preserve"> the</w:t>
      </w:r>
      <w:r w:rsidRPr="002E7082">
        <w:t xml:space="preserve"> Contract. </w:t>
      </w:r>
    </w:p>
    <w:p w14:paraId="0837E02A" w14:textId="0DAFB85C" w:rsidR="00671798" w:rsidRDefault="00FE18AC">
      <w:pPr>
        <w:pStyle w:val="Heading2"/>
        <w:tabs>
          <w:tab w:val="clear" w:pos="720"/>
          <w:tab w:val="num" w:pos="709"/>
        </w:tabs>
        <w:spacing w:after="120"/>
        <w:ind w:left="709" w:hanging="709"/>
      </w:pPr>
      <w:r w:rsidRPr="002E7082">
        <w:t xml:space="preserve">The Potential Provider shall ensure that </w:t>
      </w:r>
      <w:r>
        <w:t>staff understand</w:t>
      </w:r>
      <w:r w:rsidRPr="002E7082">
        <w:t xml:space="preserve"> the</w:t>
      </w:r>
      <w:r>
        <w:t xml:space="preserve"> </w:t>
      </w:r>
      <w:r w:rsidRPr="002E7082">
        <w:t>Authority’s vi</w:t>
      </w:r>
      <w:r>
        <w:t xml:space="preserve">sion and objectives and </w:t>
      </w:r>
      <w:r w:rsidR="00E63412">
        <w:t xml:space="preserve">will </w:t>
      </w:r>
      <w:r>
        <w:t>provide</w:t>
      </w:r>
      <w:r w:rsidRPr="002E7082">
        <w:t xml:space="preserve"> excellent customer service to the Authority throughout </w:t>
      </w:r>
      <w:r>
        <w:t>the duration of the Contract.</w:t>
      </w:r>
      <w:r w:rsidRPr="002E7082">
        <w:t xml:space="preserve"> </w:t>
      </w:r>
      <w:r>
        <w:t xml:space="preserve"> </w:t>
      </w:r>
    </w:p>
    <w:p w14:paraId="3F767EF8" w14:textId="77777777" w:rsidR="00671798" w:rsidRDefault="00FE18AC">
      <w:pPr>
        <w:pStyle w:val="Heading1"/>
        <w:spacing w:after="120"/>
      </w:pPr>
      <w:bookmarkStart w:id="30" w:name="_Toc368573040"/>
      <w:bookmarkStart w:id="31" w:name="_Toc457913381"/>
      <w:r>
        <w:lastRenderedPageBreak/>
        <w:t>Security requirements</w:t>
      </w:r>
      <w:bookmarkEnd w:id="30"/>
      <w:bookmarkEnd w:id="31"/>
    </w:p>
    <w:p w14:paraId="261CA7A2" w14:textId="5458F33E" w:rsidR="00E97B19" w:rsidRPr="00E97B19" w:rsidRDefault="002E4A15" w:rsidP="002E4A15">
      <w:pPr>
        <w:pStyle w:val="Heading2"/>
        <w:numPr>
          <w:ilvl w:val="0"/>
          <w:numId w:val="0"/>
        </w:numPr>
        <w:spacing w:after="120"/>
        <w:ind w:left="720" w:hanging="720"/>
      </w:pPr>
      <w:r>
        <w:rPr>
          <w:rFonts w:cs="Arial"/>
          <w:szCs w:val="22"/>
        </w:rPr>
        <w:t>12.1</w:t>
      </w:r>
      <w:r>
        <w:rPr>
          <w:rFonts w:cs="Arial"/>
          <w:szCs w:val="22"/>
        </w:rPr>
        <w:tab/>
        <w:t>SC</w:t>
      </w:r>
      <w:r w:rsidRPr="00EC3D2C">
        <w:rPr>
          <w:rFonts w:cs="Arial"/>
          <w:szCs w:val="22"/>
        </w:rPr>
        <w:t xml:space="preserve"> clearan</w:t>
      </w:r>
      <w:r>
        <w:rPr>
          <w:rFonts w:cs="Arial"/>
          <w:szCs w:val="22"/>
        </w:rPr>
        <w:t xml:space="preserve">ce is required for all on-site </w:t>
      </w:r>
      <w:r w:rsidRPr="00EC3D2C">
        <w:rPr>
          <w:rFonts w:cs="Arial"/>
          <w:szCs w:val="22"/>
        </w:rPr>
        <w:t>contractors</w:t>
      </w:r>
      <w:r>
        <w:rPr>
          <w:rFonts w:cs="Arial"/>
          <w:szCs w:val="22"/>
        </w:rPr>
        <w:t>. This must be in place prior to contract commencement</w:t>
      </w:r>
      <w:r w:rsidR="00E97B19" w:rsidRPr="00E97B19">
        <w:t>.</w:t>
      </w:r>
    </w:p>
    <w:p w14:paraId="65283656" w14:textId="2FA53B3D"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2" w:name="_Toc457913382"/>
      <w:bookmarkStart w:id="33" w:name="_Toc368573042"/>
      <w:r w:rsidRPr="00874062">
        <w:rPr>
          <w:rFonts w:cs="Arial"/>
          <w:szCs w:val="22"/>
        </w:rPr>
        <w:t>payment</w:t>
      </w:r>
      <w:bookmarkEnd w:id="32"/>
    </w:p>
    <w:p w14:paraId="231E7CCF" w14:textId="6157594C" w:rsidR="002E4A15" w:rsidRPr="00EC3D2C" w:rsidRDefault="002E4A15" w:rsidP="002E4A15">
      <w:pPr>
        <w:pStyle w:val="Heading2"/>
        <w:rPr>
          <w:rFonts w:cs="Arial"/>
          <w:szCs w:val="22"/>
        </w:rPr>
      </w:pPr>
      <w:bookmarkStart w:id="34" w:name="_Toc444518885"/>
      <w:r w:rsidRPr="00EC3D2C">
        <w:rPr>
          <w:rFonts w:cs="Arial"/>
          <w:szCs w:val="22"/>
        </w:rPr>
        <w:t>Invoices are to be submitted monthly covering the work completed in the payment period. Invoices will be paid through the MoD Purchase to Payment System (P</w:t>
      </w:r>
      <w:r w:rsidR="002962F2">
        <w:rPr>
          <w:rFonts w:cs="Arial"/>
          <w:szCs w:val="22"/>
        </w:rPr>
        <w:t>2P)</w:t>
      </w:r>
      <w:r w:rsidRPr="00EC3D2C">
        <w:rPr>
          <w:rFonts w:cs="Arial"/>
          <w:szCs w:val="22"/>
        </w:rPr>
        <w:t>. All invoices should be submitted to the Designated Offi</w:t>
      </w:r>
      <w:r>
        <w:rPr>
          <w:rFonts w:cs="Arial"/>
          <w:szCs w:val="22"/>
        </w:rPr>
        <w:t>c</w:t>
      </w:r>
      <w:r w:rsidRPr="00EC3D2C">
        <w:rPr>
          <w:rFonts w:cs="Arial"/>
          <w:szCs w:val="22"/>
        </w:rPr>
        <w:t xml:space="preserve">er (DO) - DI Res Dep Head Strategy. </w:t>
      </w:r>
    </w:p>
    <w:p w14:paraId="63A6C4AC" w14:textId="77777777" w:rsidR="002E4A15" w:rsidRPr="00EC3D2C" w:rsidRDefault="002E4A15" w:rsidP="002E4A15">
      <w:pPr>
        <w:pStyle w:val="Heading2"/>
        <w:rPr>
          <w:rFonts w:cs="Arial"/>
          <w:szCs w:val="22"/>
        </w:rPr>
      </w:pPr>
      <w:r w:rsidRPr="00EC3D2C">
        <w:rPr>
          <w:rFonts w:cs="Arial"/>
          <w:color w:val="000000"/>
          <w:szCs w:val="22"/>
          <w:shd w:val="clear" w:color="auto" w:fill="FFFFFF"/>
        </w:rPr>
        <w:t xml:space="preserve">Payment can only be made following satisfactory delivery of pre-agreed certified products and deliverables. </w:t>
      </w:r>
    </w:p>
    <w:p w14:paraId="0FD3F286" w14:textId="77777777" w:rsidR="002E4A15" w:rsidRPr="00707115" w:rsidRDefault="002E4A15" w:rsidP="002E4A15">
      <w:pPr>
        <w:pStyle w:val="Heading2"/>
        <w:rPr>
          <w:rFonts w:cs="Arial"/>
          <w:szCs w:val="22"/>
        </w:rPr>
      </w:pPr>
      <w:r w:rsidRPr="00EC3D2C">
        <w:rPr>
          <w:rFonts w:cs="Arial"/>
          <w:color w:val="000000"/>
          <w:szCs w:val="22"/>
          <w:shd w:val="clear" w:color="auto" w:fill="FFFFFF"/>
        </w:rPr>
        <w:t>Before payment can be considered, each invoice must include a detailed elemental breakdown of work completed and the associated costs. The DO will confirm that all invoiced products and deliverables have been delivered to the required standard, before the inv</w:t>
      </w:r>
      <w:r>
        <w:rPr>
          <w:rFonts w:cs="Arial"/>
          <w:color w:val="000000"/>
          <w:szCs w:val="22"/>
          <w:shd w:val="clear" w:color="auto" w:fill="FFFFFF"/>
        </w:rPr>
        <w:t>o</w:t>
      </w:r>
      <w:r w:rsidRPr="00EC3D2C">
        <w:rPr>
          <w:rFonts w:cs="Arial"/>
          <w:color w:val="000000"/>
          <w:szCs w:val="22"/>
          <w:shd w:val="clear" w:color="auto" w:fill="FFFFFF"/>
        </w:rPr>
        <w:t xml:space="preserve">ice will be released for payment on P2P. </w:t>
      </w:r>
    </w:p>
    <w:p w14:paraId="04BBE808" w14:textId="77777777" w:rsidR="00671798" w:rsidRDefault="00FE18AC">
      <w:pPr>
        <w:pStyle w:val="Heading1"/>
        <w:spacing w:after="120"/>
      </w:pPr>
      <w:bookmarkStart w:id="35" w:name="_Toc368573043"/>
      <w:bookmarkStart w:id="36" w:name="_Toc457913383"/>
      <w:bookmarkEnd w:id="20"/>
      <w:bookmarkEnd w:id="33"/>
      <w:bookmarkEnd w:id="34"/>
      <w:r>
        <w:t>Location</w:t>
      </w:r>
      <w:bookmarkEnd w:id="35"/>
      <w:bookmarkEnd w:id="36"/>
      <w:r>
        <w:t xml:space="preserve"> </w:t>
      </w:r>
    </w:p>
    <w:p w14:paraId="37C13A5F" w14:textId="06B1ADE7" w:rsidR="00671798" w:rsidRPr="00E97B19" w:rsidRDefault="00FE18AC">
      <w:pPr>
        <w:pStyle w:val="Heading2"/>
        <w:tabs>
          <w:tab w:val="clear" w:pos="720"/>
          <w:tab w:val="num" w:pos="709"/>
        </w:tabs>
        <w:spacing w:after="120"/>
        <w:ind w:left="709" w:hanging="709"/>
      </w:pPr>
      <w:r>
        <w:t xml:space="preserve">The location of the Services </w:t>
      </w:r>
      <w:r w:rsidR="00456C64">
        <w:t xml:space="preserve">will </w:t>
      </w:r>
      <w:r>
        <w:t xml:space="preserve">be carried out at </w:t>
      </w:r>
      <w:r w:rsidR="00456C64">
        <w:t>an establishment in Bristol.</w:t>
      </w:r>
      <w:r w:rsidR="00706DDE">
        <w:t xml:space="preserve"> </w:t>
      </w:r>
      <w:r w:rsidR="00037377" w:rsidRPr="000B6BE1">
        <w:t>Prices should be inclusive of all expenses and exclusive of VAT.</w:t>
      </w:r>
    </w:p>
    <w:p w14:paraId="01C9AEC4" w14:textId="77777777" w:rsidR="002F7AA1" w:rsidRPr="00FD080D" w:rsidRDefault="002F7AA1" w:rsidP="002F7AA1">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35CD56B7" w14:textId="77777777" w:rsidR="002F7AA1" w:rsidRDefault="002F7AA1" w:rsidP="002F7AA1">
      <w:pPr>
        <w:pStyle w:val="Heading1"/>
        <w:numPr>
          <w:ilvl w:val="0"/>
          <w:numId w:val="0"/>
        </w:numPr>
        <w:ind w:left="720" w:hanging="720"/>
        <w:jc w:val="center"/>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985B4D">
      <w:headerReference w:type="default" r:id="rId8"/>
      <w:footerReference w:type="default" r:id="rId9"/>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9898B" w14:textId="77777777" w:rsidR="001A17C3" w:rsidRDefault="001A17C3">
      <w:pPr>
        <w:spacing w:line="20" w:lineRule="exact"/>
      </w:pPr>
    </w:p>
  </w:endnote>
  <w:endnote w:type="continuationSeparator" w:id="0">
    <w:p w14:paraId="73CA729A" w14:textId="77777777" w:rsidR="001A17C3" w:rsidRDefault="001A17C3">
      <w:pPr>
        <w:spacing w:line="20" w:lineRule="exact"/>
      </w:pPr>
      <w:r>
        <w:t xml:space="preserve"> </w:t>
      </w:r>
    </w:p>
  </w:endnote>
  <w:endnote w:type="continuationNotice" w:id="1">
    <w:p w14:paraId="3BFEFAB2" w14:textId="77777777" w:rsidR="001A17C3" w:rsidRDefault="001A17C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5E3BDC75" w14:textId="030527A3" w:rsidR="008613A7" w:rsidRDefault="008613A7" w:rsidP="00985B4D">
        <w:pPr>
          <w:pStyle w:val="Footer"/>
          <w:jc w:val="center"/>
        </w:pPr>
        <w:r>
          <w:rPr>
            <w:noProof/>
            <w:lang w:eastAsia="en-GB"/>
          </w:rPr>
          <mc:AlternateContent>
            <mc:Choice Requires="wps">
              <w:drawing>
                <wp:anchor distT="0" distB="0" distL="114300" distR="114300" simplePos="0" relativeHeight="251663872"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E641F"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8613A7" w:rsidRPr="00985B4D" w:rsidRDefault="008613A7" w:rsidP="00985B4D">
        <w:pPr>
          <w:pStyle w:val="Footer"/>
          <w:jc w:val="center"/>
          <w:rPr>
            <w:sz w:val="20"/>
            <w:szCs w:val="20"/>
          </w:rPr>
        </w:pPr>
        <w:r w:rsidRPr="00985B4D">
          <w:rPr>
            <w:sz w:val="20"/>
            <w:szCs w:val="20"/>
          </w:rPr>
          <w:t>OFFICIAL</w:t>
        </w:r>
      </w:p>
      <w:p w14:paraId="7F67DA18" w14:textId="11B3DC9A" w:rsidR="008613A7" w:rsidRPr="00985B4D" w:rsidRDefault="008613A7">
        <w:pPr>
          <w:pStyle w:val="Footer"/>
          <w:rPr>
            <w:sz w:val="20"/>
            <w:szCs w:val="20"/>
          </w:rPr>
        </w:pPr>
        <w:r w:rsidRPr="00985B4D">
          <w:rPr>
            <w:sz w:val="20"/>
            <w:szCs w:val="20"/>
          </w:rPr>
          <w:t>Appendix B – Statement of Requirements</w:t>
        </w:r>
      </w:p>
      <w:p w14:paraId="5D89FCCB" w14:textId="62BC2A36" w:rsidR="008613A7" w:rsidRPr="00985B4D" w:rsidRDefault="008613A7">
        <w:pPr>
          <w:pStyle w:val="Footer"/>
          <w:rPr>
            <w:sz w:val="20"/>
            <w:szCs w:val="20"/>
          </w:rPr>
        </w:pPr>
        <w:r>
          <w:rPr>
            <w:sz w:val="20"/>
            <w:szCs w:val="20"/>
          </w:rPr>
          <w:t>Sarah Thomas</w:t>
        </w:r>
      </w:p>
      <w:p w14:paraId="42D6E6E6" w14:textId="591B8657" w:rsidR="008613A7" w:rsidRPr="00985B4D" w:rsidRDefault="008613A7" w:rsidP="00985B4D">
        <w:pPr>
          <w:pStyle w:val="Footer"/>
          <w:jc w:val="right"/>
          <w:rPr>
            <w:sz w:val="20"/>
            <w:szCs w:val="20"/>
          </w:rPr>
        </w:pPr>
        <w:r>
          <w:rPr>
            <w:sz w:val="20"/>
            <w:szCs w:val="20"/>
          </w:rPr>
          <w:t>V1.0 2</w:t>
        </w:r>
        <w:r w:rsidRPr="00A843A7">
          <w:rPr>
            <w:sz w:val="20"/>
            <w:szCs w:val="20"/>
            <w:vertAlign w:val="superscript"/>
          </w:rPr>
          <w:t>nd</w:t>
        </w:r>
        <w:r>
          <w:rPr>
            <w:sz w:val="20"/>
            <w:szCs w:val="20"/>
          </w:rPr>
          <w:t xml:space="preserve"> August 2016</w:t>
        </w:r>
      </w:p>
      <w:p w14:paraId="5214230D" w14:textId="4ECA52CA" w:rsidR="008613A7" w:rsidRDefault="008613A7"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A003CA">
          <w:rPr>
            <w:noProof/>
            <w:sz w:val="20"/>
            <w:szCs w:val="20"/>
          </w:rPr>
          <w:t>6</w:t>
        </w:r>
        <w:r w:rsidRPr="00985B4D">
          <w:rPr>
            <w:noProof/>
            <w:sz w:val="20"/>
            <w:szCs w:val="20"/>
          </w:rPr>
          <w:fldChar w:fldCharType="end"/>
        </w:r>
      </w:p>
    </w:sdtContent>
  </w:sdt>
  <w:p w14:paraId="6CEF1DBF" w14:textId="77777777" w:rsidR="008613A7" w:rsidRPr="002933F8" w:rsidRDefault="008613A7"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4DA51" w14:textId="77777777" w:rsidR="001A17C3" w:rsidRDefault="001A17C3">
      <w:r>
        <w:separator/>
      </w:r>
    </w:p>
  </w:footnote>
  <w:footnote w:type="continuationSeparator" w:id="0">
    <w:p w14:paraId="3A88C599" w14:textId="77777777" w:rsidR="001A17C3" w:rsidRDefault="001A17C3">
      <w:r>
        <w:continuationSeparator/>
      </w:r>
    </w:p>
  </w:footnote>
  <w:footnote w:type="continuationNotice" w:id="1">
    <w:p w14:paraId="2FCD80AB" w14:textId="77777777" w:rsidR="001A17C3" w:rsidRDefault="001A17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9588B" w14:textId="77777777" w:rsidR="008613A7" w:rsidRPr="00F44D62" w:rsidRDefault="008613A7"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70016" behindDoc="1" locked="0" layoutInCell="1" allowOverlap="1" wp14:anchorId="2344EA36" wp14:editId="364406A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0BC6A7D6" w14:textId="122A3CBC" w:rsidR="008613A7" w:rsidRDefault="008613A7" w:rsidP="00985B4D">
    <w:pPr>
      <w:tabs>
        <w:tab w:val="center" w:pos="4153"/>
        <w:tab w:val="right" w:pos="8306"/>
      </w:tabs>
      <w:ind w:left="720"/>
      <w:jc w:val="center"/>
      <w:rPr>
        <w:sz w:val="20"/>
        <w:szCs w:val="20"/>
      </w:rPr>
    </w:pPr>
    <w:r w:rsidRPr="00F44D62">
      <w:rPr>
        <w:sz w:val="20"/>
        <w:szCs w:val="20"/>
      </w:rPr>
      <w:t>App</w:t>
    </w:r>
    <w:r>
      <w:rPr>
        <w:sz w:val="20"/>
        <w:szCs w:val="20"/>
      </w:rPr>
      <w:t>endix B – Statement of Requirements</w:t>
    </w:r>
  </w:p>
  <w:p w14:paraId="38EE8B52" w14:textId="59A27A75" w:rsidR="008613A7" w:rsidRPr="00F466A5" w:rsidRDefault="008613A7" w:rsidP="001E3FD6">
    <w:pPr>
      <w:tabs>
        <w:tab w:val="center" w:pos="4153"/>
        <w:tab w:val="right" w:pos="8306"/>
      </w:tabs>
      <w:jc w:val="center"/>
      <w:rPr>
        <w:sz w:val="20"/>
        <w:szCs w:val="20"/>
      </w:rPr>
    </w:pPr>
    <w:r>
      <w:rPr>
        <w:sz w:val="20"/>
        <w:szCs w:val="20"/>
      </w:rPr>
      <w:t xml:space="preserve">       </w:t>
    </w:r>
    <w:r>
      <w:rPr>
        <w:rFonts w:cs="Arial"/>
        <w:sz w:val="20"/>
        <w:szCs w:val="20"/>
      </w:rPr>
      <w:t>Provision of Finance Systems Future Strategy Workshops</w:t>
    </w:r>
  </w:p>
  <w:p w14:paraId="3263A04E" w14:textId="2403DFB8" w:rsidR="008613A7" w:rsidRDefault="008613A7" w:rsidP="001E3FD6">
    <w:pPr>
      <w:tabs>
        <w:tab w:val="center" w:pos="4153"/>
        <w:tab w:val="center" w:pos="4513"/>
        <w:tab w:val="left" w:pos="5835"/>
        <w:tab w:val="right" w:pos="8306"/>
      </w:tabs>
      <w:rPr>
        <w:rFonts w:cs="Arial"/>
        <w:sz w:val="20"/>
        <w:szCs w:val="20"/>
      </w:rPr>
    </w:pPr>
    <w:r>
      <w:rPr>
        <w:rFonts w:cs="Arial"/>
        <w:sz w:val="20"/>
        <w:szCs w:val="20"/>
      </w:rPr>
      <w:tab/>
      <w:t xml:space="preserve">                        </w:t>
    </w:r>
    <w:r w:rsidR="001E6436">
      <w:rPr>
        <w:rFonts w:cs="Arial"/>
        <w:sz w:val="20"/>
        <w:szCs w:val="20"/>
      </w:rPr>
      <w:t>Contract Reference</w:t>
    </w:r>
    <w:r>
      <w:rPr>
        <w:rFonts w:cs="Arial"/>
        <w:sz w:val="20"/>
        <w:szCs w:val="20"/>
      </w:rPr>
      <w:t xml:space="preserve"> CCCC16A40</w:t>
    </w:r>
    <w:r>
      <w:rPr>
        <w:rFonts w:cs="Arial"/>
        <w:sz w:val="20"/>
        <w:szCs w:val="20"/>
      </w:rPr>
      <w:tab/>
    </w:r>
  </w:p>
  <w:p w14:paraId="605B3446" w14:textId="13A6E128" w:rsidR="008613A7" w:rsidRPr="009D0EAE" w:rsidRDefault="008613A7" w:rsidP="001E3FD6">
    <w:pPr>
      <w:rPr>
        <w:rFonts w:cs="Arial"/>
        <w:sz w:val="20"/>
        <w:szCs w:val="20"/>
        <w:highlight w:val="yellow"/>
      </w:rPr>
    </w:pPr>
  </w:p>
  <w:p w14:paraId="6F1572B1" w14:textId="45CD0517" w:rsidR="008613A7" w:rsidRPr="00074357" w:rsidRDefault="008613A7" w:rsidP="00074357">
    <w:pPr>
      <w:pStyle w:val="Header"/>
    </w:pPr>
    <w:r>
      <w:rPr>
        <w:noProof/>
        <w:lang w:eastAsia="en-GB"/>
      </w:rPr>
      <mc:AlternateContent>
        <mc:Choice Requires="wps">
          <w:drawing>
            <wp:anchor distT="0" distB="0" distL="114300" distR="114300" simplePos="0" relativeHeight="251676160" behindDoc="0" locked="0" layoutInCell="1" allowOverlap="1" wp14:anchorId="65490E35" wp14:editId="4D946F0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0A6D18" id="Straight Connector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82438D"/>
    <w:multiLevelType w:val="hybridMultilevel"/>
    <w:tmpl w:val="607A9A22"/>
    <w:lvl w:ilvl="0" w:tplc="E5BCFEEC">
      <w:start w:val="1"/>
      <w:numFmt w:val="decimal"/>
      <w:lvlText w:val="%1."/>
      <w:lvlJc w:val="left"/>
      <w:pPr>
        <w:ind w:left="786"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0"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B6C2C5C"/>
    <w:multiLevelType w:val="multilevel"/>
    <w:tmpl w:val="1332CCD4"/>
    <w:name w:val="Plato Schedule Numbering List"/>
    <w:numStyleLink w:val="111111"/>
  </w:abstractNum>
  <w:abstractNum w:abstractNumId="26" w15:restartNumberingAfterBreak="0">
    <w:nsid w:val="50965CCA"/>
    <w:multiLevelType w:val="multilevel"/>
    <w:tmpl w:val="1332CCD4"/>
    <w:name w:val="Appendicies Heading List"/>
    <w:numStyleLink w:val="111111"/>
  </w:abstractNum>
  <w:abstractNum w:abstractNumId="27"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8252C"/>
    <w:multiLevelType w:val="hybridMultilevel"/>
    <w:tmpl w:val="607A9A22"/>
    <w:lvl w:ilvl="0" w:tplc="E5BCFEEC">
      <w:start w:val="1"/>
      <w:numFmt w:val="decimal"/>
      <w:lvlText w:val="%1."/>
      <w:lvlJc w:val="left"/>
      <w:pPr>
        <w:ind w:left="786"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7"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27"/>
  </w:num>
  <w:num w:numId="3">
    <w:abstractNumId w:val="17"/>
  </w:num>
  <w:num w:numId="4">
    <w:abstractNumId w:val="18"/>
  </w:num>
  <w:num w:numId="5">
    <w:abstractNumId w:val="5"/>
  </w:num>
  <w:num w:numId="6">
    <w:abstractNumId w:val="23"/>
  </w:num>
  <w:num w:numId="7">
    <w:abstractNumId w:val="20"/>
  </w:num>
  <w:num w:numId="8">
    <w:abstractNumId w:val="15"/>
  </w:num>
  <w:num w:numId="9">
    <w:abstractNumId w:val="4"/>
  </w:num>
  <w:num w:numId="10">
    <w:abstractNumId w:val="3"/>
  </w:num>
  <w:num w:numId="11">
    <w:abstractNumId w:val="2"/>
  </w:num>
  <w:num w:numId="12">
    <w:abstractNumId w:val="1"/>
  </w:num>
  <w:num w:numId="13">
    <w:abstractNumId w:val="0"/>
  </w:num>
  <w:num w:numId="14">
    <w:abstractNumId w:val="36"/>
  </w:num>
  <w:num w:numId="15">
    <w:abstractNumId w:val="11"/>
  </w:num>
  <w:num w:numId="16">
    <w:abstractNumId w:val="32"/>
  </w:num>
  <w:num w:numId="17">
    <w:abstractNumId w:val="10"/>
  </w:num>
  <w:num w:numId="18">
    <w:abstractNumId w:val="21"/>
  </w:num>
  <w:num w:numId="19">
    <w:abstractNumId w:val="19"/>
  </w:num>
  <w:num w:numId="20">
    <w:abstractNumId w:val="30"/>
  </w:num>
  <w:num w:numId="21">
    <w:abstractNumId w:val="14"/>
  </w:num>
  <w:num w:numId="22">
    <w:abstractNumId w:val="34"/>
  </w:num>
  <w:num w:numId="23">
    <w:abstractNumId w:val="24"/>
  </w:num>
  <w:num w:numId="24">
    <w:abstractNumId w:val="13"/>
  </w:num>
  <w:num w:numId="25">
    <w:abstractNumId w:val="33"/>
  </w:num>
  <w:num w:numId="26">
    <w:abstractNumId w:val="8"/>
  </w:num>
  <w:num w:numId="27">
    <w:abstractNumId w:val="28"/>
  </w:num>
  <w:num w:numId="28">
    <w:abstractNumId w:val="22"/>
  </w:num>
  <w:num w:numId="29">
    <w:abstractNumId w:val="3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7"/>
  </w:num>
  <w:num w:numId="33">
    <w:abstractNumId w:val="16"/>
  </w:num>
  <w:num w:numId="34">
    <w:abstractNumId w:val="29"/>
  </w:num>
  <w:num w:numId="35">
    <w:abstractNumId w:val="9"/>
  </w:num>
  <w:num w:numId="36">
    <w:abstractNumId w:val="6"/>
  </w:num>
  <w:num w:numId="37">
    <w:abstractNumId w:val="27"/>
    <w:lvlOverride w:ilvl="0">
      <w:startOverride w:val="6"/>
    </w:lvlOverride>
    <w:lvlOverride w:ilvl="1">
      <w:startOverride w:val="2"/>
    </w:lvlOverride>
  </w:num>
  <w:num w:numId="38">
    <w:abstractNumId w:val="27"/>
    <w:lvlOverride w:ilvl="0">
      <w:startOverride w:val="9"/>
    </w:lvlOverride>
    <w:lvlOverride w:ilvl="1">
      <w:startOverride w:val="3"/>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2A5E"/>
    <w:rsid w:val="000033CA"/>
    <w:rsid w:val="00004DDC"/>
    <w:rsid w:val="0000639C"/>
    <w:rsid w:val="000067FA"/>
    <w:rsid w:val="00007A30"/>
    <w:rsid w:val="000110CC"/>
    <w:rsid w:val="00011988"/>
    <w:rsid w:val="00012987"/>
    <w:rsid w:val="0001386E"/>
    <w:rsid w:val="0001408F"/>
    <w:rsid w:val="00014A44"/>
    <w:rsid w:val="00017C6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5A45"/>
    <w:rsid w:val="00037377"/>
    <w:rsid w:val="00037CB6"/>
    <w:rsid w:val="00040A60"/>
    <w:rsid w:val="000459DD"/>
    <w:rsid w:val="00051303"/>
    <w:rsid w:val="00052A65"/>
    <w:rsid w:val="00053DF7"/>
    <w:rsid w:val="0005414E"/>
    <w:rsid w:val="00056F7F"/>
    <w:rsid w:val="00060D0E"/>
    <w:rsid w:val="00061D1F"/>
    <w:rsid w:val="000638A2"/>
    <w:rsid w:val="000645CC"/>
    <w:rsid w:val="00066D70"/>
    <w:rsid w:val="0007040F"/>
    <w:rsid w:val="000717BE"/>
    <w:rsid w:val="0007280F"/>
    <w:rsid w:val="00072D38"/>
    <w:rsid w:val="00074357"/>
    <w:rsid w:val="00074D97"/>
    <w:rsid w:val="00074DC0"/>
    <w:rsid w:val="000763EA"/>
    <w:rsid w:val="00076448"/>
    <w:rsid w:val="000812AE"/>
    <w:rsid w:val="0008330B"/>
    <w:rsid w:val="00083557"/>
    <w:rsid w:val="00090D6B"/>
    <w:rsid w:val="000910A7"/>
    <w:rsid w:val="00092145"/>
    <w:rsid w:val="00092C56"/>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C9F"/>
    <w:rsid w:val="000B7E75"/>
    <w:rsid w:val="000C1D0A"/>
    <w:rsid w:val="000C2484"/>
    <w:rsid w:val="000C2E05"/>
    <w:rsid w:val="000C68BF"/>
    <w:rsid w:val="000C6BD6"/>
    <w:rsid w:val="000C7C2B"/>
    <w:rsid w:val="000D3719"/>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14D"/>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133B"/>
    <w:rsid w:val="00144867"/>
    <w:rsid w:val="00144F3B"/>
    <w:rsid w:val="00145725"/>
    <w:rsid w:val="00147DA6"/>
    <w:rsid w:val="001548AC"/>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63E6"/>
    <w:rsid w:val="001866C8"/>
    <w:rsid w:val="0018756A"/>
    <w:rsid w:val="00193FB5"/>
    <w:rsid w:val="001962E6"/>
    <w:rsid w:val="001A1780"/>
    <w:rsid w:val="001A17C3"/>
    <w:rsid w:val="001A3C4D"/>
    <w:rsid w:val="001A4A69"/>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D718F"/>
    <w:rsid w:val="001E0FCB"/>
    <w:rsid w:val="001E13B3"/>
    <w:rsid w:val="001E378F"/>
    <w:rsid w:val="001E3BC9"/>
    <w:rsid w:val="001E3FD6"/>
    <w:rsid w:val="001E49D6"/>
    <w:rsid w:val="001E4A31"/>
    <w:rsid w:val="001E643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62F2"/>
    <w:rsid w:val="00297D77"/>
    <w:rsid w:val="002A08BF"/>
    <w:rsid w:val="002A40E3"/>
    <w:rsid w:val="002A5258"/>
    <w:rsid w:val="002A5666"/>
    <w:rsid w:val="002A7D10"/>
    <w:rsid w:val="002A7DA6"/>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2E6B"/>
    <w:rsid w:val="002D3A27"/>
    <w:rsid w:val="002D7AC9"/>
    <w:rsid w:val="002E05A6"/>
    <w:rsid w:val="002E4A15"/>
    <w:rsid w:val="002E5436"/>
    <w:rsid w:val="002E6400"/>
    <w:rsid w:val="002F13FD"/>
    <w:rsid w:val="002F1F7F"/>
    <w:rsid w:val="002F3129"/>
    <w:rsid w:val="002F42F4"/>
    <w:rsid w:val="002F7AA1"/>
    <w:rsid w:val="0030038A"/>
    <w:rsid w:val="0030185A"/>
    <w:rsid w:val="0030285B"/>
    <w:rsid w:val="0030439A"/>
    <w:rsid w:val="003047E0"/>
    <w:rsid w:val="0030606A"/>
    <w:rsid w:val="003066E9"/>
    <w:rsid w:val="00314A80"/>
    <w:rsid w:val="00315091"/>
    <w:rsid w:val="00315C76"/>
    <w:rsid w:val="0032065B"/>
    <w:rsid w:val="00320D96"/>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4A9C"/>
    <w:rsid w:val="003550DB"/>
    <w:rsid w:val="00357E6F"/>
    <w:rsid w:val="003627B1"/>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6338"/>
    <w:rsid w:val="00386706"/>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0C28"/>
    <w:rsid w:val="003F1C5D"/>
    <w:rsid w:val="003F626A"/>
    <w:rsid w:val="00400F7C"/>
    <w:rsid w:val="00401C86"/>
    <w:rsid w:val="00402F0D"/>
    <w:rsid w:val="00404F9C"/>
    <w:rsid w:val="0040508D"/>
    <w:rsid w:val="00405A77"/>
    <w:rsid w:val="00407B4E"/>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107C"/>
    <w:rsid w:val="00442563"/>
    <w:rsid w:val="00442EDE"/>
    <w:rsid w:val="00447F11"/>
    <w:rsid w:val="004516D6"/>
    <w:rsid w:val="0045279B"/>
    <w:rsid w:val="00453EE6"/>
    <w:rsid w:val="0045425C"/>
    <w:rsid w:val="00456C64"/>
    <w:rsid w:val="00456D72"/>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4371"/>
    <w:rsid w:val="004A48ED"/>
    <w:rsid w:val="004A63F0"/>
    <w:rsid w:val="004B4E34"/>
    <w:rsid w:val="004B6951"/>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06FB"/>
    <w:rsid w:val="005147FE"/>
    <w:rsid w:val="00515D51"/>
    <w:rsid w:val="00517904"/>
    <w:rsid w:val="0052086C"/>
    <w:rsid w:val="00522AAC"/>
    <w:rsid w:val="0052365A"/>
    <w:rsid w:val="0052487A"/>
    <w:rsid w:val="00527040"/>
    <w:rsid w:val="00531417"/>
    <w:rsid w:val="0053220D"/>
    <w:rsid w:val="005334EA"/>
    <w:rsid w:val="00533F76"/>
    <w:rsid w:val="005364E3"/>
    <w:rsid w:val="00537D39"/>
    <w:rsid w:val="0055006C"/>
    <w:rsid w:val="00551203"/>
    <w:rsid w:val="00551397"/>
    <w:rsid w:val="005571B2"/>
    <w:rsid w:val="005577E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3D5"/>
    <w:rsid w:val="005B466A"/>
    <w:rsid w:val="005B4A89"/>
    <w:rsid w:val="005C0826"/>
    <w:rsid w:val="005C2951"/>
    <w:rsid w:val="005C3B95"/>
    <w:rsid w:val="005C6291"/>
    <w:rsid w:val="005C6503"/>
    <w:rsid w:val="005D1196"/>
    <w:rsid w:val="005D2362"/>
    <w:rsid w:val="005D3C7C"/>
    <w:rsid w:val="005D3E70"/>
    <w:rsid w:val="005E00DA"/>
    <w:rsid w:val="005E2029"/>
    <w:rsid w:val="005E29A1"/>
    <w:rsid w:val="005E4205"/>
    <w:rsid w:val="005E4793"/>
    <w:rsid w:val="005E4B73"/>
    <w:rsid w:val="005E4F6C"/>
    <w:rsid w:val="005E5DD9"/>
    <w:rsid w:val="005E6F4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3983"/>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DDE"/>
    <w:rsid w:val="00706FCC"/>
    <w:rsid w:val="007110A9"/>
    <w:rsid w:val="0071279F"/>
    <w:rsid w:val="007145F1"/>
    <w:rsid w:val="0072081F"/>
    <w:rsid w:val="007217F8"/>
    <w:rsid w:val="00724885"/>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198"/>
    <w:rsid w:val="007838E0"/>
    <w:rsid w:val="00784548"/>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508"/>
    <w:rsid w:val="007E69D2"/>
    <w:rsid w:val="007E7127"/>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3A7"/>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7730"/>
    <w:rsid w:val="00900BFA"/>
    <w:rsid w:val="00900E71"/>
    <w:rsid w:val="009021F5"/>
    <w:rsid w:val="0090447A"/>
    <w:rsid w:val="00905BFB"/>
    <w:rsid w:val="009064EA"/>
    <w:rsid w:val="009066E0"/>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1437"/>
    <w:rsid w:val="00951FEC"/>
    <w:rsid w:val="00953FE8"/>
    <w:rsid w:val="009572E2"/>
    <w:rsid w:val="00961A66"/>
    <w:rsid w:val="00964906"/>
    <w:rsid w:val="00965F55"/>
    <w:rsid w:val="00970943"/>
    <w:rsid w:val="00970C86"/>
    <w:rsid w:val="00971A11"/>
    <w:rsid w:val="009738CD"/>
    <w:rsid w:val="0097525F"/>
    <w:rsid w:val="0097705B"/>
    <w:rsid w:val="00981BD8"/>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8B3"/>
    <w:rsid w:val="009E46E8"/>
    <w:rsid w:val="009E7CA6"/>
    <w:rsid w:val="009F0B88"/>
    <w:rsid w:val="009F0C3F"/>
    <w:rsid w:val="009F0C62"/>
    <w:rsid w:val="009F0DAB"/>
    <w:rsid w:val="009F44CA"/>
    <w:rsid w:val="00A003CA"/>
    <w:rsid w:val="00A03542"/>
    <w:rsid w:val="00A04242"/>
    <w:rsid w:val="00A055F2"/>
    <w:rsid w:val="00A061A4"/>
    <w:rsid w:val="00A06EEA"/>
    <w:rsid w:val="00A07797"/>
    <w:rsid w:val="00A07BA2"/>
    <w:rsid w:val="00A11943"/>
    <w:rsid w:val="00A120C0"/>
    <w:rsid w:val="00A126CF"/>
    <w:rsid w:val="00A13177"/>
    <w:rsid w:val="00A150ED"/>
    <w:rsid w:val="00A163C2"/>
    <w:rsid w:val="00A1650B"/>
    <w:rsid w:val="00A203DA"/>
    <w:rsid w:val="00A2522F"/>
    <w:rsid w:val="00A26DB5"/>
    <w:rsid w:val="00A27A35"/>
    <w:rsid w:val="00A3106E"/>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3E58"/>
    <w:rsid w:val="00A74FE3"/>
    <w:rsid w:val="00A81243"/>
    <w:rsid w:val="00A843A7"/>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462C"/>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407A"/>
    <w:rsid w:val="00BF1413"/>
    <w:rsid w:val="00BF19C4"/>
    <w:rsid w:val="00BF3BAD"/>
    <w:rsid w:val="00BF3CBD"/>
    <w:rsid w:val="00BF411A"/>
    <w:rsid w:val="00BF423A"/>
    <w:rsid w:val="00BF49FD"/>
    <w:rsid w:val="00BF4C2E"/>
    <w:rsid w:val="00C00B5F"/>
    <w:rsid w:val="00C00D58"/>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3"/>
    <w:rsid w:val="00C4233A"/>
    <w:rsid w:val="00C44DC2"/>
    <w:rsid w:val="00C50014"/>
    <w:rsid w:val="00C50E68"/>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AF3"/>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8E0"/>
    <w:rsid w:val="00D20C5C"/>
    <w:rsid w:val="00D21E06"/>
    <w:rsid w:val="00D23214"/>
    <w:rsid w:val="00D25E4D"/>
    <w:rsid w:val="00D26A0C"/>
    <w:rsid w:val="00D2700C"/>
    <w:rsid w:val="00D32B32"/>
    <w:rsid w:val="00D336B8"/>
    <w:rsid w:val="00D353B7"/>
    <w:rsid w:val="00D37365"/>
    <w:rsid w:val="00D3778B"/>
    <w:rsid w:val="00D4133C"/>
    <w:rsid w:val="00D42A06"/>
    <w:rsid w:val="00D433E9"/>
    <w:rsid w:val="00D440C9"/>
    <w:rsid w:val="00D44A45"/>
    <w:rsid w:val="00D47B67"/>
    <w:rsid w:val="00D5114F"/>
    <w:rsid w:val="00D53F84"/>
    <w:rsid w:val="00D56944"/>
    <w:rsid w:val="00D56954"/>
    <w:rsid w:val="00D62E47"/>
    <w:rsid w:val="00D70A58"/>
    <w:rsid w:val="00D7211C"/>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3A58"/>
    <w:rsid w:val="00DD4374"/>
    <w:rsid w:val="00DD5FC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11BD"/>
    <w:rsid w:val="00E13CFC"/>
    <w:rsid w:val="00E14310"/>
    <w:rsid w:val="00E20D35"/>
    <w:rsid w:val="00E22084"/>
    <w:rsid w:val="00E22767"/>
    <w:rsid w:val="00E245A6"/>
    <w:rsid w:val="00E25C2D"/>
    <w:rsid w:val="00E2791D"/>
    <w:rsid w:val="00E32A1D"/>
    <w:rsid w:val="00E33788"/>
    <w:rsid w:val="00E3410E"/>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3CB"/>
    <w:rsid w:val="00E84FBC"/>
    <w:rsid w:val="00E8578F"/>
    <w:rsid w:val="00E876BF"/>
    <w:rsid w:val="00E878C9"/>
    <w:rsid w:val="00E90397"/>
    <w:rsid w:val="00E90BDB"/>
    <w:rsid w:val="00E9160D"/>
    <w:rsid w:val="00E91B23"/>
    <w:rsid w:val="00E92407"/>
    <w:rsid w:val="00E9262A"/>
    <w:rsid w:val="00E927E9"/>
    <w:rsid w:val="00E97B19"/>
    <w:rsid w:val="00EA0A6E"/>
    <w:rsid w:val="00EA3CBF"/>
    <w:rsid w:val="00EA6A93"/>
    <w:rsid w:val="00EB1275"/>
    <w:rsid w:val="00EB3DA4"/>
    <w:rsid w:val="00EB512C"/>
    <w:rsid w:val="00EB5CE0"/>
    <w:rsid w:val="00EB6DB1"/>
    <w:rsid w:val="00EC1B98"/>
    <w:rsid w:val="00EC212C"/>
    <w:rsid w:val="00EC3A14"/>
    <w:rsid w:val="00EC6507"/>
    <w:rsid w:val="00ED08E0"/>
    <w:rsid w:val="00ED0E52"/>
    <w:rsid w:val="00ED208B"/>
    <w:rsid w:val="00ED3242"/>
    <w:rsid w:val="00ED3ECF"/>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F89B7"/>
  <w15:docId w15:val="{EA7DECB4-BC0E-40D3-B303-866AEF29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DWListNumerical">
    <w:name w:val="DW List Numerical"/>
    <w:basedOn w:val="Normal"/>
    <w:qFormat/>
    <w:rsid w:val="005577E2"/>
    <w:pPr>
      <w:numPr>
        <w:numId w:val="33"/>
      </w:numPr>
      <w:spacing w:after="220"/>
    </w:pPr>
    <w:rPr>
      <w:rFonts w:ascii="Times New Roman" w:eastAsia="Times New Roman" w:hAnsi="Times New Roman"/>
      <w:sz w:val="24"/>
      <w:lang w:eastAsia="en-GB"/>
    </w:rPr>
  </w:style>
  <w:style w:type="paragraph" w:customStyle="1" w:styleId="DWParaBul1">
    <w:name w:val="DW Para Bul1"/>
    <w:basedOn w:val="Normal"/>
    <w:qFormat/>
    <w:rsid w:val="005577E2"/>
    <w:pPr>
      <w:numPr>
        <w:numId w:val="35"/>
      </w:numPr>
      <w:spacing w:after="220"/>
    </w:pPr>
    <w:rPr>
      <w:rFonts w:ascii="Times New Roman" w:eastAsia="Times New Roman" w:hAnsi="Times New Roman"/>
      <w:sz w:val="24"/>
      <w:lang w:eastAsia="en-GB"/>
    </w:rPr>
  </w:style>
  <w:style w:type="paragraph" w:customStyle="1" w:styleId="DWParaBul2">
    <w:name w:val="DW Para Bul2"/>
    <w:basedOn w:val="Normal"/>
    <w:rsid w:val="005577E2"/>
    <w:pPr>
      <w:numPr>
        <w:ilvl w:val="1"/>
        <w:numId w:val="35"/>
      </w:numPr>
      <w:spacing w:after="220"/>
    </w:pPr>
    <w:rPr>
      <w:rFonts w:ascii="Times New Roman" w:eastAsia="Times New Roman" w:hAnsi="Times New Roman"/>
      <w:sz w:val="24"/>
      <w:lang w:eastAsia="en-GB"/>
    </w:rPr>
  </w:style>
  <w:style w:type="paragraph" w:customStyle="1" w:styleId="DWParaBul3">
    <w:name w:val="DW Para Bul3"/>
    <w:basedOn w:val="Normal"/>
    <w:rsid w:val="005577E2"/>
    <w:pPr>
      <w:numPr>
        <w:ilvl w:val="2"/>
        <w:numId w:val="35"/>
      </w:numPr>
      <w:spacing w:after="220"/>
    </w:pPr>
    <w:rPr>
      <w:rFonts w:ascii="Times New Roman" w:eastAsia="Times New Roman" w:hAnsi="Times New Roman"/>
      <w:sz w:val="24"/>
      <w:lang w:eastAsia="en-GB"/>
    </w:rPr>
  </w:style>
  <w:style w:type="paragraph" w:customStyle="1" w:styleId="DWParaBul4">
    <w:name w:val="DW Para Bul4"/>
    <w:basedOn w:val="Normal"/>
    <w:rsid w:val="005577E2"/>
    <w:pPr>
      <w:numPr>
        <w:ilvl w:val="3"/>
        <w:numId w:val="35"/>
      </w:numPr>
      <w:spacing w:after="220"/>
    </w:pPr>
    <w:rPr>
      <w:rFonts w:ascii="Times New Roman" w:eastAsia="Times New Roman" w:hAnsi="Times New Roman"/>
      <w:sz w:val="24"/>
      <w:lang w:eastAsia="en-GB"/>
    </w:rPr>
  </w:style>
  <w:style w:type="paragraph" w:customStyle="1" w:styleId="DWParaBul5">
    <w:name w:val="DW Para Bul5"/>
    <w:basedOn w:val="Normal"/>
    <w:rsid w:val="005577E2"/>
    <w:pPr>
      <w:numPr>
        <w:ilvl w:val="4"/>
        <w:numId w:val="35"/>
      </w:numPr>
      <w:spacing w:after="220"/>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A268-D08B-4058-9354-F8243EB0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12512</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Sarah Thomas</cp:lastModifiedBy>
  <cp:revision>3</cp:revision>
  <dcterms:created xsi:type="dcterms:W3CDTF">2016-08-11T15:21:00Z</dcterms:created>
  <dcterms:modified xsi:type="dcterms:W3CDTF">2016-08-11T15:36:00Z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