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3EFB64D" w:rsidR="00B327EC" w:rsidRPr="00021B0E" w:rsidRDefault="00C80002" w:rsidP="00B327EC">
      <w:pPr>
        <w:widowControl w:val="0"/>
        <w:tabs>
          <w:tab w:val="center" w:pos="4513"/>
        </w:tabs>
        <w:spacing w:before="120" w:after="120"/>
        <w:jc w:val="center"/>
        <w:rPr>
          <w:b/>
          <w:color w:val="000000"/>
          <w:sz w:val="36"/>
          <w:szCs w:val="36"/>
        </w:rPr>
      </w:pPr>
      <w:r>
        <w:rPr>
          <w:b/>
          <w:color w:val="000000"/>
          <w:sz w:val="36"/>
          <w:szCs w:val="36"/>
        </w:rPr>
        <w:t>MINISTRY OF DEFENCE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45E6087B" w:rsidR="00B327EC" w:rsidRPr="00021B0E" w:rsidRDefault="00C80002" w:rsidP="00B327EC">
      <w:pPr>
        <w:widowControl w:val="0"/>
        <w:tabs>
          <w:tab w:val="center" w:pos="4513"/>
        </w:tabs>
        <w:spacing w:before="120" w:after="120"/>
        <w:jc w:val="center"/>
        <w:rPr>
          <w:color w:val="000000"/>
          <w:sz w:val="36"/>
          <w:szCs w:val="36"/>
        </w:rPr>
      </w:pPr>
      <w:r>
        <w:rPr>
          <w:b/>
          <w:color w:val="000000"/>
          <w:sz w:val="36"/>
          <w:szCs w:val="36"/>
        </w:rPr>
        <w:t>EXPLOSIVE LEARNING SOLUTIONS</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10E07E58" w14:textId="77777777" w:rsidR="00C80002" w:rsidRPr="00021B0E" w:rsidRDefault="00C80002" w:rsidP="00B327EC">
      <w:pPr>
        <w:widowControl w:val="0"/>
        <w:tabs>
          <w:tab w:val="left" w:pos="-720"/>
        </w:tabs>
        <w:spacing w:before="120" w:after="120"/>
        <w:jc w:val="center"/>
        <w:rPr>
          <w:b/>
          <w:bCs/>
          <w:color w:val="000000"/>
          <w:sz w:val="36"/>
          <w:szCs w:val="36"/>
        </w:rPr>
      </w:pPr>
    </w:p>
    <w:p w14:paraId="797FFD66" w14:textId="77777777" w:rsidR="00C80002" w:rsidRPr="00C80002" w:rsidRDefault="00C80002" w:rsidP="00C80002">
      <w:pPr>
        <w:widowControl w:val="0"/>
        <w:tabs>
          <w:tab w:val="center" w:pos="4513"/>
        </w:tabs>
        <w:spacing w:before="120" w:after="120"/>
        <w:jc w:val="center"/>
        <w:rPr>
          <w:b/>
          <w:color w:val="000000"/>
          <w:sz w:val="36"/>
          <w:szCs w:val="36"/>
        </w:rPr>
      </w:pPr>
      <w:r w:rsidRPr="00C80002">
        <w:rPr>
          <w:b/>
          <w:color w:val="000000"/>
          <w:sz w:val="36"/>
          <w:szCs w:val="36"/>
        </w:rPr>
        <w:t>PROVISION OF CONSULTANCY FOR THE CARRIER ENABLED POWER PROJECTION PROGRAMME (CEPP)</w:t>
      </w:r>
    </w:p>
    <w:p w14:paraId="3E2928D1" w14:textId="77777777" w:rsidR="00C80002" w:rsidRPr="00C80002" w:rsidRDefault="00C80002" w:rsidP="00C80002">
      <w:pPr>
        <w:widowControl w:val="0"/>
        <w:tabs>
          <w:tab w:val="center" w:pos="4513"/>
        </w:tabs>
        <w:spacing w:before="120" w:after="120"/>
        <w:jc w:val="center"/>
        <w:rPr>
          <w:b/>
          <w:color w:val="000000"/>
          <w:sz w:val="36"/>
          <w:szCs w:val="36"/>
        </w:rPr>
      </w:pPr>
    </w:p>
    <w:p w14:paraId="4C0FB005" w14:textId="77777777" w:rsidR="00C80002" w:rsidRPr="00C80002" w:rsidRDefault="00C80002" w:rsidP="00C80002">
      <w:pPr>
        <w:widowControl w:val="0"/>
        <w:tabs>
          <w:tab w:val="center" w:pos="4513"/>
        </w:tabs>
        <w:spacing w:before="120" w:after="120"/>
        <w:jc w:val="center"/>
        <w:rPr>
          <w:b/>
          <w:color w:val="000000"/>
          <w:sz w:val="36"/>
          <w:szCs w:val="36"/>
        </w:rPr>
      </w:pPr>
      <w:r w:rsidRPr="00C80002">
        <w:rPr>
          <w:b/>
          <w:color w:val="000000"/>
          <w:sz w:val="36"/>
          <w:szCs w:val="36"/>
        </w:rPr>
        <w:t>CONTRACT REFERENCE CCCC16A68</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E0319D">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E0319D">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E0319D">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E0319D">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E0319D">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E0319D">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E0319D">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E0319D">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E0319D">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E0319D">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E0319D">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E0319D">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E0319D">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E0319D">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E0319D">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E0319D">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E0319D">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E0319D">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E0319D">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E0319D">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E0319D">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E0319D">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E0319D">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E0319D">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E0319D">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77777777" w:rsidR="003537BB" w:rsidRDefault="00E0319D">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77777777" w:rsidR="003537BB" w:rsidRDefault="00E0319D">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[ANNEX 6 –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E0319D">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0CF0FEF5" w14:textId="09ADFB6C" w:rsidR="006E4A65" w:rsidRDefault="00EB3DF3" w:rsidP="00F1450F">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5F4BD395" w14:textId="77777777" w:rsidR="00F1450F" w:rsidRDefault="00F1450F" w:rsidP="00563045">
      <w:pPr>
        <w:pStyle w:val="Level1Heading"/>
        <w:numPr>
          <w:ilvl w:val="0"/>
          <w:numId w:val="24"/>
        </w:numPr>
        <w:spacing w:before="360" w:after="0" w:line="360" w:lineRule="auto"/>
        <w:jc w:val="left"/>
        <w:outlineLvl w:val="0"/>
      </w:pPr>
      <w:r w:rsidRPr="009909EA">
        <w:t>DEFCONS and DEFFORMS</w:t>
      </w:r>
    </w:p>
    <w:p w14:paraId="7B00F03D" w14:textId="77777777" w:rsidR="00F1450F" w:rsidRPr="00801F30" w:rsidRDefault="00F1450F" w:rsidP="00563045">
      <w:pPr>
        <w:pStyle w:val="Level2Heading"/>
        <w:numPr>
          <w:ilvl w:val="1"/>
          <w:numId w:val="24"/>
        </w:numPr>
        <w:tabs>
          <w:tab w:val="clear" w:pos="993"/>
          <w:tab w:val="num" w:pos="1031"/>
        </w:tabs>
        <w:spacing w:before="120" w:after="200" w:line="360" w:lineRule="auto"/>
        <w:ind w:left="1032"/>
        <w:jc w:val="left"/>
        <w:outlineLvl w:val="1"/>
      </w:pPr>
      <w:r w:rsidRPr="00801F30">
        <w:t>Standard DEFCONS</w:t>
      </w:r>
    </w:p>
    <w:tbl>
      <w:tblPr>
        <w:tblpPr w:leftFromText="180" w:rightFromText="180" w:vertAnchor="text" w:horzAnchor="margin" w:tblpXSpec="center" w:tblpY="22"/>
        <w:tblW w:w="949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234"/>
        <w:gridCol w:w="7264"/>
      </w:tblGrid>
      <w:tr w:rsidR="00F1450F" w:rsidRPr="009909EA" w14:paraId="3C82EE11" w14:textId="77777777" w:rsidTr="00F1450F">
        <w:tc>
          <w:tcPr>
            <w:tcW w:w="2234" w:type="dxa"/>
            <w:tcBorders>
              <w:top w:val="single" w:sz="8" w:space="0" w:color="auto"/>
            </w:tcBorders>
          </w:tcPr>
          <w:p w14:paraId="6E0D50B0"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Condition Title</w:t>
            </w:r>
          </w:p>
        </w:tc>
        <w:tc>
          <w:tcPr>
            <w:tcW w:w="7264" w:type="dxa"/>
            <w:tcBorders>
              <w:top w:val="single" w:sz="8" w:space="0" w:color="auto"/>
            </w:tcBorders>
          </w:tcPr>
          <w:p w14:paraId="0FDD6BF2"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Description</w:t>
            </w:r>
          </w:p>
        </w:tc>
      </w:tr>
      <w:tr w:rsidR="00F1450F" w:rsidRPr="009909EA" w14:paraId="32D88BA1" w14:textId="77777777" w:rsidTr="00F1450F">
        <w:tc>
          <w:tcPr>
            <w:tcW w:w="2234" w:type="dxa"/>
          </w:tcPr>
          <w:p w14:paraId="05F3E323"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5J</w:t>
            </w:r>
          </w:p>
        </w:tc>
        <w:tc>
          <w:tcPr>
            <w:tcW w:w="7264" w:type="dxa"/>
          </w:tcPr>
          <w:p w14:paraId="785D6AD6"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Unique Identifiers</w:t>
            </w:r>
          </w:p>
        </w:tc>
      </w:tr>
      <w:tr w:rsidR="00F1450F" w:rsidRPr="009909EA" w14:paraId="625C68D1" w14:textId="77777777" w:rsidTr="00F1450F">
        <w:tc>
          <w:tcPr>
            <w:tcW w:w="2234" w:type="dxa"/>
          </w:tcPr>
          <w:p w14:paraId="38716AF1"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35</w:t>
            </w:r>
          </w:p>
        </w:tc>
        <w:tc>
          <w:tcPr>
            <w:tcW w:w="7264" w:type="dxa"/>
          </w:tcPr>
          <w:p w14:paraId="72207604"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Progress Payments</w:t>
            </w:r>
          </w:p>
        </w:tc>
      </w:tr>
      <w:tr w:rsidR="00F1450F" w:rsidRPr="009909EA" w14:paraId="602F339F" w14:textId="77777777" w:rsidTr="00F1450F">
        <w:tc>
          <w:tcPr>
            <w:tcW w:w="2234" w:type="dxa"/>
          </w:tcPr>
          <w:p w14:paraId="0E2E1363"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76</w:t>
            </w:r>
          </w:p>
        </w:tc>
        <w:tc>
          <w:tcPr>
            <w:tcW w:w="7264" w:type="dxa"/>
          </w:tcPr>
          <w:p w14:paraId="18AA814D"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 xml:space="preserve">Contractors Personnel at Government Establishments </w:t>
            </w:r>
          </w:p>
        </w:tc>
      </w:tr>
      <w:tr w:rsidR="00F1450F" w:rsidRPr="009909EA" w14:paraId="08B4DBFB" w14:textId="77777777" w:rsidTr="00F1450F">
        <w:tc>
          <w:tcPr>
            <w:tcW w:w="2234" w:type="dxa"/>
          </w:tcPr>
          <w:p w14:paraId="0DDC5400"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DEFCON129J</w:t>
            </w:r>
          </w:p>
        </w:tc>
        <w:tc>
          <w:tcPr>
            <w:tcW w:w="7264" w:type="dxa"/>
          </w:tcPr>
          <w:p w14:paraId="588F336E"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The Use of The Electronic Business Delivery Form</w:t>
            </w:r>
          </w:p>
        </w:tc>
      </w:tr>
      <w:tr w:rsidR="00F1450F" w:rsidRPr="009909EA" w14:paraId="42E54160" w14:textId="77777777" w:rsidTr="00F1450F">
        <w:tc>
          <w:tcPr>
            <w:tcW w:w="2234" w:type="dxa"/>
          </w:tcPr>
          <w:p w14:paraId="1D67D792"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501</w:t>
            </w:r>
          </w:p>
        </w:tc>
        <w:tc>
          <w:tcPr>
            <w:tcW w:w="7264" w:type="dxa"/>
          </w:tcPr>
          <w:p w14:paraId="33C5B609"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Definitions and Interpretations</w:t>
            </w:r>
          </w:p>
        </w:tc>
      </w:tr>
      <w:tr w:rsidR="00F1450F" w:rsidRPr="009909EA" w14:paraId="417FE6A4" w14:textId="77777777" w:rsidTr="00F1450F">
        <w:tc>
          <w:tcPr>
            <w:tcW w:w="2234" w:type="dxa"/>
          </w:tcPr>
          <w:p w14:paraId="7009CC00"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502</w:t>
            </w:r>
          </w:p>
        </w:tc>
        <w:tc>
          <w:tcPr>
            <w:tcW w:w="7264" w:type="dxa"/>
          </w:tcPr>
          <w:p w14:paraId="42E40AD2"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Specifications</w:t>
            </w:r>
          </w:p>
        </w:tc>
      </w:tr>
      <w:tr w:rsidR="00F1450F" w:rsidRPr="009909EA" w14:paraId="05F163C0" w14:textId="77777777" w:rsidTr="00F1450F">
        <w:tc>
          <w:tcPr>
            <w:tcW w:w="2234" w:type="dxa"/>
          </w:tcPr>
          <w:p w14:paraId="62BFFEF0"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503</w:t>
            </w:r>
          </w:p>
        </w:tc>
        <w:tc>
          <w:tcPr>
            <w:tcW w:w="7264" w:type="dxa"/>
          </w:tcPr>
          <w:p w14:paraId="7AA42376"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Amendments to contract</w:t>
            </w:r>
          </w:p>
        </w:tc>
      </w:tr>
      <w:tr w:rsidR="00F1450F" w:rsidRPr="009909EA" w14:paraId="1E3A93AB" w14:textId="77777777" w:rsidTr="00F1450F">
        <w:tc>
          <w:tcPr>
            <w:tcW w:w="2234" w:type="dxa"/>
          </w:tcPr>
          <w:p w14:paraId="188C7639"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522J</w:t>
            </w:r>
          </w:p>
        </w:tc>
        <w:tc>
          <w:tcPr>
            <w:tcW w:w="7264" w:type="dxa"/>
          </w:tcPr>
          <w:p w14:paraId="5FA02865" w14:textId="77777777" w:rsidR="00F1450F" w:rsidRPr="009909EA" w:rsidRDefault="00F1450F" w:rsidP="00F1450F">
            <w:pPr>
              <w:spacing w:before="100" w:beforeAutospacing="1" w:after="100" w:afterAutospacing="1"/>
              <w:ind w:left="178"/>
              <w:rPr>
                <w:rFonts w:cs="Arial"/>
                <w:szCs w:val="22"/>
              </w:rPr>
            </w:pPr>
            <w:r>
              <w:rPr>
                <w:rFonts w:cs="Arial"/>
                <w:szCs w:val="22"/>
              </w:rPr>
              <w:t xml:space="preserve">Payment under P2P </w:t>
            </w:r>
          </w:p>
        </w:tc>
      </w:tr>
      <w:tr w:rsidR="00F1450F" w:rsidRPr="009909EA" w14:paraId="5B2B5B37" w14:textId="77777777" w:rsidTr="00F1450F">
        <w:tc>
          <w:tcPr>
            <w:tcW w:w="2234" w:type="dxa"/>
          </w:tcPr>
          <w:p w14:paraId="483FCCF4"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531</w:t>
            </w:r>
          </w:p>
        </w:tc>
        <w:tc>
          <w:tcPr>
            <w:tcW w:w="7264" w:type="dxa"/>
          </w:tcPr>
          <w:p w14:paraId="52A69191"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 xml:space="preserve">Disclosure of Information – where specific mention of </w:t>
            </w:r>
            <w:proofErr w:type="spellStart"/>
            <w:r w:rsidRPr="009909EA">
              <w:rPr>
                <w:rFonts w:cs="Arial"/>
                <w:szCs w:val="22"/>
              </w:rPr>
              <w:t>non disclosure</w:t>
            </w:r>
            <w:proofErr w:type="spellEnd"/>
            <w:r w:rsidRPr="009909EA">
              <w:rPr>
                <w:rFonts w:cs="Arial"/>
                <w:szCs w:val="22"/>
              </w:rPr>
              <w:t xml:space="preserve"> agreements is sought by the Customer.  Where this is the case th</w:t>
            </w:r>
            <w:r>
              <w:rPr>
                <w:rFonts w:cs="Arial"/>
                <w:szCs w:val="22"/>
              </w:rPr>
              <w:t xml:space="preserve">e associated Commercial Policy </w:t>
            </w:r>
            <w:r w:rsidRPr="009909EA">
              <w:rPr>
                <w:rFonts w:cs="Arial"/>
                <w:szCs w:val="22"/>
              </w:rPr>
              <w:t xml:space="preserve">statement (Protection of Information) should be consulted and the matter discussed with the ICF in the first instance. </w:t>
            </w:r>
          </w:p>
        </w:tc>
      </w:tr>
      <w:tr w:rsidR="00F1450F" w:rsidRPr="009909EA" w14:paraId="044018BB" w14:textId="77777777" w:rsidTr="00F1450F">
        <w:tc>
          <w:tcPr>
            <w:tcW w:w="2234" w:type="dxa"/>
          </w:tcPr>
          <w:p w14:paraId="29572A45" w14:textId="77777777" w:rsidR="00F1450F" w:rsidRPr="00801F30" w:rsidRDefault="00F1450F" w:rsidP="00F1450F">
            <w:pPr>
              <w:spacing w:before="100" w:beforeAutospacing="1" w:after="100" w:afterAutospacing="1"/>
              <w:ind w:left="180"/>
              <w:rPr>
                <w:rFonts w:cs="Arial"/>
                <w:szCs w:val="22"/>
              </w:rPr>
            </w:pPr>
            <w:r w:rsidRPr="00801F30">
              <w:rPr>
                <w:rFonts w:cs="Arial"/>
                <w:szCs w:val="22"/>
              </w:rPr>
              <w:t>DEFCON 550</w:t>
            </w:r>
          </w:p>
        </w:tc>
        <w:tc>
          <w:tcPr>
            <w:tcW w:w="7264" w:type="dxa"/>
          </w:tcPr>
          <w:p w14:paraId="0FFD5204" w14:textId="77777777" w:rsidR="00F1450F" w:rsidRPr="00801F30" w:rsidRDefault="00F1450F" w:rsidP="00F1450F">
            <w:pPr>
              <w:spacing w:before="100" w:beforeAutospacing="1" w:after="100" w:afterAutospacing="1"/>
              <w:ind w:left="178"/>
              <w:rPr>
                <w:rFonts w:cs="Arial"/>
                <w:szCs w:val="22"/>
              </w:rPr>
            </w:pPr>
            <w:r w:rsidRPr="00801F30">
              <w:rPr>
                <w:rFonts w:cs="Arial"/>
                <w:szCs w:val="22"/>
              </w:rPr>
              <w:t>Child Labour and Employment Law</w:t>
            </w:r>
          </w:p>
        </w:tc>
      </w:tr>
      <w:tr w:rsidR="00F1450F" w:rsidRPr="009909EA" w14:paraId="5AA9231D" w14:textId="77777777" w:rsidTr="00F1450F">
        <w:tc>
          <w:tcPr>
            <w:tcW w:w="2234" w:type="dxa"/>
          </w:tcPr>
          <w:p w14:paraId="2A017708" w14:textId="77777777" w:rsidR="00F1450F" w:rsidRPr="000D579B" w:rsidRDefault="00F1450F" w:rsidP="00F1450F">
            <w:pPr>
              <w:spacing w:before="100" w:beforeAutospacing="1" w:after="100" w:afterAutospacing="1"/>
              <w:ind w:left="180"/>
              <w:rPr>
                <w:rFonts w:cs="Arial"/>
                <w:szCs w:val="22"/>
              </w:rPr>
            </w:pPr>
            <w:r w:rsidRPr="000D579B">
              <w:rPr>
                <w:rFonts w:cs="Arial"/>
                <w:szCs w:val="22"/>
              </w:rPr>
              <w:t>DEFCON 602B</w:t>
            </w:r>
          </w:p>
        </w:tc>
        <w:tc>
          <w:tcPr>
            <w:tcW w:w="7264" w:type="dxa"/>
          </w:tcPr>
          <w:p w14:paraId="1540311F" w14:textId="77777777" w:rsidR="00F1450F" w:rsidRPr="000D579B" w:rsidRDefault="00F1450F" w:rsidP="00F1450F">
            <w:pPr>
              <w:spacing w:before="100" w:beforeAutospacing="1" w:after="100" w:afterAutospacing="1"/>
              <w:ind w:left="178"/>
              <w:rPr>
                <w:rFonts w:cs="Arial"/>
                <w:szCs w:val="22"/>
              </w:rPr>
            </w:pPr>
            <w:r w:rsidRPr="000D579B">
              <w:rPr>
                <w:rFonts w:cs="Arial"/>
                <w:szCs w:val="22"/>
              </w:rPr>
              <w:t xml:space="preserve">Quality Assurance (without Quality Plan) </w:t>
            </w:r>
          </w:p>
        </w:tc>
      </w:tr>
      <w:tr w:rsidR="00F1450F" w:rsidRPr="009909EA" w14:paraId="444EA932" w14:textId="77777777" w:rsidTr="00F1450F">
        <w:tc>
          <w:tcPr>
            <w:tcW w:w="2234" w:type="dxa"/>
          </w:tcPr>
          <w:p w14:paraId="25B4F9DC"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647</w:t>
            </w:r>
          </w:p>
        </w:tc>
        <w:tc>
          <w:tcPr>
            <w:tcW w:w="7264" w:type="dxa"/>
          </w:tcPr>
          <w:p w14:paraId="2AE23D19"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Financial Management Information</w:t>
            </w:r>
          </w:p>
        </w:tc>
      </w:tr>
      <w:tr w:rsidR="00F1450F" w:rsidRPr="009909EA" w14:paraId="585C024C" w14:textId="77777777" w:rsidTr="00F1450F">
        <w:tc>
          <w:tcPr>
            <w:tcW w:w="2234" w:type="dxa"/>
          </w:tcPr>
          <w:p w14:paraId="18BDB716" w14:textId="77777777" w:rsidR="00F1450F" w:rsidRPr="00801F30" w:rsidRDefault="00F1450F" w:rsidP="00F1450F">
            <w:pPr>
              <w:spacing w:before="100" w:beforeAutospacing="1" w:after="100" w:afterAutospacing="1"/>
              <w:ind w:left="180"/>
              <w:rPr>
                <w:rFonts w:cs="Arial"/>
                <w:szCs w:val="22"/>
              </w:rPr>
            </w:pPr>
            <w:r w:rsidRPr="00801F30">
              <w:rPr>
                <w:rFonts w:cs="Arial"/>
                <w:szCs w:val="22"/>
              </w:rPr>
              <w:t>DEFCON 660</w:t>
            </w:r>
          </w:p>
        </w:tc>
        <w:tc>
          <w:tcPr>
            <w:tcW w:w="7264" w:type="dxa"/>
          </w:tcPr>
          <w:p w14:paraId="41258B41" w14:textId="77777777" w:rsidR="00F1450F" w:rsidRPr="00801F30" w:rsidRDefault="00F1450F" w:rsidP="00F1450F">
            <w:pPr>
              <w:spacing w:before="100" w:beforeAutospacing="1" w:after="100" w:afterAutospacing="1"/>
              <w:ind w:left="178"/>
              <w:rPr>
                <w:rFonts w:cs="Arial"/>
                <w:szCs w:val="22"/>
              </w:rPr>
            </w:pPr>
            <w:r w:rsidRPr="00801F30">
              <w:rPr>
                <w:rFonts w:cs="Arial"/>
                <w:szCs w:val="22"/>
              </w:rPr>
              <w:t xml:space="preserve">Official-Sensitive Security requirements </w:t>
            </w:r>
          </w:p>
        </w:tc>
      </w:tr>
      <w:tr w:rsidR="00F1450F" w:rsidRPr="009909EA" w14:paraId="7BF00551" w14:textId="77777777" w:rsidTr="00F1450F">
        <w:tc>
          <w:tcPr>
            <w:tcW w:w="2234" w:type="dxa"/>
          </w:tcPr>
          <w:p w14:paraId="5CD0F49A"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DEFCON 703</w:t>
            </w:r>
          </w:p>
        </w:tc>
        <w:tc>
          <w:tcPr>
            <w:tcW w:w="7264" w:type="dxa"/>
          </w:tcPr>
          <w:p w14:paraId="57448D5D"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Intellectual Property Rights - Vesting in the Authority</w:t>
            </w:r>
          </w:p>
        </w:tc>
      </w:tr>
      <w:tr w:rsidR="00F1450F" w:rsidRPr="009909EA" w14:paraId="648B4FC4" w14:textId="77777777" w:rsidTr="00F1450F">
        <w:tc>
          <w:tcPr>
            <w:tcW w:w="2234" w:type="dxa"/>
          </w:tcPr>
          <w:p w14:paraId="42090124"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DEFFORM 30</w:t>
            </w:r>
          </w:p>
        </w:tc>
        <w:tc>
          <w:tcPr>
            <w:tcW w:w="7264" w:type="dxa"/>
          </w:tcPr>
          <w:p w14:paraId="6E7DA0B6"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The Electronic Transactions Agreement</w:t>
            </w:r>
          </w:p>
        </w:tc>
      </w:tr>
      <w:tr w:rsidR="00F1450F" w:rsidRPr="009909EA" w14:paraId="5E3ED1F3" w14:textId="77777777" w:rsidTr="00F1450F">
        <w:tc>
          <w:tcPr>
            <w:tcW w:w="2234" w:type="dxa"/>
          </w:tcPr>
          <w:p w14:paraId="4F7FF08A"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DEFFORM 94</w:t>
            </w:r>
          </w:p>
        </w:tc>
        <w:tc>
          <w:tcPr>
            <w:tcW w:w="7264" w:type="dxa"/>
          </w:tcPr>
          <w:p w14:paraId="7A3BABE8"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Confidentiality Agreement</w:t>
            </w:r>
          </w:p>
        </w:tc>
      </w:tr>
      <w:tr w:rsidR="00F1450F" w:rsidRPr="009909EA" w14:paraId="08D9A778" w14:textId="77777777" w:rsidTr="00F1450F">
        <w:tc>
          <w:tcPr>
            <w:tcW w:w="2234" w:type="dxa"/>
          </w:tcPr>
          <w:p w14:paraId="2B093C0F"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DEFFORM 111</w:t>
            </w:r>
          </w:p>
        </w:tc>
        <w:tc>
          <w:tcPr>
            <w:tcW w:w="7264" w:type="dxa"/>
          </w:tcPr>
          <w:p w14:paraId="1C51CAB1"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Annex – Addresses and Other Information</w:t>
            </w:r>
          </w:p>
        </w:tc>
      </w:tr>
      <w:tr w:rsidR="00F1450F" w:rsidRPr="009909EA" w14:paraId="3FA69E1E" w14:textId="77777777" w:rsidTr="00F1450F">
        <w:tc>
          <w:tcPr>
            <w:tcW w:w="2234" w:type="dxa"/>
            <w:tcBorders>
              <w:bottom w:val="single" w:sz="8" w:space="0" w:color="auto"/>
            </w:tcBorders>
          </w:tcPr>
          <w:p w14:paraId="20FA5ECB" w14:textId="77777777" w:rsidR="00F1450F" w:rsidRPr="009909EA" w:rsidRDefault="00F1450F" w:rsidP="00F1450F">
            <w:pPr>
              <w:spacing w:before="100" w:beforeAutospacing="1" w:after="100" w:afterAutospacing="1"/>
              <w:ind w:left="180"/>
              <w:rPr>
                <w:rFonts w:cs="Arial"/>
                <w:szCs w:val="22"/>
              </w:rPr>
            </w:pPr>
            <w:r w:rsidRPr="009909EA">
              <w:rPr>
                <w:rFonts w:cs="Arial"/>
                <w:szCs w:val="22"/>
              </w:rPr>
              <w:t xml:space="preserve">AQAP 2120 </w:t>
            </w:r>
          </w:p>
        </w:tc>
        <w:tc>
          <w:tcPr>
            <w:tcW w:w="7264" w:type="dxa"/>
            <w:tcBorders>
              <w:bottom w:val="single" w:sz="8" w:space="0" w:color="auto"/>
            </w:tcBorders>
          </w:tcPr>
          <w:p w14:paraId="40134E10" w14:textId="77777777" w:rsidR="00F1450F" w:rsidRPr="009909EA" w:rsidRDefault="00F1450F" w:rsidP="00F1450F">
            <w:pPr>
              <w:spacing w:before="100" w:beforeAutospacing="1" w:after="100" w:afterAutospacing="1"/>
              <w:ind w:left="178"/>
              <w:rPr>
                <w:rFonts w:cs="Arial"/>
                <w:szCs w:val="22"/>
              </w:rPr>
            </w:pPr>
            <w:r w:rsidRPr="009909EA">
              <w:rPr>
                <w:rFonts w:cs="Arial"/>
                <w:szCs w:val="22"/>
              </w:rPr>
              <w:t>NATO Quality Assurance requirements for Production</w:t>
            </w:r>
          </w:p>
        </w:tc>
      </w:tr>
    </w:tbl>
    <w:p w14:paraId="760CCAB9" w14:textId="77777777" w:rsidR="00F1450F" w:rsidRPr="00801F30" w:rsidRDefault="00F1450F" w:rsidP="00F1450F">
      <w:pPr>
        <w:pStyle w:val="BodyText2"/>
        <w:rPr>
          <w:lang w:eastAsia="en-GB"/>
        </w:rPr>
      </w:pPr>
    </w:p>
    <w:p w14:paraId="63CA15A3" w14:textId="77777777" w:rsidR="00F1450F" w:rsidRPr="00801F30" w:rsidRDefault="00F1450F" w:rsidP="00563045">
      <w:pPr>
        <w:pStyle w:val="Level2Heading"/>
        <w:numPr>
          <w:ilvl w:val="1"/>
          <w:numId w:val="24"/>
        </w:numPr>
        <w:tabs>
          <w:tab w:val="clear" w:pos="993"/>
          <w:tab w:val="num" w:pos="1031"/>
        </w:tabs>
        <w:spacing w:before="120" w:after="200" w:line="360" w:lineRule="auto"/>
        <w:ind w:left="1032"/>
        <w:jc w:val="left"/>
        <w:outlineLvl w:val="1"/>
      </w:pPr>
      <w:r>
        <w:t>Security Aspects Letter</w:t>
      </w:r>
    </w:p>
    <w:p w14:paraId="5AAD06EC" w14:textId="77777777" w:rsidR="00F1450F" w:rsidRPr="00801F30" w:rsidRDefault="00F1450F" w:rsidP="00F1450F">
      <w:pPr>
        <w:pStyle w:val="Default"/>
        <w:spacing w:after="120"/>
        <w:jc w:val="center"/>
        <w:rPr>
          <w:rFonts w:ascii="Arial" w:hAnsi="Arial" w:cs="Arial"/>
          <w:sz w:val="22"/>
          <w:szCs w:val="22"/>
          <w:u w:val="single"/>
        </w:rPr>
      </w:pPr>
      <w:r w:rsidRPr="00801F30">
        <w:rPr>
          <w:rFonts w:ascii="Arial" w:hAnsi="Arial" w:cs="Arial"/>
          <w:b/>
          <w:bCs/>
          <w:sz w:val="22"/>
          <w:szCs w:val="22"/>
          <w:u w:val="single"/>
        </w:rPr>
        <w:t xml:space="preserve">Security Aspects Letter (SAL) </w:t>
      </w:r>
    </w:p>
    <w:p w14:paraId="3AEF7D7A" w14:textId="77777777" w:rsidR="00F1450F" w:rsidRPr="00801F30" w:rsidRDefault="00F1450F" w:rsidP="00F1450F">
      <w:pPr>
        <w:pStyle w:val="Default"/>
        <w:spacing w:after="120"/>
        <w:jc w:val="both"/>
        <w:rPr>
          <w:rFonts w:ascii="Arial" w:hAnsi="Arial" w:cs="Arial"/>
          <w:sz w:val="22"/>
          <w:szCs w:val="22"/>
        </w:rPr>
      </w:pPr>
      <w:proofErr w:type="spellStart"/>
      <w:r w:rsidRPr="00801F30">
        <w:rPr>
          <w:rFonts w:ascii="Arial" w:hAnsi="Arial" w:cs="Arial"/>
          <w:b/>
          <w:bCs/>
          <w:sz w:val="22"/>
          <w:szCs w:val="22"/>
        </w:rPr>
        <w:t>Messrs</w:t>
      </w:r>
      <w:proofErr w:type="spellEnd"/>
      <w:r w:rsidRPr="00801F30">
        <w:rPr>
          <w:rFonts w:ascii="Arial" w:hAnsi="Arial" w:cs="Arial"/>
          <w:b/>
          <w:bCs/>
          <w:sz w:val="22"/>
          <w:szCs w:val="22"/>
        </w:rPr>
        <w:t xml:space="preserve"> </w:t>
      </w:r>
    </w:p>
    <w:p w14:paraId="10AD80D3" w14:textId="77777777" w:rsidR="00F1450F" w:rsidRPr="00801F30" w:rsidRDefault="00F1450F" w:rsidP="00F1450F">
      <w:pPr>
        <w:pStyle w:val="Default"/>
        <w:spacing w:after="120"/>
        <w:jc w:val="both"/>
        <w:rPr>
          <w:rFonts w:ascii="Arial" w:hAnsi="Arial" w:cs="Arial"/>
          <w:sz w:val="22"/>
          <w:szCs w:val="22"/>
        </w:rPr>
      </w:pPr>
      <w:r w:rsidRPr="00801F30">
        <w:rPr>
          <w:rFonts w:ascii="Arial" w:hAnsi="Arial" w:cs="Arial"/>
          <w:b/>
          <w:bCs/>
          <w:sz w:val="22"/>
          <w:szCs w:val="22"/>
        </w:rPr>
        <w:t xml:space="preserve">For the personal attention of: </w:t>
      </w:r>
    </w:p>
    <w:p w14:paraId="6B33C769" w14:textId="77777777" w:rsidR="00F1450F" w:rsidRPr="00801F30" w:rsidRDefault="00F1450F" w:rsidP="00F1450F">
      <w:pPr>
        <w:pStyle w:val="Default"/>
        <w:spacing w:after="120"/>
        <w:rPr>
          <w:rFonts w:ascii="Arial" w:hAnsi="Arial" w:cs="Arial"/>
          <w:sz w:val="22"/>
          <w:szCs w:val="22"/>
        </w:rPr>
      </w:pPr>
      <w:r w:rsidRPr="00801F30">
        <w:rPr>
          <w:rFonts w:ascii="Arial" w:hAnsi="Arial" w:cs="Arial"/>
          <w:b/>
          <w:bCs/>
          <w:sz w:val="22"/>
          <w:szCs w:val="22"/>
        </w:rPr>
        <w:t xml:space="preserve">(Name of company Security Controller if List X; </w:t>
      </w:r>
    </w:p>
    <w:p w14:paraId="3C760027" w14:textId="77777777" w:rsidR="00F1450F" w:rsidRPr="00801F30" w:rsidRDefault="00F1450F" w:rsidP="00F1450F">
      <w:pPr>
        <w:pStyle w:val="Default"/>
        <w:spacing w:after="120"/>
        <w:rPr>
          <w:rFonts w:ascii="Arial" w:hAnsi="Arial" w:cs="Arial"/>
          <w:sz w:val="22"/>
          <w:szCs w:val="22"/>
        </w:rPr>
      </w:pPr>
      <w:r w:rsidRPr="00801F30">
        <w:rPr>
          <w:rFonts w:ascii="Arial" w:hAnsi="Arial" w:cs="Arial"/>
          <w:b/>
          <w:bCs/>
          <w:sz w:val="22"/>
          <w:szCs w:val="22"/>
        </w:rPr>
        <w:t xml:space="preserve">Name of responsible Officer if not List X) </w:t>
      </w:r>
    </w:p>
    <w:p w14:paraId="15F0BF7F" w14:textId="77777777" w:rsidR="00F1450F" w:rsidRPr="00801F30" w:rsidRDefault="00F1450F" w:rsidP="00F1450F">
      <w:pPr>
        <w:spacing w:after="120"/>
        <w:rPr>
          <w:rFonts w:cs="Arial"/>
          <w:b/>
          <w:bCs/>
          <w:color w:val="000000"/>
          <w:szCs w:val="22"/>
        </w:rPr>
      </w:pPr>
    </w:p>
    <w:p w14:paraId="4FEF311E"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Dear Sirs </w:t>
      </w:r>
    </w:p>
    <w:p w14:paraId="263C3EC4" w14:textId="77777777" w:rsidR="00F1450F" w:rsidRPr="00801F30" w:rsidRDefault="00F1450F" w:rsidP="00F1450F">
      <w:pPr>
        <w:spacing w:after="120"/>
        <w:rPr>
          <w:rFonts w:cs="Arial"/>
          <w:b/>
          <w:bCs/>
          <w:color w:val="000000"/>
          <w:szCs w:val="22"/>
        </w:rPr>
      </w:pPr>
      <w:r w:rsidRPr="00801F30">
        <w:rPr>
          <w:rFonts w:cs="Arial"/>
          <w:b/>
          <w:bCs/>
          <w:color w:val="000000"/>
          <w:szCs w:val="22"/>
        </w:rPr>
        <w:t xml:space="preserve">CONTRACT: </w:t>
      </w:r>
      <w:r>
        <w:rPr>
          <w:rFonts w:cs="Arial"/>
          <w:b/>
          <w:bCs/>
          <w:color w:val="000000"/>
          <w:szCs w:val="22"/>
        </w:rPr>
        <w:t xml:space="preserve">CCCC16A68 - </w:t>
      </w:r>
      <w:r w:rsidRPr="00801F30">
        <w:rPr>
          <w:rFonts w:cs="Arial"/>
          <w:b/>
          <w:bCs/>
          <w:color w:val="000000"/>
          <w:szCs w:val="22"/>
        </w:rPr>
        <w:t>Provision of Consultancy for Carrier Enabled Power Projection (CEPP) (</w:t>
      </w:r>
      <w:r>
        <w:rPr>
          <w:rFonts w:cs="Arial"/>
          <w:b/>
          <w:bCs/>
          <w:color w:val="000000"/>
          <w:szCs w:val="22"/>
        </w:rPr>
        <w:t>23</w:t>
      </w:r>
      <w:r w:rsidRPr="00801F30">
        <w:rPr>
          <w:rFonts w:cs="Arial"/>
          <w:b/>
          <w:bCs/>
          <w:color w:val="000000"/>
          <w:szCs w:val="22"/>
          <w:vertAlign w:val="superscript"/>
        </w:rPr>
        <w:t>rd</w:t>
      </w:r>
      <w:r>
        <w:rPr>
          <w:rFonts w:cs="Arial"/>
          <w:b/>
          <w:bCs/>
          <w:color w:val="000000"/>
          <w:szCs w:val="22"/>
        </w:rPr>
        <w:t xml:space="preserve"> September 2016</w:t>
      </w:r>
      <w:r w:rsidRPr="00801F30">
        <w:rPr>
          <w:rFonts w:cs="Arial"/>
          <w:b/>
          <w:bCs/>
          <w:color w:val="000000"/>
          <w:szCs w:val="22"/>
        </w:rPr>
        <w:t>)</w:t>
      </w:r>
    </w:p>
    <w:p w14:paraId="7040AA22" w14:textId="77777777" w:rsidR="00F1450F" w:rsidRPr="00801F30" w:rsidRDefault="00F1450F" w:rsidP="00F1450F">
      <w:pPr>
        <w:pStyle w:val="Default"/>
        <w:spacing w:before="120" w:after="120"/>
        <w:rPr>
          <w:rFonts w:ascii="Arial" w:hAnsi="Arial" w:cs="Arial"/>
          <w:b/>
          <w:bCs/>
          <w:sz w:val="22"/>
          <w:szCs w:val="22"/>
        </w:rPr>
      </w:pPr>
      <w:r w:rsidRPr="00801F30">
        <w:rPr>
          <w:rFonts w:ascii="Arial" w:hAnsi="Arial" w:cs="Arial"/>
          <w:b/>
          <w:bCs/>
          <w:sz w:val="22"/>
          <w:szCs w:val="22"/>
        </w:rPr>
        <w:t>1. On behalf of the Secretary of State for Defence I hereby give you notice that all aspects of the work under the above contract are classified as OFFICIAL and the aspects defined below are specifically caveated as OFFICIAL-SENSITIVE:</w:t>
      </w:r>
    </w:p>
    <w:tbl>
      <w:tblPr>
        <w:tblStyle w:val="TableGrid"/>
        <w:tblW w:w="0" w:type="auto"/>
        <w:tblLook w:val="01E0" w:firstRow="1" w:lastRow="1" w:firstColumn="1" w:lastColumn="1" w:noHBand="0" w:noVBand="0"/>
      </w:tblPr>
      <w:tblGrid>
        <w:gridCol w:w="9019"/>
      </w:tblGrid>
      <w:tr w:rsidR="00F1450F" w:rsidRPr="00801F30" w14:paraId="572D4417" w14:textId="77777777" w:rsidTr="00F1450F">
        <w:trPr>
          <w:trHeight w:val="343"/>
        </w:trPr>
        <w:tc>
          <w:tcPr>
            <w:tcW w:w="10351" w:type="dxa"/>
            <w:shd w:val="clear" w:color="auto" w:fill="C0C0C0"/>
          </w:tcPr>
          <w:p w14:paraId="7BCBDEBF" w14:textId="77777777" w:rsidR="00F1450F" w:rsidRPr="00801F30" w:rsidRDefault="00F1450F" w:rsidP="00F1450F">
            <w:pPr>
              <w:pStyle w:val="BodyText"/>
              <w:jc w:val="center"/>
              <w:rPr>
                <w:rFonts w:cs="Arial"/>
                <w:color w:val="000000"/>
                <w:szCs w:val="22"/>
              </w:rPr>
            </w:pPr>
            <w:r w:rsidRPr="00801F30">
              <w:rPr>
                <w:rFonts w:cs="Arial"/>
                <w:szCs w:val="22"/>
              </w:rPr>
              <w:lastRenderedPageBreak/>
              <w:t>OFFICIAL-SENSITIVE SECURITY ASPECTS</w:t>
            </w:r>
          </w:p>
        </w:tc>
      </w:tr>
      <w:tr w:rsidR="00F1450F" w:rsidRPr="00801F30" w14:paraId="75EC457D" w14:textId="77777777" w:rsidTr="00F1450F">
        <w:tc>
          <w:tcPr>
            <w:tcW w:w="10351" w:type="dxa"/>
          </w:tcPr>
          <w:p w14:paraId="7E9A062F" w14:textId="77777777" w:rsidR="00F1450F" w:rsidRPr="000D579B" w:rsidRDefault="00F1450F" w:rsidP="00F1450F">
            <w:pPr>
              <w:pStyle w:val="Default"/>
              <w:spacing w:before="120" w:after="120"/>
              <w:rPr>
                <w:rFonts w:ascii="Arial" w:hAnsi="Arial" w:cs="Arial"/>
                <w:b/>
                <w:bCs/>
                <w:sz w:val="22"/>
                <w:szCs w:val="22"/>
              </w:rPr>
            </w:pPr>
            <w:r w:rsidRPr="000D579B">
              <w:rPr>
                <w:rFonts w:ascii="Arial" w:hAnsi="Arial" w:cs="Arial"/>
                <w:b/>
                <w:sz w:val="22"/>
                <w:szCs w:val="22"/>
              </w:rPr>
              <w:t>Documents provided by the Authority to support the requirement including, but not limited to, Defence Board papers</w:t>
            </w:r>
          </w:p>
        </w:tc>
      </w:tr>
      <w:tr w:rsidR="00F1450F" w:rsidRPr="00801F30" w14:paraId="286B1C9E" w14:textId="77777777" w:rsidTr="00F1450F">
        <w:tc>
          <w:tcPr>
            <w:tcW w:w="10351" w:type="dxa"/>
          </w:tcPr>
          <w:p w14:paraId="0432B58A" w14:textId="77777777" w:rsidR="00F1450F" w:rsidRPr="000D579B" w:rsidRDefault="00F1450F" w:rsidP="00F1450F">
            <w:pPr>
              <w:rPr>
                <w:rFonts w:cs="Arial"/>
                <w:b/>
                <w:szCs w:val="22"/>
              </w:rPr>
            </w:pPr>
            <w:r w:rsidRPr="000D579B">
              <w:rPr>
                <w:rFonts w:cs="Arial"/>
                <w:b/>
                <w:szCs w:val="22"/>
              </w:rPr>
              <w:t xml:space="preserve">Project documents generated in the course of the requirement including, but not limited to, progress reports, risk registers, assumptions, schedules; </w:t>
            </w:r>
          </w:p>
        </w:tc>
      </w:tr>
      <w:tr w:rsidR="00F1450F" w:rsidRPr="00801F30" w14:paraId="12E2CE1C" w14:textId="77777777" w:rsidTr="00F1450F">
        <w:tc>
          <w:tcPr>
            <w:tcW w:w="10351" w:type="dxa"/>
          </w:tcPr>
          <w:p w14:paraId="303596B1" w14:textId="77777777" w:rsidR="00F1450F" w:rsidRPr="000D579B" w:rsidRDefault="00F1450F" w:rsidP="00F1450F">
            <w:pPr>
              <w:pStyle w:val="Default"/>
              <w:spacing w:before="120" w:after="120"/>
              <w:rPr>
                <w:rFonts w:ascii="Arial" w:hAnsi="Arial" w:cs="Arial"/>
                <w:b/>
                <w:bCs/>
                <w:sz w:val="22"/>
                <w:szCs w:val="22"/>
              </w:rPr>
            </w:pPr>
            <w:r w:rsidRPr="000D579B">
              <w:rPr>
                <w:rFonts w:ascii="Arial" w:hAnsi="Arial" w:cs="Arial"/>
                <w:b/>
                <w:sz w:val="22"/>
                <w:szCs w:val="22"/>
              </w:rPr>
              <w:t>Records of meetings and workshops;</w:t>
            </w:r>
          </w:p>
        </w:tc>
      </w:tr>
      <w:tr w:rsidR="00F1450F" w:rsidRPr="00801F30" w14:paraId="69F50689" w14:textId="77777777" w:rsidTr="00F1450F">
        <w:tc>
          <w:tcPr>
            <w:tcW w:w="10351" w:type="dxa"/>
          </w:tcPr>
          <w:p w14:paraId="2209B86E" w14:textId="77777777" w:rsidR="00F1450F" w:rsidRPr="000D579B" w:rsidRDefault="00F1450F" w:rsidP="00F1450F">
            <w:pPr>
              <w:pStyle w:val="Default"/>
              <w:spacing w:before="120" w:after="120"/>
              <w:rPr>
                <w:rFonts w:ascii="Arial" w:hAnsi="Arial" w:cs="Arial"/>
                <w:b/>
                <w:bCs/>
                <w:sz w:val="22"/>
                <w:szCs w:val="22"/>
              </w:rPr>
            </w:pPr>
            <w:r w:rsidRPr="000D579B">
              <w:rPr>
                <w:rFonts w:ascii="Arial" w:hAnsi="Arial" w:cs="Arial"/>
                <w:b/>
                <w:sz w:val="22"/>
                <w:szCs w:val="22"/>
              </w:rPr>
              <w:t>Reports, papers and details of conclusions generated by the Study</w:t>
            </w:r>
          </w:p>
        </w:tc>
      </w:tr>
      <w:tr w:rsidR="00F1450F" w:rsidRPr="00801F30" w14:paraId="7EF81D1F" w14:textId="77777777" w:rsidTr="00F1450F">
        <w:tc>
          <w:tcPr>
            <w:tcW w:w="10351" w:type="dxa"/>
          </w:tcPr>
          <w:p w14:paraId="7808A6E8" w14:textId="77777777" w:rsidR="00F1450F" w:rsidRPr="000D579B" w:rsidRDefault="00F1450F" w:rsidP="00F1450F">
            <w:pPr>
              <w:pStyle w:val="Default"/>
              <w:spacing w:before="120" w:after="120"/>
              <w:rPr>
                <w:rFonts w:ascii="Arial" w:hAnsi="Arial" w:cs="Arial"/>
                <w:b/>
                <w:bCs/>
                <w:sz w:val="22"/>
                <w:szCs w:val="22"/>
              </w:rPr>
            </w:pPr>
            <w:r w:rsidRPr="000D579B">
              <w:rPr>
                <w:rFonts w:ascii="Arial" w:hAnsi="Arial" w:cs="Arial"/>
                <w:b/>
                <w:sz w:val="22"/>
                <w:szCs w:val="22"/>
              </w:rPr>
              <w:t>All contractual deliverables</w:t>
            </w:r>
          </w:p>
        </w:tc>
      </w:tr>
    </w:tbl>
    <w:p w14:paraId="0F821E6F" w14:textId="77777777" w:rsidR="00F1450F" w:rsidRPr="00801F30" w:rsidRDefault="00F1450F" w:rsidP="00F1450F">
      <w:pPr>
        <w:pStyle w:val="Default"/>
        <w:spacing w:before="120" w:after="120"/>
        <w:rPr>
          <w:rFonts w:ascii="Arial" w:hAnsi="Arial" w:cs="Arial"/>
          <w:b/>
          <w:bCs/>
          <w:sz w:val="22"/>
          <w:szCs w:val="22"/>
        </w:rPr>
      </w:pPr>
    </w:p>
    <w:p w14:paraId="0DD638A8" w14:textId="77777777" w:rsidR="00F1450F" w:rsidRPr="00801F30" w:rsidRDefault="00F1450F" w:rsidP="00F1450F">
      <w:pPr>
        <w:pStyle w:val="Default"/>
        <w:spacing w:before="120" w:after="120"/>
        <w:rPr>
          <w:rFonts w:ascii="Arial" w:hAnsi="Arial" w:cs="Arial"/>
          <w:b/>
          <w:bCs/>
          <w:sz w:val="22"/>
          <w:szCs w:val="22"/>
        </w:rPr>
      </w:pPr>
      <w:r w:rsidRPr="00801F30">
        <w:rPr>
          <w:rFonts w:ascii="Arial" w:hAnsi="Arial" w:cs="Arial"/>
          <w:b/>
          <w:bCs/>
          <w:sz w:val="22"/>
          <w:szCs w:val="22"/>
        </w:rPr>
        <w:t>2. Some OFFICIAL information associated with this contract is considered by the Authority to warrant additional assurance. For example, this might be due to aggregation of data or the holding of personnel details. These aspects are:</w:t>
      </w:r>
    </w:p>
    <w:p w14:paraId="6E483E93" w14:textId="77777777" w:rsidR="00F1450F" w:rsidRPr="00801F30" w:rsidRDefault="00F1450F" w:rsidP="00F1450F">
      <w:pPr>
        <w:pStyle w:val="Default"/>
        <w:spacing w:before="120" w:after="120"/>
        <w:rPr>
          <w:rFonts w:ascii="Arial" w:hAnsi="Arial" w:cs="Arial"/>
          <w:b/>
          <w:bCs/>
          <w:sz w:val="22"/>
          <w:szCs w:val="22"/>
        </w:rPr>
      </w:pPr>
    </w:p>
    <w:tbl>
      <w:tblPr>
        <w:tblStyle w:val="TableGrid"/>
        <w:tblW w:w="0" w:type="auto"/>
        <w:tblLook w:val="01E0" w:firstRow="1" w:lastRow="1" w:firstColumn="1" w:lastColumn="1" w:noHBand="0" w:noVBand="0"/>
      </w:tblPr>
      <w:tblGrid>
        <w:gridCol w:w="9019"/>
      </w:tblGrid>
      <w:tr w:rsidR="00F1450F" w:rsidRPr="00801F30" w14:paraId="55866629" w14:textId="77777777" w:rsidTr="00F1450F">
        <w:trPr>
          <w:trHeight w:val="343"/>
        </w:trPr>
        <w:tc>
          <w:tcPr>
            <w:tcW w:w="10351" w:type="dxa"/>
            <w:shd w:val="clear" w:color="auto" w:fill="C0C0C0"/>
          </w:tcPr>
          <w:p w14:paraId="64957A6C" w14:textId="77777777" w:rsidR="00F1450F" w:rsidRPr="00801F30" w:rsidRDefault="00F1450F" w:rsidP="00F1450F">
            <w:pPr>
              <w:pStyle w:val="Default"/>
              <w:spacing w:after="120"/>
              <w:jc w:val="center"/>
              <w:rPr>
                <w:rFonts w:ascii="Arial" w:hAnsi="Arial" w:cs="Arial"/>
                <w:sz w:val="22"/>
                <w:szCs w:val="22"/>
              </w:rPr>
            </w:pPr>
            <w:r w:rsidRPr="00801F30">
              <w:rPr>
                <w:rFonts w:ascii="Arial" w:hAnsi="Arial" w:cs="Arial"/>
                <w:sz w:val="22"/>
                <w:szCs w:val="22"/>
              </w:rPr>
              <w:t xml:space="preserve">REPORTABLE OFFICIAL SECURITY ASPECTS </w:t>
            </w:r>
          </w:p>
        </w:tc>
      </w:tr>
      <w:tr w:rsidR="00F1450F" w:rsidRPr="00801F30" w14:paraId="40714D9C" w14:textId="77777777" w:rsidTr="00F1450F">
        <w:tc>
          <w:tcPr>
            <w:tcW w:w="10351" w:type="dxa"/>
          </w:tcPr>
          <w:p w14:paraId="200A2670" w14:textId="77777777" w:rsidR="00F1450F" w:rsidRPr="00801F30" w:rsidRDefault="00F1450F" w:rsidP="00F1450F">
            <w:pPr>
              <w:pStyle w:val="Default"/>
              <w:spacing w:before="120" w:after="120"/>
              <w:rPr>
                <w:rFonts w:ascii="Arial" w:hAnsi="Arial" w:cs="Arial"/>
                <w:b/>
                <w:bCs/>
                <w:sz w:val="22"/>
                <w:szCs w:val="22"/>
              </w:rPr>
            </w:pPr>
            <w:r w:rsidRPr="00801F30">
              <w:rPr>
                <w:rFonts w:ascii="Arial" w:hAnsi="Arial" w:cs="Arial"/>
                <w:b/>
                <w:bCs/>
                <w:sz w:val="22"/>
                <w:szCs w:val="22"/>
              </w:rPr>
              <w:t>None applicable</w:t>
            </w:r>
          </w:p>
        </w:tc>
      </w:tr>
      <w:tr w:rsidR="00F1450F" w:rsidRPr="00801F30" w14:paraId="0A85D0D3" w14:textId="77777777" w:rsidTr="00F1450F">
        <w:tc>
          <w:tcPr>
            <w:tcW w:w="10351" w:type="dxa"/>
          </w:tcPr>
          <w:p w14:paraId="55BB38FB" w14:textId="77777777" w:rsidR="00F1450F" w:rsidRPr="00801F30" w:rsidRDefault="00F1450F" w:rsidP="00F1450F">
            <w:pPr>
              <w:pStyle w:val="Default"/>
              <w:spacing w:before="120" w:after="120"/>
              <w:rPr>
                <w:rFonts w:ascii="Arial" w:hAnsi="Arial" w:cs="Arial"/>
                <w:b/>
                <w:bCs/>
                <w:sz w:val="22"/>
                <w:szCs w:val="22"/>
              </w:rPr>
            </w:pPr>
          </w:p>
        </w:tc>
      </w:tr>
    </w:tbl>
    <w:p w14:paraId="4AA8E7BF" w14:textId="77777777" w:rsidR="00F1450F" w:rsidRPr="00801F30" w:rsidRDefault="00F1450F" w:rsidP="00F1450F">
      <w:pPr>
        <w:pStyle w:val="Default"/>
        <w:spacing w:before="120" w:after="120"/>
        <w:rPr>
          <w:rFonts w:ascii="Arial" w:hAnsi="Arial" w:cs="Arial"/>
          <w:b/>
          <w:bCs/>
          <w:sz w:val="22"/>
          <w:szCs w:val="22"/>
        </w:rPr>
      </w:pPr>
    </w:p>
    <w:p w14:paraId="4CCF73F6"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3. If any information relating to the above defined OFFICIAL-SENSITIVE or Reportable OFFICIAL aspects is lost by the contractor the details of the loss shall be reported in accordance with paragraphs 24 &amp; 25 of the Security Condition referred to below. </w:t>
      </w:r>
    </w:p>
    <w:p w14:paraId="4DA07B95"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4. Information about this contract must not without the approval of the Authority be published or communicated to anyone except where necessary for the execution of the contract. </w:t>
      </w:r>
    </w:p>
    <w:p w14:paraId="20B1ED74"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5. Your attention is drawn to the requirements of the “Security Conditions” and the provisions of the Official Secrets Acts 1911-1989 in general, and to the provisions of Section 2 of the Official Secrets Act 1911 (as amended by the Act of 1989). In particular you should take all reasonable steps to make sure that all individuals employed on any work in connection with the contract have notice of the above specified aspects and that the aforementioned statutory provisions apply to them and will continue so to apply after the completion or earlier determination of the contract. </w:t>
      </w:r>
    </w:p>
    <w:p w14:paraId="64EF4B50"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6. Any access to information on MoD premises that may be needed will be in accordance with MoD security regulations under the direction of the MoD Project Officer. </w:t>
      </w:r>
    </w:p>
    <w:p w14:paraId="4B29238A"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7. The enclosed Security Condition (Appendix to this SAL) outlines the principal measures required to safeguard Reportable OFFICIAL and OFFICIAL-SENSITIVE information is provided to enable you to provide the required degree of protection. </w:t>
      </w:r>
    </w:p>
    <w:p w14:paraId="0445390E"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8. Will you please confirm that the requirements of this Security Aspects Letter and the UK Security Conditions are understood and will be complied </w:t>
      </w:r>
      <w:proofErr w:type="gramStart"/>
      <w:r w:rsidRPr="00801F30">
        <w:rPr>
          <w:rFonts w:cs="Arial"/>
          <w:b/>
          <w:bCs/>
          <w:color w:val="000000"/>
          <w:szCs w:val="22"/>
        </w:rPr>
        <w:t>with.</w:t>
      </w:r>
      <w:proofErr w:type="gramEnd"/>
      <w:r w:rsidRPr="00801F30">
        <w:rPr>
          <w:rFonts w:cs="Arial"/>
          <w:b/>
          <w:bCs/>
          <w:color w:val="000000"/>
          <w:szCs w:val="22"/>
        </w:rPr>
        <w:t xml:space="preserve"> </w:t>
      </w:r>
    </w:p>
    <w:p w14:paraId="6EAA9258" w14:textId="77777777" w:rsidR="00F1450F" w:rsidRPr="00801F30" w:rsidRDefault="00F1450F" w:rsidP="00F1450F">
      <w:pPr>
        <w:spacing w:after="120"/>
        <w:rPr>
          <w:rFonts w:cs="Arial"/>
          <w:b/>
          <w:bCs/>
          <w:color w:val="000000"/>
          <w:szCs w:val="22"/>
        </w:rPr>
      </w:pPr>
    </w:p>
    <w:p w14:paraId="20BD2605" w14:textId="77777777" w:rsidR="00F1450F" w:rsidRPr="00801F30" w:rsidRDefault="00F1450F" w:rsidP="00F1450F">
      <w:pPr>
        <w:spacing w:after="120"/>
        <w:rPr>
          <w:rFonts w:cs="Arial"/>
          <w:b/>
          <w:bCs/>
          <w:color w:val="000000"/>
          <w:szCs w:val="22"/>
        </w:rPr>
      </w:pPr>
    </w:p>
    <w:p w14:paraId="13683E99" w14:textId="77777777" w:rsidR="00F1450F" w:rsidRPr="00801F30" w:rsidRDefault="00F1450F" w:rsidP="00F1450F">
      <w:pPr>
        <w:spacing w:after="120"/>
        <w:rPr>
          <w:rFonts w:cs="Arial"/>
          <w:b/>
          <w:bCs/>
          <w:color w:val="000000"/>
          <w:szCs w:val="22"/>
        </w:rPr>
      </w:pPr>
    </w:p>
    <w:p w14:paraId="21363093" w14:textId="77777777" w:rsidR="00F1450F" w:rsidRPr="00801F30" w:rsidRDefault="00F1450F" w:rsidP="00F1450F">
      <w:pPr>
        <w:spacing w:after="120"/>
        <w:rPr>
          <w:rFonts w:cs="Arial"/>
          <w:b/>
          <w:bCs/>
          <w:color w:val="000000"/>
          <w:szCs w:val="22"/>
        </w:rPr>
      </w:pPr>
      <w:r w:rsidRPr="00801F30">
        <w:rPr>
          <w:rFonts w:cs="Arial"/>
          <w:b/>
          <w:bCs/>
          <w:color w:val="000000"/>
          <w:szCs w:val="22"/>
        </w:rPr>
        <w:t xml:space="preserve">Yours faithfully, </w:t>
      </w:r>
    </w:p>
    <w:p w14:paraId="36F24BB3" w14:textId="77777777" w:rsidR="00F1450F" w:rsidRPr="00801F30" w:rsidRDefault="00F1450F" w:rsidP="00F1450F">
      <w:pPr>
        <w:spacing w:after="120"/>
        <w:rPr>
          <w:rFonts w:cs="Arial"/>
          <w:b/>
          <w:bCs/>
          <w:color w:val="000000"/>
          <w:szCs w:val="22"/>
        </w:rPr>
      </w:pPr>
    </w:p>
    <w:p w14:paraId="084ED2C5"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Copy via DII email to: </w:t>
      </w:r>
    </w:p>
    <w:p w14:paraId="52F880A5" w14:textId="7A356F43" w:rsidR="00F1450F" w:rsidRPr="00801F30" w:rsidRDefault="00E0319D" w:rsidP="00F1450F">
      <w:pPr>
        <w:spacing w:after="120"/>
        <w:rPr>
          <w:rFonts w:cs="Arial"/>
          <w:color w:val="000000"/>
          <w:szCs w:val="22"/>
        </w:rPr>
      </w:pPr>
      <w:r>
        <w:rPr>
          <w:rFonts w:cs="Arial"/>
          <w:b/>
          <w:bCs/>
          <w:color w:val="000000"/>
          <w:szCs w:val="22"/>
        </w:rPr>
        <w:t>Redacted</w:t>
      </w:r>
    </w:p>
    <w:p w14:paraId="226C12CF" w14:textId="77777777" w:rsidR="00F1450F" w:rsidRPr="00801F30" w:rsidRDefault="00F1450F" w:rsidP="00F1450F">
      <w:pPr>
        <w:pStyle w:val="Default"/>
        <w:spacing w:before="120" w:after="120"/>
        <w:rPr>
          <w:rFonts w:ascii="Arial" w:hAnsi="Arial" w:cs="Arial"/>
          <w:b/>
          <w:bCs/>
          <w:sz w:val="22"/>
          <w:szCs w:val="22"/>
        </w:rPr>
      </w:pPr>
      <w:r w:rsidRPr="00801F30">
        <w:rPr>
          <w:rFonts w:ascii="Arial" w:hAnsi="Arial" w:cs="Arial"/>
          <w:b/>
          <w:bCs/>
          <w:sz w:val="22"/>
          <w:szCs w:val="22"/>
        </w:rPr>
        <w:t>(CLASSIFIED AS APPROPRIATE BUT NOT HIGHER THAN OFFICIAL-SENSITIVE)</w:t>
      </w:r>
    </w:p>
    <w:p w14:paraId="271A5303" w14:textId="77777777" w:rsidR="00F1450F" w:rsidRPr="00801F30" w:rsidRDefault="00F1450F" w:rsidP="00F1450F">
      <w:pPr>
        <w:pStyle w:val="Default"/>
        <w:spacing w:before="120" w:after="120"/>
        <w:rPr>
          <w:rFonts w:ascii="Arial" w:hAnsi="Arial" w:cs="Arial"/>
          <w:b/>
          <w:bCs/>
          <w:sz w:val="22"/>
          <w:szCs w:val="22"/>
        </w:rPr>
      </w:pPr>
    </w:p>
    <w:p w14:paraId="37EF5C54" w14:textId="77777777" w:rsidR="00F1450F" w:rsidRPr="00801F30" w:rsidRDefault="00F1450F" w:rsidP="00F1450F">
      <w:pPr>
        <w:pStyle w:val="Default"/>
        <w:spacing w:before="120" w:after="120"/>
        <w:rPr>
          <w:rFonts w:ascii="Arial" w:hAnsi="Arial" w:cs="Arial"/>
          <w:b/>
          <w:bCs/>
          <w:sz w:val="22"/>
          <w:szCs w:val="22"/>
        </w:rPr>
      </w:pPr>
      <w:r w:rsidRPr="00801F30">
        <w:rPr>
          <w:rFonts w:ascii="Arial" w:hAnsi="Arial" w:cs="Arial"/>
          <w:b/>
          <w:bCs/>
          <w:sz w:val="22"/>
          <w:szCs w:val="22"/>
        </w:rPr>
        <w:t>Appendix to Security Aspects Letter</w:t>
      </w:r>
    </w:p>
    <w:p w14:paraId="74B5CBDE" w14:textId="77777777" w:rsidR="00F1450F" w:rsidRPr="00801F30" w:rsidRDefault="00F1450F" w:rsidP="00F1450F">
      <w:pPr>
        <w:pStyle w:val="Default"/>
        <w:spacing w:before="120" w:after="120"/>
        <w:rPr>
          <w:rFonts w:ascii="Arial" w:hAnsi="Arial" w:cs="Arial"/>
          <w:b/>
          <w:bCs/>
          <w:sz w:val="22"/>
          <w:szCs w:val="22"/>
          <w:u w:val="single"/>
        </w:rPr>
      </w:pPr>
      <w:r w:rsidRPr="00801F30">
        <w:rPr>
          <w:rFonts w:ascii="Arial" w:hAnsi="Arial" w:cs="Arial"/>
          <w:b/>
          <w:bCs/>
          <w:sz w:val="22"/>
          <w:szCs w:val="22"/>
          <w:u w:val="single"/>
        </w:rPr>
        <w:t xml:space="preserve">Reportable OFFICIAL and OFFICIAL- SENSITIVE Security Condition for UK Contracts </w:t>
      </w:r>
    </w:p>
    <w:p w14:paraId="7D5AFD2E" w14:textId="77777777" w:rsidR="00F1450F" w:rsidRPr="00801F30" w:rsidRDefault="00F1450F" w:rsidP="00F1450F">
      <w:pPr>
        <w:spacing w:after="120"/>
        <w:rPr>
          <w:rFonts w:cs="Arial"/>
          <w:b/>
          <w:bCs/>
          <w:color w:val="000000"/>
          <w:szCs w:val="22"/>
        </w:rPr>
      </w:pPr>
    </w:p>
    <w:p w14:paraId="26AFBF87" w14:textId="77777777" w:rsidR="00F1450F" w:rsidRPr="00801F30" w:rsidRDefault="00F1450F" w:rsidP="00F1450F">
      <w:pPr>
        <w:spacing w:after="120"/>
        <w:rPr>
          <w:rFonts w:cs="Arial"/>
          <w:color w:val="000000"/>
          <w:szCs w:val="22"/>
        </w:rPr>
      </w:pPr>
      <w:r w:rsidRPr="00801F30">
        <w:rPr>
          <w:rFonts w:cs="Arial"/>
          <w:b/>
          <w:bCs/>
          <w:color w:val="000000"/>
          <w:szCs w:val="22"/>
        </w:rPr>
        <w:t xml:space="preserve">Definitions </w:t>
      </w:r>
    </w:p>
    <w:p w14:paraId="3F537496" w14:textId="77777777" w:rsidR="00F1450F" w:rsidRPr="00801F30" w:rsidRDefault="00F1450F" w:rsidP="00F1450F">
      <w:pPr>
        <w:rPr>
          <w:rFonts w:cs="Arial"/>
          <w:b/>
          <w:color w:val="000000"/>
          <w:szCs w:val="22"/>
        </w:rPr>
      </w:pPr>
      <w:r w:rsidRPr="00801F30">
        <w:rPr>
          <w:rFonts w:cs="Arial"/>
          <w:b/>
          <w:bCs/>
          <w:color w:val="000000"/>
          <w:szCs w:val="22"/>
        </w:rPr>
        <w:t xml:space="preserve">1. The term "Authority" means a Ministry of Defence (MOD) official acting on behalf of the Secretary of State for Defence. </w:t>
      </w:r>
    </w:p>
    <w:p w14:paraId="7FAC7076" w14:textId="77777777" w:rsidR="00F1450F" w:rsidRPr="00801F30" w:rsidRDefault="00F1450F" w:rsidP="00F1450F">
      <w:pPr>
        <w:rPr>
          <w:rFonts w:cs="Arial"/>
          <w:b/>
          <w:color w:val="000000"/>
          <w:szCs w:val="22"/>
        </w:rPr>
      </w:pPr>
    </w:p>
    <w:p w14:paraId="15635422" w14:textId="77777777" w:rsidR="00F1450F" w:rsidRPr="00801F30" w:rsidRDefault="00F1450F" w:rsidP="00F1450F">
      <w:pPr>
        <w:spacing w:after="120"/>
        <w:rPr>
          <w:rFonts w:cs="Arial"/>
          <w:b/>
          <w:color w:val="000000"/>
          <w:szCs w:val="22"/>
        </w:rPr>
      </w:pPr>
      <w:r w:rsidRPr="00801F30">
        <w:rPr>
          <w:rFonts w:cs="Arial"/>
          <w:b/>
          <w:bCs/>
          <w:color w:val="000000"/>
          <w:szCs w:val="22"/>
        </w:rPr>
        <w:t xml:space="preserve">Security Grading </w:t>
      </w:r>
    </w:p>
    <w:p w14:paraId="1E9F5A2B" w14:textId="77777777" w:rsidR="00F1450F" w:rsidRPr="00801F30" w:rsidRDefault="00F1450F" w:rsidP="00F1450F">
      <w:pPr>
        <w:rPr>
          <w:rFonts w:cs="Arial"/>
          <w:b/>
          <w:color w:val="000000"/>
          <w:szCs w:val="22"/>
        </w:rPr>
      </w:pPr>
      <w:r w:rsidRPr="00801F30">
        <w:rPr>
          <w:rFonts w:cs="Arial"/>
          <w:b/>
          <w:color w:val="000000"/>
          <w:szCs w:val="22"/>
        </w:rPr>
        <w:t xml:space="preserve">2. </w:t>
      </w:r>
      <w:r w:rsidRPr="00801F30">
        <w:rPr>
          <w:rFonts w:cs="Arial"/>
          <w:b/>
          <w:bCs/>
          <w:color w:val="000000"/>
          <w:szCs w:val="22"/>
        </w:rPr>
        <w:t xml:space="preserve">The Authority shall issue a Security Aspects Letter which shall define the OFFICIAL- SENSITIVE and Reportable OFFICIAL information that is furnished to the Contractor, or which is to be developed by it, under this Contract. The Contractor shall mark all OFFICIAL-SENSITIVE documents which it originates or copies during the Contract clearly with the OFFICIAL-SENSITIVE classification. However, the Contractor is not required to mark information/material related to the contract which is only OFFICIAL. </w:t>
      </w:r>
    </w:p>
    <w:p w14:paraId="6252F7D7" w14:textId="77777777" w:rsidR="00F1450F" w:rsidRPr="00801F30" w:rsidRDefault="00F1450F" w:rsidP="00F1450F">
      <w:pPr>
        <w:rPr>
          <w:rFonts w:cs="Arial"/>
          <w:b/>
          <w:color w:val="000000"/>
          <w:szCs w:val="22"/>
        </w:rPr>
      </w:pPr>
    </w:p>
    <w:p w14:paraId="23FAD33E" w14:textId="77777777" w:rsidR="00F1450F" w:rsidRPr="00801F30" w:rsidRDefault="00F1450F" w:rsidP="00F1450F">
      <w:pPr>
        <w:spacing w:after="120"/>
        <w:rPr>
          <w:rFonts w:cs="Arial"/>
          <w:b/>
          <w:color w:val="000000"/>
          <w:szCs w:val="22"/>
        </w:rPr>
      </w:pPr>
      <w:r w:rsidRPr="00801F30">
        <w:rPr>
          <w:rFonts w:cs="Arial"/>
          <w:b/>
          <w:bCs/>
          <w:color w:val="000000"/>
          <w:szCs w:val="22"/>
        </w:rPr>
        <w:t xml:space="preserve">Official Secrets Acts </w:t>
      </w:r>
    </w:p>
    <w:p w14:paraId="6886A6B8" w14:textId="77777777" w:rsidR="00F1450F" w:rsidRPr="00801F30" w:rsidRDefault="00F1450F" w:rsidP="00F1450F">
      <w:pPr>
        <w:spacing w:after="120"/>
        <w:rPr>
          <w:rFonts w:cs="Arial"/>
          <w:b/>
          <w:bCs/>
          <w:color w:val="000000"/>
          <w:szCs w:val="22"/>
        </w:rPr>
      </w:pPr>
      <w:r w:rsidRPr="00801F30">
        <w:rPr>
          <w:rFonts w:cs="Arial"/>
          <w:b/>
          <w:color w:val="000000"/>
          <w:szCs w:val="22"/>
        </w:rPr>
        <w:t xml:space="preserve">3. </w:t>
      </w:r>
      <w:r w:rsidRPr="00801F30">
        <w:rPr>
          <w:rFonts w:cs="Arial"/>
          <w:b/>
          <w:bCs/>
          <w:color w:val="000000"/>
          <w:szCs w:val="22"/>
        </w:rPr>
        <w:t xml:space="preserve">The Contractor's attention is drawn to the provisions of the Official Secrets Acts 1911-1989 in general, and to the provisions of Section 2 of the Official Secrets Act 1911 (as amended by the Act of 1989) in particular. The Contractor shall take all reasonable steps to make sure that all individuals employed on any work in connection with the Contract (including sub-contractors) have notice that these statutory provisions, or any others provided by the Authority, apply to them and shall continue so to apply after the completion or earlier termination of the Contract. </w:t>
      </w:r>
    </w:p>
    <w:p w14:paraId="10B6DFB3" w14:textId="77777777" w:rsidR="00F1450F" w:rsidRPr="00801F30" w:rsidRDefault="00F1450F" w:rsidP="00F1450F">
      <w:pPr>
        <w:spacing w:after="120"/>
        <w:rPr>
          <w:rFonts w:cs="Arial"/>
          <w:b/>
          <w:bCs/>
          <w:color w:val="000000"/>
          <w:szCs w:val="22"/>
        </w:rPr>
      </w:pPr>
    </w:p>
    <w:p w14:paraId="52B09D5C" w14:textId="77777777" w:rsidR="00F1450F" w:rsidRPr="00801F30" w:rsidRDefault="00F1450F" w:rsidP="00F1450F">
      <w:pPr>
        <w:spacing w:after="120"/>
        <w:rPr>
          <w:rFonts w:cs="Arial"/>
          <w:b/>
          <w:bCs/>
          <w:color w:val="000000"/>
          <w:szCs w:val="22"/>
        </w:rPr>
      </w:pPr>
      <w:r w:rsidRPr="00801F30">
        <w:rPr>
          <w:rFonts w:cs="Arial"/>
          <w:b/>
          <w:bCs/>
          <w:color w:val="000000"/>
          <w:szCs w:val="22"/>
        </w:rPr>
        <w:t xml:space="preserve">Protection of Reportable OFFICIAL and OFFICIAL- SENSITIVE Information </w:t>
      </w:r>
    </w:p>
    <w:p w14:paraId="5C91A943" w14:textId="77777777" w:rsidR="00F1450F" w:rsidRPr="00801F30" w:rsidRDefault="00F1450F" w:rsidP="00F1450F">
      <w:pPr>
        <w:rPr>
          <w:rFonts w:cs="Arial"/>
          <w:color w:val="000000"/>
          <w:szCs w:val="22"/>
        </w:rPr>
      </w:pPr>
      <w:r w:rsidRPr="00801F30">
        <w:rPr>
          <w:rFonts w:cs="Arial"/>
          <w:b/>
          <w:bCs/>
          <w:color w:val="000000"/>
          <w:szCs w:val="22"/>
        </w:rPr>
        <w:t xml:space="preserve">4. The Contractor shall protect Reportable OFFICIAL and OFFICIAL-SENSITIVE information provided to it or generated by it in accordance with the requirements detailed in this Security Condition and any other conditions that may be specified by the Authority. The Contractor shall take all reasonable steps to prevent the loss or compromise of the information or from deliberate or opportunist attack. </w:t>
      </w:r>
    </w:p>
    <w:p w14:paraId="5B175D2F" w14:textId="77777777" w:rsidR="00F1450F" w:rsidRPr="00801F30" w:rsidRDefault="00F1450F" w:rsidP="00F1450F">
      <w:pPr>
        <w:rPr>
          <w:rFonts w:cs="Arial"/>
          <w:color w:val="000000"/>
          <w:szCs w:val="22"/>
        </w:rPr>
      </w:pPr>
      <w:r w:rsidRPr="00801F30">
        <w:rPr>
          <w:rFonts w:cs="Arial"/>
          <w:b/>
          <w:bCs/>
          <w:color w:val="000000"/>
          <w:szCs w:val="22"/>
        </w:rPr>
        <w:t xml:space="preserve">5. Reportable OFFICIAL and OFFICIAL-SENSITIVE information shall be protected in a manner to avoid unauthorised access. The Contractor shall take all reasonable steps to prevent the loss or compromise of the information or from deliberate or opportunist attack. </w:t>
      </w:r>
    </w:p>
    <w:p w14:paraId="2A5EB8DB" w14:textId="77777777" w:rsidR="00F1450F" w:rsidRPr="00801F30" w:rsidRDefault="00F1450F" w:rsidP="00F1450F">
      <w:pPr>
        <w:rPr>
          <w:rFonts w:cs="Arial"/>
          <w:color w:val="000000"/>
          <w:szCs w:val="22"/>
        </w:rPr>
      </w:pPr>
      <w:r w:rsidRPr="00801F30">
        <w:rPr>
          <w:rFonts w:cs="Arial"/>
          <w:b/>
          <w:bCs/>
          <w:color w:val="000000"/>
          <w:szCs w:val="22"/>
        </w:rPr>
        <w:lastRenderedPageBreak/>
        <w:t xml:space="preserve">6. All OFFICIAL-SENSITIVE material including documents, media and other material shall be physically secured to prevent unauthorised access. When not in use OFFICIAL-SENSITIVE documents/material shall be stored under lock and key. As a minimum, when not in use, OFFICIAL-SENSITIVE material shall be stored in a lockable room, cabinets, drawers or safe and the keys/combinations are themselves to be subject to a level of physical security and control. </w:t>
      </w:r>
    </w:p>
    <w:p w14:paraId="0EE668CD" w14:textId="77777777" w:rsidR="00F1450F" w:rsidRPr="00801F30" w:rsidRDefault="00F1450F" w:rsidP="00F1450F">
      <w:pPr>
        <w:rPr>
          <w:rFonts w:cs="Arial"/>
          <w:color w:val="000000"/>
          <w:szCs w:val="22"/>
        </w:rPr>
      </w:pPr>
      <w:r w:rsidRPr="00801F30">
        <w:rPr>
          <w:rFonts w:cs="Arial"/>
          <w:b/>
          <w:bCs/>
          <w:color w:val="000000"/>
          <w:szCs w:val="22"/>
        </w:rPr>
        <w:t xml:space="preserve">7. Disclosure of OFFICIAL-SENSITIVE information shall be strictly in accordance with the "need to know" principle. Except with the written consent of the Authority, the Contractor shall not disclose any of the classified aspects of the Contract detailed in the Security Aspects Letter other than to a person directly employed by the Contractor or sub-Contractor, or Service Provider. </w:t>
      </w:r>
    </w:p>
    <w:p w14:paraId="384F3FA3" w14:textId="77777777" w:rsidR="00F1450F" w:rsidRPr="00801F30" w:rsidRDefault="00F1450F" w:rsidP="00F1450F">
      <w:pPr>
        <w:rPr>
          <w:rFonts w:cs="Arial"/>
          <w:color w:val="000000"/>
          <w:szCs w:val="22"/>
        </w:rPr>
      </w:pPr>
      <w:r w:rsidRPr="00801F30">
        <w:rPr>
          <w:rFonts w:cs="Arial"/>
          <w:b/>
          <w:bCs/>
          <w:color w:val="000000"/>
          <w:szCs w:val="22"/>
        </w:rPr>
        <w:t xml:space="preserve">8. Any samples, patterns, specifications, plans, drawings or any other documents issued by or on behalf of the Authority for the purposes of the Contract remain the property of the Authority and shall be returned on completion of the Contract or, if directed by the Authority, destroyed in accordance with paragraph 31. </w:t>
      </w:r>
    </w:p>
    <w:p w14:paraId="53492EC6" w14:textId="77777777" w:rsidR="00F1450F" w:rsidRPr="00801F30" w:rsidRDefault="00F1450F" w:rsidP="00F1450F">
      <w:pPr>
        <w:pStyle w:val="Default"/>
        <w:rPr>
          <w:rFonts w:ascii="Arial" w:hAnsi="Arial" w:cs="Arial"/>
          <w:sz w:val="22"/>
          <w:szCs w:val="22"/>
        </w:rPr>
      </w:pPr>
    </w:p>
    <w:p w14:paraId="3994449C" w14:textId="77777777" w:rsidR="00F1450F" w:rsidRPr="00801F30" w:rsidRDefault="00F1450F" w:rsidP="00F1450F">
      <w:pPr>
        <w:pStyle w:val="Default"/>
        <w:rPr>
          <w:rFonts w:ascii="Arial" w:hAnsi="Arial" w:cs="Arial"/>
          <w:color w:val="auto"/>
          <w:sz w:val="22"/>
          <w:szCs w:val="22"/>
        </w:rPr>
      </w:pPr>
    </w:p>
    <w:p w14:paraId="0818F6FB" w14:textId="77777777" w:rsidR="00F1450F" w:rsidRPr="00801F30" w:rsidRDefault="00F1450F" w:rsidP="00F1450F">
      <w:pPr>
        <w:pStyle w:val="Default"/>
        <w:spacing w:after="120"/>
        <w:jc w:val="both"/>
        <w:rPr>
          <w:rFonts w:ascii="Arial" w:hAnsi="Arial" w:cs="Arial"/>
          <w:b/>
          <w:bCs/>
          <w:color w:val="auto"/>
          <w:sz w:val="22"/>
          <w:szCs w:val="22"/>
        </w:rPr>
      </w:pPr>
      <w:r w:rsidRPr="00801F30">
        <w:rPr>
          <w:rFonts w:ascii="Arial" w:hAnsi="Arial" w:cs="Arial"/>
          <w:b/>
          <w:bCs/>
          <w:color w:val="auto"/>
          <w:sz w:val="22"/>
          <w:szCs w:val="22"/>
        </w:rPr>
        <w:t xml:space="preserve">Access </w:t>
      </w:r>
    </w:p>
    <w:p w14:paraId="40C7BAA6" w14:textId="77777777" w:rsidR="00F1450F" w:rsidRPr="00801F30" w:rsidRDefault="00F1450F" w:rsidP="00F1450F">
      <w:pPr>
        <w:pStyle w:val="Default"/>
        <w:spacing w:after="120"/>
        <w:jc w:val="both"/>
        <w:rPr>
          <w:rFonts w:ascii="Arial" w:hAnsi="Arial" w:cs="Arial"/>
          <w:b/>
          <w:bCs/>
          <w:color w:val="auto"/>
          <w:sz w:val="22"/>
          <w:szCs w:val="22"/>
        </w:rPr>
      </w:pPr>
    </w:p>
    <w:p w14:paraId="49504660" w14:textId="77777777" w:rsidR="00F1450F" w:rsidRPr="00801F30" w:rsidRDefault="00F1450F" w:rsidP="00F1450F">
      <w:pPr>
        <w:rPr>
          <w:rFonts w:cs="Arial"/>
          <w:b/>
          <w:szCs w:val="22"/>
        </w:rPr>
      </w:pPr>
      <w:r w:rsidRPr="00801F30">
        <w:rPr>
          <w:rFonts w:cs="Arial"/>
          <w:b/>
          <w:szCs w:val="22"/>
        </w:rPr>
        <w:t xml:space="preserve">9. Access to Reportable OFFICIAL and OFFICIAL-SENSITIVE information shall be confined to those individuals who have a “need-to-know”, have been made aware of the requirement to protect the information and whose access is essential for the purpose of his or her duties. </w:t>
      </w:r>
    </w:p>
    <w:p w14:paraId="27A8A313" w14:textId="77777777" w:rsidR="00F1450F" w:rsidRPr="00801F30" w:rsidRDefault="00F1450F" w:rsidP="00F1450F">
      <w:pPr>
        <w:rPr>
          <w:rFonts w:cs="Arial"/>
          <w:szCs w:val="22"/>
        </w:rPr>
      </w:pPr>
      <w:r w:rsidRPr="00801F30">
        <w:rPr>
          <w:rFonts w:cs="Arial"/>
          <w:b/>
          <w:bCs/>
          <w:szCs w:val="22"/>
        </w:rPr>
        <w:t xml:space="preserve">10. </w:t>
      </w:r>
      <w:r w:rsidRPr="00801F30">
        <w:rPr>
          <w:rFonts w:cs="Arial"/>
          <w:b/>
          <w:szCs w:val="22"/>
        </w:rPr>
        <w:t>The Contractor shall ensure that all individuals having access to OFFICIAL-SENSITIVE information have undergone basic recruitment checks. Contractors shall apply the requirements of HMG Baseline Personnel Security Standard (BPSS) for all individuals having access to OFFICIAL-SENSITIVE information. Further details and the full requirements of the BPSS can be found at the Gov.UK website at: https://www.gov.uk/government/publications/government-baseline-personnel-security-standard</w:t>
      </w:r>
      <w:r w:rsidRPr="00801F30">
        <w:rPr>
          <w:rFonts w:cs="Arial"/>
          <w:b/>
          <w:bCs/>
          <w:szCs w:val="22"/>
        </w:rPr>
        <w:t xml:space="preserve"> </w:t>
      </w:r>
    </w:p>
    <w:p w14:paraId="0B84CD59" w14:textId="77777777" w:rsidR="00F1450F" w:rsidRPr="00801F30" w:rsidRDefault="00F1450F" w:rsidP="00F1450F">
      <w:pPr>
        <w:pStyle w:val="Default"/>
        <w:rPr>
          <w:rFonts w:ascii="Arial" w:hAnsi="Arial" w:cs="Arial"/>
          <w:color w:val="auto"/>
          <w:sz w:val="22"/>
          <w:szCs w:val="22"/>
        </w:rPr>
      </w:pPr>
    </w:p>
    <w:p w14:paraId="00C680B7" w14:textId="77777777" w:rsidR="00F1450F" w:rsidRPr="00801F30" w:rsidRDefault="00F1450F" w:rsidP="00F1450F">
      <w:pPr>
        <w:pStyle w:val="Default"/>
        <w:spacing w:after="120"/>
        <w:jc w:val="both"/>
        <w:rPr>
          <w:rFonts w:ascii="Arial" w:hAnsi="Arial" w:cs="Arial"/>
          <w:b/>
          <w:bCs/>
          <w:color w:val="auto"/>
          <w:sz w:val="22"/>
          <w:szCs w:val="22"/>
        </w:rPr>
      </w:pPr>
    </w:p>
    <w:p w14:paraId="5A44947E" w14:textId="77777777" w:rsidR="00F1450F" w:rsidRPr="00801F30" w:rsidRDefault="00F1450F" w:rsidP="00F1450F">
      <w:pPr>
        <w:rPr>
          <w:rFonts w:cs="Arial"/>
          <w:b/>
          <w:szCs w:val="22"/>
        </w:rPr>
      </w:pPr>
      <w:r w:rsidRPr="00801F30">
        <w:rPr>
          <w:rFonts w:cs="Arial"/>
          <w:b/>
          <w:szCs w:val="22"/>
        </w:rPr>
        <w:t xml:space="preserve">Hard Copy Distribution of Information </w:t>
      </w:r>
    </w:p>
    <w:p w14:paraId="14017F77" w14:textId="77777777" w:rsidR="00F1450F" w:rsidRPr="00801F30" w:rsidRDefault="00F1450F" w:rsidP="00F1450F">
      <w:pPr>
        <w:rPr>
          <w:rFonts w:cs="Arial"/>
          <w:b/>
          <w:szCs w:val="22"/>
        </w:rPr>
      </w:pPr>
    </w:p>
    <w:p w14:paraId="1883C76F" w14:textId="77777777" w:rsidR="00F1450F" w:rsidRPr="00801F30" w:rsidRDefault="00F1450F" w:rsidP="00F1450F">
      <w:pPr>
        <w:rPr>
          <w:rFonts w:cs="Arial"/>
          <w:b/>
          <w:szCs w:val="22"/>
        </w:rPr>
      </w:pPr>
      <w:r w:rsidRPr="00801F30">
        <w:rPr>
          <w:rFonts w:cs="Arial"/>
          <w:b/>
          <w:szCs w:val="22"/>
        </w:rPr>
        <w:t xml:space="preserve">11. Reportable OFFICIAL and OFFICIAL-SENSITIVE documents shall be distributed, both within and outside company premises in such a way as to make sure that no unauthorised person has access. It may be sent by ordinary post or Commercial Couriers in a single envelope. The words Reportable OFFICIAL or OFFICIAL-SENSITIVE shall </w:t>
      </w:r>
      <w:r w:rsidRPr="00801F30">
        <w:rPr>
          <w:rFonts w:cs="Arial"/>
          <w:b/>
          <w:szCs w:val="22"/>
          <w:u w:val="single"/>
        </w:rPr>
        <w:t xml:space="preserve">not </w:t>
      </w:r>
      <w:r w:rsidRPr="00801F30">
        <w:rPr>
          <w:rFonts w:cs="Arial"/>
          <w:b/>
          <w:szCs w:val="22"/>
        </w:rPr>
        <w:t xml:space="preserve">appear on the envelope. The envelope should bear a stamp or details that clearly indicates the full address of the office from which it was sent. </w:t>
      </w:r>
    </w:p>
    <w:p w14:paraId="1286A094" w14:textId="77777777" w:rsidR="00F1450F" w:rsidRPr="00801F30" w:rsidRDefault="00F1450F" w:rsidP="00F1450F">
      <w:pPr>
        <w:rPr>
          <w:rFonts w:cs="Arial"/>
          <w:b/>
          <w:szCs w:val="22"/>
        </w:rPr>
      </w:pPr>
    </w:p>
    <w:p w14:paraId="51CB0A88" w14:textId="77777777" w:rsidR="00F1450F" w:rsidRPr="00801F30" w:rsidRDefault="00F1450F" w:rsidP="00F1450F">
      <w:pPr>
        <w:rPr>
          <w:rFonts w:cs="Arial"/>
          <w:b/>
          <w:szCs w:val="22"/>
        </w:rPr>
      </w:pPr>
      <w:r w:rsidRPr="00801F30">
        <w:rPr>
          <w:rFonts w:cs="Arial"/>
          <w:b/>
          <w:szCs w:val="22"/>
        </w:rPr>
        <w:t xml:space="preserve">12. Advice on the distribution of OFFICIAL-SENSITIVE documents abroad or any other general advice including the distribution of OFFICIAL-SENSITIVE hardware shall be sought from the Authority. </w:t>
      </w:r>
    </w:p>
    <w:p w14:paraId="755FE928" w14:textId="77777777" w:rsidR="00F1450F" w:rsidRPr="00801F30" w:rsidRDefault="00F1450F" w:rsidP="00F1450F">
      <w:pPr>
        <w:rPr>
          <w:rFonts w:cs="Arial"/>
          <w:b/>
          <w:szCs w:val="22"/>
        </w:rPr>
      </w:pPr>
    </w:p>
    <w:p w14:paraId="7B8096FE" w14:textId="77777777" w:rsidR="00F1450F" w:rsidRPr="00801F30" w:rsidRDefault="00F1450F" w:rsidP="00F1450F">
      <w:pPr>
        <w:rPr>
          <w:rFonts w:cs="Arial"/>
          <w:b/>
          <w:szCs w:val="22"/>
        </w:rPr>
      </w:pPr>
    </w:p>
    <w:p w14:paraId="0F2D8B08" w14:textId="77777777" w:rsidR="00F1450F" w:rsidRPr="00801F30" w:rsidRDefault="00F1450F" w:rsidP="00F1450F">
      <w:pPr>
        <w:rPr>
          <w:rFonts w:cs="Arial"/>
          <w:b/>
          <w:szCs w:val="22"/>
        </w:rPr>
      </w:pPr>
      <w:r w:rsidRPr="00801F30">
        <w:rPr>
          <w:rFonts w:cs="Arial"/>
          <w:b/>
          <w:szCs w:val="22"/>
        </w:rPr>
        <w:t xml:space="preserve">Electronic Communication, Telephony and Facsimile Services </w:t>
      </w:r>
    </w:p>
    <w:p w14:paraId="613B7604" w14:textId="77777777" w:rsidR="00F1450F" w:rsidRPr="00801F30" w:rsidRDefault="00F1450F" w:rsidP="00F1450F">
      <w:pPr>
        <w:rPr>
          <w:rFonts w:cs="Arial"/>
          <w:b/>
          <w:szCs w:val="22"/>
        </w:rPr>
      </w:pPr>
      <w:r w:rsidRPr="00801F30">
        <w:rPr>
          <w:rFonts w:cs="Arial"/>
          <w:b/>
          <w:szCs w:val="22"/>
        </w:rPr>
        <w:t xml:space="preserve">13. Reportable OFFICIAL information may be emailed unencrypted to recipients over the internet when it is known that the recipient has been made aware of and can comply with the requirements of these Security Conditions. OFFICIAL-SENSITIVE </w:t>
      </w:r>
      <w:r w:rsidRPr="00801F30">
        <w:rPr>
          <w:rFonts w:cs="Arial"/>
          <w:b/>
          <w:szCs w:val="22"/>
        </w:rPr>
        <w:lastRenderedPageBreak/>
        <w:t xml:space="preserve">information shall normally be transmitted over the internet encrypted using a Foundation Grade or equivalent product. Information about Foundation Grade products and the CESG Commercial Product Assurance scheme is available at: http://www.cesg.gov.uk/servicecatalogue/Product-Assurance/Pages/Product-Assurance.aspx. Exceptionally, in urgent cases, OFFICIAL-SENSITIVE information may be emailed unencrypted over the internet where there is a strong business need to do so and only with the </w:t>
      </w:r>
      <w:r w:rsidRPr="00801F30">
        <w:rPr>
          <w:rFonts w:cs="Arial"/>
          <w:b/>
          <w:szCs w:val="22"/>
          <w:u w:val="single"/>
        </w:rPr>
        <w:t xml:space="preserve">prior </w:t>
      </w:r>
      <w:r w:rsidRPr="00801F30">
        <w:rPr>
          <w:rFonts w:cs="Arial"/>
          <w:b/>
          <w:szCs w:val="22"/>
        </w:rPr>
        <w:t xml:space="preserve">approval of the Authority. </w:t>
      </w:r>
    </w:p>
    <w:p w14:paraId="412B5590" w14:textId="77777777" w:rsidR="00F1450F" w:rsidRPr="00801F30" w:rsidRDefault="00F1450F" w:rsidP="00F1450F">
      <w:pPr>
        <w:rPr>
          <w:rFonts w:cs="Arial"/>
          <w:b/>
          <w:szCs w:val="22"/>
        </w:rPr>
      </w:pPr>
    </w:p>
    <w:p w14:paraId="367E548C" w14:textId="77777777" w:rsidR="00F1450F" w:rsidRPr="00801F30" w:rsidRDefault="00F1450F" w:rsidP="00F1450F">
      <w:pPr>
        <w:rPr>
          <w:rFonts w:cs="Arial"/>
          <w:b/>
          <w:szCs w:val="22"/>
        </w:rPr>
      </w:pPr>
      <w:r w:rsidRPr="00801F30">
        <w:rPr>
          <w:rFonts w:cs="Arial"/>
          <w:b/>
          <w:szCs w:val="22"/>
        </w:rPr>
        <w:t xml:space="preserve">14. OFFICIAL-SENSITIVE information shall only be sent when it is known that the recipient has been made aware of and can comply with the requirements of these Security Conditions and subject to any explicit limitations that the authority shall require. Such limitations, including any regarding publication, further circulation or other handling instructions shall be clearly identified in the email sent with the material. </w:t>
      </w:r>
    </w:p>
    <w:p w14:paraId="277E5388" w14:textId="77777777" w:rsidR="00F1450F" w:rsidRPr="00801F30" w:rsidRDefault="00F1450F" w:rsidP="00F1450F">
      <w:pPr>
        <w:rPr>
          <w:rFonts w:cs="Arial"/>
          <w:b/>
          <w:color w:val="000000"/>
          <w:szCs w:val="22"/>
        </w:rPr>
      </w:pPr>
      <w:r w:rsidRPr="00801F30">
        <w:rPr>
          <w:rFonts w:cs="Arial"/>
          <w:b/>
          <w:color w:val="000000"/>
          <w:szCs w:val="22"/>
        </w:rPr>
        <w:t xml:space="preserve">15. OFFICIAL-SENSITIVE information may be discussed on fixed and mobile types of telephone within the UK, but not with (or within) earshot of unauthorised persons. </w:t>
      </w:r>
    </w:p>
    <w:p w14:paraId="345745A0" w14:textId="77777777" w:rsidR="00F1450F" w:rsidRPr="00801F30" w:rsidRDefault="00F1450F" w:rsidP="00F1450F">
      <w:pPr>
        <w:rPr>
          <w:rFonts w:cs="Arial"/>
          <w:b/>
          <w:color w:val="000000"/>
          <w:szCs w:val="22"/>
        </w:rPr>
      </w:pPr>
      <w:r w:rsidRPr="00801F30">
        <w:rPr>
          <w:rFonts w:cs="Arial"/>
          <w:b/>
          <w:color w:val="000000"/>
          <w:szCs w:val="22"/>
        </w:rPr>
        <w:t xml:space="preserve">16. OFFICIAL-SENSITIVE information may be faxed to UK recipients. </w:t>
      </w:r>
    </w:p>
    <w:p w14:paraId="1316CDF7" w14:textId="77777777" w:rsidR="00F1450F" w:rsidRPr="00801F30" w:rsidRDefault="00F1450F" w:rsidP="00F1450F">
      <w:pPr>
        <w:rPr>
          <w:rFonts w:cs="Arial"/>
          <w:b/>
          <w:color w:val="000000"/>
          <w:szCs w:val="22"/>
        </w:rPr>
      </w:pPr>
      <w:r w:rsidRPr="00801F30">
        <w:rPr>
          <w:rFonts w:cs="Arial"/>
          <w:b/>
          <w:color w:val="000000"/>
          <w:szCs w:val="22"/>
        </w:rPr>
        <w:t xml:space="preserve">17. Reportable OFFICIAL information may be discussed with and faxed to recipients located overseas. </w:t>
      </w:r>
    </w:p>
    <w:p w14:paraId="6CE8311A" w14:textId="77777777" w:rsidR="00F1450F" w:rsidRPr="00801F30" w:rsidRDefault="00F1450F" w:rsidP="00F1450F">
      <w:pPr>
        <w:spacing w:after="120"/>
        <w:rPr>
          <w:rFonts w:cs="Arial"/>
          <w:b/>
          <w:szCs w:val="22"/>
        </w:rPr>
      </w:pPr>
    </w:p>
    <w:p w14:paraId="22B0B160" w14:textId="77777777" w:rsidR="00F1450F" w:rsidRPr="00801F30" w:rsidRDefault="00F1450F" w:rsidP="00F1450F">
      <w:pPr>
        <w:spacing w:after="120"/>
        <w:rPr>
          <w:rFonts w:cs="Arial"/>
          <w:b/>
          <w:color w:val="000000"/>
          <w:szCs w:val="22"/>
        </w:rPr>
      </w:pPr>
      <w:r w:rsidRPr="00801F30">
        <w:rPr>
          <w:rFonts w:cs="Arial"/>
          <w:b/>
          <w:szCs w:val="22"/>
        </w:rPr>
        <w:t xml:space="preserve">Use of Information Systems </w:t>
      </w:r>
    </w:p>
    <w:p w14:paraId="6F917E53" w14:textId="77777777" w:rsidR="00F1450F" w:rsidRPr="00801F30" w:rsidRDefault="00F1450F" w:rsidP="00F1450F">
      <w:pPr>
        <w:rPr>
          <w:rFonts w:cs="Arial"/>
          <w:b/>
          <w:szCs w:val="22"/>
        </w:rPr>
      </w:pPr>
      <w:r w:rsidRPr="00801F30">
        <w:rPr>
          <w:rFonts w:cs="Arial"/>
          <w:b/>
          <w:szCs w:val="22"/>
        </w:rPr>
        <w:t xml:space="preserve">18. 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 </w:t>
      </w:r>
    </w:p>
    <w:p w14:paraId="3BA816CF" w14:textId="77777777" w:rsidR="00F1450F" w:rsidRPr="00801F30" w:rsidRDefault="00F1450F" w:rsidP="00F1450F">
      <w:pPr>
        <w:rPr>
          <w:rFonts w:cs="Arial"/>
          <w:b/>
          <w:szCs w:val="22"/>
        </w:rPr>
      </w:pPr>
      <w:r w:rsidRPr="00801F30">
        <w:rPr>
          <w:rFonts w:cs="Arial"/>
          <w:b/>
          <w:szCs w:val="22"/>
        </w:rPr>
        <w:t xml:space="preserve">19. As a general rule, any communication path between an unauthorised user and the data can be used to carry out an attack on the system or be used to compromise or ex-filtrate data. </w:t>
      </w:r>
    </w:p>
    <w:p w14:paraId="3A7FE954" w14:textId="77777777" w:rsidR="00F1450F" w:rsidRPr="00801F30" w:rsidRDefault="00F1450F" w:rsidP="00F1450F">
      <w:pPr>
        <w:rPr>
          <w:rFonts w:cs="Arial"/>
          <w:b/>
          <w:szCs w:val="22"/>
        </w:rPr>
      </w:pPr>
      <w:r w:rsidRPr="00801F30">
        <w:rPr>
          <w:rFonts w:cs="Arial"/>
          <w:b/>
          <w:szCs w:val="22"/>
        </w:rPr>
        <w:t xml:space="preserve">20. The following describes the minimum security requirements for processing and accessing OFFICIAL-SENSITIVE information on IT systems. </w:t>
      </w:r>
    </w:p>
    <w:p w14:paraId="58270518" w14:textId="77777777" w:rsidR="00F1450F" w:rsidRPr="00801F30" w:rsidRDefault="00F1450F" w:rsidP="00F1450F">
      <w:pPr>
        <w:pStyle w:val="Default"/>
        <w:rPr>
          <w:rFonts w:ascii="Arial" w:hAnsi="Arial" w:cs="Arial"/>
          <w:color w:val="auto"/>
          <w:sz w:val="22"/>
          <w:szCs w:val="22"/>
        </w:rPr>
      </w:pPr>
    </w:p>
    <w:p w14:paraId="6BFB51CB" w14:textId="77777777" w:rsidR="00F1450F" w:rsidRPr="00801F30" w:rsidRDefault="00F1450F" w:rsidP="00F1450F">
      <w:pPr>
        <w:pStyle w:val="Default"/>
        <w:spacing w:after="38"/>
        <w:rPr>
          <w:rFonts w:ascii="Arial" w:hAnsi="Arial" w:cs="Arial"/>
          <w:color w:val="auto"/>
          <w:sz w:val="22"/>
          <w:szCs w:val="22"/>
        </w:rPr>
      </w:pPr>
      <w:proofErr w:type="gramStart"/>
      <w:r w:rsidRPr="00801F30">
        <w:rPr>
          <w:rFonts w:ascii="Arial" w:hAnsi="Arial" w:cs="Arial"/>
          <w:color w:val="auto"/>
          <w:sz w:val="22"/>
          <w:szCs w:val="22"/>
        </w:rPr>
        <w:t>a</w:t>
      </w:r>
      <w:proofErr w:type="gramEnd"/>
      <w:r w:rsidRPr="00801F30">
        <w:rPr>
          <w:rFonts w:ascii="Arial" w:hAnsi="Arial" w:cs="Arial"/>
          <w:color w:val="auto"/>
          <w:sz w:val="22"/>
          <w:szCs w:val="22"/>
        </w:rPr>
        <w:t xml:space="preserve">. </w:t>
      </w:r>
    </w:p>
    <w:p w14:paraId="237DBE0D"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Access </w:t>
      </w:r>
      <w:r w:rsidRPr="00801F30">
        <w:rPr>
          <w:rFonts w:ascii="Arial" w:hAnsi="Arial" w:cs="Arial"/>
          <w:b/>
          <w:bCs/>
          <w:color w:val="auto"/>
          <w:sz w:val="22"/>
          <w:szCs w:val="22"/>
        </w:rPr>
        <w:t xml:space="preserve">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14:paraId="29F0C261" w14:textId="77777777" w:rsidR="00F1450F" w:rsidRPr="00801F30" w:rsidRDefault="00F1450F" w:rsidP="00F1450F">
      <w:pPr>
        <w:pStyle w:val="Default"/>
        <w:rPr>
          <w:rFonts w:ascii="Arial" w:hAnsi="Arial" w:cs="Arial"/>
          <w:color w:val="auto"/>
          <w:sz w:val="22"/>
          <w:szCs w:val="22"/>
        </w:rPr>
      </w:pPr>
      <w:proofErr w:type="gramStart"/>
      <w:r w:rsidRPr="00801F30">
        <w:rPr>
          <w:rFonts w:ascii="Arial" w:hAnsi="Arial" w:cs="Arial"/>
          <w:color w:val="auto"/>
          <w:sz w:val="22"/>
          <w:szCs w:val="22"/>
        </w:rPr>
        <w:t>b</w:t>
      </w:r>
      <w:proofErr w:type="gramEnd"/>
      <w:r w:rsidRPr="00801F30">
        <w:rPr>
          <w:rFonts w:ascii="Arial" w:hAnsi="Arial" w:cs="Arial"/>
          <w:color w:val="auto"/>
          <w:sz w:val="22"/>
          <w:szCs w:val="22"/>
        </w:rPr>
        <w:t xml:space="preserve">. </w:t>
      </w:r>
    </w:p>
    <w:p w14:paraId="145DCBEC"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Identification and Authentication (ID&amp;A)</w:t>
      </w:r>
      <w:r w:rsidRPr="00801F30">
        <w:rPr>
          <w:rFonts w:ascii="Arial" w:hAnsi="Arial" w:cs="Arial"/>
          <w:b/>
          <w:bCs/>
          <w:color w:val="auto"/>
          <w:sz w:val="22"/>
          <w:szCs w:val="22"/>
        </w:rPr>
        <w:t xml:space="preserve">. All systems shall have the following functionality: </w:t>
      </w:r>
    </w:p>
    <w:p w14:paraId="6D64D78D" w14:textId="77777777" w:rsidR="00F1450F" w:rsidRPr="00801F30" w:rsidRDefault="00F1450F" w:rsidP="00F1450F">
      <w:pPr>
        <w:pStyle w:val="1a"/>
        <w:spacing w:after="120"/>
        <w:ind w:left="1440"/>
        <w:rPr>
          <w:rFonts w:cs="Arial"/>
          <w:sz w:val="22"/>
          <w:szCs w:val="22"/>
        </w:rPr>
      </w:pPr>
      <w:r w:rsidRPr="00801F30">
        <w:rPr>
          <w:rFonts w:cs="Arial"/>
          <w:b/>
          <w:bCs/>
          <w:sz w:val="22"/>
          <w:szCs w:val="22"/>
        </w:rPr>
        <w:t xml:space="preserve">(1) Up-to-date lists of authorised users. </w:t>
      </w:r>
    </w:p>
    <w:p w14:paraId="50AE2C9D" w14:textId="77777777" w:rsidR="00F1450F" w:rsidRPr="00801F30" w:rsidRDefault="00F1450F" w:rsidP="00F1450F">
      <w:pPr>
        <w:pStyle w:val="Default"/>
        <w:spacing w:after="120"/>
        <w:ind w:left="1440"/>
        <w:rPr>
          <w:rFonts w:ascii="Arial" w:hAnsi="Arial" w:cs="Arial"/>
          <w:color w:val="auto"/>
          <w:sz w:val="22"/>
          <w:szCs w:val="22"/>
        </w:rPr>
      </w:pPr>
      <w:r w:rsidRPr="00801F30">
        <w:rPr>
          <w:rFonts w:ascii="Arial" w:hAnsi="Arial" w:cs="Arial"/>
          <w:b/>
          <w:bCs/>
          <w:color w:val="auto"/>
          <w:sz w:val="22"/>
          <w:szCs w:val="22"/>
        </w:rPr>
        <w:t xml:space="preserve">(2) Positive identification of all users at the start of each processing session. </w:t>
      </w:r>
    </w:p>
    <w:p w14:paraId="44F26E8F" w14:textId="77777777" w:rsidR="00F1450F" w:rsidRPr="00801F30" w:rsidRDefault="00F1450F" w:rsidP="00F1450F">
      <w:pPr>
        <w:pStyle w:val="Default"/>
        <w:spacing w:after="120"/>
        <w:rPr>
          <w:rFonts w:ascii="Arial" w:hAnsi="Arial" w:cs="Arial"/>
          <w:color w:val="auto"/>
          <w:sz w:val="22"/>
          <w:szCs w:val="22"/>
        </w:rPr>
      </w:pPr>
      <w:proofErr w:type="gramStart"/>
      <w:r w:rsidRPr="00801F30">
        <w:rPr>
          <w:rFonts w:ascii="Arial" w:hAnsi="Arial" w:cs="Arial"/>
          <w:color w:val="auto"/>
          <w:sz w:val="22"/>
          <w:szCs w:val="22"/>
        </w:rPr>
        <w:t>c</w:t>
      </w:r>
      <w:proofErr w:type="gramEnd"/>
      <w:r w:rsidRPr="00801F30">
        <w:rPr>
          <w:rFonts w:ascii="Arial" w:hAnsi="Arial" w:cs="Arial"/>
          <w:color w:val="auto"/>
          <w:sz w:val="22"/>
          <w:szCs w:val="22"/>
        </w:rPr>
        <w:t xml:space="preserve">. </w:t>
      </w:r>
    </w:p>
    <w:p w14:paraId="23883087"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Passwords. </w:t>
      </w:r>
      <w:r w:rsidRPr="00801F30">
        <w:rPr>
          <w:rFonts w:ascii="Arial" w:hAnsi="Arial" w:cs="Arial"/>
          <w:b/>
          <w:bCs/>
          <w:color w:val="auto"/>
          <w:sz w:val="22"/>
          <w:szCs w:val="22"/>
        </w:rPr>
        <w:t xml:space="preserve">Passwords are part of most ID&amp;A, Security Measures. Passwords shall be ‘strong’ using an appropriate method to achieve this, for example including numeric and “special” characters (if permitted by the system) as well as alphabetic characters. </w:t>
      </w:r>
    </w:p>
    <w:p w14:paraId="3ABA76F2" w14:textId="77777777" w:rsidR="00F1450F" w:rsidRPr="00801F30" w:rsidRDefault="00F1450F" w:rsidP="00F1450F">
      <w:pPr>
        <w:pStyle w:val="Default"/>
        <w:rPr>
          <w:rFonts w:ascii="Arial" w:hAnsi="Arial" w:cs="Arial"/>
          <w:color w:val="auto"/>
          <w:sz w:val="22"/>
          <w:szCs w:val="22"/>
        </w:rPr>
      </w:pPr>
      <w:proofErr w:type="gramStart"/>
      <w:r w:rsidRPr="00801F30">
        <w:rPr>
          <w:rFonts w:ascii="Arial" w:hAnsi="Arial" w:cs="Arial"/>
          <w:color w:val="auto"/>
          <w:sz w:val="22"/>
          <w:szCs w:val="22"/>
        </w:rPr>
        <w:t>d</w:t>
      </w:r>
      <w:proofErr w:type="gramEnd"/>
      <w:r w:rsidRPr="00801F30">
        <w:rPr>
          <w:rFonts w:ascii="Arial" w:hAnsi="Arial" w:cs="Arial"/>
          <w:color w:val="auto"/>
          <w:sz w:val="22"/>
          <w:szCs w:val="22"/>
        </w:rPr>
        <w:t xml:space="preserve">. </w:t>
      </w:r>
    </w:p>
    <w:p w14:paraId="1E71FBD5"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Internal Access Control. </w:t>
      </w:r>
      <w:r w:rsidRPr="00801F30">
        <w:rPr>
          <w:rFonts w:ascii="Arial" w:hAnsi="Arial" w:cs="Arial"/>
          <w:b/>
          <w:bCs/>
          <w:color w:val="auto"/>
          <w:sz w:val="22"/>
          <w:szCs w:val="22"/>
        </w:rPr>
        <w:t xml:space="preserve">All systems shall have internal Access Controls to prevent </w:t>
      </w:r>
      <w:proofErr w:type="spellStart"/>
      <w:r w:rsidRPr="00801F30">
        <w:rPr>
          <w:rFonts w:ascii="Arial" w:hAnsi="Arial" w:cs="Arial"/>
          <w:b/>
          <w:bCs/>
          <w:color w:val="auto"/>
          <w:sz w:val="22"/>
          <w:szCs w:val="22"/>
        </w:rPr>
        <w:t>unauthorised</w:t>
      </w:r>
      <w:proofErr w:type="spellEnd"/>
      <w:r w:rsidRPr="00801F30">
        <w:rPr>
          <w:rFonts w:ascii="Arial" w:hAnsi="Arial" w:cs="Arial"/>
          <w:b/>
          <w:bCs/>
          <w:color w:val="auto"/>
          <w:sz w:val="22"/>
          <w:szCs w:val="22"/>
        </w:rPr>
        <w:t xml:space="preserve"> users from accessing or modifying the data. </w:t>
      </w:r>
    </w:p>
    <w:p w14:paraId="15D6CCA9" w14:textId="77777777" w:rsidR="00F1450F" w:rsidRPr="00801F30" w:rsidRDefault="00F1450F" w:rsidP="00F1450F">
      <w:pPr>
        <w:pStyle w:val="Default"/>
        <w:rPr>
          <w:rFonts w:ascii="Arial" w:hAnsi="Arial" w:cs="Arial"/>
          <w:color w:val="auto"/>
          <w:sz w:val="22"/>
          <w:szCs w:val="22"/>
        </w:rPr>
      </w:pPr>
      <w:proofErr w:type="gramStart"/>
      <w:r w:rsidRPr="00801F30">
        <w:rPr>
          <w:rFonts w:ascii="Arial" w:hAnsi="Arial" w:cs="Arial"/>
          <w:color w:val="auto"/>
          <w:sz w:val="22"/>
          <w:szCs w:val="22"/>
        </w:rPr>
        <w:lastRenderedPageBreak/>
        <w:t>e</w:t>
      </w:r>
      <w:proofErr w:type="gramEnd"/>
      <w:r w:rsidRPr="00801F30">
        <w:rPr>
          <w:rFonts w:ascii="Arial" w:hAnsi="Arial" w:cs="Arial"/>
          <w:color w:val="auto"/>
          <w:sz w:val="22"/>
          <w:szCs w:val="22"/>
        </w:rPr>
        <w:t xml:space="preserve">. </w:t>
      </w:r>
    </w:p>
    <w:p w14:paraId="6C761E4C"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Data Transmission. </w:t>
      </w:r>
      <w:r w:rsidRPr="00801F30">
        <w:rPr>
          <w:rFonts w:ascii="Arial" w:hAnsi="Arial" w:cs="Arial"/>
          <w:b/>
          <w:bCs/>
          <w:color w:val="auto"/>
          <w:sz w:val="22"/>
          <w:szCs w:val="22"/>
        </w:rPr>
        <w:t xml:space="preserve">Unless the Authority </w:t>
      </w:r>
      <w:proofErr w:type="spellStart"/>
      <w:r w:rsidRPr="00801F30">
        <w:rPr>
          <w:rFonts w:ascii="Arial" w:hAnsi="Arial" w:cs="Arial"/>
          <w:b/>
          <w:bCs/>
          <w:color w:val="auto"/>
          <w:sz w:val="22"/>
          <w:szCs w:val="22"/>
        </w:rPr>
        <w:t>authorises</w:t>
      </w:r>
      <w:proofErr w:type="spellEnd"/>
      <w:r w:rsidRPr="00801F30">
        <w:rPr>
          <w:rFonts w:ascii="Arial" w:hAnsi="Arial" w:cs="Arial"/>
          <w:b/>
          <w:bCs/>
          <w:color w:val="auto"/>
          <w:sz w:val="22"/>
          <w:szCs w:val="22"/>
        </w:rPr>
        <w:t xml:space="preserve"> otherwise, OFFICIAL-SENSITIVE information shall be transmitted or accessed electronically (e.g. point to point computer links) via a public network like the Internet, using a Foundation Grade product or equivalent as described in paragraph 13 above, </w:t>
      </w:r>
    </w:p>
    <w:p w14:paraId="0A753E93" w14:textId="77777777" w:rsidR="00F1450F" w:rsidRPr="00801F30" w:rsidRDefault="00F1450F" w:rsidP="00F1450F">
      <w:pPr>
        <w:pStyle w:val="Default"/>
        <w:rPr>
          <w:rFonts w:ascii="Arial" w:hAnsi="Arial" w:cs="Arial"/>
          <w:color w:val="auto"/>
          <w:sz w:val="22"/>
          <w:szCs w:val="22"/>
        </w:rPr>
      </w:pPr>
      <w:proofErr w:type="gramStart"/>
      <w:r w:rsidRPr="00801F30">
        <w:rPr>
          <w:rFonts w:ascii="Arial" w:hAnsi="Arial" w:cs="Arial"/>
          <w:color w:val="auto"/>
          <w:sz w:val="22"/>
          <w:szCs w:val="22"/>
        </w:rPr>
        <w:t>f</w:t>
      </w:r>
      <w:proofErr w:type="gramEnd"/>
      <w:r w:rsidRPr="00801F30">
        <w:rPr>
          <w:rFonts w:ascii="Arial" w:hAnsi="Arial" w:cs="Arial"/>
          <w:color w:val="auto"/>
          <w:sz w:val="22"/>
          <w:szCs w:val="22"/>
        </w:rPr>
        <w:t xml:space="preserve">. </w:t>
      </w:r>
    </w:p>
    <w:p w14:paraId="4EEE55B5"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Security Accounting and Audit. </w:t>
      </w:r>
      <w:r w:rsidRPr="00801F30">
        <w:rPr>
          <w:rFonts w:ascii="Arial" w:hAnsi="Arial" w:cs="Arial"/>
          <w:b/>
          <w:bCs/>
          <w:color w:val="auto"/>
          <w:sz w:val="22"/>
          <w:szCs w:val="22"/>
        </w:rPr>
        <w:t xml:space="preserve">Security relevant events fall into two categories, namely legitimate events and violations. </w:t>
      </w:r>
    </w:p>
    <w:p w14:paraId="285AE576" w14:textId="77777777" w:rsidR="00F1450F" w:rsidRPr="00801F30" w:rsidRDefault="00F1450F" w:rsidP="00F1450F">
      <w:pPr>
        <w:pStyle w:val="Default"/>
        <w:ind w:left="360" w:hanging="360"/>
        <w:rPr>
          <w:rFonts w:ascii="Arial" w:hAnsi="Arial" w:cs="Arial"/>
          <w:color w:val="auto"/>
          <w:sz w:val="22"/>
          <w:szCs w:val="22"/>
        </w:rPr>
      </w:pPr>
      <w:r w:rsidRPr="00801F30">
        <w:rPr>
          <w:rFonts w:ascii="Arial" w:hAnsi="Arial" w:cs="Arial"/>
          <w:color w:val="auto"/>
          <w:sz w:val="22"/>
          <w:szCs w:val="22"/>
        </w:rPr>
        <w:t xml:space="preserve">1. </w:t>
      </w:r>
    </w:p>
    <w:p w14:paraId="42219823"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The following events shall always be recorded: </w:t>
      </w:r>
    </w:p>
    <w:p w14:paraId="1DD6605E" w14:textId="77777777" w:rsidR="00F1450F" w:rsidRPr="00801F30" w:rsidRDefault="00F1450F" w:rsidP="00F1450F">
      <w:pPr>
        <w:pStyle w:val="Default"/>
        <w:spacing w:after="37"/>
        <w:rPr>
          <w:rFonts w:ascii="Arial" w:hAnsi="Arial" w:cs="Arial"/>
          <w:color w:val="auto"/>
          <w:sz w:val="22"/>
          <w:szCs w:val="22"/>
        </w:rPr>
      </w:pPr>
      <w:r w:rsidRPr="00801F30">
        <w:rPr>
          <w:rFonts w:ascii="Arial" w:hAnsi="Arial" w:cs="Arial"/>
          <w:color w:val="auto"/>
          <w:sz w:val="22"/>
          <w:szCs w:val="22"/>
        </w:rPr>
        <w:t xml:space="preserve">(a) </w:t>
      </w:r>
    </w:p>
    <w:p w14:paraId="443BADF8"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All log on attempts whether successful or failed, </w:t>
      </w:r>
    </w:p>
    <w:p w14:paraId="408DE94C" w14:textId="77777777" w:rsidR="00F1450F" w:rsidRPr="00801F30" w:rsidRDefault="00F1450F" w:rsidP="00F1450F">
      <w:pPr>
        <w:pStyle w:val="Default"/>
        <w:rPr>
          <w:rFonts w:ascii="Arial" w:hAnsi="Arial" w:cs="Arial"/>
          <w:color w:val="auto"/>
          <w:sz w:val="22"/>
          <w:szCs w:val="22"/>
        </w:rPr>
      </w:pPr>
      <w:r w:rsidRPr="00801F30">
        <w:rPr>
          <w:rFonts w:ascii="Arial" w:hAnsi="Arial" w:cs="Arial"/>
          <w:color w:val="auto"/>
          <w:sz w:val="22"/>
          <w:szCs w:val="22"/>
        </w:rPr>
        <w:t xml:space="preserve">(b) </w:t>
      </w:r>
    </w:p>
    <w:p w14:paraId="1F3BD929"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Log off (including time out where applicable), </w:t>
      </w:r>
    </w:p>
    <w:p w14:paraId="5606B77C" w14:textId="77777777" w:rsidR="00F1450F" w:rsidRPr="00801F30" w:rsidRDefault="00F1450F" w:rsidP="00F1450F">
      <w:pPr>
        <w:pStyle w:val="Default"/>
        <w:rPr>
          <w:rFonts w:ascii="Arial" w:hAnsi="Arial" w:cs="Arial"/>
          <w:color w:val="auto"/>
          <w:sz w:val="22"/>
          <w:szCs w:val="22"/>
        </w:rPr>
      </w:pPr>
      <w:r w:rsidRPr="00801F30">
        <w:rPr>
          <w:rFonts w:ascii="Arial" w:hAnsi="Arial" w:cs="Arial"/>
          <w:color w:val="auto"/>
          <w:sz w:val="22"/>
          <w:szCs w:val="22"/>
        </w:rPr>
        <w:t xml:space="preserve">(c) </w:t>
      </w:r>
    </w:p>
    <w:p w14:paraId="5AB9F5B9"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The creation, deletion or alteration of access rights and privileges, </w:t>
      </w:r>
    </w:p>
    <w:p w14:paraId="2B14A6B4" w14:textId="77777777" w:rsidR="00F1450F" w:rsidRPr="00801F30" w:rsidRDefault="00F1450F" w:rsidP="00F1450F">
      <w:pPr>
        <w:pStyle w:val="Default"/>
        <w:rPr>
          <w:rFonts w:ascii="Arial" w:hAnsi="Arial" w:cs="Arial"/>
          <w:color w:val="auto"/>
          <w:sz w:val="22"/>
          <w:szCs w:val="22"/>
        </w:rPr>
      </w:pPr>
      <w:r w:rsidRPr="00801F30">
        <w:rPr>
          <w:rFonts w:ascii="Arial" w:hAnsi="Arial" w:cs="Arial"/>
          <w:color w:val="auto"/>
          <w:sz w:val="22"/>
          <w:szCs w:val="22"/>
        </w:rPr>
        <w:t xml:space="preserve">(d) </w:t>
      </w:r>
    </w:p>
    <w:p w14:paraId="524C21D4"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The creation, deletion or alteration of passwords, </w:t>
      </w:r>
    </w:p>
    <w:p w14:paraId="4DBAA512"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(2) For each of the events listed above, the following information is to be recorded: </w:t>
      </w:r>
    </w:p>
    <w:p w14:paraId="0C5B8254" w14:textId="77777777" w:rsidR="00F1450F" w:rsidRPr="00801F30" w:rsidRDefault="00F1450F" w:rsidP="00F1450F">
      <w:pPr>
        <w:pStyle w:val="Default"/>
        <w:spacing w:after="38"/>
        <w:rPr>
          <w:rFonts w:ascii="Arial" w:hAnsi="Arial" w:cs="Arial"/>
          <w:color w:val="auto"/>
          <w:sz w:val="22"/>
          <w:szCs w:val="22"/>
        </w:rPr>
      </w:pPr>
      <w:r w:rsidRPr="00801F30">
        <w:rPr>
          <w:rFonts w:ascii="Arial" w:hAnsi="Arial" w:cs="Arial"/>
          <w:color w:val="auto"/>
          <w:sz w:val="22"/>
          <w:szCs w:val="22"/>
        </w:rPr>
        <w:t xml:space="preserve">(e) </w:t>
      </w:r>
    </w:p>
    <w:p w14:paraId="2DA37B60"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Type of event, </w:t>
      </w:r>
    </w:p>
    <w:p w14:paraId="73C0E7D1" w14:textId="77777777" w:rsidR="00F1450F" w:rsidRPr="00801F30" w:rsidRDefault="00F1450F" w:rsidP="00F1450F">
      <w:pPr>
        <w:pStyle w:val="Default"/>
        <w:rPr>
          <w:rFonts w:ascii="Arial" w:hAnsi="Arial" w:cs="Arial"/>
          <w:color w:val="auto"/>
          <w:sz w:val="22"/>
          <w:szCs w:val="22"/>
        </w:rPr>
      </w:pPr>
      <w:r w:rsidRPr="00801F30">
        <w:rPr>
          <w:rFonts w:ascii="Arial" w:hAnsi="Arial" w:cs="Arial"/>
          <w:color w:val="auto"/>
          <w:sz w:val="22"/>
          <w:szCs w:val="22"/>
        </w:rPr>
        <w:t xml:space="preserve">(f) </w:t>
      </w:r>
    </w:p>
    <w:p w14:paraId="4A8A23E0"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User ID, </w:t>
      </w:r>
    </w:p>
    <w:p w14:paraId="308F3865" w14:textId="77777777" w:rsidR="00F1450F" w:rsidRPr="00801F30" w:rsidRDefault="00F1450F" w:rsidP="00F1450F">
      <w:pPr>
        <w:pStyle w:val="Default"/>
        <w:rPr>
          <w:rFonts w:ascii="Arial" w:hAnsi="Arial" w:cs="Arial"/>
          <w:color w:val="auto"/>
          <w:sz w:val="22"/>
          <w:szCs w:val="22"/>
        </w:rPr>
      </w:pPr>
      <w:r w:rsidRPr="00801F30">
        <w:rPr>
          <w:rFonts w:ascii="Arial" w:hAnsi="Arial" w:cs="Arial"/>
          <w:color w:val="auto"/>
          <w:sz w:val="22"/>
          <w:szCs w:val="22"/>
        </w:rPr>
        <w:t xml:space="preserve">(g) </w:t>
      </w:r>
    </w:p>
    <w:p w14:paraId="01734360"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Date &amp; Time, </w:t>
      </w:r>
    </w:p>
    <w:p w14:paraId="3DEC74B2" w14:textId="77777777" w:rsidR="00F1450F" w:rsidRPr="00801F30" w:rsidRDefault="00F1450F" w:rsidP="00F1450F">
      <w:pPr>
        <w:pStyle w:val="Default"/>
        <w:rPr>
          <w:rFonts w:ascii="Arial" w:hAnsi="Arial" w:cs="Arial"/>
          <w:color w:val="auto"/>
          <w:sz w:val="22"/>
          <w:szCs w:val="22"/>
        </w:rPr>
      </w:pPr>
      <w:r w:rsidRPr="00801F30">
        <w:rPr>
          <w:rFonts w:ascii="Arial" w:hAnsi="Arial" w:cs="Arial"/>
          <w:color w:val="auto"/>
          <w:sz w:val="22"/>
          <w:szCs w:val="22"/>
        </w:rPr>
        <w:t xml:space="preserve">(h) </w:t>
      </w:r>
    </w:p>
    <w:p w14:paraId="33459AB2" w14:textId="77777777" w:rsidR="00F1450F" w:rsidRPr="00801F30" w:rsidRDefault="00F1450F" w:rsidP="00F1450F">
      <w:pPr>
        <w:pStyle w:val="Default"/>
        <w:rPr>
          <w:rFonts w:ascii="Arial" w:hAnsi="Arial" w:cs="Arial"/>
          <w:b/>
          <w:bCs/>
          <w:color w:val="auto"/>
          <w:sz w:val="22"/>
          <w:szCs w:val="22"/>
        </w:rPr>
      </w:pPr>
      <w:r w:rsidRPr="00801F30">
        <w:rPr>
          <w:rFonts w:ascii="Arial" w:hAnsi="Arial" w:cs="Arial"/>
          <w:b/>
          <w:bCs/>
          <w:color w:val="auto"/>
          <w:sz w:val="22"/>
          <w:szCs w:val="22"/>
        </w:rPr>
        <w:t xml:space="preserve">Device ID, </w:t>
      </w:r>
    </w:p>
    <w:p w14:paraId="104C6F4A" w14:textId="77777777" w:rsidR="00F1450F" w:rsidRPr="00801F30" w:rsidRDefault="00F1450F" w:rsidP="00F1450F">
      <w:pPr>
        <w:pStyle w:val="Default"/>
        <w:rPr>
          <w:rFonts w:ascii="Arial" w:hAnsi="Arial" w:cs="Arial"/>
          <w:color w:val="auto"/>
          <w:sz w:val="22"/>
          <w:szCs w:val="22"/>
        </w:rPr>
      </w:pPr>
    </w:p>
    <w:p w14:paraId="5F562E71" w14:textId="77777777" w:rsidR="00F1450F" w:rsidRPr="00801F30" w:rsidRDefault="00F1450F" w:rsidP="00F1450F">
      <w:pPr>
        <w:rPr>
          <w:rFonts w:cs="Arial"/>
          <w:b/>
          <w:szCs w:val="22"/>
        </w:rPr>
      </w:pPr>
      <w:r w:rsidRPr="00801F30">
        <w:rPr>
          <w:rFonts w:cs="Arial"/>
          <w:b/>
          <w:szCs w:val="22"/>
        </w:rPr>
        <w:t xml:space="preserve">The accounting records shall have a facility to provide the System Manager with a hard copy of all or selected activity. There shall also be a facility for the records to be printed in an easily readable form. All security records are to be inaccessible to users without a need to know. </w:t>
      </w:r>
    </w:p>
    <w:p w14:paraId="0840869C" w14:textId="77777777" w:rsidR="00F1450F" w:rsidRPr="00801F30" w:rsidRDefault="00F1450F" w:rsidP="00F1450F">
      <w:pPr>
        <w:rPr>
          <w:rFonts w:cs="Arial"/>
          <w:b/>
          <w:szCs w:val="22"/>
        </w:rPr>
      </w:pPr>
      <w:r w:rsidRPr="00801F30">
        <w:rPr>
          <w:rFonts w:cs="Arial"/>
          <w:b/>
          <w:szCs w:val="22"/>
        </w:rPr>
        <w:t xml:space="preserve">If the operating system is unable to provide this then the equipment shall be protected by physical means when not in use i.e. locked away or the hard drive removed and locked away. </w:t>
      </w:r>
    </w:p>
    <w:p w14:paraId="2E78D52E" w14:textId="77777777" w:rsidR="00F1450F" w:rsidRPr="00801F30" w:rsidRDefault="00F1450F" w:rsidP="00F1450F">
      <w:pPr>
        <w:pStyle w:val="Default"/>
        <w:rPr>
          <w:rFonts w:ascii="Arial" w:hAnsi="Arial" w:cs="Arial"/>
          <w:color w:val="auto"/>
          <w:sz w:val="22"/>
          <w:szCs w:val="22"/>
        </w:rPr>
      </w:pPr>
      <w:proofErr w:type="gramStart"/>
      <w:r w:rsidRPr="00801F30">
        <w:rPr>
          <w:rFonts w:ascii="Arial" w:hAnsi="Arial" w:cs="Arial"/>
          <w:color w:val="auto"/>
          <w:sz w:val="22"/>
          <w:szCs w:val="22"/>
        </w:rPr>
        <w:t>g</w:t>
      </w:r>
      <w:proofErr w:type="gramEnd"/>
      <w:r w:rsidRPr="00801F30">
        <w:rPr>
          <w:rFonts w:ascii="Arial" w:hAnsi="Arial" w:cs="Arial"/>
          <w:color w:val="auto"/>
          <w:sz w:val="22"/>
          <w:szCs w:val="22"/>
        </w:rPr>
        <w:t xml:space="preserve">. </w:t>
      </w:r>
    </w:p>
    <w:p w14:paraId="6C971CA0"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Integrity &amp; Availability</w:t>
      </w:r>
      <w:r w:rsidRPr="00801F30">
        <w:rPr>
          <w:rFonts w:ascii="Arial" w:hAnsi="Arial" w:cs="Arial"/>
          <w:b/>
          <w:bCs/>
          <w:color w:val="auto"/>
          <w:sz w:val="22"/>
          <w:szCs w:val="22"/>
        </w:rPr>
        <w:t xml:space="preserve">. The following supporting measures shall be implemented: </w:t>
      </w:r>
    </w:p>
    <w:p w14:paraId="7C321AEF" w14:textId="77777777" w:rsidR="00F1450F" w:rsidRPr="00801F30" w:rsidRDefault="00F1450F" w:rsidP="00563045">
      <w:pPr>
        <w:pStyle w:val="Default"/>
        <w:numPr>
          <w:ilvl w:val="2"/>
          <w:numId w:val="27"/>
        </w:numPr>
        <w:spacing w:after="38"/>
        <w:ind w:left="360"/>
        <w:rPr>
          <w:rFonts w:ascii="Arial" w:hAnsi="Arial" w:cs="Arial"/>
          <w:color w:val="auto"/>
          <w:sz w:val="22"/>
          <w:szCs w:val="22"/>
        </w:rPr>
      </w:pPr>
    </w:p>
    <w:p w14:paraId="294049EC"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Provide general protection against normally foreseeable accidents/mishaps and known recurrent problems (e.g. viruses and power supply variations), </w:t>
      </w:r>
    </w:p>
    <w:p w14:paraId="2260A965" w14:textId="77777777" w:rsidR="00F1450F" w:rsidRPr="00801F30" w:rsidRDefault="00F1450F" w:rsidP="00F1450F">
      <w:pPr>
        <w:pStyle w:val="Default"/>
        <w:ind w:left="360"/>
        <w:rPr>
          <w:rFonts w:ascii="Arial" w:hAnsi="Arial" w:cs="Arial"/>
          <w:color w:val="auto"/>
          <w:sz w:val="22"/>
          <w:szCs w:val="22"/>
        </w:rPr>
      </w:pPr>
    </w:p>
    <w:p w14:paraId="714F462E"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Defined Business Contingency Plan, </w:t>
      </w:r>
    </w:p>
    <w:p w14:paraId="09443F49" w14:textId="77777777" w:rsidR="00F1450F" w:rsidRPr="00801F30" w:rsidRDefault="00F1450F" w:rsidP="00F1450F">
      <w:pPr>
        <w:pStyle w:val="Default"/>
        <w:ind w:left="360"/>
        <w:rPr>
          <w:rFonts w:ascii="Arial" w:hAnsi="Arial" w:cs="Arial"/>
          <w:color w:val="auto"/>
          <w:sz w:val="22"/>
          <w:szCs w:val="22"/>
        </w:rPr>
      </w:pPr>
    </w:p>
    <w:p w14:paraId="1A3C8EA4"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Data backup with local storage, </w:t>
      </w:r>
    </w:p>
    <w:p w14:paraId="2038E91F" w14:textId="77777777" w:rsidR="00F1450F" w:rsidRPr="00801F30" w:rsidRDefault="00F1450F" w:rsidP="00F1450F">
      <w:pPr>
        <w:pStyle w:val="Default"/>
        <w:ind w:left="360"/>
        <w:rPr>
          <w:rFonts w:ascii="Arial" w:hAnsi="Arial" w:cs="Arial"/>
          <w:color w:val="auto"/>
          <w:sz w:val="22"/>
          <w:szCs w:val="22"/>
        </w:rPr>
      </w:pPr>
    </w:p>
    <w:p w14:paraId="4253FEF0" w14:textId="77777777" w:rsidR="00F1450F" w:rsidRPr="00801F30" w:rsidRDefault="00F1450F" w:rsidP="00F1450F">
      <w:pPr>
        <w:pStyle w:val="Default"/>
        <w:rPr>
          <w:rFonts w:ascii="Arial" w:hAnsi="Arial" w:cs="Arial"/>
          <w:color w:val="auto"/>
          <w:sz w:val="22"/>
          <w:szCs w:val="22"/>
        </w:rPr>
      </w:pPr>
      <w:proofErr w:type="spellStart"/>
      <w:r w:rsidRPr="00801F30">
        <w:rPr>
          <w:rFonts w:ascii="Arial" w:hAnsi="Arial" w:cs="Arial"/>
          <w:b/>
          <w:bCs/>
          <w:color w:val="auto"/>
          <w:sz w:val="22"/>
          <w:szCs w:val="22"/>
        </w:rPr>
        <w:t>Anti Virus</w:t>
      </w:r>
      <w:proofErr w:type="spellEnd"/>
      <w:r w:rsidRPr="00801F30">
        <w:rPr>
          <w:rFonts w:ascii="Arial" w:hAnsi="Arial" w:cs="Arial"/>
          <w:b/>
          <w:bCs/>
          <w:color w:val="auto"/>
          <w:sz w:val="22"/>
          <w:szCs w:val="22"/>
        </w:rPr>
        <w:t xml:space="preserve"> Software (Implementation, with updates, of an acceptable industry standard Anti-virus software), </w:t>
      </w:r>
    </w:p>
    <w:p w14:paraId="2B680B44" w14:textId="77777777" w:rsidR="00F1450F" w:rsidRPr="00801F30" w:rsidRDefault="00F1450F" w:rsidP="00F1450F">
      <w:pPr>
        <w:pStyle w:val="Default"/>
        <w:ind w:left="360"/>
        <w:rPr>
          <w:rFonts w:ascii="Arial" w:hAnsi="Arial" w:cs="Arial"/>
          <w:color w:val="auto"/>
          <w:sz w:val="22"/>
          <w:szCs w:val="22"/>
        </w:rPr>
      </w:pPr>
    </w:p>
    <w:p w14:paraId="5184ED85"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t xml:space="preserve">Operating systems, applications and firmware should be supported, </w:t>
      </w:r>
    </w:p>
    <w:p w14:paraId="7398DB88" w14:textId="77777777" w:rsidR="00F1450F" w:rsidRPr="00801F30" w:rsidRDefault="00F1450F" w:rsidP="00F1450F">
      <w:pPr>
        <w:pStyle w:val="Default"/>
        <w:ind w:left="360"/>
        <w:rPr>
          <w:rFonts w:ascii="Arial" w:hAnsi="Arial" w:cs="Arial"/>
          <w:color w:val="auto"/>
          <w:sz w:val="22"/>
          <w:szCs w:val="22"/>
        </w:rPr>
      </w:pPr>
    </w:p>
    <w:p w14:paraId="4A2AF6E7"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rPr>
        <w:lastRenderedPageBreak/>
        <w:t xml:space="preserve">Patching of Operating Systems and Applications used shall be in line with the manufacturers recommended schedule. If patches cannot be applied an understanding of the resulting risk will be documented, </w:t>
      </w:r>
    </w:p>
    <w:p w14:paraId="6D4ED78E" w14:textId="77777777" w:rsidR="00F1450F" w:rsidRPr="00801F30" w:rsidRDefault="00F1450F" w:rsidP="00F1450F">
      <w:pPr>
        <w:pStyle w:val="Default"/>
        <w:spacing w:after="37"/>
        <w:rPr>
          <w:rFonts w:ascii="Arial" w:hAnsi="Arial" w:cs="Arial"/>
          <w:color w:val="auto"/>
          <w:sz w:val="22"/>
          <w:szCs w:val="22"/>
        </w:rPr>
      </w:pPr>
      <w:proofErr w:type="gramStart"/>
      <w:r w:rsidRPr="00801F30">
        <w:rPr>
          <w:rFonts w:ascii="Arial" w:hAnsi="Arial" w:cs="Arial"/>
          <w:color w:val="auto"/>
          <w:sz w:val="22"/>
          <w:szCs w:val="22"/>
        </w:rPr>
        <w:t>h</w:t>
      </w:r>
      <w:proofErr w:type="gramEnd"/>
      <w:r w:rsidRPr="00801F30">
        <w:rPr>
          <w:rFonts w:ascii="Arial" w:hAnsi="Arial" w:cs="Arial"/>
          <w:color w:val="auto"/>
          <w:sz w:val="22"/>
          <w:szCs w:val="22"/>
        </w:rPr>
        <w:t xml:space="preserve">. </w:t>
      </w:r>
    </w:p>
    <w:p w14:paraId="04B0420C"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Logon Banners </w:t>
      </w:r>
      <w:r w:rsidRPr="00801F30">
        <w:rPr>
          <w:rFonts w:ascii="Arial" w:hAnsi="Arial" w:cs="Arial"/>
          <w:b/>
          <w:bCs/>
          <w:color w:val="auto"/>
          <w:sz w:val="22"/>
          <w:szCs w:val="22"/>
        </w:rPr>
        <w:t xml:space="preserve">Wherever possible, a “Logon Banner” shall be provided to </w:t>
      </w:r>
      <w:proofErr w:type="spellStart"/>
      <w:r w:rsidRPr="00801F30">
        <w:rPr>
          <w:rFonts w:ascii="Arial" w:hAnsi="Arial" w:cs="Arial"/>
          <w:b/>
          <w:bCs/>
          <w:color w:val="auto"/>
          <w:sz w:val="22"/>
          <w:szCs w:val="22"/>
        </w:rPr>
        <w:t>summarise</w:t>
      </w:r>
      <w:proofErr w:type="spellEnd"/>
      <w:r w:rsidRPr="00801F30">
        <w:rPr>
          <w:rFonts w:ascii="Arial" w:hAnsi="Arial" w:cs="Arial"/>
          <w:b/>
          <w:bCs/>
          <w:color w:val="auto"/>
          <w:sz w:val="22"/>
          <w:szCs w:val="22"/>
        </w:rPr>
        <w:t xml:space="preserve"> the requirements for access to a system which may be needed to institute legal action in case of any breach occurring. </w:t>
      </w:r>
    </w:p>
    <w:p w14:paraId="78E289B7" w14:textId="77777777" w:rsidR="00F1450F" w:rsidRPr="00801F30" w:rsidRDefault="00F1450F" w:rsidP="00F1450F">
      <w:pPr>
        <w:pStyle w:val="Default"/>
        <w:spacing w:after="120"/>
        <w:ind w:left="1440"/>
        <w:rPr>
          <w:rFonts w:ascii="Arial" w:hAnsi="Arial" w:cs="Arial"/>
          <w:color w:val="auto"/>
          <w:sz w:val="22"/>
          <w:szCs w:val="22"/>
        </w:rPr>
      </w:pPr>
      <w:r w:rsidRPr="00801F30">
        <w:rPr>
          <w:rFonts w:ascii="Arial" w:hAnsi="Arial" w:cs="Arial"/>
          <w:b/>
          <w:bCs/>
          <w:color w:val="auto"/>
          <w:sz w:val="22"/>
          <w:szCs w:val="22"/>
        </w:rPr>
        <w:t xml:space="preserve">A suggested format for the text (depending on national legal requirements) could be: </w:t>
      </w:r>
    </w:p>
    <w:p w14:paraId="25CA3D00" w14:textId="77777777" w:rsidR="00F1450F" w:rsidRPr="00801F30" w:rsidRDefault="00F1450F" w:rsidP="00F1450F">
      <w:pPr>
        <w:pStyle w:val="Default"/>
        <w:spacing w:after="120"/>
        <w:ind w:left="2160"/>
        <w:rPr>
          <w:rFonts w:ascii="Arial" w:hAnsi="Arial" w:cs="Arial"/>
          <w:color w:val="auto"/>
          <w:sz w:val="22"/>
          <w:szCs w:val="22"/>
        </w:rPr>
      </w:pPr>
      <w:r w:rsidRPr="00801F30">
        <w:rPr>
          <w:rFonts w:ascii="Arial" w:hAnsi="Arial" w:cs="Arial"/>
          <w:b/>
          <w:bCs/>
          <w:color w:val="auto"/>
          <w:sz w:val="22"/>
          <w:szCs w:val="22"/>
        </w:rPr>
        <w:t>“</w:t>
      </w:r>
      <w:proofErr w:type="spellStart"/>
      <w:r w:rsidRPr="00801F30">
        <w:rPr>
          <w:rFonts w:ascii="Arial" w:hAnsi="Arial" w:cs="Arial"/>
          <w:b/>
          <w:bCs/>
          <w:color w:val="auto"/>
          <w:sz w:val="22"/>
          <w:szCs w:val="22"/>
        </w:rPr>
        <w:t>Unauthorised</w:t>
      </w:r>
      <w:proofErr w:type="spellEnd"/>
      <w:r w:rsidRPr="00801F30">
        <w:rPr>
          <w:rFonts w:ascii="Arial" w:hAnsi="Arial" w:cs="Arial"/>
          <w:b/>
          <w:bCs/>
          <w:color w:val="auto"/>
          <w:sz w:val="22"/>
          <w:szCs w:val="22"/>
        </w:rPr>
        <w:t xml:space="preserve"> access to this computer system may constitute a criminal offence” </w:t>
      </w:r>
    </w:p>
    <w:p w14:paraId="5A92E4DE" w14:textId="77777777" w:rsidR="00F1450F" w:rsidRPr="00801F30" w:rsidRDefault="00F1450F" w:rsidP="00F1450F">
      <w:pPr>
        <w:pStyle w:val="Default"/>
        <w:spacing w:after="120"/>
        <w:rPr>
          <w:rFonts w:ascii="Arial" w:hAnsi="Arial" w:cs="Arial"/>
          <w:color w:val="auto"/>
          <w:sz w:val="22"/>
          <w:szCs w:val="22"/>
        </w:rPr>
      </w:pPr>
      <w:proofErr w:type="spellStart"/>
      <w:proofErr w:type="gramStart"/>
      <w:r w:rsidRPr="00801F30">
        <w:rPr>
          <w:rFonts w:ascii="Arial" w:hAnsi="Arial" w:cs="Arial"/>
          <w:color w:val="auto"/>
          <w:sz w:val="22"/>
          <w:szCs w:val="22"/>
        </w:rPr>
        <w:t>i</w:t>
      </w:r>
      <w:proofErr w:type="spellEnd"/>
      <w:proofErr w:type="gramEnd"/>
      <w:r w:rsidRPr="00801F30">
        <w:rPr>
          <w:rFonts w:ascii="Arial" w:hAnsi="Arial" w:cs="Arial"/>
          <w:color w:val="auto"/>
          <w:sz w:val="22"/>
          <w:szCs w:val="22"/>
        </w:rPr>
        <w:t xml:space="preserve">. </w:t>
      </w:r>
    </w:p>
    <w:p w14:paraId="5062F782"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Unattended Terminals. </w:t>
      </w:r>
      <w:r w:rsidRPr="00801F30">
        <w:rPr>
          <w:rFonts w:ascii="Arial" w:hAnsi="Arial" w:cs="Arial"/>
          <w:b/>
          <w:bCs/>
          <w:color w:val="auto"/>
          <w:sz w:val="22"/>
          <w:szCs w:val="22"/>
        </w:rPr>
        <w:t xml:space="preserve">Users are to be automatically logged off the system if their terminals have been inactive for some predetermined period of time, or systems must activate a password protected screen saver after 15 minutes of inactivity, to prevent an attacker making use of an unattended terminal. </w:t>
      </w:r>
    </w:p>
    <w:p w14:paraId="7FBE0E6A" w14:textId="77777777" w:rsidR="00F1450F" w:rsidRPr="00801F30" w:rsidRDefault="00F1450F" w:rsidP="00F1450F">
      <w:pPr>
        <w:pStyle w:val="Default"/>
        <w:rPr>
          <w:rFonts w:ascii="Arial" w:hAnsi="Arial" w:cs="Arial"/>
          <w:color w:val="auto"/>
          <w:sz w:val="22"/>
          <w:szCs w:val="22"/>
        </w:rPr>
      </w:pPr>
      <w:proofErr w:type="gramStart"/>
      <w:r w:rsidRPr="00801F30">
        <w:rPr>
          <w:rFonts w:ascii="Arial" w:hAnsi="Arial" w:cs="Arial"/>
          <w:color w:val="auto"/>
          <w:sz w:val="22"/>
          <w:szCs w:val="22"/>
        </w:rPr>
        <w:t>j</w:t>
      </w:r>
      <w:proofErr w:type="gramEnd"/>
      <w:r w:rsidRPr="00801F30">
        <w:rPr>
          <w:rFonts w:ascii="Arial" w:hAnsi="Arial" w:cs="Arial"/>
          <w:color w:val="auto"/>
          <w:sz w:val="22"/>
          <w:szCs w:val="22"/>
        </w:rPr>
        <w:t xml:space="preserve">. </w:t>
      </w:r>
    </w:p>
    <w:p w14:paraId="393BF0B2"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Internet Connections. </w:t>
      </w:r>
      <w:r w:rsidRPr="00801F30">
        <w:rPr>
          <w:rFonts w:ascii="Arial" w:hAnsi="Arial" w:cs="Arial"/>
          <w:b/>
          <w:bCs/>
          <w:color w:val="auto"/>
          <w:sz w:val="22"/>
          <w:szCs w:val="22"/>
        </w:rPr>
        <w:t xml:space="preserve">Computer systems shall not be connected direct to the Internet or ‘untrusted’ systems unless protected by a firewall (a software based personal firewall is the minimum) which is acceptable to the Authority’s Principal Security Advisor. </w:t>
      </w:r>
    </w:p>
    <w:p w14:paraId="4B8D9DA0" w14:textId="77777777" w:rsidR="00F1450F" w:rsidRPr="00801F30" w:rsidRDefault="00F1450F" w:rsidP="00F1450F">
      <w:pPr>
        <w:pStyle w:val="Default"/>
        <w:rPr>
          <w:rFonts w:ascii="Arial" w:hAnsi="Arial" w:cs="Arial"/>
          <w:color w:val="auto"/>
          <w:sz w:val="22"/>
          <w:szCs w:val="22"/>
        </w:rPr>
      </w:pPr>
      <w:proofErr w:type="gramStart"/>
      <w:r w:rsidRPr="00801F30">
        <w:rPr>
          <w:rFonts w:ascii="Arial" w:hAnsi="Arial" w:cs="Arial"/>
          <w:color w:val="auto"/>
          <w:sz w:val="22"/>
          <w:szCs w:val="22"/>
        </w:rPr>
        <w:t>k</w:t>
      </w:r>
      <w:proofErr w:type="gramEnd"/>
      <w:r w:rsidRPr="00801F30">
        <w:rPr>
          <w:rFonts w:ascii="Arial" w:hAnsi="Arial" w:cs="Arial"/>
          <w:color w:val="auto"/>
          <w:sz w:val="22"/>
          <w:szCs w:val="22"/>
        </w:rPr>
        <w:t xml:space="preserve">. </w:t>
      </w:r>
    </w:p>
    <w:p w14:paraId="12E4EF79" w14:textId="77777777" w:rsidR="00F1450F" w:rsidRPr="00801F30" w:rsidRDefault="00F1450F" w:rsidP="00F1450F">
      <w:pPr>
        <w:pStyle w:val="Default"/>
        <w:rPr>
          <w:rFonts w:ascii="Arial" w:hAnsi="Arial" w:cs="Arial"/>
          <w:color w:val="auto"/>
          <w:sz w:val="22"/>
          <w:szCs w:val="22"/>
        </w:rPr>
      </w:pPr>
      <w:r w:rsidRPr="00801F30">
        <w:rPr>
          <w:rFonts w:ascii="Arial" w:hAnsi="Arial" w:cs="Arial"/>
          <w:b/>
          <w:bCs/>
          <w:color w:val="auto"/>
          <w:sz w:val="22"/>
          <w:szCs w:val="22"/>
          <w:u w:val="single"/>
        </w:rPr>
        <w:t xml:space="preserve">Disposal </w:t>
      </w:r>
      <w:proofErr w:type="gramStart"/>
      <w:r w:rsidRPr="00801F30">
        <w:rPr>
          <w:rFonts w:ascii="Arial" w:hAnsi="Arial" w:cs="Arial"/>
          <w:b/>
          <w:bCs/>
          <w:color w:val="auto"/>
          <w:sz w:val="22"/>
          <w:szCs w:val="22"/>
        </w:rPr>
        <w:t>Before</w:t>
      </w:r>
      <w:proofErr w:type="gramEnd"/>
      <w:r w:rsidRPr="00801F30">
        <w:rPr>
          <w:rFonts w:ascii="Arial" w:hAnsi="Arial" w:cs="Arial"/>
          <w:b/>
          <w:bCs/>
          <w:color w:val="auto"/>
          <w:sz w:val="22"/>
          <w:szCs w:val="22"/>
        </w:rPr>
        <w:t xml:space="preserve"> IT storage media (e.g. disks) are disposed of, an erasure product shall be used to overwrite the data. This is a more thorough process than deletion of files, which does not remove the data. </w:t>
      </w:r>
    </w:p>
    <w:p w14:paraId="73C3C175" w14:textId="77777777" w:rsidR="00F1450F" w:rsidRPr="00801F30" w:rsidRDefault="00F1450F" w:rsidP="00F1450F">
      <w:pPr>
        <w:pStyle w:val="Default"/>
        <w:rPr>
          <w:rFonts w:ascii="Arial" w:hAnsi="Arial" w:cs="Arial"/>
          <w:color w:val="auto"/>
          <w:sz w:val="22"/>
          <w:szCs w:val="22"/>
        </w:rPr>
      </w:pPr>
    </w:p>
    <w:p w14:paraId="37E190CD" w14:textId="77777777" w:rsidR="00F1450F" w:rsidRPr="00801F30" w:rsidRDefault="00F1450F" w:rsidP="00F1450F">
      <w:pPr>
        <w:pStyle w:val="Default"/>
        <w:spacing w:after="120"/>
        <w:jc w:val="both"/>
        <w:rPr>
          <w:rFonts w:ascii="Arial" w:hAnsi="Arial" w:cs="Arial"/>
          <w:b/>
          <w:bCs/>
          <w:color w:val="auto"/>
          <w:sz w:val="22"/>
          <w:szCs w:val="22"/>
        </w:rPr>
      </w:pPr>
    </w:p>
    <w:p w14:paraId="637CE681" w14:textId="77777777" w:rsidR="00F1450F" w:rsidRPr="00801F30" w:rsidRDefault="00F1450F" w:rsidP="00F1450F">
      <w:pPr>
        <w:pStyle w:val="Default"/>
        <w:spacing w:after="120"/>
        <w:jc w:val="both"/>
        <w:rPr>
          <w:rFonts w:ascii="Arial" w:hAnsi="Arial" w:cs="Arial"/>
          <w:b/>
          <w:bCs/>
          <w:color w:val="auto"/>
          <w:sz w:val="22"/>
          <w:szCs w:val="22"/>
        </w:rPr>
      </w:pPr>
      <w:r w:rsidRPr="00801F30">
        <w:rPr>
          <w:rFonts w:ascii="Arial" w:hAnsi="Arial" w:cs="Arial"/>
          <w:b/>
          <w:bCs/>
          <w:color w:val="auto"/>
          <w:sz w:val="22"/>
          <w:szCs w:val="22"/>
        </w:rPr>
        <w:t xml:space="preserve">Laptops </w:t>
      </w:r>
    </w:p>
    <w:p w14:paraId="49A3E17E" w14:textId="77777777" w:rsidR="00F1450F" w:rsidRPr="00801F30" w:rsidRDefault="00F1450F" w:rsidP="00F1450F">
      <w:pPr>
        <w:pStyle w:val="Default"/>
        <w:spacing w:after="120"/>
        <w:jc w:val="both"/>
        <w:rPr>
          <w:rFonts w:ascii="Arial" w:hAnsi="Arial" w:cs="Arial"/>
          <w:b/>
          <w:bCs/>
          <w:color w:val="auto"/>
          <w:sz w:val="22"/>
          <w:szCs w:val="22"/>
        </w:rPr>
      </w:pPr>
    </w:p>
    <w:p w14:paraId="2F0E7791" w14:textId="77777777" w:rsidR="00F1450F" w:rsidRPr="00801F30" w:rsidRDefault="00F1450F" w:rsidP="00F1450F">
      <w:pPr>
        <w:rPr>
          <w:rFonts w:cs="Arial"/>
          <w:b/>
          <w:szCs w:val="22"/>
        </w:rPr>
      </w:pPr>
      <w:r w:rsidRPr="00801F30">
        <w:rPr>
          <w:rFonts w:cs="Arial"/>
          <w:b/>
          <w:szCs w:val="22"/>
        </w:rPr>
        <w:t>21. Laptops holding any MOD supplied or contractor generated Reportable OFFICIAL and OFFICIAL-SENSITIVE information are to be encrypted using a Foundation Grade product or equivalent as described in paragraph 13 above</w:t>
      </w:r>
      <w:proofErr w:type="gramStart"/>
      <w:r w:rsidRPr="00801F30">
        <w:rPr>
          <w:rFonts w:cs="Arial"/>
          <w:b/>
          <w:szCs w:val="22"/>
        </w:rPr>
        <w:t>..</w:t>
      </w:r>
      <w:proofErr w:type="gramEnd"/>
      <w:r w:rsidRPr="00801F30">
        <w:rPr>
          <w:rFonts w:cs="Arial"/>
          <w:b/>
          <w:szCs w:val="22"/>
        </w:rPr>
        <w:t xml:space="preserve"> </w:t>
      </w:r>
    </w:p>
    <w:p w14:paraId="590DB284" w14:textId="77777777" w:rsidR="00F1450F" w:rsidRPr="00801F30" w:rsidRDefault="00F1450F" w:rsidP="00F1450F">
      <w:pPr>
        <w:rPr>
          <w:rFonts w:cs="Arial"/>
          <w:b/>
          <w:szCs w:val="22"/>
        </w:rPr>
      </w:pPr>
      <w:r w:rsidRPr="00801F30">
        <w:rPr>
          <w:rFonts w:cs="Arial"/>
          <w:b/>
          <w:szCs w:val="22"/>
        </w:rPr>
        <w:t>22. Unencrypted laptops not on a secure site (Secure Sites are defined as either Government premises or a secured office on the contractor premises) 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w:t>
      </w:r>
    </w:p>
    <w:p w14:paraId="7D865EAC" w14:textId="77777777" w:rsidR="00F1450F" w:rsidRPr="00801F30" w:rsidRDefault="00F1450F" w:rsidP="00F1450F">
      <w:pPr>
        <w:rPr>
          <w:rFonts w:cs="Arial"/>
          <w:b/>
          <w:szCs w:val="22"/>
        </w:rPr>
      </w:pPr>
      <w:r w:rsidRPr="00801F30">
        <w:rPr>
          <w:rFonts w:cs="Arial"/>
          <w:b/>
          <w:szCs w:val="22"/>
        </w:rPr>
        <w:t xml:space="preserve">23. Any token, touch memory device or password(s) associated with the encryption package is to be kept separate from the machine whenever the machine is not in use, left unattended or in transit. </w:t>
      </w:r>
    </w:p>
    <w:p w14:paraId="26EADBD4" w14:textId="77777777" w:rsidR="00F1450F" w:rsidRPr="00801F30" w:rsidRDefault="00F1450F" w:rsidP="00F1450F">
      <w:pPr>
        <w:rPr>
          <w:rFonts w:cs="Arial"/>
          <w:b/>
          <w:szCs w:val="22"/>
        </w:rPr>
      </w:pPr>
      <w:r w:rsidRPr="00801F30">
        <w:rPr>
          <w:rFonts w:cs="Arial"/>
          <w:b/>
          <w:szCs w:val="22"/>
        </w:rPr>
        <w:t xml:space="preserve">24. Portable CIS devices are not to be left unattended in any public location. They are not to be left unattended in any motor vehicles either in view or in the boot or luggage </w:t>
      </w:r>
      <w:r w:rsidRPr="00801F30">
        <w:rPr>
          <w:rFonts w:cs="Arial"/>
          <w:b/>
          <w:szCs w:val="22"/>
        </w:rPr>
        <w:lastRenderedPageBreak/>
        <w:t xml:space="preserve">compartment at any time. When the vehicle is being driven the CIS is to be secured out of sight in the glove compartment, boot or luggage compartment as appropriate to deter opportunist theft. </w:t>
      </w:r>
    </w:p>
    <w:p w14:paraId="1B002ADC" w14:textId="77777777" w:rsidR="00F1450F" w:rsidRPr="00801F30" w:rsidRDefault="00F1450F" w:rsidP="00F1450F">
      <w:pPr>
        <w:rPr>
          <w:rFonts w:cs="Arial"/>
          <w:b/>
          <w:szCs w:val="22"/>
        </w:rPr>
      </w:pPr>
    </w:p>
    <w:p w14:paraId="70790167" w14:textId="77777777" w:rsidR="00F1450F" w:rsidRPr="00801F30" w:rsidRDefault="00F1450F" w:rsidP="00F1450F">
      <w:pPr>
        <w:rPr>
          <w:rFonts w:cs="Arial"/>
          <w:b/>
          <w:szCs w:val="22"/>
        </w:rPr>
      </w:pPr>
      <w:r w:rsidRPr="00801F30">
        <w:rPr>
          <w:rFonts w:cs="Arial"/>
          <w:b/>
          <w:szCs w:val="22"/>
        </w:rPr>
        <w:t xml:space="preserve">Loss and Incident Reporting </w:t>
      </w:r>
    </w:p>
    <w:p w14:paraId="6D37B132" w14:textId="77777777" w:rsidR="00F1450F" w:rsidRPr="00801F30" w:rsidRDefault="00F1450F" w:rsidP="00F1450F">
      <w:pPr>
        <w:rPr>
          <w:rFonts w:cs="Arial"/>
          <w:b/>
          <w:szCs w:val="22"/>
        </w:rPr>
      </w:pPr>
      <w:r w:rsidRPr="00801F30">
        <w:rPr>
          <w:rFonts w:cs="Arial"/>
          <w:b/>
          <w:szCs w:val="22"/>
        </w:rPr>
        <w:t xml:space="preserve">25. The contractor shall immediately report any loss or otherwise compromise of Reportable OFFICIAL and OFFICIAL-SENSITIVE information to the Authority. </w:t>
      </w:r>
    </w:p>
    <w:p w14:paraId="0C95B0D8" w14:textId="77777777" w:rsidR="00F1450F" w:rsidRPr="00801F30" w:rsidRDefault="00F1450F" w:rsidP="00F1450F">
      <w:pPr>
        <w:rPr>
          <w:rFonts w:cs="Arial"/>
          <w:b/>
          <w:szCs w:val="22"/>
        </w:rPr>
      </w:pPr>
      <w:r w:rsidRPr="00801F30">
        <w:rPr>
          <w:rFonts w:cs="Arial"/>
          <w:b/>
          <w:szCs w:val="22"/>
        </w:rPr>
        <w:t>26. Any security incident involving any MOD owned, processed, or contractor generated Reportable OFFICIAL or OFFICIAL-SENSITIVE information defined in the contract Security Aspects Letter shall be immediately reported to the MOD Defence Industry Warning, Advice and Reporting Point (WARP), within the Joint Security Co-ordination Centre (</w:t>
      </w:r>
      <w:proofErr w:type="spellStart"/>
      <w:r w:rsidRPr="00801F30">
        <w:rPr>
          <w:rFonts w:cs="Arial"/>
          <w:b/>
          <w:szCs w:val="22"/>
        </w:rPr>
        <w:t>JSyCC</w:t>
      </w:r>
      <w:proofErr w:type="spellEnd"/>
      <w:r w:rsidRPr="00801F30">
        <w:rPr>
          <w:rFonts w:cs="Arial"/>
          <w:b/>
          <w:szCs w:val="22"/>
        </w:rPr>
        <w:t xml:space="preserve">). This will assist the </w:t>
      </w:r>
      <w:proofErr w:type="spellStart"/>
      <w:r w:rsidRPr="00801F30">
        <w:rPr>
          <w:rFonts w:cs="Arial"/>
          <w:b/>
          <w:szCs w:val="22"/>
        </w:rPr>
        <w:t>JSyCC</w:t>
      </w:r>
      <w:proofErr w:type="spellEnd"/>
      <w:r w:rsidRPr="00801F30">
        <w:rPr>
          <w:rFonts w:cs="Arial"/>
          <w:b/>
          <w:szCs w:val="22"/>
        </w:rPr>
        <w:t xml:space="preserve"> in formulating a formal information security reporting process and the management of any associated risks, impact analysis and upward reporting to the MOD’s Chief Information Officer (CIO) and, as appropriate, the company concerned. The MOD WARP will also advise the contractor what further action is required to be undertaken. </w:t>
      </w:r>
    </w:p>
    <w:p w14:paraId="65AE14AD" w14:textId="77777777" w:rsidR="00F1450F" w:rsidRPr="00801F30" w:rsidRDefault="00F1450F" w:rsidP="00F1450F">
      <w:pPr>
        <w:rPr>
          <w:rFonts w:cs="Arial"/>
          <w:b/>
          <w:szCs w:val="22"/>
        </w:rPr>
      </w:pPr>
    </w:p>
    <w:p w14:paraId="625C1241" w14:textId="77777777" w:rsidR="00F1450F" w:rsidRPr="00801F30" w:rsidRDefault="00F1450F" w:rsidP="00F1450F">
      <w:pPr>
        <w:rPr>
          <w:rFonts w:cs="Arial"/>
          <w:b/>
          <w:szCs w:val="22"/>
        </w:rPr>
      </w:pPr>
      <w:proofErr w:type="spellStart"/>
      <w:r w:rsidRPr="00801F30">
        <w:rPr>
          <w:rFonts w:cs="Arial"/>
          <w:b/>
          <w:szCs w:val="22"/>
          <w:u w:val="single"/>
        </w:rPr>
        <w:t>JSyCC</w:t>
      </w:r>
      <w:proofErr w:type="spellEnd"/>
      <w:r w:rsidRPr="00801F30">
        <w:rPr>
          <w:rFonts w:cs="Arial"/>
          <w:b/>
          <w:szCs w:val="22"/>
          <w:u w:val="single"/>
        </w:rPr>
        <w:t xml:space="preserve"> WARP Contact Details </w:t>
      </w:r>
    </w:p>
    <w:p w14:paraId="0135268D" w14:textId="26DABF10" w:rsidR="00F1450F" w:rsidRPr="00F91786" w:rsidRDefault="00F1450F" w:rsidP="00F91786">
      <w:pPr>
        <w:pStyle w:val="ListParagraph"/>
        <w:spacing w:line="240" w:lineRule="atLeast"/>
        <w:ind w:left="0" w:right="3"/>
        <w:rPr>
          <w:rFonts w:eastAsia="Times New Roman" w:cs="Arial"/>
          <w:b/>
          <w:szCs w:val="22"/>
          <w:lang w:eastAsia="en-GB"/>
        </w:rPr>
      </w:pPr>
      <w:r w:rsidRPr="00801F30">
        <w:rPr>
          <w:rFonts w:cs="Arial"/>
          <w:b/>
          <w:szCs w:val="22"/>
        </w:rPr>
        <w:t xml:space="preserve">Email: For those with access to the RLI: </w:t>
      </w:r>
      <w:r w:rsidR="00F91786">
        <w:rPr>
          <w:rFonts w:eastAsia="Times New Roman" w:cs="Arial"/>
          <w:b/>
          <w:lang w:eastAsia="en-GB"/>
        </w:rPr>
        <w:t>Redacted</w:t>
      </w:r>
    </w:p>
    <w:p w14:paraId="6F14A804" w14:textId="323D4B05" w:rsidR="00F1450F" w:rsidRPr="00F91786" w:rsidRDefault="00F1450F" w:rsidP="00F91786">
      <w:pPr>
        <w:pStyle w:val="ListParagraph"/>
        <w:spacing w:line="240" w:lineRule="atLeast"/>
        <w:ind w:left="0" w:right="3"/>
        <w:rPr>
          <w:rFonts w:eastAsia="Times New Roman" w:cs="Arial"/>
          <w:b/>
          <w:szCs w:val="22"/>
          <w:lang w:eastAsia="en-GB"/>
        </w:rPr>
      </w:pPr>
      <w:r w:rsidRPr="00801F30">
        <w:rPr>
          <w:rFonts w:cs="Arial"/>
          <w:b/>
          <w:szCs w:val="22"/>
        </w:rPr>
        <w:t xml:space="preserve">Email: For those without access to the RLI: </w:t>
      </w:r>
      <w:r w:rsidR="00F91786">
        <w:rPr>
          <w:rFonts w:eastAsia="Times New Roman" w:cs="Arial"/>
          <w:b/>
          <w:lang w:eastAsia="en-GB"/>
        </w:rPr>
        <w:t>Redacted</w:t>
      </w:r>
    </w:p>
    <w:p w14:paraId="067E9586" w14:textId="5F2AC616" w:rsidR="00F1450F" w:rsidRPr="00F91786" w:rsidRDefault="00F1450F" w:rsidP="00F91786">
      <w:pPr>
        <w:pStyle w:val="ListParagraph"/>
        <w:spacing w:line="240" w:lineRule="atLeast"/>
        <w:ind w:left="0" w:right="3"/>
        <w:rPr>
          <w:rFonts w:eastAsia="Times New Roman" w:cs="Arial"/>
          <w:b/>
          <w:szCs w:val="22"/>
          <w:lang w:eastAsia="en-GB"/>
        </w:rPr>
      </w:pPr>
      <w:r w:rsidRPr="00801F30">
        <w:rPr>
          <w:rFonts w:cs="Arial"/>
          <w:b/>
          <w:szCs w:val="22"/>
        </w:rPr>
        <w:t xml:space="preserve">Telephone: Working Hours: </w:t>
      </w:r>
      <w:r w:rsidR="00F91786">
        <w:rPr>
          <w:rFonts w:eastAsia="Times New Roman" w:cs="Arial"/>
          <w:b/>
          <w:lang w:eastAsia="en-GB"/>
        </w:rPr>
        <w:t>Redacted</w:t>
      </w:r>
    </w:p>
    <w:p w14:paraId="413ADC45" w14:textId="365C8B6C" w:rsidR="00F1450F" w:rsidRPr="00F91786" w:rsidRDefault="00F1450F" w:rsidP="00F91786">
      <w:pPr>
        <w:pStyle w:val="ListParagraph"/>
        <w:spacing w:line="240" w:lineRule="atLeast"/>
        <w:ind w:left="0" w:right="3"/>
        <w:rPr>
          <w:rFonts w:eastAsia="Times New Roman" w:cs="Arial"/>
          <w:b/>
          <w:szCs w:val="22"/>
          <w:lang w:eastAsia="en-GB"/>
        </w:rPr>
      </w:pPr>
      <w:r w:rsidRPr="00801F30">
        <w:rPr>
          <w:rFonts w:cs="Arial"/>
          <w:b/>
          <w:szCs w:val="22"/>
        </w:rPr>
        <w:t xml:space="preserve">Out of Hours/Duty Officer Phone: </w:t>
      </w:r>
      <w:r w:rsidR="00F91786">
        <w:rPr>
          <w:rFonts w:eastAsia="Times New Roman" w:cs="Arial"/>
          <w:b/>
          <w:lang w:eastAsia="en-GB"/>
        </w:rPr>
        <w:t>Redacted</w:t>
      </w:r>
    </w:p>
    <w:p w14:paraId="101F8015" w14:textId="77777777" w:rsidR="00F91786" w:rsidRDefault="00F1450F" w:rsidP="00F91786">
      <w:pPr>
        <w:pStyle w:val="ListParagraph"/>
        <w:spacing w:line="240" w:lineRule="atLeast"/>
        <w:ind w:left="0" w:right="3"/>
        <w:rPr>
          <w:rFonts w:eastAsia="Times New Roman" w:cs="Arial"/>
          <w:b/>
          <w:szCs w:val="22"/>
          <w:lang w:eastAsia="en-GB"/>
        </w:rPr>
      </w:pPr>
      <w:r w:rsidRPr="00801F30">
        <w:rPr>
          <w:rFonts w:cs="Arial"/>
          <w:b/>
          <w:szCs w:val="22"/>
        </w:rPr>
        <w:t xml:space="preserve">Fax: </w:t>
      </w:r>
      <w:r w:rsidR="00F91786">
        <w:rPr>
          <w:rFonts w:eastAsia="Times New Roman" w:cs="Arial"/>
          <w:b/>
          <w:lang w:eastAsia="en-GB"/>
        </w:rPr>
        <w:t>Redacted</w:t>
      </w:r>
    </w:p>
    <w:p w14:paraId="3BF6A679" w14:textId="77777777" w:rsidR="00F91786" w:rsidRDefault="00F1450F" w:rsidP="00F91786">
      <w:pPr>
        <w:pStyle w:val="ListParagraph"/>
        <w:spacing w:line="240" w:lineRule="atLeast"/>
        <w:ind w:left="0" w:right="3"/>
        <w:rPr>
          <w:rFonts w:eastAsia="Times New Roman" w:cs="Arial"/>
          <w:b/>
          <w:szCs w:val="22"/>
          <w:lang w:eastAsia="en-GB"/>
        </w:rPr>
      </w:pPr>
      <w:r w:rsidRPr="00801F30">
        <w:rPr>
          <w:rFonts w:cs="Arial"/>
          <w:b/>
          <w:szCs w:val="22"/>
        </w:rPr>
        <w:t xml:space="preserve">Mail: </w:t>
      </w:r>
      <w:r w:rsidR="00F91786">
        <w:rPr>
          <w:rFonts w:eastAsia="Times New Roman" w:cs="Arial"/>
          <w:b/>
          <w:lang w:eastAsia="en-GB"/>
        </w:rPr>
        <w:t>Redacted</w:t>
      </w:r>
    </w:p>
    <w:p w14:paraId="30C10016" w14:textId="7683DE5E" w:rsidR="00F1450F" w:rsidRPr="00801F30" w:rsidRDefault="00F1450F" w:rsidP="00F1450F">
      <w:pPr>
        <w:rPr>
          <w:rFonts w:cs="Arial"/>
          <w:b/>
          <w:szCs w:val="22"/>
        </w:rPr>
      </w:pPr>
    </w:p>
    <w:p w14:paraId="772D2681" w14:textId="77777777" w:rsidR="00F1450F" w:rsidRPr="00801F30" w:rsidRDefault="00F1450F" w:rsidP="00F1450F">
      <w:pPr>
        <w:rPr>
          <w:rFonts w:cs="Arial"/>
          <w:b/>
          <w:szCs w:val="22"/>
        </w:rPr>
      </w:pPr>
    </w:p>
    <w:p w14:paraId="1A2B0CE4" w14:textId="77777777" w:rsidR="00F1450F" w:rsidRPr="00801F30" w:rsidRDefault="00F1450F" w:rsidP="00F1450F">
      <w:pPr>
        <w:rPr>
          <w:rFonts w:cs="Arial"/>
          <w:b/>
          <w:szCs w:val="22"/>
        </w:rPr>
      </w:pPr>
      <w:r w:rsidRPr="00801F30">
        <w:rPr>
          <w:rFonts w:cs="Arial"/>
          <w:b/>
          <w:szCs w:val="22"/>
        </w:rPr>
        <w:t xml:space="preserve">Sub-Contracts </w:t>
      </w:r>
    </w:p>
    <w:p w14:paraId="009A3B35" w14:textId="77777777" w:rsidR="00F1450F" w:rsidRPr="00801F30" w:rsidRDefault="00F1450F" w:rsidP="00F1450F">
      <w:pPr>
        <w:rPr>
          <w:rFonts w:cs="Arial"/>
          <w:b/>
          <w:szCs w:val="22"/>
        </w:rPr>
      </w:pPr>
      <w:r w:rsidRPr="00801F30">
        <w:rPr>
          <w:rFonts w:cs="Arial"/>
          <w:b/>
          <w:szCs w:val="22"/>
        </w:rPr>
        <w:t xml:space="preserve">27. The Contractor may Sub-contract any elements of this Contract to Sub-contractors within the United Kingdom notifying the Authority. When sub-contracting to a Sub-contractor located in the UK the Contractor shall ensure that these Security Conditions shall be incorporated within the Sub-contract document. The </w:t>
      </w:r>
      <w:r w:rsidRPr="00801F30">
        <w:rPr>
          <w:rFonts w:cs="Arial"/>
          <w:b/>
          <w:szCs w:val="22"/>
          <w:u w:val="single"/>
        </w:rPr>
        <w:t xml:space="preserve">prior </w:t>
      </w:r>
      <w:r w:rsidRPr="00801F30">
        <w:rPr>
          <w:rFonts w:cs="Arial"/>
          <w:b/>
          <w:szCs w:val="22"/>
        </w:rPr>
        <w:t xml:space="preserve">approval of the Authority shall be obtained should the Contractor wish to Sub-contract any Reportable OFFICIAL or OFFICIAL-SENSITIVE elements of the Contract to a Sub-contractor located in another country. The first page of Appendix 5 (MOD Form 1686 (F1686)) of the Security Policy Framework Contractual Process chapter is to be used for seeking such approval. The MOD Form 1686 form can be found at Appendix 5 at: </w:t>
      </w:r>
    </w:p>
    <w:p w14:paraId="37DE1275" w14:textId="77777777" w:rsidR="00F1450F" w:rsidRPr="00801F30" w:rsidRDefault="00F1450F" w:rsidP="00F1450F">
      <w:pPr>
        <w:rPr>
          <w:rFonts w:cs="Arial"/>
          <w:b/>
          <w:szCs w:val="22"/>
        </w:rPr>
      </w:pPr>
      <w:r w:rsidRPr="00801F30">
        <w:rPr>
          <w:rFonts w:cs="Arial"/>
          <w:b/>
          <w:szCs w:val="22"/>
        </w:rPr>
        <w:t xml:space="preserve">https://www.gov.uk/government/uploads/system/uploads/attachment_data/file/367494/Contractual_Process_-_Appendix_5_form.doc </w:t>
      </w:r>
    </w:p>
    <w:p w14:paraId="5D76E0CE" w14:textId="77777777" w:rsidR="00F1450F" w:rsidRPr="00801F30" w:rsidRDefault="00F1450F" w:rsidP="00F1450F">
      <w:pPr>
        <w:rPr>
          <w:rFonts w:cs="Arial"/>
          <w:b/>
          <w:szCs w:val="22"/>
        </w:rPr>
      </w:pPr>
      <w:r w:rsidRPr="00801F30">
        <w:rPr>
          <w:rFonts w:cs="Arial"/>
          <w:b/>
          <w:szCs w:val="22"/>
        </w:rPr>
        <w:t xml:space="preserve">If the Sub-contract is approved, the Authority shall provide the Contractor with the security conditions that shall be incorporated within the Sub-contract document. </w:t>
      </w:r>
    </w:p>
    <w:p w14:paraId="349B1D06" w14:textId="77777777" w:rsidR="00F1450F" w:rsidRPr="00801F30" w:rsidRDefault="00F1450F" w:rsidP="00F1450F">
      <w:pPr>
        <w:rPr>
          <w:rFonts w:cs="Arial"/>
          <w:b/>
          <w:szCs w:val="22"/>
        </w:rPr>
      </w:pPr>
    </w:p>
    <w:p w14:paraId="3DB52F05" w14:textId="77777777" w:rsidR="00F1450F" w:rsidRPr="00801F30" w:rsidRDefault="00F1450F" w:rsidP="00F1450F">
      <w:pPr>
        <w:rPr>
          <w:rFonts w:cs="Arial"/>
          <w:b/>
          <w:szCs w:val="22"/>
        </w:rPr>
      </w:pPr>
      <w:r w:rsidRPr="00801F30">
        <w:rPr>
          <w:rFonts w:cs="Arial"/>
          <w:b/>
          <w:szCs w:val="22"/>
        </w:rPr>
        <w:t xml:space="preserve">Publicity Material </w:t>
      </w:r>
    </w:p>
    <w:p w14:paraId="6AD9A35D" w14:textId="77777777" w:rsidR="00F1450F" w:rsidRPr="00801F30" w:rsidRDefault="00F1450F" w:rsidP="00F1450F">
      <w:pPr>
        <w:rPr>
          <w:rFonts w:cs="Arial"/>
          <w:b/>
          <w:szCs w:val="22"/>
        </w:rPr>
      </w:pPr>
      <w:r w:rsidRPr="00801F30">
        <w:rPr>
          <w:rFonts w:cs="Arial"/>
          <w:b/>
          <w:szCs w:val="22"/>
        </w:rPr>
        <w:t xml:space="preserve">28. Contractors wishing to release any publicity material or display hardware that arises from this contract shall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MOD, Services or any other government department. </w:t>
      </w:r>
    </w:p>
    <w:p w14:paraId="3A5D0ABD" w14:textId="77777777" w:rsidR="00F1450F" w:rsidRPr="00801F30" w:rsidRDefault="00F1450F" w:rsidP="00F1450F">
      <w:pPr>
        <w:rPr>
          <w:rFonts w:cs="Arial"/>
          <w:b/>
          <w:szCs w:val="22"/>
        </w:rPr>
      </w:pPr>
    </w:p>
    <w:p w14:paraId="1E71DA7D" w14:textId="77777777" w:rsidR="00F1450F" w:rsidRPr="00801F30" w:rsidRDefault="00F1450F" w:rsidP="00F1450F">
      <w:pPr>
        <w:rPr>
          <w:rFonts w:cs="Arial"/>
          <w:b/>
          <w:szCs w:val="22"/>
        </w:rPr>
      </w:pPr>
      <w:r w:rsidRPr="00801F30">
        <w:rPr>
          <w:rFonts w:cs="Arial"/>
          <w:b/>
          <w:szCs w:val="22"/>
        </w:rPr>
        <w:lastRenderedPageBreak/>
        <w:t xml:space="preserve">Private Venture </w:t>
      </w:r>
    </w:p>
    <w:p w14:paraId="10D7C17C" w14:textId="77777777" w:rsidR="00F1450F" w:rsidRPr="00801F30" w:rsidRDefault="00F1450F" w:rsidP="00F1450F">
      <w:pPr>
        <w:rPr>
          <w:rFonts w:cs="Arial"/>
          <w:b/>
          <w:szCs w:val="22"/>
        </w:rPr>
      </w:pPr>
      <w:r w:rsidRPr="00801F30">
        <w:rPr>
          <w:rFonts w:cs="Arial"/>
          <w:b/>
          <w:szCs w:val="22"/>
        </w:rPr>
        <w:t>29. Any defence related Private Venture derived from the activities of this Contract are to be formally assessed by the Authority for determination of its appropriate classification. Contractors are to submit a definitive product specification to DBR-</w:t>
      </w:r>
      <w:proofErr w:type="spellStart"/>
      <w:r w:rsidRPr="00801F30">
        <w:rPr>
          <w:rFonts w:cs="Arial"/>
          <w:b/>
          <w:szCs w:val="22"/>
        </w:rPr>
        <w:t>DefSy</w:t>
      </w:r>
      <w:proofErr w:type="spellEnd"/>
      <w:r w:rsidRPr="00801F30">
        <w:rPr>
          <w:rFonts w:cs="Arial"/>
          <w:b/>
          <w:szCs w:val="22"/>
        </w:rPr>
        <w:t>(S&amp;T/</w:t>
      </w:r>
      <w:proofErr w:type="spellStart"/>
      <w:r w:rsidRPr="00801F30">
        <w:rPr>
          <w:rFonts w:cs="Arial"/>
          <w:b/>
          <w:szCs w:val="22"/>
        </w:rPr>
        <w:t>Ind</w:t>
      </w:r>
      <w:proofErr w:type="spellEnd"/>
      <w:r w:rsidRPr="00801F30">
        <w:rPr>
          <w:rFonts w:cs="Arial"/>
          <w:b/>
          <w:szCs w:val="22"/>
        </w:rPr>
        <w:t xml:space="preserve">) for PV Security Grading in accordance with the requirement detailed at: </w:t>
      </w:r>
    </w:p>
    <w:p w14:paraId="40265DE1" w14:textId="77777777" w:rsidR="00F1450F" w:rsidRPr="00801F30" w:rsidRDefault="00F1450F" w:rsidP="00F1450F">
      <w:pPr>
        <w:rPr>
          <w:rFonts w:cs="Arial"/>
          <w:b/>
          <w:szCs w:val="22"/>
        </w:rPr>
      </w:pPr>
      <w:r w:rsidRPr="00801F30">
        <w:rPr>
          <w:rFonts w:cs="Arial"/>
          <w:b/>
          <w:szCs w:val="22"/>
        </w:rPr>
        <w:t xml:space="preserve">https://www.gov.uk/government/uploads/system/uploads/attachment_data/file/300050/pv_grading_flyer_apr14.pdf </w:t>
      </w:r>
    </w:p>
    <w:p w14:paraId="1AEC648C" w14:textId="77777777" w:rsidR="00F1450F" w:rsidRPr="00801F30" w:rsidRDefault="00F1450F" w:rsidP="00F1450F">
      <w:pPr>
        <w:rPr>
          <w:rFonts w:cs="Arial"/>
          <w:b/>
          <w:szCs w:val="22"/>
        </w:rPr>
      </w:pPr>
    </w:p>
    <w:p w14:paraId="79DA003C" w14:textId="77777777" w:rsidR="00F1450F" w:rsidRPr="00801F30" w:rsidRDefault="00F1450F" w:rsidP="00F1450F">
      <w:pPr>
        <w:rPr>
          <w:rFonts w:cs="Arial"/>
          <w:b/>
          <w:szCs w:val="22"/>
        </w:rPr>
      </w:pPr>
      <w:r w:rsidRPr="00801F30">
        <w:rPr>
          <w:rFonts w:cs="Arial"/>
          <w:b/>
          <w:szCs w:val="22"/>
        </w:rPr>
        <w:t xml:space="preserve">Promotions and Potential Export Sales </w:t>
      </w:r>
    </w:p>
    <w:p w14:paraId="3B47F289" w14:textId="77777777" w:rsidR="00F1450F" w:rsidRPr="00801F30" w:rsidRDefault="00F1450F" w:rsidP="00F1450F">
      <w:pPr>
        <w:rPr>
          <w:rFonts w:cs="Arial"/>
          <w:b/>
          <w:szCs w:val="22"/>
        </w:rPr>
      </w:pPr>
      <w:r w:rsidRPr="00801F30">
        <w:rPr>
          <w:rFonts w:cs="Arial"/>
          <w:b/>
          <w:szCs w:val="22"/>
        </w:rPr>
        <w:t xml:space="preserve">30. Contractors wishing to promote, demonstrate, sell or export any material that may lead to the release of information or equipment classified OFFICIAL-SENSITIVE (including classified tactics, training or doctrine related to an OFFICIAL-SENSITIVE equipment) are to obtain the prior approval of the Authority utilising the MOD Form 680 process, as identified at: https://www.gov.uk/mod-f680-applications. </w:t>
      </w:r>
    </w:p>
    <w:p w14:paraId="52304B9C" w14:textId="77777777" w:rsidR="00F1450F" w:rsidRPr="00801F30" w:rsidRDefault="00F1450F" w:rsidP="00F1450F">
      <w:pPr>
        <w:rPr>
          <w:rFonts w:cs="Arial"/>
          <w:b/>
          <w:szCs w:val="22"/>
        </w:rPr>
      </w:pPr>
    </w:p>
    <w:p w14:paraId="21D17159" w14:textId="77777777" w:rsidR="00F1450F" w:rsidRPr="00801F30" w:rsidRDefault="00F1450F" w:rsidP="00F1450F">
      <w:pPr>
        <w:rPr>
          <w:rFonts w:cs="Arial"/>
          <w:b/>
          <w:szCs w:val="22"/>
        </w:rPr>
      </w:pPr>
      <w:r w:rsidRPr="00801F30">
        <w:rPr>
          <w:rFonts w:cs="Arial"/>
          <w:b/>
          <w:szCs w:val="22"/>
        </w:rPr>
        <w:t xml:space="preserve">Destruction </w:t>
      </w:r>
    </w:p>
    <w:p w14:paraId="7AF6165B" w14:textId="77777777" w:rsidR="00F1450F" w:rsidRPr="00801F30" w:rsidRDefault="00F1450F" w:rsidP="00F1450F">
      <w:pPr>
        <w:rPr>
          <w:rFonts w:cs="Arial"/>
          <w:b/>
          <w:szCs w:val="22"/>
        </w:rPr>
      </w:pPr>
      <w:r w:rsidRPr="00801F30">
        <w:rPr>
          <w:rFonts w:cs="Arial"/>
          <w:b/>
          <w:szCs w:val="22"/>
        </w:rPr>
        <w:t xml:space="preserve">31. As soon as no longer required, Reportable OFFICIAL and OFFICIAL-SENSITIVE information/material shall be destroyed in such a way as to make reconstitution </w:t>
      </w:r>
      <w:proofErr w:type="gramStart"/>
      <w:r w:rsidRPr="00801F30">
        <w:rPr>
          <w:rFonts w:cs="Arial"/>
          <w:b/>
          <w:szCs w:val="22"/>
        </w:rPr>
        <w:t>unlikely ,</w:t>
      </w:r>
      <w:proofErr w:type="gramEnd"/>
      <w:r w:rsidRPr="00801F30">
        <w:rPr>
          <w:rFonts w:cs="Arial"/>
          <w:b/>
          <w:szCs w:val="22"/>
        </w:rPr>
        <w:t xml:space="preserve">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OFFICIAL-SENSITIVE information/material which cannot be destroyed in such a way shall be returned to the Authority. </w:t>
      </w:r>
    </w:p>
    <w:p w14:paraId="4DC495A6" w14:textId="77777777" w:rsidR="00F1450F" w:rsidRPr="00801F30" w:rsidRDefault="00F1450F" w:rsidP="00F1450F">
      <w:pPr>
        <w:rPr>
          <w:rFonts w:cs="Arial"/>
          <w:b/>
          <w:szCs w:val="22"/>
        </w:rPr>
      </w:pPr>
    </w:p>
    <w:p w14:paraId="09ADCD10" w14:textId="77777777" w:rsidR="00F1450F" w:rsidRPr="00801F30" w:rsidRDefault="00F1450F" w:rsidP="00F1450F">
      <w:pPr>
        <w:rPr>
          <w:rFonts w:cs="Arial"/>
          <w:b/>
          <w:szCs w:val="22"/>
        </w:rPr>
      </w:pPr>
      <w:r w:rsidRPr="00801F30">
        <w:rPr>
          <w:rFonts w:cs="Arial"/>
          <w:b/>
          <w:szCs w:val="22"/>
        </w:rPr>
        <w:t xml:space="preserve">Interpretation/Guidance </w:t>
      </w:r>
    </w:p>
    <w:p w14:paraId="6BA0846D" w14:textId="77777777" w:rsidR="00F1450F" w:rsidRPr="00801F30" w:rsidRDefault="00F1450F" w:rsidP="00F1450F">
      <w:pPr>
        <w:rPr>
          <w:rFonts w:cs="Arial"/>
          <w:b/>
          <w:szCs w:val="22"/>
        </w:rPr>
      </w:pPr>
      <w:r w:rsidRPr="00801F30">
        <w:rPr>
          <w:rFonts w:cs="Arial"/>
          <w:b/>
          <w:szCs w:val="22"/>
        </w:rPr>
        <w:t xml:space="preserve">32. Advice regarding the interpretation of the above requirements should be sought from the Authority. </w:t>
      </w:r>
    </w:p>
    <w:p w14:paraId="08052A7C" w14:textId="77777777" w:rsidR="00F1450F" w:rsidRPr="00801F30" w:rsidRDefault="00F1450F" w:rsidP="00F1450F">
      <w:pPr>
        <w:rPr>
          <w:rFonts w:cs="Arial"/>
          <w:b/>
          <w:szCs w:val="22"/>
        </w:rPr>
      </w:pPr>
    </w:p>
    <w:p w14:paraId="493B8547" w14:textId="77777777" w:rsidR="00F1450F" w:rsidRPr="00801F30" w:rsidRDefault="00F1450F" w:rsidP="00F1450F">
      <w:pPr>
        <w:rPr>
          <w:rFonts w:cs="Arial"/>
          <w:b/>
          <w:szCs w:val="22"/>
        </w:rPr>
      </w:pPr>
      <w:r w:rsidRPr="00801F30">
        <w:rPr>
          <w:rFonts w:cs="Arial"/>
          <w:b/>
          <w:szCs w:val="22"/>
        </w:rPr>
        <w:t xml:space="preserve">33. Further requirements, advice and guidance for the protection of MOD information at the level of Reportable OFFICIAL and OFFICIAL-SENSITIVE may be found in Industry Security Notices at: https://www.gov.uk/government/publications/industry-security-notices-isns </w:t>
      </w:r>
    </w:p>
    <w:p w14:paraId="0B74D168" w14:textId="77777777" w:rsidR="00F1450F" w:rsidRPr="00801F30" w:rsidRDefault="00F1450F" w:rsidP="00F1450F">
      <w:pPr>
        <w:rPr>
          <w:rFonts w:cs="Arial"/>
          <w:b/>
          <w:szCs w:val="22"/>
        </w:rPr>
      </w:pPr>
    </w:p>
    <w:p w14:paraId="1B9249BE" w14:textId="77777777" w:rsidR="00F1450F" w:rsidRPr="00801F30" w:rsidRDefault="00F1450F" w:rsidP="00F1450F">
      <w:pPr>
        <w:rPr>
          <w:rFonts w:cs="Arial"/>
          <w:b/>
          <w:szCs w:val="22"/>
        </w:rPr>
      </w:pPr>
      <w:r w:rsidRPr="00801F30">
        <w:rPr>
          <w:rFonts w:cs="Arial"/>
          <w:b/>
          <w:szCs w:val="22"/>
        </w:rPr>
        <w:t xml:space="preserve">Audit </w:t>
      </w:r>
    </w:p>
    <w:p w14:paraId="5623B206" w14:textId="77777777" w:rsidR="00F1450F" w:rsidRDefault="00F1450F" w:rsidP="00F1450F">
      <w:pPr>
        <w:rPr>
          <w:rFonts w:cs="Arial"/>
          <w:b/>
          <w:szCs w:val="22"/>
        </w:rPr>
      </w:pPr>
      <w:r w:rsidRPr="00801F30">
        <w:rPr>
          <w:rFonts w:cs="Arial"/>
          <w:b/>
          <w:szCs w:val="22"/>
        </w:rPr>
        <w:t xml:space="preserve">34. Where considered necessary by the Authority, the Contractor shall provide evidence of compliance with this Security Condition and/or permit the inspection of the Contractors processes and facilities by representatives of the Authority to ensure compliance with these requirements. </w:t>
      </w:r>
    </w:p>
    <w:p w14:paraId="32716C45" w14:textId="77777777" w:rsidR="00F1450F" w:rsidRPr="00801F30" w:rsidRDefault="00F1450F" w:rsidP="00F1450F">
      <w:pPr>
        <w:rPr>
          <w:rFonts w:cs="Arial"/>
          <w:b/>
          <w:szCs w:val="22"/>
        </w:rPr>
      </w:pPr>
    </w:p>
    <w:p w14:paraId="44534F9C" w14:textId="77777777" w:rsidR="00F1450F" w:rsidRPr="00141AE2" w:rsidRDefault="00F1450F" w:rsidP="00563045">
      <w:pPr>
        <w:pStyle w:val="Level1Heading"/>
        <w:numPr>
          <w:ilvl w:val="0"/>
          <w:numId w:val="24"/>
        </w:numPr>
        <w:tabs>
          <w:tab w:val="clear" w:pos="851"/>
          <w:tab w:val="num" w:pos="540"/>
        </w:tabs>
        <w:spacing w:after="120" w:line="240" w:lineRule="atLeast"/>
        <w:outlineLvl w:val="0"/>
        <w:rPr>
          <w:rFonts w:cs="Arial"/>
          <w:szCs w:val="22"/>
        </w:rPr>
      </w:pPr>
      <w:r w:rsidRPr="00141AE2">
        <w:rPr>
          <w:rFonts w:cs="Arial"/>
          <w:szCs w:val="22"/>
        </w:rPr>
        <w:t>Interpretation</w:t>
      </w:r>
    </w:p>
    <w:p w14:paraId="4B21E485" w14:textId="77777777" w:rsidR="00F1450F" w:rsidRPr="00141AE2"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141AE2">
        <w:rPr>
          <w:rFonts w:cs="Arial"/>
          <w:b w:val="0"/>
        </w:rPr>
        <w:t>In these terms and conditions:</w:t>
      </w:r>
    </w:p>
    <w:tbl>
      <w:tblPr>
        <w:tblW w:w="0" w:type="auto"/>
        <w:tblInd w:w="108" w:type="dxa"/>
        <w:tblLook w:val="01E0" w:firstRow="1" w:lastRow="1" w:firstColumn="1" w:lastColumn="1" w:noHBand="0" w:noVBand="0"/>
      </w:tblPr>
      <w:tblGrid>
        <w:gridCol w:w="1794"/>
        <w:gridCol w:w="7127"/>
      </w:tblGrid>
      <w:tr w:rsidR="00F1450F" w:rsidRPr="00141AE2" w14:paraId="2A989EE7" w14:textId="77777777" w:rsidTr="00F1450F">
        <w:tc>
          <w:tcPr>
            <w:tcW w:w="1827" w:type="dxa"/>
          </w:tcPr>
          <w:p w14:paraId="6E489BC7"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“Agreement” </w:t>
            </w:r>
          </w:p>
        </w:tc>
        <w:tc>
          <w:tcPr>
            <w:tcW w:w="8033" w:type="dxa"/>
          </w:tcPr>
          <w:p w14:paraId="728D1CD9"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the contract between (</w:t>
            </w:r>
            <w:proofErr w:type="spellStart"/>
            <w:r w:rsidRPr="00141AE2">
              <w:rPr>
                <w:rFonts w:cs="Arial"/>
                <w:szCs w:val="22"/>
              </w:rPr>
              <w:t>i</w:t>
            </w:r>
            <w:proofErr w:type="spellEnd"/>
            <w:r w:rsidRPr="00141AE2">
              <w:rPr>
                <w:rFonts w:cs="Arial"/>
                <w:szCs w:val="22"/>
              </w:rPr>
              <w:t>) the Customer acting as part of the Crown and (ii) the Supplier constituted by the Supplier’s countersignature of the Award Letter and includes the Award Letter;</w:t>
            </w:r>
          </w:p>
        </w:tc>
      </w:tr>
      <w:tr w:rsidR="00F1450F" w:rsidRPr="00141AE2" w14:paraId="1C05519A" w14:textId="77777777" w:rsidTr="00F1450F">
        <w:tc>
          <w:tcPr>
            <w:tcW w:w="1827" w:type="dxa"/>
          </w:tcPr>
          <w:p w14:paraId="3C14D750" w14:textId="77777777" w:rsidR="00F1450F" w:rsidRPr="00141AE2" w:rsidRDefault="00F1450F" w:rsidP="00F1450F">
            <w:pPr>
              <w:widowControl w:val="0"/>
              <w:spacing w:after="120" w:line="240" w:lineRule="atLeast"/>
              <w:jc w:val="both"/>
              <w:rPr>
                <w:rFonts w:cs="Arial"/>
                <w:szCs w:val="22"/>
              </w:rPr>
            </w:pPr>
            <w:r w:rsidRPr="00141AE2">
              <w:rPr>
                <w:rFonts w:cs="Arial"/>
                <w:szCs w:val="22"/>
              </w:rPr>
              <w:t>“Award Letter”</w:t>
            </w:r>
          </w:p>
        </w:tc>
        <w:tc>
          <w:tcPr>
            <w:tcW w:w="8033" w:type="dxa"/>
          </w:tcPr>
          <w:p w14:paraId="0694F846"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the letter (including the Annexes thereto) from the Customer to the Supplier via the e-Sourcing Suite at the point of award;</w:t>
            </w:r>
          </w:p>
        </w:tc>
      </w:tr>
      <w:tr w:rsidR="00F1450F" w:rsidRPr="00141AE2" w14:paraId="5542655A" w14:textId="77777777" w:rsidTr="00F1450F">
        <w:tc>
          <w:tcPr>
            <w:tcW w:w="1827" w:type="dxa"/>
          </w:tcPr>
          <w:p w14:paraId="13182EF4" w14:textId="77777777" w:rsidR="00F1450F" w:rsidRPr="00141AE2" w:rsidRDefault="00F1450F" w:rsidP="00F1450F">
            <w:pPr>
              <w:widowControl w:val="0"/>
              <w:spacing w:after="120" w:line="240" w:lineRule="atLeast"/>
              <w:jc w:val="both"/>
              <w:rPr>
                <w:rFonts w:cs="Arial"/>
                <w:szCs w:val="22"/>
              </w:rPr>
            </w:pPr>
            <w:r w:rsidRPr="00141AE2">
              <w:rPr>
                <w:rFonts w:cs="Arial"/>
                <w:szCs w:val="22"/>
              </w:rPr>
              <w:lastRenderedPageBreak/>
              <w:t>“Central Government Body”</w:t>
            </w:r>
          </w:p>
        </w:tc>
        <w:tc>
          <w:tcPr>
            <w:tcW w:w="8033" w:type="dxa"/>
          </w:tcPr>
          <w:p w14:paraId="21CE0E59" w14:textId="77777777" w:rsidR="00F1450F" w:rsidRPr="00141AE2" w:rsidRDefault="00F1450F" w:rsidP="00F1450F">
            <w:pPr>
              <w:pStyle w:val="BodyText"/>
              <w:spacing w:before="120"/>
              <w:ind w:left="-1"/>
              <w:rPr>
                <w:rFonts w:cs="Arial"/>
                <w:szCs w:val="22"/>
              </w:rPr>
            </w:pPr>
            <w:r w:rsidRPr="00141AE2">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79093FA6" w14:textId="77777777" w:rsidR="00F1450F" w:rsidRPr="00141AE2" w:rsidRDefault="00F1450F" w:rsidP="00563045">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141AE2">
              <w:rPr>
                <w:rFonts w:cs="Arial"/>
                <w:szCs w:val="22"/>
              </w:rPr>
              <w:t>Government Department;</w:t>
            </w:r>
          </w:p>
          <w:p w14:paraId="72DBC2E8" w14:textId="77777777" w:rsidR="00F1450F" w:rsidRPr="00141AE2" w:rsidRDefault="00F1450F" w:rsidP="00563045">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141AE2">
              <w:rPr>
                <w:rFonts w:cs="Arial"/>
                <w:szCs w:val="22"/>
              </w:rPr>
              <w:t>Non-Departmental Public Body or Assembly Sponsored Public Body (advisory, executive, or tribunal);</w:t>
            </w:r>
          </w:p>
          <w:p w14:paraId="73D12501" w14:textId="77777777" w:rsidR="00F1450F" w:rsidRPr="00141AE2" w:rsidRDefault="00F1450F" w:rsidP="00563045">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141AE2">
              <w:rPr>
                <w:rFonts w:cs="Arial"/>
                <w:szCs w:val="22"/>
              </w:rPr>
              <w:t>Non-Ministerial Department; or</w:t>
            </w:r>
          </w:p>
          <w:p w14:paraId="398598C4" w14:textId="77777777" w:rsidR="00F1450F" w:rsidRPr="00141AE2" w:rsidRDefault="00F1450F" w:rsidP="00563045">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141AE2">
              <w:rPr>
                <w:rFonts w:cs="Arial"/>
                <w:szCs w:val="22"/>
              </w:rPr>
              <w:t>Executive Agency;</w:t>
            </w:r>
          </w:p>
        </w:tc>
      </w:tr>
      <w:tr w:rsidR="00F1450F" w:rsidRPr="00141AE2" w14:paraId="165A2943" w14:textId="77777777" w:rsidTr="00F1450F">
        <w:tc>
          <w:tcPr>
            <w:tcW w:w="1827" w:type="dxa"/>
          </w:tcPr>
          <w:p w14:paraId="6F3718D7" w14:textId="77777777" w:rsidR="00F1450F" w:rsidRPr="00141AE2" w:rsidRDefault="00F1450F" w:rsidP="00F1450F">
            <w:pPr>
              <w:widowControl w:val="0"/>
              <w:spacing w:after="120" w:line="240" w:lineRule="atLeast"/>
              <w:jc w:val="both"/>
              <w:rPr>
                <w:rFonts w:cs="Arial"/>
                <w:szCs w:val="22"/>
              </w:rPr>
            </w:pPr>
            <w:r w:rsidRPr="00141AE2">
              <w:rPr>
                <w:rFonts w:cs="Arial"/>
                <w:szCs w:val="22"/>
              </w:rPr>
              <w:t>“Charges”</w:t>
            </w:r>
          </w:p>
        </w:tc>
        <w:tc>
          <w:tcPr>
            <w:tcW w:w="8033" w:type="dxa"/>
          </w:tcPr>
          <w:p w14:paraId="2FC0E692" w14:textId="77777777" w:rsidR="00F1450F" w:rsidRPr="00141AE2" w:rsidRDefault="00F1450F" w:rsidP="00F1450F">
            <w:pPr>
              <w:widowControl w:val="0"/>
              <w:spacing w:after="120" w:line="240" w:lineRule="atLeast"/>
              <w:ind w:left="34" w:hanging="34"/>
              <w:jc w:val="both"/>
              <w:rPr>
                <w:rFonts w:cs="Arial"/>
                <w:szCs w:val="22"/>
              </w:rPr>
            </w:pPr>
            <w:r w:rsidRPr="00141AE2">
              <w:rPr>
                <w:rFonts w:cs="Arial"/>
                <w:szCs w:val="22"/>
              </w:rPr>
              <w:t xml:space="preserve">means the charges for the Services as specified in the Award Letter; </w:t>
            </w:r>
          </w:p>
        </w:tc>
      </w:tr>
      <w:tr w:rsidR="00F1450F" w:rsidRPr="00141AE2" w14:paraId="7C873A6D" w14:textId="77777777" w:rsidTr="00F1450F">
        <w:tc>
          <w:tcPr>
            <w:tcW w:w="1827" w:type="dxa"/>
          </w:tcPr>
          <w:p w14:paraId="1BEDA7FD" w14:textId="77777777" w:rsidR="00F1450F" w:rsidRPr="00141AE2" w:rsidRDefault="00F1450F" w:rsidP="00F1450F">
            <w:pPr>
              <w:widowControl w:val="0"/>
              <w:spacing w:after="120" w:line="240" w:lineRule="atLeast"/>
              <w:jc w:val="both"/>
              <w:rPr>
                <w:rFonts w:cs="Arial"/>
                <w:szCs w:val="22"/>
              </w:rPr>
            </w:pPr>
            <w:r w:rsidRPr="00141AE2">
              <w:rPr>
                <w:rFonts w:cs="Arial"/>
                <w:szCs w:val="22"/>
              </w:rPr>
              <w:t>“Confidential Information”</w:t>
            </w:r>
          </w:p>
        </w:tc>
        <w:tc>
          <w:tcPr>
            <w:tcW w:w="8033" w:type="dxa"/>
          </w:tcPr>
          <w:p w14:paraId="075254AE" w14:textId="77777777" w:rsidR="00F1450F" w:rsidRPr="00141AE2" w:rsidRDefault="00F1450F" w:rsidP="00F1450F">
            <w:pPr>
              <w:widowControl w:val="0"/>
              <w:spacing w:after="120" w:line="240" w:lineRule="atLeast"/>
              <w:ind w:left="34" w:hanging="34"/>
              <w:jc w:val="both"/>
              <w:rPr>
                <w:rFonts w:cs="Arial"/>
                <w:szCs w:val="22"/>
              </w:rPr>
            </w:pPr>
            <w:r w:rsidRPr="00141AE2">
              <w:rPr>
                <w:rFonts w:cs="Arial"/>
                <w:szCs w:val="22"/>
              </w:rPr>
              <w:t>means all information, whether written or oral (however recorded), provided by the disclosing Party to the receiving Party and which (</w:t>
            </w:r>
            <w:proofErr w:type="spellStart"/>
            <w:r w:rsidRPr="00141AE2">
              <w:rPr>
                <w:rFonts w:cs="Arial"/>
                <w:szCs w:val="22"/>
              </w:rPr>
              <w:t>i</w:t>
            </w:r>
            <w:proofErr w:type="spellEnd"/>
            <w:r w:rsidRPr="00141AE2">
              <w:rPr>
                <w:rFonts w:cs="Arial"/>
                <w:szCs w:val="22"/>
              </w:rPr>
              <w:t>) is known by the receiving Party to be confidential; (ii) is marked as or stated to be confidential; or (iii) ought reasonably to be considered by the receiving Party to be confidential;</w:t>
            </w:r>
          </w:p>
        </w:tc>
      </w:tr>
      <w:tr w:rsidR="00F1450F" w:rsidRPr="00141AE2" w14:paraId="7A8E14FB" w14:textId="77777777" w:rsidTr="00F1450F">
        <w:tc>
          <w:tcPr>
            <w:tcW w:w="1827" w:type="dxa"/>
          </w:tcPr>
          <w:p w14:paraId="6AD94FAC" w14:textId="77777777" w:rsidR="00F1450F" w:rsidRPr="00141AE2" w:rsidRDefault="00F1450F" w:rsidP="00F1450F">
            <w:pPr>
              <w:widowControl w:val="0"/>
              <w:spacing w:after="120" w:line="240" w:lineRule="atLeast"/>
              <w:jc w:val="both"/>
              <w:rPr>
                <w:rFonts w:cs="Arial"/>
                <w:szCs w:val="22"/>
              </w:rPr>
            </w:pPr>
            <w:r w:rsidRPr="00141AE2">
              <w:rPr>
                <w:rFonts w:cs="Arial"/>
                <w:szCs w:val="22"/>
              </w:rPr>
              <w:t>“Customer”</w:t>
            </w:r>
          </w:p>
        </w:tc>
        <w:tc>
          <w:tcPr>
            <w:tcW w:w="8033" w:type="dxa"/>
          </w:tcPr>
          <w:p w14:paraId="2DD25EDD"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the person named as Customer in the Award Letter;</w:t>
            </w:r>
          </w:p>
        </w:tc>
      </w:tr>
      <w:tr w:rsidR="00F1450F" w:rsidRPr="00141AE2" w14:paraId="047E997E" w14:textId="77777777" w:rsidTr="00F1450F">
        <w:tc>
          <w:tcPr>
            <w:tcW w:w="1827" w:type="dxa"/>
          </w:tcPr>
          <w:p w14:paraId="37C7D313" w14:textId="77777777" w:rsidR="00F1450F" w:rsidRPr="00141AE2" w:rsidRDefault="00F1450F" w:rsidP="00F1450F">
            <w:pPr>
              <w:widowControl w:val="0"/>
              <w:spacing w:after="120" w:line="240" w:lineRule="atLeast"/>
              <w:jc w:val="both"/>
              <w:rPr>
                <w:rFonts w:cs="Arial"/>
                <w:szCs w:val="22"/>
              </w:rPr>
            </w:pPr>
            <w:r w:rsidRPr="00141AE2">
              <w:rPr>
                <w:rFonts w:cs="Arial"/>
                <w:szCs w:val="22"/>
              </w:rPr>
              <w:t>“DPA”</w:t>
            </w:r>
          </w:p>
        </w:tc>
        <w:tc>
          <w:tcPr>
            <w:tcW w:w="8033" w:type="dxa"/>
          </w:tcPr>
          <w:p w14:paraId="07F95D57"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the Data Protection Act 1998; </w:t>
            </w:r>
          </w:p>
        </w:tc>
      </w:tr>
      <w:tr w:rsidR="00F1450F" w:rsidRPr="00141AE2" w14:paraId="1AEA6688" w14:textId="77777777" w:rsidTr="00F1450F">
        <w:tc>
          <w:tcPr>
            <w:tcW w:w="1827" w:type="dxa"/>
          </w:tcPr>
          <w:p w14:paraId="07D323CF" w14:textId="77777777" w:rsidR="00F1450F" w:rsidRPr="00141AE2" w:rsidRDefault="00F1450F" w:rsidP="00F1450F">
            <w:pPr>
              <w:widowControl w:val="0"/>
              <w:spacing w:after="120" w:line="240" w:lineRule="atLeast"/>
              <w:jc w:val="both"/>
              <w:rPr>
                <w:rFonts w:cs="Arial"/>
                <w:szCs w:val="22"/>
              </w:rPr>
            </w:pPr>
            <w:r w:rsidRPr="00141AE2">
              <w:rPr>
                <w:rFonts w:cs="Arial"/>
                <w:szCs w:val="22"/>
              </w:rPr>
              <w:t>“Expiry Date”</w:t>
            </w:r>
          </w:p>
        </w:tc>
        <w:tc>
          <w:tcPr>
            <w:tcW w:w="8033" w:type="dxa"/>
          </w:tcPr>
          <w:p w14:paraId="4A11760B"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the date for expiry of the Agreement as set out in the Award Letter;  </w:t>
            </w:r>
          </w:p>
        </w:tc>
      </w:tr>
      <w:tr w:rsidR="00F1450F" w:rsidRPr="00141AE2" w14:paraId="5406984D" w14:textId="77777777" w:rsidTr="00F1450F">
        <w:tc>
          <w:tcPr>
            <w:tcW w:w="1827" w:type="dxa"/>
          </w:tcPr>
          <w:p w14:paraId="2D6C1D6A" w14:textId="77777777" w:rsidR="00F1450F" w:rsidRPr="00141AE2" w:rsidRDefault="00F1450F" w:rsidP="00F1450F">
            <w:pPr>
              <w:widowControl w:val="0"/>
              <w:spacing w:after="120" w:line="240" w:lineRule="atLeast"/>
              <w:jc w:val="both"/>
              <w:rPr>
                <w:rFonts w:cs="Arial"/>
                <w:szCs w:val="22"/>
              </w:rPr>
            </w:pPr>
            <w:r w:rsidRPr="00141AE2">
              <w:rPr>
                <w:rFonts w:cs="Arial"/>
                <w:szCs w:val="22"/>
              </w:rPr>
              <w:t>“FOIA”</w:t>
            </w:r>
          </w:p>
        </w:tc>
        <w:tc>
          <w:tcPr>
            <w:tcW w:w="8033" w:type="dxa"/>
          </w:tcPr>
          <w:p w14:paraId="27B13337"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the Freedom of Information Act 2000;</w:t>
            </w:r>
          </w:p>
        </w:tc>
      </w:tr>
      <w:tr w:rsidR="00F1450F" w:rsidRPr="00141AE2" w14:paraId="46892410" w14:textId="77777777" w:rsidTr="00F1450F">
        <w:tc>
          <w:tcPr>
            <w:tcW w:w="1827" w:type="dxa"/>
          </w:tcPr>
          <w:p w14:paraId="1C0D9B37" w14:textId="77777777" w:rsidR="00F1450F" w:rsidRPr="00141AE2" w:rsidRDefault="00F1450F" w:rsidP="00F1450F">
            <w:pPr>
              <w:widowControl w:val="0"/>
              <w:spacing w:after="120" w:line="240" w:lineRule="atLeast"/>
              <w:jc w:val="both"/>
              <w:rPr>
                <w:rFonts w:cs="Arial"/>
                <w:szCs w:val="22"/>
              </w:rPr>
            </w:pPr>
            <w:r w:rsidRPr="00141AE2">
              <w:rPr>
                <w:rFonts w:cs="Arial"/>
                <w:szCs w:val="22"/>
              </w:rPr>
              <w:t>“Information”</w:t>
            </w:r>
          </w:p>
        </w:tc>
        <w:tc>
          <w:tcPr>
            <w:tcW w:w="8033" w:type="dxa"/>
          </w:tcPr>
          <w:p w14:paraId="51084D45"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has the meaning given under section 84 of the FOIA; </w:t>
            </w:r>
          </w:p>
        </w:tc>
      </w:tr>
      <w:tr w:rsidR="00F1450F" w:rsidRPr="00141AE2" w14:paraId="488FDD51" w14:textId="77777777" w:rsidTr="00F1450F">
        <w:tc>
          <w:tcPr>
            <w:tcW w:w="1827" w:type="dxa"/>
          </w:tcPr>
          <w:p w14:paraId="1639450B"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“Key Personnel” </w:t>
            </w:r>
          </w:p>
        </w:tc>
        <w:tc>
          <w:tcPr>
            <w:tcW w:w="8033" w:type="dxa"/>
          </w:tcPr>
          <w:p w14:paraId="2E1A788F"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any persons specified as such in the Award Letter or otherwise notified as such by the Customer to the Supplier in writing;  </w:t>
            </w:r>
          </w:p>
        </w:tc>
      </w:tr>
      <w:tr w:rsidR="00F1450F" w:rsidRPr="00141AE2" w14:paraId="267A13DB" w14:textId="77777777" w:rsidTr="00F1450F">
        <w:tc>
          <w:tcPr>
            <w:tcW w:w="1827" w:type="dxa"/>
          </w:tcPr>
          <w:p w14:paraId="522A3E52" w14:textId="77777777" w:rsidR="00F1450F" w:rsidRPr="00141AE2" w:rsidRDefault="00F1450F" w:rsidP="00F1450F">
            <w:pPr>
              <w:widowControl w:val="0"/>
              <w:spacing w:after="120" w:line="240" w:lineRule="atLeast"/>
              <w:jc w:val="both"/>
              <w:rPr>
                <w:rFonts w:cs="Arial"/>
                <w:szCs w:val="22"/>
              </w:rPr>
            </w:pPr>
            <w:r w:rsidRPr="00141AE2">
              <w:rPr>
                <w:rFonts w:cs="Arial"/>
                <w:szCs w:val="22"/>
              </w:rPr>
              <w:t>“Party”</w:t>
            </w:r>
          </w:p>
        </w:tc>
        <w:tc>
          <w:tcPr>
            <w:tcW w:w="8033" w:type="dxa"/>
          </w:tcPr>
          <w:p w14:paraId="39A5BE16"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the Supplier or the Customer (as appropriate) and “Parties” shall mean both of them; </w:t>
            </w:r>
          </w:p>
        </w:tc>
      </w:tr>
      <w:tr w:rsidR="00F1450F" w:rsidRPr="00141AE2" w14:paraId="05F93DE1" w14:textId="77777777" w:rsidTr="00F1450F">
        <w:tc>
          <w:tcPr>
            <w:tcW w:w="1827" w:type="dxa"/>
          </w:tcPr>
          <w:p w14:paraId="34588570" w14:textId="77777777" w:rsidR="00F1450F" w:rsidRPr="00141AE2" w:rsidRDefault="00F1450F" w:rsidP="00F1450F">
            <w:pPr>
              <w:widowControl w:val="0"/>
              <w:spacing w:after="120" w:line="240" w:lineRule="atLeast"/>
              <w:jc w:val="both"/>
              <w:rPr>
                <w:rFonts w:cs="Arial"/>
                <w:szCs w:val="22"/>
              </w:rPr>
            </w:pPr>
            <w:r w:rsidRPr="00141AE2">
              <w:rPr>
                <w:rFonts w:cs="Arial"/>
                <w:szCs w:val="22"/>
              </w:rPr>
              <w:t>“Personal Data”</w:t>
            </w:r>
          </w:p>
        </w:tc>
        <w:tc>
          <w:tcPr>
            <w:tcW w:w="8033" w:type="dxa"/>
          </w:tcPr>
          <w:p w14:paraId="4303DB1A"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personal data (as defined in the DPA) which is processed by the Supplier or any Staff on behalf of the Customer pursuant to or in connection with this Agreement;</w:t>
            </w:r>
          </w:p>
        </w:tc>
      </w:tr>
      <w:tr w:rsidR="00F1450F" w:rsidRPr="00141AE2" w14:paraId="59172E9E" w14:textId="77777777" w:rsidTr="00F1450F">
        <w:tc>
          <w:tcPr>
            <w:tcW w:w="1827" w:type="dxa"/>
          </w:tcPr>
          <w:p w14:paraId="45C79484" w14:textId="77777777" w:rsidR="00F1450F" w:rsidRPr="00141AE2" w:rsidRDefault="00F1450F" w:rsidP="00F1450F">
            <w:pPr>
              <w:widowControl w:val="0"/>
              <w:spacing w:after="120" w:line="240" w:lineRule="atLeast"/>
              <w:jc w:val="both"/>
              <w:rPr>
                <w:rFonts w:cs="Arial"/>
                <w:szCs w:val="22"/>
              </w:rPr>
            </w:pPr>
            <w:r w:rsidRPr="00141AE2">
              <w:rPr>
                <w:rFonts w:cs="Arial"/>
                <w:szCs w:val="22"/>
              </w:rPr>
              <w:t>“Purchase Order Number”</w:t>
            </w:r>
          </w:p>
        </w:tc>
        <w:tc>
          <w:tcPr>
            <w:tcW w:w="8033" w:type="dxa"/>
          </w:tcPr>
          <w:p w14:paraId="14995323"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the Customer’s unique number relating to the supply of the Services; </w:t>
            </w:r>
          </w:p>
        </w:tc>
      </w:tr>
      <w:tr w:rsidR="00F1450F" w:rsidRPr="00141AE2" w14:paraId="5DF39B8C" w14:textId="77777777" w:rsidTr="00F1450F">
        <w:tc>
          <w:tcPr>
            <w:tcW w:w="1827" w:type="dxa"/>
          </w:tcPr>
          <w:p w14:paraId="6964597C" w14:textId="77777777" w:rsidR="00F1450F" w:rsidRPr="00141AE2" w:rsidRDefault="00F1450F" w:rsidP="00F1450F">
            <w:pPr>
              <w:widowControl w:val="0"/>
              <w:spacing w:after="120" w:line="240" w:lineRule="atLeast"/>
              <w:rPr>
                <w:rFonts w:cs="Arial"/>
                <w:szCs w:val="22"/>
              </w:rPr>
            </w:pPr>
            <w:r w:rsidRPr="00141AE2">
              <w:rPr>
                <w:rFonts w:cs="Arial"/>
                <w:szCs w:val="22"/>
              </w:rPr>
              <w:t>“Request for Information”</w:t>
            </w:r>
          </w:p>
        </w:tc>
        <w:tc>
          <w:tcPr>
            <w:tcW w:w="8033" w:type="dxa"/>
          </w:tcPr>
          <w:p w14:paraId="49C9CE13"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has the meaning set out in the FOIA or the Environmental Information Regulations 2004 as relevant (where the meaning set out for the term “request” shall apply); </w:t>
            </w:r>
          </w:p>
        </w:tc>
      </w:tr>
      <w:tr w:rsidR="00F1450F" w:rsidRPr="00141AE2" w14:paraId="472FFA35" w14:textId="77777777" w:rsidTr="00F1450F">
        <w:tc>
          <w:tcPr>
            <w:tcW w:w="1827" w:type="dxa"/>
          </w:tcPr>
          <w:p w14:paraId="65A3323C" w14:textId="77777777" w:rsidR="00F1450F" w:rsidRPr="00141AE2" w:rsidRDefault="00F1450F" w:rsidP="00F1450F">
            <w:pPr>
              <w:widowControl w:val="0"/>
              <w:spacing w:after="120" w:line="240" w:lineRule="atLeast"/>
              <w:jc w:val="both"/>
              <w:rPr>
                <w:rFonts w:cs="Arial"/>
                <w:szCs w:val="22"/>
              </w:rPr>
            </w:pPr>
            <w:r w:rsidRPr="00141AE2">
              <w:rPr>
                <w:rFonts w:cs="Arial"/>
                <w:szCs w:val="22"/>
              </w:rPr>
              <w:t>“Services”</w:t>
            </w:r>
          </w:p>
        </w:tc>
        <w:tc>
          <w:tcPr>
            <w:tcW w:w="8033" w:type="dxa"/>
          </w:tcPr>
          <w:p w14:paraId="40CB029C"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the services to be supplied by the Supplier to the Customer under the Agreement;  </w:t>
            </w:r>
          </w:p>
        </w:tc>
      </w:tr>
      <w:tr w:rsidR="00F1450F" w:rsidRPr="00141AE2" w14:paraId="57C42991" w14:textId="77777777" w:rsidTr="00F1450F">
        <w:tc>
          <w:tcPr>
            <w:tcW w:w="1827" w:type="dxa"/>
          </w:tcPr>
          <w:p w14:paraId="169E8D70" w14:textId="77777777" w:rsidR="00F1450F" w:rsidRPr="00141AE2" w:rsidRDefault="00F1450F" w:rsidP="00F1450F">
            <w:pPr>
              <w:widowControl w:val="0"/>
              <w:spacing w:after="120" w:line="240" w:lineRule="atLeast"/>
              <w:jc w:val="both"/>
              <w:rPr>
                <w:rFonts w:cs="Arial"/>
                <w:szCs w:val="22"/>
              </w:rPr>
            </w:pPr>
            <w:r w:rsidRPr="00141AE2">
              <w:rPr>
                <w:rFonts w:cs="Arial"/>
                <w:szCs w:val="22"/>
              </w:rPr>
              <w:t>“Specification”</w:t>
            </w:r>
          </w:p>
        </w:tc>
        <w:tc>
          <w:tcPr>
            <w:tcW w:w="8033" w:type="dxa"/>
          </w:tcPr>
          <w:p w14:paraId="5BA4AE6B"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the specification for the Services (including as to quantity, description and quality) as specified in the Award Letter; </w:t>
            </w:r>
          </w:p>
        </w:tc>
      </w:tr>
      <w:tr w:rsidR="00F1450F" w:rsidRPr="00141AE2" w14:paraId="0C6464C8" w14:textId="77777777" w:rsidTr="00F1450F">
        <w:tc>
          <w:tcPr>
            <w:tcW w:w="1827" w:type="dxa"/>
          </w:tcPr>
          <w:p w14:paraId="1B7B92B1" w14:textId="77777777" w:rsidR="00F1450F" w:rsidRPr="00141AE2" w:rsidRDefault="00F1450F" w:rsidP="00F1450F">
            <w:pPr>
              <w:widowControl w:val="0"/>
              <w:spacing w:after="120" w:line="240" w:lineRule="atLeast"/>
              <w:jc w:val="both"/>
              <w:rPr>
                <w:rFonts w:cs="Arial"/>
                <w:szCs w:val="22"/>
              </w:rPr>
            </w:pPr>
            <w:r w:rsidRPr="00141AE2">
              <w:rPr>
                <w:rFonts w:cs="Arial"/>
                <w:szCs w:val="22"/>
              </w:rPr>
              <w:t>“Start Date”</w:t>
            </w:r>
          </w:p>
        </w:tc>
        <w:tc>
          <w:tcPr>
            <w:tcW w:w="8033" w:type="dxa"/>
          </w:tcPr>
          <w:p w14:paraId="6EB7632B"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the commencement date of the Agreement as set out in the Award Letter;</w:t>
            </w:r>
          </w:p>
        </w:tc>
      </w:tr>
      <w:tr w:rsidR="00F1450F" w:rsidRPr="00141AE2" w14:paraId="0C1E9EAB" w14:textId="77777777" w:rsidTr="00F1450F">
        <w:tc>
          <w:tcPr>
            <w:tcW w:w="1827" w:type="dxa"/>
          </w:tcPr>
          <w:p w14:paraId="027AFF63" w14:textId="77777777" w:rsidR="00F1450F" w:rsidRPr="00141AE2" w:rsidRDefault="00F1450F" w:rsidP="00F1450F">
            <w:pPr>
              <w:widowControl w:val="0"/>
              <w:spacing w:after="120" w:line="240" w:lineRule="atLeast"/>
              <w:jc w:val="both"/>
              <w:rPr>
                <w:rFonts w:cs="Arial"/>
                <w:szCs w:val="22"/>
              </w:rPr>
            </w:pPr>
            <w:r w:rsidRPr="00141AE2">
              <w:rPr>
                <w:rFonts w:cs="Arial"/>
                <w:szCs w:val="22"/>
              </w:rPr>
              <w:lastRenderedPageBreak/>
              <w:t>“Staff”</w:t>
            </w:r>
          </w:p>
        </w:tc>
        <w:tc>
          <w:tcPr>
            <w:tcW w:w="8033" w:type="dxa"/>
          </w:tcPr>
          <w:p w14:paraId="43A42B51"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F1450F" w:rsidRPr="00141AE2" w14:paraId="20E26BDA" w14:textId="77777777" w:rsidTr="00F1450F">
        <w:tc>
          <w:tcPr>
            <w:tcW w:w="1827" w:type="dxa"/>
          </w:tcPr>
          <w:p w14:paraId="0DB9C13E" w14:textId="77777777" w:rsidR="00F1450F" w:rsidRPr="00141AE2" w:rsidRDefault="00F1450F" w:rsidP="00F1450F">
            <w:pPr>
              <w:widowControl w:val="0"/>
              <w:spacing w:after="120" w:line="240" w:lineRule="atLeast"/>
              <w:rPr>
                <w:rFonts w:cs="Arial"/>
                <w:szCs w:val="22"/>
              </w:rPr>
            </w:pPr>
            <w:r w:rsidRPr="00141AE2">
              <w:rPr>
                <w:rFonts w:cs="Arial"/>
                <w:szCs w:val="22"/>
              </w:rPr>
              <w:t>“Staff Vetting Procedures”</w:t>
            </w:r>
          </w:p>
        </w:tc>
        <w:tc>
          <w:tcPr>
            <w:tcW w:w="8033" w:type="dxa"/>
          </w:tcPr>
          <w:p w14:paraId="2A372710" w14:textId="77777777" w:rsidR="00F1450F" w:rsidRPr="00141AE2" w:rsidRDefault="00F1450F" w:rsidP="00F1450F">
            <w:pPr>
              <w:widowControl w:val="0"/>
              <w:spacing w:after="120" w:line="240" w:lineRule="atLeast"/>
              <w:jc w:val="both"/>
              <w:rPr>
                <w:rFonts w:cs="Arial"/>
                <w:szCs w:val="22"/>
              </w:rPr>
            </w:pPr>
            <w:r w:rsidRPr="00141AE2">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F1450F" w:rsidRPr="00141AE2" w14:paraId="4E55CC1B" w14:textId="77777777" w:rsidTr="00F1450F">
        <w:tc>
          <w:tcPr>
            <w:tcW w:w="1827" w:type="dxa"/>
          </w:tcPr>
          <w:p w14:paraId="29505846" w14:textId="77777777" w:rsidR="00F1450F" w:rsidRPr="00141AE2" w:rsidRDefault="00F1450F" w:rsidP="00F1450F">
            <w:pPr>
              <w:widowControl w:val="0"/>
              <w:spacing w:after="120" w:line="240" w:lineRule="atLeast"/>
              <w:jc w:val="both"/>
              <w:rPr>
                <w:rFonts w:cs="Arial"/>
                <w:szCs w:val="22"/>
              </w:rPr>
            </w:pPr>
            <w:r w:rsidRPr="00141AE2">
              <w:rPr>
                <w:rFonts w:cs="Arial"/>
                <w:szCs w:val="22"/>
              </w:rPr>
              <w:t>“Supplier”</w:t>
            </w:r>
          </w:p>
        </w:tc>
        <w:tc>
          <w:tcPr>
            <w:tcW w:w="8033" w:type="dxa"/>
          </w:tcPr>
          <w:p w14:paraId="0A573340"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the person named as Supplier in the Award Letter;</w:t>
            </w:r>
          </w:p>
        </w:tc>
      </w:tr>
      <w:tr w:rsidR="00F1450F" w:rsidRPr="00141AE2" w14:paraId="06A62507" w14:textId="77777777" w:rsidTr="00F1450F">
        <w:tc>
          <w:tcPr>
            <w:tcW w:w="1827" w:type="dxa"/>
          </w:tcPr>
          <w:p w14:paraId="4C8407F1" w14:textId="77777777" w:rsidR="00F1450F" w:rsidRPr="00141AE2" w:rsidRDefault="00F1450F" w:rsidP="00F1450F">
            <w:pPr>
              <w:widowControl w:val="0"/>
              <w:spacing w:after="120" w:line="240" w:lineRule="atLeast"/>
              <w:jc w:val="both"/>
              <w:rPr>
                <w:rFonts w:cs="Arial"/>
                <w:szCs w:val="22"/>
              </w:rPr>
            </w:pPr>
            <w:r w:rsidRPr="00141AE2">
              <w:rPr>
                <w:rFonts w:cs="Arial"/>
                <w:szCs w:val="22"/>
              </w:rPr>
              <w:t>“Term”</w:t>
            </w:r>
          </w:p>
        </w:tc>
        <w:tc>
          <w:tcPr>
            <w:tcW w:w="8033" w:type="dxa"/>
          </w:tcPr>
          <w:p w14:paraId="0031841E"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the period from the Start Date of the Agreement set out in the Award Letter to the Expiry Date as such period may be extended in accordance with clause </w:t>
            </w:r>
            <w:r w:rsidRPr="00141AE2">
              <w:rPr>
                <w:rFonts w:cs="Arial"/>
                <w:szCs w:val="22"/>
              </w:rPr>
              <w:fldChar w:fldCharType="begin"/>
            </w:r>
            <w:r w:rsidRPr="00141AE2">
              <w:rPr>
                <w:rFonts w:cs="Arial"/>
                <w:szCs w:val="22"/>
              </w:rPr>
              <w:instrText xml:space="preserve"> REF _Ref359607345 \r \h </w:instrText>
            </w:r>
            <w:r>
              <w:rPr>
                <w:rFonts w:cs="Arial"/>
                <w:szCs w:val="22"/>
              </w:rPr>
              <w:instrText xml:space="preserve"> \* MERGEFORMAT </w:instrText>
            </w:r>
            <w:r w:rsidRPr="00141AE2">
              <w:rPr>
                <w:rFonts w:cs="Arial"/>
                <w:szCs w:val="22"/>
              </w:rPr>
            </w:r>
            <w:r w:rsidRPr="00141AE2">
              <w:rPr>
                <w:rFonts w:cs="Arial"/>
                <w:szCs w:val="22"/>
              </w:rPr>
              <w:fldChar w:fldCharType="separate"/>
            </w:r>
            <w:r w:rsidRPr="00141AE2">
              <w:rPr>
                <w:rFonts w:cs="Arial"/>
                <w:szCs w:val="22"/>
              </w:rPr>
              <w:t>4.2</w:t>
            </w:r>
            <w:r w:rsidRPr="00141AE2">
              <w:rPr>
                <w:rFonts w:cs="Arial"/>
                <w:szCs w:val="22"/>
              </w:rPr>
              <w:fldChar w:fldCharType="end"/>
            </w:r>
            <w:r w:rsidRPr="00141AE2">
              <w:rPr>
                <w:rFonts w:cs="Arial"/>
                <w:szCs w:val="22"/>
              </w:rPr>
              <w:t xml:space="preserve"> or terminated in accordance with the terms and conditions of the Agreement; </w:t>
            </w:r>
          </w:p>
        </w:tc>
      </w:tr>
      <w:tr w:rsidR="00F1450F" w:rsidRPr="00141AE2" w14:paraId="2D50B504" w14:textId="77777777" w:rsidTr="00F1450F">
        <w:tc>
          <w:tcPr>
            <w:tcW w:w="1827" w:type="dxa"/>
          </w:tcPr>
          <w:p w14:paraId="2EE744E1" w14:textId="77777777" w:rsidR="00F1450F" w:rsidRPr="00141AE2" w:rsidRDefault="00F1450F" w:rsidP="00F1450F">
            <w:pPr>
              <w:widowControl w:val="0"/>
              <w:spacing w:after="120" w:line="240" w:lineRule="atLeast"/>
              <w:jc w:val="both"/>
              <w:rPr>
                <w:rFonts w:cs="Arial"/>
                <w:szCs w:val="22"/>
              </w:rPr>
            </w:pPr>
            <w:r w:rsidRPr="00141AE2">
              <w:rPr>
                <w:rFonts w:cs="Arial"/>
                <w:szCs w:val="22"/>
              </w:rPr>
              <w:t>“VAT”</w:t>
            </w:r>
          </w:p>
        </w:tc>
        <w:tc>
          <w:tcPr>
            <w:tcW w:w="8033" w:type="dxa"/>
          </w:tcPr>
          <w:p w14:paraId="794A2A96" w14:textId="77777777" w:rsidR="00F1450F" w:rsidRPr="00141AE2" w:rsidRDefault="00F1450F" w:rsidP="00F1450F">
            <w:pPr>
              <w:widowControl w:val="0"/>
              <w:spacing w:after="120" w:line="240" w:lineRule="atLeast"/>
              <w:jc w:val="both"/>
              <w:rPr>
                <w:rFonts w:cs="Arial"/>
                <w:szCs w:val="22"/>
              </w:rPr>
            </w:pPr>
            <w:r w:rsidRPr="00141AE2">
              <w:rPr>
                <w:rFonts w:cs="Arial"/>
                <w:szCs w:val="22"/>
              </w:rPr>
              <w:t>means value added tax in accordance with the provisions of the Value Added Tax Act 1994; and</w:t>
            </w:r>
          </w:p>
        </w:tc>
      </w:tr>
      <w:tr w:rsidR="00F1450F" w:rsidRPr="00141AE2" w14:paraId="3E3D7D21" w14:textId="77777777" w:rsidTr="00F1450F">
        <w:tc>
          <w:tcPr>
            <w:tcW w:w="1827" w:type="dxa"/>
          </w:tcPr>
          <w:p w14:paraId="0C3D27B5" w14:textId="77777777" w:rsidR="00F1450F" w:rsidRPr="00141AE2" w:rsidRDefault="00F1450F" w:rsidP="00F1450F">
            <w:pPr>
              <w:widowControl w:val="0"/>
              <w:spacing w:after="120" w:line="240" w:lineRule="atLeast"/>
              <w:jc w:val="both"/>
              <w:rPr>
                <w:rFonts w:cs="Arial"/>
                <w:szCs w:val="22"/>
              </w:rPr>
            </w:pPr>
            <w:r w:rsidRPr="00141AE2">
              <w:rPr>
                <w:rFonts w:cs="Arial"/>
                <w:szCs w:val="22"/>
              </w:rPr>
              <w:t>“Working Day”</w:t>
            </w:r>
          </w:p>
        </w:tc>
        <w:tc>
          <w:tcPr>
            <w:tcW w:w="8033" w:type="dxa"/>
          </w:tcPr>
          <w:p w14:paraId="212908A6" w14:textId="77777777" w:rsidR="00F1450F" w:rsidRPr="00141AE2" w:rsidRDefault="00F1450F" w:rsidP="00F1450F">
            <w:pPr>
              <w:widowControl w:val="0"/>
              <w:spacing w:after="120" w:line="240" w:lineRule="atLeast"/>
              <w:jc w:val="both"/>
              <w:rPr>
                <w:rFonts w:cs="Arial"/>
                <w:szCs w:val="22"/>
              </w:rPr>
            </w:pPr>
            <w:proofErr w:type="gramStart"/>
            <w:r w:rsidRPr="00141AE2">
              <w:rPr>
                <w:rFonts w:cs="Arial"/>
                <w:szCs w:val="22"/>
              </w:rPr>
              <w:t>means</w:t>
            </w:r>
            <w:proofErr w:type="gramEnd"/>
            <w:r w:rsidRPr="00141AE2">
              <w:rPr>
                <w:rFonts w:cs="Arial"/>
                <w:szCs w:val="22"/>
              </w:rPr>
              <w:t xml:space="preserve"> a day (other than a Saturday or Sunday) on which banks are open for business in the City of London.</w:t>
            </w:r>
          </w:p>
        </w:tc>
      </w:tr>
    </w:tbl>
    <w:p w14:paraId="57F63700" w14:textId="77777777" w:rsidR="00F1450F" w:rsidRPr="00141AE2"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141AE2">
        <w:rPr>
          <w:rFonts w:cs="Arial"/>
          <w:b w:val="0"/>
        </w:rPr>
        <w:t>In these terms and conditions, unless the context otherwise requires:</w:t>
      </w:r>
    </w:p>
    <w:p w14:paraId="1BA8D6F1"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141AE2">
        <w:rPr>
          <w:rFonts w:cs="Arial"/>
          <w:sz w:val="22"/>
          <w:szCs w:val="22"/>
        </w:rPr>
        <w:t>references to numbered clauses are references to the relevant clause in these terms and conditions;</w:t>
      </w:r>
    </w:p>
    <w:p w14:paraId="374A8A28"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141AE2">
        <w:rPr>
          <w:rFonts w:cs="Arial"/>
          <w:sz w:val="22"/>
          <w:szCs w:val="22"/>
        </w:rPr>
        <w:t>any obligation on any Party not to do or omit to do anything shall include an obligation not to allow that thing to be done or omitted to be done;</w:t>
      </w:r>
    </w:p>
    <w:p w14:paraId="41A2F99F"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141AE2">
        <w:rPr>
          <w:rFonts w:cs="Arial"/>
          <w:sz w:val="22"/>
          <w:szCs w:val="22"/>
        </w:rPr>
        <w:t>the headings to the clauses of these terms and conditions are for information only and do not affect the interpretation of the Agreement;</w:t>
      </w:r>
    </w:p>
    <w:p w14:paraId="244F217B"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141AE2">
        <w:rPr>
          <w:rFonts w:cs="Arial"/>
          <w:sz w:val="22"/>
          <w:szCs w:val="22"/>
        </w:rPr>
        <w:t>any reference to an enactment includes reference to that enactment as amended or replaced from time to time and to any subordinate legislation or byelaw made under that enactment; and</w:t>
      </w:r>
    </w:p>
    <w:p w14:paraId="0AC42190"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141AE2">
        <w:rPr>
          <w:rFonts w:cs="Arial"/>
          <w:sz w:val="22"/>
          <w:szCs w:val="22"/>
        </w:rPr>
        <w:t>the</w:t>
      </w:r>
      <w:proofErr w:type="gramEnd"/>
      <w:r w:rsidRPr="00141AE2">
        <w:rPr>
          <w:rFonts w:cs="Arial"/>
          <w:sz w:val="22"/>
          <w:szCs w:val="22"/>
        </w:rPr>
        <w:t xml:space="preserve"> word ‘including’ shall be understood as meaning ‘including without limitation’.</w:t>
      </w:r>
    </w:p>
    <w:p w14:paraId="2148356E"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bookmarkStart w:id="3" w:name="_Ref377050430"/>
      <w:r w:rsidRPr="00B12256">
        <w:rPr>
          <w:rFonts w:cs="Arial"/>
          <w:szCs w:val="22"/>
          <w:u w:val="none"/>
        </w:rPr>
        <w:t>Basis of Agreement</w:t>
      </w:r>
      <w:bookmarkEnd w:id="3"/>
    </w:p>
    <w:p w14:paraId="6A368590"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B12256">
        <w:rPr>
          <w:rFonts w:cs="Arial"/>
          <w:b w:val="0"/>
          <w:u w:val="none"/>
        </w:rPr>
        <w:t>The Award Letter constitutes an offer by the Customer to purchase the Services subject to and in accordance with the terms and conditions of the Agreement.</w:t>
      </w:r>
    </w:p>
    <w:p w14:paraId="48AEE5E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b w:val="0"/>
          <w:u w:val="none"/>
        </w:rPr>
        <w:t>The offer comprised in the Award Letter shall be deemed to be accepted by the Supplier on receipt by the Customer, within 7 days of the date of the award letter, of a copy of the Award Letter countersigned by the Supplier.</w:t>
      </w:r>
    </w:p>
    <w:p w14:paraId="78B629FA"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Supply of Services</w:t>
      </w:r>
    </w:p>
    <w:p w14:paraId="7F7546F7"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51306857"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 w:name="_Ref377050437"/>
      <w:r w:rsidRPr="00B12256">
        <w:rPr>
          <w:rFonts w:cs="Arial"/>
          <w:b w:val="0"/>
          <w:u w:val="none"/>
        </w:rPr>
        <w:t>In supplying the Services, the Supplier shall:</w:t>
      </w:r>
      <w:bookmarkEnd w:id="4"/>
    </w:p>
    <w:p w14:paraId="491FC020"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141AE2">
        <w:rPr>
          <w:rFonts w:cs="Arial"/>
          <w:sz w:val="22"/>
          <w:szCs w:val="22"/>
        </w:rPr>
        <w:t>co-operate with the Customer in all matters relating to the Services and comply with all the Customer’s instructions;</w:t>
      </w:r>
    </w:p>
    <w:p w14:paraId="621A6264"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141AE2">
        <w:rPr>
          <w:rFonts w:cs="Arial"/>
          <w:sz w:val="22"/>
          <w:szCs w:val="22"/>
        </w:rPr>
        <w:t>perform the Services with all reasonable care, skill and diligence in accordance with good industry practice in the Supplier’s industry, profession or trade;</w:t>
      </w:r>
    </w:p>
    <w:p w14:paraId="293D7D35"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141AE2">
        <w:rPr>
          <w:rFonts w:cs="Arial"/>
          <w:sz w:val="22"/>
          <w:szCs w:val="22"/>
        </w:rPr>
        <w:lastRenderedPageBreak/>
        <w:t>use Staff who are suitably skilled and experienced to perform tasks assigned to them, and in sufficient number to ensure that the Supplier’s obligations are fulfilled in accordance with the Agreement;</w:t>
      </w:r>
    </w:p>
    <w:p w14:paraId="36F91CCB"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141AE2">
        <w:rPr>
          <w:rFonts w:cs="Arial"/>
          <w:sz w:val="22"/>
          <w:szCs w:val="22"/>
        </w:rPr>
        <w:t>ensure that the Services shall conform with all descriptions, requirements, service levels and specifications set out in the Specification;</w:t>
      </w:r>
    </w:p>
    <w:p w14:paraId="0DD2569D"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141AE2">
        <w:rPr>
          <w:rFonts w:cs="Arial"/>
          <w:sz w:val="22"/>
          <w:szCs w:val="22"/>
        </w:rPr>
        <w:t>comply with all applicable laws; and</w:t>
      </w:r>
    </w:p>
    <w:p w14:paraId="595187B8"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5" w:name="_Ref360039773"/>
      <w:proofErr w:type="gramStart"/>
      <w:r w:rsidRPr="00141AE2">
        <w:rPr>
          <w:rFonts w:cs="Arial"/>
          <w:sz w:val="22"/>
          <w:szCs w:val="22"/>
        </w:rPr>
        <w:t>provide</w:t>
      </w:r>
      <w:proofErr w:type="gramEnd"/>
      <w:r w:rsidRPr="00141AE2">
        <w:rPr>
          <w:rFonts w:cs="Arial"/>
          <w:sz w:val="22"/>
          <w:szCs w:val="22"/>
        </w:rPr>
        <w:t xml:space="preserve"> all equipment, tools and vehicles and other items as are required to provide the Services.</w:t>
      </w:r>
      <w:bookmarkEnd w:id="5"/>
    </w:p>
    <w:p w14:paraId="27D09103"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B12256">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0757DA8A"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Term</w:t>
      </w:r>
    </w:p>
    <w:p w14:paraId="5067875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Agreement shall take effect on the Start Date and shall expire on the Expiry Date, unless it is otherwise extended in accordance with clause </w:t>
      </w:r>
      <w:r w:rsidRPr="00B12256">
        <w:rPr>
          <w:rFonts w:cs="Arial"/>
          <w:u w:val="none"/>
        </w:rPr>
        <w:fldChar w:fldCharType="begin"/>
      </w:r>
      <w:r w:rsidRPr="00B12256">
        <w:rPr>
          <w:rFonts w:cs="Arial"/>
          <w:b w:val="0"/>
          <w:u w:val="none"/>
        </w:rPr>
        <w:instrText xml:space="preserve"> REF _Ref359607345 \r \h </w:instrText>
      </w:r>
      <w:r w:rsidRPr="00B12256">
        <w:rPr>
          <w:rFonts w:cs="Arial"/>
          <w:u w:val="none"/>
        </w:rPr>
        <w:instrText xml:space="preserve"> \* MERGEFORMAT </w:instrText>
      </w:r>
      <w:r w:rsidRPr="00B12256">
        <w:rPr>
          <w:rFonts w:cs="Arial"/>
          <w:u w:val="none"/>
        </w:rPr>
      </w:r>
      <w:r w:rsidRPr="00B12256">
        <w:rPr>
          <w:rFonts w:cs="Arial"/>
          <w:u w:val="none"/>
        </w:rPr>
        <w:fldChar w:fldCharType="separate"/>
      </w:r>
      <w:r w:rsidRPr="00B12256">
        <w:rPr>
          <w:rFonts w:cs="Arial"/>
          <w:b w:val="0"/>
          <w:u w:val="none"/>
        </w:rPr>
        <w:t>4.2</w:t>
      </w:r>
      <w:r w:rsidRPr="00B12256">
        <w:rPr>
          <w:rFonts w:cs="Arial"/>
          <w:u w:val="none"/>
        </w:rPr>
        <w:fldChar w:fldCharType="end"/>
      </w:r>
      <w:r w:rsidRPr="00B12256">
        <w:rPr>
          <w:rFonts w:cs="Arial"/>
          <w:b w:val="0"/>
          <w:u w:val="none"/>
        </w:rPr>
        <w:t xml:space="preserve"> or terminated in accordance with the terms and conditions of the Agreement.  </w:t>
      </w:r>
    </w:p>
    <w:p w14:paraId="2EBF2E8E"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 w:name="_Ref266710570"/>
      <w:bookmarkStart w:id="7" w:name="_Ref359607345"/>
      <w:r w:rsidRPr="00B12256">
        <w:rPr>
          <w:rFonts w:cs="Arial"/>
          <w:b w:val="0"/>
          <w:u w:val="none"/>
        </w:rPr>
        <w:t>The Customer may extend the Agreement for a period of up to 6 months by giving not less than 10 Working Days’ notice in writing to the Supplier prior to the Expiry Date.  The terms and conditions of the Agreement shall apply throughout any such exten</w:t>
      </w:r>
      <w:bookmarkEnd w:id="6"/>
      <w:r w:rsidRPr="00B12256">
        <w:rPr>
          <w:rFonts w:cs="Arial"/>
          <w:b w:val="0"/>
          <w:u w:val="none"/>
        </w:rPr>
        <w:t>ded period.</w:t>
      </w:r>
      <w:bookmarkEnd w:id="7"/>
      <w:r w:rsidRPr="00B12256">
        <w:rPr>
          <w:rFonts w:cs="Arial"/>
          <w:b w:val="0"/>
          <w:u w:val="none"/>
        </w:rPr>
        <w:t xml:space="preserve"> </w:t>
      </w:r>
    </w:p>
    <w:p w14:paraId="7769C849"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Charges, Payment and Recovery of Sums Due</w:t>
      </w:r>
    </w:p>
    <w:p w14:paraId="30359C65"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13BD9C8C"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6C2B4FC5"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B12256">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4A01926"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1CF1A5E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b w:val="0"/>
          <w:u w:val="none"/>
        </w:rPr>
        <w:t>If the Customer fails to consider and verify an invoice in a timely fashion the invoice shall be regarded as valid and undisputed for the purpose of paragraph 5.4 after a reasonable time has passed.</w:t>
      </w:r>
    </w:p>
    <w:p w14:paraId="7D75E28F"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B12256">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B12256">
        <w:rPr>
          <w:rFonts w:cs="Arial"/>
          <w:b w:val="0"/>
          <w:u w:val="none"/>
        </w:rPr>
        <w:fldChar w:fldCharType="begin"/>
      </w:r>
      <w:r w:rsidRPr="00B12256">
        <w:rPr>
          <w:rFonts w:cs="Arial"/>
          <w:b w:val="0"/>
          <w:u w:val="none"/>
        </w:rPr>
        <w:instrText xml:space="preserve"> REF _Ref377110965 \r \h  \* MERGEFORMAT </w:instrText>
      </w:r>
      <w:r w:rsidRPr="00B12256">
        <w:rPr>
          <w:rFonts w:cs="Arial"/>
          <w:b w:val="0"/>
          <w:u w:val="none"/>
        </w:rPr>
      </w:r>
      <w:r w:rsidRPr="00B12256">
        <w:rPr>
          <w:rFonts w:cs="Arial"/>
          <w:b w:val="0"/>
          <w:u w:val="none"/>
        </w:rPr>
        <w:fldChar w:fldCharType="separate"/>
      </w:r>
      <w:r w:rsidRPr="00B12256">
        <w:rPr>
          <w:rFonts w:cs="Arial"/>
          <w:b w:val="0"/>
          <w:u w:val="none"/>
        </w:rPr>
        <w:t>16.4</w:t>
      </w:r>
      <w:r w:rsidRPr="00B12256">
        <w:rPr>
          <w:rFonts w:cs="Arial"/>
          <w:b w:val="0"/>
          <w:u w:val="none"/>
        </w:rPr>
        <w:fldChar w:fldCharType="end"/>
      </w:r>
      <w:r w:rsidRPr="00B12256">
        <w:rPr>
          <w:rFonts w:cs="Arial"/>
          <w:b w:val="0"/>
          <w:u w:val="none"/>
        </w:rPr>
        <w:t>.  Any disputed amounts shall be resolved through the dispute resolution procedure detailed in clause </w:t>
      </w:r>
      <w:r w:rsidRPr="00B12256">
        <w:rPr>
          <w:rFonts w:cs="Arial"/>
          <w:b w:val="0"/>
          <w:u w:val="none"/>
        </w:rPr>
        <w:fldChar w:fldCharType="begin"/>
      </w:r>
      <w:r w:rsidRPr="00B12256">
        <w:rPr>
          <w:rFonts w:cs="Arial"/>
          <w:b w:val="0"/>
          <w:u w:val="none"/>
        </w:rPr>
        <w:instrText xml:space="preserve"> REF _Ref359607573 \r \h  \* MERGEFORMAT </w:instrText>
      </w:r>
      <w:r w:rsidRPr="00B12256">
        <w:rPr>
          <w:rFonts w:cs="Arial"/>
          <w:b w:val="0"/>
          <w:u w:val="none"/>
        </w:rPr>
      </w:r>
      <w:r w:rsidRPr="00B12256">
        <w:rPr>
          <w:rFonts w:cs="Arial"/>
          <w:b w:val="0"/>
          <w:u w:val="none"/>
        </w:rPr>
        <w:fldChar w:fldCharType="separate"/>
      </w:r>
      <w:r w:rsidRPr="00B12256">
        <w:rPr>
          <w:rFonts w:cs="Arial"/>
          <w:b w:val="0"/>
          <w:u w:val="none"/>
        </w:rPr>
        <w:t>19</w:t>
      </w:r>
      <w:r w:rsidRPr="00B12256">
        <w:rPr>
          <w:rFonts w:cs="Arial"/>
          <w:b w:val="0"/>
          <w:u w:val="none"/>
        </w:rPr>
        <w:fldChar w:fldCharType="end"/>
      </w:r>
      <w:r w:rsidRPr="00B12256">
        <w:rPr>
          <w:rFonts w:cs="Arial"/>
          <w:b w:val="0"/>
          <w:u w:val="none"/>
        </w:rPr>
        <w:t xml:space="preserve">. </w:t>
      </w:r>
    </w:p>
    <w:p w14:paraId="2E8173C6"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lastRenderedPageBreak/>
        <w:t xml:space="preserve">If a payment of an undisputed amount is not made by the Customer by the due date, then the Customer shall pay the Supplier interest at the interest rate specified in the Late Payment of Commercial Debts (Interest) Act 1998.  </w:t>
      </w:r>
    </w:p>
    <w:p w14:paraId="37433518"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Where the Supplier enters into a sub-contract, the Supplier shall include in that sub-contract:</w:t>
      </w:r>
    </w:p>
    <w:p w14:paraId="28589C1B" w14:textId="77777777" w:rsidR="00F1450F" w:rsidRPr="00B12256" w:rsidRDefault="00F1450F" w:rsidP="00563045">
      <w:pPr>
        <w:pStyle w:val="Level3Number"/>
        <w:numPr>
          <w:ilvl w:val="2"/>
          <w:numId w:val="24"/>
        </w:numPr>
        <w:spacing w:before="0" w:after="120" w:line="240" w:lineRule="atLeast"/>
        <w:rPr>
          <w:sz w:val="22"/>
          <w:szCs w:val="22"/>
        </w:rPr>
      </w:pPr>
      <w:r w:rsidRPr="00B12256">
        <w:rPr>
          <w:sz w:val="22"/>
          <w:szCs w:val="22"/>
        </w:rPr>
        <w:t xml:space="preserve">provisions having the same effects as clauses 5.3 to 5.7 of this Agreement; and </w:t>
      </w:r>
    </w:p>
    <w:p w14:paraId="6A698F19" w14:textId="77777777" w:rsidR="00F1450F" w:rsidRPr="00B12256" w:rsidRDefault="00F1450F" w:rsidP="00563045">
      <w:pPr>
        <w:pStyle w:val="Level3Number"/>
        <w:numPr>
          <w:ilvl w:val="2"/>
          <w:numId w:val="24"/>
        </w:numPr>
        <w:spacing w:before="0" w:after="120" w:line="240" w:lineRule="atLeast"/>
        <w:rPr>
          <w:sz w:val="22"/>
          <w:szCs w:val="22"/>
        </w:rPr>
      </w:pPr>
      <w:proofErr w:type="gramStart"/>
      <w:r w:rsidRPr="00B12256">
        <w:rPr>
          <w:sz w:val="22"/>
          <w:szCs w:val="22"/>
        </w:rPr>
        <w:t>a</w:t>
      </w:r>
      <w:proofErr w:type="gramEnd"/>
      <w:r w:rsidRPr="00B12256">
        <w:rPr>
          <w:sz w:val="22"/>
          <w:szCs w:val="22"/>
        </w:rPr>
        <w:t xml:space="preserve"> provision requiring the counterparty to that sub-contract to include in any sub-contract which it awards provisions having the same effect as 5.3 to 5.8 of this Agreement.</w:t>
      </w:r>
    </w:p>
    <w:p w14:paraId="6EA3A35F" w14:textId="77777777" w:rsidR="00F1450F" w:rsidRPr="00B12256" w:rsidRDefault="00F1450F" w:rsidP="00563045">
      <w:pPr>
        <w:pStyle w:val="Level3Number"/>
        <w:numPr>
          <w:ilvl w:val="2"/>
          <w:numId w:val="24"/>
        </w:numPr>
        <w:spacing w:before="0" w:after="120" w:line="240" w:lineRule="atLeast"/>
        <w:rPr>
          <w:sz w:val="22"/>
          <w:szCs w:val="22"/>
        </w:rPr>
      </w:pPr>
      <w:r w:rsidRPr="00B12256">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16BF65EE"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47B61D06"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Premises and equipment</w:t>
      </w:r>
    </w:p>
    <w:p w14:paraId="3084468C"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53"/>
      <w:r w:rsidRPr="00B12256">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8"/>
      <w:r w:rsidRPr="00B12256">
        <w:rPr>
          <w:rFonts w:cs="Arial"/>
          <w:b w:val="0"/>
          <w:u w:val="none"/>
        </w:rPr>
        <w:t xml:space="preserve">  </w:t>
      </w:r>
    </w:p>
    <w:p w14:paraId="5D933AC1"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 w:name="_Ref377050463"/>
      <w:r w:rsidRPr="00B12256">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9"/>
      <w:r w:rsidRPr="00B12256">
        <w:rPr>
          <w:rFonts w:cs="Arial"/>
          <w:b w:val="0"/>
          <w:u w:val="none"/>
        </w:rPr>
        <w:t xml:space="preserve">   </w:t>
      </w:r>
    </w:p>
    <w:p w14:paraId="7441EC68"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If the Supplier supplies all or any of the</w:t>
      </w:r>
      <w:r w:rsidRPr="00B12256" w:rsidDel="00A40749">
        <w:rPr>
          <w:rFonts w:cs="Arial"/>
          <w:b w:val="0"/>
          <w:u w:val="none"/>
        </w:rPr>
        <w:t xml:space="preserve"> </w:t>
      </w:r>
      <w:r w:rsidRPr="00B12256">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0173A0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36192BAE"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Where all or any of the Services are supplied from the Supplier’s premises, the Supplier shall, at its own cost, comply with all security requirements specified by the Customer in writing.</w:t>
      </w:r>
    </w:p>
    <w:p w14:paraId="7EAD7A97"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 w:name="_Ref377050472"/>
      <w:r w:rsidRPr="00B12256">
        <w:rPr>
          <w:rFonts w:cs="Arial"/>
          <w:b w:val="0"/>
          <w:u w:val="none"/>
        </w:rPr>
        <w:lastRenderedPageBreak/>
        <w:t>Without prejudice to clause </w:t>
      </w:r>
      <w:r w:rsidRPr="00B12256">
        <w:rPr>
          <w:rFonts w:cs="Arial"/>
          <w:b w:val="0"/>
          <w:u w:val="none"/>
        </w:rPr>
        <w:fldChar w:fldCharType="begin"/>
      </w:r>
      <w:r w:rsidRPr="00B12256">
        <w:rPr>
          <w:rFonts w:cs="Arial"/>
          <w:b w:val="0"/>
          <w:u w:val="none"/>
        </w:rPr>
        <w:instrText xml:space="preserve"> REF _Ref360039773 \r \h  \* MERGEFORMAT </w:instrText>
      </w:r>
      <w:r w:rsidRPr="00B12256">
        <w:rPr>
          <w:rFonts w:cs="Arial"/>
          <w:b w:val="0"/>
          <w:u w:val="none"/>
        </w:rPr>
      </w:r>
      <w:r w:rsidRPr="00B12256">
        <w:rPr>
          <w:rFonts w:cs="Arial"/>
          <w:b w:val="0"/>
          <w:u w:val="none"/>
        </w:rPr>
        <w:fldChar w:fldCharType="separate"/>
      </w:r>
      <w:r w:rsidRPr="00B12256">
        <w:rPr>
          <w:rFonts w:cs="Arial"/>
          <w:b w:val="0"/>
          <w:u w:val="none"/>
        </w:rPr>
        <w:t>3.2.6</w:t>
      </w:r>
      <w:r w:rsidRPr="00B12256">
        <w:rPr>
          <w:rFonts w:cs="Arial"/>
          <w:b w:val="0"/>
          <w:u w:val="none"/>
        </w:rPr>
        <w:fldChar w:fldCharType="end"/>
      </w:r>
      <w:r w:rsidRPr="00B12256">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0"/>
      <w:r w:rsidRPr="00B12256">
        <w:rPr>
          <w:rFonts w:cs="Arial"/>
          <w:b w:val="0"/>
          <w:u w:val="none"/>
        </w:rPr>
        <w:t xml:space="preserve">  </w:t>
      </w:r>
    </w:p>
    <w:p w14:paraId="6044DE87"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1" w:name="_Ref377050478"/>
      <w:r w:rsidRPr="00B12256">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1"/>
      <w:r w:rsidRPr="00B12256">
        <w:rPr>
          <w:rFonts w:cs="Arial"/>
          <w:b w:val="0"/>
          <w:u w:val="none"/>
        </w:rPr>
        <w:t xml:space="preserve">  </w:t>
      </w:r>
    </w:p>
    <w:p w14:paraId="4D19BBA1" w14:textId="77777777" w:rsidR="00F1450F" w:rsidRPr="00B12256" w:rsidRDefault="00F1450F" w:rsidP="00563045">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2" w:name="_Ref377050486"/>
      <w:r w:rsidRPr="00B12256">
        <w:rPr>
          <w:rFonts w:cs="Arial"/>
          <w:szCs w:val="22"/>
          <w:u w:val="none"/>
        </w:rPr>
        <w:t>Staff and Key Personnel</w:t>
      </w:r>
      <w:bookmarkEnd w:id="12"/>
    </w:p>
    <w:p w14:paraId="6F40007A"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If the Customer reasonably believes that any of the Staff are unsuitable to undertake work in respect of the Agreement, it may, by giving written notice to the Supplier:</w:t>
      </w:r>
    </w:p>
    <w:p w14:paraId="055F453B"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 xml:space="preserve">refuse admission to the relevant person(s) to the Customer’s premises; </w:t>
      </w:r>
    </w:p>
    <w:p w14:paraId="32EF941E"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direct the Supplier to end the involvement in the provision of the Services of the relevant person(s); and/or</w:t>
      </w:r>
    </w:p>
    <w:p w14:paraId="2C1218C5"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D4CF730" w14:textId="77777777" w:rsidR="00F1450F" w:rsidRPr="00B12256" w:rsidRDefault="00F1450F" w:rsidP="00F1450F">
      <w:pPr>
        <w:pStyle w:val="Level2Heading"/>
        <w:keepNext w:val="0"/>
        <w:widowControl w:val="0"/>
        <w:numPr>
          <w:ilvl w:val="0"/>
          <w:numId w:val="0"/>
        </w:numPr>
        <w:spacing w:after="120" w:line="240" w:lineRule="atLeast"/>
        <w:ind w:left="540"/>
        <w:rPr>
          <w:rFonts w:cs="Arial"/>
          <w:b w:val="0"/>
          <w:u w:val="none"/>
        </w:rPr>
      </w:pPr>
      <w:bookmarkStart w:id="13" w:name="_Ref260825729"/>
      <w:proofErr w:type="gramStart"/>
      <w:r w:rsidRPr="00B12256">
        <w:rPr>
          <w:rFonts w:cs="Arial"/>
          <w:b w:val="0"/>
          <w:u w:val="none"/>
        </w:rPr>
        <w:t>and</w:t>
      </w:r>
      <w:proofErr w:type="gramEnd"/>
      <w:r w:rsidRPr="00B12256">
        <w:rPr>
          <w:rFonts w:cs="Arial"/>
          <w:b w:val="0"/>
          <w:u w:val="none"/>
        </w:rPr>
        <w:t xml:space="preserve"> the Supplier shall comply with any such notice. </w:t>
      </w:r>
    </w:p>
    <w:p w14:paraId="1CB3BA11"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375"/>
      <w:bookmarkEnd w:id="13"/>
      <w:r w:rsidRPr="00B12256">
        <w:rPr>
          <w:rFonts w:cs="Arial"/>
          <w:b w:val="0"/>
          <w:u w:val="none"/>
        </w:rPr>
        <w:t>The Supplier shall:</w:t>
      </w:r>
      <w:bookmarkEnd w:id="14"/>
      <w:r w:rsidRPr="00B12256">
        <w:rPr>
          <w:rFonts w:cs="Arial"/>
          <w:b w:val="0"/>
          <w:u w:val="none"/>
        </w:rPr>
        <w:t xml:space="preserve"> </w:t>
      </w:r>
    </w:p>
    <w:p w14:paraId="35F5D88C"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ensure that all Staff are vetted in accordance with the Staff Vetting Procedures;</w:t>
      </w:r>
    </w:p>
    <w:p w14:paraId="33813971"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7F8581EF"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B12256">
        <w:rPr>
          <w:rFonts w:cs="Arial"/>
          <w:sz w:val="22"/>
          <w:szCs w:val="22"/>
        </w:rPr>
        <w:t>procure</w:t>
      </w:r>
      <w:proofErr w:type="gramEnd"/>
      <w:r w:rsidRPr="00B12256">
        <w:rPr>
          <w:rFonts w:cs="Arial"/>
          <w:sz w:val="22"/>
          <w:szCs w:val="22"/>
        </w:rPr>
        <w:t xml:space="preserve"> that all Staff comply with any rules, regulations and requirements reasonably specified by the Customer.</w:t>
      </w:r>
    </w:p>
    <w:p w14:paraId="3FD69E8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278C0EFD"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4327BC01"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Assignment and sub-contracting</w:t>
      </w:r>
    </w:p>
    <w:p w14:paraId="66643FC3"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The Supplier shall not without the written consent of the Customer assign, sub-contract, </w:t>
      </w:r>
      <w:proofErr w:type="gramStart"/>
      <w:r w:rsidRPr="00B12256">
        <w:rPr>
          <w:rFonts w:cs="Arial"/>
          <w:b w:val="0"/>
          <w:u w:val="none"/>
        </w:rPr>
        <w:t>novate</w:t>
      </w:r>
      <w:proofErr w:type="gramEnd"/>
      <w:r w:rsidRPr="00B12256">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2EEF0E08"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23FA1BDB"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The Customer may assign, novate, or otherwise dispose of its rights and obligations </w:t>
      </w:r>
      <w:r w:rsidRPr="00B12256">
        <w:rPr>
          <w:rFonts w:cs="Arial"/>
          <w:b w:val="0"/>
          <w:u w:val="none"/>
        </w:rPr>
        <w:lastRenderedPageBreak/>
        <w:t xml:space="preserve">under the Agreement without the consent of the Supplier provided that such assignment, novation or disposal shall not increase the burden of the Supplier’s obligations under the Agreement. </w:t>
      </w:r>
    </w:p>
    <w:p w14:paraId="4D0B56F5"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bookmarkStart w:id="15" w:name="_Ref377050494"/>
      <w:r w:rsidRPr="00B12256">
        <w:rPr>
          <w:rFonts w:cs="Arial"/>
          <w:szCs w:val="22"/>
          <w:u w:val="none"/>
        </w:rPr>
        <w:t>Intellectual Property Rights</w:t>
      </w:r>
      <w:bookmarkEnd w:id="15"/>
      <w:r w:rsidRPr="00B12256">
        <w:rPr>
          <w:rFonts w:cs="Arial"/>
          <w:szCs w:val="22"/>
          <w:u w:val="none"/>
        </w:rPr>
        <w:t xml:space="preserve"> </w:t>
      </w:r>
    </w:p>
    <w:p w14:paraId="4713C9E6"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D354EAD" w14:textId="77777777" w:rsidR="00F1450F" w:rsidRPr="00B12256" w:rsidRDefault="00F1450F" w:rsidP="00563045">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B12256">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1181FAF"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35833704"/>
      <w:r w:rsidRPr="00B12256">
        <w:rPr>
          <w:rFonts w:cs="Arial"/>
          <w:b w:val="0"/>
          <w:u w:val="none"/>
        </w:rPr>
        <w:t>The Supplier hereby grants the Customer:</w:t>
      </w:r>
    </w:p>
    <w:p w14:paraId="7584586F"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16"/>
      <w:r w:rsidRPr="00B12256">
        <w:rPr>
          <w:rFonts w:cs="Arial"/>
          <w:sz w:val="22"/>
          <w:szCs w:val="22"/>
        </w:rPr>
        <w:t>; and</w:t>
      </w:r>
    </w:p>
    <w:p w14:paraId="71418EAF"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a perpetual, royalty-free, irrevocable and non-exclusive licence (with a right to sub-license) to use:</w:t>
      </w:r>
    </w:p>
    <w:p w14:paraId="7B0BD338" w14:textId="77777777" w:rsidR="00F1450F" w:rsidRPr="00B12256" w:rsidRDefault="00F1450F" w:rsidP="00563045">
      <w:pPr>
        <w:pStyle w:val="Level5Number"/>
        <w:numPr>
          <w:ilvl w:val="4"/>
          <w:numId w:val="24"/>
        </w:numPr>
        <w:tabs>
          <w:tab w:val="clear" w:pos="1418"/>
          <w:tab w:val="num" w:pos="1985"/>
        </w:tabs>
        <w:spacing w:after="120" w:line="240" w:lineRule="atLeast"/>
        <w:ind w:left="1985"/>
        <w:rPr>
          <w:rFonts w:cs="Arial"/>
          <w:sz w:val="22"/>
          <w:szCs w:val="22"/>
        </w:rPr>
      </w:pPr>
      <w:r w:rsidRPr="00B12256">
        <w:rPr>
          <w:rFonts w:cs="Arial"/>
          <w:sz w:val="22"/>
          <w:szCs w:val="22"/>
        </w:rPr>
        <w:t>any intellectual property rights vested in or licensed to the Supplier on the date of the Agreement; and</w:t>
      </w:r>
    </w:p>
    <w:p w14:paraId="0FB31118" w14:textId="77777777" w:rsidR="00F1450F" w:rsidRPr="00B12256" w:rsidRDefault="00F1450F" w:rsidP="00563045">
      <w:pPr>
        <w:pStyle w:val="Level5Number"/>
        <w:numPr>
          <w:ilvl w:val="4"/>
          <w:numId w:val="24"/>
        </w:numPr>
        <w:tabs>
          <w:tab w:val="clear" w:pos="1418"/>
          <w:tab w:val="num" w:pos="1985"/>
        </w:tabs>
        <w:spacing w:after="120" w:line="240" w:lineRule="atLeast"/>
        <w:ind w:left="1985"/>
        <w:rPr>
          <w:rFonts w:cs="Arial"/>
          <w:sz w:val="22"/>
          <w:szCs w:val="22"/>
        </w:rPr>
      </w:pPr>
      <w:r w:rsidRPr="00B12256">
        <w:rPr>
          <w:rFonts w:cs="Arial"/>
          <w:sz w:val="22"/>
          <w:szCs w:val="22"/>
        </w:rPr>
        <w:t>any intellectual property rights created during the Term but which are neither created or developed pursuant to the Agreement nor arise as a result of the provision of the Services,</w:t>
      </w:r>
    </w:p>
    <w:p w14:paraId="63A38209" w14:textId="77777777" w:rsidR="00F1450F" w:rsidRPr="00B12256" w:rsidRDefault="00F1450F" w:rsidP="00F1450F">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B12256">
        <w:rPr>
          <w:rFonts w:cs="Arial"/>
          <w:sz w:val="22"/>
          <w:szCs w:val="22"/>
        </w:rPr>
        <w:t>including</w:t>
      </w:r>
      <w:proofErr w:type="gramEnd"/>
      <w:r w:rsidRPr="00B12256">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12C0759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59607763"/>
      <w:r w:rsidRPr="00B12256">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7"/>
      <w:r w:rsidRPr="00B12256">
        <w:rPr>
          <w:rFonts w:cs="Arial"/>
          <w:b w:val="0"/>
          <w:u w:val="none"/>
        </w:rPr>
        <w:t xml:space="preserve"> </w:t>
      </w:r>
    </w:p>
    <w:p w14:paraId="7C6B6E3A" w14:textId="77777777" w:rsidR="00F1450F" w:rsidRPr="00B12256" w:rsidRDefault="00F1450F" w:rsidP="00563045">
      <w:pPr>
        <w:pStyle w:val="Level1Heading"/>
        <w:numPr>
          <w:ilvl w:val="0"/>
          <w:numId w:val="24"/>
        </w:numPr>
        <w:tabs>
          <w:tab w:val="clear" w:pos="851"/>
          <w:tab w:val="num" w:pos="567"/>
        </w:tabs>
        <w:spacing w:after="120" w:line="240" w:lineRule="atLeast"/>
        <w:outlineLvl w:val="0"/>
        <w:rPr>
          <w:rFonts w:cs="Arial"/>
          <w:szCs w:val="22"/>
          <w:u w:val="none"/>
        </w:rPr>
      </w:pPr>
      <w:bookmarkStart w:id="18" w:name="_Ref243716101"/>
      <w:r w:rsidRPr="00B12256">
        <w:rPr>
          <w:rFonts w:cs="Arial"/>
          <w:szCs w:val="22"/>
          <w:u w:val="none"/>
        </w:rPr>
        <w:t>Governance and Records</w:t>
      </w:r>
    </w:p>
    <w:p w14:paraId="4070A181"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Supplier shall:</w:t>
      </w:r>
    </w:p>
    <w:p w14:paraId="3BF0A436"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141AE2">
        <w:rPr>
          <w:rFonts w:cs="Arial"/>
          <w:sz w:val="22"/>
          <w:szCs w:val="22"/>
        </w:rPr>
        <w:t>attend progress meetings with the Customer at the frequency and times specified by the Customer and shall ensure that its representatives are suitably qualified to attend such meetings; and</w:t>
      </w:r>
    </w:p>
    <w:p w14:paraId="19D876FF" w14:textId="77777777" w:rsidR="00F1450F" w:rsidRPr="00141AE2"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proofErr w:type="gramStart"/>
      <w:r w:rsidRPr="00141AE2">
        <w:rPr>
          <w:rFonts w:cs="Arial"/>
          <w:sz w:val="22"/>
          <w:szCs w:val="22"/>
        </w:rPr>
        <w:lastRenderedPageBreak/>
        <w:t>submit</w:t>
      </w:r>
      <w:proofErr w:type="gramEnd"/>
      <w:r w:rsidRPr="00141AE2">
        <w:rPr>
          <w:rFonts w:cs="Arial"/>
          <w:sz w:val="22"/>
          <w:szCs w:val="22"/>
        </w:rPr>
        <w:t xml:space="preserve"> progress reports to the Customer at the times and in the format specified by the Customer.</w:t>
      </w:r>
      <w:bookmarkStart w:id="19" w:name="_DV_M163"/>
      <w:bookmarkStart w:id="20" w:name="_DV_M164"/>
      <w:bookmarkStart w:id="21" w:name="_DV_M974"/>
      <w:bookmarkEnd w:id="19"/>
      <w:bookmarkEnd w:id="20"/>
      <w:bookmarkEnd w:id="21"/>
    </w:p>
    <w:p w14:paraId="2059E423"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22" w:name="_Ref377050504"/>
      <w:r w:rsidRPr="00B12256">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2"/>
    </w:p>
    <w:p w14:paraId="3391E1D7" w14:textId="77777777" w:rsidR="00F1450F" w:rsidRPr="00B12256" w:rsidRDefault="00F1450F" w:rsidP="00563045">
      <w:pPr>
        <w:pStyle w:val="Level1Heading"/>
        <w:numPr>
          <w:ilvl w:val="0"/>
          <w:numId w:val="24"/>
        </w:numPr>
        <w:tabs>
          <w:tab w:val="clear" w:pos="851"/>
          <w:tab w:val="num" w:pos="567"/>
        </w:tabs>
        <w:spacing w:after="120" w:line="240" w:lineRule="atLeast"/>
        <w:outlineLvl w:val="0"/>
        <w:rPr>
          <w:rFonts w:cs="Arial"/>
          <w:szCs w:val="22"/>
          <w:u w:val="none"/>
        </w:rPr>
      </w:pPr>
      <w:bookmarkStart w:id="23" w:name="_Ref377050387"/>
      <w:r w:rsidRPr="00B12256">
        <w:rPr>
          <w:rFonts w:cs="Arial"/>
          <w:szCs w:val="22"/>
          <w:u w:val="none"/>
        </w:rPr>
        <w:t>Confidentiality</w:t>
      </w:r>
      <w:bookmarkEnd w:id="18"/>
      <w:r w:rsidRPr="00B12256">
        <w:rPr>
          <w:rFonts w:cs="Arial"/>
          <w:szCs w:val="22"/>
          <w:u w:val="none"/>
        </w:rPr>
        <w:t>, Transparency and Publicity</w:t>
      </w:r>
      <w:bookmarkEnd w:id="23"/>
    </w:p>
    <w:p w14:paraId="7E91C7BF"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24" w:name="_Ref359607666"/>
      <w:r w:rsidRPr="00B12256">
        <w:rPr>
          <w:rFonts w:cs="Arial"/>
          <w:b w:val="0"/>
          <w:u w:val="none"/>
        </w:rPr>
        <w:t>Subject to clause </w:t>
      </w:r>
      <w:r w:rsidRPr="00B12256">
        <w:rPr>
          <w:rFonts w:cs="Arial"/>
          <w:b w:val="0"/>
          <w:u w:val="none"/>
        </w:rPr>
        <w:fldChar w:fldCharType="begin"/>
      </w:r>
      <w:r w:rsidRPr="00B12256">
        <w:rPr>
          <w:rFonts w:cs="Arial"/>
          <w:b w:val="0"/>
          <w:u w:val="none"/>
        </w:rPr>
        <w:instrText xml:space="preserve"> REF _Ref359607640 \r \h  \* MERGEFORMAT </w:instrText>
      </w:r>
      <w:r w:rsidRPr="00B12256">
        <w:rPr>
          <w:rFonts w:cs="Arial"/>
          <w:b w:val="0"/>
          <w:u w:val="none"/>
        </w:rPr>
      </w:r>
      <w:r w:rsidRPr="00B12256">
        <w:rPr>
          <w:rFonts w:cs="Arial"/>
          <w:b w:val="0"/>
          <w:u w:val="none"/>
        </w:rPr>
        <w:fldChar w:fldCharType="separate"/>
      </w:r>
      <w:r w:rsidRPr="00B12256">
        <w:rPr>
          <w:rFonts w:cs="Arial"/>
          <w:b w:val="0"/>
          <w:u w:val="none"/>
        </w:rPr>
        <w:t>11.2</w:t>
      </w:r>
      <w:r w:rsidRPr="00B12256">
        <w:rPr>
          <w:rFonts w:cs="Arial"/>
          <w:b w:val="0"/>
          <w:u w:val="none"/>
        </w:rPr>
        <w:fldChar w:fldCharType="end"/>
      </w:r>
      <w:r w:rsidRPr="00B12256">
        <w:rPr>
          <w:rFonts w:cs="Arial"/>
          <w:b w:val="0"/>
          <w:u w:val="none"/>
        </w:rPr>
        <w:t>, each Party shall:</w:t>
      </w:r>
      <w:bookmarkEnd w:id="24"/>
    </w:p>
    <w:p w14:paraId="39A8F800"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treat all Confidential Information it receives as confidential, safeguard it accordingly and not disclose it to any other person without the prior written permission of the disclosing Party; and</w:t>
      </w:r>
    </w:p>
    <w:p w14:paraId="223EFD88"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B12256">
        <w:rPr>
          <w:rFonts w:cs="Arial"/>
          <w:sz w:val="22"/>
          <w:szCs w:val="22"/>
        </w:rPr>
        <w:t>not</w:t>
      </w:r>
      <w:proofErr w:type="gramEnd"/>
      <w:r w:rsidRPr="00B12256">
        <w:rPr>
          <w:rFonts w:cs="Arial"/>
          <w:sz w:val="22"/>
          <w:szCs w:val="22"/>
        </w:rPr>
        <w:t xml:space="preserve"> use or exploit the disclosing Party’s Confidential Information in any way except for the purposes anticipated under the Agreement.</w:t>
      </w:r>
    </w:p>
    <w:p w14:paraId="6591029A"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59607640"/>
      <w:r w:rsidRPr="00B12256">
        <w:rPr>
          <w:rFonts w:cs="Arial"/>
          <w:b w:val="0"/>
          <w:u w:val="none"/>
        </w:rPr>
        <w:t>Notwithstanding clause </w:t>
      </w:r>
      <w:r w:rsidRPr="00B12256">
        <w:rPr>
          <w:rFonts w:cs="Arial"/>
          <w:b w:val="0"/>
          <w:u w:val="none"/>
        </w:rPr>
        <w:fldChar w:fldCharType="begin"/>
      </w:r>
      <w:r w:rsidRPr="00B12256">
        <w:rPr>
          <w:rFonts w:cs="Arial"/>
          <w:b w:val="0"/>
          <w:u w:val="none"/>
        </w:rPr>
        <w:instrText xml:space="preserve"> REF _Ref359607666 \r \h  \* MERGEFORMAT </w:instrText>
      </w:r>
      <w:r w:rsidRPr="00B12256">
        <w:rPr>
          <w:rFonts w:cs="Arial"/>
          <w:b w:val="0"/>
          <w:u w:val="none"/>
        </w:rPr>
      </w:r>
      <w:r w:rsidRPr="00B12256">
        <w:rPr>
          <w:rFonts w:cs="Arial"/>
          <w:b w:val="0"/>
          <w:u w:val="none"/>
        </w:rPr>
        <w:fldChar w:fldCharType="separate"/>
      </w:r>
      <w:r w:rsidRPr="00B12256">
        <w:rPr>
          <w:rFonts w:cs="Arial"/>
          <w:b w:val="0"/>
          <w:u w:val="none"/>
        </w:rPr>
        <w:t>11.1</w:t>
      </w:r>
      <w:r w:rsidRPr="00B12256">
        <w:rPr>
          <w:rFonts w:cs="Arial"/>
          <w:b w:val="0"/>
          <w:u w:val="none"/>
        </w:rPr>
        <w:fldChar w:fldCharType="end"/>
      </w:r>
      <w:r w:rsidRPr="00B12256">
        <w:rPr>
          <w:rFonts w:cs="Arial"/>
          <w:b w:val="0"/>
          <w:u w:val="none"/>
        </w:rPr>
        <w:t>, a Party may disclose Confidential Information which it receives from the other Party:</w:t>
      </w:r>
      <w:bookmarkEnd w:id="25"/>
    </w:p>
    <w:p w14:paraId="071DB0A1"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 xml:space="preserve">where disclosure is required by applicable law or by a court of competent jurisdiction; </w:t>
      </w:r>
    </w:p>
    <w:p w14:paraId="190DCC6F"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 xml:space="preserve">to its auditors or for the purposes of regulatory requirements; </w:t>
      </w:r>
    </w:p>
    <w:p w14:paraId="41687DCA"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 xml:space="preserve">on a confidential basis, to its professional advisers; </w:t>
      </w:r>
    </w:p>
    <w:p w14:paraId="60AE8273"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sz w:val="22"/>
          <w:szCs w:val="22"/>
        </w:rPr>
        <w:t xml:space="preserve">to the Serious Fraud Office where the Party has reasonable grounds to believe that the other Party is involved in activity that may constitute a criminal offence under the Bribery Act 2010; </w:t>
      </w:r>
    </w:p>
    <w:p w14:paraId="21CF6E57"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26" w:name="_Ref377110989"/>
      <w:r w:rsidRPr="00B12256">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B12256">
        <w:rPr>
          <w:rFonts w:cs="Arial"/>
          <w:sz w:val="22"/>
          <w:szCs w:val="22"/>
        </w:rPr>
        <w:fldChar w:fldCharType="begin"/>
      </w:r>
      <w:r w:rsidRPr="00B12256">
        <w:rPr>
          <w:rFonts w:cs="Arial"/>
          <w:sz w:val="22"/>
          <w:szCs w:val="22"/>
        </w:rPr>
        <w:instrText xml:space="preserve"> REF _Ref377110989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11.2.5</w:t>
      </w:r>
      <w:r w:rsidRPr="00B12256">
        <w:rPr>
          <w:rFonts w:cs="Arial"/>
          <w:sz w:val="22"/>
          <w:szCs w:val="22"/>
        </w:rPr>
        <w:fldChar w:fldCharType="end"/>
      </w:r>
      <w:r w:rsidRPr="00B12256">
        <w:rPr>
          <w:rFonts w:cs="Arial"/>
          <w:sz w:val="22"/>
          <w:szCs w:val="22"/>
        </w:rPr>
        <w:t xml:space="preserve"> shall observe the Supplier’s confidentiality obligations under the Agreement; and</w:t>
      </w:r>
      <w:bookmarkEnd w:id="26"/>
    </w:p>
    <w:p w14:paraId="2DC8BD0C"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where the receiving Party is the Customer:</w:t>
      </w:r>
    </w:p>
    <w:p w14:paraId="09094D1B" w14:textId="77777777" w:rsidR="00F1450F" w:rsidRPr="00B12256" w:rsidRDefault="00F1450F" w:rsidP="00563045">
      <w:pPr>
        <w:pStyle w:val="Level5Number"/>
        <w:numPr>
          <w:ilvl w:val="4"/>
          <w:numId w:val="24"/>
        </w:numPr>
        <w:tabs>
          <w:tab w:val="clear" w:pos="1418"/>
          <w:tab w:val="num" w:pos="1985"/>
        </w:tabs>
        <w:spacing w:after="120" w:line="240" w:lineRule="atLeast"/>
        <w:ind w:left="1985"/>
        <w:rPr>
          <w:rFonts w:cs="Arial"/>
          <w:sz w:val="22"/>
          <w:szCs w:val="22"/>
        </w:rPr>
      </w:pPr>
      <w:r w:rsidRPr="00B12256">
        <w:rPr>
          <w:rFonts w:cs="Arial"/>
          <w:sz w:val="22"/>
          <w:szCs w:val="22"/>
        </w:rPr>
        <w:t>on a confidential basis to the employees, agents, consultants and contractors of the Customer;</w:t>
      </w:r>
    </w:p>
    <w:p w14:paraId="44DFACD2" w14:textId="77777777" w:rsidR="00F1450F" w:rsidRPr="00B12256" w:rsidRDefault="00F1450F" w:rsidP="00563045">
      <w:pPr>
        <w:pStyle w:val="Level5Number"/>
        <w:numPr>
          <w:ilvl w:val="4"/>
          <w:numId w:val="24"/>
        </w:numPr>
        <w:tabs>
          <w:tab w:val="clear" w:pos="1418"/>
          <w:tab w:val="num" w:pos="1985"/>
        </w:tabs>
        <w:spacing w:after="120" w:line="240" w:lineRule="atLeast"/>
        <w:ind w:left="1985"/>
        <w:rPr>
          <w:rFonts w:cs="Arial"/>
          <w:sz w:val="22"/>
          <w:szCs w:val="22"/>
        </w:rPr>
      </w:pPr>
      <w:r w:rsidRPr="00B12256">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53F5CDFA" w14:textId="77777777" w:rsidR="00F1450F" w:rsidRPr="00B12256" w:rsidRDefault="00F1450F" w:rsidP="00563045">
      <w:pPr>
        <w:pStyle w:val="Level5Number"/>
        <w:numPr>
          <w:ilvl w:val="4"/>
          <w:numId w:val="24"/>
        </w:numPr>
        <w:tabs>
          <w:tab w:val="clear" w:pos="1418"/>
          <w:tab w:val="num" w:pos="1985"/>
        </w:tabs>
        <w:spacing w:after="120" w:line="240" w:lineRule="atLeast"/>
        <w:ind w:left="1985"/>
        <w:rPr>
          <w:rFonts w:cs="Arial"/>
          <w:sz w:val="22"/>
          <w:szCs w:val="22"/>
        </w:rPr>
      </w:pPr>
      <w:r w:rsidRPr="00B12256">
        <w:rPr>
          <w:rFonts w:cs="Arial"/>
          <w:sz w:val="22"/>
          <w:szCs w:val="22"/>
        </w:rPr>
        <w:t>to the extent that the Customer (acting reasonably) deems disclosure necessary or appropriate in the course of carrying out its public functions; or</w:t>
      </w:r>
    </w:p>
    <w:p w14:paraId="17EBD9EC" w14:textId="77777777" w:rsidR="00F1450F" w:rsidRPr="00B12256" w:rsidRDefault="00F1450F" w:rsidP="00563045">
      <w:pPr>
        <w:pStyle w:val="Level5Number"/>
        <w:numPr>
          <w:ilvl w:val="4"/>
          <w:numId w:val="24"/>
        </w:numPr>
        <w:tabs>
          <w:tab w:val="clear" w:pos="1418"/>
          <w:tab w:val="num" w:pos="1985"/>
        </w:tabs>
        <w:spacing w:after="120" w:line="240" w:lineRule="atLeast"/>
        <w:ind w:left="1985"/>
        <w:rPr>
          <w:rFonts w:cs="Arial"/>
          <w:sz w:val="22"/>
          <w:szCs w:val="22"/>
        </w:rPr>
      </w:pPr>
      <w:proofErr w:type="gramStart"/>
      <w:r w:rsidRPr="00B12256">
        <w:rPr>
          <w:rFonts w:cs="Arial"/>
          <w:sz w:val="22"/>
          <w:szCs w:val="22"/>
        </w:rPr>
        <w:t>in</w:t>
      </w:r>
      <w:proofErr w:type="gramEnd"/>
      <w:r w:rsidRPr="00B12256">
        <w:rPr>
          <w:rFonts w:cs="Arial"/>
          <w:sz w:val="22"/>
          <w:szCs w:val="22"/>
        </w:rPr>
        <w:t xml:space="preserve"> accordance with clause </w:t>
      </w:r>
      <w:r w:rsidRPr="00B12256">
        <w:fldChar w:fldCharType="begin"/>
      </w:r>
      <w:r w:rsidRPr="00B12256">
        <w:instrText xml:space="preserve"> REF _Ref261004389 \r \h  \* MERGEFORMAT </w:instrText>
      </w:r>
      <w:r w:rsidRPr="00B12256">
        <w:fldChar w:fldCharType="separate"/>
      </w:r>
      <w:r w:rsidRPr="00B12256">
        <w:rPr>
          <w:rFonts w:cs="Arial"/>
          <w:sz w:val="22"/>
          <w:szCs w:val="22"/>
        </w:rPr>
        <w:t>12</w:t>
      </w:r>
      <w:r w:rsidRPr="00B12256">
        <w:fldChar w:fldCharType="end"/>
      </w:r>
      <w:r w:rsidRPr="00B12256">
        <w:rPr>
          <w:rFonts w:cs="Arial"/>
          <w:sz w:val="22"/>
          <w:szCs w:val="22"/>
        </w:rPr>
        <w:t xml:space="preserve">.  </w:t>
      </w:r>
    </w:p>
    <w:p w14:paraId="4E13EE01" w14:textId="77777777" w:rsidR="00F1450F" w:rsidRPr="00B12256" w:rsidRDefault="00F1450F" w:rsidP="00F1450F">
      <w:pPr>
        <w:pStyle w:val="Level1Heading"/>
        <w:numPr>
          <w:ilvl w:val="0"/>
          <w:numId w:val="0"/>
        </w:numPr>
        <w:spacing w:after="120" w:line="240" w:lineRule="atLeast"/>
        <w:ind w:left="1418"/>
        <w:rPr>
          <w:rFonts w:cs="Arial"/>
          <w:b w:val="0"/>
          <w:szCs w:val="22"/>
          <w:u w:val="none"/>
        </w:rPr>
      </w:pPr>
      <w:r w:rsidRPr="00B12256">
        <w:rPr>
          <w:b w:val="0"/>
          <w:u w:val="none"/>
        </w:rPr>
        <w:t xml:space="preserve">and for the purposes of the foregoing, references to disclosure on a confidential basis shall mean disclosure subject to a confidentiality agreement or arrangement </w:t>
      </w:r>
      <w:r w:rsidRPr="00B12256">
        <w:rPr>
          <w:b w:val="0"/>
          <w:u w:val="none"/>
        </w:rPr>
        <w:lastRenderedPageBreak/>
        <w:t>containing terms no less stringent than those placed on the Customer under this clause 11.</w:t>
      </w:r>
    </w:p>
    <w:p w14:paraId="6D9E69D6" w14:textId="77777777" w:rsidR="00F1450F" w:rsidRPr="00B12256" w:rsidRDefault="00F1450F" w:rsidP="00F1450F">
      <w:pPr>
        <w:pStyle w:val="Level5Number"/>
        <w:tabs>
          <w:tab w:val="clear" w:pos="1418"/>
        </w:tabs>
        <w:spacing w:after="120" w:line="240" w:lineRule="atLeast"/>
        <w:ind w:firstLine="0"/>
        <w:rPr>
          <w:rFonts w:cs="Arial"/>
          <w:sz w:val="22"/>
          <w:szCs w:val="22"/>
        </w:rPr>
      </w:pPr>
    </w:p>
    <w:p w14:paraId="714F2FE6"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60043449"/>
      <w:r w:rsidRPr="00B12256">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27"/>
      <w:r w:rsidRPr="00B12256">
        <w:rPr>
          <w:rFonts w:cs="Arial"/>
          <w:b w:val="0"/>
          <w:u w:val="none"/>
        </w:rPr>
        <w:t xml:space="preserve">  </w:t>
      </w:r>
    </w:p>
    <w:p w14:paraId="05ED7FD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8" w:name="_Ref260825584"/>
      <w:r w:rsidRPr="00B12256">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28"/>
      <w:r w:rsidRPr="00B12256">
        <w:rPr>
          <w:rFonts w:cs="Arial"/>
          <w:b w:val="0"/>
          <w:u w:val="none"/>
        </w:rPr>
        <w:t xml:space="preserve">  </w:t>
      </w:r>
    </w:p>
    <w:p w14:paraId="034D591C" w14:textId="77777777" w:rsidR="00F1450F" w:rsidRPr="00B12256" w:rsidRDefault="00F1450F" w:rsidP="00563045">
      <w:pPr>
        <w:pStyle w:val="Level1Heading"/>
        <w:numPr>
          <w:ilvl w:val="0"/>
          <w:numId w:val="24"/>
        </w:numPr>
        <w:tabs>
          <w:tab w:val="clear" w:pos="851"/>
          <w:tab w:val="num" w:pos="567"/>
        </w:tabs>
        <w:spacing w:after="120" w:line="240" w:lineRule="atLeast"/>
        <w:outlineLvl w:val="0"/>
        <w:rPr>
          <w:rFonts w:cs="Arial"/>
          <w:szCs w:val="22"/>
          <w:u w:val="none"/>
        </w:rPr>
      </w:pPr>
      <w:bookmarkStart w:id="29" w:name="_Ref261004389"/>
      <w:r w:rsidRPr="00B12256">
        <w:rPr>
          <w:rFonts w:cs="Arial"/>
          <w:szCs w:val="22"/>
          <w:u w:val="none"/>
        </w:rPr>
        <w:t>Freedom of Information</w:t>
      </w:r>
      <w:bookmarkEnd w:id="29"/>
      <w:r w:rsidRPr="00B12256">
        <w:rPr>
          <w:rFonts w:cs="Arial"/>
          <w:szCs w:val="22"/>
          <w:u w:val="none"/>
        </w:rPr>
        <w:t xml:space="preserve"> </w:t>
      </w:r>
    </w:p>
    <w:p w14:paraId="49603507"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Supplier acknowledges that the Customer is subject to the requirements of the FOIA and the Environmental Information Regulations 2004 and shall:</w:t>
      </w:r>
    </w:p>
    <w:p w14:paraId="0ADF2DAF"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2EE8386A"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 xml:space="preserve">transfer to the Customer all Requests for Information relating to this Agreement that it receives as soon as practicable and in any event within 2 Working Days of receipt; </w:t>
      </w:r>
    </w:p>
    <w:p w14:paraId="1DC909EF"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48EDDFB"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B12256">
        <w:rPr>
          <w:rFonts w:cs="Arial"/>
          <w:sz w:val="22"/>
          <w:szCs w:val="22"/>
        </w:rPr>
        <w:t>not</w:t>
      </w:r>
      <w:proofErr w:type="gramEnd"/>
      <w:r w:rsidRPr="00B12256">
        <w:rPr>
          <w:rFonts w:cs="Arial"/>
          <w:sz w:val="22"/>
          <w:szCs w:val="22"/>
        </w:rPr>
        <w:t xml:space="preserve"> respond directly to a Request for Information unless authorised in writing to do so by the Customer.</w:t>
      </w:r>
    </w:p>
    <w:p w14:paraId="37E6BCF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29EB9D28"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4EF8CA11"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bookmarkStart w:id="30" w:name="_Ref377050406"/>
      <w:bookmarkStart w:id="31" w:name="_Ref260838253"/>
      <w:r w:rsidRPr="00B12256">
        <w:rPr>
          <w:rFonts w:cs="Arial"/>
          <w:szCs w:val="22"/>
          <w:u w:val="none"/>
        </w:rPr>
        <w:t>Protection of Personal Data and Security of Data</w:t>
      </w:r>
      <w:bookmarkEnd w:id="30"/>
    </w:p>
    <w:p w14:paraId="396CD368"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2" w:name="_Ref378336429"/>
      <w:r w:rsidRPr="00B12256">
        <w:rPr>
          <w:rFonts w:cs="Arial"/>
          <w:b w:val="0"/>
          <w:u w:val="none"/>
        </w:rPr>
        <w:t xml:space="preserve">The Supplier shall, and shall procure that all Staff shall, comply with any notification requirements under the DPA and both Parties shall duly observe all their obligations </w:t>
      </w:r>
      <w:r w:rsidRPr="00B12256">
        <w:rPr>
          <w:rFonts w:cs="Arial"/>
          <w:b w:val="0"/>
          <w:u w:val="none"/>
        </w:rPr>
        <w:lastRenderedPageBreak/>
        <w:t>under the DPA which arise in connection with the Agreement.</w:t>
      </w:r>
      <w:bookmarkEnd w:id="31"/>
      <w:bookmarkEnd w:id="32"/>
      <w:r w:rsidRPr="00B12256">
        <w:rPr>
          <w:rFonts w:cs="Arial"/>
          <w:b w:val="0"/>
          <w:u w:val="none"/>
        </w:rPr>
        <w:t xml:space="preserve"> </w:t>
      </w:r>
    </w:p>
    <w:p w14:paraId="1EF6FF78"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Notwithstanding the general obligation in clause </w:t>
      </w:r>
      <w:r w:rsidRPr="00B12256">
        <w:rPr>
          <w:rFonts w:cs="Arial"/>
          <w:b w:val="0"/>
          <w:u w:val="none"/>
        </w:rPr>
        <w:fldChar w:fldCharType="begin"/>
      </w:r>
      <w:r w:rsidRPr="00B12256">
        <w:rPr>
          <w:rFonts w:cs="Arial"/>
          <w:b w:val="0"/>
          <w:u w:val="none"/>
        </w:rPr>
        <w:instrText xml:space="preserve"> REF _Ref378336429 \r \h  \* MERGEFORMAT </w:instrText>
      </w:r>
      <w:r w:rsidRPr="00B12256">
        <w:rPr>
          <w:rFonts w:cs="Arial"/>
          <w:b w:val="0"/>
          <w:u w:val="none"/>
        </w:rPr>
      </w:r>
      <w:r w:rsidRPr="00B12256">
        <w:rPr>
          <w:rFonts w:cs="Arial"/>
          <w:b w:val="0"/>
          <w:u w:val="none"/>
        </w:rPr>
        <w:fldChar w:fldCharType="separate"/>
      </w:r>
      <w:r w:rsidRPr="00B12256">
        <w:rPr>
          <w:rFonts w:cs="Arial"/>
          <w:b w:val="0"/>
          <w:u w:val="none"/>
        </w:rPr>
        <w:t>13.1</w:t>
      </w:r>
      <w:r w:rsidRPr="00B12256">
        <w:rPr>
          <w:rFonts w:cs="Arial"/>
          <w:b w:val="0"/>
          <w:u w:val="none"/>
        </w:rPr>
        <w:fldChar w:fldCharType="end"/>
      </w:r>
      <w:r w:rsidRPr="00B12256">
        <w:rPr>
          <w:rFonts w:cs="Arial"/>
          <w:b w:val="0"/>
          <w:u w:val="none"/>
        </w:rPr>
        <w:t>, where the Supplier is processing Personal Data for the Customer as a data processor (as defined by the DPA) the Supplier shall:</w:t>
      </w:r>
    </w:p>
    <w:p w14:paraId="04B36B66"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722BE27F"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provide the Customer with such information as the Customer may reasonably request  to satisfy itself that the Supplier is complying with its obligations under the DPA;</w:t>
      </w:r>
    </w:p>
    <w:p w14:paraId="189D160E"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B12256">
        <w:rPr>
          <w:rFonts w:cs="Arial"/>
          <w:sz w:val="22"/>
          <w:szCs w:val="22"/>
        </w:rPr>
        <w:t xml:space="preserve">promptly notify the Customer of:  </w:t>
      </w:r>
    </w:p>
    <w:p w14:paraId="5D63CA8F" w14:textId="77777777" w:rsidR="00F1450F" w:rsidRPr="00B12256" w:rsidRDefault="00F1450F" w:rsidP="00563045">
      <w:pPr>
        <w:pStyle w:val="Level5Number"/>
        <w:numPr>
          <w:ilvl w:val="4"/>
          <w:numId w:val="24"/>
        </w:numPr>
        <w:tabs>
          <w:tab w:val="clear" w:pos="1418"/>
          <w:tab w:val="num" w:pos="1985"/>
        </w:tabs>
        <w:spacing w:line="240" w:lineRule="atLeast"/>
        <w:ind w:left="1985"/>
        <w:contextualSpacing/>
        <w:rPr>
          <w:rFonts w:cs="Arial"/>
          <w:sz w:val="22"/>
          <w:szCs w:val="22"/>
        </w:rPr>
      </w:pPr>
      <w:r w:rsidRPr="00B12256">
        <w:rPr>
          <w:rFonts w:cs="Arial"/>
          <w:sz w:val="22"/>
          <w:szCs w:val="22"/>
        </w:rPr>
        <w:t>any breach of the security requirements of the Customer as referred to in clause </w:t>
      </w:r>
      <w:r w:rsidRPr="00B12256">
        <w:fldChar w:fldCharType="begin"/>
      </w:r>
      <w:r w:rsidRPr="00B12256">
        <w:instrText xml:space="preserve"> REF _Ref360040777 \r \h  \* MERGEFORMAT </w:instrText>
      </w:r>
      <w:r w:rsidRPr="00B12256">
        <w:fldChar w:fldCharType="separate"/>
      </w:r>
      <w:r w:rsidRPr="00B12256">
        <w:rPr>
          <w:rFonts w:cs="Arial"/>
          <w:sz w:val="22"/>
          <w:szCs w:val="22"/>
        </w:rPr>
        <w:t>13.3</w:t>
      </w:r>
      <w:r w:rsidRPr="00B12256">
        <w:fldChar w:fldCharType="end"/>
      </w:r>
      <w:r w:rsidRPr="00B12256">
        <w:rPr>
          <w:rFonts w:cs="Arial"/>
          <w:sz w:val="22"/>
          <w:szCs w:val="22"/>
        </w:rPr>
        <w:t>; and</w:t>
      </w:r>
    </w:p>
    <w:p w14:paraId="585EC7FC" w14:textId="77777777" w:rsidR="00F1450F" w:rsidRPr="00B12256" w:rsidRDefault="00F1450F" w:rsidP="00563045">
      <w:pPr>
        <w:pStyle w:val="Level5Number"/>
        <w:numPr>
          <w:ilvl w:val="4"/>
          <w:numId w:val="24"/>
        </w:numPr>
        <w:tabs>
          <w:tab w:val="clear" w:pos="1418"/>
          <w:tab w:val="num" w:pos="1985"/>
        </w:tabs>
        <w:spacing w:line="240" w:lineRule="atLeast"/>
        <w:ind w:left="1985"/>
        <w:contextualSpacing/>
        <w:rPr>
          <w:rFonts w:cs="Arial"/>
          <w:sz w:val="22"/>
          <w:szCs w:val="22"/>
        </w:rPr>
      </w:pPr>
      <w:r w:rsidRPr="00B12256">
        <w:rPr>
          <w:rFonts w:cs="Arial"/>
          <w:sz w:val="22"/>
          <w:szCs w:val="22"/>
        </w:rPr>
        <w:t>any request for personal data; and</w:t>
      </w:r>
    </w:p>
    <w:p w14:paraId="472AE7F0"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B12256">
        <w:rPr>
          <w:rFonts w:cs="Arial"/>
          <w:sz w:val="22"/>
          <w:szCs w:val="22"/>
        </w:rPr>
        <w:t>ensure</w:t>
      </w:r>
      <w:proofErr w:type="gramEnd"/>
      <w:r w:rsidRPr="00B12256">
        <w:rPr>
          <w:rFonts w:cs="Arial"/>
          <w:sz w:val="22"/>
          <w:szCs w:val="22"/>
        </w:rPr>
        <w:t xml:space="preserve"> that it does not knowingly or negligently do or omit to do anything which places the Customer in breach of the Customer’s obligations under the DPA. </w:t>
      </w:r>
    </w:p>
    <w:p w14:paraId="5410B069" w14:textId="77777777" w:rsidR="00F1450F" w:rsidRPr="00B12256" w:rsidRDefault="00F1450F" w:rsidP="00563045">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33" w:name="_Ref360040777"/>
      <w:r w:rsidRPr="00B12256">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33"/>
      <w:r w:rsidRPr="00B12256">
        <w:rPr>
          <w:rFonts w:cs="Arial"/>
          <w:b w:val="0"/>
          <w:u w:val="none"/>
        </w:rPr>
        <w:t xml:space="preserve"> </w:t>
      </w:r>
    </w:p>
    <w:p w14:paraId="1F4C9E43"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bookmarkStart w:id="34" w:name="_Ref377050536"/>
      <w:r w:rsidRPr="00B12256">
        <w:rPr>
          <w:rFonts w:cs="Arial"/>
          <w:szCs w:val="22"/>
          <w:u w:val="none"/>
        </w:rPr>
        <w:t>Liability</w:t>
      </w:r>
      <w:bookmarkEnd w:id="34"/>
      <w:r w:rsidRPr="00B12256">
        <w:rPr>
          <w:rFonts w:cs="Arial"/>
          <w:szCs w:val="22"/>
          <w:u w:val="none"/>
        </w:rPr>
        <w:t xml:space="preserve"> </w:t>
      </w:r>
    </w:p>
    <w:p w14:paraId="59603C51"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B12256">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BF6D04F"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5" w:name="_Ref370389250"/>
      <w:r w:rsidRPr="00B12256">
        <w:rPr>
          <w:rFonts w:cs="Arial"/>
          <w:b w:val="0"/>
          <w:u w:val="none"/>
        </w:rPr>
        <w:t>Subject always to clauses </w:t>
      </w:r>
      <w:r w:rsidRPr="00B12256">
        <w:rPr>
          <w:rFonts w:cs="Arial"/>
          <w:b w:val="0"/>
          <w:u w:val="none"/>
        </w:rPr>
        <w:fldChar w:fldCharType="begin"/>
      </w:r>
      <w:r w:rsidRPr="00B12256">
        <w:rPr>
          <w:rFonts w:cs="Arial"/>
          <w:b w:val="0"/>
          <w:u w:val="none"/>
        </w:rPr>
        <w:instrText xml:space="preserve"> REF _Ref359607720 \r \h  \* MERGEFORMAT </w:instrText>
      </w:r>
      <w:r w:rsidRPr="00B12256">
        <w:rPr>
          <w:rFonts w:cs="Arial"/>
          <w:b w:val="0"/>
          <w:u w:val="none"/>
        </w:rPr>
      </w:r>
      <w:r w:rsidRPr="00B12256">
        <w:rPr>
          <w:rFonts w:cs="Arial"/>
          <w:b w:val="0"/>
          <w:u w:val="none"/>
        </w:rPr>
        <w:fldChar w:fldCharType="separate"/>
      </w:r>
      <w:r w:rsidRPr="00B12256">
        <w:rPr>
          <w:rFonts w:cs="Arial"/>
          <w:b w:val="0"/>
          <w:u w:val="none"/>
        </w:rPr>
        <w:t>14.3</w:t>
      </w:r>
      <w:r w:rsidRPr="00B12256">
        <w:rPr>
          <w:rFonts w:cs="Arial"/>
          <w:b w:val="0"/>
          <w:u w:val="none"/>
        </w:rPr>
        <w:fldChar w:fldCharType="end"/>
      </w:r>
      <w:r w:rsidRPr="00B12256">
        <w:rPr>
          <w:rFonts w:cs="Arial"/>
          <w:b w:val="0"/>
          <w:u w:val="none"/>
        </w:rPr>
        <w:t xml:space="preserve"> and </w:t>
      </w:r>
      <w:r w:rsidRPr="00B12256">
        <w:rPr>
          <w:rFonts w:cs="Arial"/>
          <w:b w:val="0"/>
          <w:u w:val="none"/>
        </w:rPr>
        <w:fldChar w:fldCharType="begin"/>
      </w:r>
      <w:r w:rsidRPr="00B12256">
        <w:rPr>
          <w:rFonts w:cs="Arial"/>
          <w:b w:val="0"/>
          <w:u w:val="none"/>
        </w:rPr>
        <w:instrText xml:space="preserve"> REF _Ref359607729 \r \h  \* MERGEFORMAT </w:instrText>
      </w:r>
      <w:r w:rsidRPr="00B12256">
        <w:rPr>
          <w:rFonts w:cs="Arial"/>
          <w:b w:val="0"/>
          <w:u w:val="none"/>
        </w:rPr>
      </w:r>
      <w:r w:rsidRPr="00B12256">
        <w:rPr>
          <w:rFonts w:cs="Arial"/>
          <w:b w:val="0"/>
          <w:u w:val="none"/>
        </w:rPr>
        <w:fldChar w:fldCharType="separate"/>
      </w:r>
      <w:r w:rsidRPr="00B12256">
        <w:rPr>
          <w:rFonts w:cs="Arial"/>
          <w:b w:val="0"/>
          <w:u w:val="none"/>
        </w:rPr>
        <w:t>14.4</w:t>
      </w:r>
      <w:r w:rsidRPr="00B12256">
        <w:rPr>
          <w:rFonts w:cs="Arial"/>
          <w:b w:val="0"/>
          <w:u w:val="none"/>
        </w:rPr>
        <w:fldChar w:fldCharType="end"/>
      </w:r>
      <w:r w:rsidRPr="00B12256">
        <w:rPr>
          <w:rFonts w:cs="Arial"/>
          <w:b w:val="0"/>
          <w:u w:val="none"/>
        </w:rPr>
        <w:t>:</w:t>
      </w:r>
      <w:bookmarkEnd w:id="35"/>
    </w:p>
    <w:p w14:paraId="26A23B38"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6" w:name="_Ref377110477"/>
      <w:r w:rsidRPr="00B12256">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36"/>
    </w:p>
    <w:p w14:paraId="38C6A8FD"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 xml:space="preserve">except in the case of claims arising under clauses </w:t>
      </w:r>
      <w:r w:rsidRPr="00B12256">
        <w:rPr>
          <w:rFonts w:cs="Arial"/>
          <w:sz w:val="22"/>
          <w:szCs w:val="22"/>
        </w:rPr>
        <w:fldChar w:fldCharType="begin"/>
      </w:r>
      <w:r w:rsidRPr="00B12256">
        <w:rPr>
          <w:rFonts w:cs="Arial"/>
          <w:sz w:val="22"/>
          <w:szCs w:val="22"/>
        </w:rPr>
        <w:instrText xml:space="preserve"> REF _Ref359607763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9.4</w:t>
      </w:r>
      <w:r w:rsidRPr="00B12256">
        <w:rPr>
          <w:rFonts w:cs="Arial"/>
          <w:sz w:val="22"/>
          <w:szCs w:val="22"/>
        </w:rPr>
        <w:fldChar w:fldCharType="end"/>
      </w:r>
      <w:r w:rsidRPr="00B12256">
        <w:rPr>
          <w:rFonts w:cs="Arial"/>
          <w:sz w:val="22"/>
          <w:szCs w:val="22"/>
        </w:rPr>
        <w:t xml:space="preserve"> and </w:t>
      </w:r>
      <w:r w:rsidRPr="00B12256">
        <w:rPr>
          <w:rFonts w:cs="Arial"/>
          <w:sz w:val="22"/>
          <w:szCs w:val="22"/>
        </w:rPr>
        <w:fldChar w:fldCharType="begin"/>
      </w:r>
      <w:r w:rsidRPr="00B12256">
        <w:rPr>
          <w:rFonts w:cs="Arial"/>
          <w:sz w:val="22"/>
          <w:szCs w:val="22"/>
        </w:rPr>
        <w:instrText xml:space="preserve"> REF _Ref370389344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18.3</w:t>
      </w:r>
      <w:r w:rsidRPr="00B12256">
        <w:rPr>
          <w:rFonts w:cs="Arial"/>
          <w:sz w:val="22"/>
          <w:szCs w:val="22"/>
        </w:rPr>
        <w:fldChar w:fldCharType="end"/>
      </w:r>
      <w:r w:rsidRPr="00B12256">
        <w:rPr>
          <w:rFonts w:cs="Arial"/>
          <w:sz w:val="22"/>
          <w:szCs w:val="22"/>
        </w:rPr>
        <w:t xml:space="preserve">, in no event shall the Supplier be liable to the Customer for any: </w:t>
      </w:r>
    </w:p>
    <w:p w14:paraId="384DBCFD" w14:textId="77777777" w:rsidR="00F1450F" w:rsidRPr="00B12256" w:rsidRDefault="00F1450F" w:rsidP="00563045">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B12256">
        <w:rPr>
          <w:rFonts w:cs="Arial"/>
          <w:sz w:val="22"/>
          <w:szCs w:val="22"/>
        </w:rPr>
        <w:t>loss of profits;</w:t>
      </w:r>
    </w:p>
    <w:p w14:paraId="19580FE7" w14:textId="77777777" w:rsidR="00F1450F" w:rsidRPr="00B12256" w:rsidRDefault="00F1450F" w:rsidP="00563045">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B12256">
        <w:rPr>
          <w:rFonts w:cs="Arial"/>
          <w:sz w:val="22"/>
          <w:szCs w:val="22"/>
        </w:rPr>
        <w:t xml:space="preserve">loss of business; </w:t>
      </w:r>
    </w:p>
    <w:p w14:paraId="6266CA29" w14:textId="77777777" w:rsidR="00F1450F" w:rsidRPr="00B12256" w:rsidRDefault="00F1450F" w:rsidP="00563045">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B12256">
        <w:rPr>
          <w:rFonts w:cs="Arial"/>
          <w:sz w:val="22"/>
          <w:szCs w:val="22"/>
        </w:rPr>
        <w:t xml:space="preserve">loss of revenue; </w:t>
      </w:r>
    </w:p>
    <w:p w14:paraId="1C667E68" w14:textId="77777777" w:rsidR="00F1450F" w:rsidRPr="00B12256" w:rsidRDefault="00F1450F" w:rsidP="00563045">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B12256">
        <w:rPr>
          <w:rFonts w:cs="Arial"/>
          <w:sz w:val="22"/>
          <w:szCs w:val="22"/>
        </w:rPr>
        <w:t>loss of or damage to goodwill;</w:t>
      </w:r>
    </w:p>
    <w:p w14:paraId="230C2AC2" w14:textId="77777777" w:rsidR="00F1450F" w:rsidRPr="00B12256" w:rsidRDefault="00F1450F" w:rsidP="00563045">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B12256">
        <w:rPr>
          <w:rFonts w:cs="Arial"/>
          <w:sz w:val="22"/>
          <w:szCs w:val="22"/>
        </w:rPr>
        <w:t>loss of savings (whether anticipated or otherwise); and/or</w:t>
      </w:r>
    </w:p>
    <w:p w14:paraId="24D11930" w14:textId="77777777" w:rsidR="00F1450F" w:rsidRPr="00141AE2" w:rsidRDefault="00F1450F" w:rsidP="00563045">
      <w:pPr>
        <w:pStyle w:val="Level5Number"/>
        <w:numPr>
          <w:ilvl w:val="4"/>
          <w:numId w:val="24"/>
        </w:numPr>
        <w:tabs>
          <w:tab w:val="clear" w:pos="1418"/>
          <w:tab w:val="num" w:pos="1843"/>
          <w:tab w:val="num" w:pos="3261"/>
        </w:tabs>
        <w:spacing w:after="120" w:line="240" w:lineRule="atLeast"/>
        <w:ind w:left="1843"/>
        <w:rPr>
          <w:rFonts w:cs="Arial"/>
          <w:sz w:val="22"/>
          <w:szCs w:val="22"/>
        </w:rPr>
      </w:pPr>
      <w:proofErr w:type="gramStart"/>
      <w:r w:rsidRPr="00B12256">
        <w:rPr>
          <w:rFonts w:cs="Arial"/>
          <w:sz w:val="22"/>
          <w:szCs w:val="22"/>
        </w:rPr>
        <w:t>any</w:t>
      </w:r>
      <w:proofErr w:type="gramEnd"/>
      <w:r w:rsidRPr="00B12256">
        <w:rPr>
          <w:rFonts w:cs="Arial"/>
          <w:sz w:val="22"/>
          <w:szCs w:val="22"/>
        </w:rPr>
        <w:t xml:space="preserve"> indirect, special or consequential</w:t>
      </w:r>
      <w:r w:rsidRPr="00141AE2">
        <w:rPr>
          <w:rFonts w:cs="Arial"/>
          <w:sz w:val="22"/>
          <w:szCs w:val="22"/>
        </w:rPr>
        <w:t xml:space="preserve"> loss or damage.</w:t>
      </w:r>
    </w:p>
    <w:p w14:paraId="04C00F9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720"/>
      <w:r w:rsidRPr="00B12256">
        <w:rPr>
          <w:rFonts w:cs="Arial"/>
          <w:b w:val="0"/>
          <w:u w:val="none"/>
        </w:rPr>
        <w:lastRenderedPageBreak/>
        <w:t>Nothing in the Agreement shall be construed to limit or exclude either Party's liability for:</w:t>
      </w:r>
      <w:bookmarkEnd w:id="37"/>
    </w:p>
    <w:p w14:paraId="5722124E"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death or personal injury caused by its negligence or that of its Staff;</w:t>
      </w:r>
    </w:p>
    <w:p w14:paraId="51251200"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fraud or fraudulent misrepresentation by it or that of its Staff; or</w:t>
      </w:r>
    </w:p>
    <w:p w14:paraId="163077C6"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B12256">
        <w:rPr>
          <w:rFonts w:cs="Arial"/>
          <w:sz w:val="22"/>
          <w:szCs w:val="22"/>
        </w:rPr>
        <w:t>any</w:t>
      </w:r>
      <w:proofErr w:type="gramEnd"/>
      <w:r w:rsidRPr="00B12256">
        <w:rPr>
          <w:rFonts w:cs="Arial"/>
          <w:sz w:val="22"/>
          <w:szCs w:val="22"/>
        </w:rPr>
        <w:t xml:space="preserve"> other matter which, by law, may not be excluded or limited.</w:t>
      </w:r>
    </w:p>
    <w:p w14:paraId="5C6F9E60"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59607729"/>
      <w:r w:rsidRPr="00B12256">
        <w:rPr>
          <w:rFonts w:cs="Arial"/>
          <w:b w:val="0"/>
          <w:u w:val="none"/>
        </w:rPr>
        <w:t>The Supplier’s liability under the indemnity in clause </w:t>
      </w:r>
      <w:r w:rsidRPr="00B12256">
        <w:rPr>
          <w:rFonts w:cs="Arial"/>
          <w:b w:val="0"/>
          <w:u w:val="none"/>
        </w:rPr>
        <w:fldChar w:fldCharType="begin"/>
      </w:r>
      <w:r w:rsidRPr="00B12256">
        <w:rPr>
          <w:rFonts w:cs="Arial"/>
          <w:b w:val="0"/>
          <w:u w:val="none"/>
        </w:rPr>
        <w:instrText xml:space="preserve"> REF _Ref359607763 \r \h  \* MERGEFORMAT </w:instrText>
      </w:r>
      <w:r w:rsidRPr="00B12256">
        <w:rPr>
          <w:rFonts w:cs="Arial"/>
          <w:b w:val="0"/>
          <w:u w:val="none"/>
        </w:rPr>
      </w:r>
      <w:r w:rsidRPr="00B12256">
        <w:rPr>
          <w:rFonts w:cs="Arial"/>
          <w:b w:val="0"/>
          <w:u w:val="none"/>
        </w:rPr>
        <w:fldChar w:fldCharType="separate"/>
      </w:r>
      <w:r w:rsidRPr="00B12256">
        <w:rPr>
          <w:rFonts w:cs="Arial"/>
          <w:b w:val="0"/>
          <w:u w:val="none"/>
        </w:rPr>
        <w:t>9.4</w:t>
      </w:r>
      <w:r w:rsidRPr="00B12256">
        <w:rPr>
          <w:rFonts w:cs="Arial"/>
          <w:b w:val="0"/>
          <w:u w:val="none"/>
        </w:rPr>
        <w:fldChar w:fldCharType="end"/>
      </w:r>
      <w:r w:rsidRPr="00B12256">
        <w:rPr>
          <w:rFonts w:cs="Arial"/>
          <w:b w:val="0"/>
          <w:u w:val="none"/>
        </w:rPr>
        <w:t xml:space="preserve"> and </w:t>
      </w:r>
      <w:r w:rsidRPr="00B12256">
        <w:rPr>
          <w:rFonts w:cs="Arial"/>
          <w:b w:val="0"/>
          <w:u w:val="none"/>
        </w:rPr>
        <w:fldChar w:fldCharType="begin"/>
      </w:r>
      <w:r w:rsidRPr="00B12256">
        <w:rPr>
          <w:rFonts w:cs="Arial"/>
          <w:b w:val="0"/>
          <w:u w:val="none"/>
        </w:rPr>
        <w:instrText xml:space="preserve"> REF _Ref370389344 \r \h  \* MERGEFORMAT </w:instrText>
      </w:r>
      <w:r w:rsidRPr="00B12256">
        <w:rPr>
          <w:rFonts w:cs="Arial"/>
          <w:b w:val="0"/>
          <w:u w:val="none"/>
        </w:rPr>
      </w:r>
      <w:r w:rsidRPr="00B12256">
        <w:rPr>
          <w:rFonts w:cs="Arial"/>
          <w:b w:val="0"/>
          <w:u w:val="none"/>
        </w:rPr>
        <w:fldChar w:fldCharType="separate"/>
      </w:r>
      <w:r w:rsidRPr="00B12256">
        <w:rPr>
          <w:rFonts w:cs="Arial"/>
          <w:b w:val="0"/>
          <w:u w:val="none"/>
        </w:rPr>
        <w:t>18.3</w:t>
      </w:r>
      <w:r w:rsidRPr="00B12256">
        <w:rPr>
          <w:rFonts w:cs="Arial"/>
          <w:b w:val="0"/>
          <w:u w:val="none"/>
        </w:rPr>
        <w:fldChar w:fldCharType="end"/>
      </w:r>
      <w:r w:rsidRPr="00B12256">
        <w:rPr>
          <w:rFonts w:cs="Arial"/>
          <w:b w:val="0"/>
          <w:u w:val="none"/>
        </w:rPr>
        <w:t xml:space="preserve"> shall be unlimited. </w:t>
      </w:r>
      <w:bookmarkEnd w:id="38"/>
    </w:p>
    <w:p w14:paraId="411BB299" w14:textId="77777777" w:rsidR="00F1450F" w:rsidRPr="00B12256" w:rsidRDefault="00F1450F" w:rsidP="00563045">
      <w:pPr>
        <w:pStyle w:val="Level1Heading"/>
        <w:numPr>
          <w:ilvl w:val="0"/>
          <w:numId w:val="24"/>
        </w:numPr>
        <w:tabs>
          <w:tab w:val="clear" w:pos="851"/>
          <w:tab w:val="num" w:pos="567"/>
        </w:tabs>
        <w:spacing w:after="120" w:line="240" w:lineRule="atLeast"/>
        <w:outlineLvl w:val="0"/>
        <w:rPr>
          <w:rFonts w:cs="Arial"/>
          <w:szCs w:val="22"/>
          <w:u w:val="none"/>
        </w:rPr>
      </w:pPr>
      <w:bookmarkStart w:id="39" w:name="_Ref360044784"/>
      <w:r w:rsidRPr="00B12256">
        <w:rPr>
          <w:rFonts w:cs="Arial"/>
          <w:szCs w:val="22"/>
          <w:u w:val="none"/>
        </w:rPr>
        <w:t>Force Majeure</w:t>
      </w:r>
      <w:bookmarkEnd w:id="39"/>
    </w:p>
    <w:p w14:paraId="5E9F7CBC" w14:textId="77777777" w:rsidR="00F1450F" w:rsidRPr="00B12256" w:rsidRDefault="00F1450F" w:rsidP="00F1450F">
      <w:pPr>
        <w:pStyle w:val="Level2Heading"/>
        <w:keepNext w:val="0"/>
        <w:widowControl w:val="0"/>
        <w:numPr>
          <w:ilvl w:val="0"/>
          <w:numId w:val="0"/>
        </w:numPr>
        <w:spacing w:after="120" w:line="240" w:lineRule="atLeast"/>
        <w:rPr>
          <w:rFonts w:cs="Arial"/>
          <w:b w:val="0"/>
          <w:u w:val="none"/>
        </w:rPr>
      </w:pPr>
      <w:r w:rsidRPr="00B12256">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27811A61"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bookmarkStart w:id="40" w:name="_Ref359655944"/>
      <w:bookmarkStart w:id="41" w:name="_Ref245529290"/>
      <w:r w:rsidRPr="00B12256">
        <w:rPr>
          <w:rFonts w:cs="Arial"/>
          <w:szCs w:val="22"/>
          <w:u w:val="none"/>
        </w:rPr>
        <w:t>Termination</w:t>
      </w:r>
      <w:bookmarkEnd w:id="40"/>
    </w:p>
    <w:bookmarkEnd w:id="41"/>
    <w:p w14:paraId="1EDDCC2A"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3DEE215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Without prejudice to any other right or remedy it might have, the Customer may terminate the Agreement by written notice to the Supplier with immediate effect if the Supplier:</w:t>
      </w:r>
    </w:p>
    <w:p w14:paraId="73816496"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(without prejudice to clause </w:t>
      </w:r>
      <w:r w:rsidRPr="00B12256">
        <w:rPr>
          <w:rFonts w:cs="Arial"/>
          <w:sz w:val="22"/>
          <w:szCs w:val="22"/>
        </w:rPr>
        <w:fldChar w:fldCharType="begin"/>
      </w:r>
      <w:r w:rsidRPr="00B12256">
        <w:rPr>
          <w:rFonts w:cs="Arial"/>
          <w:sz w:val="22"/>
          <w:szCs w:val="22"/>
        </w:rPr>
        <w:instrText xml:space="preserve"> REF _Ref359607792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16.2.5</w:t>
      </w:r>
      <w:r w:rsidRPr="00B12256">
        <w:rPr>
          <w:rFonts w:cs="Arial"/>
          <w:sz w:val="22"/>
          <w:szCs w:val="22"/>
        </w:rPr>
        <w:fldChar w:fldCharType="end"/>
      </w:r>
      <w:r w:rsidRPr="00B12256">
        <w:rPr>
          <w:rFonts w:cs="Arial"/>
          <w:sz w:val="22"/>
          <w:szCs w:val="22"/>
        </w:rPr>
        <w:t xml:space="preserve">), is in material breach of any obligation under the Agreement which is not capable of remedy; </w:t>
      </w:r>
    </w:p>
    <w:p w14:paraId="45FCBCDD"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0BE63332"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260924378"/>
      <w:r w:rsidRPr="00B12256">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1946AE87"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359859809"/>
      <w:r w:rsidRPr="00B12256">
        <w:rPr>
          <w:rFonts w:cs="Arial"/>
          <w:sz w:val="22"/>
          <w:szCs w:val="22"/>
        </w:rPr>
        <w:t>undergoes a change of control within the meaning of section 416 of the Income and Corporation Taxes Act 1988;</w:t>
      </w:r>
      <w:bookmarkEnd w:id="43"/>
      <w:r w:rsidRPr="00B12256">
        <w:rPr>
          <w:rFonts w:cs="Arial"/>
          <w:sz w:val="22"/>
          <w:szCs w:val="22"/>
        </w:rPr>
        <w:t xml:space="preserve"> </w:t>
      </w:r>
    </w:p>
    <w:p w14:paraId="47A22EB5"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44" w:name="_Ref359607792"/>
      <w:r w:rsidRPr="00B12256">
        <w:rPr>
          <w:rFonts w:cs="Arial"/>
          <w:sz w:val="22"/>
          <w:szCs w:val="22"/>
        </w:rPr>
        <w:t xml:space="preserve">breaches any of the provisions of clauses </w:t>
      </w:r>
      <w:r w:rsidRPr="00B12256">
        <w:rPr>
          <w:rFonts w:cs="Arial"/>
          <w:sz w:val="22"/>
          <w:szCs w:val="22"/>
        </w:rPr>
        <w:fldChar w:fldCharType="begin"/>
      </w:r>
      <w:r w:rsidRPr="00B12256">
        <w:rPr>
          <w:rFonts w:cs="Arial"/>
          <w:sz w:val="22"/>
          <w:szCs w:val="22"/>
        </w:rPr>
        <w:instrText xml:space="preserve"> REF _Ref377050375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7.2</w:t>
      </w:r>
      <w:r w:rsidRPr="00B12256">
        <w:rPr>
          <w:rFonts w:cs="Arial"/>
          <w:sz w:val="22"/>
          <w:szCs w:val="22"/>
        </w:rPr>
        <w:fldChar w:fldCharType="end"/>
      </w:r>
      <w:r w:rsidRPr="00B12256">
        <w:rPr>
          <w:rFonts w:cs="Arial"/>
          <w:sz w:val="22"/>
          <w:szCs w:val="22"/>
        </w:rPr>
        <w:t xml:space="preserve">, </w:t>
      </w:r>
      <w:r w:rsidRPr="00B12256">
        <w:rPr>
          <w:rFonts w:cs="Arial"/>
          <w:sz w:val="22"/>
          <w:szCs w:val="22"/>
        </w:rPr>
        <w:fldChar w:fldCharType="begin"/>
      </w:r>
      <w:r w:rsidRPr="00B12256">
        <w:rPr>
          <w:rFonts w:cs="Arial"/>
          <w:sz w:val="22"/>
          <w:szCs w:val="22"/>
        </w:rPr>
        <w:instrText xml:space="preserve"> REF _Ref377050387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11</w:t>
      </w:r>
      <w:r w:rsidRPr="00B12256">
        <w:rPr>
          <w:rFonts w:cs="Arial"/>
          <w:sz w:val="22"/>
          <w:szCs w:val="22"/>
        </w:rPr>
        <w:fldChar w:fldCharType="end"/>
      </w:r>
      <w:r w:rsidRPr="00B12256">
        <w:rPr>
          <w:rFonts w:cs="Arial"/>
          <w:sz w:val="22"/>
          <w:szCs w:val="22"/>
        </w:rPr>
        <w:t xml:space="preserve">, </w:t>
      </w:r>
      <w:r w:rsidRPr="00B12256">
        <w:rPr>
          <w:rFonts w:cs="Arial"/>
          <w:sz w:val="22"/>
          <w:szCs w:val="22"/>
        </w:rPr>
        <w:fldChar w:fldCharType="begin"/>
      </w:r>
      <w:r w:rsidRPr="00B12256">
        <w:rPr>
          <w:rFonts w:cs="Arial"/>
          <w:sz w:val="22"/>
          <w:szCs w:val="22"/>
        </w:rPr>
        <w:instrText xml:space="preserve"> REF _Ref261004389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12</w:t>
      </w:r>
      <w:r w:rsidRPr="00B12256">
        <w:rPr>
          <w:rFonts w:cs="Arial"/>
          <w:sz w:val="22"/>
          <w:szCs w:val="22"/>
        </w:rPr>
        <w:fldChar w:fldCharType="end"/>
      </w:r>
      <w:r w:rsidRPr="00B12256">
        <w:rPr>
          <w:rFonts w:cs="Arial"/>
          <w:sz w:val="22"/>
          <w:szCs w:val="22"/>
        </w:rPr>
        <w:t xml:space="preserve">, </w:t>
      </w:r>
      <w:r w:rsidRPr="00B12256">
        <w:rPr>
          <w:rFonts w:cs="Arial"/>
          <w:sz w:val="22"/>
          <w:szCs w:val="22"/>
        </w:rPr>
        <w:fldChar w:fldCharType="begin"/>
      </w:r>
      <w:r w:rsidRPr="00B12256">
        <w:rPr>
          <w:rFonts w:cs="Arial"/>
          <w:sz w:val="22"/>
          <w:szCs w:val="22"/>
        </w:rPr>
        <w:instrText xml:space="preserve"> REF _Ref377050406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13</w:t>
      </w:r>
      <w:r w:rsidRPr="00B12256">
        <w:rPr>
          <w:rFonts w:cs="Arial"/>
          <w:sz w:val="22"/>
          <w:szCs w:val="22"/>
        </w:rPr>
        <w:fldChar w:fldCharType="end"/>
      </w:r>
      <w:r w:rsidRPr="00B12256">
        <w:rPr>
          <w:rFonts w:cs="Arial"/>
          <w:sz w:val="22"/>
          <w:szCs w:val="22"/>
        </w:rPr>
        <w:t xml:space="preserve"> and </w:t>
      </w:r>
      <w:r w:rsidRPr="00B12256">
        <w:rPr>
          <w:rFonts w:cs="Arial"/>
          <w:sz w:val="22"/>
          <w:szCs w:val="22"/>
        </w:rPr>
        <w:fldChar w:fldCharType="begin"/>
      </w:r>
      <w:r w:rsidRPr="00B12256">
        <w:rPr>
          <w:rFonts w:cs="Arial"/>
          <w:sz w:val="22"/>
          <w:szCs w:val="22"/>
        </w:rPr>
        <w:instrText xml:space="preserve"> REF _Ref377050416 \r \h  \* MERGEFORMAT </w:instrText>
      </w:r>
      <w:r w:rsidRPr="00B12256">
        <w:rPr>
          <w:rFonts w:cs="Arial"/>
          <w:sz w:val="22"/>
          <w:szCs w:val="22"/>
        </w:rPr>
      </w:r>
      <w:r w:rsidRPr="00B12256">
        <w:rPr>
          <w:rFonts w:cs="Arial"/>
          <w:sz w:val="22"/>
          <w:szCs w:val="22"/>
        </w:rPr>
        <w:fldChar w:fldCharType="separate"/>
      </w:r>
      <w:r w:rsidRPr="00B12256">
        <w:rPr>
          <w:rFonts w:cs="Arial"/>
          <w:sz w:val="22"/>
          <w:szCs w:val="22"/>
        </w:rPr>
        <w:t>17</w:t>
      </w:r>
      <w:r w:rsidRPr="00B12256">
        <w:rPr>
          <w:rFonts w:cs="Arial"/>
          <w:sz w:val="22"/>
          <w:szCs w:val="22"/>
        </w:rPr>
        <w:fldChar w:fldCharType="end"/>
      </w:r>
      <w:r w:rsidRPr="00B12256">
        <w:rPr>
          <w:rFonts w:cs="Arial"/>
          <w:sz w:val="22"/>
          <w:szCs w:val="22"/>
        </w:rPr>
        <w:t xml:space="preserve">; </w:t>
      </w:r>
      <w:bookmarkEnd w:id="42"/>
      <w:bookmarkEnd w:id="44"/>
    </w:p>
    <w:p w14:paraId="33E6C267"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45" w:name="_Ref260924394"/>
      <w:r w:rsidRPr="00B12256">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B12256">
        <w:fldChar w:fldCharType="begin"/>
      </w:r>
      <w:r w:rsidRPr="00B12256">
        <w:instrText xml:space="preserve"> REF _Ref260924394 \r \h  \* MERGEFORMAT </w:instrText>
      </w:r>
      <w:r w:rsidRPr="00B12256">
        <w:fldChar w:fldCharType="separate"/>
      </w:r>
      <w:r w:rsidRPr="00B12256">
        <w:rPr>
          <w:rFonts w:cs="Arial"/>
          <w:sz w:val="22"/>
          <w:szCs w:val="22"/>
        </w:rPr>
        <w:t>16.2.6</w:t>
      </w:r>
      <w:r w:rsidRPr="00B12256">
        <w:fldChar w:fldCharType="end"/>
      </w:r>
      <w:r w:rsidRPr="00B12256">
        <w:rPr>
          <w:rFonts w:cs="Arial"/>
          <w:sz w:val="22"/>
          <w:szCs w:val="22"/>
        </w:rPr>
        <w:t>) in consequence of debt in any jurisdiction; or</w:t>
      </w:r>
    </w:p>
    <w:p w14:paraId="36BCAB6E"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B12256">
        <w:rPr>
          <w:rFonts w:cs="Arial"/>
          <w:sz w:val="22"/>
          <w:szCs w:val="22"/>
        </w:rPr>
        <w:t>fails</w:t>
      </w:r>
      <w:proofErr w:type="gramEnd"/>
      <w:r w:rsidRPr="00B12256">
        <w:rPr>
          <w:rFonts w:cs="Arial"/>
          <w:sz w:val="22"/>
          <w:szCs w:val="22"/>
        </w:rPr>
        <w:t xml:space="preserve"> to comply with legal obligations in the fields of environmental, social or labour law.</w:t>
      </w:r>
      <w:bookmarkEnd w:id="45"/>
    </w:p>
    <w:p w14:paraId="7F0975C5"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264467643"/>
      <w:r w:rsidRPr="00B12256">
        <w:rPr>
          <w:rFonts w:cs="Arial"/>
          <w:b w:val="0"/>
          <w:u w:val="none"/>
        </w:rPr>
        <w:t>The Supplier shall notify the Customer as soon as practicable of any change of control as referred to in clause </w:t>
      </w:r>
      <w:r w:rsidRPr="00B12256">
        <w:rPr>
          <w:rFonts w:cs="Arial"/>
          <w:b w:val="0"/>
          <w:u w:val="none"/>
        </w:rPr>
        <w:fldChar w:fldCharType="begin"/>
      </w:r>
      <w:r w:rsidRPr="00B12256">
        <w:rPr>
          <w:rFonts w:cs="Arial"/>
          <w:b w:val="0"/>
          <w:u w:val="none"/>
        </w:rPr>
        <w:instrText xml:space="preserve"> REF _Ref359859809 \r \h  \* MERGEFORMAT </w:instrText>
      </w:r>
      <w:r w:rsidRPr="00B12256">
        <w:rPr>
          <w:rFonts w:cs="Arial"/>
          <w:b w:val="0"/>
          <w:u w:val="none"/>
        </w:rPr>
      </w:r>
      <w:r w:rsidRPr="00B12256">
        <w:rPr>
          <w:rFonts w:cs="Arial"/>
          <w:b w:val="0"/>
          <w:u w:val="none"/>
        </w:rPr>
        <w:fldChar w:fldCharType="separate"/>
      </w:r>
      <w:r w:rsidRPr="00B12256">
        <w:rPr>
          <w:rFonts w:cs="Arial"/>
          <w:b w:val="0"/>
          <w:u w:val="none"/>
        </w:rPr>
        <w:t>16.2.4</w:t>
      </w:r>
      <w:r w:rsidRPr="00B12256">
        <w:rPr>
          <w:rFonts w:cs="Arial"/>
          <w:b w:val="0"/>
          <w:u w:val="none"/>
        </w:rPr>
        <w:fldChar w:fldCharType="end"/>
      </w:r>
      <w:r w:rsidRPr="00B12256">
        <w:rPr>
          <w:rFonts w:cs="Arial"/>
          <w:b w:val="0"/>
          <w:u w:val="none"/>
        </w:rPr>
        <w:t xml:space="preserve"> or any potential such change of control.</w:t>
      </w:r>
    </w:p>
    <w:p w14:paraId="28F80C77"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7110965"/>
      <w:r w:rsidRPr="00B12256">
        <w:rPr>
          <w:rFonts w:cs="Arial"/>
          <w:b w:val="0"/>
          <w:u w:val="none"/>
        </w:rPr>
        <w:t>The Supplier may terminate the Agreement by written notice to the Customer if the Customer has not paid any undisputed amounts within 90 days of them falling due.</w:t>
      </w:r>
      <w:bookmarkEnd w:id="46"/>
      <w:bookmarkEnd w:id="47"/>
      <w:r w:rsidRPr="00B12256">
        <w:rPr>
          <w:rFonts w:cs="Arial"/>
          <w:b w:val="0"/>
          <w:u w:val="none"/>
        </w:rPr>
        <w:t xml:space="preserve">  </w:t>
      </w:r>
    </w:p>
    <w:p w14:paraId="4F02FB7C"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Termination or expiry of the Agreement shall be without prejudice to the rights of either </w:t>
      </w:r>
      <w:r w:rsidRPr="00B12256">
        <w:rPr>
          <w:rFonts w:cs="Arial"/>
          <w:b w:val="0"/>
          <w:u w:val="none"/>
        </w:rPr>
        <w:lastRenderedPageBreak/>
        <w:t xml:space="preserve">Party accrued prior to termination or expiry and shall not affect the continuing rights of the Parties under this clause and clauses </w:t>
      </w:r>
      <w:r w:rsidRPr="00B12256">
        <w:rPr>
          <w:rFonts w:cs="Arial"/>
          <w:b w:val="0"/>
          <w:u w:val="none"/>
        </w:rPr>
        <w:fldChar w:fldCharType="begin"/>
      </w:r>
      <w:r w:rsidRPr="00B12256">
        <w:rPr>
          <w:rFonts w:cs="Arial"/>
          <w:b w:val="0"/>
          <w:u w:val="none"/>
        </w:rPr>
        <w:instrText xml:space="preserve"> REF _Ref377050430 \r \h  \* MERGEFORMAT </w:instrText>
      </w:r>
      <w:r w:rsidRPr="00B12256">
        <w:rPr>
          <w:rFonts w:cs="Arial"/>
          <w:b w:val="0"/>
          <w:u w:val="none"/>
        </w:rPr>
      </w:r>
      <w:r w:rsidRPr="00B12256">
        <w:rPr>
          <w:rFonts w:cs="Arial"/>
          <w:b w:val="0"/>
          <w:u w:val="none"/>
        </w:rPr>
        <w:fldChar w:fldCharType="separate"/>
      </w:r>
      <w:r w:rsidRPr="00B12256">
        <w:rPr>
          <w:rFonts w:cs="Arial"/>
          <w:b w:val="0"/>
          <w:u w:val="none"/>
        </w:rPr>
        <w:t>2</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_Ref377050437 \r \h  \* MERGEFORMAT </w:instrText>
      </w:r>
      <w:r w:rsidRPr="00B12256">
        <w:rPr>
          <w:rFonts w:cs="Arial"/>
          <w:b w:val="0"/>
          <w:u w:val="none"/>
        </w:rPr>
      </w:r>
      <w:r w:rsidRPr="00B12256">
        <w:rPr>
          <w:rFonts w:cs="Arial"/>
          <w:b w:val="0"/>
          <w:u w:val="none"/>
        </w:rPr>
        <w:fldChar w:fldCharType="separate"/>
      </w:r>
      <w:r w:rsidRPr="00B12256">
        <w:rPr>
          <w:rFonts w:cs="Arial"/>
          <w:b w:val="0"/>
          <w:u w:val="none"/>
        </w:rPr>
        <w:t>3.2</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_Ref377050453 \r \h  \* MERGEFORMAT </w:instrText>
      </w:r>
      <w:r w:rsidRPr="00B12256">
        <w:rPr>
          <w:rFonts w:cs="Arial"/>
          <w:b w:val="0"/>
          <w:u w:val="none"/>
        </w:rPr>
      </w:r>
      <w:r w:rsidRPr="00B12256">
        <w:rPr>
          <w:rFonts w:cs="Arial"/>
          <w:b w:val="0"/>
          <w:u w:val="none"/>
        </w:rPr>
        <w:fldChar w:fldCharType="separate"/>
      </w:r>
      <w:r w:rsidRPr="00B12256">
        <w:rPr>
          <w:rFonts w:cs="Arial"/>
          <w:b w:val="0"/>
          <w:u w:val="none"/>
        </w:rPr>
        <w:t>6.1</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_Ref377050463 \r \h  \* MERGEFORMAT </w:instrText>
      </w:r>
      <w:r w:rsidRPr="00B12256">
        <w:rPr>
          <w:rFonts w:cs="Arial"/>
          <w:b w:val="0"/>
          <w:u w:val="none"/>
        </w:rPr>
      </w:r>
      <w:r w:rsidRPr="00B12256">
        <w:rPr>
          <w:rFonts w:cs="Arial"/>
          <w:b w:val="0"/>
          <w:u w:val="none"/>
        </w:rPr>
        <w:fldChar w:fldCharType="separate"/>
      </w:r>
      <w:r w:rsidRPr="00B12256">
        <w:rPr>
          <w:rFonts w:cs="Arial"/>
          <w:b w:val="0"/>
          <w:u w:val="none"/>
        </w:rPr>
        <w:t>6.2</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_Ref377050472 \r \h  \* MERGEFORMAT </w:instrText>
      </w:r>
      <w:r w:rsidRPr="00B12256">
        <w:rPr>
          <w:rFonts w:cs="Arial"/>
          <w:b w:val="0"/>
          <w:u w:val="none"/>
        </w:rPr>
      </w:r>
      <w:r w:rsidRPr="00B12256">
        <w:rPr>
          <w:rFonts w:cs="Arial"/>
          <w:b w:val="0"/>
          <w:u w:val="none"/>
        </w:rPr>
        <w:fldChar w:fldCharType="separate"/>
      </w:r>
      <w:r w:rsidRPr="00B12256">
        <w:rPr>
          <w:rFonts w:cs="Arial"/>
          <w:b w:val="0"/>
          <w:u w:val="none"/>
        </w:rPr>
        <w:t>6.6</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_Ref377050478 \r \h  \* MERGEFORMAT </w:instrText>
      </w:r>
      <w:r w:rsidRPr="00B12256">
        <w:rPr>
          <w:rFonts w:cs="Arial"/>
          <w:b w:val="0"/>
          <w:u w:val="none"/>
        </w:rPr>
      </w:r>
      <w:r w:rsidRPr="00B12256">
        <w:rPr>
          <w:rFonts w:cs="Arial"/>
          <w:b w:val="0"/>
          <w:u w:val="none"/>
        </w:rPr>
        <w:fldChar w:fldCharType="separate"/>
      </w:r>
      <w:r w:rsidRPr="00B12256">
        <w:rPr>
          <w:rFonts w:cs="Arial"/>
          <w:b w:val="0"/>
          <w:u w:val="none"/>
        </w:rPr>
        <w:t>6.7</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_Ref377050486 \r \h  \* MERGEFORMAT </w:instrText>
      </w:r>
      <w:r w:rsidRPr="00B12256">
        <w:rPr>
          <w:rFonts w:cs="Arial"/>
          <w:b w:val="0"/>
          <w:u w:val="none"/>
        </w:rPr>
      </w:r>
      <w:r w:rsidRPr="00B12256">
        <w:rPr>
          <w:rFonts w:cs="Arial"/>
          <w:b w:val="0"/>
          <w:u w:val="none"/>
        </w:rPr>
        <w:fldChar w:fldCharType="separate"/>
      </w:r>
      <w:r w:rsidRPr="00B12256">
        <w:rPr>
          <w:rFonts w:cs="Arial"/>
          <w:b w:val="0"/>
          <w:u w:val="none"/>
        </w:rPr>
        <w:t>7</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_Ref377050494 \r \h  \* MERGEFORMAT </w:instrText>
      </w:r>
      <w:r w:rsidRPr="00B12256">
        <w:rPr>
          <w:rFonts w:cs="Arial"/>
          <w:b w:val="0"/>
          <w:u w:val="none"/>
        </w:rPr>
      </w:r>
      <w:r w:rsidRPr="00B12256">
        <w:rPr>
          <w:rFonts w:cs="Arial"/>
          <w:b w:val="0"/>
          <w:u w:val="none"/>
        </w:rPr>
        <w:fldChar w:fldCharType="separate"/>
      </w:r>
      <w:r w:rsidRPr="00B12256">
        <w:rPr>
          <w:rFonts w:cs="Arial"/>
          <w:b w:val="0"/>
          <w:u w:val="none"/>
        </w:rPr>
        <w:t>9</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_Ref377050504 \r \h  \* MERGEFORMAT </w:instrText>
      </w:r>
      <w:r w:rsidRPr="00B12256">
        <w:rPr>
          <w:rFonts w:cs="Arial"/>
          <w:b w:val="0"/>
          <w:u w:val="none"/>
        </w:rPr>
      </w:r>
      <w:r w:rsidRPr="00B12256">
        <w:rPr>
          <w:rFonts w:cs="Arial"/>
          <w:b w:val="0"/>
          <w:u w:val="none"/>
        </w:rPr>
        <w:fldChar w:fldCharType="separate"/>
      </w:r>
      <w:r w:rsidRPr="00B12256">
        <w:rPr>
          <w:rFonts w:cs="Arial"/>
          <w:b w:val="0"/>
          <w:u w:val="none"/>
        </w:rPr>
        <w:t>10.2</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_Ref377050387 \r \h  \* MERGEFORMAT </w:instrText>
      </w:r>
      <w:r w:rsidRPr="00B12256">
        <w:rPr>
          <w:rFonts w:cs="Arial"/>
          <w:b w:val="0"/>
          <w:u w:val="none"/>
        </w:rPr>
      </w:r>
      <w:r w:rsidRPr="00B12256">
        <w:rPr>
          <w:rFonts w:cs="Arial"/>
          <w:b w:val="0"/>
          <w:u w:val="none"/>
        </w:rPr>
        <w:fldChar w:fldCharType="separate"/>
      </w:r>
      <w:r w:rsidRPr="00B12256">
        <w:rPr>
          <w:rFonts w:cs="Arial"/>
          <w:b w:val="0"/>
          <w:u w:val="none"/>
        </w:rPr>
        <w:t>11</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_Ref261004389 \r \h  \* MERGEFORMAT </w:instrText>
      </w:r>
      <w:r w:rsidRPr="00B12256">
        <w:rPr>
          <w:rFonts w:cs="Arial"/>
          <w:b w:val="0"/>
          <w:u w:val="none"/>
        </w:rPr>
      </w:r>
      <w:r w:rsidRPr="00B12256">
        <w:rPr>
          <w:rFonts w:cs="Arial"/>
          <w:b w:val="0"/>
          <w:u w:val="none"/>
        </w:rPr>
        <w:fldChar w:fldCharType="separate"/>
      </w:r>
      <w:r w:rsidRPr="00B12256">
        <w:rPr>
          <w:rFonts w:cs="Arial"/>
          <w:b w:val="0"/>
          <w:u w:val="none"/>
        </w:rPr>
        <w:t>12</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_Ref377050406 \r \h  \* MERGEFORMAT </w:instrText>
      </w:r>
      <w:r w:rsidRPr="00B12256">
        <w:rPr>
          <w:rFonts w:cs="Arial"/>
          <w:b w:val="0"/>
          <w:u w:val="none"/>
        </w:rPr>
      </w:r>
      <w:r w:rsidRPr="00B12256">
        <w:rPr>
          <w:rFonts w:cs="Arial"/>
          <w:b w:val="0"/>
          <w:u w:val="none"/>
        </w:rPr>
        <w:fldChar w:fldCharType="separate"/>
      </w:r>
      <w:r w:rsidRPr="00B12256">
        <w:rPr>
          <w:rFonts w:cs="Arial"/>
          <w:b w:val="0"/>
          <w:u w:val="none"/>
        </w:rPr>
        <w:t>13</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_Ref377050536 \r \h  \* MERGEFORMAT </w:instrText>
      </w:r>
      <w:r w:rsidRPr="00B12256">
        <w:rPr>
          <w:rFonts w:cs="Arial"/>
          <w:b w:val="0"/>
          <w:u w:val="none"/>
        </w:rPr>
      </w:r>
      <w:r w:rsidRPr="00B12256">
        <w:rPr>
          <w:rFonts w:cs="Arial"/>
          <w:b w:val="0"/>
          <w:u w:val="none"/>
        </w:rPr>
        <w:fldChar w:fldCharType="separate"/>
      </w:r>
      <w:r w:rsidRPr="00B12256">
        <w:rPr>
          <w:rFonts w:cs="Arial"/>
          <w:b w:val="0"/>
          <w:u w:val="none"/>
        </w:rPr>
        <w:t>14</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_Ref377050546 \r \h  \* MERGEFORMAT </w:instrText>
      </w:r>
      <w:r w:rsidRPr="00B12256">
        <w:rPr>
          <w:rFonts w:cs="Arial"/>
          <w:b w:val="0"/>
          <w:u w:val="none"/>
        </w:rPr>
      </w:r>
      <w:r w:rsidRPr="00B12256">
        <w:rPr>
          <w:rFonts w:cs="Arial"/>
          <w:b w:val="0"/>
          <w:u w:val="none"/>
        </w:rPr>
        <w:fldChar w:fldCharType="separate"/>
      </w:r>
      <w:r w:rsidRPr="00B12256">
        <w:rPr>
          <w:rFonts w:cs="Arial"/>
          <w:b w:val="0"/>
          <w:u w:val="none"/>
        </w:rPr>
        <w:t>16.6</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_Ref377050556 \r \h  \* MERGEFORMAT </w:instrText>
      </w:r>
      <w:r w:rsidRPr="00B12256">
        <w:rPr>
          <w:rFonts w:cs="Arial"/>
          <w:b w:val="0"/>
          <w:u w:val="none"/>
        </w:rPr>
      </w:r>
      <w:r w:rsidRPr="00B12256">
        <w:rPr>
          <w:rFonts w:cs="Arial"/>
          <w:b w:val="0"/>
          <w:u w:val="none"/>
        </w:rPr>
        <w:fldChar w:fldCharType="separate"/>
      </w:r>
      <w:r w:rsidRPr="00B12256">
        <w:rPr>
          <w:rFonts w:cs="Arial"/>
          <w:b w:val="0"/>
          <w:u w:val="none"/>
        </w:rPr>
        <w:t>17.4</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_Ref370389344 \r \h  \* MERGEFORMAT </w:instrText>
      </w:r>
      <w:r w:rsidRPr="00B12256">
        <w:rPr>
          <w:rFonts w:cs="Arial"/>
          <w:b w:val="0"/>
          <w:u w:val="none"/>
        </w:rPr>
      </w:r>
      <w:r w:rsidRPr="00B12256">
        <w:rPr>
          <w:rFonts w:cs="Arial"/>
          <w:b w:val="0"/>
          <w:u w:val="none"/>
        </w:rPr>
        <w:fldChar w:fldCharType="separate"/>
      </w:r>
      <w:r w:rsidRPr="00B12256">
        <w:rPr>
          <w:rFonts w:cs="Arial"/>
          <w:b w:val="0"/>
          <w:u w:val="none"/>
        </w:rPr>
        <w:t>18.3</w:t>
      </w:r>
      <w:r w:rsidRPr="00B12256">
        <w:rPr>
          <w:rFonts w:cs="Arial"/>
          <w:b w:val="0"/>
          <w:u w:val="none"/>
        </w:rPr>
        <w:fldChar w:fldCharType="end"/>
      </w:r>
      <w:r w:rsidRPr="00B12256">
        <w:rPr>
          <w:rFonts w:cs="Arial"/>
          <w:b w:val="0"/>
          <w:u w:val="none"/>
        </w:rPr>
        <w:t xml:space="preserve">, </w:t>
      </w:r>
      <w:r w:rsidRPr="00B12256">
        <w:rPr>
          <w:rFonts w:cs="Arial"/>
          <w:b w:val="0"/>
          <w:u w:val="none"/>
        </w:rPr>
        <w:fldChar w:fldCharType="begin"/>
      </w:r>
      <w:r w:rsidRPr="00B12256">
        <w:rPr>
          <w:rFonts w:cs="Arial"/>
          <w:b w:val="0"/>
          <w:u w:val="none"/>
        </w:rPr>
        <w:instrText xml:space="preserve"> REF _Ref359607573 \r \h  \* MERGEFORMAT </w:instrText>
      </w:r>
      <w:r w:rsidRPr="00B12256">
        <w:rPr>
          <w:rFonts w:cs="Arial"/>
          <w:b w:val="0"/>
          <w:u w:val="none"/>
        </w:rPr>
      </w:r>
      <w:r w:rsidRPr="00B12256">
        <w:rPr>
          <w:rFonts w:cs="Arial"/>
          <w:b w:val="0"/>
          <w:u w:val="none"/>
        </w:rPr>
        <w:fldChar w:fldCharType="separate"/>
      </w:r>
      <w:r w:rsidRPr="00B12256">
        <w:rPr>
          <w:rFonts w:cs="Arial"/>
          <w:b w:val="0"/>
          <w:u w:val="none"/>
        </w:rPr>
        <w:t>19</w:t>
      </w:r>
      <w:r w:rsidRPr="00B12256">
        <w:rPr>
          <w:rFonts w:cs="Arial"/>
          <w:b w:val="0"/>
          <w:u w:val="none"/>
        </w:rPr>
        <w:fldChar w:fldCharType="end"/>
      </w:r>
      <w:r w:rsidRPr="00B12256">
        <w:rPr>
          <w:rFonts w:cs="Arial"/>
          <w:b w:val="0"/>
          <w:u w:val="none"/>
        </w:rPr>
        <w:t xml:space="preserve"> and </w:t>
      </w:r>
      <w:r w:rsidRPr="00B12256">
        <w:rPr>
          <w:rFonts w:cs="Arial"/>
          <w:b w:val="0"/>
          <w:u w:val="none"/>
        </w:rPr>
        <w:fldChar w:fldCharType="begin"/>
      </w:r>
      <w:r w:rsidRPr="00B12256">
        <w:rPr>
          <w:rFonts w:cs="Arial"/>
          <w:b w:val="0"/>
          <w:u w:val="none"/>
        </w:rPr>
        <w:instrText xml:space="preserve"> REF _Ref377050579 \r \h  \* MERGEFORMAT </w:instrText>
      </w:r>
      <w:r w:rsidRPr="00B12256">
        <w:rPr>
          <w:rFonts w:cs="Arial"/>
          <w:b w:val="0"/>
          <w:u w:val="none"/>
        </w:rPr>
      </w:r>
      <w:r w:rsidRPr="00B12256">
        <w:rPr>
          <w:rFonts w:cs="Arial"/>
          <w:b w:val="0"/>
          <w:u w:val="none"/>
        </w:rPr>
        <w:fldChar w:fldCharType="separate"/>
      </w:r>
      <w:r w:rsidRPr="00B12256">
        <w:rPr>
          <w:rFonts w:cs="Arial"/>
          <w:b w:val="0"/>
          <w:u w:val="none"/>
        </w:rPr>
        <w:t>20.7</w:t>
      </w:r>
      <w:r w:rsidRPr="00B12256">
        <w:rPr>
          <w:rFonts w:cs="Arial"/>
          <w:b w:val="0"/>
          <w:u w:val="none"/>
        </w:rPr>
        <w:fldChar w:fldCharType="end"/>
      </w:r>
      <w:r w:rsidRPr="00B12256">
        <w:rPr>
          <w:rFonts w:cs="Arial"/>
          <w:b w:val="0"/>
          <w:u w:val="none"/>
        </w:rPr>
        <w:t xml:space="preserve"> or any other provision of the Agreement that either expressly or by implication has effect after termination.</w:t>
      </w:r>
    </w:p>
    <w:p w14:paraId="40769E1C"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8" w:name="_Ref377050546"/>
      <w:r w:rsidRPr="00B12256">
        <w:rPr>
          <w:rFonts w:cs="Arial"/>
          <w:b w:val="0"/>
          <w:u w:val="none"/>
        </w:rPr>
        <w:t>Upon termination or expiry of the Agreement, the Supplier shall:</w:t>
      </w:r>
      <w:bookmarkEnd w:id="48"/>
    </w:p>
    <w:p w14:paraId="219C7EC0"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B12256">
        <w:rPr>
          <w:rFonts w:cs="Arial"/>
          <w:sz w:val="22"/>
          <w:szCs w:val="22"/>
        </w:rPr>
        <w:t>give all reasonable assistance to the Customer and any incoming supplier of the Services; and</w:t>
      </w:r>
    </w:p>
    <w:p w14:paraId="0BB758C8" w14:textId="77777777" w:rsidR="00F1450F" w:rsidRPr="00B12256" w:rsidRDefault="00F1450F" w:rsidP="00563045">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B12256">
        <w:rPr>
          <w:rFonts w:cs="Arial"/>
          <w:sz w:val="22"/>
          <w:szCs w:val="22"/>
        </w:rPr>
        <w:t>return</w:t>
      </w:r>
      <w:proofErr w:type="gramEnd"/>
      <w:r w:rsidRPr="00B12256">
        <w:rPr>
          <w:rFonts w:cs="Arial"/>
          <w:sz w:val="22"/>
          <w:szCs w:val="22"/>
        </w:rPr>
        <w:t xml:space="preserve"> all requested documents, information and data to the Customer as soon as reasonably practicable. </w:t>
      </w:r>
    </w:p>
    <w:p w14:paraId="13D599A5"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bookmarkStart w:id="49" w:name="_Ref377050416"/>
      <w:r w:rsidRPr="00B12256">
        <w:rPr>
          <w:rFonts w:cs="Arial"/>
          <w:szCs w:val="22"/>
          <w:u w:val="none"/>
        </w:rPr>
        <w:t>Compliance</w:t>
      </w:r>
      <w:bookmarkEnd w:id="49"/>
    </w:p>
    <w:p w14:paraId="0474102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739B9CE0" w14:textId="77777777" w:rsidR="00F1450F" w:rsidRPr="00B12256" w:rsidRDefault="00F1450F" w:rsidP="00563045">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B12256">
        <w:rPr>
          <w:rFonts w:cs="Arial"/>
          <w:b w:val="0"/>
          <w:u w:val="none"/>
        </w:rPr>
        <w:t>The Supplier shall:</w:t>
      </w:r>
    </w:p>
    <w:p w14:paraId="33DE23E1"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comply with all the Customer’s health and safety measures while on the Customer’s premises; and</w:t>
      </w:r>
    </w:p>
    <w:p w14:paraId="6C1334CB"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B12256">
        <w:rPr>
          <w:rFonts w:cs="Arial"/>
          <w:sz w:val="22"/>
          <w:szCs w:val="22"/>
        </w:rPr>
        <w:t>notify</w:t>
      </w:r>
      <w:proofErr w:type="gramEnd"/>
      <w:r w:rsidRPr="00B12256">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37DD4995" w14:textId="77777777" w:rsidR="00F1450F" w:rsidRPr="00B12256" w:rsidRDefault="00F1450F" w:rsidP="00563045">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50" w:name="_Ref261013166"/>
      <w:r w:rsidRPr="00B12256">
        <w:rPr>
          <w:rFonts w:cs="Arial"/>
          <w:b w:val="0"/>
          <w:u w:val="none"/>
        </w:rPr>
        <w:t xml:space="preserve">The Supplier </w:t>
      </w:r>
      <w:bookmarkEnd w:id="50"/>
      <w:r w:rsidRPr="00B12256">
        <w:rPr>
          <w:rFonts w:cs="Arial"/>
          <w:b w:val="0"/>
          <w:u w:val="none"/>
        </w:rPr>
        <w:t>shall:</w:t>
      </w:r>
    </w:p>
    <w:p w14:paraId="3F5C9A18"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59656204"/>
      <w:r w:rsidRPr="00B12256">
        <w:rPr>
          <w:rFonts w:cs="Arial"/>
          <w:sz w:val="22"/>
          <w:szCs w:val="22"/>
        </w:rPr>
        <w:t>perform its obligations under the Agreement in accordance with all applicable equality Law and the Customer’s equality and diversity policy as provided to the Supplier from time to time;</w:t>
      </w:r>
      <w:bookmarkEnd w:id="51"/>
      <w:r w:rsidRPr="00B12256">
        <w:rPr>
          <w:rFonts w:cs="Arial"/>
          <w:sz w:val="22"/>
          <w:szCs w:val="22"/>
        </w:rPr>
        <w:t xml:space="preserve"> and</w:t>
      </w:r>
    </w:p>
    <w:p w14:paraId="5E9050B3" w14:textId="77777777" w:rsidR="00F1450F" w:rsidRPr="00B12256" w:rsidRDefault="00F1450F" w:rsidP="00563045">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B12256">
        <w:rPr>
          <w:rFonts w:cs="Arial"/>
          <w:sz w:val="22"/>
          <w:szCs w:val="22"/>
        </w:rPr>
        <w:t>take</w:t>
      </w:r>
      <w:proofErr w:type="gramEnd"/>
      <w:r w:rsidRPr="00B12256">
        <w:rPr>
          <w:rFonts w:cs="Arial"/>
          <w:sz w:val="22"/>
          <w:szCs w:val="22"/>
        </w:rPr>
        <w:t xml:space="preserve"> all reasonable steps to secure the observance of clause </w:t>
      </w:r>
      <w:r w:rsidRPr="00B12256">
        <w:fldChar w:fldCharType="begin"/>
      </w:r>
      <w:r w:rsidRPr="00B12256">
        <w:instrText xml:space="preserve"> REF _Ref359656204 \r \h  \* MERGEFORMAT </w:instrText>
      </w:r>
      <w:r w:rsidRPr="00B12256">
        <w:fldChar w:fldCharType="separate"/>
      </w:r>
      <w:r w:rsidRPr="00B12256">
        <w:rPr>
          <w:rFonts w:cs="Arial"/>
          <w:sz w:val="22"/>
          <w:szCs w:val="22"/>
        </w:rPr>
        <w:t>17.3.1</w:t>
      </w:r>
      <w:r w:rsidRPr="00B12256">
        <w:fldChar w:fldCharType="end"/>
      </w:r>
      <w:r w:rsidRPr="00B12256">
        <w:rPr>
          <w:rFonts w:cs="Arial"/>
          <w:sz w:val="22"/>
          <w:szCs w:val="22"/>
        </w:rPr>
        <w:t xml:space="preserve"> by all Staff.</w:t>
      </w:r>
    </w:p>
    <w:p w14:paraId="6174D5E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52" w:name="_Ref377050556"/>
      <w:r w:rsidRPr="00B12256">
        <w:rPr>
          <w:rFonts w:cs="Arial"/>
          <w:b w:val="0"/>
          <w:u w:val="none"/>
        </w:rPr>
        <w:t>The Supplier shall supply the Services in accordance with the Customer’s environmental policy as provided to the Supplier from time to time.</w:t>
      </w:r>
      <w:bookmarkEnd w:id="52"/>
      <w:r w:rsidRPr="00B12256">
        <w:rPr>
          <w:rFonts w:cs="Arial"/>
          <w:b w:val="0"/>
          <w:u w:val="none"/>
        </w:rPr>
        <w:t xml:space="preserve"> </w:t>
      </w:r>
    </w:p>
    <w:p w14:paraId="5A3E7720" w14:textId="77777777" w:rsidR="00F1450F" w:rsidRPr="00B12256" w:rsidRDefault="00F1450F" w:rsidP="00563045">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B12256">
        <w:rPr>
          <w:rFonts w:cs="Arial"/>
          <w:b w:val="0"/>
          <w:u w:val="none"/>
        </w:rPr>
        <w:t>The Supplier shall comply with, and shall ensure that its Staff shall comply with, the provisions of:</w:t>
      </w:r>
    </w:p>
    <w:p w14:paraId="296CE4A9"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B12256">
        <w:rPr>
          <w:rFonts w:cs="Arial"/>
          <w:sz w:val="22"/>
          <w:szCs w:val="22"/>
        </w:rPr>
        <w:t>the Official Secrets Acts 1911 to 1989; and</w:t>
      </w:r>
    </w:p>
    <w:p w14:paraId="518CFFA9" w14:textId="77777777" w:rsidR="00F1450F" w:rsidRPr="00B12256" w:rsidRDefault="00F1450F" w:rsidP="00563045">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proofErr w:type="gramStart"/>
      <w:r w:rsidRPr="00B12256">
        <w:rPr>
          <w:rFonts w:cs="Arial"/>
          <w:sz w:val="22"/>
          <w:szCs w:val="22"/>
        </w:rPr>
        <w:t>section</w:t>
      </w:r>
      <w:proofErr w:type="gramEnd"/>
      <w:r w:rsidRPr="00B12256">
        <w:rPr>
          <w:rFonts w:cs="Arial"/>
          <w:sz w:val="22"/>
          <w:szCs w:val="22"/>
        </w:rPr>
        <w:t xml:space="preserve"> 182 of the Finance Act 1989.</w:t>
      </w:r>
    </w:p>
    <w:p w14:paraId="2938CF30"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Prevention of Fraud and Corruption</w:t>
      </w:r>
    </w:p>
    <w:p w14:paraId="03712149"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53" w:name="_Ref359607864"/>
      <w:bookmarkStart w:id="54" w:name="_Ref260824497"/>
      <w:r w:rsidRPr="00B12256">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3"/>
    </w:p>
    <w:bookmarkEnd w:id="54"/>
    <w:p w14:paraId="26168D84"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4A3FC9EF" w14:textId="77777777" w:rsidR="00F1450F" w:rsidRPr="00141AE2"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bookmarkStart w:id="55" w:name="_Ref370389344"/>
      <w:r w:rsidRPr="00B12256">
        <w:rPr>
          <w:rFonts w:cs="Arial"/>
          <w:b w:val="0"/>
          <w:u w:val="none"/>
        </w:rPr>
        <w:t>If the Supplier or the Staff engages in conduct prohibited by clause </w:t>
      </w:r>
      <w:r w:rsidRPr="00B12256">
        <w:rPr>
          <w:rFonts w:cs="Arial"/>
          <w:b w:val="0"/>
          <w:u w:val="none"/>
        </w:rPr>
        <w:fldChar w:fldCharType="begin"/>
      </w:r>
      <w:r w:rsidRPr="00B12256">
        <w:rPr>
          <w:rFonts w:cs="Arial"/>
          <w:b w:val="0"/>
          <w:u w:val="none"/>
        </w:rPr>
        <w:instrText xml:space="preserve"> REF _Ref359607864 \r \h  \* MERGEFORMAT </w:instrText>
      </w:r>
      <w:r w:rsidRPr="00B12256">
        <w:rPr>
          <w:rFonts w:cs="Arial"/>
          <w:b w:val="0"/>
          <w:u w:val="none"/>
        </w:rPr>
      </w:r>
      <w:r w:rsidRPr="00B12256">
        <w:rPr>
          <w:rFonts w:cs="Arial"/>
          <w:b w:val="0"/>
          <w:u w:val="none"/>
        </w:rPr>
        <w:fldChar w:fldCharType="separate"/>
      </w:r>
      <w:r w:rsidRPr="00B12256">
        <w:rPr>
          <w:rFonts w:cs="Arial"/>
          <w:b w:val="0"/>
          <w:u w:val="none"/>
        </w:rPr>
        <w:t>18.1</w:t>
      </w:r>
      <w:r w:rsidRPr="00B12256">
        <w:rPr>
          <w:rFonts w:cs="Arial"/>
          <w:b w:val="0"/>
          <w:u w:val="none"/>
        </w:rPr>
        <w:fldChar w:fldCharType="end"/>
      </w:r>
      <w:r w:rsidRPr="00B12256">
        <w:rPr>
          <w:rFonts w:cs="Arial"/>
          <w:b w:val="0"/>
          <w:u w:val="none"/>
        </w:rPr>
        <w:t xml:space="preserve"> or commits fraud </w:t>
      </w:r>
      <w:r w:rsidRPr="00B12256">
        <w:rPr>
          <w:rFonts w:cs="Arial"/>
          <w:b w:val="0"/>
          <w:u w:val="none"/>
        </w:rPr>
        <w:lastRenderedPageBreak/>
        <w:t>in relation to the Agreement or any other contract with the Crown (including the Customer) the Customer may:</w:t>
      </w:r>
      <w:bookmarkEnd w:id="55"/>
    </w:p>
    <w:p w14:paraId="0C32AC85" w14:textId="77777777" w:rsidR="00F1450F" w:rsidRPr="00141AE2" w:rsidRDefault="00F1450F" w:rsidP="00563045">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141AE2">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0F1123DD" w14:textId="77777777" w:rsidR="00F1450F" w:rsidRPr="00141AE2" w:rsidRDefault="00F1450F" w:rsidP="00563045">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proofErr w:type="gramStart"/>
      <w:r w:rsidRPr="00141AE2">
        <w:rPr>
          <w:rFonts w:cs="Arial"/>
          <w:sz w:val="22"/>
          <w:szCs w:val="22"/>
        </w:rPr>
        <w:t>recover</w:t>
      </w:r>
      <w:proofErr w:type="gramEnd"/>
      <w:r w:rsidRPr="00141AE2">
        <w:rPr>
          <w:rFonts w:cs="Arial"/>
          <w:sz w:val="22"/>
          <w:szCs w:val="22"/>
        </w:rPr>
        <w:t xml:space="preserve"> in full from the Supplier any other loss sustained by the Customer in consequence of any breach of this clause.</w:t>
      </w:r>
    </w:p>
    <w:p w14:paraId="1F999BF2"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bookmarkStart w:id="56" w:name="a324896"/>
      <w:bookmarkStart w:id="57" w:name="a754740"/>
      <w:bookmarkStart w:id="58" w:name="a771580"/>
      <w:bookmarkStart w:id="59" w:name="d4695e134"/>
      <w:bookmarkStart w:id="60" w:name="a688721"/>
      <w:bookmarkStart w:id="61" w:name="a797188"/>
      <w:bookmarkStart w:id="62" w:name="a424610"/>
      <w:bookmarkStart w:id="63" w:name="a247073"/>
      <w:bookmarkStart w:id="64" w:name="a57863"/>
      <w:bookmarkStart w:id="65" w:name="d4695e160"/>
      <w:bookmarkStart w:id="66" w:name="a836145"/>
      <w:bookmarkStart w:id="67" w:name="a1017728"/>
      <w:bookmarkStart w:id="68" w:name="d4695e202"/>
      <w:bookmarkStart w:id="69" w:name="a555840"/>
      <w:bookmarkStart w:id="70" w:name="d4695e232"/>
      <w:bookmarkStart w:id="71" w:name="a825464"/>
      <w:bookmarkStart w:id="72" w:name="a1049772"/>
      <w:bookmarkStart w:id="73" w:name="a111270"/>
      <w:bookmarkStart w:id="74" w:name="a395620"/>
      <w:bookmarkStart w:id="75" w:name="a107224"/>
      <w:bookmarkStart w:id="76" w:name="a673334"/>
      <w:bookmarkStart w:id="77" w:name="a975002"/>
      <w:bookmarkStart w:id="78" w:name="a207401"/>
      <w:bookmarkStart w:id="79" w:name="_Ref359607573"/>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B12256">
        <w:rPr>
          <w:rFonts w:cs="Arial"/>
          <w:szCs w:val="22"/>
          <w:u w:val="none"/>
        </w:rPr>
        <w:t>Dispute Resolution</w:t>
      </w:r>
      <w:bookmarkEnd w:id="79"/>
    </w:p>
    <w:p w14:paraId="63005167"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0" w:name="_Ref359607911"/>
      <w:r w:rsidRPr="00B12256">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0"/>
    </w:p>
    <w:p w14:paraId="1E3FC8FE"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If the dispute cannot be resolved by the Parties within one month of being escalated as referred to in clause </w:t>
      </w:r>
      <w:r w:rsidRPr="00B12256">
        <w:rPr>
          <w:rFonts w:cs="Arial"/>
          <w:b w:val="0"/>
          <w:u w:val="none"/>
        </w:rPr>
        <w:fldChar w:fldCharType="begin"/>
      </w:r>
      <w:r w:rsidRPr="00B12256">
        <w:rPr>
          <w:rFonts w:cs="Arial"/>
          <w:b w:val="0"/>
          <w:u w:val="none"/>
        </w:rPr>
        <w:instrText xml:space="preserve"> REF _Ref359607911 \r \h  \* MERGEFORMAT </w:instrText>
      </w:r>
      <w:r w:rsidRPr="00B12256">
        <w:rPr>
          <w:rFonts w:cs="Arial"/>
          <w:b w:val="0"/>
          <w:u w:val="none"/>
        </w:rPr>
      </w:r>
      <w:r w:rsidRPr="00B12256">
        <w:rPr>
          <w:rFonts w:cs="Arial"/>
          <w:b w:val="0"/>
          <w:u w:val="none"/>
        </w:rPr>
        <w:fldChar w:fldCharType="separate"/>
      </w:r>
      <w:r w:rsidRPr="00B12256">
        <w:rPr>
          <w:rFonts w:cs="Arial"/>
          <w:b w:val="0"/>
          <w:u w:val="none"/>
        </w:rPr>
        <w:t>19.1</w:t>
      </w:r>
      <w:r w:rsidRPr="00B12256">
        <w:rPr>
          <w:rFonts w:cs="Arial"/>
          <w:b w:val="0"/>
          <w:u w:val="none"/>
        </w:rPr>
        <w:fldChar w:fldCharType="end"/>
      </w:r>
      <w:r w:rsidRPr="00B12256">
        <w:rPr>
          <w:rFonts w:cs="Arial"/>
          <w:b w:val="0"/>
          <w:u w:val="none"/>
        </w:rPr>
        <w:t>, the dispute may by agreement between the Parties be referred to a neutral adviser or mediator (the “</w:t>
      </w:r>
      <w:r w:rsidRPr="00B12256">
        <w:rPr>
          <w:rFonts w:cs="Arial"/>
          <w:u w:val="none"/>
        </w:rPr>
        <w:t>Mediator</w:t>
      </w:r>
      <w:r w:rsidRPr="00B12256">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00E735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156AC95D"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General</w:t>
      </w:r>
    </w:p>
    <w:p w14:paraId="3CBBAD95"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6FEFAD5"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7EE97EB6"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 xml:space="preserve">The Agreement cannot be varied except in writing signed by a duly authorised representative of both the Parties. </w:t>
      </w:r>
    </w:p>
    <w:p w14:paraId="5EAF1B4E"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7EB75DAB"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5B915D4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72B39BCB"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1" w:name="_Ref377050579"/>
      <w:r w:rsidRPr="00B12256">
        <w:rPr>
          <w:rFonts w:cs="Arial"/>
          <w:b w:val="0"/>
          <w:u w:val="none"/>
        </w:rPr>
        <w:lastRenderedPageBreak/>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1"/>
      <w:r w:rsidRPr="00B12256">
        <w:rPr>
          <w:rFonts w:cs="Arial"/>
          <w:b w:val="0"/>
          <w:u w:val="none"/>
        </w:rPr>
        <w:t xml:space="preserve"> </w:t>
      </w:r>
    </w:p>
    <w:p w14:paraId="6F6CAD62"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B12256">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37448582"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Notices</w:t>
      </w:r>
    </w:p>
    <w:p w14:paraId="5AC29E46" w14:textId="77777777" w:rsidR="00F1450F" w:rsidRPr="00B12256" w:rsidRDefault="00F1450F" w:rsidP="00563045">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2" w:name="_Ref360044665"/>
      <w:r w:rsidRPr="00B12256">
        <w:rPr>
          <w:rFonts w:cs="Arial"/>
          <w:b w:val="0"/>
          <w:u w:val="none"/>
        </w:rPr>
        <w:t>Any notice to be given under the Agreement shall be in writing and may be served by personal delivery, first class recorded or, subject to clause </w:t>
      </w:r>
      <w:r w:rsidRPr="00B12256">
        <w:rPr>
          <w:u w:val="none"/>
        </w:rPr>
        <w:fldChar w:fldCharType="begin"/>
      </w:r>
      <w:r w:rsidRPr="00B12256">
        <w:rPr>
          <w:u w:val="none"/>
        </w:rPr>
        <w:instrText xml:space="preserve"> REF _Ref360044325 \r \h  \* MERGEFORMAT </w:instrText>
      </w:r>
      <w:r w:rsidRPr="00B12256">
        <w:rPr>
          <w:u w:val="none"/>
        </w:rPr>
      </w:r>
      <w:r w:rsidRPr="00B12256">
        <w:rPr>
          <w:u w:val="none"/>
        </w:rPr>
        <w:fldChar w:fldCharType="separate"/>
      </w:r>
      <w:r w:rsidRPr="00B12256">
        <w:rPr>
          <w:rFonts w:cs="Arial"/>
          <w:b w:val="0"/>
          <w:u w:val="none"/>
        </w:rPr>
        <w:t>21.3</w:t>
      </w:r>
      <w:r w:rsidRPr="00B12256">
        <w:rPr>
          <w:u w:val="none"/>
        </w:rPr>
        <w:fldChar w:fldCharType="end"/>
      </w:r>
      <w:r w:rsidRPr="00B12256">
        <w:rPr>
          <w:rFonts w:cs="Arial"/>
          <w:b w:val="0"/>
          <w:u w:val="none"/>
        </w:rPr>
        <w:t>, e-mail to the address of the relevant Party set out in the Award Letter, or such other address as that Party may from time to time notify to the other Party in accordance with this clause:</w:t>
      </w:r>
      <w:bookmarkEnd w:id="82"/>
    </w:p>
    <w:p w14:paraId="773EB94B" w14:textId="77777777" w:rsidR="00F1450F" w:rsidRPr="00B12256" w:rsidRDefault="00F1450F" w:rsidP="00563045">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83" w:name="_Ref360044643"/>
      <w:r w:rsidRPr="00B12256">
        <w:rPr>
          <w:rFonts w:cs="Arial"/>
          <w:b w:val="0"/>
          <w:u w:val="none"/>
        </w:rPr>
        <w:t>Notices served as above shall be deemed served on the Working Day of delivery provided delivery is before 5.00pm on a Working Day.  Otherwise delivery shall be deemed to occur on the next Working Day.</w:t>
      </w:r>
      <w:bookmarkEnd w:id="83"/>
      <w:r w:rsidRPr="00B12256">
        <w:rPr>
          <w:rFonts w:cs="Arial"/>
          <w:b w:val="0"/>
          <w:u w:val="none"/>
        </w:rPr>
        <w:t xml:space="preserve"> An email shall be deemed delivered when sent unless an error message is received.</w:t>
      </w:r>
    </w:p>
    <w:p w14:paraId="3C577898" w14:textId="77777777" w:rsidR="00F1450F" w:rsidRPr="00B12256" w:rsidRDefault="00F1450F" w:rsidP="00563045">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84" w:name="_Ref360044325"/>
      <w:r w:rsidRPr="00B12256">
        <w:rPr>
          <w:rFonts w:cs="Arial"/>
          <w:b w:val="0"/>
          <w:u w:val="none"/>
        </w:rPr>
        <w:t>Notices under clauses </w:t>
      </w:r>
      <w:r w:rsidRPr="00B12256">
        <w:rPr>
          <w:u w:val="none"/>
        </w:rPr>
        <w:fldChar w:fldCharType="begin"/>
      </w:r>
      <w:r w:rsidRPr="00B12256">
        <w:rPr>
          <w:u w:val="none"/>
        </w:rPr>
        <w:instrText xml:space="preserve"> REF _Ref360044784 \r \h  \* MERGEFORMAT </w:instrText>
      </w:r>
      <w:r w:rsidRPr="00B12256">
        <w:rPr>
          <w:u w:val="none"/>
        </w:rPr>
      </w:r>
      <w:r w:rsidRPr="00B12256">
        <w:rPr>
          <w:u w:val="none"/>
        </w:rPr>
        <w:fldChar w:fldCharType="separate"/>
      </w:r>
      <w:r w:rsidRPr="00B12256">
        <w:rPr>
          <w:rFonts w:cs="Arial"/>
          <w:b w:val="0"/>
          <w:u w:val="none"/>
        </w:rPr>
        <w:t>15</w:t>
      </w:r>
      <w:r w:rsidRPr="00B12256">
        <w:rPr>
          <w:u w:val="none"/>
        </w:rPr>
        <w:fldChar w:fldCharType="end"/>
      </w:r>
      <w:r w:rsidRPr="00B12256">
        <w:rPr>
          <w:rFonts w:cs="Arial"/>
          <w:b w:val="0"/>
          <w:u w:val="none"/>
        </w:rPr>
        <w:t xml:space="preserve"> (Force Majeure) and </w:t>
      </w:r>
      <w:r w:rsidRPr="00B12256">
        <w:rPr>
          <w:u w:val="none"/>
        </w:rPr>
        <w:fldChar w:fldCharType="begin"/>
      </w:r>
      <w:r w:rsidRPr="00B12256">
        <w:rPr>
          <w:u w:val="none"/>
        </w:rPr>
        <w:instrText xml:space="preserve"> REF _Ref359655944 \r \h  \* MERGEFORMAT </w:instrText>
      </w:r>
      <w:r w:rsidRPr="00B12256">
        <w:rPr>
          <w:u w:val="none"/>
        </w:rPr>
      </w:r>
      <w:r w:rsidRPr="00B12256">
        <w:rPr>
          <w:u w:val="none"/>
        </w:rPr>
        <w:fldChar w:fldCharType="separate"/>
      </w:r>
      <w:r w:rsidRPr="00B12256">
        <w:rPr>
          <w:rFonts w:cs="Arial"/>
          <w:b w:val="0"/>
          <w:u w:val="none"/>
        </w:rPr>
        <w:t>16</w:t>
      </w:r>
      <w:r w:rsidRPr="00B12256">
        <w:rPr>
          <w:u w:val="none"/>
        </w:rPr>
        <w:fldChar w:fldCharType="end"/>
      </w:r>
      <w:r w:rsidRPr="00B12256">
        <w:rPr>
          <w:rFonts w:cs="Arial"/>
          <w:b w:val="0"/>
          <w:u w:val="none"/>
        </w:rPr>
        <w:t xml:space="preserve"> (Termination) may be served by email only if the original notice is then sent to the recipient by personal delivery or recorded delivery in the manner set out in clause </w:t>
      </w:r>
      <w:r w:rsidRPr="00B12256">
        <w:rPr>
          <w:u w:val="none"/>
        </w:rPr>
        <w:fldChar w:fldCharType="begin"/>
      </w:r>
      <w:r w:rsidRPr="00B12256">
        <w:rPr>
          <w:u w:val="none"/>
        </w:rPr>
        <w:instrText xml:space="preserve"> REF _Ref360044665 \r \h  \* MERGEFORMAT </w:instrText>
      </w:r>
      <w:r w:rsidRPr="00B12256">
        <w:rPr>
          <w:u w:val="none"/>
        </w:rPr>
      </w:r>
      <w:r w:rsidRPr="00B12256">
        <w:rPr>
          <w:u w:val="none"/>
        </w:rPr>
        <w:fldChar w:fldCharType="separate"/>
      </w:r>
      <w:r w:rsidRPr="00B12256">
        <w:rPr>
          <w:rFonts w:cs="Arial"/>
          <w:b w:val="0"/>
          <w:u w:val="none"/>
        </w:rPr>
        <w:t>21.1</w:t>
      </w:r>
      <w:r w:rsidRPr="00B12256">
        <w:rPr>
          <w:u w:val="none"/>
        </w:rPr>
        <w:fldChar w:fldCharType="end"/>
      </w:r>
      <w:bookmarkEnd w:id="84"/>
      <w:r w:rsidRPr="00B12256">
        <w:rPr>
          <w:rFonts w:cs="Arial"/>
          <w:b w:val="0"/>
          <w:u w:val="none"/>
        </w:rPr>
        <w:t>.</w:t>
      </w:r>
    </w:p>
    <w:p w14:paraId="02BA2CEC" w14:textId="77777777" w:rsidR="00F1450F" w:rsidRPr="00B12256" w:rsidRDefault="00F1450F" w:rsidP="00563045">
      <w:pPr>
        <w:pStyle w:val="Level1Heading"/>
        <w:numPr>
          <w:ilvl w:val="0"/>
          <w:numId w:val="24"/>
        </w:numPr>
        <w:tabs>
          <w:tab w:val="clear" w:pos="851"/>
          <w:tab w:val="num" w:pos="540"/>
        </w:tabs>
        <w:spacing w:after="120" w:line="240" w:lineRule="atLeast"/>
        <w:outlineLvl w:val="0"/>
        <w:rPr>
          <w:rFonts w:cs="Arial"/>
          <w:szCs w:val="22"/>
          <w:u w:val="none"/>
        </w:rPr>
      </w:pPr>
      <w:r w:rsidRPr="00B12256">
        <w:rPr>
          <w:rFonts w:cs="Arial"/>
          <w:szCs w:val="22"/>
          <w:u w:val="none"/>
        </w:rPr>
        <w:t>Governing Law and Jurisdiction</w:t>
      </w:r>
    </w:p>
    <w:p w14:paraId="3B5A1B13" w14:textId="77777777" w:rsidR="00F1450F" w:rsidRPr="00B12256" w:rsidRDefault="00F1450F" w:rsidP="00F1450F">
      <w:pPr>
        <w:pStyle w:val="Level2Heading"/>
        <w:keepNext w:val="0"/>
        <w:widowControl w:val="0"/>
        <w:numPr>
          <w:ilvl w:val="0"/>
          <w:numId w:val="0"/>
        </w:numPr>
        <w:spacing w:after="120" w:line="240" w:lineRule="atLeast"/>
        <w:rPr>
          <w:rFonts w:cs="Arial"/>
          <w:b w:val="0"/>
          <w:u w:val="none"/>
        </w:rPr>
      </w:pPr>
      <w:r w:rsidRPr="00B12256">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ACD6A5F" w14:textId="77777777" w:rsidR="00F1450F" w:rsidRPr="00B12256" w:rsidRDefault="00F1450F" w:rsidP="00F1450F">
      <w:pPr>
        <w:rPr>
          <w:rFonts w:cs="Arial"/>
          <w:szCs w:val="22"/>
          <w:lang w:eastAsia="en-US"/>
        </w:rPr>
      </w:pPr>
    </w:p>
    <w:p w14:paraId="729306FE" w14:textId="77777777" w:rsidR="00F1450F" w:rsidRDefault="00F1450F" w:rsidP="00F1450F">
      <w:pPr>
        <w:widowControl w:val="0"/>
        <w:tabs>
          <w:tab w:val="num" w:pos="540"/>
        </w:tabs>
        <w:spacing w:after="100" w:afterAutospacing="1"/>
        <w:ind w:left="851" w:hanging="851"/>
        <w:outlineLvl w:val="0"/>
        <w:rPr>
          <w:rFonts w:eastAsia="Times New Roman"/>
          <w:b/>
          <w:szCs w:val="22"/>
          <w:lang w:eastAsia="en-US"/>
        </w:rPr>
      </w:pPr>
    </w:p>
    <w:p w14:paraId="48B9B062"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7D80FD7F"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5889F7DB"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3FF67D2D"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6E2D0169"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4F9BFFB9"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2EAE294F"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6A739204" w14:textId="77777777" w:rsid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6EB586E1" w14:textId="77777777" w:rsidR="00B12256" w:rsidRPr="00B12256" w:rsidRDefault="00B12256" w:rsidP="00F1450F">
      <w:pPr>
        <w:widowControl w:val="0"/>
        <w:tabs>
          <w:tab w:val="num" w:pos="540"/>
        </w:tabs>
        <w:spacing w:after="100" w:afterAutospacing="1"/>
        <w:ind w:left="851" w:hanging="851"/>
        <w:outlineLvl w:val="0"/>
        <w:rPr>
          <w:rFonts w:eastAsia="Times New Roman"/>
          <w:b/>
          <w:szCs w:val="22"/>
          <w:lang w:eastAsia="en-US"/>
        </w:rPr>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85" w:name="_Toc444688622"/>
      <w:r w:rsidRPr="001167A3">
        <w:rPr>
          <w:rFonts w:eastAsia="Times New Roman"/>
          <w:b/>
          <w:szCs w:val="22"/>
          <w:lang w:eastAsia="en-US"/>
        </w:rPr>
        <w:lastRenderedPageBreak/>
        <w:t>ANNEX 2 – PRICE SCHEDULE</w:t>
      </w:r>
      <w:bookmarkEnd w:id="85"/>
    </w:p>
    <w:p w14:paraId="60F3E548" w14:textId="38CD158A" w:rsidR="007D5D50" w:rsidRDefault="00F91786" w:rsidP="007D5D50">
      <w:pPr>
        <w:pStyle w:val="ScheduleLevel1"/>
        <w:numPr>
          <w:ilvl w:val="0"/>
          <w:numId w:val="0"/>
        </w:numPr>
        <w:spacing w:after="120"/>
        <w:jc w:val="left"/>
        <w:rPr>
          <w:rFonts w:cs="Arial"/>
          <w:b/>
          <w:szCs w:val="22"/>
        </w:rPr>
      </w:pPr>
      <w:r>
        <w:rPr>
          <w:rFonts w:cs="Arial"/>
          <w:b/>
          <w:szCs w:val="22"/>
        </w:rPr>
        <w:t>Redacted</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86" w:name="_Toc444688623"/>
      <w:r w:rsidRPr="001167A3">
        <w:rPr>
          <w:rFonts w:eastAsia="Times New Roman"/>
          <w:b/>
          <w:szCs w:val="22"/>
          <w:lang w:eastAsia="en-US"/>
        </w:rPr>
        <w:lastRenderedPageBreak/>
        <w:t>ANNEX 3 – STATEMENT OF REQUIREMENT</w:t>
      </w:r>
      <w:bookmarkEnd w:id="86"/>
    </w:p>
    <w:p w14:paraId="0042B785" w14:textId="77777777" w:rsidR="001D1E84" w:rsidRDefault="001D1E84" w:rsidP="001D1E84">
      <w:pPr>
        <w:pStyle w:val="bodystrongcentred"/>
      </w:pPr>
      <w:r>
        <w:t>CONTENTS</w:t>
      </w:r>
    </w:p>
    <w:p w14:paraId="1A87288F" w14:textId="77777777" w:rsidR="001D1E84" w:rsidRDefault="001D1E84" w:rsidP="001D1E84"/>
    <w:p w14:paraId="4E2BB51D" w14:textId="77777777" w:rsidR="001D1E84" w:rsidRDefault="001D1E84" w:rsidP="001D1E84">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44518866" w:history="1">
        <w:r w:rsidRPr="00F24C86">
          <w:rPr>
            <w:rStyle w:val="Hyperlink"/>
            <w:noProof/>
          </w:rPr>
          <w:t>1.</w:t>
        </w:r>
        <w:r>
          <w:rPr>
            <w:rFonts w:asciiTheme="minorHAnsi" w:eastAsiaTheme="minorEastAsia" w:hAnsiTheme="minorHAnsi" w:cstheme="minorBidi"/>
            <w:caps w:val="0"/>
            <w:noProof/>
            <w:szCs w:val="22"/>
            <w:lang w:eastAsia="en-GB"/>
          </w:rPr>
          <w:tab/>
        </w:r>
        <w:r w:rsidRPr="00F24C86">
          <w:rPr>
            <w:rStyle w:val="Hyperlink"/>
            <w:noProof/>
          </w:rPr>
          <w:t>PURPOSE</w:t>
        </w:r>
        <w:r>
          <w:rPr>
            <w:noProof/>
            <w:webHidden/>
          </w:rPr>
          <w:tab/>
        </w:r>
        <w:r>
          <w:rPr>
            <w:noProof/>
            <w:webHidden/>
          </w:rPr>
          <w:fldChar w:fldCharType="begin"/>
        </w:r>
        <w:r>
          <w:rPr>
            <w:noProof/>
            <w:webHidden/>
          </w:rPr>
          <w:instrText xml:space="preserve"> PAGEREF _Toc444518866 \h </w:instrText>
        </w:r>
        <w:r>
          <w:rPr>
            <w:noProof/>
            <w:webHidden/>
          </w:rPr>
        </w:r>
        <w:r>
          <w:rPr>
            <w:noProof/>
            <w:webHidden/>
          </w:rPr>
          <w:fldChar w:fldCharType="separate"/>
        </w:r>
        <w:r>
          <w:rPr>
            <w:noProof/>
            <w:webHidden/>
          </w:rPr>
          <w:t>2</w:t>
        </w:r>
        <w:r>
          <w:rPr>
            <w:noProof/>
            <w:webHidden/>
          </w:rPr>
          <w:fldChar w:fldCharType="end"/>
        </w:r>
      </w:hyperlink>
    </w:p>
    <w:p w14:paraId="7DD00675"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67" w:history="1">
        <w:r w:rsidR="001D1E84" w:rsidRPr="00F24C86">
          <w:rPr>
            <w:rStyle w:val="Hyperlink"/>
            <w:noProof/>
          </w:rPr>
          <w:t>2.</w:t>
        </w:r>
        <w:r w:rsidR="001D1E84">
          <w:rPr>
            <w:rFonts w:asciiTheme="minorHAnsi" w:eastAsiaTheme="minorEastAsia" w:hAnsiTheme="minorHAnsi" w:cstheme="minorBidi"/>
            <w:caps w:val="0"/>
            <w:noProof/>
            <w:szCs w:val="22"/>
            <w:lang w:eastAsia="en-GB"/>
          </w:rPr>
          <w:tab/>
        </w:r>
        <w:r w:rsidR="001D1E84" w:rsidRPr="00F24C86">
          <w:rPr>
            <w:rStyle w:val="Hyperlink"/>
            <w:noProof/>
          </w:rPr>
          <w:t>BACKGROUND TO THE CONTRACTING aUTHORITY</w:t>
        </w:r>
        <w:r w:rsidR="001D1E84">
          <w:rPr>
            <w:noProof/>
            <w:webHidden/>
          </w:rPr>
          <w:tab/>
        </w:r>
        <w:r w:rsidR="001D1E84">
          <w:rPr>
            <w:noProof/>
            <w:webHidden/>
          </w:rPr>
          <w:fldChar w:fldCharType="begin"/>
        </w:r>
        <w:r w:rsidR="001D1E84">
          <w:rPr>
            <w:noProof/>
            <w:webHidden/>
          </w:rPr>
          <w:instrText xml:space="preserve"> PAGEREF _Toc444518867 \h </w:instrText>
        </w:r>
        <w:r w:rsidR="001D1E84">
          <w:rPr>
            <w:noProof/>
            <w:webHidden/>
          </w:rPr>
        </w:r>
        <w:r w:rsidR="001D1E84">
          <w:rPr>
            <w:noProof/>
            <w:webHidden/>
          </w:rPr>
          <w:fldChar w:fldCharType="separate"/>
        </w:r>
        <w:r w:rsidR="001D1E84">
          <w:rPr>
            <w:noProof/>
            <w:webHidden/>
          </w:rPr>
          <w:t>2</w:t>
        </w:r>
        <w:r w:rsidR="001D1E84">
          <w:rPr>
            <w:noProof/>
            <w:webHidden/>
          </w:rPr>
          <w:fldChar w:fldCharType="end"/>
        </w:r>
      </w:hyperlink>
    </w:p>
    <w:p w14:paraId="3094C29F"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68" w:history="1">
        <w:r w:rsidR="001D1E84" w:rsidRPr="00F24C86">
          <w:rPr>
            <w:rStyle w:val="Hyperlink"/>
            <w:noProof/>
          </w:rPr>
          <w:t>3.</w:t>
        </w:r>
        <w:r w:rsidR="001D1E84">
          <w:rPr>
            <w:rFonts w:asciiTheme="minorHAnsi" w:eastAsiaTheme="minorEastAsia" w:hAnsiTheme="minorHAnsi" w:cstheme="minorBidi"/>
            <w:caps w:val="0"/>
            <w:noProof/>
            <w:szCs w:val="22"/>
            <w:lang w:eastAsia="en-GB"/>
          </w:rPr>
          <w:tab/>
        </w:r>
        <w:r w:rsidR="001D1E84" w:rsidRPr="00F24C86">
          <w:rPr>
            <w:rStyle w:val="Hyperlink"/>
            <w:noProof/>
          </w:rPr>
          <w:t>Background to requirement/OVERVIEW of requirement</w:t>
        </w:r>
        <w:r w:rsidR="001D1E84">
          <w:rPr>
            <w:noProof/>
            <w:webHidden/>
          </w:rPr>
          <w:tab/>
        </w:r>
        <w:r w:rsidR="001D1E84">
          <w:rPr>
            <w:noProof/>
            <w:webHidden/>
          </w:rPr>
          <w:fldChar w:fldCharType="begin"/>
        </w:r>
        <w:r w:rsidR="001D1E84">
          <w:rPr>
            <w:noProof/>
            <w:webHidden/>
          </w:rPr>
          <w:instrText xml:space="preserve"> PAGEREF _Toc444518868 \h </w:instrText>
        </w:r>
        <w:r w:rsidR="001D1E84">
          <w:rPr>
            <w:noProof/>
            <w:webHidden/>
          </w:rPr>
        </w:r>
        <w:r w:rsidR="001D1E84">
          <w:rPr>
            <w:noProof/>
            <w:webHidden/>
          </w:rPr>
          <w:fldChar w:fldCharType="separate"/>
        </w:r>
        <w:r w:rsidR="001D1E84">
          <w:rPr>
            <w:noProof/>
            <w:webHidden/>
          </w:rPr>
          <w:t>2</w:t>
        </w:r>
        <w:r w:rsidR="001D1E84">
          <w:rPr>
            <w:noProof/>
            <w:webHidden/>
          </w:rPr>
          <w:fldChar w:fldCharType="end"/>
        </w:r>
      </w:hyperlink>
    </w:p>
    <w:p w14:paraId="55FB1B03"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69" w:history="1">
        <w:r w:rsidR="001D1E84" w:rsidRPr="00F24C86">
          <w:rPr>
            <w:rStyle w:val="Hyperlink"/>
            <w:noProof/>
          </w:rPr>
          <w:t>4.</w:t>
        </w:r>
        <w:r w:rsidR="001D1E84">
          <w:rPr>
            <w:rFonts w:asciiTheme="minorHAnsi" w:eastAsiaTheme="minorEastAsia" w:hAnsiTheme="minorHAnsi" w:cstheme="minorBidi"/>
            <w:caps w:val="0"/>
            <w:noProof/>
            <w:szCs w:val="22"/>
            <w:lang w:eastAsia="en-GB"/>
          </w:rPr>
          <w:tab/>
        </w:r>
        <w:r w:rsidR="001D1E84" w:rsidRPr="00F24C86">
          <w:rPr>
            <w:rStyle w:val="Hyperlink"/>
            <w:noProof/>
          </w:rPr>
          <w:t>definitions</w:t>
        </w:r>
        <w:r w:rsidR="001D1E84">
          <w:rPr>
            <w:noProof/>
            <w:webHidden/>
          </w:rPr>
          <w:tab/>
        </w:r>
        <w:r w:rsidR="001D1E84">
          <w:rPr>
            <w:noProof/>
            <w:webHidden/>
          </w:rPr>
          <w:fldChar w:fldCharType="begin"/>
        </w:r>
        <w:r w:rsidR="001D1E84">
          <w:rPr>
            <w:noProof/>
            <w:webHidden/>
          </w:rPr>
          <w:instrText xml:space="preserve"> PAGEREF _Toc444518869 \h </w:instrText>
        </w:r>
        <w:r w:rsidR="001D1E84">
          <w:rPr>
            <w:noProof/>
            <w:webHidden/>
          </w:rPr>
        </w:r>
        <w:r w:rsidR="001D1E84">
          <w:rPr>
            <w:noProof/>
            <w:webHidden/>
          </w:rPr>
          <w:fldChar w:fldCharType="separate"/>
        </w:r>
        <w:r w:rsidR="001D1E84">
          <w:rPr>
            <w:noProof/>
            <w:webHidden/>
          </w:rPr>
          <w:t>3</w:t>
        </w:r>
        <w:r w:rsidR="001D1E84">
          <w:rPr>
            <w:noProof/>
            <w:webHidden/>
          </w:rPr>
          <w:fldChar w:fldCharType="end"/>
        </w:r>
      </w:hyperlink>
    </w:p>
    <w:p w14:paraId="1D482659"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0" w:history="1">
        <w:r w:rsidR="001D1E84" w:rsidRPr="00F24C86">
          <w:rPr>
            <w:rStyle w:val="Hyperlink"/>
            <w:noProof/>
          </w:rPr>
          <w:t>5.</w:t>
        </w:r>
        <w:r w:rsidR="001D1E84">
          <w:rPr>
            <w:rFonts w:asciiTheme="minorHAnsi" w:eastAsiaTheme="minorEastAsia" w:hAnsiTheme="minorHAnsi" w:cstheme="minorBidi"/>
            <w:caps w:val="0"/>
            <w:noProof/>
            <w:szCs w:val="22"/>
            <w:lang w:eastAsia="en-GB"/>
          </w:rPr>
          <w:tab/>
        </w:r>
        <w:r w:rsidR="001D1E84" w:rsidRPr="00F24C86">
          <w:rPr>
            <w:rStyle w:val="Hyperlink"/>
            <w:noProof/>
          </w:rPr>
          <w:t>scope of requirement</w:t>
        </w:r>
        <w:r w:rsidR="001D1E84">
          <w:rPr>
            <w:noProof/>
            <w:webHidden/>
          </w:rPr>
          <w:tab/>
        </w:r>
        <w:r w:rsidR="001D1E84">
          <w:rPr>
            <w:noProof/>
            <w:webHidden/>
          </w:rPr>
          <w:fldChar w:fldCharType="begin"/>
        </w:r>
        <w:r w:rsidR="001D1E84">
          <w:rPr>
            <w:noProof/>
            <w:webHidden/>
          </w:rPr>
          <w:instrText xml:space="preserve"> PAGEREF _Toc444518870 \h </w:instrText>
        </w:r>
        <w:r w:rsidR="001D1E84">
          <w:rPr>
            <w:noProof/>
            <w:webHidden/>
          </w:rPr>
        </w:r>
        <w:r w:rsidR="001D1E84">
          <w:rPr>
            <w:noProof/>
            <w:webHidden/>
          </w:rPr>
          <w:fldChar w:fldCharType="separate"/>
        </w:r>
        <w:r w:rsidR="001D1E84">
          <w:rPr>
            <w:noProof/>
            <w:webHidden/>
          </w:rPr>
          <w:t>4</w:t>
        </w:r>
        <w:r w:rsidR="001D1E84">
          <w:rPr>
            <w:noProof/>
            <w:webHidden/>
          </w:rPr>
          <w:fldChar w:fldCharType="end"/>
        </w:r>
      </w:hyperlink>
    </w:p>
    <w:p w14:paraId="73F3D927"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1" w:history="1">
        <w:r w:rsidR="001D1E84" w:rsidRPr="00F24C86">
          <w:rPr>
            <w:rStyle w:val="Hyperlink"/>
            <w:noProof/>
          </w:rPr>
          <w:t>6.</w:t>
        </w:r>
        <w:r w:rsidR="001D1E84">
          <w:rPr>
            <w:rFonts w:asciiTheme="minorHAnsi" w:eastAsiaTheme="minorEastAsia" w:hAnsiTheme="minorHAnsi" w:cstheme="minorBidi"/>
            <w:caps w:val="0"/>
            <w:noProof/>
            <w:szCs w:val="22"/>
            <w:lang w:eastAsia="en-GB"/>
          </w:rPr>
          <w:tab/>
        </w:r>
        <w:r w:rsidR="001D1E84" w:rsidRPr="00F24C86">
          <w:rPr>
            <w:rStyle w:val="Hyperlink"/>
            <w:noProof/>
          </w:rPr>
          <w:t>The requirement</w:t>
        </w:r>
        <w:r w:rsidR="001D1E84">
          <w:rPr>
            <w:noProof/>
            <w:webHidden/>
          </w:rPr>
          <w:tab/>
        </w:r>
        <w:r w:rsidR="001D1E84">
          <w:rPr>
            <w:noProof/>
            <w:webHidden/>
          </w:rPr>
          <w:fldChar w:fldCharType="begin"/>
        </w:r>
        <w:r w:rsidR="001D1E84">
          <w:rPr>
            <w:noProof/>
            <w:webHidden/>
          </w:rPr>
          <w:instrText xml:space="preserve"> PAGEREF _Toc444518871 \h </w:instrText>
        </w:r>
        <w:r w:rsidR="001D1E84">
          <w:rPr>
            <w:noProof/>
            <w:webHidden/>
          </w:rPr>
        </w:r>
        <w:r w:rsidR="001D1E84">
          <w:rPr>
            <w:noProof/>
            <w:webHidden/>
          </w:rPr>
          <w:fldChar w:fldCharType="separate"/>
        </w:r>
        <w:r w:rsidR="001D1E84">
          <w:rPr>
            <w:noProof/>
            <w:webHidden/>
          </w:rPr>
          <w:t>4</w:t>
        </w:r>
        <w:r w:rsidR="001D1E84">
          <w:rPr>
            <w:noProof/>
            <w:webHidden/>
          </w:rPr>
          <w:fldChar w:fldCharType="end"/>
        </w:r>
      </w:hyperlink>
    </w:p>
    <w:p w14:paraId="6CDEAF8A"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2" w:history="1">
        <w:r w:rsidR="001D1E84" w:rsidRPr="00F24C86">
          <w:rPr>
            <w:rStyle w:val="Hyperlink"/>
            <w:noProof/>
          </w:rPr>
          <w:t>7.</w:t>
        </w:r>
        <w:r w:rsidR="001D1E84">
          <w:rPr>
            <w:rFonts w:asciiTheme="minorHAnsi" w:eastAsiaTheme="minorEastAsia" w:hAnsiTheme="minorHAnsi" w:cstheme="minorBidi"/>
            <w:caps w:val="0"/>
            <w:noProof/>
            <w:szCs w:val="22"/>
            <w:lang w:eastAsia="en-GB"/>
          </w:rPr>
          <w:tab/>
        </w:r>
        <w:r w:rsidR="001D1E84" w:rsidRPr="00F24C86">
          <w:rPr>
            <w:rStyle w:val="Hyperlink"/>
            <w:noProof/>
          </w:rPr>
          <w:t>key milestones</w:t>
        </w:r>
        <w:r w:rsidR="001D1E84">
          <w:rPr>
            <w:noProof/>
            <w:webHidden/>
          </w:rPr>
          <w:tab/>
        </w:r>
        <w:r w:rsidR="001D1E84">
          <w:rPr>
            <w:noProof/>
            <w:webHidden/>
          </w:rPr>
          <w:fldChar w:fldCharType="begin"/>
        </w:r>
        <w:r w:rsidR="001D1E84">
          <w:rPr>
            <w:noProof/>
            <w:webHidden/>
          </w:rPr>
          <w:instrText xml:space="preserve"> PAGEREF _Toc444518872 \h </w:instrText>
        </w:r>
        <w:r w:rsidR="001D1E84">
          <w:rPr>
            <w:noProof/>
            <w:webHidden/>
          </w:rPr>
        </w:r>
        <w:r w:rsidR="001D1E84">
          <w:rPr>
            <w:noProof/>
            <w:webHidden/>
          </w:rPr>
          <w:fldChar w:fldCharType="separate"/>
        </w:r>
        <w:r w:rsidR="001D1E84">
          <w:rPr>
            <w:noProof/>
            <w:webHidden/>
          </w:rPr>
          <w:t>4</w:t>
        </w:r>
        <w:r w:rsidR="001D1E84">
          <w:rPr>
            <w:noProof/>
            <w:webHidden/>
          </w:rPr>
          <w:fldChar w:fldCharType="end"/>
        </w:r>
      </w:hyperlink>
    </w:p>
    <w:p w14:paraId="3601436F"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3" w:history="1">
        <w:r w:rsidR="001D1E84" w:rsidRPr="00F24C86">
          <w:rPr>
            <w:rStyle w:val="Hyperlink"/>
            <w:rFonts w:cs="Arial"/>
            <w:noProof/>
          </w:rPr>
          <w:t>8.</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authority’s responsibilities</w:t>
        </w:r>
        <w:r w:rsidR="001D1E84">
          <w:rPr>
            <w:noProof/>
            <w:webHidden/>
          </w:rPr>
          <w:tab/>
        </w:r>
        <w:r w:rsidR="001D1E84">
          <w:rPr>
            <w:noProof/>
            <w:webHidden/>
          </w:rPr>
          <w:fldChar w:fldCharType="begin"/>
        </w:r>
        <w:r w:rsidR="001D1E84">
          <w:rPr>
            <w:noProof/>
            <w:webHidden/>
          </w:rPr>
          <w:instrText xml:space="preserve"> PAGEREF _Toc444518873 \h </w:instrText>
        </w:r>
        <w:r w:rsidR="001D1E84">
          <w:rPr>
            <w:noProof/>
            <w:webHidden/>
          </w:rPr>
        </w:r>
        <w:r w:rsidR="001D1E84">
          <w:rPr>
            <w:noProof/>
            <w:webHidden/>
          </w:rPr>
          <w:fldChar w:fldCharType="separate"/>
        </w:r>
        <w:r w:rsidR="001D1E84">
          <w:rPr>
            <w:noProof/>
            <w:webHidden/>
          </w:rPr>
          <w:t>4</w:t>
        </w:r>
        <w:r w:rsidR="001D1E84">
          <w:rPr>
            <w:noProof/>
            <w:webHidden/>
          </w:rPr>
          <w:fldChar w:fldCharType="end"/>
        </w:r>
      </w:hyperlink>
    </w:p>
    <w:p w14:paraId="6984CE5E"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4" w:history="1">
        <w:r w:rsidR="001D1E84" w:rsidRPr="00F24C86">
          <w:rPr>
            <w:rStyle w:val="Hyperlink"/>
            <w:rFonts w:cs="Arial"/>
            <w:noProof/>
          </w:rPr>
          <w:t>9.</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reporting</w:t>
        </w:r>
        <w:r w:rsidR="001D1E84">
          <w:rPr>
            <w:noProof/>
            <w:webHidden/>
          </w:rPr>
          <w:tab/>
        </w:r>
        <w:r w:rsidR="001D1E84">
          <w:rPr>
            <w:noProof/>
            <w:webHidden/>
          </w:rPr>
          <w:fldChar w:fldCharType="begin"/>
        </w:r>
        <w:r w:rsidR="001D1E84">
          <w:rPr>
            <w:noProof/>
            <w:webHidden/>
          </w:rPr>
          <w:instrText xml:space="preserve"> PAGEREF _Toc444518874 \h </w:instrText>
        </w:r>
        <w:r w:rsidR="001D1E84">
          <w:rPr>
            <w:noProof/>
            <w:webHidden/>
          </w:rPr>
        </w:r>
        <w:r w:rsidR="001D1E84">
          <w:rPr>
            <w:noProof/>
            <w:webHidden/>
          </w:rPr>
          <w:fldChar w:fldCharType="separate"/>
        </w:r>
        <w:r w:rsidR="001D1E84">
          <w:rPr>
            <w:noProof/>
            <w:webHidden/>
          </w:rPr>
          <w:t>4</w:t>
        </w:r>
        <w:r w:rsidR="001D1E84">
          <w:rPr>
            <w:noProof/>
            <w:webHidden/>
          </w:rPr>
          <w:fldChar w:fldCharType="end"/>
        </w:r>
      </w:hyperlink>
    </w:p>
    <w:p w14:paraId="26EDCC35"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5" w:history="1">
        <w:r w:rsidR="001D1E84" w:rsidRPr="00F24C86">
          <w:rPr>
            <w:rStyle w:val="Hyperlink"/>
            <w:rFonts w:cs="Arial"/>
            <w:noProof/>
          </w:rPr>
          <w:t>10.</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volumes</w:t>
        </w:r>
        <w:r w:rsidR="001D1E84">
          <w:rPr>
            <w:noProof/>
            <w:webHidden/>
          </w:rPr>
          <w:tab/>
        </w:r>
        <w:r w:rsidR="001D1E84">
          <w:rPr>
            <w:noProof/>
            <w:webHidden/>
          </w:rPr>
          <w:fldChar w:fldCharType="begin"/>
        </w:r>
        <w:r w:rsidR="001D1E84">
          <w:rPr>
            <w:noProof/>
            <w:webHidden/>
          </w:rPr>
          <w:instrText xml:space="preserve"> PAGEREF _Toc444518875 \h </w:instrText>
        </w:r>
        <w:r w:rsidR="001D1E84">
          <w:rPr>
            <w:noProof/>
            <w:webHidden/>
          </w:rPr>
        </w:r>
        <w:r w:rsidR="001D1E84">
          <w:rPr>
            <w:noProof/>
            <w:webHidden/>
          </w:rPr>
          <w:fldChar w:fldCharType="separate"/>
        </w:r>
        <w:r w:rsidR="001D1E84">
          <w:rPr>
            <w:noProof/>
            <w:webHidden/>
          </w:rPr>
          <w:t>5</w:t>
        </w:r>
        <w:r w:rsidR="001D1E84">
          <w:rPr>
            <w:noProof/>
            <w:webHidden/>
          </w:rPr>
          <w:fldChar w:fldCharType="end"/>
        </w:r>
      </w:hyperlink>
    </w:p>
    <w:p w14:paraId="0BBFE1DA"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6" w:history="1">
        <w:r w:rsidR="001D1E84" w:rsidRPr="00F24C86">
          <w:rPr>
            <w:rStyle w:val="Hyperlink"/>
            <w:rFonts w:cs="Arial"/>
            <w:noProof/>
          </w:rPr>
          <w:t>11.</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continuous improvement</w:t>
        </w:r>
        <w:r w:rsidR="001D1E84">
          <w:rPr>
            <w:noProof/>
            <w:webHidden/>
          </w:rPr>
          <w:tab/>
        </w:r>
        <w:r w:rsidR="001D1E84">
          <w:rPr>
            <w:noProof/>
            <w:webHidden/>
          </w:rPr>
          <w:fldChar w:fldCharType="begin"/>
        </w:r>
        <w:r w:rsidR="001D1E84">
          <w:rPr>
            <w:noProof/>
            <w:webHidden/>
          </w:rPr>
          <w:instrText xml:space="preserve"> PAGEREF _Toc444518876 \h </w:instrText>
        </w:r>
        <w:r w:rsidR="001D1E84">
          <w:rPr>
            <w:noProof/>
            <w:webHidden/>
          </w:rPr>
        </w:r>
        <w:r w:rsidR="001D1E84">
          <w:rPr>
            <w:noProof/>
            <w:webHidden/>
          </w:rPr>
          <w:fldChar w:fldCharType="separate"/>
        </w:r>
        <w:r w:rsidR="001D1E84">
          <w:rPr>
            <w:noProof/>
            <w:webHidden/>
          </w:rPr>
          <w:t>5</w:t>
        </w:r>
        <w:r w:rsidR="001D1E84">
          <w:rPr>
            <w:noProof/>
            <w:webHidden/>
          </w:rPr>
          <w:fldChar w:fldCharType="end"/>
        </w:r>
      </w:hyperlink>
    </w:p>
    <w:p w14:paraId="5B481E71"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7" w:history="1">
        <w:r w:rsidR="001D1E84" w:rsidRPr="00F24C86">
          <w:rPr>
            <w:rStyle w:val="Hyperlink"/>
            <w:noProof/>
          </w:rPr>
          <w:t>12.</w:t>
        </w:r>
        <w:r w:rsidR="001D1E84">
          <w:rPr>
            <w:rFonts w:asciiTheme="minorHAnsi" w:eastAsiaTheme="minorEastAsia" w:hAnsiTheme="minorHAnsi" w:cstheme="minorBidi"/>
            <w:caps w:val="0"/>
            <w:noProof/>
            <w:szCs w:val="22"/>
            <w:lang w:eastAsia="en-GB"/>
          </w:rPr>
          <w:tab/>
        </w:r>
        <w:r w:rsidR="001D1E84" w:rsidRPr="00F24C86">
          <w:rPr>
            <w:rStyle w:val="Hyperlink"/>
            <w:noProof/>
          </w:rPr>
          <w:t>Sustainability</w:t>
        </w:r>
        <w:r w:rsidR="001D1E84">
          <w:rPr>
            <w:noProof/>
            <w:webHidden/>
          </w:rPr>
          <w:tab/>
        </w:r>
        <w:r w:rsidR="001D1E84">
          <w:rPr>
            <w:noProof/>
            <w:webHidden/>
          </w:rPr>
          <w:fldChar w:fldCharType="begin"/>
        </w:r>
        <w:r w:rsidR="001D1E84">
          <w:rPr>
            <w:noProof/>
            <w:webHidden/>
          </w:rPr>
          <w:instrText xml:space="preserve"> PAGEREF _Toc444518877 \h </w:instrText>
        </w:r>
        <w:r w:rsidR="001D1E84">
          <w:rPr>
            <w:noProof/>
            <w:webHidden/>
          </w:rPr>
        </w:r>
        <w:r w:rsidR="001D1E84">
          <w:rPr>
            <w:noProof/>
            <w:webHidden/>
          </w:rPr>
          <w:fldChar w:fldCharType="separate"/>
        </w:r>
        <w:r w:rsidR="001D1E84">
          <w:rPr>
            <w:noProof/>
            <w:webHidden/>
          </w:rPr>
          <w:t>5</w:t>
        </w:r>
        <w:r w:rsidR="001D1E84">
          <w:rPr>
            <w:noProof/>
            <w:webHidden/>
          </w:rPr>
          <w:fldChar w:fldCharType="end"/>
        </w:r>
      </w:hyperlink>
    </w:p>
    <w:p w14:paraId="78C4C25E"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8" w:history="1">
        <w:r w:rsidR="001D1E84" w:rsidRPr="00F24C86">
          <w:rPr>
            <w:rStyle w:val="Hyperlink"/>
            <w:rFonts w:cs="Arial"/>
            <w:noProof/>
          </w:rPr>
          <w:t>13.</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quality</w:t>
        </w:r>
        <w:r w:rsidR="001D1E84">
          <w:rPr>
            <w:noProof/>
            <w:webHidden/>
          </w:rPr>
          <w:tab/>
        </w:r>
        <w:r w:rsidR="001D1E84">
          <w:rPr>
            <w:noProof/>
            <w:webHidden/>
          </w:rPr>
          <w:fldChar w:fldCharType="begin"/>
        </w:r>
        <w:r w:rsidR="001D1E84">
          <w:rPr>
            <w:noProof/>
            <w:webHidden/>
          </w:rPr>
          <w:instrText xml:space="preserve"> PAGEREF _Toc444518878 \h </w:instrText>
        </w:r>
        <w:r w:rsidR="001D1E84">
          <w:rPr>
            <w:noProof/>
            <w:webHidden/>
          </w:rPr>
        </w:r>
        <w:r w:rsidR="001D1E84">
          <w:rPr>
            <w:noProof/>
            <w:webHidden/>
          </w:rPr>
          <w:fldChar w:fldCharType="separate"/>
        </w:r>
        <w:r w:rsidR="001D1E84">
          <w:rPr>
            <w:noProof/>
            <w:webHidden/>
          </w:rPr>
          <w:t>5</w:t>
        </w:r>
        <w:r w:rsidR="001D1E84">
          <w:rPr>
            <w:noProof/>
            <w:webHidden/>
          </w:rPr>
          <w:fldChar w:fldCharType="end"/>
        </w:r>
      </w:hyperlink>
    </w:p>
    <w:p w14:paraId="2F6190E0"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79" w:history="1">
        <w:r w:rsidR="001D1E84" w:rsidRPr="00F24C86">
          <w:rPr>
            <w:rStyle w:val="Hyperlink"/>
            <w:rFonts w:cs="Arial"/>
            <w:noProof/>
          </w:rPr>
          <w:t>14.</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PRICE</w:t>
        </w:r>
        <w:r w:rsidR="001D1E84">
          <w:rPr>
            <w:noProof/>
            <w:webHidden/>
          </w:rPr>
          <w:tab/>
        </w:r>
        <w:r w:rsidR="001D1E84">
          <w:rPr>
            <w:noProof/>
            <w:webHidden/>
          </w:rPr>
          <w:fldChar w:fldCharType="begin"/>
        </w:r>
        <w:r w:rsidR="001D1E84">
          <w:rPr>
            <w:noProof/>
            <w:webHidden/>
          </w:rPr>
          <w:instrText xml:space="preserve"> PAGEREF _Toc444518879 \h </w:instrText>
        </w:r>
        <w:r w:rsidR="001D1E84">
          <w:rPr>
            <w:noProof/>
            <w:webHidden/>
          </w:rPr>
        </w:r>
        <w:r w:rsidR="001D1E84">
          <w:rPr>
            <w:noProof/>
            <w:webHidden/>
          </w:rPr>
          <w:fldChar w:fldCharType="separate"/>
        </w:r>
        <w:r w:rsidR="001D1E84">
          <w:rPr>
            <w:noProof/>
            <w:webHidden/>
          </w:rPr>
          <w:t>5</w:t>
        </w:r>
        <w:r w:rsidR="001D1E84">
          <w:rPr>
            <w:noProof/>
            <w:webHidden/>
          </w:rPr>
          <w:fldChar w:fldCharType="end"/>
        </w:r>
      </w:hyperlink>
    </w:p>
    <w:p w14:paraId="4CFFBD9C"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80" w:history="1">
        <w:r w:rsidR="001D1E84" w:rsidRPr="00F24C86">
          <w:rPr>
            <w:rStyle w:val="Hyperlink"/>
            <w:rFonts w:cs="Arial"/>
            <w:noProof/>
          </w:rPr>
          <w:t>15.</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STAFF AND CUSTOMER SERVICE</w:t>
        </w:r>
        <w:r w:rsidR="001D1E84">
          <w:rPr>
            <w:noProof/>
            <w:webHidden/>
          </w:rPr>
          <w:tab/>
        </w:r>
        <w:r w:rsidR="001D1E84">
          <w:rPr>
            <w:noProof/>
            <w:webHidden/>
          </w:rPr>
          <w:fldChar w:fldCharType="begin"/>
        </w:r>
        <w:r w:rsidR="001D1E84">
          <w:rPr>
            <w:noProof/>
            <w:webHidden/>
          </w:rPr>
          <w:instrText xml:space="preserve"> PAGEREF _Toc444518880 \h </w:instrText>
        </w:r>
        <w:r w:rsidR="001D1E84">
          <w:rPr>
            <w:noProof/>
            <w:webHidden/>
          </w:rPr>
        </w:r>
        <w:r w:rsidR="001D1E84">
          <w:rPr>
            <w:noProof/>
            <w:webHidden/>
          </w:rPr>
          <w:fldChar w:fldCharType="separate"/>
        </w:r>
        <w:r w:rsidR="001D1E84">
          <w:rPr>
            <w:noProof/>
            <w:webHidden/>
          </w:rPr>
          <w:t>5</w:t>
        </w:r>
        <w:r w:rsidR="001D1E84">
          <w:rPr>
            <w:noProof/>
            <w:webHidden/>
          </w:rPr>
          <w:fldChar w:fldCharType="end"/>
        </w:r>
      </w:hyperlink>
    </w:p>
    <w:p w14:paraId="0A19FA84"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81" w:history="1">
        <w:r w:rsidR="001D1E84" w:rsidRPr="00F24C86">
          <w:rPr>
            <w:rStyle w:val="Hyperlink"/>
            <w:rFonts w:cs="Arial"/>
            <w:noProof/>
          </w:rPr>
          <w:t>16.</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service levels and performance</w:t>
        </w:r>
        <w:r w:rsidR="001D1E84">
          <w:rPr>
            <w:noProof/>
            <w:webHidden/>
          </w:rPr>
          <w:tab/>
        </w:r>
        <w:r w:rsidR="001D1E84">
          <w:rPr>
            <w:noProof/>
            <w:webHidden/>
          </w:rPr>
          <w:fldChar w:fldCharType="begin"/>
        </w:r>
        <w:r w:rsidR="001D1E84">
          <w:rPr>
            <w:noProof/>
            <w:webHidden/>
          </w:rPr>
          <w:instrText xml:space="preserve"> PAGEREF _Toc444518881 \h </w:instrText>
        </w:r>
        <w:r w:rsidR="001D1E84">
          <w:rPr>
            <w:noProof/>
            <w:webHidden/>
          </w:rPr>
        </w:r>
        <w:r w:rsidR="001D1E84">
          <w:rPr>
            <w:noProof/>
            <w:webHidden/>
          </w:rPr>
          <w:fldChar w:fldCharType="separate"/>
        </w:r>
        <w:r w:rsidR="001D1E84">
          <w:rPr>
            <w:noProof/>
            <w:webHidden/>
          </w:rPr>
          <w:t>5</w:t>
        </w:r>
        <w:r w:rsidR="001D1E84">
          <w:rPr>
            <w:noProof/>
            <w:webHidden/>
          </w:rPr>
          <w:fldChar w:fldCharType="end"/>
        </w:r>
      </w:hyperlink>
    </w:p>
    <w:p w14:paraId="21AC6290"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82" w:history="1">
        <w:r w:rsidR="001D1E84" w:rsidRPr="00F24C86">
          <w:rPr>
            <w:rStyle w:val="Hyperlink"/>
            <w:noProof/>
          </w:rPr>
          <w:t>17.</w:t>
        </w:r>
        <w:r w:rsidR="001D1E84">
          <w:rPr>
            <w:rFonts w:asciiTheme="minorHAnsi" w:eastAsiaTheme="minorEastAsia" w:hAnsiTheme="minorHAnsi" w:cstheme="minorBidi"/>
            <w:caps w:val="0"/>
            <w:noProof/>
            <w:szCs w:val="22"/>
            <w:lang w:eastAsia="en-GB"/>
          </w:rPr>
          <w:tab/>
        </w:r>
        <w:r w:rsidR="001D1E84" w:rsidRPr="00F24C86">
          <w:rPr>
            <w:rStyle w:val="Hyperlink"/>
            <w:noProof/>
          </w:rPr>
          <w:t>Security requirements</w:t>
        </w:r>
        <w:r w:rsidR="001D1E84">
          <w:rPr>
            <w:noProof/>
            <w:webHidden/>
          </w:rPr>
          <w:tab/>
        </w:r>
        <w:r w:rsidR="001D1E84">
          <w:rPr>
            <w:noProof/>
            <w:webHidden/>
          </w:rPr>
          <w:fldChar w:fldCharType="begin"/>
        </w:r>
        <w:r w:rsidR="001D1E84">
          <w:rPr>
            <w:noProof/>
            <w:webHidden/>
          </w:rPr>
          <w:instrText xml:space="preserve"> PAGEREF _Toc444518882 \h </w:instrText>
        </w:r>
        <w:r w:rsidR="001D1E84">
          <w:rPr>
            <w:noProof/>
            <w:webHidden/>
          </w:rPr>
        </w:r>
        <w:r w:rsidR="001D1E84">
          <w:rPr>
            <w:noProof/>
            <w:webHidden/>
          </w:rPr>
          <w:fldChar w:fldCharType="separate"/>
        </w:r>
        <w:r w:rsidR="001D1E84">
          <w:rPr>
            <w:noProof/>
            <w:webHidden/>
          </w:rPr>
          <w:t>6</w:t>
        </w:r>
        <w:r w:rsidR="001D1E84">
          <w:rPr>
            <w:noProof/>
            <w:webHidden/>
          </w:rPr>
          <w:fldChar w:fldCharType="end"/>
        </w:r>
      </w:hyperlink>
    </w:p>
    <w:p w14:paraId="6D4DE229"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83" w:history="1">
        <w:r w:rsidR="001D1E84" w:rsidRPr="00F24C86">
          <w:rPr>
            <w:rStyle w:val="Hyperlink"/>
            <w:rFonts w:cs="Arial"/>
            <w:noProof/>
          </w:rPr>
          <w:t>18.</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intellectual property rights (ipr)</w:t>
        </w:r>
        <w:r w:rsidR="001D1E84">
          <w:rPr>
            <w:noProof/>
            <w:webHidden/>
          </w:rPr>
          <w:tab/>
        </w:r>
        <w:r w:rsidR="001D1E84">
          <w:rPr>
            <w:noProof/>
            <w:webHidden/>
          </w:rPr>
          <w:fldChar w:fldCharType="begin"/>
        </w:r>
        <w:r w:rsidR="001D1E84">
          <w:rPr>
            <w:noProof/>
            <w:webHidden/>
          </w:rPr>
          <w:instrText xml:space="preserve"> PAGEREF _Toc444518883 \h </w:instrText>
        </w:r>
        <w:r w:rsidR="001D1E84">
          <w:rPr>
            <w:noProof/>
            <w:webHidden/>
          </w:rPr>
        </w:r>
        <w:r w:rsidR="001D1E84">
          <w:rPr>
            <w:noProof/>
            <w:webHidden/>
          </w:rPr>
          <w:fldChar w:fldCharType="separate"/>
        </w:r>
        <w:r w:rsidR="001D1E84">
          <w:rPr>
            <w:noProof/>
            <w:webHidden/>
          </w:rPr>
          <w:t>6</w:t>
        </w:r>
        <w:r w:rsidR="001D1E84">
          <w:rPr>
            <w:noProof/>
            <w:webHidden/>
          </w:rPr>
          <w:fldChar w:fldCharType="end"/>
        </w:r>
      </w:hyperlink>
    </w:p>
    <w:p w14:paraId="5FEA3368"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84" w:history="1">
        <w:r w:rsidR="001D1E84" w:rsidRPr="00F24C86">
          <w:rPr>
            <w:rStyle w:val="Hyperlink"/>
            <w:rFonts w:cs="Arial"/>
            <w:noProof/>
          </w:rPr>
          <w:t>19.</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payment</w:t>
        </w:r>
        <w:r w:rsidR="001D1E84">
          <w:rPr>
            <w:noProof/>
            <w:webHidden/>
          </w:rPr>
          <w:tab/>
        </w:r>
        <w:r w:rsidR="001D1E84">
          <w:rPr>
            <w:noProof/>
            <w:webHidden/>
          </w:rPr>
          <w:fldChar w:fldCharType="begin"/>
        </w:r>
        <w:r w:rsidR="001D1E84">
          <w:rPr>
            <w:noProof/>
            <w:webHidden/>
          </w:rPr>
          <w:instrText xml:space="preserve"> PAGEREF _Toc444518884 \h </w:instrText>
        </w:r>
        <w:r w:rsidR="001D1E84">
          <w:rPr>
            <w:noProof/>
            <w:webHidden/>
          </w:rPr>
        </w:r>
        <w:r w:rsidR="001D1E84">
          <w:rPr>
            <w:noProof/>
            <w:webHidden/>
          </w:rPr>
          <w:fldChar w:fldCharType="separate"/>
        </w:r>
        <w:r w:rsidR="001D1E84">
          <w:rPr>
            <w:noProof/>
            <w:webHidden/>
          </w:rPr>
          <w:t>6</w:t>
        </w:r>
        <w:r w:rsidR="001D1E84">
          <w:rPr>
            <w:noProof/>
            <w:webHidden/>
          </w:rPr>
          <w:fldChar w:fldCharType="end"/>
        </w:r>
      </w:hyperlink>
    </w:p>
    <w:p w14:paraId="36C30801"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85" w:history="1">
        <w:r w:rsidR="001D1E84" w:rsidRPr="00F24C86">
          <w:rPr>
            <w:rStyle w:val="Hyperlink"/>
            <w:rFonts w:cs="Arial"/>
            <w:noProof/>
          </w:rPr>
          <w:t>20.</w:t>
        </w:r>
        <w:r w:rsidR="001D1E84">
          <w:rPr>
            <w:rFonts w:asciiTheme="minorHAnsi" w:eastAsiaTheme="minorEastAsia" w:hAnsiTheme="minorHAnsi" w:cstheme="minorBidi"/>
            <w:caps w:val="0"/>
            <w:noProof/>
            <w:szCs w:val="22"/>
            <w:lang w:eastAsia="en-GB"/>
          </w:rPr>
          <w:tab/>
        </w:r>
        <w:r w:rsidR="001D1E84" w:rsidRPr="00F24C86">
          <w:rPr>
            <w:rStyle w:val="Hyperlink"/>
            <w:rFonts w:cs="Arial"/>
            <w:noProof/>
          </w:rPr>
          <w:t>additional information</w:t>
        </w:r>
        <w:r w:rsidR="001D1E84">
          <w:rPr>
            <w:noProof/>
            <w:webHidden/>
          </w:rPr>
          <w:tab/>
        </w:r>
        <w:r w:rsidR="001D1E84">
          <w:rPr>
            <w:noProof/>
            <w:webHidden/>
          </w:rPr>
          <w:fldChar w:fldCharType="begin"/>
        </w:r>
        <w:r w:rsidR="001D1E84">
          <w:rPr>
            <w:noProof/>
            <w:webHidden/>
          </w:rPr>
          <w:instrText xml:space="preserve"> PAGEREF _Toc444518885 \h </w:instrText>
        </w:r>
        <w:r w:rsidR="001D1E84">
          <w:rPr>
            <w:noProof/>
            <w:webHidden/>
          </w:rPr>
        </w:r>
        <w:r w:rsidR="001D1E84">
          <w:rPr>
            <w:noProof/>
            <w:webHidden/>
          </w:rPr>
          <w:fldChar w:fldCharType="separate"/>
        </w:r>
        <w:r w:rsidR="001D1E84">
          <w:rPr>
            <w:noProof/>
            <w:webHidden/>
          </w:rPr>
          <w:t>6</w:t>
        </w:r>
        <w:r w:rsidR="001D1E84">
          <w:rPr>
            <w:noProof/>
            <w:webHidden/>
          </w:rPr>
          <w:fldChar w:fldCharType="end"/>
        </w:r>
      </w:hyperlink>
    </w:p>
    <w:p w14:paraId="7316E56D" w14:textId="77777777" w:rsidR="001D1E84" w:rsidRDefault="00E0319D" w:rsidP="001D1E84">
      <w:pPr>
        <w:pStyle w:val="TOC1"/>
        <w:rPr>
          <w:rFonts w:asciiTheme="minorHAnsi" w:eastAsiaTheme="minorEastAsia" w:hAnsiTheme="minorHAnsi" w:cstheme="minorBidi"/>
          <w:caps w:val="0"/>
          <w:noProof/>
          <w:szCs w:val="22"/>
          <w:lang w:eastAsia="en-GB"/>
        </w:rPr>
      </w:pPr>
      <w:hyperlink w:anchor="_Toc444518886" w:history="1">
        <w:r w:rsidR="001D1E84" w:rsidRPr="00F24C86">
          <w:rPr>
            <w:rStyle w:val="Hyperlink"/>
            <w:noProof/>
          </w:rPr>
          <w:t>21.</w:t>
        </w:r>
        <w:r w:rsidR="001D1E84">
          <w:rPr>
            <w:rFonts w:asciiTheme="minorHAnsi" w:eastAsiaTheme="minorEastAsia" w:hAnsiTheme="minorHAnsi" w:cstheme="minorBidi"/>
            <w:caps w:val="0"/>
            <w:noProof/>
            <w:szCs w:val="22"/>
            <w:lang w:eastAsia="en-GB"/>
          </w:rPr>
          <w:tab/>
        </w:r>
        <w:r w:rsidR="001D1E84" w:rsidRPr="00F24C86">
          <w:rPr>
            <w:rStyle w:val="Hyperlink"/>
            <w:noProof/>
          </w:rPr>
          <w:t>Location</w:t>
        </w:r>
        <w:r w:rsidR="001D1E84">
          <w:rPr>
            <w:noProof/>
            <w:webHidden/>
          </w:rPr>
          <w:tab/>
        </w:r>
        <w:r w:rsidR="001D1E84">
          <w:rPr>
            <w:noProof/>
            <w:webHidden/>
          </w:rPr>
          <w:fldChar w:fldCharType="begin"/>
        </w:r>
        <w:r w:rsidR="001D1E84">
          <w:rPr>
            <w:noProof/>
            <w:webHidden/>
          </w:rPr>
          <w:instrText xml:space="preserve"> PAGEREF _Toc444518886 \h </w:instrText>
        </w:r>
        <w:r w:rsidR="001D1E84">
          <w:rPr>
            <w:noProof/>
            <w:webHidden/>
          </w:rPr>
        </w:r>
        <w:r w:rsidR="001D1E84">
          <w:rPr>
            <w:noProof/>
            <w:webHidden/>
          </w:rPr>
          <w:fldChar w:fldCharType="separate"/>
        </w:r>
        <w:r w:rsidR="001D1E84">
          <w:rPr>
            <w:noProof/>
            <w:webHidden/>
          </w:rPr>
          <w:t>6</w:t>
        </w:r>
        <w:r w:rsidR="001D1E84">
          <w:rPr>
            <w:noProof/>
            <w:webHidden/>
          </w:rPr>
          <w:fldChar w:fldCharType="end"/>
        </w:r>
      </w:hyperlink>
    </w:p>
    <w:p w14:paraId="506C8959" w14:textId="77777777" w:rsidR="001D1E84" w:rsidRPr="00D37BAC" w:rsidRDefault="001D1E84" w:rsidP="001D1E84">
      <w:pPr>
        <w:spacing w:after="120"/>
        <w:jc w:val="center"/>
        <w:rPr>
          <w:b/>
        </w:rPr>
      </w:pPr>
      <w:r w:rsidRPr="00FA5229">
        <w:rPr>
          <w:rFonts w:cs="Arial"/>
          <w:caps/>
        </w:rPr>
        <w:fldChar w:fldCharType="end"/>
      </w:r>
    </w:p>
    <w:p w14:paraId="6EDDF3D2" w14:textId="77777777" w:rsidR="001D1E84" w:rsidRPr="00F44D62" w:rsidRDefault="001D1E84" w:rsidP="001D1E84">
      <w:pPr>
        <w:adjustRightInd w:val="0"/>
        <w:spacing w:before="60" w:after="60"/>
        <w:jc w:val="center"/>
        <w:rPr>
          <w:rFonts w:eastAsia="STZhongsong" w:cs="Arial"/>
          <w:b/>
          <w:szCs w:val="22"/>
          <w:highlight w:val="yellow"/>
        </w:rPr>
      </w:pPr>
      <w:bookmarkStart w:id="87" w:name="_Toc297554772"/>
    </w:p>
    <w:p w14:paraId="53DFACFC" w14:textId="77777777" w:rsidR="001D1E84" w:rsidRPr="001530F5" w:rsidRDefault="001D1E84" w:rsidP="001D1E84">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46FC1663" w14:textId="77777777" w:rsidR="001D1E84" w:rsidRPr="00C56ABF" w:rsidRDefault="001D1E84" w:rsidP="001D1E84">
      <w:pPr>
        <w:pStyle w:val="Heading1"/>
        <w:numPr>
          <w:ilvl w:val="0"/>
          <w:numId w:val="28"/>
        </w:numPr>
        <w:tabs>
          <w:tab w:val="clear" w:pos="720"/>
        </w:tabs>
        <w:overflowPunct w:val="0"/>
        <w:autoSpaceDE w:val="0"/>
        <w:autoSpaceDN w:val="0"/>
        <w:spacing w:after="120"/>
        <w:textAlignment w:val="baseline"/>
        <w:rPr>
          <w:szCs w:val="22"/>
        </w:rPr>
      </w:pPr>
      <w:bookmarkStart w:id="88" w:name="_Toc368573027"/>
      <w:bookmarkStart w:id="89" w:name="_Toc444518866"/>
      <w:r w:rsidRPr="00C56ABF">
        <w:rPr>
          <w:caps w:val="0"/>
          <w:szCs w:val="22"/>
        </w:rPr>
        <w:lastRenderedPageBreak/>
        <w:t>PURPOSE</w:t>
      </w:r>
      <w:bookmarkEnd w:id="87"/>
      <w:bookmarkEnd w:id="88"/>
      <w:bookmarkEnd w:id="89"/>
    </w:p>
    <w:p w14:paraId="4FF3C1CF" w14:textId="77777777" w:rsidR="001D1E84" w:rsidRPr="00C56ABF" w:rsidRDefault="001D1E84" w:rsidP="001D1E84">
      <w:pPr>
        <w:pStyle w:val="Heading2"/>
        <w:tabs>
          <w:tab w:val="clear" w:pos="720"/>
          <w:tab w:val="num" w:pos="709"/>
        </w:tabs>
        <w:overflowPunct w:val="0"/>
        <w:autoSpaceDE w:val="0"/>
        <w:autoSpaceDN w:val="0"/>
        <w:spacing w:after="120"/>
        <w:ind w:left="709" w:hanging="709"/>
        <w:textAlignment w:val="baseline"/>
        <w:rPr>
          <w:szCs w:val="22"/>
        </w:rPr>
      </w:pPr>
      <w:bookmarkStart w:id="90" w:name="_Toc296415791"/>
      <w:r w:rsidRPr="00C56ABF">
        <w:rPr>
          <w:bCs/>
          <w:szCs w:val="22"/>
        </w:rPr>
        <w:t>Carrier Enabled Power Projection (</w:t>
      </w:r>
      <w:r w:rsidRPr="00C56ABF">
        <w:rPr>
          <w:szCs w:val="22"/>
        </w:rPr>
        <w:t xml:space="preserve">CEPP) require assistance in organising and running </w:t>
      </w:r>
      <w:r w:rsidRPr="00C56ABF">
        <w:rPr>
          <w:rFonts w:cs="Arial"/>
          <w:bCs/>
          <w:szCs w:val="22"/>
        </w:rPr>
        <w:t xml:space="preserve">4 periodic Programme Readiness Reviews (deep dives) into key “Critical Path” programme milestones as the CEPP programme transitions from ‘Delivery’ to ‘Operate’.  To gain maximum value from this programme reviews, CEPP requires consultancy support to run these events.  The facilitators would be experienced in major programme management and </w:t>
      </w:r>
      <w:r w:rsidRPr="00C56ABF">
        <w:t>Infrastructure and Projects Authority</w:t>
      </w:r>
      <w:r w:rsidRPr="00C56ABF">
        <w:rPr>
          <w:rFonts w:cs="Arial"/>
          <w:bCs/>
          <w:szCs w:val="22"/>
        </w:rPr>
        <w:t xml:space="preserve"> (IPA)/ </w:t>
      </w:r>
      <w:r w:rsidRPr="00C56ABF">
        <w:t>Office of Government</w:t>
      </w:r>
      <w:r>
        <w:t xml:space="preserve"> Commerce</w:t>
      </w:r>
      <w:r w:rsidRPr="00C56ABF">
        <w:t xml:space="preserve"> (</w:t>
      </w:r>
      <w:r w:rsidRPr="00C56ABF">
        <w:rPr>
          <w:rFonts w:cs="Arial"/>
          <w:bCs/>
          <w:szCs w:val="22"/>
        </w:rPr>
        <w:t>OGC) review processes and methods, but intentionally would not be experts in CEPP to aid objectivity.</w:t>
      </w:r>
    </w:p>
    <w:p w14:paraId="555F06FA" w14:textId="77777777" w:rsidR="001D1E84" w:rsidRPr="00C56ABF" w:rsidRDefault="001D1E84" w:rsidP="001D1E84">
      <w:pPr>
        <w:pStyle w:val="Heading1"/>
        <w:tabs>
          <w:tab w:val="clear" w:pos="720"/>
        </w:tabs>
        <w:overflowPunct w:val="0"/>
        <w:autoSpaceDE w:val="0"/>
        <w:autoSpaceDN w:val="0"/>
        <w:spacing w:after="120"/>
        <w:textAlignment w:val="baseline"/>
        <w:rPr>
          <w:szCs w:val="22"/>
        </w:rPr>
      </w:pPr>
      <w:bookmarkStart w:id="91" w:name="_Toc368573028"/>
      <w:bookmarkStart w:id="92" w:name="_Toc444518867"/>
      <w:bookmarkStart w:id="93" w:name="_Toc297554773"/>
      <w:bookmarkStart w:id="94" w:name="_Toc296415805"/>
      <w:bookmarkStart w:id="95" w:name="_Toc296415793"/>
      <w:bookmarkEnd w:id="90"/>
      <w:r w:rsidRPr="00C56ABF">
        <w:rPr>
          <w:szCs w:val="22"/>
        </w:rPr>
        <w:t>BACKGROUND TO THE CONTRACTING aUTHORITY</w:t>
      </w:r>
      <w:bookmarkEnd w:id="91"/>
      <w:bookmarkEnd w:id="92"/>
    </w:p>
    <w:p w14:paraId="399B8A6C" w14:textId="77777777" w:rsidR="001D1E84" w:rsidRPr="00C56ABF" w:rsidRDefault="001D1E84" w:rsidP="001D1E84">
      <w:pPr>
        <w:pStyle w:val="Heading2"/>
        <w:tabs>
          <w:tab w:val="clear" w:pos="720"/>
          <w:tab w:val="num" w:pos="709"/>
        </w:tabs>
        <w:spacing w:after="120"/>
        <w:ind w:left="709" w:hanging="709"/>
      </w:pPr>
      <w:r w:rsidRPr="00C56ABF">
        <w:rPr>
          <w:bCs/>
        </w:rPr>
        <w:t>Carrier Enabled Power Projection (</w:t>
      </w:r>
      <w:r w:rsidRPr="00C56ABF">
        <w:t xml:space="preserve">CEPP) is </w:t>
      </w:r>
      <w:r w:rsidRPr="00C56ABF">
        <w:rPr>
          <w:bCs/>
        </w:rPr>
        <w:t xml:space="preserve">a Major Defence Programme, in essence a portfolio of three significant capability programmes CEPP is </w:t>
      </w:r>
      <w:r w:rsidRPr="00C56ABF">
        <w:t>a key component of the UK’s Future Force 2020, with the ability to deploy military strength globally in order to deter or respond to non-enduring contingencies.  CEPP comprises Business as Usual (</w:t>
      </w:r>
      <w:proofErr w:type="spellStart"/>
      <w:r w:rsidRPr="00C56ABF">
        <w:t>BaU</w:t>
      </w:r>
      <w:proofErr w:type="spellEnd"/>
      <w:r w:rsidRPr="00C56ABF">
        <w:t xml:space="preserve">) and change activities; the most significant part of the latter being the reintroduction of a Carrier Strike (CS) capability through the new Queen Elizabeth Class (QEC) carriers, the F-35B Lightning II (LTNG) aircraft and the Merlin Mk 2 </w:t>
      </w:r>
      <w:proofErr w:type="spellStart"/>
      <w:r w:rsidRPr="00C56ABF">
        <w:t>Crowsnest</w:t>
      </w:r>
      <w:proofErr w:type="spellEnd"/>
      <w:r w:rsidRPr="00C56ABF">
        <w:t xml:space="preserve"> (CN).  CEPP combines and exploits the key attributes of maritime and air power to deliver, or threaten, action in all 3 environments.</w:t>
      </w:r>
    </w:p>
    <w:p w14:paraId="1F1A36C4" w14:textId="77777777" w:rsidR="001D1E84" w:rsidRPr="00C56ABF" w:rsidRDefault="001D1E84" w:rsidP="001D1E84">
      <w:pPr>
        <w:pStyle w:val="Heading1"/>
        <w:tabs>
          <w:tab w:val="clear" w:pos="720"/>
        </w:tabs>
        <w:overflowPunct w:val="0"/>
        <w:autoSpaceDE w:val="0"/>
        <w:autoSpaceDN w:val="0"/>
        <w:spacing w:after="120"/>
        <w:textAlignment w:val="baseline"/>
        <w:rPr>
          <w:szCs w:val="22"/>
        </w:rPr>
      </w:pPr>
      <w:bookmarkStart w:id="96" w:name="_Toc368573029"/>
      <w:bookmarkStart w:id="97" w:name="_Toc444518868"/>
      <w:r w:rsidRPr="00C56ABF">
        <w:rPr>
          <w:szCs w:val="22"/>
        </w:rPr>
        <w:t>Background to requirement/OVERVIEW</w:t>
      </w:r>
      <w:bookmarkEnd w:id="93"/>
      <w:r w:rsidRPr="00C56ABF">
        <w:rPr>
          <w:szCs w:val="22"/>
        </w:rPr>
        <w:t xml:space="preserve"> of requirement</w:t>
      </w:r>
      <w:bookmarkEnd w:id="96"/>
      <w:bookmarkEnd w:id="97"/>
    </w:p>
    <w:p w14:paraId="4BB3B566" w14:textId="77777777" w:rsidR="001D1E84" w:rsidRPr="00C56ABF" w:rsidRDefault="001D1E84" w:rsidP="001D1E84">
      <w:pPr>
        <w:pStyle w:val="Heading2"/>
        <w:rPr>
          <w:i/>
          <w:iCs/>
        </w:rPr>
      </w:pPr>
      <w:bookmarkStart w:id="98" w:name="_Toc297554774"/>
      <w:bookmarkEnd w:id="94"/>
      <w:r w:rsidRPr="00C56ABF">
        <w:t>Senior Responsible Officer (SRO) CEPP has set objectives to increase the delivery confidence of the CEPP Programme from Amber to Amber/Green.  While delivery confidence is largely subjective, to be meaningful it must be underpinned by hard evidence and objective assessments of progress.  Over recent months, CEPP risks have been refreshed, endorsed by the Armed Forces Committee (AFC) and mitigation action tracked under routine CEPP governance.  In contrast, tracking progress towards CEPP delivery has been less mature and would benefit from a more structured approach.  The CEPP Executive Programme Board proposed a focused range of activities at Core Project</w:t>
      </w:r>
      <w:r w:rsidRPr="00C56ABF">
        <w:rPr>
          <w:vertAlign w:val="superscript"/>
        </w:rPr>
        <w:footnoteReference w:id="2"/>
      </w:r>
      <w:r w:rsidRPr="00C56ABF">
        <w:t xml:space="preserve"> and CEPP Programme levels which, when added to the extant risk management, would provide evidence to inform delivery confidence and help to drive the Programme forward.</w:t>
      </w:r>
    </w:p>
    <w:p w14:paraId="4842ECBC" w14:textId="77777777" w:rsidR="001D1E84" w:rsidRPr="00C56ABF" w:rsidRDefault="001D1E84" w:rsidP="001D1E84">
      <w:pPr>
        <w:pStyle w:val="Heading2"/>
        <w:spacing w:after="120"/>
        <w:ind w:left="709" w:hanging="709"/>
      </w:pPr>
      <w:r w:rsidRPr="00C56ABF">
        <w:rPr>
          <w:iCs/>
        </w:rPr>
        <w:t>Delivery confidence is defined as the programme’s confidence in delivering its aims and objectives within agreed time, budget and quality boundaries</w:t>
      </w:r>
      <w:r w:rsidRPr="00C56ABF">
        <w:rPr>
          <w:iCs/>
          <w:vertAlign w:val="superscript"/>
        </w:rPr>
        <w:footnoteReference w:id="3"/>
      </w:r>
      <w:r w:rsidRPr="00C56ABF">
        <w:rPr>
          <w:iCs/>
        </w:rPr>
        <w:t>.  The major benefit in undertaking an evidence-based assessment is to highlight where management action is needed to drive the programme forward, to address blockers and to mitigate risks to delivery.  A secondary benefit is to provide assurance to the scrutiny community that the programme is on track to deliver.  Hence, it is a collective responsibility of all the CEPP SROs to produce evidence to underpin delivery confidence.  However, as CEPP and its constituent Core Projects are heavily scrutinised at departmental and HMG levels, any additional assurance activity must be balanced with the significant demands of managing and reporting on complex programmes.</w:t>
      </w:r>
      <w:r w:rsidRPr="00C56ABF">
        <w:t xml:space="preserve"> </w:t>
      </w:r>
    </w:p>
    <w:p w14:paraId="4A80CA9A" w14:textId="77777777" w:rsidR="001D1E84" w:rsidRPr="00C56ABF" w:rsidRDefault="001D1E84" w:rsidP="001D1E84">
      <w:pPr>
        <w:pStyle w:val="Heading2"/>
        <w:spacing w:after="120"/>
        <w:ind w:left="709" w:hanging="709"/>
      </w:pPr>
      <w:r w:rsidRPr="00C56ABF">
        <w:t xml:space="preserve">The assurance of progress towards the successful delivery of QEC, LTNG and CN has been discussed at recent CEPP governance boards, with SROs tasked with providing appropriate evidence to SRO CEPP.  Such evidence will be project-specific and, most </w:t>
      </w:r>
      <w:r w:rsidRPr="00C56ABF">
        <w:lastRenderedPageBreak/>
        <w:t xml:space="preserve">likely, </w:t>
      </w:r>
      <w:r w:rsidRPr="00916F08">
        <w:rPr>
          <w:iCs/>
        </w:rPr>
        <w:t>Defence Lines of Development (</w:t>
      </w:r>
      <w:proofErr w:type="spellStart"/>
      <w:r w:rsidRPr="00C56ABF">
        <w:t>DLoD</w:t>
      </w:r>
      <w:proofErr w:type="spellEnd"/>
      <w:r w:rsidRPr="00C56ABF">
        <w:t xml:space="preserve">)-specific.  In general terms, this will require demonstrating current status and predicted progress against the </w:t>
      </w:r>
      <w:proofErr w:type="spellStart"/>
      <w:r w:rsidRPr="00C56ABF">
        <w:t>DLoD</w:t>
      </w:r>
      <w:proofErr w:type="spellEnd"/>
      <w:r w:rsidRPr="00C56ABF">
        <w:t xml:space="preserve"> plan to achieve particular milestones.  Some </w:t>
      </w:r>
      <w:proofErr w:type="spellStart"/>
      <w:r w:rsidRPr="00C56ABF">
        <w:t>DLoDs</w:t>
      </w:r>
      <w:proofErr w:type="spellEnd"/>
      <w:r w:rsidRPr="00C56ABF">
        <w:t xml:space="preserve"> lend themselves more readily to this approach, such as the build-up of sufficient personnel by rank and specialisation.  Other </w:t>
      </w:r>
      <w:proofErr w:type="spellStart"/>
      <w:r w:rsidRPr="00C56ABF">
        <w:t>DLoDs</w:t>
      </w:r>
      <w:proofErr w:type="spellEnd"/>
      <w:r w:rsidRPr="00C56ABF">
        <w:t xml:space="preserve"> will need to track data on revealing sub-elements, such as the generation of flying hours, the timely delivery of software releases and serviceability / availability rates during testing.  The nature of CEPP means that the Equipment (and its support), Personnel and Training </w:t>
      </w:r>
      <w:proofErr w:type="spellStart"/>
      <w:r w:rsidRPr="00C56ABF">
        <w:t>DLoDs</w:t>
      </w:r>
      <w:proofErr w:type="spellEnd"/>
      <w:r w:rsidRPr="00C56ABF">
        <w:t xml:space="preserve"> are of most interest as they link to the highest CEPP risks.  </w:t>
      </w:r>
      <w:r w:rsidRPr="00916F08">
        <w:rPr>
          <w:bCs/>
        </w:rPr>
        <w:t xml:space="preserve">In parallel with tracking progress, there is a need to test its efficacy.  </w:t>
      </w:r>
    </w:p>
    <w:p w14:paraId="49E95BC6" w14:textId="77777777" w:rsidR="001D1E84" w:rsidRPr="00C56ABF" w:rsidRDefault="001D1E84" w:rsidP="001D1E84">
      <w:pPr>
        <w:pStyle w:val="Heading1"/>
        <w:tabs>
          <w:tab w:val="clear" w:pos="720"/>
        </w:tabs>
        <w:overflowPunct w:val="0"/>
        <w:autoSpaceDE w:val="0"/>
        <w:autoSpaceDN w:val="0"/>
        <w:spacing w:after="120"/>
        <w:textAlignment w:val="baseline"/>
        <w:rPr>
          <w:szCs w:val="22"/>
        </w:rPr>
      </w:pPr>
      <w:bookmarkStart w:id="99" w:name="_Toc444518869"/>
      <w:bookmarkStart w:id="100" w:name="_Toc368573030"/>
      <w:r w:rsidRPr="00C56ABF">
        <w:rPr>
          <w:szCs w:val="22"/>
        </w:rPr>
        <w:t>definitions</w:t>
      </w:r>
      <w:bookmarkEnd w:id="99"/>
      <w:r w:rsidRPr="00C56ABF">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D1E84" w:rsidRPr="00C56ABF" w14:paraId="4C6DF2F8" w14:textId="77777777" w:rsidTr="001D1E84">
        <w:tc>
          <w:tcPr>
            <w:tcW w:w="1827" w:type="dxa"/>
            <w:shd w:val="clear" w:color="auto" w:fill="C6D9F1" w:themeFill="text2" w:themeFillTint="33"/>
          </w:tcPr>
          <w:p w14:paraId="18728F01" w14:textId="77777777" w:rsidR="001D1E84" w:rsidRPr="00C56ABF" w:rsidRDefault="001D1E84" w:rsidP="001D1E84">
            <w:pPr>
              <w:pStyle w:val="Heading2"/>
              <w:numPr>
                <w:ilvl w:val="0"/>
                <w:numId w:val="0"/>
              </w:numPr>
              <w:spacing w:after="120"/>
              <w:ind w:left="18" w:hanging="18"/>
              <w:jc w:val="left"/>
              <w:outlineLvl w:val="1"/>
            </w:pPr>
            <w:r w:rsidRPr="00C56ABF">
              <w:t>Expression or Acronym</w:t>
            </w:r>
          </w:p>
        </w:tc>
        <w:tc>
          <w:tcPr>
            <w:tcW w:w="6472" w:type="dxa"/>
            <w:shd w:val="clear" w:color="auto" w:fill="C6D9F1" w:themeFill="text2" w:themeFillTint="33"/>
          </w:tcPr>
          <w:p w14:paraId="7DE4C531" w14:textId="77777777" w:rsidR="001D1E84" w:rsidRPr="00C56ABF" w:rsidRDefault="001D1E84" w:rsidP="001D1E84">
            <w:pPr>
              <w:pStyle w:val="Heading2"/>
              <w:numPr>
                <w:ilvl w:val="0"/>
                <w:numId w:val="0"/>
              </w:numPr>
              <w:spacing w:after="120"/>
              <w:ind w:left="720" w:hanging="720"/>
              <w:outlineLvl w:val="1"/>
            </w:pPr>
            <w:r w:rsidRPr="00C56ABF">
              <w:t>Definition</w:t>
            </w:r>
          </w:p>
        </w:tc>
      </w:tr>
      <w:tr w:rsidR="001D1E84" w:rsidRPr="00C56ABF" w14:paraId="00D43B97" w14:textId="77777777" w:rsidTr="001D1E84">
        <w:tc>
          <w:tcPr>
            <w:tcW w:w="1827" w:type="dxa"/>
          </w:tcPr>
          <w:p w14:paraId="310EEBD6" w14:textId="77777777" w:rsidR="001D1E84" w:rsidRPr="00C56ABF" w:rsidRDefault="001D1E84" w:rsidP="001D1E84">
            <w:pPr>
              <w:pStyle w:val="Heading2"/>
              <w:numPr>
                <w:ilvl w:val="0"/>
                <w:numId w:val="0"/>
              </w:numPr>
              <w:spacing w:after="120"/>
              <w:ind w:left="720" w:hanging="720"/>
              <w:outlineLvl w:val="1"/>
            </w:pPr>
            <w:r w:rsidRPr="00C56ABF">
              <w:t xml:space="preserve">CEPP </w:t>
            </w:r>
          </w:p>
        </w:tc>
        <w:tc>
          <w:tcPr>
            <w:tcW w:w="6472" w:type="dxa"/>
          </w:tcPr>
          <w:p w14:paraId="247A3F1F" w14:textId="77777777" w:rsidR="001D1E84" w:rsidRPr="00C56ABF" w:rsidRDefault="001D1E84" w:rsidP="001D1E84">
            <w:pPr>
              <w:pStyle w:val="Heading2"/>
              <w:numPr>
                <w:ilvl w:val="0"/>
                <w:numId w:val="0"/>
              </w:numPr>
              <w:spacing w:after="120"/>
              <w:outlineLvl w:val="1"/>
            </w:pPr>
            <w:proofErr w:type="gramStart"/>
            <w:r w:rsidRPr="00C56ABF">
              <w:t>means</w:t>
            </w:r>
            <w:proofErr w:type="gramEnd"/>
            <w:r w:rsidRPr="00C56ABF">
              <w:t xml:space="preserve"> Carrier Enabled Power Projection.</w:t>
            </w:r>
          </w:p>
        </w:tc>
      </w:tr>
      <w:tr w:rsidR="001D1E84" w:rsidRPr="00C56ABF" w14:paraId="3B2C795A" w14:textId="77777777" w:rsidTr="001D1E84">
        <w:tc>
          <w:tcPr>
            <w:tcW w:w="1827" w:type="dxa"/>
          </w:tcPr>
          <w:p w14:paraId="68FED397" w14:textId="77777777" w:rsidR="001D1E84" w:rsidRPr="00C56ABF" w:rsidRDefault="001D1E84" w:rsidP="001D1E84">
            <w:pPr>
              <w:pStyle w:val="Heading2"/>
              <w:numPr>
                <w:ilvl w:val="0"/>
                <w:numId w:val="0"/>
              </w:numPr>
              <w:spacing w:after="120"/>
              <w:ind w:left="720" w:hanging="720"/>
              <w:outlineLvl w:val="1"/>
            </w:pPr>
            <w:r w:rsidRPr="00C56ABF">
              <w:t>IPA</w:t>
            </w:r>
          </w:p>
        </w:tc>
        <w:tc>
          <w:tcPr>
            <w:tcW w:w="6472" w:type="dxa"/>
          </w:tcPr>
          <w:p w14:paraId="1308297E" w14:textId="77777777" w:rsidR="001D1E84" w:rsidRPr="00C56ABF" w:rsidRDefault="001D1E84" w:rsidP="001D1E84">
            <w:pPr>
              <w:pStyle w:val="Heading2"/>
              <w:numPr>
                <w:ilvl w:val="0"/>
                <w:numId w:val="0"/>
              </w:numPr>
              <w:spacing w:after="120"/>
              <w:ind w:left="720" w:hanging="720"/>
              <w:outlineLvl w:val="1"/>
            </w:pPr>
            <w:proofErr w:type="gramStart"/>
            <w:r w:rsidRPr="00C56ABF">
              <w:t>means</w:t>
            </w:r>
            <w:proofErr w:type="gramEnd"/>
            <w:r w:rsidRPr="00C56ABF">
              <w:t xml:space="preserve"> Infrastructure and Projects Authority.</w:t>
            </w:r>
          </w:p>
        </w:tc>
      </w:tr>
      <w:tr w:rsidR="001D1E84" w:rsidRPr="00C56ABF" w14:paraId="58B9DC6A" w14:textId="77777777" w:rsidTr="001D1E84">
        <w:tc>
          <w:tcPr>
            <w:tcW w:w="1827" w:type="dxa"/>
          </w:tcPr>
          <w:p w14:paraId="34383C7A" w14:textId="77777777" w:rsidR="001D1E84" w:rsidRPr="00C56ABF" w:rsidRDefault="001D1E84" w:rsidP="001D1E84">
            <w:pPr>
              <w:pStyle w:val="Heading2"/>
              <w:numPr>
                <w:ilvl w:val="0"/>
                <w:numId w:val="0"/>
              </w:numPr>
              <w:spacing w:after="120"/>
              <w:ind w:left="720" w:hanging="720"/>
              <w:outlineLvl w:val="1"/>
            </w:pPr>
            <w:r w:rsidRPr="00C56ABF">
              <w:t>OGC</w:t>
            </w:r>
          </w:p>
        </w:tc>
        <w:tc>
          <w:tcPr>
            <w:tcW w:w="6472" w:type="dxa"/>
          </w:tcPr>
          <w:p w14:paraId="6C74D26F" w14:textId="77777777" w:rsidR="001D1E84" w:rsidRPr="00C56ABF" w:rsidRDefault="001D1E84" w:rsidP="001D1E84">
            <w:pPr>
              <w:pStyle w:val="Heading2"/>
              <w:numPr>
                <w:ilvl w:val="0"/>
                <w:numId w:val="0"/>
              </w:numPr>
              <w:spacing w:after="120"/>
              <w:outlineLvl w:val="1"/>
            </w:pPr>
            <w:proofErr w:type="gramStart"/>
            <w:r w:rsidRPr="00C56ABF">
              <w:t>means</w:t>
            </w:r>
            <w:proofErr w:type="gramEnd"/>
            <w:r w:rsidRPr="00C56ABF">
              <w:t xml:space="preserve"> Office of Government </w:t>
            </w:r>
            <w:r>
              <w:t>Commerce</w:t>
            </w:r>
          </w:p>
        </w:tc>
      </w:tr>
      <w:tr w:rsidR="001D1E84" w:rsidRPr="00C56ABF" w14:paraId="54C5F6CA" w14:textId="77777777" w:rsidTr="001D1E84">
        <w:tc>
          <w:tcPr>
            <w:tcW w:w="1827" w:type="dxa"/>
          </w:tcPr>
          <w:p w14:paraId="6D49C484" w14:textId="77777777" w:rsidR="001D1E84" w:rsidRPr="00C56ABF" w:rsidRDefault="001D1E84" w:rsidP="001D1E84">
            <w:pPr>
              <w:pStyle w:val="Heading2"/>
              <w:numPr>
                <w:ilvl w:val="0"/>
                <w:numId w:val="0"/>
              </w:numPr>
              <w:spacing w:after="120"/>
              <w:ind w:left="720" w:hanging="720"/>
              <w:outlineLvl w:val="1"/>
            </w:pPr>
            <w:r w:rsidRPr="00C56ABF">
              <w:t>FF2020</w:t>
            </w:r>
          </w:p>
        </w:tc>
        <w:tc>
          <w:tcPr>
            <w:tcW w:w="6472" w:type="dxa"/>
          </w:tcPr>
          <w:p w14:paraId="4204FF61" w14:textId="77777777" w:rsidR="001D1E84" w:rsidRPr="00C56ABF" w:rsidRDefault="001D1E84" w:rsidP="001D1E84">
            <w:pPr>
              <w:pStyle w:val="Heading2"/>
              <w:numPr>
                <w:ilvl w:val="0"/>
                <w:numId w:val="0"/>
              </w:numPr>
              <w:spacing w:after="120"/>
              <w:outlineLvl w:val="1"/>
            </w:pPr>
            <w:r w:rsidRPr="00C56ABF">
              <w:t>Means Future Force 2020</w:t>
            </w:r>
          </w:p>
        </w:tc>
      </w:tr>
      <w:tr w:rsidR="001D1E84" w:rsidRPr="00C56ABF" w14:paraId="047710A1" w14:textId="77777777" w:rsidTr="001D1E84">
        <w:tc>
          <w:tcPr>
            <w:tcW w:w="1827" w:type="dxa"/>
          </w:tcPr>
          <w:p w14:paraId="49999952" w14:textId="77777777" w:rsidR="001D1E84" w:rsidRPr="00C56ABF" w:rsidRDefault="001D1E84" w:rsidP="001D1E84">
            <w:pPr>
              <w:pStyle w:val="Heading2"/>
              <w:numPr>
                <w:ilvl w:val="0"/>
                <w:numId w:val="0"/>
              </w:numPr>
              <w:spacing w:after="120"/>
              <w:ind w:left="720" w:hanging="720"/>
              <w:outlineLvl w:val="1"/>
            </w:pPr>
            <w:r w:rsidRPr="00C56ABF">
              <w:t>CS</w:t>
            </w:r>
          </w:p>
        </w:tc>
        <w:tc>
          <w:tcPr>
            <w:tcW w:w="6472" w:type="dxa"/>
          </w:tcPr>
          <w:p w14:paraId="249BB4E2" w14:textId="77777777" w:rsidR="001D1E84" w:rsidRPr="00C56ABF" w:rsidRDefault="001D1E84" w:rsidP="001D1E84">
            <w:pPr>
              <w:pStyle w:val="Heading2"/>
              <w:numPr>
                <w:ilvl w:val="0"/>
                <w:numId w:val="0"/>
              </w:numPr>
              <w:spacing w:after="120"/>
              <w:outlineLvl w:val="1"/>
            </w:pPr>
            <w:r w:rsidRPr="00C56ABF">
              <w:t>Means Carrier Strike</w:t>
            </w:r>
          </w:p>
        </w:tc>
      </w:tr>
      <w:tr w:rsidR="001D1E84" w:rsidRPr="00C56ABF" w14:paraId="5BF4C0B0" w14:textId="77777777" w:rsidTr="001D1E84">
        <w:tc>
          <w:tcPr>
            <w:tcW w:w="1827" w:type="dxa"/>
          </w:tcPr>
          <w:p w14:paraId="66C5B1C0" w14:textId="77777777" w:rsidR="001D1E84" w:rsidRPr="00C56ABF" w:rsidRDefault="001D1E84" w:rsidP="001D1E84">
            <w:pPr>
              <w:pStyle w:val="Heading2"/>
              <w:numPr>
                <w:ilvl w:val="0"/>
                <w:numId w:val="0"/>
              </w:numPr>
              <w:spacing w:after="120"/>
              <w:ind w:left="720" w:hanging="720"/>
              <w:outlineLvl w:val="1"/>
            </w:pPr>
            <w:r w:rsidRPr="00C56ABF">
              <w:t>QEC</w:t>
            </w:r>
          </w:p>
        </w:tc>
        <w:tc>
          <w:tcPr>
            <w:tcW w:w="6472" w:type="dxa"/>
          </w:tcPr>
          <w:p w14:paraId="4940F49B" w14:textId="77777777" w:rsidR="001D1E84" w:rsidRPr="00C56ABF" w:rsidRDefault="001D1E84" w:rsidP="001D1E84">
            <w:pPr>
              <w:pStyle w:val="Heading2"/>
              <w:numPr>
                <w:ilvl w:val="0"/>
                <w:numId w:val="0"/>
              </w:numPr>
              <w:spacing w:after="120"/>
              <w:outlineLvl w:val="1"/>
            </w:pPr>
            <w:r w:rsidRPr="00C56ABF">
              <w:t>Means Queen Elizabeth Class Aircraft Carriers</w:t>
            </w:r>
          </w:p>
        </w:tc>
      </w:tr>
      <w:tr w:rsidR="001D1E84" w:rsidRPr="00C56ABF" w14:paraId="59203B75" w14:textId="77777777" w:rsidTr="001D1E84">
        <w:tc>
          <w:tcPr>
            <w:tcW w:w="1827" w:type="dxa"/>
          </w:tcPr>
          <w:p w14:paraId="57910CBB" w14:textId="77777777" w:rsidR="001D1E84" w:rsidRPr="00C56ABF" w:rsidRDefault="001D1E84" w:rsidP="001D1E84">
            <w:pPr>
              <w:pStyle w:val="Heading2"/>
              <w:numPr>
                <w:ilvl w:val="0"/>
                <w:numId w:val="0"/>
              </w:numPr>
              <w:spacing w:after="120"/>
              <w:ind w:left="720" w:hanging="720"/>
              <w:outlineLvl w:val="1"/>
            </w:pPr>
            <w:r w:rsidRPr="00C56ABF">
              <w:t>LTNG</w:t>
            </w:r>
          </w:p>
        </w:tc>
        <w:tc>
          <w:tcPr>
            <w:tcW w:w="6472" w:type="dxa"/>
          </w:tcPr>
          <w:p w14:paraId="72A2583E" w14:textId="77777777" w:rsidR="001D1E84" w:rsidRPr="00C56ABF" w:rsidRDefault="001D1E84" w:rsidP="001D1E84">
            <w:pPr>
              <w:pStyle w:val="Heading2"/>
              <w:numPr>
                <w:ilvl w:val="0"/>
                <w:numId w:val="0"/>
              </w:numPr>
              <w:spacing w:after="120"/>
              <w:outlineLvl w:val="1"/>
            </w:pPr>
            <w:r w:rsidRPr="00C56ABF">
              <w:t>Means F35B Lightning II Joint Strike Fighter</w:t>
            </w:r>
          </w:p>
        </w:tc>
      </w:tr>
      <w:tr w:rsidR="001D1E84" w:rsidRPr="00C56ABF" w14:paraId="1BE04959" w14:textId="77777777" w:rsidTr="001D1E84">
        <w:tc>
          <w:tcPr>
            <w:tcW w:w="1827" w:type="dxa"/>
          </w:tcPr>
          <w:p w14:paraId="4495D7F0" w14:textId="77777777" w:rsidR="001D1E84" w:rsidRPr="00C56ABF" w:rsidRDefault="001D1E84" w:rsidP="001D1E84">
            <w:pPr>
              <w:pStyle w:val="Heading2"/>
              <w:numPr>
                <w:ilvl w:val="0"/>
                <w:numId w:val="0"/>
              </w:numPr>
              <w:spacing w:after="120"/>
              <w:ind w:left="720" w:hanging="720"/>
              <w:outlineLvl w:val="1"/>
            </w:pPr>
            <w:r w:rsidRPr="00C56ABF">
              <w:t>CN</w:t>
            </w:r>
          </w:p>
        </w:tc>
        <w:tc>
          <w:tcPr>
            <w:tcW w:w="6472" w:type="dxa"/>
          </w:tcPr>
          <w:p w14:paraId="4389E343" w14:textId="77777777" w:rsidR="001D1E84" w:rsidRPr="00C56ABF" w:rsidRDefault="001D1E84" w:rsidP="001D1E84">
            <w:pPr>
              <w:pStyle w:val="Heading2"/>
              <w:numPr>
                <w:ilvl w:val="0"/>
                <w:numId w:val="0"/>
              </w:numPr>
              <w:spacing w:after="120"/>
              <w:outlineLvl w:val="1"/>
            </w:pPr>
            <w:r w:rsidRPr="00C56ABF">
              <w:t xml:space="preserve">Means </w:t>
            </w:r>
            <w:proofErr w:type="spellStart"/>
            <w:r w:rsidRPr="00C56ABF">
              <w:t>Crowsnest</w:t>
            </w:r>
            <w:proofErr w:type="spellEnd"/>
            <w:r w:rsidRPr="00C56ABF">
              <w:t xml:space="preserve"> Airborne Early Warning System on the merlin Mk2 Airframe</w:t>
            </w:r>
          </w:p>
        </w:tc>
      </w:tr>
      <w:tr w:rsidR="001D1E84" w:rsidRPr="00C56ABF" w14:paraId="66C2633D" w14:textId="77777777" w:rsidTr="001D1E84">
        <w:tc>
          <w:tcPr>
            <w:tcW w:w="1827" w:type="dxa"/>
          </w:tcPr>
          <w:p w14:paraId="066AA42B" w14:textId="77777777" w:rsidR="001D1E84" w:rsidRPr="00C56ABF" w:rsidRDefault="001D1E84" w:rsidP="001D1E84">
            <w:pPr>
              <w:pStyle w:val="Heading2"/>
              <w:numPr>
                <w:ilvl w:val="0"/>
                <w:numId w:val="0"/>
              </w:numPr>
              <w:spacing w:after="120"/>
              <w:ind w:left="720" w:hanging="720"/>
              <w:outlineLvl w:val="1"/>
            </w:pPr>
            <w:r w:rsidRPr="00C56ABF">
              <w:t>SRO</w:t>
            </w:r>
          </w:p>
        </w:tc>
        <w:tc>
          <w:tcPr>
            <w:tcW w:w="6472" w:type="dxa"/>
          </w:tcPr>
          <w:p w14:paraId="4428A803" w14:textId="77777777" w:rsidR="001D1E84" w:rsidRPr="00C56ABF" w:rsidRDefault="001D1E84" w:rsidP="001D1E84">
            <w:pPr>
              <w:pStyle w:val="Heading2"/>
              <w:numPr>
                <w:ilvl w:val="0"/>
                <w:numId w:val="0"/>
              </w:numPr>
              <w:spacing w:after="120"/>
              <w:outlineLvl w:val="1"/>
            </w:pPr>
            <w:r w:rsidRPr="00C56ABF">
              <w:t>Means Senior Responsible Owner</w:t>
            </w:r>
          </w:p>
        </w:tc>
      </w:tr>
      <w:tr w:rsidR="001D1E84" w:rsidRPr="00C56ABF" w14:paraId="486CAAFA" w14:textId="77777777" w:rsidTr="001D1E84">
        <w:tc>
          <w:tcPr>
            <w:tcW w:w="1827" w:type="dxa"/>
          </w:tcPr>
          <w:p w14:paraId="4A66076E" w14:textId="77777777" w:rsidR="001D1E84" w:rsidRPr="00C56ABF" w:rsidRDefault="001D1E84" w:rsidP="001D1E84">
            <w:pPr>
              <w:pStyle w:val="Heading2"/>
              <w:numPr>
                <w:ilvl w:val="0"/>
                <w:numId w:val="0"/>
              </w:numPr>
              <w:spacing w:after="120"/>
              <w:ind w:left="720" w:hanging="720"/>
              <w:outlineLvl w:val="1"/>
            </w:pPr>
            <w:r w:rsidRPr="00C56ABF">
              <w:t>AFC</w:t>
            </w:r>
          </w:p>
        </w:tc>
        <w:tc>
          <w:tcPr>
            <w:tcW w:w="6472" w:type="dxa"/>
          </w:tcPr>
          <w:p w14:paraId="4737F2DC" w14:textId="77777777" w:rsidR="001D1E84" w:rsidRPr="00C56ABF" w:rsidRDefault="001D1E84" w:rsidP="001D1E84">
            <w:pPr>
              <w:pStyle w:val="Heading2"/>
              <w:numPr>
                <w:ilvl w:val="0"/>
                <w:numId w:val="0"/>
              </w:numPr>
              <w:spacing w:after="120"/>
              <w:outlineLvl w:val="1"/>
            </w:pPr>
            <w:r w:rsidRPr="00C56ABF">
              <w:t>Means Armed Forces Committee</w:t>
            </w:r>
          </w:p>
        </w:tc>
      </w:tr>
      <w:tr w:rsidR="001D1E84" w:rsidRPr="00C56ABF" w14:paraId="35F010FD" w14:textId="77777777" w:rsidTr="001D1E84">
        <w:tc>
          <w:tcPr>
            <w:tcW w:w="1827" w:type="dxa"/>
          </w:tcPr>
          <w:p w14:paraId="0BE8167C" w14:textId="77777777" w:rsidR="001D1E84" w:rsidRPr="00C56ABF" w:rsidRDefault="001D1E84" w:rsidP="001D1E84">
            <w:pPr>
              <w:pStyle w:val="Heading2"/>
              <w:numPr>
                <w:ilvl w:val="0"/>
                <w:numId w:val="0"/>
              </w:numPr>
              <w:spacing w:after="120"/>
              <w:ind w:left="720" w:hanging="720"/>
              <w:outlineLvl w:val="1"/>
            </w:pPr>
            <w:proofErr w:type="spellStart"/>
            <w:r w:rsidRPr="00C56ABF">
              <w:t>DloD</w:t>
            </w:r>
            <w:proofErr w:type="spellEnd"/>
          </w:p>
        </w:tc>
        <w:tc>
          <w:tcPr>
            <w:tcW w:w="6472" w:type="dxa"/>
          </w:tcPr>
          <w:p w14:paraId="61B34878" w14:textId="77777777" w:rsidR="001D1E84" w:rsidRPr="00C56ABF" w:rsidRDefault="001D1E84" w:rsidP="001D1E84">
            <w:pPr>
              <w:pStyle w:val="Heading2"/>
              <w:numPr>
                <w:ilvl w:val="0"/>
                <w:numId w:val="0"/>
              </w:numPr>
              <w:spacing w:after="120"/>
              <w:outlineLvl w:val="1"/>
            </w:pPr>
            <w:r w:rsidRPr="00C56ABF">
              <w:t>Means Defence Lines of Development</w:t>
            </w:r>
          </w:p>
        </w:tc>
      </w:tr>
      <w:tr w:rsidR="001D1E84" w:rsidRPr="00C56ABF" w14:paraId="5526ABB0" w14:textId="77777777" w:rsidTr="001D1E84">
        <w:tc>
          <w:tcPr>
            <w:tcW w:w="1827" w:type="dxa"/>
          </w:tcPr>
          <w:p w14:paraId="55C89B3E" w14:textId="77777777" w:rsidR="001D1E84" w:rsidRPr="00C56ABF" w:rsidRDefault="001D1E84" w:rsidP="001D1E84">
            <w:pPr>
              <w:pStyle w:val="Heading2"/>
              <w:numPr>
                <w:ilvl w:val="0"/>
                <w:numId w:val="0"/>
              </w:numPr>
              <w:spacing w:after="120"/>
              <w:ind w:left="720" w:hanging="720"/>
              <w:outlineLvl w:val="1"/>
            </w:pPr>
            <w:r w:rsidRPr="00C56ABF">
              <w:t>IOC</w:t>
            </w:r>
          </w:p>
        </w:tc>
        <w:tc>
          <w:tcPr>
            <w:tcW w:w="6472" w:type="dxa"/>
          </w:tcPr>
          <w:p w14:paraId="0BF8717E" w14:textId="77777777" w:rsidR="001D1E84" w:rsidRPr="00C56ABF" w:rsidRDefault="001D1E84" w:rsidP="001D1E84">
            <w:pPr>
              <w:pStyle w:val="Heading2"/>
              <w:numPr>
                <w:ilvl w:val="0"/>
                <w:numId w:val="0"/>
              </w:numPr>
              <w:spacing w:after="120"/>
              <w:outlineLvl w:val="1"/>
            </w:pPr>
            <w:r w:rsidRPr="00C56ABF">
              <w:t>Means Initial Operating Capability</w:t>
            </w:r>
          </w:p>
        </w:tc>
      </w:tr>
      <w:tr w:rsidR="001D1E84" w:rsidRPr="00C56ABF" w14:paraId="08FFE067" w14:textId="77777777" w:rsidTr="001D1E84">
        <w:tc>
          <w:tcPr>
            <w:tcW w:w="1827" w:type="dxa"/>
          </w:tcPr>
          <w:p w14:paraId="479572A0" w14:textId="77777777" w:rsidR="001D1E84" w:rsidRPr="00C56ABF" w:rsidRDefault="001D1E84" w:rsidP="001D1E84">
            <w:pPr>
              <w:pStyle w:val="Heading2"/>
              <w:numPr>
                <w:ilvl w:val="0"/>
                <w:numId w:val="0"/>
              </w:numPr>
              <w:spacing w:after="120"/>
              <w:ind w:left="720" w:hanging="720"/>
              <w:outlineLvl w:val="1"/>
            </w:pPr>
            <w:r w:rsidRPr="00C56ABF">
              <w:t>FOC</w:t>
            </w:r>
          </w:p>
        </w:tc>
        <w:tc>
          <w:tcPr>
            <w:tcW w:w="6472" w:type="dxa"/>
          </w:tcPr>
          <w:p w14:paraId="4B5B4F59" w14:textId="77777777" w:rsidR="001D1E84" w:rsidRPr="00C56ABF" w:rsidRDefault="001D1E84" w:rsidP="001D1E84">
            <w:pPr>
              <w:pStyle w:val="Heading2"/>
              <w:numPr>
                <w:ilvl w:val="0"/>
                <w:numId w:val="0"/>
              </w:numPr>
              <w:spacing w:after="120"/>
              <w:outlineLvl w:val="1"/>
            </w:pPr>
            <w:r w:rsidRPr="00C56ABF">
              <w:t>Means Full Operating Capability</w:t>
            </w:r>
          </w:p>
        </w:tc>
      </w:tr>
      <w:tr w:rsidR="001D1E84" w:rsidRPr="00C56ABF" w14:paraId="3FE373F5" w14:textId="77777777" w:rsidTr="001D1E84">
        <w:tc>
          <w:tcPr>
            <w:tcW w:w="1827" w:type="dxa"/>
          </w:tcPr>
          <w:p w14:paraId="5B508571" w14:textId="77777777" w:rsidR="001D1E84" w:rsidRPr="00C56ABF" w:rsidRDefault="001D1E84" w:rsidP="001D1E84">
            <w:pPr>
              <w:pStyle w:val="Heading2"/>
              <w:numPr>
                <w:ilvl w:val="0"/>
                <w:numId w:val="0"/>
              </w:numPr>
              <w:spacing w:after="120"/>
              <w:ind w:left="720" w:hanging="720"/>
              <w:outlineLvl w:val="1"/>
            </w:pPr>
            <w:proofErr w:type="gramStart"/>
            <w:r w:rsidRPr="00C56ABF">
              <w:t>FOCFT(</w:t>
            </w:r>
            <w:proofErr w:type="gramEnd"/>
            <w:r w:rsidRPr="00C56ABF">
              <w:t>FW)</w:t>
            </w:r>
          </w:p>
        </w:tc>
        <w:tc>
          <w:tcPr>
            <w:tcW w:w="6472" w:type="dxa"/>
          </w:tcPr>
          <w:p w14:paraId="3B1C1877" w14:textId="77777777" w:rsidR="001D1E84" w:rsidRPr="00C56ABF" w:rsidRDefault="001D1E84" w:rsidP="001D1E84">
            <w:pPr>
              <w:pStyle w:val="Heading2"/>
              <w:numPr>
                <w:ilvl w:val="0"/>
                <w:numId w:val="0"/>
              </w:numPr>
              <w:spacing w:after="120"/>
              <w:outlineLvl w:val="1"/>
            </w:pPr>
            <w:r w:rsidRPr="00C56ABF">
              <w:t>Means First of Class Flying Trials Fixed Wing</w:t>
            </w:r>
          </w:p>
        </w:tc>
      </w:tr>
    </w:tbl>
    <w:p w14:paraId="13E458F8" w14:textId="77777777" w:rsidR="001D1E84" w:rsidRPr="00C56ABF" w:rsidRDefault="001D1E84" w:rsidP="001D1E84">
      <w:pPr>
        <w:pStyle w:val="Heading1"/>
        <w:tabs>
          <w:tab w:val="clear" w:pos="720"/>
        </w:tabs>
        <w:overflowPunct w:val="0"/>
        <w:autoSpaceDE w:val="0"/>
        <w:autoSpaceDN w:val="0"/>
        <w:spacing w:before="240" w:after="120"/>
        <w:textAlignment w:val="baseline"/>
        <w:rPr>
          <w:szCs w:val="22"/>
        </w:rPr>
      </w:pPr>
      <w:bookmarkStart w:id="101" w:name="_Toc444518870"/>
      <w:r w:rsidRPr="00C56ABF">
        <w:rPr>
          <w:szCs w:val="22"/>
        </w:rPr>
        <w:t>scope of requirement</w:t>
      </w:r>
      <w:bookmarkEnd w:id="98"/>
      <w:bookmarkEnd w:id="100"/>
      <w:bookmarkEnd w:id="101"/>
      <w:r w:rsidRPr="00C56ABF">
        <w:rPr>
          <w:szCs w:val="22"/>
        </w:rPr>
        <w:t xml:space="preserve"> </w:t>
      </w:r>
    </w:p>
    <w:bookmarkEnd w:id="95"/>
    <w:p w14:paraId="3A35E934" w14:textId="77777777" w:rsidR="001D1E84" w:rsidRPr="00C56ABF" w:rsidRDefault="001D1E84" w:rsidP="001D1E84">
      <w:pPr>
        <w:pStyle w:val="Heading2"/>
        <w:tabs>
          <w:tab w:val="clear" w:pos="720"/>
          <w:tab w:val="num" w:pos="862"/>
        </w:tabs>
        <w:overflowPunct w:val="0"/>
        <w:autoSpaceDE w:val="0"/>
        <w:autoSpaceDN w:val="0"/>
        <w:spacing w:after="120"/>
        <w:ind w:left="709" w:hanging="709"/>
        <w:textAlignment w:val="baseline"/>
        <w:rPr>
          <w:szCs w:val="22"/>
        </w:rPr>
      </w:pPr>
      <w:r w:rsidRPr="00C56ABF">
        <w:rPr>
          <w:szCs w:val="22"/>
        </w:rPr>
        <w:t>Four Tailored Deep Dive</w:t>
      </w:r>
      <w:r>
        <w:rPr>
          <w:szCs w:val="22"/>
        </w:rPr>
        <w:t xml:space="preserve"> reviews</w:t>
      </w:r>
      <w:r w:rsidRPr="00C56ABF">
        <w:rPr>
          <w:szCs w:val="22"/>
        </w:rPr>
        <w:t xml:space="preserve"> are required into CEPP Programme Critical Path Milestones to assess successful achievability of interdependent programme deliverables to fulfilling overall core programme. The programme deliverables are variable depending upon which milestone is being reviewed and which programme dependencies are involved. These will be discussed with the Provider during Programme introduction and the initial planning days mentioned within section 6.</w:t>
      </w:r>
    </w:p>
    <w:p w14:paraId="414031D4" w14:textId="77777777" w:rsidR="001D1E84" w:rsidRPr="00C56ABF" w:rsidRDefault="001D1E84" w:rsidP="001D1E84">
      <w:pPr>
        <w:pStyle w:val="Heading1"/>
        <w:spacing w:after="120"/>
      </w:pPr>
      <w:bookmarkStart w:id="102" w:name="_Toc368573031"/>
      <w:bookmarkStart w:id="103" w:name="_Toc444518871"/>
      <w:r w:rsidRPr="00C56ABF">
        <w:t>The requirement</w:t>
      </w:r>
      <w:bookmarkEnd w:id="102"/>
      <w:bookmarkEnd w:id="103"/>
    </w:p>
    <w:p w14:paraId="56C465DC" w14:textId="77777777" w:rsidR="001D1E84" w:rsidRPr="00C56ABF" w:rsidRDefault="001D1E84" w:rsidP="001D1E84">
      <w:pPr>
        <w:pStyle w:val="Heading2"/>
        <w:spacing w:after="120"/>
        <w:ind w:left="709" w:hanging="709"/>
        <w:rPr>
          <w:bCs/>
        </w:rPr>
      </w:pPr>
      <w:r w:rsidRPr="00C56ABF">
        <w:rPr>
          <w:bCs/>
        </w:rPr>
        <w:t xml:space="preserve">A proven technique for testing progress is to conduct readiness reviews against significant milestones.  Such reviews seek to assure that all the critical elements will be in place in time to achieve a milestone, which can be programmatic such as </w:t>
      </w:r>
      <w:r w:rsidRPr="00C56ABF">
        <w:t>First of Class Flying Trials (</w:t>
      </w:r>
      <w:r w:rsidRPr="00C56ABF">
        <w:rPr>
          <w:bCs/>
        </w:rPr>
        <w:t xml:space="preserve">FOCFT) or operational such as IOC / FOC.  Some milestones will be project-specific, such as Vessel Acceptance Date and Lightning II </w:t>
      </w:r>
      <w:proofErr w:type="gramStart"/>
      <w:r w:rsidRPr="00C56ABF">
        <w:rPr>
          <w:bCs/>
        </w:rPr>
        <w:t>IOC(</w:t>
      </w:r>
      <w:proofErr w:type="gramEnd"/>
      <w:r w:rsidRPr="00C56ABF">
        <w:rPr>
          <w:bCs/>
        </w:rPr>
        <w:t xml:space="preserve">Land); </w:t>
      </w:r>
      <w:r w:rsidRPr="00C56ABF">
        <w:rPr>
          <w:bCs/>
        </w:rPr>
        <w:lastRenderedPageBreak/>
        <w:t xml:space="preserve">others will be at the CEPP level where more than one project needs to come together, such as </w:t>
      </w:r>
      <w:r w:rsidRPr="00C56ABF">
        <w:t>First of Class Flying Trials Fixed Wing</w:t>
      </w:r>
      <w:r w:rsidRPr="00C56ABF">
        <w:rPr>
          <w:bCs/>
        </w:rPr>
        <w:t xml:space="preserve"> (FOCFT(FW)).  </w:t>
      </w:r>
    </w:p>
    <w:p w14:paraId="47848C94" w14:textId="77777777" w:rsidR="001D1E84" w:rsidRPr="00C56ABF" w:rsidRDefault="001D1E84" w:rsidP="001D1E84">
      <w:pPr>
        <w:pStyle w:val="Heading2"/>
        <w:spacing w:after="120"/>
        <w:ind w:left="709" w:hanging="709"/>
        <w:rPr>
          <w:bCs/>
        </w:rPr>
      </w:pPr>
      <w:r w:rsidRPr="00C56ABF">
        <w:rPr>
          <w:bCs/>
        </w:rPr>
        <w:t>Readiness is a collective responsibility and requires the full participation of supported and supporting organisations.  Reviews may lead to spin-off activity should shortfalls be identified, which will be conducted by the CEPP PMO; reviews against some milestones may need to be repeated as the programme matures.  While the preparation required for a readiness review may appear an unwelcome burden, when done correctly they invariably achieve valuable alignment.  As is common with operational Rehearsal of Concept (ROC) drills, the identification of critical dependencies may prove of equal value to the overall assessment of readiness.  A series of successful readiness reviews that identifies no major shortfalls to hitting key milestones would significantly contribute to increasing delivery confidence.</w:t>
      </w:r>
    </w:p>
    <w:p w14:paraId="4311D392" w14:textId="77777777" w:rsidR="001D1E84" w:rsidRPr="00C56ABF" w:rsidRDefault="001D1E84" w:rsidP="001D1E84">
      <w:pPr>
        <w:pStyle w:val="Heading2"/>
        <w:spacing w:after="120"/>
        <w:ind w:left="709" w:hanging="709"/>
        <w:rPr>
          <w:bCs/>
        </w:rPr>
      </w:pPr>
      <w:r w:rsidRPr="00C56ABF">
        <w:rPr>
          <w:bCs/>
        </w:rPr>
        <w:t xml:space="preserve">SRO CEPP intends to hold periodic Readiness Reviews as the Programme transitions from ‘Delivery’ to ‘Operate’. To gain maximum value from Level 2 Reviews, SRO CEPP will require the assistance of expert facilitators to run the events.  The facilitators are required to be experienced in the IPA/OGC review processes and methods, but intentionally would not be experts in CEPP to aid objectivity.  Crucially, SRO CEPP will make the readiness assessments in consultation with the Core Project SROs; external facilitators will not be required to make independent assessments.  </w:t>
      </w:r>
    </w:p>
    <w:p w14:paraId="1DEE5EA9" w14:textId="77777777" w:rsidR="001D1E84" w:rsidRPr="00C56ABF" w:rsidRDefault="001D1E84" w:rsidP="001D1E84">
      <w:pPr>
        <w:pStyle w:val="Heading2"/>
        <w:tabs>
          <w:tab w:val="clear" w:pos="720"/>
          <w:tab w:val="num" w:pos="709"/>
        </w:tabs>
        <w:spacing w:after="120"/>
        <w:ind w:left="709" w:hanging="709"/>
      </w:pPr>
      <w:r w:rsidRPr="00C56ABF">
        <w:rPr>
          <w:bCs/>
        </w:rPr>
        <w:t xml:space="preserve">Empirical evidence is required to underpin a meaningful subjective assessment of delivery confidence.  In order to increase CEPP delivery confidence to Amber/Green over the coming months, SRO CEPP wishes to see evidence of progress towards successful delivery and intends to test it via a series of readiness reviews.  </w:t>
      </w:r>
    </w:p>
    <w:p w14:paraId="5CB22BF8" w14:textId="77777777" w:rsidR="001D1E84" w:rsidRPr="00C56ABF" w:rsidRDefault="001D1E84" w:rsidP="001D1E84">
      <w:pPr>
        <w:pStyle w:val="Heading2"/>
        <w:tabs>
          <w:tab w:val="clear" w:pos="720"/>
          <w:tab w:val="num" w:pos="709"/>
        </w:tabs>
        <w:spacing w:after="120"/>
        <w:ind w:left="709" w:hanging="709"/>
      </w:pPr>
      <w:r w:rsidRPr="00C56ABF">
        <w:t>The CEPP Led Programme will provide a one week introduction at the beginning of the Contract for the Provider. This will enable the Provider to become familiar with the CEPP Programme, the portfolio of programmes approach and its deliverables (with particular reference to inter-dependencies). This event to be held at the beginning of the Contract, prior to the commencement of the review programme.</w:t>
      </w:r>
    </w:p>
    <w:p w14:paraId="3A4DBA3C" w14:textId="77777777" w:rsidR="001D1E84" w:rsidRPr="00C56ABF" w:rsidRDefault="001D1E84" w:rsidP="001D1E84">
      <w:pPr>
        <w:pStyle w:val="Heading2"/>
        <w:spacing w:after="120"/>
        <w:ind w:left="709" w:hanging="709"/>
      </w:pPr>
      <w:r w:rsidRPr="00C56ABF">
        <w:t xml:space="preserve">The Provider is required to provide four Deep Dive Reviews to be held in: September 2016, November 2016, January 2017, and March 2017. The Key to the success of this, will be the Provider will lead facilitation of the four reviews, providing independent objectivity on delivery confidence to achieve interdependent programme milestones pan-DLOD. The Provider will be expected to stimulate discussions with all stakeholder involved and drawing out the evidence that allows the CEPP PMO to form an objective assessment of programme deliverability (to critical milestones). </w:t>
      </w:r>
    </w:p>
    <w:p w14:paraId="52EE7446" w14:textId="77777777" w:rsidR="001D1E84" w:rsidRPr="00C56ABF" w:rsidRDefault="001D1E84" w:rsidP="001D1E84">
      <w:pPr>
        <w:pStyle w:val="Heading2"/>
        <w:spacing w:after="120"/>
        <w:ind w:left="709" w:hanging="709"/>
      </w:pPr>
      <w:r w:rsidRPr="00C56ABF">
        <w:t>The Potential Provider will be expected to provide their methods for conducting these reviews in order for the CEPP to achieve the objectives within the timeframes stipulated in section 6.6.</w:t>
      </w:r>
    </w:p>
    <w:p w14:paraId="20EF9186" w14:textId="77777777" w:rsidR="001D1E84" w:rsidRPr="00C56ABF" w:rsidRDefault="001D1E84" w:rsidP="001D1E84">
      <w:pPr>
        <w:pStyle w:val="Heading2"/>
        <w:spacing w:after="120"/>
        <w:ind w:left="709" w:hanging="709"/>
      </w:pPr>
      <w:r w:rsidRPr="00C56ABF">
        <w:t xml:space="preserve">For each of the four reviews, the Provider will receive one planning day with the CEPP Programme Management Office to discuss how the review will be undertaken and the areas of delivery confidence to achieve inter-dependant programme milestones which will be reviewed. </w:t>
      </w:r>
    </w:p>
    <w:p w14:paraId="21AE9155" w14:textId="77777777" w:rsidR="001D1E84" w:rsidRDefault="001D1E84" w:rsidP="001D1E84">
      <w:pPr>
        <w:pStyle w:val="Heading2"/>
        <w:tabs>
          <w:tab w:val="clear" w:pos="720"/>
          <w:tab w:val="num" w:pos="709"/>
        </w:tabs>
        <w:spacing w:after="120"/>
        <w:ind w:left="709" w:hanging="709"/>
      </w:pPr>
      <w:r w:rsidRPr="00C56ABF">
        <w:t>The Provider will then be given 1 day to facilitate the review with key stakeholders</w:t>
      </w:r>
      <w:r>
        <w:t xml:space="preserve"> focussing on areas within section 6.6</w:t>
      </w:r>
      <w:r w:rsidRPr="00C56ABF">
        <w:t xml:space="preserve"> and review </w:t>
      </w:r>
      <w:r>
        <w:t xml:space="preserve">the </w:t>
      </w:r>
      <w:r w:rsidRPr="00C56ABF">
        <w:t>results. The stakeholders involved with the review will be discussed during the planning day.</w:t>
      </w:r>
      <w:r>
        <w:t xml:space="preserve"> </w:t>
      </w:r>
    </w:p>
    <w:p w14:paraId="410A2094" w14:textId="77777777" w:rsidR="001D1E84" w:rsidRPr="00C56ABF" w:rsidRDefault="001D1E84" w:rsidP="001D1E84">
      <w:pPr>
        <w:pStyle w:val="Heading2"/>
        <w:tabs>
          <w:tab w:val="clear" w:pos="720"/>
          <w:tab w:val="num" w:pos="709"/>
        </w:tabs>
        <w:spacing w:after="120"/>
        <w:ind w:left="709" w:hanging="709"/>
      </w:pPr>
      <w:r>
        <w:t xml:space="preserve">The Provider is required to produce and submit a summary report for each review within 10 days of completion of the individual review. This summary report should </w:t>
      </w:r>
      <w:r>
        <w:lastRenderedPageBreak/>
        <w:t xml:space="preserve">include all aspects covered in the review in order to deliver confidence </w:t>
      </w:r>
      <w:r w:rsidRPr="00C56ABF">
        <w:t>to achieve interdependent programme milestones pan-DLOD</w:t>
      </w:r>
      <w:r>
        <w:t>. Potential providers are expected to provide their method for producing the summary reports, ensuring the reports are provided within the milestones of the Contract.</w:t>
      </w:r>
    </w:p>
    <w:p w14:paraId="3C90982C" w14:textId="77777777" w:rsidR="001D1E84" w:rsidRPr="00C56ABF" w:rsidRDefault="001D1E84" w:rsidP="001D1E84">
      <w:pPr>
        <w:pStyle w:val="Heading1"/>
        <w:spacing w:after="120"/>
      </w:pPr>
      <w:bookmarkStart w:id="104" w:name="_Toc368573032"/>
      <w:bookmarkStart w:id="105" w:name="_Toc444518872"/>
      <w:r w:rsidRPr="00C56ABF">
        <w:t>key milestones</w:t>
      </w:r>
      <w:bookmarkEnd w:id="104"/>
      <w:bookmarkEnd w:id="105"/>
    </w:p>
    <w:p w14:paraId="122A91A0" w14:textId="77777777" w:rsidR="001D1E84" w:rsidRPr="00C56ABF" w:rsidRDefault="001D1E84" w:rsidP="001D1E84">
      <w:pPr>
        <w:pStyle w:val="Heading2"/>
        <w:tabs>
          <w:tab w:val="clear" w:pos="720"/>
          <w:tab w:val="num" w:pos="709"/>
        </w:tabs>
        <w:spacing w:after="120"/>
        <w:ind w:left="709" w:hanging="709"/>
      </w:pPr>
      <w:r w:rsidRPr="00C56ABF">
        <w:t>This work will need to be completed by the End of March 2017. Each review summary report will be required within 10 working days of the end of each review in Sep</w:t>
      </w:r>
      <w:r>
        <w:t>tember</w:t>
      </w:r>
      <w:r w:rsidRPr="00C56ABF">
        <w:t xml:space="preserve"> </w:t>
      </w:r>
      <w:r>
        <w:t>20</w:t>
      </w:r>
      <w:r w:rsidRPr="00C56ABF">
        <w:t>16, Nov</w:t>
      </w:r>
      <w:r>
        <w:t>ember</w:t>
      </w:r>
      <w:r w:rsidRPr="00C56ABF">
        <w:t xml:space="preserve"> </w:t>
      </w:r>
      <w:r>
        <w:t>20</w:t>
      </w:r>
      <w:r w:rsidRPr="00C56ABF">
        <w:t>16, Jan</w:t>
      </w:r>
      <w:r>
        <w:t>uary</w:t>
      </w:r>
      <w:r w:rsidRPr="00C56ABF">
        <w:t xml:space="preserve"> </w:t>
      </w:r>
      <w:r>
        <w:t>20</w:t>
      </w:r>
      <w:r w:rsidRPr="00C56ABF">
        <w:t>17, and Mar</w:t>
      </w:r>
      <w:r>
        <w:t>ch</w:t>
      </w:r>
      <w:r w:rsidRPr="00C56ABF">
        <w:t xml:space="preserve"> </w:t>
      </w:r>
      <w:r>
        <w:t>20</w:t>
      </w:r>
      <w:r w:rsidRPr="00C56ABF">
        <w:t>17.</w:t>
      </w:r>
    </w:p>
    <w:p w14:paraId="06215F1A" w14:textId="77777777" w:rsidR="001D1E84" w:rsidRPr="00C56ABF" w:rsidRDefault="001D1E84" w:rsidP="001D1E84">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C56ABF">
        <w:rPr>
          <w:rFonts w:cs="Arial"/>
          <w:szCs w:val="22"/>
        </w:rPr>
        <w:t>The Potential Provider should note the following project milestones that the Authority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1D1E84" w:rsidRPr="00C56ABF" w14:paraId="2AF5B691" w14:textId="77777777" w:rsidTr="001D1E84">
        <w:tc>
          <w:tcPr>
            <w:tcW w:w="898" w:type="pct"/>
            <w:shd w:val="clear" w:color="auto" w:fill="C6D9F1" w:themeFill="text2" w:themeFillTint="33"/>
            <w:vAlign w:val="center"/>
          </w:tcPr>
          <w:p w14:paraId="494A0FDB" w14:textId="77777777" w:rsidR="001D1E84" w:rsidRPr="00C56ABF" w:rsidRDefault="001D1E84" w:rsidP="001D1E84">
            <w:pPr>
              <w:pStyle w:val="Heading3"/>
              <w:numPr>
                <w:ilvl w:val="0"/>
                <w:numId w:val="0"/>
              </w:numPr>
              <w:spacing w:after="120"/>
              <w:jc w:val="center"/>
              <w:outlineLvl w:val="2"/>
              <w:rPr>
                <w:b/>
                <w:szCs w:val="24"/>
              </w:rPr>
            </w:pPr>
            <w:r w:rsidRPr="00C56ABF">
              <w:rPr>
                <w:b/>
              </w:rPr>
              <w:t>Milestone</w:t>
            </w:r>
          </w:p>
        </w:tc>
        <w:tc>
          <w:tcPr>
            <w:tcW w:w="2480" w:type="pct"/>
            <w:shd w:val="clear" w:color="auto" w:fill="C6D9F1" w:themeFill="text2" w:themeFillTint="33"/>
            <w:vAlign w:val="center"/>
          </w:tcPr>
          <w:p w14:paraId="394F333A" w14:textId="77777777" w:rsidR="001D1E84" w:rsidRPr="00C56ABF" w:rsidRDefault="001D1E84" w:rsidP="001D1E84">
            <w:pPr>
              <w:pStyle w:val="Heading3"/>
              <w:numPr>
                <w:ilvl w:val="0"/>
                <w:numId w:val="0"/>
              </w:numPr>
              <w:spacing w:after="120"/>
              <w:jc w:val="center"/>
              <w:outlineLvl w:val="2"/>
              <w:rPr>
                <w:b/>
                <w:szCs w:val="24"/>
              </w:rPr>
            </w:pPr>
            <w:r w:rsidRPr="00C56ABF">
              <w:rPr>
                <w:b/>
              </w:rPr>
              <w:t>Description</w:t>
            </w:r>
          </w:p>
        </w:tc>
        <w:tc>
          <w:tcPr>
            <w:tcW w:w="1622" w:type="pct"/>
            <w:shd w:val="clear" w:color="auto" w:fill="C6D9F1" w:themeFill="text2" w:themeFillTint="33"/>
            <w:vAlign w:val="center"/>
          </w:tcPr>
          <w:p w14:paraId="2E6D1CC6" w14:textId="77777777" w:rsidR="001D1E84" w:rsidRPr="00C56ABF" w:rsidRDefault="001D1E84" w:rsidP="001D1E84">
            <w:pPr>
              <w:pStyle w:val="Heading3"/>
              <w:numPr>
                <w:ilvl w:val="0"/>
                <w:numId w:val="0"/>
              </w:numPr>
              <w:spacing w:after="120"/>
              <w:jc w:val="center"/>
              <w:outlineLvl w:val="2"/>
              <w:rPr>
                <w:b/>
                <w:szCs w:val="24"/>
              </w:rPr>
            </w:pPr>
            <w:r w:rsidRPr="00C56ABF">
              <w:rPr>
                <w:b/>
              </w:rPr>
              <w:t>Timeframe</w:t>
            </w:r>
          </w:p>
        </w:tc>
      </w:tr>
      <w:tr w:rsidR="001D1E84" w:rsidRPr="00C56ABF" w14:paraId="48C68B26" w14:textId="77777777" w:rsidTr="001D1E84">
        <w:tc>
          <w:tcPr>
            <w:tcW w:w="898" w:type="pct"/>
            <w:vAlign w:val="center"/>
          </w:tcPr>
          <w:p w14:paraId="2F699BF6" w14:textId="77777777" w:rsidR="001D1E84" w:rsidRPr="00C56ABF" w:rsidRDefault="001D1E84" w:rsidP="001D1E84">
            <w:pPr>
              <w:pStyle w:val="Heading3"/>
              <w:numPr>
                <w:ilvl w:val="0"/>
                <w:numId w:val="0"/>
              </w:numPr>
              <w:spacing w:after="120"/>
              <w:jc w:val="center"/>
              <w:outlineLvl w:val="2"/>
              <w:rPr>
                <w:szCs w:val="24"/>
              </w:rPr>
            </w:pPr>
            <w:r w:rsidRPr="00C56ABF">
              <w:t>1</w:t>
            </w:r>
          </w:p>
        </w:tc>
        <w:tc>
          <w:tcPr>
            <w:tcW w:w="2480" w:type="pct"/>
            <w:vAlign w:val="center"/>
          </w:tcPr>
          <w:p w14:paraId="01910A8E" w14:textId="77777777" w:rsidR="001D1E84" w:rsidRPr="00C56ABF" w:rsidRDefault="001D1E84" w:rsidP="001D1E84">
            <w:pPr>
              <w:pStyle w:val="Heading3"/>
              <w:numPr>
                <w:ilvl w:val="0"/>
                <w:numId w:val="0"/>
              </w:numPr>
              <w:spacing w:after="120"/>
              <w:jc w:val="left"/>
              <w:outlineLvl w:val="2"/>
              <w:rPr>
                <w:szCs w:val="24"/>
              </w:rPr>
            </w:pPr>
            <w:r w:rsidRPr="00C56ABF">
              <w:t>CEPP Programme introductions</w:t>
            </w:r>
          </w:p>
        </w:tc>
        <w:tc>
          <w:tcPr>
            <w:tcW w:w="1622" w:type="pct"/>
            <w:vAlign w:val="center"/>
          </w:tcPr>
          <w:p w14:paraId="344EA96D" w14:textId="77777777" w:rsidR="001D1E84" w:rsidRPr="00C56ABF" w:rsidRDefault="001D1E84" w:rsidP="001D1E84">
            <w:pPr>
              <w:pStyle w:val="Heading3"/>
              <w:numPr>
                <w:ilvl w:val="0"/>
                <w:numId w:val="0"/>
              </w:numPr>
              <w:spacing w:after="120"/>
              <w:jc w:val="center"/>
              <w:outlineLvl w:val="2"/>
              <w:rPr>
                <w:szCs w:val="24"/>
              </w:rPr>
            </w:pPr>
            <w:r w:rsidRPr="00C56ABF">
              <w:t xml:space="preserve">Within week 1 of Contract Award </w:t>
            </w:r>
          </w:p>
        </w:tc>
      </w:tr>
      <w:tr w:rsidR="001D1E84" w:rsidRPr="00C56ABF" w14:paraId="03631E90" w14:textId="77777777" w:rsidTr="001D1E84">
        <w:tc>
          <w:tcPr>
            <w:tcW w:w="898" w:type="pct"/>
            <w:vAlign w:val="center"/>
          </w:tcPr>
          <w:p w14:paraId="03D4F9E7" w14:textId="77777777" w:rsidR="001D1E84" w:rsidRPr="00C56ABF" w:rsidRDefault="001D1E84" w:rsidP="001D1E84">
            <w:pPr>
              <w:pStyle w:val="Heading3"/>
              <w:numPr>
                <w:ilvl w:val="0"/>
                <w:numId w:val="0"/>
              </w:numPr>
              <w:spacing w:after="120"/>
              <w:jc w:val="center"/>
              <w:outlineLvl w:val="2"/>
              <w:rPr>
                <w:szCs w:val="24"/>
              </w:rPr>
            </w:pPr>
            <w:r w:rsidRPr="00C56ABF">
              <w:t>2</w:t>
            </w:r>
          </w:p>
        </w:tc>
        <w:tc>
          <w:tcPr>
            <w:tcW w:w="2480" w:type="pct"/>
            <w:vAlign w:val="center"/>
          </w:tcPr>
          <w:p w14:paraId="1C83BA7C" w14:textId="77777777" w:rsidR="001D1E84" w:rsidRPr="00C56ABF" w:rsidRDefault="001D1E84" w:rsidP="001D1E84">
            <w:pPr>
              <w:pStyle w:val="Heading3"/>
              <w:numPr>
                <w:ilvl w:val="0"/>
                <w:numId w:val="0"/>
              </w:numPr>
              <w:spacing w:after="120"/>
              <w:jc w:val="left"/>
              <w:outlineLvl w:val="2"/>
              <w:rPr>
                <w:szCs w:val="24"/>
              </w:rPr>
            </w:pPr>
            <w:r w:rsidRPr="00C56ABF">
              <w:t>Completion of 1</w:t>
            </w:r>
            <w:r w:rsidRPr="00C56ABF">
              <w:rPr>
                <w:vertAlign w:val="superscript"/>
              </w:rPr>
              <w:t>st</w:t>
            </w:r>
            <w:r w:rsidRPr="00C56ABF">
              <w:t xml:space="preserve"> Review</w:t>
            </w:r>
          </w:p>
        </w:tc>
        <w:tc>
          <w:tcPr>
            <w:tcW w:w="1622" w:type="pct"/>
            <w:vAlign w:val="center"/>
          </w:tcPr>
          <w:p w14:paraId="0495D6EE" w14:textId="77777777" w:rsidR="001D1E84" w:rsidRPr="00C56ABF" w:rsidRDefault="001D1E84" w:rsidP="001D1E84">
            <w:pPr>
              <w:pStyle w:val="Heading3"/>
              <w:numPr>
                <w:ilvl w:val="0"/>
                <w:numId w:val="0"/>
              </w:numPr>
              <w:spacing w:after="120"/>
              <w:jc w:val="center"/>
              <w:outlineLvl w:val="2"/>
              <w:rPr>
                <w:szCs w:val="24"/>
              </w:rPr>
            </w:pPr>
            <w:r w:rsidRPr="00C56ABF">
              <w:t>September 2016</w:t>
            </w:r>
          </w:p>
        </w:tc>
      </w:tr>
      <w:tr w:rsidR="001D1E84" w:rsidRPr="00C56ABF" w14:paraId="22791F8D" w14:textId="77777777" w:rsidTr="001D1E84">
        <w:trPr>
          <w:trHeight w:val="395"/>
        </w:trPr>
        <w:tc>
          <w:tcPr>
            <w:tcW w:w="898" w:type="pct"/>
            <w:vAlign w:val="center"/>
          </w:tcPr>
          <w:p w14:paraId="0C983356" w14:textId="77777777" w:rsidR="001D1E84" w:rsidRPr="00C56ABF" w:rsidRDefault="001D1E84" w:rsidP="001D1E84">
            <w:pPr>
              <w:pStyle w:val="Heading3"/>
              <w:numPr>
                <w:ilvl w:val="0"/>
                <w:numId w:val="0"/>
              </w:numPr>
              <w:spacing w:after="120"/>
              <w:jc w:val="center"/>
              <w:outlineLvl w:val="2"/>
              <w:rPr>
                <w:szCs w:val="24"/>
              </w:rPr>
            </w:pPr>
            <w:r w:rsidRPr="00C56ABF">
              <w:t>3</w:t>
            </w:r>
          </w:p>
        </w:tc>
        <w:tc>
          <w:tcPr>
            <w:tcW w:w="2480" w:type="pct"/>
            <w:vAlign w:val="center"/>
          </w:tcPr>
          <w:p w14:paraId="45F6267C" w14:textId="77777777" w:rsidR="001D1E84" w:rsidRPr="00C56ABF" w:rsidRDefault="001D1E84" w:rsidP="001D1E84">
            <w:pPr>
              <w:pStyle w:val="Heading3"/>
              <w:numPr>
                <w:ilvl w:val="0"/>
                <w:numId w:val="0"/>
              </w:numPr>
              <w:spacing w:after="120"/>
              <w:jc w:val="left"/>
              <w:outlineLvl w:val="2"/>
              <w:rPr>
                <w:szCs w:val="24"/>
              </w:rPr>
            </w:pPr>
            <w:r w:rsidRPr="00C56ABF">
              <w:t>Completion of 2</w:t>
            </w:r>
            <w:r w:rsidRPr="00C56ABF">
              <w:rPr>
                <w:vertAlign w:val="superscript"/>
              </w:rPr>
              <w:t>nd</w:t>
            </w:r>
            <w:r w:rsidRPr="00C56ABF">
              <w:t xml:space="preserve"> Review</w:t>
            </w:r>
          </w:p>
        </w:tc>
        <w:tc>
          <w:tcPr>
            <w:tcW w:w="1622" w:type="pct"/>
            <w:vAlign w:val="center"/>
          </w:tcPr>
          <w:p w14:paraId="0F2F3E63" w14:textId="77777777" w:rsidR="001D1E84" w:rsidRPr="00C56ABF" w:rsidRDefault="001D1E84" w:rsidP="001D1E84">
            <w:pPr>
              <w:pStyle w:val="Heading3"/>
              <w:numPr>
                <w:ilvl w:val="0"/>
                <w:numId w:val="0"/>
              </w:numPr>
              <w:spacing w:after="120"/>
              <w:jc w:val="center"/>
              <w:outlineLvl w:val="2"/>
              <w:rPr>
                <w:szCs w:val="24"/>
              </w:rPr>
            </w:pPr>
            <w:r w:rsidRPr="00C56ABF">
              <w:t>November 2016</w:t>
            </w:r>
          </w:p>
        </w:tc>
      </w:tr>
      <w:tr w:rsidR="001D1E84" w:rsidRPr="00C56ABF" w14:paraId="4A154149" w14:textId="77777777" w:rsidTr="001D1E84">
        <w:tc>
          <w:tcPr>
            <w:tcW w:w="898" w:type="pct"/>
            <w:vAlign w:val="center"/>
          </w:tcPr>
          <w:p w14:paraId="1BBC37EC" w14:textId="77777777" w:rsidR="001D1E84" w:rsidRPr="00C56ABF" w:rsidRDefault="001D1E84" w:rsidP="001D1E84">
            <w:pPr>
              <w:pStyle w:val="Heading3"/>
              <w:numPr>
                <w:ilvl w:val="0"/>
                <w:numId w:val="0"/>
              </w:numPr>
              <w:spacing w:after="120"/>
              <w:jc w:val="center"/>
              <w:outlineLvl w:val="2"/>
              <w:rPr>
                <w:szCs w:val="24"/>
              </w:rPr>
            </w:pPr>
            <w:r w:rsidRPr="00C56ABF">
              <w:t>4</w:t>
            </w:r>
          </w:p>
        </w:tc>
        <w:tc>
          <w:tcPr>
            <w:tcW w:w="2480" w:type="pct"/>
            <w:vAlign w:val="center"/>
          </w:tcPr>
          <w:p w14:paraId="1EBA0817" w14:textId="77777777" w:rsidR="001D1E84" w:rsidRPr="00C56ABF" w:rsidRDefault="001D1E84" w:rsidP="001D1E84">
            <w:pPr>
              <w:pStyle w:val="Heading3"/>
              <w:numPr>
                <w:ilvl w:val="0"/>
                <w:numId w:val="0"/>
              </w:numPr>
              <w:spacing w:after="120"/>
              <w:jc w:val="left"/>
              <w:outlineLvl w:val="2"/>
              <w:rPr>
                <w:szCs w:val="24"/>
              </w:rPr>
            </w:pPr>
            <w:r w:rsidRPr="00C56ABF">
              <w:t>Completion of 3</w:t>
            </w:r>
            <w:r w:rsidRPr="00C56ABF">
              <w:rPr>
                <w:vertAlign w:val="superscript"/>
              </w:rPr>
              <w:t>rd</w:t>
            </w:r>
            <w:r w:rsidRPr="00C56ABF">
              <w:t xml:space="preserve"> Review</w:t>
            </w:r>
          </w:p>
        </w:tc>
        <w:tc>
          <w:tcPr>
            <w:tcW w:w="1622" w:type="pct"/>
            <w:vAlign w:val="center"/>
          </w:tcPr>
          <w:p w14:paraId="61D52C66" w14:textId="77777777" w:rsidR="001D1E84" w:rsidRPr="00C56ABF" w:rsidRDefault="001D1E84" w:rsidP="001D1E84">
            <w:pPr>
              <w:pStyle w:val="Heading3"/>
              <w:numPr>
                <w:ilvl w:val="0"/>
                <w:numId w:val="0"/>
              </w:numPr>
              <w:spacing w:after="120"/>
              <w:jc w:val="center"/>
              <w:outlineLvl w:val="2"/>
              <w:rPr>
                <w:szCs w:val="24"/>
              </w:rPr>
            </w:pPr>
            <w:r w:rsidRPr="00C56ABF">
              <w:t>January 2017</w:t>
            </w:r>
          </w:p>
        </w:tc>
      </w:tr>
      <w:tr w:rsidR="001D1E84" w:rsidRPr="00C56ABF" w14:paraId="4482D106" w14:textId="77777777" w:rsidTr="001D1E84">
        <w:tc>
          <w:tcPr>
            <w:tcW w:w="898" w:type="pct"/>
            <w:vAlign w:val="center"/>
          </w:tcPr>
          <w:p w14:paraId="2C766D81" w14:textId="77777777" w:rsidR="001D1E84" w:rsidRPr="00C56ABF" w:rsidRDefault="001D1E84" w:rsidP="001D1E84">
            <w:pPr>
              <w:pStyle w:val="Heading3"/>
              <w:numPr>
                <w:ilvl w:val="0"/>
                <w:numId w:val="0"/>
              </w:numPr>
              <w:spacing w:after="120"/>
              <w:jc w:val="center"/>
              <w:outlineLvl w:val="2"/>
            </w:pPr>
            <w:r w:rsidRPr="00C56ABF">
              <w:t>5</w:t>
            </w:r>
          </w:p>
        </w:tc>
        <w:tc>
          <w:tcPr>
            <w:tcW w:w="2480" w:type="pct"/>
            <w:vAlign w:val="center"/>
          </w:tcPr>
          <w:p w14:paraId="5653BB7D" w14:textId="77777777" w:rsidR="001D1E84" w:rsidRPr="00C56ABF" w:rsidRDefault="001D1E84" w:rsidP="001D1E84">
            <w:pPr>
              <w:pStyle w:val="Heading3"/>
              <w:numPr>
                <w:ilvl w:val="0"/>
                <w:numId w:val="0"/>
              </w:numPr>
              <w:spacing w:after="120"/>
              <w:jc w:val="left"/>
              <w:outlineLvl w:val="2"/>
            </w:pPr>
            <w:r w:rsidRPr="00C56ABF">
              <w:t>Completion of 4</w:t>
            </w:r>
            <w:r w:rsidRPr="00C56ABF">
              <w:rPr>
                <w:vertAlign w:val="superscript"/>
              </w:rPr>
              <w:t>th</w:t>
            </w:r>
            <w:r w:rsidRPr="00C56ABF">
              <w:t xml:space="preserve"> Review</w:t>
            </w:r>
          </w:p>
        </w:tc>
        <w:tc>
          <w:tcPr>
            <w:tcW w:w="1622" w:type="pct"/>
            <w:vAlign w:val="center"/>
          </w:tcPr>
          <w:p w14:paraId="654C8B24" w14:textId="77777777" w:rsidR="001D1E84" w:rsidRPr="00C56ABF" w:rsidRDefault="001D1E84" w:rsidP="001D1E84">
            <w:pPr>
              <w:pStyle w:val="Heading3"/>
              <w:numPr>
                <w:ilvl w:val="0"/>
                <w:numId w:val="0"/>
              </w:numPr>
              <w:spacing w:after="120"/>
              <w:jc w:val="center"/>
              <w:outlineLvl w:val="2"/>
            </w:pPr>
            <w:r w:rsidRPr="00C56ABF">
              <w:t>March 2017</w:t>
            </w:r>
          </w:p>
        </w:tc>
      </w:tr>
    </w:tbl>
    <w:p w14:paraId="6999B110" w14:textId="77777777" w:rsidR="001D1E84" w:rsidRPr="00C56ABF" w:rsidRDefault="001D1E84" w:rsidP="001D1E84">
      <w:pPr>
        <w:pStyle w:val="Heading2"/>
        <w:numPr>
          <w:ilvl w:val="0"/>
          <w:numId w:val="0"/>
        </w:numPr>
        <w:spacing w:after="120"/>
        <w:ind w:left="709"/>
      </w:pPr>
    </w:p>
    <w:p w14:paraId="482AA381" w14:textId="77777777" w:rsidR="001D1E84" w:rsidRPr="00C56ABF"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06" w:name="_Toc444518873"/>
      <w:bookmarkStart w:id="107" w:name="_Toc368573033"/>
      <w:bookmarkStart w:id="108" w:name="_Toc302637211"/>
      <w:r w:rsidRPr="00C56ABF">
        <w:rPr>
          <w:rFonts w:cs="Arial"/>
          <w:szCs w:val="22"/>
        </w:rPr>
        <w:t>authority’s responsibilities</w:t>
      </w:r>
      <w:bookmarkEnd w:id="106"/>
    </w:p>
    <w:p w14:paraId="26CF6CE6" w14:textId="77777777" w:rsidR="001D1E84" w:rsidRPr="00C56ABF" w:rsidRDefault="001D1E84" w:rsidP="001D1E84">
      <w:pPr>
        <w:pStyle w:val="Heading2"/>
        <w:spacing w:after="120"/>
      </w:pPr>
      <w:r w:rsidRPr="00C56ABF">
        <w:t>The authority will provide all relevant information on CEPP Portfolio, Core Programmes (QEC, LTNG and CN) and Inter-dependencies at the programme introduction and review planning days.</w:t>
      </w:r>
    </w:p>
    <w:p w14:paraId="7E916FA5" w14:textId="77777777" w:rsidR="001D1E84" w:rsidRPr="00C56ABF"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09" w:name="_Toc444518874"/>
      <w:r w:rsidRPr="00C56ABF">
        <w:rPr>
          <w:rFonts w:cs="Arial"/>
          <w:szCs w:val="22"/>
        </w:rPr>
        <w:t>reporting</w:t>
      </w:r>
      <w:bookmarkEnd w:id="107"/>
      <w:bookmarkEnd w:id="109"/>
    </w:p>
    <w:p w14:paraId="2C7500B5" w14:textId="77777777" w:rsidR="001D1E84" w:rsidRPr="00C56ABF" w:rsidRDefault="001D1E84" w:rsidP="001D1E84">
      <w:pPr>
        <w:pStyle w:val="Heading2"/>
        <w:tabs>
          <w:tab w:val="clear" w:pos="720"/>
          <w:tab w:val="num" w:pos="709"/>
        </w:tabs>
        <w:spacing w:after="120"/>
        <w:ind w:left="709" w:hanging="709"/>
      </w:pPr>
      <w:r w:rsidRPr="00C56ABF">
        <w:t>The authority will require 4 review summary reports (one after each review) on the achievability of the selected programme milestone.</w:t>
      </w:r>
    </w:p>
    <w:p w14:paraId="1FA8EBA9" w14:textId="77777777" w:rsidR="001D1E84" w:rsidRPr="00C56ABF"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10" w:name="_Toc368573034"/>
      <w:bookmarkStart w:id="111" w:name="_Toc444518875"/>
      <w:r w:rsidRPr="00C56ABF">
        <w:rPr>
          <w:rFonts w:cs="Arial"/>
          <w:szCs w:val="22"/>
        </w:rPr>
        <w:t>volumes</w:t>
      </w:r>
      <w:bookmarkEnd w:id="110"/>
      <w:bookmarkEnd w:id="111"/>
    </w:p>
    <w:p w14:paraId="2E6565F2" w14:textId="77777777" w:rsidR="001D1E84" w:rsidRPr="00C56ABF" w:rsidRDefault="001D1E84" w:rsidP="001D1E84">
      <w:pPr>
        <w:pStyle w:val="Heading2"/>
        <w:tabs>
          <w:tab w:val="clear" w:pos="720"/>
          <w:tab w:val="num" w:pos="709"/>
        </w:tabs>
        <w:spacing w:after="120"/>
        <w:ind w:left="709" w:hanging="709"/>
      </w:pPr>
      <w:r w:rsidRPr="00C56ABF">
        <w:t>Not Applicable</w:t>
      </w:r>
    </w:p>
    <w:p w14:paraId="0304CD8F" w14:textId="77777777" w:rsidR="001D1E84" w:rsidRPr="00BE6EE0"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12" w:name="_Toc368573035"/>
      <w:bookmarkStart w:id="113" w:name="_Toc444518876"/>
      <w:r w:rsidRPr="00BE6EE0">
        <w:rPr>
          <w:rFonts w:cs="Arial"/>
          <w:szCs w:val="22"/>
        </w:rPr>
        <w:t>continuous improvement</w:t>
      </w:r>
      <w:bookmarkEnd w:id="112"/>
      <w:bookmarkEnd w:id="113"/>
    </w:p>
    <w:p w14:paraId="6A4E95DA" w14:textId="77777777" w:rsidR="001D1E84" w:rsidRDefault="001D1E84" w:rsidP="001D1E84">
      <w:pPr>
        <w:pStyle w:val="Heading2"/>
        <w:tabs>
          <w:tab w:val="clear" w:pos="720"/>
          <w:tab w:val="num" w:pos="709"/>
        </w:tabs>
        <w:spacing w:after="120"/>
        <w:ind w:left="709" w:hanging="709"/>
      </w:pPr>
      <w:r w:rsidRPr="008104E0">
        <w:t xml:space="preserve">The </w:t>
      </w:r>
      <w:r>
        <w:t>Supplier</w:t>
      </w:r>
      <w:r w:rsidRPr="008104E0">
        <w:t xml:space="preserve"> will be expected to continually improve the way in which the required Services are to be delivered throughout the </w:t>
      </w:r>
      <w:r>
        <w:t xml:space="preserve">Contract </w:t>
      </w:r>
      <w:r w:rsidRPr="008104E0">
        <w:t>duration.</w:t>
      </w:r>
    </w:p>
    <w:p w14:paraId="63D7C129" w14:textId="77777777" w:rsidR="001D1E84" w:rsidRDefault="001D1E84" w:rsidP="001D1E84">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671A2120" w14:textId="77777777" w:rsidR="001D1E84" w:rsidRDefault="001D1E84" w:rsidP="001D1E84">
      <w:pPr>
        <w:pStyle w:val="Heading1"/>
        <w:spacing w:after="120"/>
      </w:pPr>
      <w:bookmarkStart w:id="114" w:name="_Toc444518877"/>
      <w:r>
        <w:t>Sustainability</w:t>
      </w:r>
      <w:bookmarkEnd w:id="114"/>
    </w:p>
    <w:p w14:paraId="7075C3A8" w14:textId="77777777" w:rsidR="001D1E84" w:rsidRPr="00C56ABF" w:rsidRDefault="001D1E84" w:rsidP="001D1E84">
      <w:pPr>
        <w:pStyle w:val="Heading2"/>
        <w:spacing w:after="120"/>
      </w:pPr>
      <w:r w:rsidRPr="00C56ABF">
        <w:t>Not Applicable</w:t>
      </w:r>
    </w:p>
    <w:p w14:paraId="70DFE79C" w14:textId="77777777" w:rsidR="001D1E84" w:rsidRPr="00517FEF"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15" w:name="_Toc368573036"/>
      <w:bookmarkStart w:id="116" w:name="_Toc444518878"/>
      <w:r w:rsidRPr="00517FEF">
        <w:rPr>
          <w:rFonts w:cs="Arial"/>
          <w:szCs w:val="22"/>
        </w:rPr>
        <w:t>quality</w:t>
      </w:r>
      <w:bookmarkEnd w:id="115"/>
      <w:bookmarkEnd w:id="116"/>
    </w:p>
    <w:p w14:paraId="58C534F2" w14:textId="77777777" w:rsidR="001D1E84" w:rsidRPr="00C56ABF" w:rsidRDefault="001D1E84" w:rsidP="001D1E84">
      <w:pPr>
        <w:pStyle w:val="Heading2"/>
        <w:tabs>
          <w:tab w:val="clear" w:pos="720"/>
          <w:tab w:val="num" w:pos="709"/>
        </w:tabs>
        <w:spacing w:after="120"/>
        <w:ind w:left="709" w:hanging="709"/>
      </w:pPr>
      <w:r w:rsidRPr="00C56ABF">
        <w:t>Not Applicable</w:t>
      </w:r>
    </w:p>
    <w:p w14:paraId="208D09B3" w14:textId="77777777" w:rsidR="001D1E84" w:rsidRPr="00BE6EE0"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17" w:name="_Toc368573037"/>
      <w:bookmarkStart w:id="118" w:name="_Toc444518879"/>
      <w:r w:rsidRPr="00BE6EE0">
        <w:rPr>
          <w:rFonts w:cs="Arial"/>
          <w:szCs w:val="22"/>
        </w:rPr>
        <w:t>PRICE</w:t>
      </w:r>
      <w:bookmarkEnd w:id="117"/>
      <w:bookmarkEnd w:id="118"/>
    </w:p>
    <w:p w14:paraId="5DB9CD13" w14:textId="77777777" w:rsidR="001D1E84" w:rsidRDefault="001D1E84" w:rsidP="001D1E84">
      <w:pPr>
        <w:pStyle w:val="Heading2"/>
        <w:tabs>
          <w:tab w:val="clear" w:pos="720"/>
          <w:tab w:val="num" w:pos="709"/>
        </w:tabs>
        <w:spacing w:after="120"/>
        <w:ind w:left="709" w:hanging="709"/>
      </w:pPr>
      <w:r>
        <w:t xml:space="preserve">Prices are to be submitted </w:t>
      </w:r>
      <w:r w:rsidRPr="00C56ABF">
        <w:t>via the e-Sourcing Suite Appendix E</w:t>
      </w:r>
      <w:r>
        <w:t>, excluding VAT.</w:t>
      </w:r>
    </w:p>
    <w:p w14:paraId="3BFD42D2" w14:textId="77777777" w:rsidR="001D1E84" w:rsidRPr="00BE6EE0"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19" w:name="_Toc368573038"/>
      <w:bookmarkStart w:id="120" w:name="_Toc444518880"/>
      <w:r w:rsidRPr="00BE6EE0">
        <w:rPr>
          <w:rFonts w:cs="Arial"/>
          <w:szCs w:val="22"/>
        </w:rPr>
        <w:lastRenderedPageBreak/>
        <w:t>STAFF AND CUSTOMER SERVICE</w:t>
      </w:r>
      <w:bookmarkEnd w:id="119"/>
      <w:bookmarkEnd w:id="120"/>
    </w:p>
    <w:p w14:paraId="7DF941DC" w14:textId="77777777" w:rsidR="001D1E84" w:rsidRDefault="001D1E84" w:rsidP="001D1E84">
      <w:pPr>
        <w:pStyle w:val="Heading2"/>
        <w:tabs>
          <w:tab w:val="clear" w:pos="720"/>
          <w:tab w:val="num" w:pos="709"/>
        </w:tabs>
        <w:spacing w:after="120"/>
        <w:ind w:left="709" w:hanging="709"/>
      </w:pPr>
      <w:r>
        <w:t>T</w:t>
      </w:r>
      <w:r w:rsidRPr="002E7082">
        <w:t>he</w:t>
      </w:r>
      <w:r>
        <w:t xml:space="preserve"> </w:t>
      </w:r>
      <w:r w:rsidRPr="002E7082">
        <w:t>Authority requires the Potential Provider to</w:t>
      </w:r>
      <w:r>
        <w:t xml:space="preserve"> provide a sufficient level of resource throughout </w:t>
      </w:r>
      <w:r w:rsidRPr="00C56ABF">
        <w:t xml:space="preserve">the duration of the Provision of Consultancy for </w:t>
      </w:r>
      <w:r>
        <w:t xml:space="preserve">the </w:t>
      </w:r>
      <w:r w:rsidRPr="00C56ABF">
        <w:t xml:space="preserve">Carrier Enabled Power Projection </w:t>
      </w:r>
      <w:r>
        <w:t xml:space="preserve">Programme </w:t>
      </w:r>
      <w:r w:rsidRPr="00C56ABF">
        <w:t xml:space="preserve">(CEPP) </w:t>
      </w:r>
      <w:r>
        <w:t>Contract in order to consistently deliver a quality service to all Parties.</w:t>
      </w:r>
    </w:p>
    <w:p w14:paraId="5E609160" w14:textId="77777777" w:rsidR="001D1E84" w:rsidRDefault="001D1E84" w:rsidP="001D1E84">
      <w:pPr>
        <w:pStyle w:val="Heading2"/>
        <w:tabs>
          <w:tab w:val="clear" w:pos="720"/>
          <w:tab w:val="num" w:pos="709"/>
        </w:tabs>
        <w:spacing w:after="120"/>
        <w:ind w:left="709" w:hanging="709"/>
      </w:pPr>
      <w:r>
        <w:t>Potential Provider’s staff assigned to the Provision of Consultancy for the Carrier Enabled Power Projection Programme (CEPP) 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39B604D7" w14:textId="77777777" w:rsidR="001D1E84" w:rsidRDefault="001D1E84" w:rsidP="001D1E84">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sion and objectives and will provide</w:t>
      </w:r>
      <w:r w:rsidRPr="002E7082">
        <w:t xml:space="preserve"> excellent customer service to the Authority throughout </w:t>
      </w:r>
      <w:r>
        <w:t>the duration of the Contract.</w:t>
      </w:r>
      <w:r w:rsidRPr="002E7082">
        <w:t xml:space="preserve"> </w:t>
      </w:r>
      <w:r>
        <w:t xml:space="preserve"> </w:t>
      </w:r>
    </w:p>
    <w:p w14:paraId="16E47457" w14:textId="77777777" w:rsidR="001D1E84"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21" w:name="_Toc368573039"/>
      <w:bookmarkStart w:id="122" w:name="_Toc444518881"/>
      <w:r w:rsidRPr="004E1D36">
        <w:rPr>
          <w:rFonts w:cs="Arial"/>
          <w:szCs w:val="22"/>
        </w:rPr>
        <w:t>service levels a</w:t>
      </w:r>
      <w:r>
        <w:rPr>
          <w:rFonts w:cs="Arial"/>
          <w:szCs w:val="22"/>
        </w:rPr>
        <w:t>nd performance</w:t>
      </w:r>
      <w:bookmarkEnd w:id="121"/>
      <w:bookmarkEnd w:id="122"/>
    </w:p>
    <w:p w14:paraId="554FE4FA" w14:textId="77777777" w:rsidR="001D1E84" w:rsidRDefault="001D1E84" w:rsidP="001D1E84">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75102D93" w14:textId="77777777" w:rsidR="001D1E84" w:rsidRPr="00C56ABF" w:rsidRDefault="001D1E84" w:rsidP="001D1E84">
      <w:pPr>
        <w:pStyle w:val="Heading3"/>
        <w:tabs>
          <w:tab w:val="clear" w:pos="1800"/>
          <w:tab w:val="num" w:pos="1418"/>
        </w:tabs>
        <w:spacing w:after="120"/>
        <w:ind w:left="1418" w:hanging="698"/>
      </w:pPr>
      <w:r w:rsidRPr="00C56ABF">
        <w:t>The Provider will be expected to provide the service by March 2017 and four reviews to be undertaken in September 2017, November 2016, January 2017 and March 2017.</w:t>
      </w:r>
    </w:p>
    <w:tbl>
      <w:tblPr>
        <w:tblStyle w:val="TableGrid"/>
        <w:tblW w:w="0" w:type="auto"/>
        <w:tblInd w:w="720" w:type="dxa"/>
        <w:tblLook w:val="04A0" w:firstRow="1" w:lastRow="0" w:firstColumn="1" w:lastColumn="0" w:noHBand="0" w:noVBand="1"/>
      </w:tblPr>
      <w:tblGrid>
        <w:gridCol w:w="1048"/>
        <w:gridCol w:w="1771"/>
        <w:gridCol w:w="3827"/>
        <w:gridCol w:w="1653"/>
      </w:tblGrid>
      <w:tr w:rsidR="001D1E84" w14:paraId="16ED6B89" w14:textId="77777777" w:rsidTr="001D1E84">
        <w:tc>
          <w:tcPr>
            <w:tcW w:w="1048" w:type="dxa"/>
            <w:shd w:val="clear" w:color="auto" w:fill="DBE5F1" w:themeFill="accent1" w:themeFillTint="33"/>
          </w:tcPr>
          <w:p w14:paraId="08B149AE" w14:textId="77777777" w:rsidR="001D1E84" w:rsidRDefault="001D1E84" w:rsidP="001D1E84">
            <w:pPr>
              <w:pStyle w:val="Heading2"/>
              <w:numPr>
                <w:ilvl w:val="0"/>
                <w:numId w:val="0"/>
              </w:numPr>
              <w:jc w:val="center"/>
              <w:outlineLvl w:val="1"/>
            </w:pPr>
            <w:r>
              <w:t>KPI/SLA</w:t>
            </w:r>
          </w:p>
        </w:tc>
        <w:tc>
          <w:tcPr>
            <w:tcW w:w="1771" w:type="dxa"/>
            <w:shd w:val="clear" w:color="auto" w:fill="DBE5F1" w:themeFill="accent1" w:themeFillTint="33"/>
          </w:tcPr>
          <w:p w14:paraId="146453A2" w14:textId="77777777" w:rsidR="001D1E84" w:rsidRDefault="001D1E84" w:rsidP="001D1E84">
            <w:pPr>
              <w:pStyle w:val="Heading2"/>
              <w:numPr>
                <w:ilvl w:val="0"/>
                <w:numId w:val="0"/>
              </w:numPr>
              <w:jc w:val="center"/>
              <w:outlineLvl w:val="1"/>
            </w:pPr>
            <w:r>
              <w:t>Service Area</w:t>
            </w:r>
          </w:p>
        </w:tc>
        <w:tc>
          <w:tcPr>
            <w:tcW w:w="3827" w:type="dxa"/>
            <w:shd w:val="clear" w:color="auto" w:fill="DBE5F1" w:themeFill="accent1" w:themeFillTint="33"/>
          </w:tcPr>
          <w:p w14:paraId="67E922E6" w14:textId="77777777" w:rsidR="001D1E84" w:rsidRDefault="001D1E84" w:rsidP="001D1E84">
            <w:pPr>
              <w:pStyle w:val="Heading2"/>
              <w:numPr>
                <w:ilvl w:val="0"/>
                <w:numId w:val="0"/>
              </w:numPr>
              <w:jc w:val="center"/>
              <w:outlineLvl w:val="1"/>
            </w:pPr>
            <w:r>
              <w:t>KPI/SLA description</w:t>
            </w:r>
          </w:p>
        </w:tc>
        <w:tc>
          <w:tcPr>
            <w:tcW w:w="1653" w:type="dxa"/>
            <w:shd w:val="clear" w:color="auto" w:fill="DBE5F1" w:themeFill="accent1" w:themeFillTint="33"/>
          </w:tcPr>
          <w:p w14:paraId="75ECC278" w14:textId="77777777" w:rsidR="001D1E84" w:rsidRDefault="001D1E84" w:rsidP="001D1E84">
            <w:pPr>
              <w:pStyle w:val="Heading2"/>
              <w:numPr>
                <w:ilvl w:val="0"/>
                <w:numId w:val="0"/>
              </w:numPr>
              <w:jc w:val="center"/>
              <w:outlineLvl w:val="1"/>
            </w:pPr>
            <w:r>
              <w:t>Target</w:t>
            </w:r>
          </w:p>
        </w:tc>
      </w:tr>
      <w:tr w:rsidR="001D1E84" w14:paraId="24E3CA6A" w14:textId="77777777" w:rsidTr="001D1E84">
        <w:tc>
          <w:tcPr>
            <w:tcW w:w="1048" w:type="dxa"/>
          </w:tcPr>
          <w:p w14:paraId="2D4316A6" w14:textId="77777777" w:rsidR="001D1E84" w:rsidRDefault="001D1E84" w:rsidP="001D1E84">
            <w:pPr>
              <w:pStyle w:val="Heading2"/>
              <w:numPr>
                <w:ilvl w:val="0"/>
                <w:numId w:val="0"/>
              </w:numPr>
              <w:jc w:val="center"/>
              <w:outlineLvl w:val="1"/>
            </w:pPr>
            <w:r>
              <w:t>#1</w:t>
            </w:r>
          </w:p>
        </w:tc>
        <w:tc>
          <w:tcPr>
            <w:tcW w:w="1771" w:type="dxa"/>
          </w:tcPr>
          <w:p w14:paraId="01C8BAC5" w14:textId="77777777" w:rsidR="001D1E84" w:rsidRDefault="001D1E84" w:rsidP="001D1E84">
            <w:pPr>
              <w:pStyle w:val="Heading2"/>
              <w:numPr>
                <w:ilvl w:val="0"/>
                <w:numId w:val="0"/>
              </w:numPr>
              <w:jc w:val="left"/>
              <w:outlineLvl w:val="1"/>
            </w:pPr>
            <w:r>
              <w:t>1</w:t>
            </w:r>
            <w:r w:rsidRPr="00C56ABF">
              <w:rPr>
                <w:vertAlign w:val="superscript"/>
              </w:rPr>
              <w:t>st</w:t>
            </w:r>
            <w:r>
              <w:t xml:space="preserve"> Review</w:t>
            </w:r>
          </w:p>
        </w:tc>
        <w:tc>
          <w:tcPr>
            <w:tcW w:w="3827" w:type="dxa"/>
          </w:tcPr>
          <w:p w14:paraId="0CB1D097" w14:textId="77777777" w:rsidR="001D1E84" w:rsidRDefault="001D1E84" w:rsidP="001D1E84">
            <w:pPr>
              <w:pStyle w:val="Heading2"/>
              <w:numPr>
                <w:ilvl w:val="0"/>
                <w:numId w:val="0"/>
              </w:numPr>
              <w:jc w:val="left"/>
              <w:outlineLvl w:val="1"/>
            </w:pPr>
            <w:r>
              <w:t>The review will consist of 1 planning day, 1 day for review and for a summary review report to be submitted to the authority within 10 days of review completion.</w:t>
            </w:r>
          </w:p>
        </w:tc>
        <w:tc>
          <w:tcPr>
            <w:tcW w:w="1653" w:type="dxa"/>
          </w:tcPr>
          <w:p w14:paraId="1C9BED1A" w14:textId="77777777" w:rsidR="001D1E84" w:rsidRDefault="001D1E84" w:rsidP="001D1E84">
            <w:pPr>
              <w:pStyle w:val="Heading2"/>
              <w:numPr>
                <w:ilvl w:val="0"/>
                <w:numId w:val="0"/>
              </w:numPr>
              <w:outlineLvl w:val="1"/>
            </w:pPr>
            <w:r>
              <w:t>100%</w:t>
            </w:r>
          </w:p>
        </w:tc>
      </w:tr>
      <w:tr w:rsidR="001D1E84" w14:paraId="7EC2FA65" w14:textId="77777777" w:rsidTr="001D1E84">
        <w:tc>
          <w:tcPr>
            <w:tcW w:w="1048" w:type="dxa"/>
          </w:tcPr>
          <w:p w14:paraId="51D91624" w14:textId="77777777" w:rsidR="001D1E84" w:rsidRDefault="001D1E84" w:rsidP="001D1E84">
            <w:pPr>
              <w:pStyle w:val="Heading2"/>
              <w:numPr>
                <w:ilvl w:val="0"/>
                <w:numId w:val="0"/>
              </w:numPr>
              <w:jc w:val="center"/>
              <w:outlineLvl w:val="1"/>
            </w:pPr>
            <w:r>
              <w:t>#2</w:t>
            </w:r>
          </w:p>
        </w:tc>
        <w:tc>
          <w:tcPr>
            <w:tcW w:w="1771" w:type="dxa"/>
          </w:tcPr>
          <w:p w14:paraId="10334C2B" w14:textId="77777777" w:rsidR="001D1E84" w:rsidRDefault="001D1E84" w:rsidP="001D1E84">
            <w:pPr>
              <w:pStyle w:val="Heading2"/>
              <w:numPr>
                <w:ilvl w:val="0"/>
                <w:numId w:val="0"/>
              </w:numPr>
              <w:outlineLvl w:val="1"/>
            </w:pPr>
            <w:r>
              <w:t>2</w:t>
            </w:r>
            <w:r w:rsidRPr="00C56ABF">
              <w:rPr>
                <w:vertAlign w:val="superscript"/>
              </w:rPr>
              <w:t>nd</w:t>
            </w:r>
            <w:r>
              <w:t xml:space="preserve"> Review</w:t>
            </w:r>
          </w:p>
        </w:tc>
        <w:tc>
          <w:tcPr>
            <w:tcW w:w="3827" w:type="dxa"/>
          </w:tcPr>
          <w:p w14:paraId="1AFDCAC4" w14:textId="77777777" w:rsidR="001D1E84" w:rsidRDefault="001D1E84" w:rsidP="001D1E84">
            <w:pPr>
              <w:pStyle w:val="Heading2"/>
              <w:numPr>
                <w:ilvl w:val="0"/>
                <w:numId w:val="0"/>
              </w:numPr>
              <w:outlineLvl w:val="1"/>
            </w:pPr>
            <w:r>
              <w:t>The review will consist of 1 planning day, 1 day for review and for a summary review report to be submitted to the authority within 10 days of review completion.</w:t>
            </w:r>
          </w:p>
        </w:tc>
        <w:tc>
          <w:tcPr>
            <w:tcW w:w="1653" w:type="dxa"/>
          </w:tcPr>
          <w:p w14:paraId="15587D13" w14:textId="77777777" w:rsidR="001D1E84" w:rsidRDefault="001D1E84" w:rsidP="001D1E84">
            <w:pPr>
              <w:pStyle w:val="Heading2"/>
              <w:numPr>
                <w:ilvl w:val="0"/>
                <w:numId w:val="0"/>
              </w:numPr>
              <w:outlineLvl w:val="1"/>
            </w:pPr>
            <w:r>
              <w:t>100%</w:t>
            </w:r>
          </w:p>
        </w:tc>
      </w:tr>
      <w:tr w:rsidR="001D1E84" w14:paraId="430A2EBD" w14:textId="77777777" w:rsidTr="001D1E84">
        <w:tc>
          <w:tcPr>
            <w:tcW w:w="1048" w:type="dxa"/>
          </w:tcPr>
          <w:p w14:paraId="190CF33F" w14:textId="77777777" w:rsidR="001D1E84" w:rsidRDefault="001D1E84" w:rsidP="001D1E84">
            <w:pPr>
              <w:pStyle w:val="Heading2"/>
              <w:numPr>
                <w:ilvl w:val="0"/>
                <w:numId w:val="0"/>
              </w:numPr>
              <w:jc w:val="center"/>
              <w:outlineLvl w:val="1"/>
            </w:pPr>
            <w:r>
              <w:t>#3</w:t>
            </w:r>
          </w:p>
        </w:tc>
        <w:tc>
          <w:tcPr>
            <w:tcW w:w="1771" w:type="dxa"/>
          </w:tcPr>
          <w:p w14:paraId="20DC89C9" w14:textId="77777777" w:rsidR="001D1E84" w:rsidRDefault="001D1E84" w:rsidP="001D1E84">
            <w:pPr>
              <w:pStyle w:val="Heading2"/>
              <w:numPr>
                <w:ilvl w:val="0"/>
                <w:numId w:val="0"/>
              </w:numPr>
              <w:outlineLvl w:val="1"/>
            </w:pPr>
            <w:r>
              <w:t>3</w:t>
            </w:r>
            <w:r w:rsidRPr="00C56ABF">
              <w:rPr>
                <w:vertAlign w:val="superscript"/>
              </w:rPr>
              <w:t>rd</w:t>
            </w:r>
            <w:r>
              <w:t xml:space="preserve"> Review</w:t>
            </w:r>
          </w:p>
        </w:tc>
        <w:tc>
          <w:tcPr>
            <w:tcW w:w="3827" w:type="dxa"/>
          </w:tcPr>
          <w:p w14:paraId="479EABF3" w14:textId="77777777" w:rsidR="001D1E84" w:rsidRDefault="001D1E84" w:rsidP="001D1E84">
            <w:pPr>
              <w:pStyle w:val="Heading2"/>
              <w:numPr>
                <w:ilvl w:val="0"/>
                <w:numId w:val="0"/>
              </w:numPr>
              <w:outlineLvl w:val="1"/>
            </w:pPr>
            <w:r>
              <w:t>The review will consist of 1 planning day, 1 day for review and for a summary review report to be submitted to the authority within 10 days of review completion.</w:t>
            </w:r>
          </w:p>
        </w:tc>
        <w:tc>
          <w:tcPr>
            <w:tcW w:w="1653" w:type="dxa"/>
          </w:tcPr>
          <w:p w14:paraId="2D377181" w14:textId="77777777" w:rsidR="001D1E84" w:rsidRDefault="001D1E84" w:rsidP="001D1E84">
            <w:pPr>
              <w:pStyle w:val="Heading2"/>
              <w:numPr>
                <w:ilvl w:val="0"/>
                <w:numId w:val="0"/>
              </w:numPr>
              <w:outlineLvl w:val="1"/>
            </w:pPr>
            <w:r>
              <w:t>100%</w:t>
            </w:r>
          </w:p>
        </w:tc>
      </w:tr>
      <w:tr w:rsidR="001D1E84" w14:paraId="4CEA33D5" w14:textId="77777777" w:rsidTr="001D1E84">
        <w:tc>
          <w:tcPr>
            <w:tcW w:w="1048" w:type="dxa"/>
          </w:tcPr>
          <w:p w14:paraId="78AFF06F" w14:textId="77777777" w:rsidR="001D1E84" w:rsidRDefault="001D1E84" w:rsidP="001D1E84">
            <w:pPr>
              <w:pStyle w:val="Heading2"/>
              <w:numPr>
                <w:ilvl w:val="0"/>
                <w:numId w:val="0"/>
              </w:numPr>
              <w:jc w:val="center"/>
              <w:outlineLvl w:val="1"/>
            </w:pPr>
            <w:r>
              <w:t>#4</w:t>
            </w:r>
          </w:p>
        </w:tc>
        <w:tc>
          <w:tcPr>
            <w:tcW w:w="1771" w:type="dxa"/>
          </w:tcPr>
          <w:p w14:paraId="10A7C21F" w14:textId="77777777" w:rsidR="001D1E84" w:rsidRDefault="001D1E84" w:rsidP="001D1E84">
            <w:pPr>
              <w:pStyle w:val="Heading2"/>
              <w:numPr>
                <w:ilvl w:val="0"/>
                <w:numId w:val="0"/>
              </w:numPr>
              <w:outlineLvl w:val="1"/>
            </w:pPr>
            <w:r>
              <w:t>4</w:t>
            </w:r>
            <w:r w:rsidRPr="00C56ABF">
              <w:rPr>
                <w:vertAlign w:val="superscript"/>
              </w:rPr>
              <w:t>th</w:t>
            </w:r>
            <w:r>
              <w:t xml:space="preserve"> Review</w:t>
            </w:r>
          </w:p>
        </w:tc>
        <w:tc>
          <w:tcPr>
            <w:tcW w:w="3827" w:type="dxa"/>
          </w:tcPr>
          <w:p w14:paraId="0ECED30A" w14:textId="77777777" w:rsidR="001D1E84" w:rsidRDefault="001D1E84" w:rsidP="001D1E84">
            <w:pPr>
              <w:pStyle w:val="Heading2"/>
              <w:numPr>
                <w:ilvl w:val="0"/>
                <w:numId w:val="0"/>
              </w:numPr>
              <w:outlineLvl w:val="1"/>
            </w:pPr>
            <w:r>
              <w:t>The review will consist of 1 planning day, 1 day for review and for a summary review report to be submitted to the authority within 10 days of review completion.</w:t>
            </w:r>
          </w:p>
        </w:tc>
        <w:tc>
          <w:tcPr>
            <w:tcW w:w="1653" w:type="dxa"/>
          </w:tcPr>
          <w:p w14:paraId="2F82EDD1" w14:textId="77777777" w:rsidR="001D1E84" w:rsidRDefault="001D1E84" w:rsidP="001D1E84">
            <w:pPr>
              <w:pStyle w:val="Heading2"/>
              <w:numPr>
                <w:ilvl w:val="0"/>
                <w:numId w:val="0"/>
              </w:numPr>
              <w:outlineLvl w:val="1"/>
            </w:pPr>
            <w:r>
              <w:t>100%</w:t>
            </w:r>
          </w:p>
        </w:tc>
      </w:tr>
    </w:tbl>
    <w:p w14:paraId="4FD3421A" w14:textId="77777777" w:rsidR="001D1E84" w:rsidRDefault="001D1E84" w:rsidP="001D1E84">
      <w:pPr>
        <w:pStyle w:val="Heading2"/>
        <w:numPr>
          <w:ilvl w:val="0"/>
          <w:numId w:val="0"/>
        </w:numPr>
        <w:ind w:left="720"/>
      </w:pPr>
    </w:p>
    <w:p w14:paraId="769BC379" w14:textId="77777777" w:rsidR="001D1E84" w:rsidRDefault="001D1E84" w:rsidP="001D1E84">
      <w:pPr>
        <w:pStyle w:val="Heading1"/>
        <w:spacing w:after="120"/>
      </w:pPr>
      <w:bookmarkStart w:id="123" w:name="_Toc368573040"/>
      <w:bookmarkStart w:id="124" w:name="_Toc444518882"/>
      <w:r>
        <w:t>Security requirements</w:t>
      </w:r>
      <w:bookmarkEnd w:id="123"/>
      <w:bookmarkEnd w:id="124"/>
    </w:p>
    <w:p w14:paraId="50A6E59A" w14:textId="77777777" w:rsidR="001D1E84" w:rsidRPr="00C56ABF" w:rsidRDefault="001D1E84" w:rsidP="001D1E84">
      <w:pPr>
        <w:pStyle w:val="Heading2"/>
        <w:tabs>
          <w:tab w:val="clear" w:pos="720"/>
          <w:tab w:val="num" w:pos="709"/>
        </w:tabs>
        <w:spacing w:after="120"/>
        <w:ind w:left="709" w:hanging="709"/>
      </w:pPr>
      <w:r w:rsidRPr="00C56ABF">
        <w:t>Reviews will be held at Official Sensitive Level – it is considered essential that Contractor staff are already cleared to SC level in order to provide an expedient level of service.</w:t>
      </w:r>
    </w:p>
    <w:p w14:paraId="2DC32D79" w14:textId="77777777" w:rsidR="001D1E84" w:rsidRPr="00C56ABF"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25" w:name="_Toc368573041"/>
      <w:bookmarkStart w:id="126" w:name="_Toc444518883"/>
      <w:r w:rsidRPr="00C56ABF">
        <w:rPr>
          <w:rFonts w:cs="Arial"/>
          <w:szCs w:val="22"/>
        </w:rPr>
        <w:lastRenderedPageBreak/>
        <w:t>intellectual property rights (ipr)</w:t>
      </w:r>
      <w:bookmarkEnd w:id="125"/>
      <w:bookmarkEnd w:id="126"/>
    </w:p>
    <w:p w14:paraId="33B43D58" w14:textId="77777777" w:rsidR="001D1E84" w:rsidRPr="00C56ABF" w:rsidRDefault="001D1E84" w:rsidP="001D1E84">
      <w:pPr>
        <w:pStyle w:val="Heading2"/>
        <w:rPr>
          <w:rFonts w:cs="Arial"/>
          <w:szCs w:val="22"/>
        </w:rPr>
      </w:pPr>
      <w:r>
        <w:t xml:space="preserve">Section 10 of the Contract Terms and Conditions shall apply. </w:t>
      </w:r>
    </w:p>
    <w:p w14:paraId="24A23043" w14:textId="77777777" w:rsidR="001D1E84" w:rsidRPr="00C56ABF"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27" w:name="_Toc444518884"/>
      <w:bookmarkStart w:id="128" w:name="_Toc368573042"/>
      <w:r w:rsidRPr="00C56ABF">
        <w:rPr>
          <w:rFonts w:cs="Arial"/>
          <w:szCs w:val="22"/>
        </w:rPr>
        <w:t>payment</w:t>
      </w:r>
      <w:bookmarkEnd w:id="127"/>
    </w:p>
    <w:p w14:paraId="7D224544" w14:textId="77777777" w:rsidR="001D1E84" w:rsidRPr="00C56ABF" w:rsidRDefault="001D1E84" w:rsidP="001D1E84">
      <w:pPr>
        <w:pStyle w:val="Heading2"/>
        <w:spacing w:after="120"/>
        <w:rPr>
          <w:szCs w:val="22"/>
        </w:rPr>
      </w:pPr>
      <w:r w:rsidRPr="00C56ABF">
        <w:rPr>
          <w:rFonts w:cs="Arial"/>
          <w:color w:val="000000"/>
          <w:szCs w:val="22"/>
          <w:shd w:val="clear" w:color="auto" w:fill="FFFFFF"/>
        </w:rPr>
        <w:t xml:space="preserve">Payment can only be made following satisfactory delivery of pre-agreed certified products and deliverables. </w:t>
      </w:r>
    </w:p>
    <w:p w14:paraId="26C8341F" w14:textId="77777777" w:rsidR="001D1E84" w:rsidRPr="00C56ABF" w:rsidRDefault="001D1E84" w:rsidP="001D1E84">
      <w:pPr>
        <w:pStyle w:val="Heading2"/>
        <w:spacing w:after="120"/>
        <w:rPr>
          <w:szCs w:val="22"/>
        </w:rPr>
      </w:pPr>
      <w:r w:rsidRPr="00C56ABF">
        <w:rPr>
          <w:rFonts w:cs="Arial"/>
          <w:color w:val="000000"/>
          <w:szCs w:val="22"/>
          <w:shd w:val="clear" w:color="auto" w:fill="FFFFFF"/>
        </w:rPr>
        <w:t xml:space="preserve">Before payment can be considered, each invoice must include a detailed elemental breakdown of work completed and the associated costs. </w:t>
      </w:r>
    </w:p>
    <w:p w14:paraId="69844AD2" w14:textId="77777777" w:rsidR="001D1E84" w:rsidRDefault="001D1E84" w:rsidP="001D1E84">
      <w:pPr>
        <w:pStyle w:val="Heading1"/>
        <w:tabs>
          <w:tab w:val="clear" w:pos="720"/>
          <w:tab w:val="num" w:pos="0"/>
        </w:tabs>
        <w:overflowPunct w:val="0"/>
        <w:autoSpaceDE w:val="0"/>
        <w:autoSpaceDN w:val="0"/>
        <w:spacing w:after="120"/>
        <w:ind w:left="709" w:hanging="709"/>
        <w:textAlignment w:val="baseline"/>
        <w:rPr>
          <w:rFonts w:cs="Arial"/>
          <w:szCs w:val="22"/>
        </w:rPr>
      </w:pPr>
      <w:bookmarkStart w:id="129" w:name="_Toc444518885"/>
      <w:r>
        <w:rPr>
          <w:rFonts w:cs="Arial"/>
          <w:szCs w:val="22"/>
        </w:rPr>
        <w:t>additional information</w:t>
      </w:r>
      <w:bookmarkEnd w:id="128"/>
      <w:bookmarkEnd w:id="129"/>
      <w:r>
        <w:rPr>
          <w:rFonts w:cs="Arial"/>
          <w:szCs w:val="22"/>
        </w:rPr>
        <w:t xml:space="preserve"> </w:t>
      </w:r>
    </w:p>
    <w:p w14:paraId="13375806" w14:textId="77777777" w:rsidR="001D1E84" w:rsidRPr="00C56ABF" w:rsidRDefault="001D1E84" w:rsidP="001D1E84">
      <w:pPr>
        <w:pStyle w:val="Heading2"/>
        <w:tabs>
          <w:tab w:val="clear" w:pos="720"/>
          <w:tab w:val="num" w:pos="709"/>
        </w:tabs>
        <w:spacing w:after="120"/>
        <w:ind w:left="709" w:hanging="709"/>
      </w:pPr>
      <w:r w:rsidRPr="00C56ABF">
        <w:t>Not Applicable</w:t>
      </w:r>
    </w:p>
    <w:p w14:paraId="4D3889B6" w14:textId="77777777" w:rsidR="001D1E84" w:rsidRDefault="001D1E84" w:rsidP="001D1E84">
      <w:pPr>
        <w:pStyle w:val="Heading1"/>
        <w:spacing w:after="120"/>
      </w:pPr>
      <w:bookmarkStart w:id="130" w:name="_Toc368573043"/>
      <w:bookmarkStart w:id="131" w:name="_Toc444518886"/>
      <w:bookmarkEnd w:id="108"/>
      <w:r>
        <w:t>Location</w:t>
      </w:r>
      <w:bookmarkEnd w:id="130"/>
      <w:bookmarkEnd w:id="131"/>
      <w:r>
        <w:t xml:space="preserve"> </w:t>
      </w:r>
    </w:p>
    <w:p w14:paraId="0D07F96A" w14:textId="77777777" w:rsidR="001D1E84" w:rsidRDefault="001D1E84" w:rsidP="001D1E84">
      <w:pPr>
        <w:pStyle w:val="Heading2"/>
        <w:tabs>
          <w:tab w:val="clear" w:pos="720"/>
          <w:tab w:val="num" w:pos="709"/>
        </w:tabs>
        <w:spacing w:after="120"/>
        <w:ind w:left="709" w:hanging="709"/>
      </w:pPr>
      <w:r>
        <w:t>The base location of the Services will be carried out at:</w:t>
      </w:r>
    </w:p>
    <w:p w14:paraId="05F81960" w14:textId="77777777" w:rsidR="001D1E84" w:rsidRPr="00C73886" w:rsidRDefault="001D1E84" w:rsidP="001D1E84">
      <w:pPr>
        <w:pStyle w:val="Heading2"/>
        <w:tabs>
          <w:tab w:val="clear" w:pos="720"/>
          <w:tab w:val="num" w:pos="709"/>
        </w:tabs>
        <w:spacing w:after="120"/>
        <w:ind w:left="709" w:hanging="709"/>
      </w:pPr>
      <w:r w:rsidRPr="007173DF">
        <w:t>Carrier Enabled Power Projection</w:t>
      </w:r>
      <w:r w:rsidRPr="00C73886">
        <w:t>, Ministry of Defence, Main Building, Whitehall, London SW1A 2HB.</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32" w:name="_Toc444688624"/>
      <w:r w:rsidRPr="001167A3">
        <w:rPr>
          <w:rFonts w:eastAsia="Times New Roman"/>
          <w:b/>
          <w:szCs w:val="22"/>
          <w:lang w:eastAsia="en-US"/>
        </w:rPr>
        <w:lastRenderedPageBreak/>
        <w:t>ANNEX 4 – SUPPLIERS RESPONSE</w:t>
      </w:r>
      <w:bookmarkEnd w:id="132"/>
    </w:p>
    <w:p w14:paraId="73923883" w14:textId="4B8EE7BC" w:rsidR="00505051" w:rsidRDefault="00505051" w:rsidP="00505051">
      <w:pPr>
        <w:widowControl w:val="0"/>
        <w:tabs>
          <w:tab w:val="num" w:pos="540"/>
        </w:tabs>
        <w:spacing w:after="100" w:afterAutospacing="1"/>
        <w:ind w:left="851" w:hanging="851"/>
        <w:outlineLvl w:val="0"/>
        <w:rPr>
          <w:rFonts w:eastAsia="Times New Roman"/>
          <w:b/>
          <w:szCs w:val="22"/>
          <w:lang w:eastAsia="en-US"/>
        </w:rPr>
      </w:pPr>
      <w:r>
        <w:rPr>
          <w:rFonts w:eastAsia="Times New Roman"/>
          <w:b/>
          <w:szCs w:val="22"/>
          <w:lang w:eastAsia="en-US"/>
        </w:rPr>
        <w:t>Redacted</w:t>
      </w:r>
    </w:p>
    <w:p w14:paraId="3901D31C" w14:textId="77777777" w:rsidR="00174DC0" w:rsidRDefault="00174DC0">
      <w:pPr>
        <w:rPr>
          <w:rFonts w:eastAsia="Times New Roman"/>
          <w:b/>
          <w:szCs w:val="22"/>
          <w:lang w:eastAsia="en-US"/>
        </w:rPr>
      </w:pPr>
      <w:bookmarkStart w:id="133" w:name="_Toc437243999"/>
      <w:r>
        <w:rPr>
          <w:rFonts w:eastAsia="Times New Roman"/>
          <w:b/>
          <w:szCs w:val="22"/>
          <w:lang w:eastAsia="en-US"/>
        </w:rPr>
        <w:br w:type="page"/>
      </w:r>
    </w:p>
    <w:p w14:paraId="7DF1E624" w14:textId="0E05A0DE"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34" w:name="_Toc444688625"/>
      <w:r w:rsidRPr="00506046">
        <w:rPr>
          <w:rFonts w:eastAsia="Times New Roman"/>
          <w:b/>
          <w:szCs w:val="22"/>
          <w:lang w:eastAsia="en-US"/>
        </w:rPr>
        <w:t>ANNEX 5 – CLARIFICATIONS</w:t>
      </w:r>
      <w:bookmarkEnd w:id="133"/>
      <w:bookmarkEnd w:id="134"/>
    </w:p>
    <w:p w14:paraId="519D1D55" w14:textId="2F5178FF" w:rsidR="004B1AF8" w:rsidRPr="00505051" w:rsidRDefault="00505051">
      <w:pPr>
        <w:rPr>
          <w:rFonts w:eastAsia="Times New Roman" w:cs="Arial"/>
          <w:b/>
          <w:szCs w:val="22"/>
          <w:highlight w:val="yellow"/>
          <w:lang w:eastAsia="en-US"/>
        </w:rPr>
      </w:pPr>
      <w:r w:rsidRPr="00505051">
        <w:rPr>
          <w:rFonts w:cs="Arial"/>
          <w:b/>
          <w:szCs w:val="22"/>
        </w:rPr>
        <w:t>Redacted</w:t>
      </w:r>
      <w:r w:rsidR="004B1AF8" w:rsidRPr="00505051">
        <w:rPr>
          <w:rFonts w:cs="Arial"/>
          <w:b/>
          <w:szCs w:val="22"/>
        </w:rPr>
        <w:br w:type="page"/>
      </w:r>
    </w:p>
    <w:p w14:paraId="494E3684" w14:textId="3349330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35" w:name="_Toc439318929"/>
      <w:bookmarkStart w:id="136" w:name="_Toc444688626"/>
      <w:r w:rsidRPr="000F5FE2">
        <w:rPr>
          <w:rFonts w:eastAsia="Times New Roman"/>
          <w:b/>
          <w:szCs w:val="22"/>
          <w:lang w:eastAsia="en-US"/>
        </w:rPr>
        <w:lastRenderedPageBreak/>
        <w:t>ANNEX 6 – ADDITIONAL TERMS &amp; CONDITIONS</w:t>
      </w:r>
      <w:bookmarkEnd w:id="135"/>
      <w:bookmarkEnd w:id="136"/>
    </w:p>
    <w:p w14:paraId="588E43D6" w14:textId="0CEF192C" w:rsidR="000B01FD" w:rsidRDefault="001A5413" w:rsidP="001A5413">
      <w:pPr>
        <w:pStyle w:val="ScheduleLevel1"/>
        <w:numPr>
          <w:ilvl w:val="0"/>
          <w:numId w:val="0"/>
        </w:numPr>
        <w:spacing w:after="120"/>
        <w:jc w:val="left"/>
        <w:rPr>
          <w:rFonts w:cs="Arial"/>
          <w:szCs w:val="22"/>
          <w:highlight w:val="yellow"/>
        </w:rPr>
      </w:pPr>
      <w:r w:rsidRPr="001A5413">
        <w:rPr>
          <w:rFonts w:cs="Arial"/>
          <w:szCs w:val="22"/>
        </w:rPr>
        <w:t>Not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37" w:name="_Toc440457130"/>
      <w:bookmarkStart w:id="138" w:name="_Toc444688627"/>
      <w:r w:rsidRPr="00D66848">
        <w:rPr>
          <w:rFonts w:eastAsia="Times New Roman"/>
          <w:b/>
          <w:szCs w:val="22"/>
          <w:lang w:eastAsia="en-US"/>
        </w:rPr>
        <w:lastRenderedPageBreak/>
        <w:t>ANNEX 7 – CHANGE CONTROL FORMS</w:t>
      </w:r>
      <w:bookmarkEnd w:id="137"/>
      <w:bookmarkEnd w:id="13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0pt" o:ole="">
                  <v:imagedata r:id="rId15" o:title=""/>
                </v:shape>
                <o:OLEObject Type="Embed" ProgID="Package" ShapeID="_x0000_i1025" DrawAspect="Icon" ObjectID="_1541330324" r:id="rId16"/>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E0319D" w:rsidRPr="00082CE7" w:rsidRDefault="00E0319D"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E0319D" w:rsidRPr="00082CE7" w:rsidRDefault="00E0319D"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E0319D" w:rsidRDefault="00E0319D"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E0319D" w:rsidRPr="00E35B14" w:rsidRDefault="00E0319D" w:rsidP="006D60CC">
                                  <w:pPr>
                                    <w:rPr>
                                      <w:rFonts w:cs="Arial"/>
                                      <w:sz w:val="24"/>
                                    </w:rPr>
                                  </w:pPr>
                                  <w:r w:rsidRPr="00F91D0C">
                                    <w:rPr>
                                      <w:rFonts w:ascii="Calibri" w:hAnsi="Calibri" w:cs="Arial"/>
                                    </w:rPr>
                                    <w:t>Initiated by</w:t>
                                  </w:r>
                                  <w:r w:rsidRPr="00E35B14">
                                    <w:rPr>
                                      <w:rFonts w:cs="Arial"/>
                                      <w:sz w:val="24"/>
                                    </w:rPr>
                                    <w:t>:</w:t>
                                  </w:r>
                                </w:p>
                                <w:p w14:paraId="3BA3B6D6" w14:textId="77777777" w:rsidR="00E0319D" w:rsidRDefault="00E0319D"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E0319D" w:rsidRPr="00E35B14" w:rsidRDefault="00E0319D" w:rsidP="006D60CC">
                            <w:pPr>
                              <w:rPr>
                                <w:rFonts w:cs="Arial"/>
                                <w:sz w:val="24"/>
                              </w:rPr>
                            </w:pPr>
                            <w:r w:rsidRPr="00F91D0C">
                              <w:rPr>
                                <w:rFonts w:ascii="Calibri" w:hAnsi="Calibri" w:cs="Arial"/>
                              </w:rPr>
                              <w:t>Initiated by</w:t>
                            </w:r>
                            <w:r w:rsidRPr="00E35B14">
                              <w:rPr>
                                <w:rFonts w:cs="Arial"/>
                                <w:sz w:val="24"/>
                              </w:rPr>
                              <w:t>:</w:t>
                            </w:r>
                          </w:p>
                          <w:p w14:paraId="3BA3B6D6" w14:textId="77777777" w:rsidR="00E0319D" w:rsidRDefault="00E0319D"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E0319D" w:rsidRPr="00136F61" w:rsidRDefault="00E0319D"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E0319D" w:rsidRPr="00136F61" w:rsidRDefault="00E0319D"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E0319D" w:rsidRPr="00F91D0C" w:rsidRDefault="00E0319D"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E0319D" w:rsidRPr="00F91D0C" w:rsidRDefault="00E0319D"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E0319D" w:rsidRPr="00F91D0C" w:rsidRDefault="00E0319D"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E0319D" w:rsidRPr="00F91D0C" w:rsidRDefault="00E0319D"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E0319D" w:rsidRDefault="00E0319D"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E0319D" w:rsidRDefault="00E0319D"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E0319D" w:rsidRPr="00F91D0C" w:rsidRDefault="00E0319D"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E0319D" w:rsidRPr="00E35B14" w:rsidRDefault="00E0319D" w:rsidP="006D60CC">
                                  <w:pPr>
                                    <w:rPr>
                                      <w:rFonts w:cs="Arial"/>
                                      <w:sz w:val="24"/>
                                    </w:rPr>
                                  </w:pPr>
                                </w:p>
                                <w:p w14:paraId="5400C75E" w14:textId="77777777" w:rsidR="00E0319D" w:rsidRDefault="00E0319D"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E0319D" w:rsidRPr="00F91D0C" w:rsidRDefault="00E0319D"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E0319D" w:rsidRPr="00E35B14" w:rsidRDefault="00E0319D" w:rsidP="006D60CC">
                            <w:pPr>
                              <w:rPr>
                                <w:rFonts w:cs="Arial"/>
                                <w:sz w:val="24"/>
                              </w:rPr>
                            </w:pPr>
                          </w:p>
                          <w:p w14:paraId="5400C75E" w14:textId="77777777" w:rsidR="00E0319D" w:rsidRDefault="00E0319D"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E0319D" w:rsidRPr="00136F61" w:rsidRDefault="00E0319D"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E0319D" w:rsidRPr="00136F61" w:rsidRDefault="00E0319D"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E0319D" w:rsidRPr="00136F61" w:rsidRDefault="00E0319D"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E0319D" w:rsidRPr="00F91D0C" w:rsidRDefault="00E0319D"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E0319D" w:rsidRPr="00136F61" w:rsidRDefault="00E0319D"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E0319D" w:rsidRPr="00F91D0C" w:rsidRDefault="00E0319D"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E0319D" w:rsidRDefault="00E0319D"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E0319D" w:rsidRDefault="00E0319D" w:rsidP="006D60CC">
                                  <w:pPr>
                                    <w:rPr>
                                      <w:rFonts w:ascii="Calibri" w:hAnsi="Calibri" w:cs="Arial"/>
                                    </w:rPr>
                                  </w:pPr>
                                </w:p>
                                <w:p w14:paraId="0105001D" w14:textId="77777777" w:rsidR="00E0319D" w:rsidRPr="000006CC" w:rsidRDefault="00E0319D"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E0319D" w:rsidRDefault="00E0319D"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E0319D" w:rsidRDefault="00E0319D" w:rsidP="006D60CC">
                            <w:pPr>
                              <w:rPr>
                                <w:rFonts w:ascii="Calibri" w:hAnsi="Calibri" w:cs="Arial"/>
                              </w:rPr>
                            </w:pPr>
                          </w:p>
                          <w:p w14:paraId="0105001D" w14:textId="77777777" w:rsidR="00E0319D" w:rsidRPr="000006CC" w:rsidRDefault="00E0319D"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E0319D" w:rsidRPr="000006CC" w:rsidRDefault="00E0319D"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E0319D" w:rsidRPr="000006CC" w:rsidRDefault="00E0319D"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E0319D" w:rsidRPr="00207057" w:rsidRDefault="00E0319D"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E0319D" w:rsidRPr="00207057" w:rsidRDefault="00E0319D"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E0319D" w:rsidRPr="000006CC" w:rsidRDefault="00E0319D"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E0319D" w:rsidRPr="000006CC" w:rsidRDefault="00E0319D"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E0319D" w:rsidRPr="003B2BBF" w:rsidRDefault="00E0319D"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E0319D" w:rsidRPr="003B2BBF" w:rsidRDefault="00E0319D"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E0319D" w:rsidRPr="00082CE7" w:rsidRDefault="00E0319D"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E0319D" w:rsidRPr="00082CE7" w:rsidRDefault="00E0319D"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E0319D" w:rsidRDefault="00E0319D"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E0319D" w:rsidRPr="006C397A" w:rsidRDefault="00E0319D"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E0319D" w:rsidRDefault="00E0319D"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E0319D" w:rsidRPr="006C397A" w:rsidRDefault="00E0319D"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E0319D" w:rsidRPr="003B2BBF" w:rsidRDefault="00E0319D"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E0319D" w:rsidRPr="003B2BBF" w:rsidRDefault="00E0319D"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E0319D" w:rsidRPr="003B2BBF" w:rsidRDefault="00E0319D"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E0319D" w:rsidRPr="000006CC" w:rsidRDefault="00E0319D"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E0319D" w:rsidRPr="000006CC" w:rsidRDefault="00E0319D"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E0319D" w:rsidRPr="000006CC" w:rsidRDefault="00E0319D"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E0319D" w:rsidRPr="000006CC" w:rsidRDefault="00E0319D"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E0319D" w:rsidRPr="000006CC" w:rsidRDefault="00E0319D"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E0319D" w:rsidRPr="000006CC" w:rsidRDefault="00E0319D"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E0319D" w:rsidRPr="006C397A" w:rsidRDefault="00E0319D"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E0319D" w:rsidRPr="006C397A" w:rsidRDefault="00E0319D"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E0319D" w:rsidRPr="003B2BBF" w:rsidRDefault="00E0319D"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E0319D" w:rsidRPr="003B2BBF" w:rsidRDefault="00E0319D"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E0319D" w:rsidRPr="003B2BBF" w:rsidRDefault="00E0319D"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E0319D" w:rsidRPr="000006CC" w:rsidRDefault="00E0319D"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E0319D" w:rsidRPr="000006CC" w:rsidRDefault="00E0319D"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E0319D" w:rsidRPr="000006CC" w:rsidRDefault="00E0319D"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E0319D" w:rsidRPr="000006CC" w:rsidRDefault="00E0319D"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E0319D" w:rsidRPr="000006CC" w:rsidRDefault="00E0319D"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E0319D" w:rsidRPr="000006CC" w:rsidRDefault="00E0319D"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lastRenderedPageBreak/>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E0319D" w:rsidRDefault="00E0319D"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E0319D" w:rsidRPr="007A78F9" w:rsidRDefault="00E0319D"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E0319D" w:rsidRPr="007A78F9" w:rsidRDefault="00E0319D"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E0319D" w:rsidRDefault="00E0319D"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E0319D" w:rsidRPr="00715415" w:rsidRDefault="00E0319D"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E0319D" w:rsidRPr="00715415" w:rsidRDefault="00E0319D"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E0319D" w:rsidRPr="00082CE7" w:rsidRDefault="00E0319D"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E0319D" w:rsidRPr="00082CE7" w:rsidRDefault="00E0319D"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E0319D" w:rsidRPr="00715415" w:rsidRDefault="00E0319D"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E0319D" w:rsidRPr="00715415" w:rsidRDefault="00E0319D"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E0319D" w:rsidRPr="00715415" w:rsidRDefault="00E0319D"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E0319D" w:rsidRPr="00715415" w:rsidRDefault="00E0319D"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E0319D" w:rsidRPr="004C7C13" w:rsidRDefault="00E0319D"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E0319D" w:rsidRPr="004C7C13" w:rsidRDefault="00E0319D"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E0319D" w:rsidRPr="003B2BBF" w:rsidRDefault="00E0319D"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E0319D" w:rsidRPr="003B2BBF" w:rsidRDefault="00E0319D"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E0319D" w:rsidRPr="003B2BBF" w:rsidRDefault="00E0319D"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E0319D" w:rsidRPr="003B2BBF" w:rsidRDefault="00E0319D"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E0319D" w:rsidRPr="000006CC" w:rsidRDefault="00E0319D"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E0319D" w:rsidRPr="000006CC" w:rsidRDefault="00E0319D"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E0319D" w:rsidRPr="000006CC" w:rsidRDefault="00E0319D"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E0319D" w:rsidRPr="000006CC" w:rsidRDefault="00E0319D"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E0319D" w:rsidRPr="000006CC" w:rsidRDefault="00E0319D"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E0319D" w:rsidRPr="000006CC" w:rsidRDefault="00E0319D"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E0319D" w:rsidRPr="007A78F9" w:rsidRDefault="00E0319D"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E0319D" w:rsidRPr="00E57A1D" w:rsidRDefault="00E0319D"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E0319D" w:rsidRPr="00E57A1D" w:rsidRDefault="00E0319D"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E0319D" w:rsidRPr="00207057" w:rsidRDefault="00E0319D"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E0319D" w:rsidRPr="00207057" w:rsidRDefault="00E0319D"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E0319D" w:rsidRPr="00082CE7" w:rsidRDefault="00E0319D"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E0319D" w:rsidRPr="00082CE7" w:rsidRDefault="00E0319D"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E0319D" w:rsidRPr="00082CE7" w:rsidRDefault="00E0319D"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E0319D" w:rsidRPr="00082CE7" w:rsidRDefault="00E0319D"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E0319D" w:rsidRPr="007A78F9" w:rsidRDefault="00E0319D"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E0319D" w:rsidRPr="00082CE7" w:rsidRDefault="00E0319D"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E0319D" w:rsidRPr="00082CE7" w:rsidRDefault="00E0319D"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E0319D" w:rsidRPr="00156BD4" w:rsidRDefault="00E0319D"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E0319D" w:rsidRPr="00156BD4" w:rsidRDefault="00E0319D"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E0319D" w:rsidRPr="007A78F9" w:rsidRDefault="00E0319D"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E0319D" w:rsidRPr="00E57A1D" w:rsidRDefault="00E0319D"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E0319D" w:rsidRPr="00E57A1D" w:rsidRDefault="00E0319D"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E0319D" w:rsidRPr="00082CE7" w:rsidRDefault="00E0319D"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E0319D" w:rsidRPr="00082CE7" w:rsidRDefault="00E0319D"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E0319D" w:rsidRPr="007A78F9" w:rsidRDefault="00E0319D"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E0319D" w:rsidRPr="00E57A1D" w:rsidRDefault="00E0319D"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E0319D" w:rsidRPr="00E57A1D" w:rsidRDefault="00E0319D"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E0319D" w:rsidRPr="00156BD4" w:rsidRDefault="00E0319D"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E0319D" w:rsidRPr="00156BD4" w:rsidRDefault="00E0319D"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E0319D" w:rsidRPr="00156BD4" w:rsidRDefault="00E0319D"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E0319D" w:rsidRPr="00156BD4" w:rsidRDefault="00E0319D"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E0319D" w:rsidRPr="00156BD4" w:rsidRDefault="00E0319D"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E0319D" w:rsidRPr="00156BD4" w:rsidRDefault="00E0319D"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E0319D" w:rsidRPr="007A78F9" w:rsidRDefault="00E0319D"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E0319D" w:rsidRPr="007A78F9" w:rsidRDefault="00E0319D"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E0319D" w:rsidRPr="00082CE7" w:rsidRDefault="00E0319D"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E0319D" w:rsidRPr="00082CE7" w:rsidRDefault="00E0319D"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E0319D" w:rsidRPr="00082CE7" w:rsidRDefault="00E0319D"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E0319D" w:rsidRPr="00082CE7" w:rsidRDefault="00E0319D"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headerReference w:type="default" r:id="rId17"/>
          <w:footerReference w:type="default" r:id="rId18"/>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50pt" o:ole="">
                  <v:imagedata r:id="rId15" o:title=""/>
                </v:shape>
                <o:OLEObject Type="Embed" ProgID="Package" ShapeID="_x0000_i1026" DrawAspect="Icon" ObjectID="_1541330325"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E0319D" w:rsidRPr="00FF2CAE" w:rsidRDefault="00E0319D"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E0319D" w:rsidRPr="00FF2CAE" w:rsidRDefault="00E0319D"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E0319D" w:rsidRPr="00F91D0C" w:rsidRDefault="00E0319D"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E0319D" w:rsidRPr="00F91D0C" w:rsidRDefault="00E0319D"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E0319D" w:rsidRPr="00F91D0C" w:rsidRDefault="00E0319D"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E0319D" w:rsidRPr="00F91D0C" w:rsidRDefault="00E0319D"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E0319D" w:rsidRPr="00E35B14" w:rsidRDefault="00E0319D" w:rsidP="006D60CC">
                                  <w:pPr>
                                    <w:rPr>
                                      <w:rFonts w:cs="Arial"/>
                                      <w:sz w:val="24"/>
                                    </w:rPr>
                                  </w:pPr>
                                  <w:r w:rsidRPr="00F91D0C">
                                    <w:rPr>
                                      <w:rFonts w:ascii="Calibri" w:hAnsi="Calibri" w:cs="Arial"/>
                                    </w:rPr>
                                    <w:t>Initiated by</w:t>
                                  </w:r>
                                  <w:r w:rsidRPr="00E35B14">
                                    <w:rPr>
                                      <w:rFonts w:cs="Arial"/>
                                      <w:sz w:val="24"/>
                                    </w:rPr>
                                    <w:t>:</w:t>
                                  </w:r>
                                </w:p>
                                <w:p w14:paraId="23BC262B" w14:textId="77777777" w:rsidR="00E0319D" w:rsidRDefault="00E0319D"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E0319D" w:rsidRPr="00E35B14" w:rsidRDefault="00E0319D" w:rsidP="006D60CC">
                            <w:pPr>
                              <w:rPr>
                                <w:rFonts w:cs="Arial"/>
                                <w:sz w:val="24"/>
                              </w:rPr>
                            </w:pPr>
                            <w:r w:rsidRPr="00F91D0C">
                              <w:rPr>
                                <w:rFonts w:ascii="Calibri" w:hAnsi="Calibri" w:cs="Arial"/>
                              </w:rPr>
                              <w:t>Initiated by</w:t>
                            </w:r>
                            <w:r w:rsidRPr="00E35B14">
                              <w:rPr>
                                <w:rFonts w:cs="Arial"/>
                                <w:sz w:val="24"/>
                              </w:rPr>
                              <w:t>:</w:t>
                            </w:r>
                          </w:p>
                          <w:p w14:paraId="23BC262B" w14:textId="77777777" w:rsidR="00E0319D" w:rsidRDefault="00E0319D"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E0319D" w:rsidRDefault="00E0319D"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E0319D" w:rsidRDefault="00E0319D"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E0319D" w:rsidRPr="00F91D0C" w:rsidRDefault="00E0319D"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E0319D" w:rsidRPr="00E35B14" w:rsidRDefault="00E0319D" w:rsidP="006D60CC">
                                  <w:pPr>
                                    <w:rPr>
                                      <w:rFonts w:cs="Arial"/>
                                      <w:sz w:val="24"/>
                                    </w:rPr>
                                  </w:pPr>
                                </w:p>
                                <w:p w14:paraId="4DBE183A" w14:textId="77777777" w:rsidR="00E0319D" w:rsidRDefault="00E0319D"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E0319D" w:rsidRPr="00F91D0C" w:rsidRDefault="00E0319D"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E0319D" w:rsidRPr="00E35B14" w:rsidRDefault="00E0319D" w:rsidP="006D60CC">
                            <w:pPr>
                              <w:rPr>
                                <w:rFonts w:cs="Arial"/>
                                <w:sz w:val="24"/>
                              </w:rPr>
                            </w:pPr>
                          </w:p>
                          <w:p w14:paraId="4DBE183A" w14:textId="77777777" w:rsidR="00E0319D" w:rsidRDefault="00E0319D"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E0319D" w:rsidRPr="00136F61" w:rsidRDefault="00E0319D"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E0319D" w:rsidRPr="00136F61" w:rsidRDefault="00E0319D"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E0319D" w:rsidRPr="00136F61" w:rsidRDefault="00E0319D"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E0319D" w:rsidRPr="00F91D0C" w:rsidRDefault="00E0319D"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E0319D" w:rsidRPr="00136F61" w:rsidRDefault="00E0319D"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E0319D" w:rsidRPr="00F91D0C" w:rsidRDefault="00E0319D"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E0319D" w:rsidRDefault="00E0319D"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E0319D" w:rsidRDefault="00E0319D"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E0319D" w:rsidRDefault="00E0319D"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E0319D" w:rsidRDefault="00E0319D"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E0319D" w:rsidRDefault="00E0319D"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E0319D" w:rsidRDefault="00E0319D"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E0319D" w:rsidRDefault="00E0319D"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E0319D" w:rsidRDefault="00E0319D"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bookmarkStart w:id="139" w:name="_GoBack"/>
            <w:bookmarkEnd w:id="139"/>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E0319D" w:rsidRDefault="00E0319D"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E0319D" w:rsidRDefault="00E0319D"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E0319D" w:rsidRDefault="00E0319D"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E0319D" w:rsidRDefault="00E0319D"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E0319D" w:rsidRDefault="00E0319D"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E0319D" w:rsidRDefault="00E0319D"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E0319D" w:rsidRDefault="00E0319D"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E0319D" w:rsidRPr="00FF2CAE" w:rsidRDefault="00E0319D"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E0319D" w:rsidRPr="00FF2CAE" w:rsidRDefault="00E0319D"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E0319D" w:rsidRPr="007A78F9" w:rsidRDefault="00E0319D"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E0319D" w:rsidRPr="007A78F9" w:rsidRDefault="00E0319D"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E0319D" w:rsidRPr="00FF2CAE" w:rsidRDefault="00E0319D"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E0319D" w:rsidRPr="00FF2CAE" w:rsidRDefault="00E0319D"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E0319D" w:rsidRPr="007A78F9" w:rsidRDefault="00E0319D"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E0319D" w:rsidRPr="00FF2CAE" w:rsidRDefault="00E0319D"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E0319D" w:rsidRPr="00FF2CAE" w:rsidRDefault="00E0319D"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E0319D" w:rsidRPr="00E57A1D" w:rsidRDefault="00E0319D"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E0319D" w:rsidRPr="00E57A1D" w:rsidRDefault="00E0319D"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E0319D" w:rsidRPr="00FF2CAE" w:rsidRDefault="00E0319D"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E0319D" w:rsidRPr="00FF2CAE" w:rsidRDefault="00E0319D"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E0319D" w:rsidRPr="00156BD4" w:rsidRDefault="00E0319D"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E0319D" w:rsidRPr="00156BD4" w:rsidRDefault="00E0319D"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E0319D" w:rsidRPr="007A78F9" w:rsidRDefault="00E0319D"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E0319D" w:rsidRPr="007A78F9" w:rsidRDefault="00E0319D"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E0319D" w:rsidRPr="007A78F9" w:rsidRDefault="00E0319D"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E0319D" w:rsidRPr="00FF2CAE" w:rsidRDefault="00E0319D"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E0319D" w:rsidRPr="00FF2CAE" w:rsidRDefault="00E0319D"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E0319D" w:rsidRPr="00FF2CAE" w:rsidRDefault="00E0319D"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E0319D" w:rsidRPr="00FF2CAE" w:rsidRDefault="00E0319D"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E0319D" w:rsidRPr="00FF2CAE" w:rsidRDefault="00E0319D"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E0319D" w:rsidRPr="00FF2CAE" w:rsidRDefault="00E0319D"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E0319D" w:rsidRPr="00156BD4" w:rsidRDefault="00E0319D"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E0319D" w:rsidRPr="00156BD4" w:rsidRDefault="00E0319D"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E0319D" w:rsidRPr="00156BD4" w:rsidRDefault="00E0319D"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E0319D" w:rsidRPr="00156BD4" w:rsidRDefault="00E0319D"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E0319D" w:rsidRPr="007A78F9" w:rsidRDefault="00E0319D"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E0319D" w:rsidRPr="007A78F9" w:rsidRDefault="00E0319D"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E0319D" w:rsidRPr="00FF2CAE" w:rsidRDefault="00E0319D"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E0319D" w:rsidRPr="00FF2CAE" w:rsidRDefault="00E0319D"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E0319D" w:rsidRPr="007A78F9" w:rsidRDefault="00E0319D"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E0319D" w:rsidRPr="007A78F9" w:rsidRDefault="00E0319D"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E0319D" w:rsidRPr="007A78F9" w:rsidRDefault="00E0319D"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E0319D" w:rsidRPr="00FF2CAE" w:rsidRDefault="00E0319D"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E0319D" w:rsidRPr="00FF2CAE" w:rsidRDefault="00E0319D"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58E4B" w14:textId="77777777" w:rsidR="00E74674" w:rsidRDefault="00E74674">
      <w:pPr>
        <w:spacing w:line="20" w:lineRule="exact"/>
      </w:pPr>
    </w:p>
  </w:endnote>
  <w:endnote w:type="continuationSeparator" w:id="0">
    <w:p w14:paraId="04972C86" w14:textId="77777777" w:rsidR="00E74674" w:rsidRDefault="00E74674">
      <w:pPr>
        <w:spacing w:line="20" w:lineRule="exact"/>
      </w:pPr>
      <w:r>
        <w:t xml:space="preserve"> </w:t>
      </w:r>
    </w:p>
  </w:endnote>
  <w:endnote w:type="continuationNotice" w:id="1">
    <w:p w14:paraId="5EADBAA2" w14:textId="77777777" w:rsidR="00E74674" w:rsidRDefault="00E7467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E0319D" w:rsidRDefault="00E0319D"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E0319D" w:rsidRDefault="00E0319D"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E0319D" w:rsidRDefault="00E0319D"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E0319D" w:rsidRPr="00C34E12" w:rsidRDefault="00E0319D"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E0319D" w:rsidRDefault="00E0319D"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E0319D" w:rsidRPr="00A65391" w:rsidRDefault="00E0319D"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E0319D" w:rsidRPr="00CE50FE" w:rsidRDefault="00E0319D" w:rsidP="00F70073">
        <w:pPr>
          <w:pStyle w:val="Footer"/>
          <w:pBdr>
            <w:top w:val="single" w:sz="4" w:space="1" w:color="auto"/>
          </w:pBdr>
          <w:jc w:val="center"/>
          <w:rPr>
            <w:sz w:val="20"/>
            <w:szCs w:val="20"/>
          </w:rPr>
        </w:pPr>
        <w:r w:rsidRPr="00CE50FE">
          <w:rPr>
            <w:sz w:val="20"/>
            <w:szCs w:val="20"/>
          </w:rPr>
          <w:t>OFFICIAL</w:t>
        </w:r>
      </w:p>
      <w:p w14:paraId="6369C02F" w14:textId="77777777" w:rsidR="00E0319D" w:rsidRPr="00CE50FE" w:rsidRDefault="00E0319D"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0F3842CB" w:rsidR="00E0319D" w:rsidRPr="00E0319D" w:rsidRDefault="00E0319D" w:rsidP="00F70073">
        <w:pPr>
          <w:pStyle w:val="Footer"/>
          <w:pBdr>
            <w:top w:val="single" w:sz="4" w:space="1" w:color="auto"/>
          </w:pBdr>
          <w:rPr>
            <w:b/>
            <w:sz w:val="20"/>
            <w:szCs w:val="20"/>
          </w:rPr>
        </w:pPr>
        <w:r w:rsidRPr="00E0319D">
          <w:rPr>
            <w:b/>
            <w:sz w:val="20"/>
            <w:szCs w:val="20"/>
          </w:rPr>
          <w:t>Redacted</w:t>
        </w:r>
      </w:p>
      <w:p w14:paraId="59D982FD" w14:textId="12802125" w:rsidR="00E0319D" w:rsidRPr="00CE50FE" w:rsidRDefault="00E0319D"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3241480" w:rsidR="00E0319D" w:rsidRPr="00CE50FE" w:rsidRDefault="00E0319D" w:rsidP="00F70073">
        <w:pPr>
          <w:pStyle w:val="Footer"/>
          <w:pBdr>
            <w:top w:val="single" w:sz="4" w:space="1" w:color="auto"/>
          </w:pBdr>
          <w:jc w:val="right"/>
          <w:rPr>
            <w:sz w:val="20"/>
            <w:szCs w:val="20"/>
          </w:rPr>
        </w:pPr>
        <w:r>
          <w:rPr>
            <w:sz w:val="20"/>
            <w:szCs w:val="20"/>
          </w:rPr>
          <w:t>V2.0 14</w:t>
        </w:r>
        <w:r w:rsidRPr="00C80002">
          <w:rPr>
            <w:sz w:val="20"/>
            <w:szCs w:val="20"/>
            <w:vertAlign w:val="superscript"/>
          </w:rPr>
          <w:t>th</w:t>
        </w:r>
        <w:r>
          <w:rPr>
            <w:sz w:val="20"/>
            <w:szCs w:val="20"/>
          </w:rPr>
          <w:t xml:space="preserve"> October 2016</w:t>
        </w:r>
      </w:p>
      <w:p w14:paraId="3085C604" w14:textId="77777777" w:rsidR="00E0319D" w:rsidRDefault="00E0319D"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6283A">
          <w:rPr>
            <w:noProof/>
            <w:sz w:val="20"/>
            <w:szCs w:val="20"/>
          </w:rPr>
          <w:t>42</w:t>
        </w:r>
        <w:r w:rsidRPr="00CE50FE">
          <w:rPr>
            <w:noProof/>
            <w:sz w:val="20"/>
            <w:szCs w:val="20"/>
          </w:rPr>
          <w:fldChar w:fldCharType="end"/>
        </w:r>
      </w:p>
    </w:sdtContent>
  </w:sdt>
  <w:p w14:paraId="170A480B" w14:textId="77777777" w:rsidR="00E0319D" w:rsidRPr="00360755" w:rsidRDefault="00E0319D"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F4B1" w14:textId="77777777" w:rsidR="00E74674" w:rsidRDefault="00E74674">
      <w:r>
        <w:separator/>
      </w:r>
    </w:p>
  </w:footnote>
  <w:footnote w:type="continuationSeparator" w:id="0">
    <w:p w14:paraId="08B722D3" w14:textId="77777777" w:rsidR="00E74674" w:rsidRDefault="00E74674">
      <w:r>
        <w:continuationSeparator/>
      </w:r>
    </w:p>
  </w:footnote>
  <w:footnote w:type="continuationNotice" w:id="1">
    <w:p w14:paraId="7ACAA22C" w14:textId="77777777" w:rsidR="00E74674" w:rsidRDefault="00E74674"/>
  </w:footnote>
  <w:footnote w:id="2">
    <w:p w14:paraId="19F21E64" w14:textId="77777777" w:rsidR="00E0319D" w:rsidRDefault="00E0319D" w:rsidP="001D1E84">
      <w:pPr>
        <w:pStyle w:val="FootnoteText"/>
      </w:pPr>
      <w:r>
        <w:rPr>
          <w:rStyle w:val="FootnoteReference"/>
        </w:rPr>
        <w:footnoteRef/>
      </w:r>
      <w:r>
        <w:t xml:space="preserve"> QEC, Lightning II and CROWSNEST.</w:t>
      </w:r>
    </w:p>
  </w:footnote>
  <w:footnote w:id="3">
    <w:p w14:paraId="7884A3BD" w14:textId="77777777" w:rsidR="00E0319D" w:rsidRDefault="00E0319D" w:rsidP="001D1E84">
      <w:pPr>
        <w:pStyle w:val="FootnoteText"/>
        <w:rPr>
          <w:kern w:val="22"/>
          <w:lang w:val="en-US" w:eastAsia="en-US"/>
        </w:rPr>
      </w:pPr>
      <w:r>
        <w:rPr>
          <w:rStyle w:val="FootnoteReference"/>
        </w:rPr>
        <w:footnoteRef/>
      </w:r>
      <w:r>
        <w:t xml:space="preserve"> I</w:t>
      </w:r>
      <w:r>
        <w:rPr>
          <w:lang w:val="en-US"/>
        </w:rPr>
        <w:t xml:space="preserve">PA definition of delivery confidence - </w:t>
      </w:r>
      <w:r>
        <w:rPr>
          <w:i/>
          <w:lang w:val="en-US"/>
        </w:rPr>
        <w:t>Project Assurance Review: A Guide for Departments.</w:t>
      </w:r>
      <w:r>
        <w:rPr>
          <w:lang w:val="en-US"/>
        </w:rPr>
        <w:t xml:space="preserve"> Cab Off. Mar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E0319D" w:rsidRDefault="00E0319D"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E0319D" w:rsidRDefault="00E0319D" w:rsidP="00F3190B">
    <w:pPr>
      <w:pStyle w:val="Header"/>
      <w:jc w:val="center"/>
      <w:rPr>
        <w:b/>
      </w:rPr>
    </w:pPr>
  </w:p>
  <w:p w14:paraId="64559850" w14:textId="77777777" w:rsidR="00E0319D" w:rsidRDefault="00E0319D"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E0319D" w:rsidRDefault="00E0319D"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E0319D" w:rsidRDefault="00E0319D" w:rsidP="00F70073">
    <w:pPr>
      <w:pStyle w:val="Header"/>
      <w:pBdr>
        <w:bottom w:val="single" w:sz="4" w:space="1" w:color="auto"/>
      </w:pBdr>
      <w:jc w:val="center"/>
      <w:rPr>
        <w:rFonts w:cs="Arial"/>
        <w:sz w:val="20"/>
        <w:szCs w:val="20"/>
      </w:rPr>
    </w:pPr>
    <w:r>
      <w:rPr>
        <w:rFonts w:cs="Arial"/>
        <w:sz w:val="20"/>
        <w:szCs w:val="20"/>
      </w:rPr>
      <w:t>Agreement Annexes - Services</w:t>
    </w:r>
  </w:p>
  <w:p w14:paraId="6008A7C2" w14:textId="77777777" w:rsidR="00E0319D" w:rsidRPr="00D64299" w:rsidRDefault="00E0319D" w:rsidP="00C80002">
    <w:pPr>
      <w:pStyle w:val="Header"/>
      <w:pBdr>
        <w:bottom w:val="single" w:sz="4" w:space="1" w:color="auto"/>
      </w:pBdr>
      <w:jc w:val="center"/>
      <w:rPr>
        <w:rFonts w:cs="Arial"/>
        <w:sz w:val="20"/>
        <w:szCs w:val="20"/>
      </w:rPr>
    </w:pPr>
    <w:r w:rsidRPr="00D64299">
      <w:rPr>
        <w:rFonts w:cs="Arial"/>
        <w:sz w:val="20"/>
        <w:szCs w:val="20"/>
      </w:rPr>
      <w:t>Provision of Consultancy for the Carrier Enabled Power Projection Programme (CEPP)</w:t>
    </w:r>
  </w:p>
  <w:p w14:paraId="41FED4DA" w14:textId="471895B4" w:rsidR="00E0319D" w:rsidRDefault="00E0319D" w:rsidP="00C80002">
    <w:pPr>
      <w:pStyle w:val="Header"/>
      <w:pBdr>
        <w:bottom w:val="single" w:sz="4" w:space="1" w:color="auto"/>
      </w:pBdr>
      <w:jc w:val="center"/>
    </w:pPr>
    <w:r w:rsidRPr="00D64299">
      <w:rPr>
        <w:rFonts w:cs="Arial"/>
        <w:sz w:val="20"/>
        <w:szCs w:val="20"/>
      </w:rPr>
      <w:t>Contract Reference: CCCC16A68</w:t>
    </w:r>
  </w:p>
  <w:p w14:paraId="68388EBA" w14:textId="77777777" w:rsidR="00E0319D" w:rsidRDefault="00E0319D"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DE3B95E"/>
    <w:multiLevelType w:val="multilevel"/>
    <w:tmpl w:val="CC1AA72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2"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FF12F2"/>
    <w:multiLevelType w:val="hybridMultilevel"/>
    <w:tmpl w:val="0216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7"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1"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67093F"/>
    <w:multiLevelType w:val="hybridMultilevel"/>
    <w:tmpl w:val="260E4BB0"/>
    <w:lvl w:ilvl="0" w:tplc="F3D4925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6" w15:restartNumberingAfterBreak="0">
    <w:nsid w:val="4E263E9A"/>
    <w:multiLevelType w:val="hybridMultilevel"/>
    <w:tmpl w:val="3EF0E7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C155465"/>
    <w:multiLevelType w:val="hybridMultilevel"/>
    <w:tmpl w:val="F8321AD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1" w15:restartNumberingAfterBreak="0">
    <w:nsid w:val="63BD1BA3"/>
    <w:multiLevelType w:val="hybridMultilevel"/>
    <w:tmpl w:val="3BB614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4"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35"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27"/>
  </w:num>
  <w:num w:numId="3">
    <w:abstractNumId w:val="16"/>
  </w:num>
  <w:num w:numId="4">
    <w:abstractNumId w:val="17"/>
  </w:num>
  <w:num w:numId="5">
    <w:abstractNumId w:val="6"/>
  </w:num>
  <w:num w:numId="6">
    <w:abstractNumId w:val="24"/>
  </w:num>
  <w:num w:numId="7">
    <w:abstractNumId w:val="19"/>
  </w:num>
  <w:num w:numId="8">
    <w:abstractNumId w:val="14"/>
  </w:num>
  <w:num w:numId="9">
    <w:abstractNumId w:val="5"/>
  </w:num>
  <w:num w:numId="10">
    <w:abstractNumId w:val="4"/>
  </w:num>
  <w:num w:numId="11">
    <w:abstractNumId w:val="3"/>
  </w:num>
  <w:num w:numId="12">
    <w:abstractNumId w:val="2"/>
  </w:num>
  <w:num w:numId="13">
    <w:abstractNumId w:val="1"/>
  </w:num>
  <w:num w:numId="14">
    <w:abstractNumId w:val="35"/>
  </w:num>
  <w:num w:numId="15">
    <w:abstractNumId w:val="10"/>
  </w:num>
  <w:num w:numId="16">
    <w:abstractNumId w:val="32"/>
  </w:num>
  <w:num w:numId="17">
    <w:abstractNumId w:val="9"/>
  </w:num>
  <w:num w:numId="18">
    <w:abstractNumId w:val="21"/>
  </w:num>
  <w:num w:numId="19">
    <w:abstractNumId w:val="18"/>
  </w:num>
  <w:num w:numId="20">
    <w:abstractNumId w:val="30"/>
  </w:num>
  <w:num w:numId="21">
    <w:abstractNumId w:val="13"/>
  </w:num>
  <w:num w:numId="22">
    <w:abstractNumId w:val="33"/>
  </w:num>
  <w:num w:numId="23">
    <w:abstractNumId w:val="15"/>
  </w:num>
  <w:num w:numId="24">
    <w:abstractNumId w:val="28"/>
  </w:num>
  <w:num w:numId="25">
    <w:abstractNumId w:val="20"/>
  </w:num>
  <w:num w:numId="26">
    <w:abstractNumId w:val="23"/>
  </w:num>
  <w:num w:numId="27">
    <w:abstractNumId w:val="0"/>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1"/>
  </w:num>
  <w:num w:numId="31">
    <w:abstractNumId w:val="22"/>
  </w:num>
  <w:num w:numId="32">
    <w:abstractNumId w:val="12"/>
  </w:num>
  <w:num w:numId="3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121"/>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5413"/>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1E84"/>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C723B"/>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19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051"/>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3045"/>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D56"/>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4CE3"/>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19B7"/>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4A5A"/>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256"/>
    <w:rsid w:val="00B1289A"/>
    <w:rsid w:val="00B12987"/>
    <w:rsid w:val="00B13340"/>
    <w:rsid w:val="00B238B0"/>
    <w:rsid w:val="00B240CE"/>
    <w:rsid w:val="00B25B8F"/>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55D3"/>
    <w:rsid w:val="00C76852"/>
    <w:rsid w:val="00C7767B"/>
    <w:rsid w:val="00C77D9C"/>
    <w:rsid w:val="00C80002"/>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319D"/>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283A"/>
    <w:rsid w:val="00E63383"/>
    <w:rsid w:val="00E63E21"/>
    <w:rsid w:val="00E7010B"/>
    <w:rsid w:val="00E70BA3"/>
    <w:rsid w:val="00E7139A"/>
    <w:rsid w:val="00E7148B"/>
    <w:rsid w:val="00E7286E"/>
    <w:rsid w:val="00E74674"/>
    <w:rsid w:val="00E7632C"/>
    <w:rsid w:val="00E83567"/>
    <w:rsid w:val="00E84FBC"/>
    <w:rsid w:val="00E8578F"/>
    <w:rsid w:val="00E8641C"/>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450F"/>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1786"/>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C7FE8"/>
    <w:rsid w:val="00FD0FBD"/>
    <w:rsid w:val="00FD330F"/>
    <w:rsid w:val="00FD4289"/>
    <w:rsid w:val="00FD43F2"/>
    <w:rsid w:val="00FD6F08"/>
    <w:rsid w:val="00FE008E"/>
    <w:rsid w:val="00FE0D7E"/>
    <w:rsid w:val="00FE2F95"/>
    <w:rsid w:val="00FE7D76"/>
    <w:rsid w:val="00FF14EE"/>
    <w:rsid w:val="00FF4D9A"/>
    <w:rsid w:val="00FF5133"/>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Appendix Minor,h8"/>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link w:val="BodyText3Char"/>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Appendix Minor Char,h8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450F"/>
    <w:pPr>
      <w:autoSpaceDE w:val="0"/>
      <w:autoSpaceDN w:val="0"/>
      <w:adjustRightInd w:val="0"/>
    </w:pPr>
    <w:rPr>
      <w:color w:val="000000"/>
      <w:sz w:val="24"/>
      <w:szCs w:val="24"/>
      <w:lang w:val="en-US" w:eastAsia="en-US"/>
    </w:rPr>
  </w:style>
  <w:style w:type="paragraph" w:customStyle="1" w:styleId="BBLegal2">
    <w:name w:val="B&amp;B Legal 2"/>
    <w:basedOn w:val="Normal"/>
    <w:uiPriority w:val="99"/>
    <w:rsid w:val="00F1450F"/>
    <w:pPr>
      <w:tabs>
        <w:tab w:val="num" w:pos="720"/>
      </w:tabs>
      <w:ind w:left="720" w:hanging="720"/>
      <w:outlineLvl w:val="1"/>
    </w:pPr>
    <w:rPr>
      <w:rFonts w:ascii="Trebuchet MS" w:eastAsia="Times New Roman" w:hAnsi="Trebuchet MS"/>
      <w:sz w:val="24"/>
      <w:szCs w:val="20"/>
      <w:lang w:val="en-US" w:eastAsia="en-US"/>
    </w:rPr>
  </w:style>
  <w:style w:type="character" w:customStyle="1" w:styleId="BodyText3Char">
    <w:name w:val="Body Text 3 Char"/>
    <w:basedOn w:val="DefaultParagraphFont"/>
    <w:link w:val="BodyText3"/>
    <w:uiPriority w:val="99"/>
    <w:rsid w:val="00F1450F"/>
    <w:rPr>
      <w:rFonts w:ascii="Arial" w:eastAsia="SimSun" w:hAnsi="Arial"/>
      <w:sz w:val="16"/>
      <w:szCs w:val="16"/>
      <w:lang w:eastAsia="zh-CN"/>
    </w:rPr>
  </w:style>
  <w:style w:type="paragraph" w:customStyle="1" w:styleId="Numpara">
    <w:name w:val="Numpara"/>
    <w:basedOn w:val="Normal"/>
    <w:rsid w:val="00F1450F"/>
    <w:pPr>
      <w:numPr>
        <w:numId w:val="26"/>
      </w:numPr>
      <w:spacing w:before="40" w:after="120"/>
      <w:ind w:left="340"/>
    </w:pPr>
    <w:rPr>
      <w:rFonts w:eastAsia="Times New Roman"/>
      <w:sz w:val="24"/>
      <w:lang w:eastAsia="en-US"/>
    </w:rPr>
  </w:style>
  <w:style w:type="paragraph" w:customStyle="1" w:styleId="Normpara">
    <w:name w:val="Normpara"/>
    <w:basedOn w:val="Normal"/>
    <w:next w:val="Numpara"/>
    <w:rsid w:val="00F1450F"/>
    <w:pPr>
      <w:spacing w:after="120"/>
      <w:ind w:left="340"/>
    </w:pPr>
    <w:rPr>
      <w:rFonts w:eastAsia="Times New Roman"/>
      <w:sz w:val="24"/>
      <w:lang w:eastAsia="en-US"/>
    </w:rPr>
  </w:style>
  <w:style w:type="paragraph" w:customStyle="1" w:styleId="HeaderBase">
    <w:name w:val="Header Base"/>
    <w:basedOn w:val="Normal"/>
    <w:rsid w:val="00F1450F"/>
    <w:pPr>
      <w:keepLines/>
      <w:tabs>
        <w:tab w:val="center" w:pos="4320"/>
        <w:tab w:val="right" w:pos="8640"/>
      </w:tabs>
    </w:pPr>
    <w:rPr>
      <w:rFonts w:eastAsia="Times New Roman"/>
      <w:spacing w:val="-4"/>
      <w:sz w:val="20"/>
      <w:szCs w:val="20"/>
      <w:lang w:val="en-US" w:eastAsia="en-US"/>
    </w:rPr>
  </w:style>
  <w:style w:type="paragraph" w:customStyle="1" w:styleId="Body6">
    <w:name w:val="Body6"/>
    <w:basedOn w:val="Normal"/>
    <w:uiPriority w:val="99"/>
    <w:rsid w:val="00F1450F"/>
    <w:pPr>
      <w:spacing w:after="220"/>
      <w:ind w:left="3544"/>
      <w:jc w:val="both"/>
    </w:pPr>
    <w:rPr>
      <w:rFonts w:ascii="Trebuchet MS" w:eastAsia="Times New Roman" w:hAnsi="Trebuchet MS"/>
      <w:sz w:val="20"/>
      <w:szCs w:val="20"/>
      <w:lang w:eastAsia="en-US"/>
    </w:rPr>
  </w:style>
  <w:style w:type="paragraph" w:customStyle="1" w:styleId="ColorfulList-Accent11">
    <w:name w:val="Colorful List - Accent 11"/>
    <w:basedOn w:val="Normal"/>
    <w:uiPriority w:val="99"/>
    <w:qFormat/>
    <w:rsid w:val="00F1450F"/>
    <w:pPr>
      <w:spacing w:after="200" w:line="276" w:lineRule="auto"/>
      <w:ind w:left="720"/>
      <w:contextualSpacing/>
    </w:pPr>
    <w:rPr>
      <w:rFonts w:ascii="Calibri" w:eastAsia="Times New Roman" w:hAnsi="Calibri"/>
      <w:szCs w:val="22"/>
      <w:lang w:eastAsia="en-GB"/>
    </w:rPr>
  </w:style>
  <w:style w:type="paragraph" w:customStyle="1" w:styleId="MediumGrid21">
    <w:name w:val="Medium Grid 21"/>
    <w:basedOn w:val="Normal"/>
    <w:uiPriority w:val="1"/>
    <w:qFormat/>
    <w:rsid w:val="00F1450F"/>
    <w:rPr>
      <w:rFonts w:ascii="Times New Roman" w:eastAsia="Times New Roman" w:hAnsi="Times New Roman"/>
      <w:sz w:val="20"/>
      <w:szCs w:val="20"/>
      <w:lang w:eastAsia="en-GB"/>
    </w:rPr>
  </w:style>
  <w:style w:type="paragraph" w:customStyle="1" w:styleId="Body1">
    <w:name w:val="Body1"/>
    <w:basedOn w:val="BodyText"/>
    <w:uiPriority w:val="99"/>
    <w:rsid w:val="00F1450F"/>
    <w:pPr>
      <w:overflowPunct/>
      <w:autoSpaceDE/>
      <w:autoSpaceDN/>
      <w:adjustRightInd/>
      <w:spacing w:after="220"/>
      <w:ind w:left="709"/>
      <w:textAlignment w:val="auto"/>
    </w:pPr>
    <w:rPr>
      <w:rFonts w:ascii="Trebuchet MS" w:hAnsi="Trebuchet MS"/>
      <w:sz w:val="20"/>
    </w:rPr>
  </w:style>
  <w:style w:type="paragraph" w:customStyle="1" w:styleId="1a">
    <w:name w:val="1a"/>
    <w:basedOn w:val="Default"/>
    <w:next w:val="Default"/>
    <w:rsid w:val="00F1450F"/>
    <w:rPr>
      <w:rFonts w:ascii="Arial" w:hAnsi="Arial"/>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8189">
      <w:bodyDiv w:val="1"/>
      <w:marLeft w:val="0"/>
      <w:marRight w:val="0"/>
      <w:marTop w:val="0"/>
      <w:marBottom w:val="0"/>
      <w:divBdr>
        <w:top w:val="none" w:sz="0" w:space="0" w:color="auto"/>
        <w:left w:val="none" w:sz="0" w:space="0" w:color="auto"/>
        <w:bottom w:val="none" w:sz="0" w:space="0" w:color="auto"/>
        <w:right w:val="none" w:sz="0" w:space="0" w:color="auto"/>
      </w:divBdr>
    </w:div>
    <w:div w:id="328678696">
      <w:bodyDiv w:val="1"/>
      <w:marLeft w:val="0"/>
      <w:marRight w:val="0"/>
      <w:marTop w:val="0"/>
      <w:marBottom w:val="0"/>
      <w:divBdr>
        <w:top w:val="none" w:sz="0" w:space="0" w:color="auto"/>
        <w:left w:val="none" w:sz="0" w:space="0" w:color="auto"/>
        <w:bottom w:val="none" w:sz="0" w:space="0" w:color="auto"/>
        <w:right w:val="none" w:sz="0" w:space="0" w:color="auto"/>
      </w:divBdr>
    </w:div>
    <w:div w:id="451095122">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896160727">
      <w:bodyDiv w:val="1"/>
      <w:marLeft w:val="0"/>
      <w:marRight w:val="0"/>
      <w:marTop w:val="0"/>
      <w:marBottom w:val="0"/>
      <w:divBdr>
        <w:top w:val="none" w:sz="0" w:space="0" w:color="auto"/>
        <w:left w:val="none" w:sz="0" w:space="0" w:color="auto"/>
        <w:bottom w:val="none" w:sz="0" w:space="0" w:color="auto"/>
        <w:right w:val="none" w:sz="0" w:space="0" w:color="auto"/>
      </w:divBdr>
    </w:div>
    <w:div w:id="1280987715">
      <w:bodyDiv w:val="1"/>
      <w:marLeft w:val="0"/>
      <w:marRight w:val="0"/>
      <w:marTop w:val="0"/>
      <w:marBottom w:val="0"/>
      <w:divBdr>
        <w:top w:val="none" w:sz="0" w:space="0" w:color="auto"/>
        <w:left w:val="none" w:sz="0" w:space="0" w:color="auto"/>
        <w:bottom w:val="none" w:sz="0" w:space="0" w:color="auto"/>
        <w:right w:val="none" w:sz="0" w:space="0" w:color="auto"/>
      </w:divBdr>
    </w:div>
    <w:div w:id="1282565067">
      <w:bodyDiv w:val="1"/>
      <w:marLeft w:val="0"/>
      <w:marRight w:val="0"/>
      <w:marTop w:val="0"/>
      <w:marBottom w:val="0"/>
      <w:divBdr>
        <w:top w:val="none" w:sz="0" w:space="0" w:color="auto"/>
        <w:left w:val="none" w:sz="0" w:space="0" w:color="auto"/>
        <w:bottom w:val="none" w:sz="0" w:space="0" w:color="auto"/>
        <w:right w:val="none" w:sz="0" w:space="0" w:color="auto"/>
      </w:divBdr>
    </w:div>
    <w:div w:id="1808667781">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56A9C809-8797-477A-AABA-F696BA7E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34</TotalTime>
  <Pages>1</Pages>
  <Words>13170</Words>
  <Characters>75069</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88063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Sarah Thomas</cp:lastModifiedBy>
  <cp:revision>4</cp:revision>
  <cp:lastPrinted>2012-12-10T12:26:00Z</cp:lastPrinted>
  <dcterms:created xsi:type="dcterms:W3CDTF">2016-11-22T13:59:00Z</dcterms:created>
  <dcterms:modified xsi:type="dcterms:W3CDTF">2016-11-22T14:32:00Z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