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12013" w14:textId="77777777" w:rsidR="008D4208" w:rsidRDefault="008D4208" w:rsidP="008D4208">
      <w:pPr>
        <w:jc w:val="center"/>
        <w:rPr>
          <w:b/>
          <w:sz w:val="40"/>
        </w:rPr>
      </w:pPr>
    </w:p>
    <w:p w14:paraId="6BE8264E" w14:textId="77777777" w:rsidR="008D4208" w:rsidRDefault="008D4208" w:rsidP="008D4208">
      <w:pPr>
        <w:jc w:val="center"/>
        <w:rPr>
          <w:b/>
          <w:sz w:val="40"/>
        </w:rPr>
      </w:pPr>
    </w:p>
    <w:p w14:paraId="44128163" w14:textId="77777777" w:rsidR="008D4208" w:rsidRDefault="008D4208" w:rsidP="008D4208">
      <w:pPr>
        <w:jc w:val="center"/>
        <w:rPr>
          <w:b/>
          <w:sz w:val="40"/>
        </w:rPr>
      </w:pPr>
    </w:p>
    <w:p w14:paraId="14FA8C82" w14:textId="77777777" w:rsidR="008D4208" w:rsidRDefault="008D4208" w:rsidP="008D4208">
      <w:pPr>
        <w:jc w:val="center"/>
        <w:rPr>
          <w:b/>
          <w:sz w:val="40"/>
        </w:rPr>
      </w:pPr>
    </w:p>
    <w:p w14:paraId="6AED0D06" w14:textId="77777777" w:rsidR="008D4208" w:rsidRDefault="008D4208" w:rsidP="008D4208">
      <w:pPr>
        <w:jc w:val="center"/>
        <w:rPr>
          <w:b/>
          <w:sz w:val="40"/>
        </w:rPr>
      </w:pPr>
    </w:p>
    <w:p w14:paraId="2319890E" w14:textId="14EDFFEF" w:rsidR="008D4208" w:rsidRDefault="00A02E9B" w:rsidP="008D4208">
      <w:pPr>
        <w:jc w:val="center"/>
        <w:rPr>
          <w:b/>
          <w:sz w:val="40"/>
        </w:rPr>
      </w:pPr>
      <w:r>
        <w:rPr>
          <w:b/>
          <w:sz w:val="40"/>
        </w:rPr>
        <w:t>Annex A</w:t>
      </w:r>
    </w:p>
    <w:p w14:paraId="25ABAAE4" w14:textId="77777777" w:rsidR="008D4208" w:rsidRPr="00FD1E00" w:rsidRDefault="008D4208" w:rsidP="008D4208">
      <w:pPr>
        <w:jc w:val="center"/>
        <w:rPr>
          <w:b/>
          <w:sz w:val="40"/>
        </w:rPr>
      </w:pPr>
      <w:r w:rsidRPr="0068330F">
        <w:rPr>
          <w:b/>
          <w:sz w:val="40"/>
        </w:rPr>
        <w:t xml:space="preserve">UKRI Strategic Priorities Fund </w:t>
      </w:r>
      <w:r w:rsidRPr="0068330F">
        <w:rPr>
          <w:b/>
          <w:sz w:val="40"/>
        </w:rPr>
        <w:br/>
        <w:t>Monitoring and Evaluation Plan</w:t>
      </w:r>
    </w:p>
    <w:p w14:paraId="45C7A746" w14:textId="77777777" w:rsidR="008D4208" w:rsidRPr="0068330F" w:rsidRDefault="008D4208" w:rsidP="008D4208">
      <w:pPr>
        <w:rPr>
          <w:b/>
        </w:rPr>
      </w:pPr>
      <w:r w:rsidRPr="0068330F">
        <w:rPr>
          <w:b/>
        </w:rPr>
        <w:br w:type="page"/>
      </w:r>
    </w:p>
    <w:sdt>
      <w:sdtPr>
        <w:rPr>
          <w:rFonts w:asciiTheme="minorHAnsi" w:hAnsiTheme="minorHAnsi"/>
          <w:b w:val="0"/>
          <w:sz w:val="21"/>
          <w:szCs w:val="22"/>
        </w:rPr>
        <w:id w:val="1608378401"/>
        <w:docPartObj>
          <w:docPartGallery w:val="Table of Contents"/>
          <w:docPartUnique/>
        </w:docPartObj>
      </w:sdtPr>
      <w:sdtEndPr>
        <w:rPr>
          <w:bCs/>
          <w:noProof/>
          <w:sz w:val="22"/>
        </w:rPr>
      </w:sdtEndPr>
      <w:sdtContent>
        <w:p w14:paraId="1768F5FC" w14:textId="77777777" w:rsidR="008D4208" w:rsidRPr="0068330F" w:rsidRDefault="008D4208" w:rsidP="008D4208">
          <w:pPr>
            <w:pStyle w:val="TOCHeading"/>
          </w:pPr>
          <w:r w:rsidRPr="0068330F">
            <w:t>Contents</w:t>
          </w:r>
        </w:p>
        <w:p w14:paraId="7AE172CC" w14:textId="088C07E1" w:rsidR="008D6191" w:rsidRDefault="008D4208">
          <w:pPr>
            <w:pStyle w:val="TOC1"/>
            <w:tabs>
              <w:tab w:val="left" w:pos="420"/>
              <w:tab w:val="right" w:leader="dot" w:pos="9622"/>
            </w:tabs>
            <w:rPr>
              <w:rFonts w:asciiTheme="minorHAnsi" w:eastAsiaTheme="minorEastAsia" w:hAnsiTheme="minorHAnsi"/>
              <w:noProof/>
              <w:sz w:val="22"/>
              <w:lang w:eastAsia="en-GB"/>
            </w:rPr>
          </w:pPr>
          <w:r w:rsidRPr="0068330F">
            <w:fldChar w:fldCharType="begin"/>
          </w:r>
          <w:r w:rsidRPr="0068330F">
            <w:instrText xml:space="preserve"> TOC \o "1-3" \h \z \u </w:instrText>
          </w:r>
          <w:r w:rsidRPr="0068330F">
            <w:fldChar w:fldCharType="separate"/>
          </w:r>
          <w:hyperlink w:anchor="_Toc35960422" w:history="1">
            <w:r w:rsidR="008D6191" w:rsidRPr="00B84BA6">
              <w:rPr>
                <w:rStyle w:val="Hyperlink"/>
                <w:noProof/>
              </w:rPr>
              <w:t>1.</w:t>
            </w:r>
            <w:r w:rsidR="008D6191">
              <w:rPr>
                <w:rFonts w:asciiTheme="minorHAnsi" w:eastAsiaTheme="minorEastAsia" w:hAnsiTheme="minorHAnsi"/>
                <w:noProof/>
                <w:sz w:val="22"/>
                <w:lang w:eastAsia="en-GB"/>
              </w:rPr>
              <w:tab/>
            </w:r>
            <w:r w:rsidR="008D6191" w:rsidRPr="00B84BA6">
              <w:rPr>
                <w:rStyle w:val="Hyperlink"/>
                <w:noProof/>
              </w:rPr>
              <w:t>Introduction</w:t>
            </w:r>
            <w:r w:rsidR="008D6191">
              <w:rPr>
                <w:noProof/>
                <w:webHidden/>
              </w:rPr>
              <w:tab/>
            </w:r>
            <w:r w:rsidR="008D6191">
              <w:rPr>
                <w:noProof/>
                <w:webHidden/>
              </w:rPr>
              <w:fldChar w:fldCharType="begin"/>
            </w:r>
            <w:r w:rsidR="008D6191">
              <w:rPr>
                <w:noProof/>
                <w:webHidden/>
              </w:rPr>
              <w:instrText xml:space="preserve"> PAGEREF _Toc35960422 \h </w:instrText>
            </w:r>
            <w:r w:rsidR="008D6191">
              <w:rPr>
                <w:noProof/>
                <w:webHidden/>
              </w:rPr>
            </w:r>
            <w:r w:rsidR="008D6191">
              <w:rPr>
                <w:noProof/>
                <w:webHidden/>
              </w:rPr>
              <w:fldChar w:fldCharType="separate"/>
            </w:r>
            <w:r w:rsidR="0011458D">
              <w:rPr>
                <w:noProof/>
                <w:webHidden/>
              </w:rPr>
              <w:t>3</w:t>
            </w:r>
            <w:r w:rsidR="008D6191">
              <w:rPr>
                <w:noProof/>
                <w:webHidden/>
              </w:rPr>
              <w:fldChar w:fldCharType="end"/>
            </w:r>
          </w:hyperlink>
        </w:p>
        <w:p w14:paraId="35FDFB90" w14:textId="52F6CD04" w:rsidR="008D6191" w:rsidRDefault="00354CE3">
          <w:pPr>
            <w:pStyle w:val="TOC2"/>
            <w:rPr>
              <w:rFonts w:asciiTheme="minorHAnsi" w:eastAsiaTheme="minorEastAsia" w:hAnsiTheme="minorHAnsi"/>
              <w:noProof/>
              <w:sz w:val="22"/>
              <w:lang w:eastAsia="en-GB"/>
            </w:rPr>
          </w:pPr>
          <w:hyperlink w:anchor="_Toc35960423" w:history="1">
            <w:r w:rsidR="008D6191" w:rsidRPr="00B84BA6">
              <w:rPr>
                <w:rStyle w:val="Hyperlink"/>
                <w:noProof/>
              </w:rPr>
              <w:t>1.1</w:t>
            </w:r>
            <w:r w:rsidR="008D6191">
              <w:rPr>
                <w:rFonts w:asciiTheme="minorHAnsi" w:eastAsiaTheme="minorEastAsia" w:hAnsiTheme="minorHAnsi"/>
                <w:noProof/>
                <w:sz w:val="22"/>
                <w:lang w:eastAsia="en-GB"/>
              </w:rPr>
              <w:tab/>
            </w:r>
            <w:r w:rsidR="008D6191" w:rsidRPr="00B84BA6">
              <w:rPr>
                <w:rStyle w:val="Hyperlink"/>
                <w:noProof/>
              </w:rPr>
              <w:t>Purpose of the document</w:t>
            </w:r>
            <w:r w:rsidR="008D6191">
              <w:rPr>
                <w:noProof/>
                <w:webHidden/>
              </w:rPr>
              <w:tab/>
            </w:r>
            <w:r w:rsidR="008D6191">
              <w:rPr>
                <w:noProof/>
                <w:webHidden/>
              </w:rPr>
              <w:fldChar w:fldCharType="begin"/>
            </w:r>
            <w:r w:rsidR="008D6191">
              <w:rPr>
                <w:noProof/>
                <w:webHidden/>
              </w:rPr>
              <w:instrText xml:space="preserve"> PAGEREF _Toc35960423 \h </w:instrText>
            </w:r>
            <w:r w:rsidR="008D6191">
              <w:rPr>
                <w:noProof/>
                <w:webHidden/>
              </w:rPr>
            </w:r>
            <w:r w:rsidR="008D6191">
              <w:rPr>
                <w:noProof/>
                <w:webHidden/>
              </w:rPr>
              <w:fldChar w:fldCharType="separate"/>
            </w:r>
            <w:r w:rsidR="0011458D">
              <w:rPr>
                <w:noProof/>
                <w:webHidden/>
              </w:rPr>
              <w:t>3</w:t>
            </w:r>
            <w:r w:rsidR="008D6191">
              <w:rPr>
                <w:noProof/>
                <w:webHidden/>
              </w:rPr>
              <w:fldChar w:fldCharType="end"/>
            </w:r>
          </w:hyperlink>
        </w:p>
        <w:p w14:paraId="6BA89C1A" w14:textId="2E44B06F" w:rsidR="008D6191" w:rsidRDefault="00354CE3">
          <w:pPr>
            <w:pStyle w:val="TOC2"/>
            <w:rPr>
              <w:rFonts w:asciiTheme="minorHAnsi" w:eastAsiaTheme="minorEastAsia" w:hAnsiTheme="minorHAnsi"/>
              <w:noProof/>
              <w:sz w:val="22"/>
              <w:lang w:eastAsia="en-GB"/>
            </w:rPr>
          </w:pPr>
          <w:hyperlink w:anchor="_Toc35960424" w:history="1">
            <w:r w:rsidR="008D6191" w:rsidRPr="00B84BA6">
              <w:rPr>
                <w:rStyle w:val="Hyperlink"/>
                <w:noProof/>
              </w:rPr>
              <w:t>1.2</w:t>
            </w:r>
            <w:r w:rsidR="008D6191">
              <w:rPr>
                <w:rFonts w:asciiTheme="minorHAnsi" w:eastAsiaTheme="minorEastAsia" w:hAnsiTheme="minorHAnsi"/>
                <w:noProof/>
                <w:sz w:val="22"/>
                <w:lang w:eastAsia="en-GB"/>
              </w:rPr>
              <w:tab/>
            </w:r>
            <w:r w:rsidR="008D6191" w:rsidRPr="00B84BA6">
              <w:rPr>
                <w:rStyle w:val="Hyperlink"/>
                <w:noProof/>
              </w:rPr>
              <w:t>SPF aims and outcomes</w:t>
            </w:r>
            <w:r w:rsidR="008D6191">
              <w:rPr>
                <w:noProof/>
                <w:webHidden/>
              </w:rPr>
              <w:tab/>
            </w:r>
            <w:r w:rsidR="008D6191">
              <w:rPr>
                <w:noProof/>
                <w:webHidden/>
              </w:rPr>
              <w:fldChar w:fldCharType="begin"/>
            </w:r>
            <w:r w:rsidR="008D6191">
              <w:rPr>
                <w:noProof/>
                <w:webHidden/>
              </w:rPr>
              <w:instrText xml:space="preserve"> PAGEREF _Toc35960424 \h </w:instrText>
            </w:r>
            <w:r w:rsidR="008D6191">
              <w:rPr>
                <w:noProof/>
                <w:webHidden/>
              </w:rPr>
            </w:r>
            <w:r w:rsidR="008D6191">
              <w:rPr>
                <w:noProof/>
                <w:webHidden/>
              </w:rPr>
              <w:fldChar w:fldCharType="separate"/>
            </w:r>
            <w:r w:rsidR="0011458D">
              <w:rPr>
                <w:noProof/>
                <w:webHidden/>
              </w:rPr>
              <w:t>3</w:t>
            </w:r>
            <w:r w:rsidR="008D6191">
              <w:rPr>
                <w:noProof/>
                <w:webHidden/>
              </w:rPr>
              <w:fldChar w:fldCharType="end"/>
            </w:r>
          </w:hyperlink>
        </w:p>
        <w:p w14:paraId="3E7974A7" w14:textId="2C519329" w:rsidR="008D6191" w:rsidRDefault="00354CE3">
          <w:pPr>
            <w:pStyle w:val="TOC2"/>
            <w:rPr>
              <w:rFonts w:asciiTheme="minorHAnsi" w:eastAsiaTheme="minorEastAsia" w:hAnsiTheme="minorHAnsi"/>
              <w:noProof/>
              <w:sz w:val="22"/>
              <w:lang w:eastAsia="en-GB"/>
            </w:rPr>
          </w:pPr>
          <w:hyperlink w:anchor="_Toc35960425" w:history="1">
            <w:r w:rsidR="008D6191" w:rsidRPr="00B84BA6">
              <w:rPr>
                <w:rStyle w:val="Hyperlink"/>
                <w:noProof/>
              </w:rPr>
              <w:t>1.3</w:t>
            </w:r>
            <w:r w:rsidR="008D6191">
              <w:rPr>
                <w:rFonts w:asciiTheme="minorHAnsi" w:eastAsiaTheme="minorEastAsia" w:hAnsiTheme="minorHAnsi"/>
                <w:noProof/>
                <w:sz w:val="22"/>
                <w:lang w:eastAsia="en-GB"/>
              </w:rPr>
              <w:tab/>
            </w:r>
            <w:r w:rsidR="008D6191" w:rsidRPr="00B84BA6">
              <w:rPr>
                <w:rStyle w:val="Hyperlink"/>
                <w:noProof/>
              </w:rPr>
              <w:t>Evaluation challenges and our high-level strategy</w:t>
            </w:r>
            <w:r w:rsidR="008D6191">
              <w:rPr>
                <w:noProof/>
                <w:webHidden/>
              </w:rPr>
              <w:tab/>
            </w:r>
            <w:r w:rsidR="008D6191">
              <w:rPr>
                <w:noProof/>
                <w:webHidden/>
              </w:rPr>
              <w:fldChar w:fldCharType="begin"/>
            </w:r>
            <w:r w:rsidR="008D6191">
              <w:rPr>
                <w:noProof/>
                <w:webHidden/>
              </w:rPr>
              <w:instrText xml:space="preserve"> PAGEREF _Toc35960425 \h </w:instrText>
            </w:r>
            <w:r w:rsidR="008D6191">
              <w:rPr>
                <w:noProof/>
                <w:webHidden/>
              </w:rPr>
            </w:r>
            <w:r w:rsidR="008D6191">
              <w:rPr>
                <w:noProof/>
                <w:webHidden/>
              </w:rPr>
              <w:fldChar w:fldCharType="separate"/>
            </w:r>
            <w:r w:rsidR="0011458D">
              <w:rPr>
                <w:noProof/>
                <w:webHidden/>
              </w:rPr>
              <w:t>3</w:t>
            </w:r>
            <w:r w:rsidR="008D6191">
              <w:rPr>
                <w:noProof/>
                <w:webHidden/>
              </w:rPr>
              <w:fldChar w:fldCharType="end"/>
            </w:r>
          </w:hyperlink>
        </w:p>
        <w:p w14:paraId="547CF106" w14:textId="592B58FC" w:rsidR="008D6191" w:rsidRDefault="00354CE3">
          <w:pPr>
            <w:pStyle w:val="TOC1"/>
            <w:tabs>
              <w:tab w:val="left" w:pos="420"/>
              <w:tab w:val="right" w:leader="dot" w:pos="9622"/>
            </w:tabs>
            <w:rPr>
              <w:rFonts w:asciiTheme="minorHAnsi" w:eastAsiaTheme="minorEastAsia" w:hAnsiTheme="minorHAnsi"/>
              <w:noProof/>
              <w:sz w:val="22"/>
              <w:lang w:eastAsia="en-GB"/>
            </w:rPr>
          </w:pPr>
          <w:hyperlink w:anchor="_Toc35960426" w:history="1">
            <w:r w:rsidR="008D6191" w:rsidRPr="00B84BA6">
              <w:rPr>
                <w:rStyle w:val="Hyperlink"/>
                <w:noProof/>
              </w:rPr>
              <w:t>2</w:t>
            </w:r>
            <w:r w:rsidR="008D6191">
              <w:rPr>
                <w:rFonts w:asciiTheme="minorHAnsi" w:eastAsiaTheme="minorEastAsia" w:hAnsiTheme="minorHAnsi"/>
                <w:noProof/>
                <w:sz w:val="22"/>
                <w:lang w:eastAsia="en-GB"/>
              </w:rPr>
              <w:tab/>
            </w:r>
            <w:r w:rsidR="008D6191" w:rsidRPr="00B84BA6">
              <w:rPr>
                <w:rStyle w:val="Hyperlink"/>
                <w:noProof/>
              </w:rPr>
              <w:t>Overall framework for SPF monitoring and evaluation</w:t>
            </w:r>
            <w:r w:rsidR="008D6191">
              <w:rPr>
                <w:noProof/>
                <w:webHidden/>
              </w:rPr>
              <w:tab/>
            </w:r>
            <w:r w:rsidR="008D6191">
              <w:rPr>
                <w:noProof/>
                <w:webHidden/>
              </w:rPr>
              <w:fldChar w:fldCharType="begin"/>
            </w:r>
            <w:r w:rsidR="008D6191">
              <w:rPr>
                <w:noProof/>
                <w:webHidden/>
              </w:rPr>
              <w:instrText xml:space="preserve"> PAGEREF _Toc35960426 \h </w:instrText>
            </w:r>
            <w:r w:rsidR="008D6191">
              <w:rPr>
                <w:noProof/>
                <w:webHidden/>
              </w:rPr>
            </w:r>
            <w:r w:rsidR="008D6191">
              <w:rPr>
                <w:noProof/>
                <w:webHidden/>
              </w:rPr>
              <w:fldChar w:fldCharType="separate"/>
            </w:r>
            <w:r w:rsidR="0011458D">
              <w:rPr>
                <w:noProof/>
                <w:webHidden/>
              </w:rPr>
              <w:t>4</w:t>
            </w:r>
            <w:r w:rsidR="008D6191">
              <w:rPr>
                <w:noProof/>
                <w:webHidden/>
              </w:rPr>
              <w:fldChar w:fldCharType="end"/>
            </w:r>
          </w:hyperlink>
        </w:p>
        <w:p w14:paraId="58376286" w14:textId="16BC6314" w:rsidR="008D6191" w:rsidRDefault="00354CE3">
          <w:pPr>
            <w:pStyle w:val="TOC1"/>
            <w:tabs>
              <w:tab w:val="left" w:pos="420"/>
              <w:tab w:val="right" w:leader="dot" w:pos="9622"/>
            </w:tabs>
            <w:rPr>
              <w:rFonts w:asciiTheme="minorHAnsi" w:eastAsiaTheme="minorEastAsia" w:hAnsiTheme="minorHAnsi"/>
              <w:noProof/>
              <w:sz w:val="22"/>
              <w:lang w:eastAsia="en-GB"/>
            </w:rPr>
          </w:pPr>
          <w:hyperlink w:anchor="_Toc35960427" w:history="1">
            <w:r w:rsidR="008D6191" w:rsidRPr="00B84BA6">
              <w:rPr>
                <w:rStyle w:val="Hyperlink"/>
                <w:noProof/>
              </w:rPr>
              <w:t>3</w:t>
            </w:r>
            <w:r w:rsidR="008D6191">
              <w:rPr>
                <w:rFonts w:asciiTheme="minorHAnsi" w:eastAsiaTheme="minorEastAsia" w:hAnsiTheme="minorHAnsi"/>
                <w:noProof/>
                <w:sz w:val="22"/>
                <w:lang w:eastAsia="en-GB"/>
              </w:rPr>
              <w:tab/>
            </w:r>
            <w:r w:rsidR="008D6191" w:rsidRPr="00B84BA6">
              <w:rPr>
                <w:rStyle w:val="Hyperlink"/>
                <w:noProof/>
              </w:rPr>
              <w:t>Governance of SPF monitoring and evaluation</w:t>
            </w:r>
            <w:r w:rsidR="008D6191">
              <w:rPr>
                <w:noProof/>
                <w:webHidden/>
              </w:rPr>
              <w:tab/>
            </w:r>
            <w:r w:rsidR="008D6191">
              <w:rPr>
                <w:noProof/>
                <w:webHidden/>
              </w:rPr>
              <w:fldChar w:fldCharType="begin"/>
            </w:r>
            <w:r w:rsidR="008D6191">
              <w:rPr>
                <w:noProof/>
                <w:webHidden/>
              </w:rPr>
              <w:instrText xml:space="preserve"> PAGEREF _Toc35960427 \h </w:instrText>
            </w:r>
            <w:r w:rsidR="008D6191">
              <w:rPr>
                <w:noProof/>
                <w:webHidden/>
              </w:rPr>
            </w:r>
            <w:r w:rsidR="008D6191">
              <w:rPr>
                <w:noProof/>
                <w:webHidden/>
              </w:rPr>
              <w:fldChar w:fldCharType="separate"/>
            </w:r>
            <w:r w:rsidR="0011458D">
              <w:rPr>
                <w:noProof/>
                <w:webHidden/>
              </w:rPr>
              <w:t>6</w:t>
            </w:r>
            <w:r w:rsidR="008D6191">
              <w:rPr>
                <w:noProof/>
                <w:webHidden/>
              </w:rPr>
              <w:fldChar w:fldCharType="end"/>
            </w:r>
          </w:hyperlink>
        </w:p>
        <w:p w14:paraId="5FCB855F" w14:textId="6651A138" w:rsidR="008D6191" w:rsidRDefault="00354CE3">
          <w:pPr>
            <w:pStyle w:val="TOC2"/>
            <w:rPr>
              <w:rFonts w:asciiTheme="minorHAnsi" w:eastAsiaTheme="minorEastAsia" w:hAnsiTheme="minorHAnsi"/>
              <w:noProof/>
              <w:sz w:val="22"/>
              <w:lang w:eastAsia="en-GB"/>
            </w:rPr>
          </w:pPr>
          <w:hyperlink w:anchor="_Toc35960428" w:history="1">
            <w:r w:rsidR="008D6191" w:rsidRPr="00B84BA6">
              <w:rPr>
                <w:rStyle w:val="Hyperlink"/>
                <w:noProof/>
              </w:rPr>
              <w:t>3.1</w:t>
            </w:r>
            <w:r w:rsidR="008D6191">
              <w:rPr>
                <w:rFonts w:asciiTheme="minorHAnsi" w:eastAsiaTheme="minorEastAsia" w:hAnsiTheme="minorHAnsi"/>
                <w:noProof/>
                <w:sz w:val="22"/>
                <w:lang w:eastAsia="en-GB"/>
              </w:rPr>
              <w:tab/>
            </w:r>
            <w:r w:rsidR="008D6191" w:rsidRPr="00B84BA6">
              <w:rPr>
                <w:rStyle w:val="Hyperlink"/>
                <w:noProof/>
              </w:rPr>
              <w:t>SPF Oversight Working Group</w:t>
            </w:r>
            <w:r w:rsidR="008D6191">
              <w:rPr>
                <w:noProof/>
                <w:webHidden/>
              </w:rPr>
              <w:tab/>
            </w:r>
            <w:r w:rsidR="008D6191">
              <w:rPr>
                <w:noProof/>
                <w:webHidden/>
              </w:rPr>
              <w:fldChar w:fldCharType="begin"/>
            </w:r>
            <w:r w:rsidR="008D6191">
              <w:rPr>
                <w:noProof/>
                <w:webHidden/>
              </w:rPr>
              <w:instrText xml:space="preserve"> PAGEREF _Toc35960428 \h </w:instrText>
            </w:r>
            <w:r w:rsidR="008D6191">
              <w:rPr>
                <w:noProof/>
                <w:webHidden/>
              </w:rPr>
            </w:r>
            <w:r w:rsidR="008D6191">
              <w:rPr>
                <w:noProof/>
                <w:webHidden/>
              </w:rPr>
              <w:fldChar w:fldCharType="separate"/>
            </w:r>
            <w:r w:rsidR="0011458D">
              <w:rPr>
                <w:noProof/>
                <w:webHidden/>
              </w:rPr>
              <w:t>6</w:t>
            </w:r>
            <w:r w:rsidR="008D6191">
              <w:rPr>
                <w:noProof/>
                <w:webHidden/>
              </w:rPr>
              <w:fldChar w:fldCharType="end"/>
            </w:r>
          </w:hyperlink>
        </w:p>
        <w:p w14:paraId="1DC86D6C" w14:textId="17FB539B" w:rsidR="008D6191" w:rsidRDefault="00354CE3">
          <w:pPr>
            <w:pStyle w:val="TOC2"/>
            <w:rPr>
              <w:rFonts w:asciiTheme="minorHAnsi" w:eastAsiaTheme="minorEastAsia" w:hAnsiTheme="minorHAnsi"/>
              <w:noProof/>
              <w:sz w:val="22"/>
              <w:lang w:eastAsia="en-GB"/>
            </w:rPr>
          </w:pPr>
          <w:hyperlink w:anchor="_Toc35960429" w:history="1">
            <w:r w:rsidR="008D6191" w:rsidRPr="00B84BA6">
              <w:rPr>
                <w:rStyle w:val="Hyperlink"/>
                <w:noProof/>
              </w:rPr>
              <w:t>3.2</w:t>
            </w:r>
            <w:r w:rsidR="008D6191">
              <w:rPr>
                <w:rFonts w:asciiTheme="minorHAnsi" w:eastAsiaTheme="minorEastAsia" w:hAnsiTheme="minorHAnsi"/>
                <w:noProof/>
                <w:sz w:val="22"/>
                <w:lang w:eastAsia="en-GB"/>
              </w:rPr>
              <w:tab/>
            </w:r>
            <w:r w:rsidR="008D6191" w:rsidRPr="00B84BA6">
              <w:rPr>
                <w:rStyle w:val="Hyperlink"/>
                <w:noProof/>
              </w:rPr>
              <w:t>NPIF Evaluation Board</w:t>
            </w:r>
            <w:r w:rsidR="008D6191">
              <w:rPr>
                <w:noProof/>
                <w:webHidden/>
              </w:rPr>
              <w:tab/>
            </w:r>
            <w:r w:rsidR="008D6191">
              <w:rPr>
                <w:noProof/>
                <w:webHidden/>
              </w:rPr>
              <w:fldChar w:fldCharType="begin"/>
            </w:r>
            <w:r w:rsidR="008D6191">
              <w:rPr>
                <w:noProof/>
                <w:webHidden/>
              </w:rPr>
              <w:instrText xml:space="preserve"> PAGEREF _Toc35960429 \h </w:instrText>
            </w:r>
            <w:r w:rsidR="008D6191">
              <w:rPr>
                <w:noProof/>
                <w:webHidden/>
              </w:rPr>
            </w:r>
            <w:r w:rsidR="008D6191">
              <w:rPr>
                <w:noProof/>
                <w:webHidden/>
              </w:rPr>
              <w:fldChar w:fldCharType="separate"/>
            </w:r>
            <w:r w:rsidR="0011458D">
              <w:rPr>
                <w:noProof/>
                <w:webHidden/>
              </w:rPr>
              <w:t>7</w:t>
            </w:r>
            <w:r w:rsidR="008D6191">
              <w:rPr>
                <w:noProof/>
                <w:webHidden/>
              </w:rPr>
              <w:fldChar w:fldCharType="end"/>
            </w:r>
          </w:hyperlink>
        </w:p>
        <w:p w14:paraId="2D1A8EE5" w14:textId="73CD59B7" w:rsidR="008D6191" w:rsidRDefault="00354CE3">
          <w:pPr>
            <w:pStyle w:val="TOC2"/>
            <w:rPr>
              <w:rFonts w:asciiTheme="minorHAnsi" w:eastAsiaTheme="minorEastAsia" w:hAnsiTheme="minorHAnsi"/>
              <w:noProof/>
              <w:sz w:val="22"/>
              <w:lang w:eastAsia="en-GB"/>
            </w:rPr>
          </w:pPr>
          <w:hyperlink w:anchor="_Toc35960430" w:history="1">
            <w:r w:rsidR="008D6191" w:rsidRPr="00B84BA6">
              <w:rPr>
                <w:rStyle w:val="Hyperlink"/>
                <w:noProof/>
              </w:rPr>
              <w:t>3.3</w:t>
            </w:r>
            <w:r w:rsidR="008D6191">
              <w:rPr>
                <w:rFonts w:asciiTheme="minorHAnsi" w:eastAsiaTheme="minorEastAsia" w:hAnsiTheme="minorHAnsi"/>
                <w:noProof/>
                <w:sz w:val="22"/>
                <w:lang w:eastAsia="en-GB"/>
              </w:rPr>
              <w:tab/>
            </w:r>
            <w:r w:rsidR="008D6191" w:rsidRPr="00B84BA6">
              <w:rPr>
                <w:rStyle w:val="Hyperlink"/>
                <w:noProof/>
              </w:rPr>
              <w:t>Programme-level M&amp;E governance and resource requirements</w:t>
            </w:r>
            <w:r w:rsidR="008D6191">
              <w:rPr>
                <w:noProof/>
                <w:webHidden/>
              </w:rPr>
              <w:tab/>
            </w:r>
            <w:r w:rsidR="008D6191">
              <w:rPr>
                <w:noProof/>
                <w:webHidden/>
              </w:rPr>
              <w:fldChar w:fldCharType="begin"/>
            </w:r>
            <w:r w:rsidR="008D6191">
              <w:rPr>
                <w:noProof/>
                <w:webHidden/>
              </w:rPr>
              <w:instrText xml:space="preserve"> PAGEREF _Toc35960430 \h </w:instrText>
            </w:r>
            <w:r w:rsidR="008D6191">
              <w:rPr>
                <w:noProof/>
                <w:webHidden/>
              </w:rPr>
            </w:r>
            <w:r w:rsidR="008D6191">
              <w:rPr>
                <w:noProof/>
                <w:webHidden/>
              </w:rPr>
              <w:fldChar w:fldCharType="separate"/>
            </w:r>
            <w:r w:rsidR="0011458D">
              <w:rPr>
                <w:noProof/>
                <w:webHidden/>
              </w:rPr>
              <w:t>7</w:t>
            </w:r>
            <w:r w:rsidR="008D6191">
              <w:rPr>
                <w:noProof/>
                <w:webHidden/>
              </w:rPr>
              <w:fldChar w:fldCharType="end"/>
            </w:r>
          </w:hyperlink>
        </w:p>
        <w:p w14:paraId="6EE8A5AE" w14:textId="3D46AB2D" w:rsidR="008D6191" w:rsidRDefault="00354CE3">
          <w:pPr>
            <w:pStyle w:val="TOC1"/>
            <w:tabs>
              <w:tab w:val="left" w:pos="420"/>
              <w:tab w:val="right" w:leader="dot" w:pos="9622"/>
            </w:tabs>
            <w:rPr>
              <w:rFonts w:asciiTheme="minorHAnsi" w:eastAsiaTheme="minorEastAsia" w:hAnsiTheme="minorHAnsi"/>
              <w:noProof/>
              <w:sz w:val="22"/>
              <w:lang w:eastAsia="en-GB"/>
            </w:rPr>
          </w:pPr>
          <w:hyperlink w:anchor="_Toc35960431" w:history="1">
            <w:r w:rsidR="008D6191" w:rsidRPr="00B84BA6">
              <w:rPr>
                <w:rStyle w:val="Hyperlink"/>
                <w:noProof/>
              </w:rPr>
              <w:t>4</w:t>
            </w:r>
            <w:r w:rsidR="008D6191">
              <w:rPr>
                <w:rFonts w:asciiTheme="minorHAnsi" w:eastAsiaTheme="minorEastAsia" w:hAnsiTheme="minorHAnsi"/>
                <w:noProof/>
                <w:sz w:val="22"/>
                <w:lang w:eastAsia="en-GB"/>
              </w:rPr>
              <w:tab/>
            </w:r>
            <w:r w:rsidR="008D6191" w:rsidRPr="00B84BA6">
              <w:rPr>
                <w:rStyle w:val="Hyperlink"/>
                <w:noProof/>
              </w:rPr>
              <w:t>Fund-level evaluation</w:t>
            </w:r>
            <w:r w:rsidR="008D6191">
              <w:rPr>
                <w:noProof/>
                <w:webHidden/>
              </w:rPr>
              <w:tab/>
            </w:r>
            <w:r w:rsidR="008D6191">
              <w:rPr>
                <w:noProof/>
                <w:webHidden/>
              </w:rPr>
              <w:fldChar w:fldCharType="begin"/>
            </w:r>
            <w:r w:rsidR="008D6191">
              <w:rPr>
                <w:noProof/>
                <w:webHidden/>
              </w:rPr>
              <w:instrText xml:space="preserve"> PAGEREF _Toc35960431 \h </w:instrText>
            </w:r>
            <w:r w:rsidR="008D6191">
              <w:rPr>
                <w:noProof/>
                <w:webHidden/>
              </w:rPr>
            </w:r>
            <w:r w:rsidR="008D6191">
              <w:rPr>
                <w:noProof/>
                <w:webHidden/>
              </w:rPr>
              <w:fldChar w:fldCharType="separate"/>
            </w:r>
            <w:r w:rsidR="0011458D">
              <w:rPr>
                <w:noProof/>
                <w:webHidden/>
              </w:rPr>
              <w:t>8</w:t>
            </w:r>
            <w:r w:rsidR="008D6191">
              <w:rPr>
                <w:noProof/>
                <w:webHidden/>
              </w:rPr>
              <w:fldChar w:fldCharType="end"/>
            </w:r>
          </w:hyperlink>
        </w:p>
        <w:p w14:paraId="6E28F0C8" w14:textId="682999B0" w:rsidR="008D6191" w:rsidRDefault="00354CE3">
          <w:pPr>
            <w:pStyle w:val="TOC2"/>
            <w:rPr>
              <w:rFonts w:asciiTheme="minorHAnsi" w:eastAsiaTheme="minorEastAsia" w:hAnsiTheme="minorHAnsi"/>
              <w:noProof/>
              <w:sz w:val="22"/>
              <w:lang w:eastAsia="en-GB"/>
            </w:rPr>
          </w:pPr>
          <w:hyperlink w:anchor="_Toc35960432" w:history="1">
            <w:r w:rsidR="008D6191" w:rsidRPr="00B84BA6">
              <w:rPr>
                <w:rStyle w:val="Hyperlink"/>
                <w:noProof/>
              </w:rPr>
              <w:t>4.1</w:t>
            </w:r>
            <w:r w:rsidR="008D6191">
              <w:rPr>
                <w:rFonts w:asciiTheme="minorHAnsi" w:eastAsiaTheme="minorEastAsia" w:hAnsiTheme="minorHAnsi"/>
                <w:noProof/>
                <w:sz w:val="22"/>
                <w:lang w:eastAsia="en-GB"/>
              </w:rPr>
              <w:tab/>
            </w:r>
            <w:r w:rsidR="008D6191" w:rsidRPr="00B84BA6">
              <w:rPr>
                <w:rStyle w:val="Hyperlink"/>
                <w:noProof/>
              </w:rPr>
              <w:t>SPF objectives</w:t>
            </w:r>
            <w:r w:rsidR="008D6191">
              <w:rPr>
                <w:noProof/>
                <w:webHidden/>
              </w:rPr>
              <w:tab/>
            </w:r>
            <w:r w:rsidR="008D6191">
              <w:rPr>
                <w:noProof/>
                <w:webHidden/>
              </w:rPr>
              <w:fldChar w:fldCharType="begin"/>
            </w:r>
            <w:r w:rsidR="008D6191">
              <w:rPr>
                <w:noProof/>
                <w:webHidden/>
              </w:rPr>
              <w:instrText xml:space="preserve"> PAGEREF _Toc35960432 \h </w:instrText>
            </w:r>
            <w:r w:rsidR="008D6191">
              <w:rPr>
                <w:noProof/>
                <w:webHidden/>
              </w:rPr>
            </w:r>
            <w:r w:rsidR="008D6191">
              <w:rPr>
                <w:noProof/>
                <w:webHidden/>
              </w:rPr>
              <w:fldChar w:fldCharType="separate"/>
            </w:r>
            <w:r w:rsidR="0011458D">
              <w:rPr>
                <w:noProof/>
                <w:webHidden/>
              </w:rPr>
              <w:t>8</w:t>
            </w:r>
            <w:r w:rsidR="008D6191">
              <w:rPr>
                <w:noProof/>
                <w:webHidden/>
              </w:rPr>
              <w:fldChar w:fldCharType="end"/>
            </w:r>
          </w:hyperlink>
        </w:p>
        <w:p w14:paraId="33AA0A24" w14:textId="0D7C9DB6" w:rsidR="008D6191" w:rsidRDefault="00354CE3">
          <w:pPr>
            <w:pStyle w:val="TOC3"/>
            <w:tabs>
              <w:tab w:val="left" w:pos="1100"/>
              <w:tab w:val="right" w:leader="dot" w:pos="9622"/>
            </w:tabs>
            <w:rPr>
              <w:rFonts w:asciiTheme="minorHAnsi" w:eastAsiaTheme="minorEastAsia" w:hAnsiTheme="minorHAnsi"/>
              <w:noProof/>
              <w:sz w:val="22"/>
              <w:lang w:eastAsia="en-GB"/>
            </w:rPr>
          </w:pPr>
          <w:hyperlink w:anchor="_Toc35960433" w:history="1">
            <w:r w:rsidR="008D6191" w:rsidRPr="00B84BA6">
              <w:rPr>
                <w:rStyle w:val="Hyperlink"/>
                <w:noProof/>
              </w:rPr>
              <w:t>4.1.1</w:t>
            </w:r>
            <w:r w:rsidR="008D6191">
              <w:rPr>
                <w:rFonts w:asciiTheme="minorHAnsi" w:eastAsiaTheme="minorEastAsia" w:hAnsiTheme="minorHAnsi"/>
                <w:noProof/>
                <w:sz w:val="22"/>
                <w:lang w:eastAsia="en-GB"/>
              </w:rPr>
              <w:tab/>
            </w:r>
            <w:r w:rsidR="008D6191" w:rsidRPr="00B84BA6">
              <w:rPr>
                <w:rStyle w:val="Hyperlink"/>
                <w:noProof/>
              </w:rPr>
              <w:t>Defining MIDRI</w:t>
            </w:r>
            <w:r w:rsidR="008D6191">
              <w:rPr>
                <w:noProof/>
                <w:webHidden/>
              </w:rPr>
              <w:tab/>
            </w:r>
            <w:r w:rsidR="008D6191">
              <w:rPr>
                <w:noProof/>
                <w:webHidden/>
              </w:rPr>
              <w:fldChar w:fldCharType="begin"/>
            </w:r>
            <w:r w:rsidR="008D6191">
              <w:rPr>
                <w:noProof/>
                <w:webHidden/>
              </w:rPr>
              <w:instrText xml:space="preserve"> PAGEREF _Toc35960433 \h </w:instrText>
            </w:r>
            <w:r w:rsidR="008D6191">
              <w:rPr>
                <w:noProof/>
                <w:webHidden/>
              </w:rPr>
            </w:r>
            <w:r w:rsidR="008D6191">
              <w:rPr>
                <w:noProof/>
                <w:webHidden/>
              </w:rPr>
              <w:fldChar w:fldCharType="separate"/>
            </w:r>
            <w:r w:rsidR="0011458D">
              <w:rPr>
                <w:noProof/>
                <w:webHidden/>
              </w:rPr>
              <w:t>9</w:t>
            </w:r>
            <w:r w:rsidR="008D6191">
              <w:rPr>
                <w:noProof/>
                <w:webHidden/>
              </w:rPr>
              <w:fldChar w:fldCharType="end"/>
            </w:r>
          </w:hyperlink>
        </w:p>
        <w:p w14:paraId="1D53C6B2" w14:textId="672CEED6" w:rsidR="008D6191" w:rsidRDefault="00354CE3">
          <w:pPr>
            <w:pStyle w:val="TOC2"/>
            <w:rPr>
              <w:rFonts w:asciiTheme="minorHAnsi" w:eastAsiaTheme="minorEastAsia" w:hAnsiTheme="minorHAnsi"/>
              <w:noProof/>
              <w:sz w:val="22"/>
              <w:lang w:eastAsia="en-GB"/>
            </w:rPr>
          </w:pPr>
          <w:hyperlink w:anchor="_Toc35960434" w:history="1">
            <w:r w:rsidR="008D6191" w:rsidRPr="00B84BA6">
              <w:rPr>
                <w:rStyle w:val="Hyperlink"/>
                <w:noProof/>
              </w:rPr>
              <w:t>4.2</w:t>
            </w:r>
            <w:r w:rsidR="008D6191">
              <w:rPr>
                <w:rFonts w:asciiTheme="minorHAnsi" w:eastAsiaTheme="minorEastAsia" w:hAnsiTheme="minorHAnsi"/>
                <w:noProof/>
                <w:sz w:val="22"/>
                <w:lang w:eastAsia="en-GB"/>
              </w:rPr>
              <w:tab/>
            </w:r>
            <w:r w:rsidR="008D6191" w:rsidRPr="00B84BA6">
              <w:rPr>
                <w:rStyle w:val="Hyperlink"/>
                <w:noProof/>
              </w:rPr>
              <w:t>Evaluation approach</w:t>
            </w:r>
            <w:r w:rsidR="008D6191">
              <w:rPr>
                <w:noProof/>
                <w:webHidden/>
              </w:rPr>
              <w:tab/>
            </w:r>
            <w:r w:rsidR="008D6191">
              <w:rPr>
                <w:noProof/>
                <w:webHidden/>
              </w:rPr>
              <w:fldChar w:fldCharType="begin"/>
            </w:r>
            <w:r w:rsidR="008D6191">
              <w:rPr>
                <w:noProof/>
                <w:webHidden/>
              </w:rPr>
              <w:instrText xml:space="preserve"> PAGEREF _Toc35960434 \h </w:instrText>
            </w:r>
            <w:r w:rsidR="008D6191">
              <w:rPr>
                <w:noProof/>
                <w:webHidden/>
              </w:rPr>
            </w:r>
            <w:r w:rsidR="008D6191">
              <w:rPr>
                <w:noProof/>
                <w:webHidden/>
              </w:rPr>
              <w:fldChar w:fldCharType="separate"/>
            </w:r>
            <w:r w:rsidR="0011458D">
              <w:rPr>
                <w:noProof/>
                <w:webHidden/>
              </w:rPr>
              <w:t>9</w:t>
            </w:r>
            <w:r w:rsidR="008D6191">
              <w:rPr>
                <w:noProof/>
                <w:webHidden/>
              </w:rPr>
              <w:fldChar w:fldCharType="end"/>
            </w:r>
          </w:hyperlink>
        </w:p>
        <w:p w14:paraId="31FA564F" w14:textId="5E345039" w:rsidR="008D6191" w:rsidRDefault="00354CE3">
          <w:pPr>
            <w:pStyle w:val="TOC2"/>
            <w:rPr>
              <w:rFonts w:asciiTheme="minorHAnsi" w:eastAsiaTheme="minorEastAsia" w:hAnsiTheme="minorHAnsi"/>
              <w:noProof/>
              <w:sz w:val="22"/>
              <w:lang w:eastAsia="en-GB"/>
            </w:rPr>
          </w:pPr>
          <w:hyperlink w:anchor="_Toc35960435" w:history="1">
            <w:r w:rsidR="008D6191" w:rsidRPr="00B84BA6">
              <w:rPr>
                <w:rStyle w:val="Hyperlink"/>
                <w:noProof/>
              </w:rPr>
              <w:t>4.3</w:t>
            </w:r>
            <w:r w:rsidR="008D6191">
              <w:rPr>
                <w:rFonts w:asciiTheme="minorHAnsi" w:eastAsiaTheme="minorEastAsia" w:hAnsiTheme="minorHAnsi"/>
                <w:noProof/>
                <w:sz w:val="22"/>
                <w:lang w:eastAsia="en-GB"/>
              </w:rPr>
              <w:tab/>
            </w:r>
            <w:r w:rsidR="008D6191" w:rsidRPr="00B84BA6">
              <w:rPr>
                <w:rStyle w:val="Hyperlink"/>
                <w:noProof/>
              </w:rPr>
              <w:t>Evaluation questions</w:t>
            </w:r>
            <w:r w:rsidR="008D6191">
              <w:rPr>
                <w:noProof/>
                <w:webHidden/>
              </w:rPr>
              <w:tab/>
            </w:r>
            <w:r w:rsidR="008D6191">
              <w:rPr>
                <w:noProof/>
                <w:webHidden/>
              </w:rPr>
              <w:fldChar w:fldCharType="begin"/>
            </w:r>
            <w:r w:rsidR="008D6191">
              <w:rPr>
                <w:noProof/>
                <w:webHidden/>
              </w:rPr>
              <w:instrText xml:space="preserve"> PAGEREF _Toc35960435 \h </w:instrText>
            </w:r>
            <w:r w:rsidR="008D6191">
              <w:rPr>
                <w:noProof/>
                <w:webHidden/>
              </w:rPr>
            </w:r>
            <w:r w:rsidR="008D6191">
              <w:rPr>
                <w:noProof/>
                <w:webHidden/>
              </w:rPr>
              <w:fldChar w:fldCharType="separate"/>
            </w:r>
            <w:r w:rsidR="0011458D">
              <w:rPr>
                <w:noProof/>
                <w:webHidden/>
              </w:rPr>
              <w:t>10</w:t>
            </w:r>
            <w:r w:rsidR="008D6191">
              <w:rPr>
                <w:noProof/>
                <w:webHidden/>
              </w:rPr>
              <w:fldChar w:fldCharType="end"/>
            </w:r>
          </w:hyperlink>
        </w:p>
        <w:p w14:paraId="6BCDDEA7" w14:textId="6B87E733" w:rsidR="008D6191" w:rsidRDefault="00354CE3">
          <w:pPr>
            <w:pStyle w:val="TOC3"/>
            <w:tabs>
              <w:tab w:val="left" w:pos="1100"/>
              <w:tab w:val="right" w:leader="dot" w:pos="9622"/>
            </w:tabs>
            <w:rPr>
              <w:rFonts w:asciiTheme="minorHAnsi" w:eastAsiaTheme="minorEastAsia" w:hAnsiTheme="minorHAnsi"/>
              <w:noProof/>
              <w:sz w:val="22"/>
              <w:lang w:eastAsia="en-GB"/>
            </w:rPr>
          </w:pPr>
          <w:hyperlink w:anchor="_Toc35960436" w:history="1">
            <w:r w:rsidR="008D6191" w:rsidRPr="00B84BA6">
              <w:rPr>
                <w:rStyle w:val="Hyperlink"/>
                <w:noProof/>
              </w:rPr>
              <w:t>4.3.1</w:t>
            </w:r>
            <w:r w:rsidR="008D6191">
              <w:rPr>
                <w:rFonts w:asciiTheme="minorHAnsi" w:eastAsiaTheme="minorEastAsia" w:hAnsiTheme="minorHAnsi"/>
                <w:noProof/>
                <w:sz w:val="22"/>
                <w:lang w:eastAsia="en-GB"/>
              </w:rPr>
              <w:tab/>
            </w:r>
            <w:r w:rsidR="008D6191" w:rsidRPr="00B84BA6">
              <w:rPr>
                <w:rStyle w:val="Hyperlink"/>
                <w:noProof/>
              </w:rPr>
              <w:t>Process evaluation questions</w:t>
            </w:r>
            <w:r w:rsidR="008D6191">
              <w:rPr>
                <w:noProof/>
                <w:webHidden/>
              </w:rPr>
              <w:tab/>
            </w:r>
            <w:r w:rsidR="008D6191">
              <w:rPr>
                <w:noProof/>
                <w:webHidden/>
              </w:rPr>
              <w:fldChar w:fldCharType="begin"/>
            </w:r>
            <w:r w:rsidR="008D6191">
              <w:rPr>
                <w:noProof/>
                <w:webHidden/>
              </w:rPr>
              <w:instrText xml:space="preserve"> PAGEREF _Toc35960436 \h </w:instrText>
            </w:r>
            <w:r w:rsidR="008D6191">
              <w:rPr>
                <w:noProof/>
                <w:webHidden/>
              </w:rPr>
            </w:r>
            <w:r w:rsidR="008D6191">
              <w:rPr>
                <w:noProof/>
                <w:webHidden/>
              </w:rPr>
              <w:fldChar w:fldCharType="separate"/>
            </w:r>
            <w:r w:rsidR="0011458D">
              <w:rPr>
                <w:noProof/>
                <w:webHidden/>
              </w:rPr>
              <w:t>10</w:t>
            </w:r>
            <w:r w:rsidR="008D6191">
              <w:rPr>
                <w:noProof/>
                <w:webHidden/>
              </w:rPr>
              <w:fldChar w:fldCharType="end"/>
            </w:r>
          </w:hyperlink>
        </w:p>
        <w:p w14:paraId="53E39139" w14:textId="3BDA8679" w:rsidR="008D6191" w:rsidRDefault="00354CE3">
          <w:pPr>
            <w:pStyle w:val="TOC3"/>
            <w:tabs>
              <w:tab w:val="left" w:pos="1100"/>
              <w:tab w:val="right" w:leader="dot" w:pos="9622"/>
            </w:tabs>
            <w:rPr>
              <w:rFonts w:asciiTheme="minorHAnsi" w:eastAsiaTheme="minorEastAsia" w:hAnsiTheme="minorHAnsi"/>
              <w:noProof/>
              <w:sz w:val="22"/>
              <w:lang w:eastAsia="en-GB"/>
            </w:rPr>
          </w:pPr>
          <w:hyperlink w:anchor="_Toc35960437" w:history="1">
            <w:r w:rsidR="008D6191" w:rsidRPr="00B84BA6">
              <w:rPr>
                <w:rStyle w:val="Hyperlink"/>
                <w:noProof/>
              </w:rPr>
              <w:t>4.3.2</w:t>
            </w:r>
            <w:r w:rsidR="008D6191">
              <w:rPr>
                <w:rFonts w:asciiTheme="minorHAnsi" w:eastAsiaTheme="minorEastAsia" w:hAnsiTheme="minorHAnsi"/>
                <w:noProof/>
                <w:sz w:val="22"/>
                <w:lang w:eastAsia="en-GB"/>
              </w:rPr>
              <w:tab/>
            </w:r>
            <w:r w:rsidR="008D6191" w:rsidRPr="00B84BA6">
              <w:rPr>
                <w:rStyle w:val="Hyperlink"/>
                <w:noProof/>
              </w:rPr>
              <w:t>Early assessment of impact questions</w:t>
            </w:r>
            <w:r w:rsidR="008D6191">
              <w:rPr>
                <w:noProof/>
                <w:webHidden/>
              </w:rPr>
              <w:tab/>
            </w:r>
            <w:r w:rsidR="008D6191">
              <w:rPr>
                <w:noProof/>
                <w:webHidden/>
              </w:rPr>
              <w:fldChar w:fldCharType="begin"/>
            </w:r>
            <w:r w:rsidR="008D6191">
              <w:rPr>
                <w:noProof/>
                <w:webHidden/>
              </w:rPr>
              <w:instrText xml:space="preserve"> PAGEREF _Toc35960437 \h </w:instrText>
            </w:r>
            <w:r w:rsidR="008D6191">
              <w:rPr>
                <w:noProof/>
                <w:webHidden/>
              </w:rPr>
            </w:r>
            <w:r w:rsidR="008D6191">
              <w:rPr>
                <w:noProof/>
                <w:webHidden/>
              </w:rPr>
              <w:fldChar w:fldCharType="separate"/>
            </w:r>
            <w:r w:rsidR="0011458D">
              <w:rPr>
                <w:noProof/>
                <w:webHidden/>
              </w:rPr>
              <w:t>10</w:t>
            </w:r>
            <w:r w:rsidR="008D6191">
              <w:rPr>
                <w:noProof/>
                <w:webHidden/>
              </w:rPr>
              <w:fldChar w:fldCharType="end"/>
            </w:r>
          </w:hyperlink>
        </w:p>
        <w:p w14:paraId="5C47088E" w14:textId="20FF5989" w:rsidR="008D6191" w:rsidRDefault="00354CE3">
          <w:pPr>
            <w:pStyle w:val="TOC2"/>
            <w:rPr>
              <w:rFonts w:asciiTheme="minorHAnsi" w:eastAsiaTheme="minorEastAsia" w:hAnsiTheme="minorHAnsi"/>
              <w:noProof/>
              <w:sz w:val="22"/>
              <w:lang w:eastAsia="en-GB"/>
            </w:rPr>
          </w:pPr>
          <w:hyperlink w:anchor="_Toc35960438" w:history="1">
            <w:r w:rsidR="008D6191" w:rsidRPr="00B84BA6">
              <w:rPr>
                <w:rStyle w:val="Hyperlink"/>
                <w:noProof/>
              </w:rPr>
              <w:t>4.4</w:t>
            </w:r>
            <w:r w:rsidR="008D6191">
              <w:rPr>
                <w:rFonts w:asciiTheme="minorHAnsi" w:eastAsiaTheme="minorEastAsia" w:hAnsiTheme="minorHAnsi"/>
                <w:noProof/>
                <w:sz w:val="22"/>
                <w:lang w:eastAsia="en-GB"/>
              </w:rPr>
              <w:tab/>
            </w:r>
            <w:r w:rsidR="008D6191" w:rsidRPr="00B84BA6">
              <w:rPr>
                <w:rStyle w:val="Hyperlink"/>
                <w:noProof/>
              </w:rPr>
              <w:t>Evaluation milestones</w:t>
            </w:r>
            <w:r w:rsidR="008D6191">
              <w:rPr>
                <w:noProof/>
                <w:webHidden/>
              </w:rPr>
              <w:tab/>
            </w:r>
            <w:r w:rsidR="008D6191">
              <w:rPr>
                <w:noProof/>
                <w:webHidden/>
              </w:rPr>
              <w:fldChar w:fldCharType="begin"/>
            </w:r>
            <w:r w:rsidR="008D6191">
              <w:rPr>
                <w:noProof/>
                <w:webHidden/>
              </w:rPr>
              <w:instrText xml:space="preserve"> PAGEREF _Toc35960438 \h </w:instrText>
            </w:r>
            <w:r w:rsidR="008D6191">
              <w:rPr>
                <w:noProof/>
                <w:webHidden/>
              </w:rPr>
            </w:r>
            <w:r w:rsidR="008D6191">
              <w:rPr>
                <w:noProof/>
                <w:webHidden/>
              </w:rPr>
              <w:fldChar w:fldCharType="separate"/>
            </w:r>
            <w:r w:rsidR="0011458D">
              <w:rPr>
                <w:noProof/>
                <w:webHidden/>
              </w:rPr>
              <w:t>10</w:t>
            </w:r>
            <w:r w:rsidR="008D6191">
              <w:rPr>
                <w:noProof/>
                <w:webHidden/>
              </w:rPr>
              <w:fldChar w:fldCharType="end"/>
            </w:r>
          </w:hyperlink>
        </w:p>
        <w:p w14:paraId="2C20090D" w14:textId="3AC8B1E2" w:rsidR="008D6191" w:rsidRDefault="00354CE3">
          <w:pPr>
            <w:pStyle w:val="TOC1"/>
            <w:tabs>
              <w:tab w:val="left" w:pos="420"/>
              <w:tab w:val="right" w:leader="dot" w:pos="9622"/>
            </w:tabs>
            <w:rPr>
              <w:rFonts w:asciiTheme="minorHAnsi" w:eastAsiaTheme="minorEastAsia" w:hAnsiTheme="minorHAnsi"/>
              <w:noProof/>
              <w:sz w:val="22"/>
              <w:lang w:eastAsia="en-GB"/>
            </w:rPr>
          </w:pPr>
          <w:hyperlink w:anchor="_Toc35960439" w:history="1">
            <w:r w:rsidR="008D6191" w:rsidRPr="00B84BA6">
              <w:rPr>
                <w:rStyle w:val="Hyperlink"/>
                <w:noProof/>
              </w:rPr>
              <w:t>5</w:t>
            </w:r>
            <w:r w:rsidR="008D6191">
              <w:rPr>
                <w:rFonts w:asciiTheme="minorHAnsi" w:eastAsiaTheme="minorEastAsia" w:hAnsiTheme="minorHAnsi"/>
                <w:noProof/>
                <w:sz w:val="22"/>
                <w:lang w:eastAsia="en-GB"/>
              </w:rPr>
              <w:tab/>
            </w:r>
            <w:r w:rsidR="008D6191" w:rsidRPr="00B84BA6">
              <w:rPr>
                <w:rStyle w:val="Hyperlink"/>
                <w:noProof/>
              </w:rPr>
              <w:t>Monitoring and evaluation planning: requirements for programme leads</w:t>
            </w:r>
            <w:r w:rsidR="008D6191">
              <w:rPr>
                <w:noProof/>
                <w:webHidden/>
              </w:rPr>
              <w:tab/>
            </w:r>
            <w:r w:rsidR="008D6191">
              <w:rPr>
                <w:noProof/>
                <w:webHidden/>
              </w:rPr>
              <w:fldChar w:fldCharType="begin"/>
            </w:r>
            <w:r w:rsidR="008D6191">
              <w:rPr>
                <w:noProof/>
                <w:webHidden/>
              </w:rPr>
              <w:instrText xml:space="preserve"> PAGEREF _Toc35960439 \h </w:instrText>
            </w:r>
            <w:r w:rsidR="008D6191">
              <w:rPr>
                <w:noProof/>
                <w:webHidden/>
              </w:rPr>
            </w:r>
            <w:r w:rsidR="008D6191">
              <w:rPr>
                <w:noProof/>
                <w:webHidden/>
              </w:rPr>
              <w:fldChar w:fldCharType="separate"/>
            </w:r>
            <w:r w:rsidR="0011458D">
              <w:rPr>
                <w:noProof/>
                <w:webHidden/>
              </w:rPr>
              <w:t>11</w:t>
            </w:r>
            <w:r w:rsidR="008D6191">
              <w:rPr>
                <w:noProof/>
                <w:webHidden/>
              </w:rPr>
              <w:fldChar w:fldCharType="end"/>
            </w:r>
          </w:hyperlink>
        </w:p>
        <w:p w14:paraId="64080CEA" w14:textId="34F47826" w:rsidR="008D6191" w:rsidRDefault="00354CE3">
          <w:pPr>
            <w:pStyle w:val="TOC2"/>
            <w:rPr>
              <w:rFonts w:asciiTheme="minorHAnsi" w:eastAsiaTheme="minorEastAsia" w:hAnsiTheme="minorHAnsi"/>
              <w:noProof/>
              <w:sz w:val="22"/>
              <w:lang w:eastAsia="en-GB"/>
            </w:rPr>
          </w:pPr>
          <w:hyperlink w:anchor="_Toc35960440" w:history="1">
            <w:r w:rsidR="008D6191" w:rsidRPr="00B84BA6">
              <w:rPr>
                <w:rStyle w:val="Hyperlink"/>
                <w:noProof/>
              </w:rPr>
              <w:t>5.1</w:t>
            </w:r>
            <w:r w:rsidR="008D6191">
              <w:rPr>
                <w:rFonts w:asciiTheme="minorHAnsi" w:eastAsiaTheme="minorEastAsia" w:hAnsiTheme="minorHAnsi"/>
                <w:noProof/>
                <w:sz w:val="22"/>
                <w:lang w:eastAsia="en-GB"/>
              </w:rPr>
              <w:tab/>
            </w:r>
            <w:r w:rsidR="008D6191" w:rsidRPr="00B84BA6">
              <w:rPr>
                <w:rStyle w:val="Hyperlink"/>
                <w:noProof/>
              </w:rPr>
              <w:t>Project delivery reporting</w:t>
            </w:r>
            <w:r w:rsidR="008D6191">
              <w:rPr>
                <w:noProof/>
                <w:webHidden/>
              </w:rPr>
              <w:tab/>
            </w:r>
            <w:r w:rsidR="008D6191">
              <w:rPr>
                <w:noProof/>
                <w:webHidden/>
              </w:rPr>
              <w:fldChar w:fldCharType="begin"/>
            </w:r>
            <w:r w:rsidR="008D6191">
              <w:rPr>
                <w:noProof/>
                <w:webHidden/>
              </w:rPr>
              <w:instrText xml:space="preserve"> PAGEREF _Toc35960440 \h </w:instrText>
            </w:r>
            <w:r w:rsidR="008D6191">
              <w:rPr>
                <w:noProof/>
                <w:webHidden/>
              </w:rPr>
            </w:r>
            <w:r w:rsidR="008D6191">
              <w:rPr>
                <w:noProof/>
                <w:webHidden/>
              </w:rPr>
              <w:fldChar w:fldCharType="separate"/>
            </w:r>
            <w:r w:rsidR="0011458D">
              <w:rPr>
                <w:noProof/>
                <w:webHidden/>
              </w:rPr>
              <w:t>11</w:t>
            </w:r>
            <w:r w:rsidR="008D6191">
              <w:rPr>
                <w:noProof/>
                <w:webHidden/>
              </w:rPr>
              <w:fldChar w:fldCharType="end"/>
            </w:r>
          </w:hyperlink>
        </w:p>
        <w:p w14:paraId="23E45B01" w14:textId="25D3069E" w:rsidR="008D6191" w:rsidRDefault="00354CE3">
          <w:pPr>
            <w:pStyle w:val="TOC2"/>
            <w:rPr>
              <w:rFonts w:asciiTheme="minorHAnsi" w:eastAsiaTheme="minorEastAsia" w:hAnsiTheme="minorHAnsi"/>
              <w:noProof/>
              <w:sz w:val="22"/>
              <w:lang w:eastAsia="en-GB"/>
            </w:rPr>
          </w:pPr>
          <w:hyperlink w:anchor="_Toc35960441" w:history="1">
            <w:r w:rsidR="008D6191" w:rsidRPr="00B84BA6">
              <w:rPr>
                <w:rStyle w:val="Hyperlink"/>
                <w:noProof/>
              </w:rPr>
              <w:t>5.2</w:t>
            </w:r>
            <w:r w:rsidR="008D6191">
              <w:rPr>
                <w:rFonts w:asciiTheme="minorHAnsi" w:eastAsiaTheme="minorEastAsia" w:hAnsiTheme="minorHAnsi"/>
                <w:noProof/>
                <w:sz w:val="22"/>
                <w:lang w:eastAsia="en-GB"/>
              </w:rPr>
              <w:tab/>
            </w:r>
            <w:r w:rsidR="008D6191" w:rsidRPr="00B84BA6">
              <w:rPr>
                <w:rStyle w:val="Hyperlink"/>
                <w:noProof/>
              </w:rPr>
              <w:t>Outcome monitoring data collection</w:t>
            </w:r>
            <w:r w:rsidR="008D6191">
              <w:rPr>
                <w:noProof/>
                <w:webHidden/>
              </w:rPr>
              <w:tab/>
            </w:r>
            <w:r w:rsidR="008D6191">
              <w:rPr>
                <w:noProof/>
                <w:webHidden/>
              </w:rPr>
              <w:fldChar w:fldCharType="begin"/>
            </w:r>
            <w:r w:rsidR="008D6191">
              <w:rPr>
                <w:noProof/>
                <w:webHidden/>
              </w:rPr>
              <w:instrText xml:space="preserve"> PAGEREF _Toc35960441 \h </w:instrText>
            </w:r>
            <w:r w:rsidR="008D6191">
              <w:rPr>
                <w:noProof/>
                <w:webHidden/>
              </w:rPr>
            </w:r>
            <w:r w:rsidR="008D6191">
              <w:rPr>
                <w:noProof/>
                <w:webHidden/>
              </w:rPr>
              <w:fldChar w:fldCharType="separate"/>
            </w:r>
            <w:r w:rsidR="0011458D">
              <w:rPr>
                <w:noProof/>
                <w:webHidden/>
              </w:rPr>
              <w:t>12</w:t>
            </w:r>
            <w:r w:rsidR="008D6191">
              <w:rPr>
                <w:noProof/>
                <w:webHidden/>
              </w:rPr>
              <w:fldChar w:fldCharType="end"/>
            </w:r>
          </w:hyperlink>
        </w:p>
        <w:p w14:paraId="0A8401B8" w14:textId="0BBE5AA8" w:rsidR="008D6191" w:rsidRDefault="00354CE3">
          <w:pPr>
            <w:pStyle w:val="TOC3"/>
            <w:tabs>
              <w:tab w:val="left" w:pos="1100"/>
              <w:tab w:val="right" w:leader="dot" w:pos="9622"/>
            </w:tabs>
            <w:rPr>
              <w:rFonts w:asciiTheme="minorHAnsi" w:eastAsiaTheme="minorEastAsia" w:hAnsiTheme="minorHAnsi"/>
              <w:noProof/>
              <w:sz w:val="22"/>
              <w:lang w:eastAsia="en-GB"/>
            </w:rPr>
          </w:pPr>
          <w:hyperlink w:anchor="_Toc35960442" w:history="1">
            <w:r w:rsidR="008D6191" w:rsidRPr="00B84BA6">
              <w:rPr>
                <w:rStyle w:val="Hyperlink"/>
                <w:noProof/>
              </w:rPr>
              <w:t>5.2.1</w:t>
            </w:r>
            <w:r w:rsidR="008D6191">
              <w:rPr>
                <w:rFonts w:asciiTheme="minorHAnsi" w:eastAsiaTheme="minorEastAsia" w:hAnsiTheme="minorHAnsi"/>
                <w:noProof/>
                <w:sz w:val="22"/>
                <w:lang w:eastAsia="en-GB"/>
              </w:rPr>
              <w:tab/>
            </w:r>
            <w:r w:rsidR="008D6191" w:rsidRPr="00B84BA6">
              <w:rPr>
                <w:rStyle w:val="Hyperlink"/>
                <w:noProof/>
              </w:rPr>
              <w:t>Minimum requirements</w:t>
            </w:r>
            <w:r w:rsidR="008D6191">
              <w:rPr>
                <w:noProof/>
                <w:webHidden/>
              </w:rPr>
              <w:tab/>
            </w:r>
            <w:r w:rsidR="008D6191">
              <w:rPr>
                <w:noProof/>
                <w:webHidden/>
              </w:rPr>
              <w:fldChar w:fldCharType="begin"/>
            </w:r>
            <w:r w:rsidR="008D6191">
              <w:rPr>
                <w:noProof/>
                <w:webHidden/>
              </w:rPr>
              <w:instrText xml:space="preserve"> PAGEREF _Toc35960442 \h </w:instrText>
            </w:r>
            <w:r w:rsidR="008D6191">
              <w:rPr>
                <w:noProof/>
                <w:webHidden/>
              </w:rPr>
            </w:r>
            <w:r w:rsidR="008D6191">
              <w:rPr>
                <w:noProof/>
                <w:webHidden/>
              </w:rPr>
              <w:fldChar w:fldCharType="separate"/>
            </w:r>
            <w:r w:rsidR="0011458D">
              <w:rPr>
                <w:noProof/>
                <w:webHidden/>
              </w:rPr>
              <w:t>12</w:t>
            </w:r>
            <w:r w:rsidR="008D6191">
              <w:rPr>
                <w:noProof/>
                <w:webHidden/>
              </w:rPr>
              <w:fldChar w:fldCharType="end"/>
            </w:r>
          </w:hyperlink>
        </w:p>
        <w:p w14:paraId="0542A6D8" w14:textId="13B4595D" w:rsidR="008D6191" w:rsidRDefault="00354CE3">
          <w:pPr>
            <w:pStyle w:val="TOC3"/>
            <w:tabs>
              <w:tab w:val="left" w:pos="1100"/>
              <w:tab w:val="right" w:leader="dot" w:pos="9622"/>
            </w:tabs>
            <w:rPr>
              <w:rFonts w:asciiTheme="minorHAnsi" w:eastAsiaTheme="minorEastAsia" w:hAnsiTheme="minorHAnsi"/>
              <w:noProof/>
              <w:sz w:val="22"/>
              <w:lang w:eastAsia="en-GB"/>
            </w:rPr>
          </w:pPr>
          <w:hyperlink w:anchor="_Toc35960443" w:history="1">
            <w:r w:rsidR="008D6191" w:rsidRPr="00B84BA6">
              <w:rPr>
                <w:rStyle w:val="Hyperlink"/>
                <w:noProof/>
              </w:rPr>
              <w:t>5.2.2</w:t>
            </w:r>
            <w:r w:rsidR="008D6191">
              <w:rPr>
                <w:rFonts w:asciiTheme="minorHAnsi" w:eastAsiaTheme="minorEastAsia" w:hAnsiTheme="minorHAnsi"/>
                <w:noProof/>
                <w:sz w:val="22"/>
                <w:lang w:eastAsia="en-GB"/>
              </w:rPr>
              <w:tab/>
            </w:r>
            <w:r w:rsidR="008D6191" w:rsidRPr="00B84BA6">
              <w:rPr>
                <w:rStyle w:val="Hyperlink"/>
                <w:noProof/>
              </w:rPr>
              <w:t>Collecting additional outcome monitoring data</w:t>
            </w:r>
            <w:r w:rsidR="008D6191">
              <w:rPr>
                <w:noProof/>
                <w:webHidden/>
              </w:rPr>
              <w:tab/>
            </w:r>
            <w:r w:rsidR="008D6191">
              <w:rPr>
                <w:noProof/>
                <w:webHidden/>
              </w:rPr>
              <w:fldChar w:fldCharType="begin"/>
            </w:r>
            <w:r w:rsidR="008D6191">
              <w:rPr>
                <w:noProof/>
                <w:webHidden/>
              </w:rPr>
              <w:instrText xml:space="preserve"> PAGEREF _Toc35960443 \h </w:instrText>
            </w:r>
            <w:r w:rsidR="008D6191">
              <w:rPr>
                <w:noProof/>
                <w:webHidden/>
              </w:rPr>
            </w:r>
            <w:r w:rsidR="008D6191">
              <w:rPr>
                <w:noProof/>
                <w:webHidden/>
              </w:rPr>
              <w:fldChar w:fldCharType="separate"/>
            </w:r>
            <w:r w:rsidR="0011458D">
              <w:rPr>
                <w:noProof/>
                <w:webHidden/>
              </w:rPr>
              <w:t>13</w:t>
            </w:r>
            <w:r w:rsidR="008D6191">
              <w:rPr>
                <w:noProof/>
                <w:webHidden/>
              </w:rPr>
              <w:fldChar w:fldCharType="end"/>
            </w:r>
          </w:hyperlink>
        </w:p>
        <w:p w14:paraId="69076C61" w14:textId="2A91739D" w:rsidR="008D6191" w:rsidRDefault="00354CE3">
          <w:pPr>
            <w:pStyle w:val="TOC2"/>
            <w:rPr>
              <w:rFonts w:asciiTheme="minorHAnsi" w:eastAsiaTheme="minorEastAsia" w:hAnsiTheme="minorHAnsi"/>
              <w:noProof/>
              <w:sz w:val="22"/>
              <w:lang w:eastAsia="en-GB"/>
            </w:rPr>
          </w:pPr>
          <w:hyperlink w:anchor="_Toc35960444" w:history="1">
            <w:r w:rsidR="008D6191" w:rsidRPr="00B84BA6">
              <w:rPr>
                <w:rStyle w:val="Hyperlink"/>
                <w:noProof/>
              </w:rPr>
              <w:t>5.3</w:t>
            </w:r>
            <w:r w:rsidR="008D6191">
              <w:rPr>
                <w:rFonts w:asciiTheme="minorHAnsi" w:eastAsiaTheme="minorEastAsia" w:hAnsiTheme="minorHAnsi"/>
                <w:noProof/>
                <w:sz w:val="22"/>
                <w:lang w:eastAsia="en-GB"/>
              </w:rPr>
              <w:tab/>
            </w:r>
            <w:r w:rsidR="008D6191" w:rsidRPr="00B84BA6">
              <w:rPr>
                <w:rStyle w:val="Hyperlink"/>
                <w:noProof/>
              </w:rPr>
              <w:t>Programme evaluation guidance</w:t>
            </w:r>
            <w:r w:rsidR="008D6191">
              <w:rPr>
                <w:noProof/>
                <w:webHidden/>
              </w:rPr>
              <w:tab/>
            </w:r>
            <w:r w:rsidR="008D6191">
              <w:rPr>
                <w:noProof/>
                <w:webHidden/>
              </w:rPr>
              <w:fldChar w:fldCharType="begin"/>
            </w:r>
            <w:r w:rsidR="008D6191">
              <w:rPr>
                <w:noProof/>
                <w:webHidden/>
              </w:rPr>
              <w:instrText xml:space="preserve"> PAGEREF _Toc35960444 \h </w:instrText>
            </w:r>
            <w:r w:rsidR="008D6191">
              <w:rPr>
                <w:noProof/>
                <w:webHidden/>
              </w:rPr>
            </w:r>
            <w:r w:rsidR="008D6191">
              <w:rPr>
                <w:noProof/>
                <w:webHidden/>
              </w:rPr>
              <w:fldChar w:fldCharType="separate"/>
            </w:r>
            <w:r w:rsidR="0011458D">
              <w:rPr>
                <w:noProof/>
                <w:webHidden/>
              </w:rPr>
              <w:t>13</w:t>
            </w:r>
            <w:r w:rsidR="008D6191">
              <w:rPr>
                <w:noProof/>
                <w:webHidden/>
              </w:rPr>
              <w:fldChar w:fldCharType="end"/>
            </w:r>
          </w:hyperlink>
        </w:p>
        <w:p w14:paraId="5CD5C31E" w14:textId="565CFCF6" w:rsidR="008D6191" w:rsidRDefault="00354CE3">
          <w:pPr>
            <w:pStyle w:val="TOC3"/>
            <w:tabs>
              <w:tab w:val="left" w:pos="1100"/>
              <w:tab w:val="right" w:leader="dot" w:pos="9622"/>
            </w:tabs>
            <w:rPr>
              <w:rFonts w:asciiTheme="minorHAnsi" w:eastAsiaTheme="minorEastAsia" w:hAnsiTheme="minorHAnsi"/>
              <w:noProof/>
              <w:sz w:val="22"/>
              <w:lang w:eastAsia="en-GB"/>
            </w:rPr>
          </w:pPr>
          <w:hyperlink w:anchor="_Toc35960445" w:history="1">
            <w:r w:rsidR="008D6191" w:rsidRPr="00B84BA6">
              <w:rPr>
                <w:rStyle w:val="Hyperlink"/>
                <w:noProof/>
              </w:rPr>
              <w:t>5.3.1</w:t>
            </w:r>
            <w:r w:rsidR="008D6191">
              <w:rPr>
                <w:rFonts w:asciiTheme="minorHAnsi" w:eastAsiaTheme="minorEastAsia" w:hAnsiTheme="minorHAnsi"/>
                <w:noProof/>
                <w:sz w:val="22"/>
                <w:lang w:eastAsia="en-GB"/>
              </w:rPr>
              <w:tab/>
            </w:r>
            <w:r w:rsidR="008D6191" w:rsidRPr="00B84BA6">
              <w:rPr>
                <w:rStyle w:val="Hyperlink"/>
                <w:noProof/>
              </w:rPr>
              <w:t>Will my programme require an evaluation?</w:t>
            </w:r>
            <w:r w:rsidR="008D6191">
              <w:rPr>
                <w:noProof/>
                <w:webHidden/>
              </w:rPr>
              <w:tab/>
            </w:r>
            <w:r w:rsidR="008D6191">
              <w:rPr>
                <w:noProof/>
                <w:webHidden/>
              </w:rPr>
              <w:fldChar w:fldCharType="begin"/>
            </w:r>
            <w:r w:rsidR="008D6191">
              <w:rPr>
                <w:noProof/>
                <w:webHidden/>
              </w:rPr>
              <w:instrText xml:space="preserve"> PAGEREF _Toc35960445 \h </w:instrText>
            </w:r>
            <w:r w:rsidR="008D6191">
              <w:rPr>
                <w:noProof/>
                <w:webHidden/>
              </w:rPr>
            </w:r>
            <w:r w:rsidR="008D6191">
              <w:rPr>
                <w:noProof/>
                <w:webHidden/>
              </w:rPr>
              <w:fldChar w:fldCharType="separate"/>
            </w:r>
            <w:r w:rsidR="0011458D">
              <w:rPr>
                <w:noProof/>
                <w:webHidden/>
              </w:rPr>
              <w:t>13</w:t>
            </w:r>
            <w:r w:rsidR="008D6191">
              <w:rPr>
                <w:noProof/>
                <w:webHidden/>
              </w:rPr>
              <w:fldChar w:fldCharType="end"/>
            </w:r>
          </w:hyperlink>
        </w:p>
        <w:p w14:paraId="0FAB35BC" w14:textId="12DA156D" w:rsidR="008D6191" w:rsidRDefault="00354CE3">
          <w:pPr>
            <w:pStyle w:val="TOC3"/>
            <w:tabs>
              <w:tab w:val="left" w:pos="1100"/>
              <w:tab w:val="right" w:leader="dot" w:pos="9622"/>
            </w:tabs>
            <w:rPr>
              <w:rFonts w:asciiTheme="minorHAnsi" w:eastAsiaTheme="minorEastAsia" w:hAnsiTheme="minorHAnsi"/>
              <w:noProof/>
              <w:sz w:val="22"/>
              <w:lang w:eastAsia="en-GB"/>
            </w:rPr>
          </w:pPr>
          <w:hyperlink w:anchor="_Toc35960446" w:history="1">
            <w:r w:rsidR="008D6191" w:rsidRPr="00B84BA6">
              <w:rPr>
                <w:rStyle w:val="Hyperlink"/>
                <w:noProof/>
              </w:rPr>
              <w:t>5.3.2</w:t>
            </w:r>
            <w:r w:rsidR="008D6191">
              <w:rPr>
                <w:rFonts w:asciiTheme="minorHAnsi" w:eastAsiaTheme="minorEastAsia" w:hAnsiTheme="minorHAnsi"/>
                <w:noProof/>
                <w:sz w:val="22"/>
                <w:lang w:eastAsia="en-GB"/>
              </w:rPr>
              <w:tab/>
            </w:r>
            <w:r w:rsidR="008D6191" w:rsidRPr="00B84BA6">
              <w:rPr>
                <w:rStyle w:val="Hyperlink"/>
                <w:noProof/>
              </w:rPr>
              <w:t>Programme evaluation plans</w:t>
            </w:r>
            <w:r w:rsidR="008D6191">
              <w:rPr>
                <w:noProof/>
                <w:webHidden/>
              </w:rPr>
              <w:tab/>
            </w:r>
            <w:r w:rsidR="008D6191">
              <w:rPr>
                <w:noProof/>
                <w:webHidden/>
              </w:rPr>
              <w:fldChar w:fldCharType="begin"/>
            </w:r>
            <w:r w:rsidR="008D6191">
              <w:rPr>
                <w:noProof/>
                <w:webHidden/>
              </w:rPr>
              <w:instrText xml:space="preserve"> PAGEREF _Toc35960446 \h </w:instrText>
            </w:r>
            <w:r w:rsidR="008D6191">
              <w:rPr>
                <w:noProof/>
                <w:webHidden/>
              </w:rPr>
            </w:r>
            <w:r w:rsidR="008D6191">
              <w:rPr>
                <w:noProof/>
                <w:webHidden/>
              </w:rPr>
              <w:fldChar w:fldCharType="separate"/>
            </w:r>
            <w:r w:rsidR="0011458D">
              <w:rPr>
                <w:noProof/>
                <w:webHidden/>
              </w:rPr>
              <w:t>13</w:t>
            </w:r>
            <w:r w:rsidR="008D6191">
              <w:rPr>
                <w:noProof/>
                <w:webHidden/>
              </w:rPr>
              <w:fldChar w:fldCharType="end"/>
            </w:r>
          </w:hyperlink>
        </w:p>
        <w:p w14:paraId="36392CFD" w14:textId="27D5F66E" w:rsidR="008D6191" w:rsidRDefault="00354CE3">
          <w:pPr>
            <w:pStyle w:val="TOC3"/>
            <w:tabs>
              <w:tab w:val="left" w:pos="1100"/>
              <w:tab w:val="right" w:leader="dot" w:pos="9622"/>
            </w:tabs>
            <w:rPr>
              <w:rFonts w:asciiTheme="minorHAnsi" w:eastAsiaTheme="minorEastAsia" w:hAnsiTheme="minorHAnsi"/>
              <w:noProof/>
              <w:sz w:val="22"/>
              <w:lang w:eastAsia="en-GB"/>
            </w:rPr>
          </w:pPr>
          <w:hyperlink w:anchor="_Toc35960447" w:history="1">
            <w:r w:rsidR="008D6191" w:rsidRPr="00B84BA6">
              <w:rPr>
                <w:rStyle w:val="Hyperlink"/>
                <w:noProof/>
              </w:rPr>
              <w:t>5.3.3</w:t>
            </w:r>
            <w:r w:rsidR="008D6191">
              <w:rPr>
                <w:rFonts w:asciiTheme="minorHAnsi" w:eastAsiaTheme="minorEastAsia" w:hAnsiTheme="minorHAnsi"/>
                <w:noProof/>
                <w:sz w:val="22"/>
                <w:lang w:eastAsia="en-GB"/>
              </w:rPr>
              <w:tab/>
            </w:r>
            <w:r w:rsidR="008D6191" w:rsidRPr="00B84BA6">
              <w:rPr>
                <w:rStyle w:val="Hyperlink"/>
                <w:noProof/>
              </w:rPr>
              <w:t>Programme evaluation objectives</w:t>
            </w:r>
            <w:r w:rsidR="008D6191">
              <w:rPr>
                <w:noProof/>
                <w:webHidden/>
              </w:rPr>
              <w:tab/>
            </w:r>
            <w:r w:rsidR="008D6191">
              <w:rPr>
                <w:noProof/>
                <w:webHidden/>
              </w:rPr>
              <w:fldChar w:fldCharType="begin"/>
            </w:r>
            <w:r w:rsidR="008D6191">
              <w:rPr>
                <w:noProof/>
                <w:webHidden/>
              </w:rPr>
              <w:instrText xml:space="preserve"> PAGEREF _Toc35960447 \h </w:instrText>
            </w:r>
            <w:r w:rsidR="008D6191">
              <w:rPr>
                <w:noProof/>
                <w:webHidden/>
              </w:rPr>
            </w:r>
            <w:r w:rsidR="008D6191">
              <w:rPr>
                <w:noProof/>
                <w:webHidden/>
              </w:rPr>
              <w:fldChar w:fldCharType="separate"/>
            </w:r>
            <w:r w:rsidR="0011458D">
              <w:rPr>
                <w:noProof/>
                <w:webHidden/>
              </w:rPr>
              <w:t>14</w:t>
            </w:r>
            <w:r w:rsidR="008D6191">
              <w:rPr>
                <w:noProof/>
                <w:webHidden/>
              </w:rPr>
              <w:fldChar w:fldCharType="end"/>
            </w:r>
          </w:hyperlink>
        </w:p>
        <w:p w14:paraId="4A7FA885" w14:textId="480DFCF9" w:rsidR="008D6191" w:rsidRDefault="00354CE3">
          <w:pPr>
            <w:pStyle w:val="TOC3"/>
            <w:tabs>
              <w:tab w:val="left" w:pos="1100"/>
              <w:tab w:val="right" w:leader="dot" w:pos="9622"/>
            </w:tabs>
            <w:rPr>
              <w:rFonts w:asciiTheme="minorHAnsi" w:eastAsiaTheme="minorEastAsia" w:hAnsiTheme="minorHAnsi"/>
              <w:noProof/>
              <w:sz w:val="22"/>
              <w:lang w:eastAsia="en-GB"/>
            </w:rPr>
          </w:pPr>
          <w:hyperlink w:anchor="_Toc35960448" w:history="1">
            <w:r w:rsidR="008D6191" w:rsidRPr="00B84BA6">
              <w:rPr>
                <w:rStyle w:val="Hyperlink"/>
                <w:noProof/>
              </w:rPr>
              <w:t>5.3.4</w:t>
            </w:r>
            <w:r w:rsidR="008D6191">
              <w:rPr>
                <w:rFonts w:asciiTheme="minorHAnsi" w:eastAsiaTheme="minorEastAsia" w:hAnsiTheme="minorHAnsi"/>
                <w:noProof/>
                <w:sz w:val="22"/>
                <w:lang w:eastAsia="en-GB"/>
              </w:rPr>
              <w:tab/>
            </w:r>
            <w:r w:rsidR="008D6191" w:rsidRPr="00B84BA6">
              <w:rPr>
                <w:rStyle w:val="Hyperlink"/>
                <w:noProof/>
              </w:rPr>
              <w:t>Commissioning an external evaluation</w:t>
            </w:r>
            <w:r w:rsidR="008D6191">
              <w:rPr>
                <w:noProof/>
                <w:webHidden/>
              </w:rPr>
              <w:tab/>
            </w:r>
            <w:r w:rsidR="008D6191">
              <w:rPr>
                <w:noProof/>
                <w:webHidden/>
              </w:rPr>
              <w:fldChar w:fldCharType="begin"/>
            </w:r>
            <w:r w:rsidR="008D6191">
              <w:rPr>
                <w:noProof/>
                <w:webHidden/>
              </w:rPr>
              <w:instrText xml:space="preserve"> PAGEREF _Toc35960448 \h </w:instrText>
            </w:r>
            <w:r w:rsidR="008D6191">
              <w:rPr>
                <w:noProof/>
                <w:webHidden/>
              </w:rPr>
            </w:r>
            <w:r w:rsidR="008D6191">
              <w:rPr>
                <w:noProof/>
                <w:webHidden/>
              </w:rPr>
              <w:fldChar w:fldCharType="separate"/>
            </w:r>
            <w:r w:rsidR="0011458D">
              <w:rPr>
                <w:noProof/>
                <w:webHidden/>
              </w:rPr>
              <w:t>14</w:t>
            </w:r>
            <w:r w:rsidR="008D6191">
              <w:rPr>
                <w:noProof/>
                <w:webHidden/>
              </w:rPr>
              <w:fldChar w:fldCharType="end"/>
            </w:r>
          </w:hyperlink>
        </w:p>
        <w:p w14:paraId="1E70E284" w14:textId="2BA06549" w:rsidR="008D6191" w:rsidRDefault="00354CE3">
          <w:pPr>
            <w:pStyle w:val="TOC3"/>
            <w:tabs>
              <w:tab w:val="left" w:pos="1100"/>
              <w:tab w:val="right" w:leader="dot" w:pos="9622"/>
            </w:tabs>
            <w:rPr>
              <w:rFonts w:asciiTheme="minorHAnsi" w:eastAsiaTheme="minorEastAsia" w:hAnsiTheme="minorHAnsi"/>
              <w:noProof/>
              <w:sz w:val="22"/>
              <w:lang w:eastAsia="en-GB"/>
            </w:rPr>
          </w:pPr>
          <w:hyperlink w:anchor="_Toc35960449" w:history="1">
            <w:r w:rsidR="008D6191" w:rsidRPr="00B84BA6">
              <w:rPr>
                <w:rStyle w:val="Hyperlink"/>
                <w:noProof/>
              </w:rPr>
              <w:t>5.3.5</w:t>
            </w:r>
            <w:r w:rsidR="008D6191">
              <w:rPr>
                <w:rFonts w:asciiTheme="minorHAnsi" w:eastAsiaTheme="minorEastAsia" w:hAnsiTheme="minorHAnsi"/>
                <w:noProof/>
                <w:sz w:val="22"/>
                <w:lang w:eastAsia="en-GB"/>
              </w:rPr>
              <w:tab/>
            </w:r>
            <w:r w:rsidR="008D6191" w:rsidRPr="00B84BA6">
              <w:rPr>
                <w:rStyle w:val="Hyperlink"/>
                <w:noProof/>
              </w:rPr>
              <w:t>Guidance for conducting evaluation using a peer review panel</w:t>
            </w:r>
            <w:r w:rsidR="008D6191">
              <w:rPr>
                <w:noProof/>
                <w:webHidden/>
              </w:rPr>
              <w:tab/>
            </w:r>
            <w:r w:rsidR="008D6191">
              <w:rPr>
                <w:noProof/>
                <w:webHidden/>
              </w:rPr>
              <w:fldChar w:fldCharType="begin"/>
            </w:r>
            <w:r w:rsidR="008D6191">
              <w:rPr>
                <w:noProof/>
                <w:webHidden/>
              </w:rPr>
              <w:instrText xml:space="preserve"> PAGEREF _Toc35960449 \h </w:instrText>
            </w:r>
            <w:r w:rsidR="008D6191">
              <w:rPr>
                <w:noProof/>
                <w:webHidden/>
              </w:rPr>
            </w:r>
            <w:r w:rsidR="008D6191">
              <w:rPr>
                <w:noProof/>
                <w:webHidden/>
              </w:rPr>
              <w:fldChar w:fldCharType="separate"/>
            </w:r>
            <w:r w:rsidR="0011458D">
              <w:rPr>
                <w:noProof/>
                <w:webHidden/>
              </w:rPr>
              <w:t>15</w:t>
            </w:r>
            <w:r w:rsidR="008D6191">
              <w:rPr>
                <w:noProof/>
                <w:webHidden/>
              </w:rPr>
              <w:fldChar w:fldCharType="end"/>
            </w:r>
          </w:hyperlink>
        </w:p>
        <w:p w14:paraId="6BAEA084" w14:textId="60C774BA" w:rsidR="008D6191" w:rsidRDefault="00354CE3">
          <w:pPr>
            <w:pStyle w:val="TOC1"/>
            <w:tabs>
              <w:tab w:val="right" w:leader="dot" w:pos="9622"/>
            </w:tabs>
            <w:rPr>
              <w:rFonts w:asciiTheme="minorHAnsi" w:eastAsiaTheme="minorEastAsia" w:hAnsiTheme="minorHAnsi"/>
              <w:noProof/>
              <w:sz w:val="22"/>
              <w:lang w:eastAsia="en-GB"/>
            </w:rPr>
          </w:pPr>
          <w:hyperlink w:anchor="_Toc35960450" w:history="1">
            <w:r w:rsidR="008D6191" w:rsidRPr="00B84BA6">
              <w:rPr>
                <w:rStyle w:val="Hyperlink"/>
                <w:noProof/>
              </w:rPr>
              <w:t>Annex A: Evaluation plan template</w:t>
            </w:r>
            <w:r w:rsidR="008D6191">
              <w:rPr>
                <w:noProof/>
                <w:webHidden/>
              </w:rPr>
              <w:tab/>
            </w:r>
            <w:r w:rsidR="008D6191">
              <w:rPr>
                <w:noProof/>
                <w:webHidden/>
              </w:rPr>
              <w:fldChar w:fldCharType="begin"/>
            </w:r>
            <w:r w:rsidR="008D6191">
              <w:rPr>
                <w:noProof/>
                <w:webHidden/>
              </w:rPr>
              <w:instrText xml:space="preserve"> PAGEREF _Toc35960450 \h </w:instrText>
            </w:r>
            <w:r w:rsidR="008D6191">
              <w:rPr>
                <w:noProof/>
                <w:webHidden/>
              </w:rPr>
            </w:r>
            <w:r w:rsidR="008D6191">
              <w:rPr>
                <w:noProof/>
                <w:webHidden/>
              </w:rPr>
              <w:fldChar w:fldCharType="separate"/>
            </w:r>
            <w:r w:rsidR="0011458D">
              <w:rPr>
                <w:noProof/>
                <w:webHidden/>
              </w:rPr>
              <w:t>16</w:t>
            </w:r>
            <w:r w:rsidR="008D6191">
              <w:rPr>
                <w:noProof/>
                <w:webHidden/>
              </w:rPr>
              <w:fldChar w:fldCharType="end"/>
            </w:r>
          </w:hyperlink>
        </w:p>
        <w:p w14:paraId="2550DB7F" w14:textId="50CE694A" w:rsidR="008D6191" w:rsidRDefault="00354CE3">
          <w:pPr>
            <w:pStyle w:val="TOC1"/>
            <w:tabs>
              <w:tab w:val="right" w:leader="dot" w:pos="9622"/>
            </w:tabs>
            <w:rPr>
              <w:rFonts w:asciiTheme="minorHAnsi" w:eastAsiaTheme="minorEastAsia" w:hAnsiTheme="minorHAnsi"/>
              <w:noProof/>
              <w:sz w:val="22"/>
              <w:lang w:eastAsia="en-GB"/>
            </w:rPr>
          </w:pPr>
          <w:hyperlink w:anchor="_Toc35960451" w:history="1">
            <w:r w:rsidR="008D6191" w:rsidRPr="00B84BA6">
              <w:rPr>
                <w:rStyle w:val="Hyperlink"/>
                <w:noProof/>
              </w:rPr>
              <w:t>Annex B: Evaluation questions and data sources</w:t>
            </w:r>
            <w:r w:rsidR="008D6191">
              <w:rPr>
                <w:noProof/>
                <w:webHidden/>
              </w:rPr>
              <w:tab/>
            </w:r>
            <w:r w:rsidR="008D6191">
              <w:rPr>
                <w:noProof/>
                <w:webHidden/>
              </w:rPr>
              <w:fldChar w:fldCharType="begin"/>
            </w:r>
            <w:r w:rsidR="008D6191">
              <w:rPr>
                <w:noProof/>
                <w:webHidden/>
              </w:rPr>
              <w:instrText xml:space="preserve"> PAGEREF _Toc35960451 \h </w:instrText>
            </w:r>
            <w:r w:rsidR="008D6191">
              <w:rPr>
                <w:noProof/>
                <w:webHidden/>
              </w:rPr>
            </w:r>
            <w:r w:rsidR="008D6191">
              <w:rPr>
                <w:noProof/>
                <w:webHidden/>
              </w:rPr>
              <w:fldChar w:fldCharType="separate"/>
            </w:r>
            <w:r w:rsidR="0011458D">
              <w:rPr>
                <w:noProof/>
                <w:webHidden/>
              </w:rPr>
              <w:t>20</w:t>
            </w:r>
            <w:r w:rsidR="008D6191">
              <w:rPr>
                <w:noProof/>
                <w:webHidden/>
              </w:rPr>
              <w:fldChar w:fldCharType="end"/>
            </w:r>
          </w:hyperlink>
        </w:p>
        <w:p w14:paraId="2A014E36" w14:textId="7A41CAEB" w:rsidR="008D6191" w:rsidRDefault="00354CE3">
          <w:pPr>
            <w:pStyle w:val="TOC1"/>
            <w:tabs>
              <w:tab w:val="right" w:leader="dot" w:pos="9622"/>
            </w:tabs>
            <w:rPr>
              <w:rFonts w:asciiTheme="minorHAnsi" w:eastAsiaTheme="minorEastAsia" w:hAnsiTheme="minorHAnsi"/>
              <w:noProof/>
              <w:sz w:val="22"/>
              <w:lang w:eastAsia="en-GB"/>
            </w:rPr>
          </w:pPr>
          <w:hyperlink w:anchor="_Toc35960452" w:history="1">
            <w:r w:rsidR="008D6191" w:rsidRPr="00B84BA6">
              <w:rPr>
                <w:rStyle w:val="Hyperlink"/>
                <w:noProof/>
              </w:rPr>
              <w:t>Annex C: Illustrative ‘menu’ of impact evaluation approaches</w:t>
            </w:r>
            <w:r w:rsidR="008D6191">
              <w:rPr>
                <w:noProof/>
                <w:webHidden/>
              </w:rPr>
              <w:tab/>
            </w:r>
            <w:r w:rsidR="008D6191">
              <w:rPr>
                <w:noProof/>
                <w:webHidden/>
              </w:rPr>
              <w:fldChar w:fldCharType="begin"/>
            </w:r>
            <w:r w:rsidR="008D6191">
              <w:rPr>
                <w:noProof/>
                <w:webHidden/>
              </w:rPr>
              <w:instrText xml:space="preserve"> PAGEREF _Toc35960452 \h </w:instrText>
            </w:r>
            <w:r w:rsidR="008D6191">
              <w:rPr>
                <w:noProof/>
                <w:webHidden/>
              </w:rPr>
            </w:r>
            <w:r w:rsidR="008D6191">
              <w:rPr>
                <w:noProof/>
                <w:webHidden/>
              </w:rPr>
              <w:fldChar w:fldCharType="separate"/>
            </w:r>
            <w:r w:rsidR="0011458D">
              <w:rPr>
                <w:noProof/>
                <w:webHidden/>
              </w:rPr>
              <w:t>22</w:t>
            </w:r>
            <w:r w:rsidR="008D6191">
              <w:rPr>
                <w:noProof/>
                <w:webHidden/>
              </w:rPr>
              <w:fldChar w:fldCharType="end"/>
            </w:r>
          </w:hyperlink>
        </w:p>
        <w:p w14:paraId="0F223481" w14:textId="2DCA3918" w:rsidR="008D6191" w:rsidRDefault="00354CE3">
          <w:pPr>
            <w:pStyle w:val="TOC1"/>
            <w:tabs>
              <w:tab w:val="right" w:leader="dot" w:pos="9622"/>
            </w:tabs>
            <w:rPr>
              <w:rFonts w:asciiTheme="minorHAnsi" w:eastAsiaTheme="minorEastAsia" w:hAnsiTheme="minorHAnsi"/>
              <w:noProof/>
              <w:sz w:val="22"/>
              <w:lang w:eastAsia="en-GB"/>
            </w:rPr>
          </w:pPr>
          <w:hyperlink w:anchor="_Toc35960453" w:history="1">
            <w:r w:rsidR="008D6191" w:rsidRPr="00B84BA6">
              <w:rPr>
                <w:rStyle w:val="Hyperlink"/>
                <w:noProof/>
              </w:rPr>
              <w:t>Annex D: SPF logic model</w:t>
            </w:r>
            <w:r w:rsidR="008D6191">
              <w:rPr>
                <w:noProof/>
                <w:webHidden/>
              </w:rPr>
              <w:tab/>
            </w:r>
            <w:r w:rsidR="008D6191">
              <w:rPr>
                <w:noProof/>
                <w:webHidden/>
              </w:rPr>
              <w:fldChar w:fldCharType="begin"/>
            </w:r>
            <w:r w:rsidR="008D6191">
              <w:rPr>
                <w:noProof/>
                <w:webHidden/>
              </w:rPr>
              <w:instrText xml:space="preserve"> PAGEREF _Toc35960453 \h </w:instrText>
            </w:r>
            <w:r w:rsidR="008D6191">
              <w:rPr>
                <w:noProof/>
                <w:webHidden/>
              </w:rPr>
            </w:r>
            <w:r w:rsidR="008D6191">
              <w:rPr>
                <w:noProof/>
                <w:webHidden/>
              </w:rPr>
              <w:fldChar w:fldCharType="separate"/>
            </w:r>
            <w:r w:rsidR="0011458D">
              <w:rPr>
                <w:noProof/>
                <w:webHidden/>
              </w:rPr>
              <w:t>24</w:t>
            </w:r>
            <w:r w:rsidR="008D6191">
              <w:rPr>
                <w:noProof/>
                <w:webHidden/>
              </w:rPr>
              <w:fldChar w:fldCharType="end"/>
            </w:r>
          </w:hyperlink>
        </w:p>
        <w:p w14:paraId="1C1D1D15" w14:textId="09F0EDDA" w:rsidR="00CC2E60" w:rsidRDefault="008D4208" w:rsidP="008D4208">
          <w:pPr>
            <w:rPr>
              <w:bCs/>
              <w:noProof/>
            </w:rPr>
          </w:pPr>
          <w:r w:rsidRPr="0068330F">
            <w:rPr>
              <w:b/>
              <w:bCs/>
              <w:noProof/>
            </w:rPr>
            <w:fldChar w:fldCharType="end"/>
          </w:r>
        </w:p>
      </w:sdtContent>
    </w:sdt>
    <w:bookmarkStart w:id="0" w:name="_Ref14451465" w:displacedByCustomXml="prev"/>
    <w:p w14:paraId="3AFB34CD" w14:textId="7DD87975" w:rsidR="008D4208" w:rsidRDefault="008D4208" w:rsidP="00CC2E60">
      <w:pPr>
        <w:pStyle w:val="Heading1"/>
        <w:numPr>
          <w:ilvl w:val="0"/>
          <w:numId w:val="30"/>
        </w:numPr>
      </w:pPr>
      <w:r>
        <w:br w:type="page"/>
      </w:r>
      <w:bookmarkStart w:id="1" w:name="_Toc35960422"/>
      <w:r w:rsidRPr="00CC2E60">
        <w:lastRenderedPageBreak/>
        <w:t>Introduction</w:t>
      </w:r>
      <w:bookmarkEnd w:id="1"/>
      <w:bookmarkEnd w:id="0"/>
    </w:p>
    <w:p w14:paraId="74B86833" w14:textId="77777777" w:rsidR="00CC2E60" w:rsidRPr="00CC2E60" w:rsidRDefault="00CC2E60" w:rsidP="00CC2E60">
      <w:pPr>
        <w:rPr>
          <w:sz w:val="2"/>
        </w:rPr>
      </w:pPr>
    </w:p>
    <w:p w14:paraId="52258260" w14:textId="77777777" w:rsidR="008D4208" w:rsidRDefault="008D4208" w:rsidP="00CC2E60">
      <w:pPr>
        <w:pStyle w:val="Heading2"/>
        <w:keepNext w:val="0"/>
        <w:keepLines w:val="0"/>
        <w:numPr>
          <w:ilvl w:val="1"/>
          <w:numId w:val="9"/>
        </w:numPr>
        <w:spacing w:before="0" w:after="160" w:line="259" w:lineRule="auto"/>
        <w:contextualSpacing/>
      </w:pPr>
      <w:bookmarkStart w:id="2" w:name="_Toc35960423"/>
      <w:r>
        <w:t>Purpose of the document</w:t>
      </w:r>
      <w:bookmarkEnd w:id="2"/>
    </w:p>
    <w:p w14:paraId="040777EB" w14:textId="77777777" w:rsidR="008D4208" w:rsidRDefault="008D4208" w:rsidP="008D4208">
      <w:r w:rsidRPr="0068330F">
        <w:t>This document sets out how monitoring and evaluation (M&amp;E) will be carried out for the Strategic Priorities Fund (SPF). It is intended to support M&amp;E leads within organisations in receipt of SPF funding, e.g. UKRI Councils and non-UKRI partner organisations</w:t>
      </w:r>
      <w:r w:rsidRPr="0068330F">
        <w:rPr>
          <w:rStyle w:val="FootnoteReference"/>
        </w:rPr>
        <w:footnoteReference w:id="2"/>
      </w:r>
      <w:r w:rsidRPr="0068330F">
        <w:t>, by providing guidance on monitoring</w:t>
      </w:r>
      <w:r>
        <w:t>,</w:t>
      </w:r>
      <w:r w:rsidRPr="0068330F">
        <w:t xml:space="preserve"> data collection </w:t>
      </w:r>
      <w:r>
        <w:t xml:space="preserve">and evaluation </w:t>
      </w:r>
      <w:r w:rsidRPr="0068330F">
        <w:t xml:space="preserve">requirements. It is also intended to inform BEIS and other stakeholders of the overarching plan for M&amp;E of the SPF, noting plans will necessarily evolve as we prepare to deliver the SPF evaluation. The guidance in this document is </w:t>
      </w:r>
      <w:r>
        <w:t>designed</w:t>
      </w:r>
      <w:r w:rsidRPr="0068330F">
        <w:t xml:space="preserve"> to </w:t>
      </w:r>
      <w:r>
        <w:t>be consistent with</w:t>
      </w:r>
      <w:r w:rsidRPr="0068330F">
        <w:t xml:space="preserve"> </w:t>
      </w:r>
      <w:r>
        <w:t>the</w:t>
      </w:r>
      <w:r w:rsidRPr="0068330F">
        <w:t xml:space="preserve"> UKRI </w:t>
      </w:r>
      <w:r>
        <w:t xml:space="preserve">Monitoring and Evaluation Framework, </w:t>
      </w:r>
      <w:r w:rsidRPr="0068330F">
        <w:t xml:space="preserve">and </w:t>
      </w:r>
      <w:r>
        <w:t xml:space="preserve">with wider </w:t>
      </w:r>
      <w:r w:rsidRPr="0068330F">
        <w:t xml:space="preserve">BEIS evaluation guidance. </w:t>
      </w:r>
    </w:p>
    <w:p w14:paraId="2D901A16" w14:textId="77777777" w:rsidR="008D4208" w:rsidRPr="0068330F" w:rsidRDefault="008D4208" w:rsidP="008D4208">
      <w:r w:rsidRPr="0068330F">
        <w:t>The processes outlined in this framework seek to enable robust analysis of how the SPF is delivered in practice and whether its objectives are being met, including what impact it has on knowledge, the economy and society. Through providing an understanding of the</w:t>
      </w:r>
      <w:r>
        <w:t xml:space="preserve"> extent to which the fund met its objectives, and the</w:t>
      </w:r>
      <w:r w:rsidRPr="0068330F">
        <w:t xml:space="preserve"> socio-economic impact of the SPF, the SPF evaluation will enable UKRI to assess how well the SPF is implemented, whether it delivers as expected, and whether it represents value for money. </w:t>
      </w:r>
    </w:p>
    <w:p w14:paraId="0C457BD0" w14:textId="77777777" w:rsidR="008D4208" w:rsidRDefault="008D4208" w:rsidP="00CC2E60">
      <w:pPr>
        <w:pStyle w:val="Heading2"/>
        <w:keepNext w:val="0"/>
        <w:keepLines w:val="0"/>
        <w:numPr>
          <w:ilvl w:val="1"/>
          <w:numId w:val="9"/>
        </w:numPr>
        <w:spacing w:before="0" w:after="160" w:line="259" w:lineRule="auto"/>
        <w:contextualSpacing/>
      </w:pPr>
      <w:bookmarkStart w:id="3" w:name="_Toc35960424"/>
      <w:r>
        <w:t>SPF aims and outcomes</w:t>
      </w:r>
      <w:bookmarkEnd w:id="3"/>
    </w:p>
    <w:p w14:paraId="60AB886B" w14:textId="77777777" w:rsidR="008D4208" w:rsidRPr="0068330F" w:rsidRDefault="008D4208" w:rsidP="008D4208">
      <w:r w:rsidRPr="0068330F">
        <w:t>The SPF aims to provide funding for high-quality multi-disciplinary research and innovation (MIDRI) and funding to respond to emerging strategic opportunities, whether identified by the Research &amp; Innovation (R&amp;I) communities or by other Government Departments. The SPF has an initial investment of £560m which UKRI will allocate over 3 years, aiming to fund:</w:t>
      </w:r>
    </w:p>
    <w:p w14:paraId="2F9D5101" w14:textId="77777777" w:rsidR="008D4208" w:rsidRPr="0068330F" w:rsidRDefault="008D4208" w:rsidP="00CC2E60">
      <w:pPr>
        <w:pStyle w:val="ListParagraph"/>
        <w:numPr>
          <w:ilvl w:val="0"/>
          <w:numId w:val="21"/>
        </w:numPr>
        <w:spacing w:after="160" w:line="259" w:lineRule="auto"/>
        <w:ind w:hanging="357"/>
        <w:contextualSpacing w:val="0"/>
      </w:pPr>
      <w:r w:rsidRPr="0068330F">
        <w:t>High-quality multi-disciplinary and inter-disciplinary research and innovation (MIDRI)</w:t>
      </w:r>
      <w:r>
        <w:t>;</w:t>
      </w:r>
    </w:p>
    <w:p w14:paraId="41396EED" w14:textId="77777777" w:rsidR="008D4208" w:rsidRPr="0068330F" w:rsidRDefault="008D4208" w:rsidP="00CC2E60">
      <w:pPr>
        <w:pStyle w:val="ListParagraph"/>
        <w:numPr>
          <w:ilvl w:val="0"/>
          <w:numId w:val="21"/>
        </w:numPr>
        <w:spacing w:after="160" w:line="259" w:lineRule="auto"/>
        <w:ind w:hanging="357"/>
        <w:contextualSpacing w:val="0"/>
      </w:pPr>
      <w:r w:rsidRPr="0068330F">
        <w:t>Research and innovation that crosses the boundaries between the 9 UKRI Councils and other government departments (OGDs) to address Government R&amp;I priorities; and</w:t>
      </w:r>
    </w:p>
    <w:p w14:paraId="53615296" w14:textId="77777777" w:rsidR="008D4208" w:rsidRPr="0068330F" w:rsidRDefault="008D4208" w:rsidP="00CC2E60">
      <w:pPr>
        <w:pStyle w:val="ListParagraph"/>
        <w:numPr>
          <w:ilvl w:val="0"/>
          <w:numId w:val="21"/>
        </w:numPr>
        <w:spacing w:after="160" w:line="259" w:lineRule="auto"/>
        <w:ind w:hanging="357"/>
        <w:contextualSpacing w:val="0"/>
      </w:pPr>
      <w:r w:rsidRPr="0068330F">
        <w:t>Strategically important R&amp;I that cannot be supported through other mechanisms. This will include:</w:t>
      </w:r>
    </w:p>
    <w:p w14:paraId="57AA3230" w14:textId="77777777" w:rsidR="008D4208" w:rsidRPr="0068330F" w:rsidRDefault="008D4208" w:rsidP="00CC2E60">
      <w:pPr>
        <w:pStyle w:val="ListParagraph"/>
        <w:numPr>
          <w:ilvl w:val="1"/>
          <w:numId w:val="21"/>
        </w:numPr>
        <w:spacing w:after="160" w:line="259" w:lineRule="auto"/>
        <w:ind w:hanging="357"/>
        <w:contextualSpacing w:val="0"/>
      </w:pPr>
      <w:r w:rsidRPr="0068330F">
        <w:t>Medium scale programmes which are typically too large to be funded through a Research Council / Innovate UK award, but not large enough to constitute an Industrial Strategy Challenge Fund (ISCF) ‘Grand Challenge’.</w:t>
      </w:r>
    </w:p>
    <w:p w14:paraId="37543248" w14:textId="77777777" w:rsidR="008D4208" w:rsidRPr="0068330F" w:rsidRDefault="008D4208" w:rsidP="00CC2E60">
      <w:pPr>
        <w:pStyle w:val="ListParagraph"/>
        <w:numPr>
          <w:ilvl w:val="1"/>
          <w:numId w:val="21"/>
        </w:numPr>
        <w:spacing w:after="160" w:line="259" w:lineRule="auto"/>
        <w:ind w:hanging="357"/>
        <w:contextualSpacing w:val="0"/>
      </w:pPr>
      <w:bookmarkStart w:id="4" w:name="_GoBack"/>
      <w:bookmarkEnd w:id="4"/>
      <w:r w:rsidRPr="0068330F">
        <w:t>Emerging opportunities that are not aligned to specific ISCF challenges but are strategically important.</w:t>
      </w:r>
    </w:p>
    <w:p w14:paraId="3419BBA4" w14:textId="77777777" w:rsidR="008D4208" w:rsidRPr="00A30920" w:rsidRDefault="008D4208" w:rsidP="00CC2E60">
      <w:pPr>
        <w:pStyle w:val="Heading2"/>
        <w:keepNext w:val="0"/>
        <w:keepLines w:val="0"/>
        <w:numPr>
          <w:ilvl w:val="1"/>
          <w:numId w:val="9"/>
        </w:numPr>
        <w:spacing w:before="0" w:after="160" w:line="259" w:lineRule="auto"/>
        <w:contextualSpacing/>
      </w:pPr>
      <w:bookmarkStart w:id="5" w:name="_Toc35960425"/>
      <w:r>
        <w:t>Evaluation challenges and our high-level strategy</w:t>
      </w:r>
      <w:bookmarkEnd w:id="5"/>
    </w:p>
    <w:p w14:paraId="5A4040FE" w14:textId="77777777" w:rsidR="008D4208" w:rsidRDefault="008D4208" w:rsidP="008D4208">
      <w:r w:rsidRPr="0068330F">
        <w:t xml:space="preserve">The Strategic Priorities Fund (SPF) business case was approved by BEIS on the condition that the SPF undergoes rigorous evaluation, and UKRI will be held to account on this. </w:t>
      </w:r>
      <w:r>
        <w:t xml:space="preserve">Evaluating the overall impact of the SPF represents an enormous challenge due to the breadth and diversity </w:t>
      </w:r>
      <w:r w:rsidRPr="0068330F">
        <w:t>of programmes</w:t>
      </w:r>
      <w:r w:rsidRPr="0068330F">
        <w:rPr>
          <w:rStyle w:val="FootnoteReference"/>
        </w:rPr>
        <w:footnoteReference w:id="3"/>
      </w:r>
      <w:r w:rsidRPr="0068330F">
        <w:t xml:space="preserve"> </w:t>
      </w:r>
      <w:r>
        <w:t xml:space="preserve">and projects, </w:t>
      </w:r>
      <w:r>
        <w:lastRenderedPageBreak/>
        <w:t>each of which will have its own unique route to impact. Conventional challenges with evaluating research and innovation – such as time lags, data paucity, attribution, displacement, additionality etc. – further complicate the task.</w:t>
      </w:r>
    </w:p>
    <w:p w14:paraId="6E0A35E0" w14:textId="77777777" w:rsidR="008D4208" w:rsidRPr="0068330F" w:rsidRDefault="008D4208" w:rsidP="008D4208">
      <w:r w:rsidRPr="0068330F">
        <w:t xml:space="preserve">Good evaluation relies on good data. Without the right data being collected at each stage of a project, from application to completion and beyond, it is difficult to establish an accurate baseline and to monitor progress from this. This in turn limits our ability to establish the impact of funding further down the line. </w:t>
      </w:r>
    </w:p>
    <w:p w14:paraId="18C1B7E8" w14:textId="77777777" w:rsidR="008D4208" w:rsidRPr="0068330F" w:rsidRDefault="008D4208" w:rsidP="008D4208">
      <w:r>
        <w:t xml:space="preserve">Therefore, our </w:t>
      </w:r>
      <w:r w:rsidRPr="0068330F">
        <w:t>overall strategy for overcoming the challenge of evaluating the SPF</w:t>
      </w:r>
      <w:r>
        <w:t xml:space="preserve"> at the fund- and programme-level</w:t>
      </w:r>
      <w:r w:rsidRPr="0068330F">
        <w:t xml:space="preserve"> involves:</w:t>
      </w:r>
    </w:p>
    <w:p w14:paraId="5AB8F78D" w14:textId="77777777" w:rsidR="008D4208" w:rsidRPr="0068330F" w:rsidRDefault="008D4208" w:rsidP="00CC2E60">
      <w:pPr>
        <w:pStyle w:val="ListParagraph"/>
        <w:numPr>
          <w:ilvl w:val="0"/>
          <w:numId w:val="10"/>
        </w:numPr>
        <w:spacing w:after="160" w:line="259" w:lineRule="auto"/>
        <w:ind w:left="890" w:hanging="357"/>
        <w:contextualSpacing w:val="0"/>
      </w:pPr>
      <w:r w:rsidRPr="0068330F">
        <w:t xml:space="preserve">Ensuring the collection of a minimum </w:t>
      </w:r>
      <w:r>
        <w:t xml:space="preserve">baseline </w:t>
      </w:r>
      <w:r w:rsidRPr="0068330F">
        <w:t xml:space="preserve">dataset </w:t>
      </w:r>
      <w:r>
        <w:t xml:space="preserve">for all commissioned evaluations, with appropriate annual outcome monitoring data collection processes in place for all delivery organisations (see Section </w:t>
      </w:r>
      <w:r>
        <w:fldChar w:fldCharType="begin"/>
      </w:r>
      <w:r>
        <w:instrText xml:space="preserve"> REF _Ref14354943 \r \h </w:instrText>
      </w:r>
      <w:r>
        <w:fldChar w:fldCharType="separate"/>
      </w:r>
      <w:r>
        <w:t>5.1</w:t>
      </w:r>
      <w:r>
        <w:fldChar w:fldCharType="end"/>
      </w:r>
      <w:r>
        <w:t xml:space="preserve"> through Section </w:t>
      </w:r>
      <w:r>
        <w:fldChar w:fldCharType="begin"/>
      </w:r>
      <w:r>
        <w:instrText xml:space="preserve"> REF _Ref10908199 \r \h </w:instrText>
      </w:r>
      <w:r>
        <w:fldChar w:fldCharType="separate"/>
      </w:r>
      <w:r>
        <w:t>5.3</w:t>
      </w:r>
      <w:r>
        <w:fldChar w:fldCharType="end"/>
      </w:r>
      <w:r>
        <w:t>)</w:t>
      </w:r>
      <w:r w:rsidRPr="0068330F">
        <w:t xml:space="preserve">; </w:t>
      </w:r>
    </w:p>
    <w:p w14:paraId="04FDC5E0" w14:textId="77777777" w:rsidR="008D4208" w:rsidRDefault="008D4208" w:rsidP="00CC2E60">
      <w:pPr>
        <w:pStyle w:val="ListParagraph"/>
        <w:numPr>
          <w:ilvl w:val="0"/>
          <w:numId w:val="10"/>
        </w:numPr>
        <w:spacing w:after="160" w:line="259" w:lineRule="auto"/>
        <w:ind w:left="890" w:hanging="357"/>
        <w:contextualSpacing w:val="0"/>
      </w:pPr>
      <w:r w:rsidRPr="0068330F">
        <w:t xml:space="preserve">Planning the SPF </w:t>
      </w:r>
      <w:r>
        <w:t xml:space="preserve">fund- and programme-level </w:t>
      </w:r>
      <w:r w:rsidRPr="0068330F">
        <w:t>evaluation</w:t>
      </w:r>
      <w:r>
        <w:t>s</w:t>
      </w:r>
      <w:r w:rsidRPr="0068330F">
        <w:t xml:space="preserve"> well-ahead of commenc</w:t>
      </w:r>
      <w:r>
        <w:t>ement</w:t>
      </w:r>
      <w:r w:rsidRPr="0068330F">
        <w:t>, to inform data collection requirements on SPF programmes</w:t>
      </w:r>
      <w:r>
        <w:t>,</w:t>
      </w:r>
      <w:r w:rsidRPr="0068330F">
        <w:t xml:space="preserve"> adapt reporting exercises (as necessary) as early as possible</w:t>
      </w:r>
      <w:r>
        <w:t xml:space="preserve">, and to ensure that programme-level evaluations complement the fund-level evaluation while comprehensively assessing their unique objectives (see Section </w:t>
      </w:r>
      <w:r>
        <w:fldChar w:fldCharType="begin"/>
      </w:r>
      <w:r>
        <w:instrText xml:space="preserve"> REF _Ref14360629 \r \h </w:instrText>
      </w:r>
      <w:r>
        <w:fldChar w:fldCharType="separate"/>
      </w:r>
      <w:r>
        <w:t>4</w:t>
      </w:r>
      <w:r>
        <w:fldChar w:fldCharType="end"/>
      </w:r>
      <w:r>
        <w:t xml:space="preserve"> and Section </w:t>
      </w:r>
      <w:r>
        <w:fldChar w:fldCharType="begin"/>
      </w:r>
      <w:r>
        <w:instrText xml:space="preserve"> REF _Ref14354990 \r \h </w:instrText>
      </w:r>
      <w:r>
        <w:fldChar w:fldCharType="separate"/>
      </w:r>
      <w:r>
        <w:t>5.4</w:t>
      </w:r>
      <w:r>
        <w:fldChar w:fldCharType="end"/>
      </w:r>
      <w:r>
        <w:t>)</w:t>
      </w:r>
      <w:r w:rsidRPr="0068330F">
        <w:t>;</w:t>
      </w:r>
      <w:r>
        <w:t xml:space="preserve"> </w:t>
      </w:r>
    </w:p>
    <w:p w14:paraId="169CDA33" w14:textId="77777777" w:rsidR="008D4208" w:rsidRDefault="008D4208" w:rsidP="00CC2E60">
      <w:pPr>
        <w:pStyle w:val="ListParagraph"/>
        <w:numPr>
          <w:ilvl w:val="0"/>
          <w:numId w:val="10"/>
        </w:numPr>
        <w:spacing w:after="160" w:line="259" w:lineRule="auto"/>
        <w:ind w:left="890" w:hanging="357"/>
        <w:contextualSpacing w:val="0"/>
      </w:pPr>
      <w:r w:rsidRPr="0068330F">
        <w:t>Governing all SPF evaluation activity centrally though the NPIF Evaluation Board, and all performance monitoring activity through the SPF Oversight Group</w:t>
      </w:r>
      <w:r>
        <w:t xml:space="preserve"> (see section </w:t>
      </w:r>
      <w:r>
        <w:fldChar w:fldCharType="begin"/>
      </w:r>
      <w:r>
        <w:instrText xml:space="preserve"> REF _Ref14353793 \r \h </w:instrText>
      </w:r>
      <w:r>
        <w:fldChar w:fldCharType="separate"/>
      </w:r>
      <w:r>
        <w:t>3</w:t>
      </w:r>
      <w:r>
        <w:fldChar w:fldCharType="end"/>
      </w:r>
      <w:r>
        <w:t>)</w:t>
      </w:r>
      <w:r w:rsidRPr="0068330F">
        <w:t>.</w:t>
      </w:r>
    </w:p>
    <w:p w14:paraId="1A6B965E" w14:textId="77777777" w:rsidR="008D4208" w:rsidRPr="0068330F" w:rsidRDefault="008D4208" w:rsidP="00CC2E60">
      <w:pPr>
        <w:pStyle w:val="Heading1"/>
        <w:keepNext w:val="0"/>
        <w:numPr>
          <w:ilvl w:val="0"/>
          <w:numId w:val="9"/>
        </w:numPr>
        <w:spacing w:after="160" w:line="259" w:lineRule="auto"/>
        <w:contextualSpacing/>
      </w:pPr>
      <w:bookmarkStart w:id="6" w:name="_Ref14444345"/>
      <w:bookmarkStart w:id="7" w:name="_Toc35960426"/>
      <w:r w:rsidRPr="0068330F">
        <w:t>Overall framework for SPF monitoring and evaluation</w:t>
      </w:r>
      <w:bookmarkEnd w:id="6"/>
      <w:bookmarkEnd w:id="7"/>
    </w:p>
    <w:p w14:paraId="2C7464B3" w14:textId="77777777" w:rsidR="008D4208" w:rsidRDefault="008D4208" w:rsidP="008D4208">
      <w:r w:rsidRPr="00A30920">
        <w:fldChar w:fldCharType="begin"/>
      </w:r>
      <w:r w:rsidRPr="00A30920">
        <w:instrText xml:space="preserve"> REF _Ref14450353 \h  \* MERGEFORMAT </w:instrText>
      </w:r>
      <w:r w:rsidRPr="00A30920">
        <w:fldChar w:fldCharType="separate"/>
      </w:r>
      <w:r w:rsidRPr="00A30920">
        <w:t xml:space="preserve">Figure </w:t>
      </w:r>
      <w:r w:rsidRPr="00A30920">
        <w:rPr>
          <w:noProof/>
        </w:rPr>
        <w:t>1</w:t>
      </w:r>
      <w:r w:rsidRPr="00A30920">
        <w:fldChar w:fldCharType="end"/>
      </w:r>
      <w:r>
        <w:t xml:space="preserve"> below illustrates the links between monitoring and evaluation activity at all levels. Data and evidence collected on the impact of project funding will feed up to inform programme-level evaluations (where they take place). Programme-level evaluations will build on this information but will also consider wider, cross-cutting questions that will go beyond the data itself. Similarly, programme-level evaluation data and evidence will then feed into and inform the SPF fund-level evaluation, though this will not simply be an aggregation of programme-level evaluations. </w:t>
      </w:r>
    </w:p>
    <w:p w14:paraId="0847E49F" w14:textId="77777777" w:rsidR="008D4208" w:rsidRPr="00A30920" w:rsidRDefault="008D4208" w:rsidP="008D4208">
      <w:pPr>
        <w:pStyle w:val="Caption"/>
        <w:keepNext/>
        <w:jc w:val="center"/>
        <w:rPr>
          <w:b/>
          <w:i w:val="0"/>
          <w:color w:val="auto"/>
        </w:rPr>
      </w:pPr>
      <w:bookmarkStart w:id="8" w:name="_Ref14450353"/>
      <w:r w:rsidRPr="00A30920">
        <w:rPr>
          <w:b/>
          <w:i w:val="0"/>
          <w:color w:val="auto"/>
        </w:rPr>
        <w:lastRenderedPageBreak/>
        <w:t xml:space="preserve">Figure </w:t>
      </w:r>
      <w:r>
        <w:rPr>
          <w:b/>
          <w:i w:val="0"/>
          <w:color w:val="auto"/>
        </w:rPr>
        <w:fldChar w:fldCharType="begin"/>
      </w:r>
      <w:r>
        <w:rPr>
          <w:b/>
          <w:i w:val="0"/>
          <w:color w:val="auto"/>
        </w:rPr>
        <w:instrText xml:space="preserve"> SEQ Figure \* ARABIC </w:instrText>
      </w:r>
      <w:r>
        <w:rPr>
          <w:b/>
          <w:i w:val="0"/>
          <w:color w:val="auto"/>
        </w:rPr>
        <w:fldChar w:fldCharType="separate"/>
      </w:r>
      <w:r>
        <w:rPr>
          <w:b/>
          <w:i w:val="0"/>
          <w:noProof/>
          <w:color w:val="auto"/>
        </w:rPr>
        <w:t>1</w:t>
      </w:r>
      <w:r>
        <w:rPr>
          <w:b/>
          <w:i w:val="0"/>
          <w:color w:val="auto"/>
        </w:rPr>
        <w:fldChar w:fldCharType="end"/>
      </w:r>
      <w:r w:rsidRPr="00A30920">
        <w:rPr>
          <w:b/>
          <w:i w:val="0"/>
          <w:color w:val="auto"/>
        </w:rPr>
        <w:t>: Links between</w:t>
      </w:r>
      <w:r>
        <w:rPr>
          <w:b/>
          <w:i w:val="0"/>
          <w:color w:val="auto"/>
        </w:rPr>
        <w:t xml:space="preserve"> projects, and subsequent</w:t>
      </w:r>
      <w:r w:rsidRPr="00A30920">
        <w:rPr>
          <w:b/>
          <w:i w:val="0"/>
          <w:color w:val="auto"/>
        </w:rPr>
        <w:t xml:space="preserve"> evaluations at the programme- and fund-level</w:t>
      </w:r>
      <w:bookmarkEnd w:id="8"/>
    </w:p>
    <w:p w14:paraId="491A6713" w14:textId="77777777" w:rsidR="008D4208" w:rsidRDefault="008D4208" w:rsidP="008D4208">
      <w:pPr>
        <w:keepNext/>
        <w:jc w:val="center"/>
      </w:pPr>
      <w:r>
        <w:rPr>
          <w:noProof/>
          <w:lang w:eastAsia="en-GB"/>
        </w:rPr>
        <w:drawing>
          <wp:inline distT="0" distB="0" distL="0" distR="0" wp14:anchorId="3A3DC182" wp14:editId="6E356BD8">
            <wp:extent cx="6116320" cy="34080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16320" cy="3408045"/>
                    </a:xfrm>
                    <a:prstGeom prst="rect">
                      <a:avLst/>
                    </a:prstGeom>
                  </pic:spPr>
                </pic:pic>
              </a:graphicData>
            </a:graphic>
          </wp:inline>
        </w:drawing>
      </w:r>
    </w:p>
    <w:p w14:paraId="14F13067" w14:textId="77777777" w:rsidR="008D4208" w:rsidRDefault="008D4208" w:rsidP="008D4208">
      <w:r>
        <w:t xml:space="preserve">Section </w:t>
      </w:r>
      <w:r>
        <w:fldChar w:fldCharType="begin"/>
      </w:r>
      <w:r>
        <w:instrText xml:space="preserve"> REF _Ref14360629 \r \h </w:instrText>
      </w:r>
      <w:r>
        <w:fldChar w:fldCharType="separate"/>
      </w:r>
      <w:r>
        <w:t>4</w:t>
      </w:r>
      <w:r>
        <w:fldChar w:fldCharType="end"/>
      </w:r>
      <w:r>
        <w:t xml:space="preserve"> sets out the approach to evaluation at the fund level, while Section </w:t>
      </w:r>
      <w:r>
        <w:fldChar w:fldCharType="begin"/>
      </w:r>
      <w:r>
        <w:instrText xml:space="preserve"> REF _Ref14360728 \r \h </w:instrText>
      </w:r>
      <w:r>
        <w:fldChar w:fldCharType="separate"/>
      </w:r>
      <w:r>
        <w:t>5</w:t>
      </w:r>
      <w:r>
        <w:fldChar w:fldCharType="end"/>
      </w:r>
      <w:r>
        <w:t xml:space="preserve"> sets out the data collection, monitoring and evaluation activities required at the programme-level. All evaluations that take place, at every level, should contain an impact evaluation and a process evaluation, and should be planned </w:t>
      </w:r>
      <w:proofErr w:type="gramStart"/>
      <w:r>
        <w:t>using</w:t>
      </w:r>
      <w:proofErr w:type="gramEnd"/>
      <w:r>
        <w:t xml:space="preserve"> the evaluation plan set out in </w:t>
      </w:r>
      <w:r>
        <w:fldChar w:fldCharType="begin"/>
      </w:r>
      <w:r>
        <w:instrText xml:space="preserve"> REF _Ref14450390 \h </w:instrText>
      </w:r>
      <w:r>
        <w:fldChar w:fldCharType="separate"/>
      </w:r>
      <w:r>
        <w:t>Annex A</w:t>
      </w:r>
      <w:r>
        <w:fldChar w:fldCharType="end"/>
      </w:r>
      <w:r>
        <w:t xml:space="preserve">. Evaluation objectives that are common across all SPF programmes can be found in Section </w:t>
      </w:r>
      <w:r>
        <w:fldChar w:fldCharType="begin"/>
      </w:r>
      <w:r>
        <w:instrText xml:space="preserve"> REF _Ref14458628 \r \h </w:instrText>
      </w:r>
      <w:r>
        <w:fldChar w:fldCharType="separate"/>
      </w:r>
      <w:r>
        <w:t>5.4.3</w:t>
      </w:r>
      <w:r>
        <w:fldChar w:fldCharType="end"/>
      </w:r>
      <w:r>
        <w:t xml:space="preserve">. For information on when a programme-level evaluation is required, please refer to section </w:t>
      </w:r>
      <w:r>
        <w:fldChar w:fldCharType="begin"/>
      </w:r>
      <w:r>
        <w:instrText xml:space="preserve"> REF _Ref14355003 \r \h </w:instrText>
      </w:r>
      <w:r>
        <w:fldChar w:fldCharType="separate"/>
      </w:r>
      <w:r>
        <w:t>5.4.1</w:t>
      </w:r>
      <w:r>
        <w:fldChar w:fldCharType="end"/>
      </w:r>
      <w:r>
        <w:t>.</w:t>
      </w:r>
    </w:p>
    <w:p w14:paraId="03DA937F" w14:textId="77777777" w:rsidR="008D4208" w:rsidRDefault="008D4208" w:rsidP="008D4208">
      <w:r w:rsidRPr="00A30920">
        <w:fldChar w:fldCharType="begin"/>
      </w:r>
      <w:r w:rsidRPr="00CA18A7">
        <w:instrText xml:space="preserve"> REF _Ref14357811 \h </w:instrText>
      </w:r>
      <w:r w:rsidRPr="00A30920">
        <w:instrText xml:space="preserve"> \* MERGEFORMAT </w:instrText>
      </w:r>
      <w:r w:rsidRPr="00A30920">
        <w:fldChar w:fldCharType="separate"/>
      </w:r>
      <w:r w:rsidRPr="00CA18A7">
        <w:t xml:space="preserve">Figure </w:t>
      </w:r>
      <w:r w:rsidRPr="00A30920">
        <w:rPr>
          <w:i/>
          <w:noProof/>
        </w:rPr>
        <w:t>2</w:t>
      </w:r>
      <w:r w:rsidRPr="00A30920">
        <w:fldChar w:fldCharType="end"/>
      </w:r>
      <w:r>
        <w:t xml:space="preserve"> below summarises the overall framework for monitoring and data collection activities that will underpin evaluation activity. Monitoring will be conducted by all SPF delivery organisations in receipt of funding, in addition to relevant partner delivery organisations directly involved in projects or programmes that do not receive funding. Monitoring and data collection activities consist of delivery monitoring (see section </w:t>
      </w:r>
      <w:r>
        <w:fldChar w:fldCharType="begin"/>
      </w:r>
      <w:r>
        <w:instrText xml:space="preserve"> REF _Ref14354943 \r \h </w:instrText>
      </w:r>
      <w:r>
        <w:fldChar w:fldCharType="separate"/>
      </w:r>
      <w:r>
        <w:t>5.1</w:t>
      </w:r>
      <w:r>
        <w:fldChar w:fldCharType="end"/>
      </w:r>
      <w:r>
        <w:t xml:space="preserve">), baseline data collection for commissioned evaluations, and outcome monitoring (see section </w:t>
      </w:r>
      <w:r>
        <w:fldChar w:fldCharType="begin"/>
      </w:r>
      <w:r>
        <w:instrText xml:space="preserve"> REF _Ref10908199 \r \h </w:instrText>
      </w:r>
      <w:r>
        <w:fldChar w:fldCharType="separate"/>
      </w:r>
      <w:r>
        <w:t>5.3</w:t>
      </w:r>
      <w:r>
        <w:fldChar w:fldCharType="end"/>
      </w:r>
      <w:r>
        <w:t>).</w:t>
      </w:r>
    </w:p>
    <w:p w14:paraId="73592BD3" w14:textId="77777777" w:rsidR="008D4208" w:rsidRPr="00A30920" w:rsidRDefault="008D4208" w:rsidP="008D4208">
      <w:pPr>
        <w:pStyle w:val="Caption"/>
        <w:keepNext/>
        <w:jc w:val="center"/>
        <w:rPr>
          <w:b/>
          <w:i w:val="0"/>
          <w:color w:val="auto"/>
        </w:rPr>
      </w:pPr>
      <w:bookmarkStart w:id="9" w:name="_Ref14357811"/>
      <w:r w:rsidRPr="00A30920">
        <w:rPr>
          <w:b/>
          <w:i w:val="0"/>
          <w:color w:val="auto"/>
        </w:rPr>
        <w:t xml:space="preserve">Figure </w:t>
      </w:r>
      <w:r>
        <w:rPr>
          <w:b/>
          <w:i w:val="0"/>
          <w:color w:val="auto"/>
        </w:rPr>
        <w:fldChar w:fldCharType="begin"/>
      </w:r>
      <w:r>
        <w:rPr>
          <w:b/>
          <w:i w:val="0"/>
          <w:color w:val="auto"/>
        </w:rPr>
        <w:instrText xml:space="preserve"> SEQ Figure \* ARABIC </w:instrText>
      </w:r>
      <w:r>
        <w:rPr>
          <w:b/>
          <w:i w:val="0"/>
          <w:color w:val="auto"/>
        </w:rPr>
        <w:fldChar w:fldCharType="separate"/>
      </w:r>
      <w:r>
        <w:rPr>
          <w:b/>
          <w:i w:val="0"/>
          <w:noProof/>
          <w:color w:val="auto"/>
        </w:rPr>
        <w:t>2</w:t>
      </w:r>
      <w:r>
        <w:rPr>
          <w:b/>
          <w:i w:val="0"/>
          <w:color w:val="auto"/>
        </w:rPr>
        <w:fldChar w:fldCharType="end"/>
      </w:r>
      <w:r w:rsidRPr="00A30920">
        <w:rPr>
          <w:b/>
          <w:i w:val="0"/>
          <w:color w:val="auto"/>
        </w:rPr>
        <w:t>: overall framework of M&amp;E activity for the Strategic Priorities Fund</w:t>
      </w:r>
      <w:bookmarkEnd w:id="9"/>
    </w:p>
    <w:p w14:paraId="3EF342CD" w14:textId="77777777" w:rsidR="008D4208" w:rsidRDefault="008D4208" w:rsidP="008D4208">
      <w:pPr>
        <w:jc w:val="center"/>
        <w:rPr>
          <w:b/>
        </w:rPr>
      </w:pPr>
      <w:r w:rsidRPr="0068330F">
        <w:rPr>
          <w:b/>
          <w:noProof/>
          <w:sz w:val="24"/>
          <w:szCs w:val="24"/>
          <w:lang w:eastAsia="en-GB"/>
        </w:rPr>
        <w:drawing>
          <wp:inline distT="0" distB="0" distL="0" distR="0" wp14:anchorId="12773296" wp14:editId="743AC723">
            <wp:extent cx="3316406" cy="1132205"/>
            <wp:effectExtent l="0" t="0" r="17780" b="1079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55683C6" w14:textId="77777777" w:rsidR="008D4208" w:rsidRPr="0068330F" w:rsidRDefault="008D4208" w:rsidP="008D4208">
      <w:pPr>
        <w:jc w:val="center"/>
        <w:rPr>
          <w:b/>
        </w:rPr>
      </w:pPr>
    </w:p>
    <w:p w14:paraId="3309F97B" w14:textId="77777777" w:rsidR="008D4208" w:rsidRPr="0068330F" w:rsidRDefault="008D4208" w:rsidP="00CC2E60">
      <w:pPr>
        <w:pStyle w:val="Heading1"/>
        <w:keepNext w:val="0"/>
        <w:numPr>
          <w:ilvl w:val="0"/>
          <w:numId w:val="9"/>
        </w:numPr>
        <w:spacing w:after="160" w:line="259" w:lineRule="auto"/>
        <w:contextualSpacing/>
      </w:pPr>
      <w:bookmarkStart w:id="10" w:name="_Ref14353793"/>
      <w:bookmarkStart w:id="11" w:name="_Toc35960427"/>
      <w:r w:rsidRPr="0068330F">
        <w:lastRenderedPageBreak/>
        <w:t>Governance of SPF monitoring and evaluation</w:t>
      </w:r>
      <w:bookmarkEnd w:id="10"/>
      <w:bookmarkEnd w:id="11"/>
    </w:p>
    <w:p w14:paraId="20B4A027" w14:textId="77777777" w:rsidR="008D4208" w:rsidRDefault="008D4208" w:rsidP="008D4208">
      <w:r w:rsidRPr="0068330F">
        <w:t>Monitoring and evaluation are intrinsically linked. We need to closely monitor our SPF investments from the outset to ensure they are performing as intended, but also to support the processes of evaluating their impact at a later stage. We therefore have separate processes for governing performance monitoring and evaluation planning, on the basis that these functions require different decision-making expertise and decisions on different timescales.</w:t>
      </w:r>
      <w:r>
        <w:t xml:space="preserve"> </w:t>
      </w:r>
      <w:r w:rsidRPr="00A30920">
        <w:fldChar w:fldCharType="begin"/>
      </w:r>
      <w:r w:rsidRPr="00EA5976">
        <w:instrText xml:space="preserve"> REF _Ref14357835 \h </w:instrText>
      </w:r>
      <w:r w:rsidRPr="00A30920">
        <w:instrText xml:space="preserve"> \* MERGEFORMAT </w:instrText>
      </w:r>
      <w:r w:rsidRPr="00A30920">
        <w:fldChar w:fldCharType="separate"/>
      </w:r>
      <w:r w:rsidRPr="00EA5976">
        <w:t xml:space="preserve">Figure </w:t>
      </w:r>
      <w:r w:rsidRPr="00EA5976">
        <w:rPr>
          <w:noProof/>
        </w:rPr>
        <w:t>3</w:t>
      </w:r>
      <w:r w:rsidRPr="00A30920">
        <w:fldChar w:fldCharType="end"/>
      </w:r>
      <w:r>
        <w:t xml:space="preserve">, below, shows the interaction between boards. </w:t>
      </w:r>
    </w:p>
    <w:p w14:paraId="4C70C20C" w14:textId="77777777" w:rsidR="008D4208" w:rsidRPr="00A30920" w:rsidRDefault="008D4208" w:rsidP="008D4208">
      <w:pPr>
        <w:pStyle w:val="Caption"/>
        <w:keepNext/>
        <w:jc w:val="center"/>
        <w:rPr>
          <w:b/>
          <w:i w:val="0"/>
          <w:color w:val="auto"/>
        </w:rPr>
      </w:pPr>
      <w:bookmarkStart w:id="12" w:name="_Ref14357835"/>
      <w:r w:rsidRPr="00A30920">
        <w:rPr>
          <w:b/>
          <w:i w:val="0"/>
          <w:color w:val="auto"/>
        </w:rPr>
        <w:t xml:space="preserve">Figure </w:t>
      </w:r>
      <w:r w:rsidRPr="00A30920">
        <w:rPr>
          <w:b/>
          <w:i w:val="0"/>
          <w:color w:val="auto"/>
        </w:rPr>
        <w:fldChar w:fldCharType="begin"/>
      </w:r>
      <w:r w:rsidRPr="00A30920">
        <w:rPr>
          <w:b/>
          <w:i w:val="0"/>
          <w:color w:val="auto"/>
        </w:rPr>
        <w:instrText xml:space="preserve"> SEQ Figure \* ARABIC </w:instrText>
      </w:r>
      <w:r w:rsidRPr="00A30920">
        <w:rPr>
          <w:b/>
          <w:i w:val="0"/>
          <w:color w:val="auto"/>
        </w:rPr>
        <w:fldChar w:fldCharType="separate"/>
      </w:r>
      <w:r w:rsidRPr="00A30920">
        <w:rPr>
          <w:b/>
          <w:i w:val="0"/>
          <w:noProof/>
          <w:color w:val="auto"/>
        </w:rPr>
        <w:t>3</w:t>
      </w:r>
      <w:r w:rsidRPr="00A30920">
        <w:rPr>
          <w:b/>
          <w:i w:val="0"/>
          <w:color w:val="auto"/>
        </w:rPr>
        <w:fldChar w:fldCharType="end"/>
      </w:r>
      <w:r w:rsidRPr="00A30920">
        <w:rPr>
          <w:b/>
          <w:i w:val="0"/>
          <w:color w:val="auto"/>
        </w:rPr>
        <w:t>: SPF Governance Board Structure</w:t>
      </w:r>
      <w:bookmarkEnd w:id="12"/>
    </w:p>
    <w:p w14:paraId="1CD123F3" w14:textId="46EAF697" w:rsidR="008D4208" w:rsidRDefault="002A2CF2" w:rsidP="008D4208">
      <w:r>
        <w:rPr>
          <w:noProof/>
        </w:rPr>
        <w:drawing>
          <wp:inline distT="0" distB="0" distL="0" distR="0" wp14:anchorId="3F02CC7B" wp14:editId="696B6B6A">
            <wp:extent cx="5789673" cy="3724275"/>
            <wp:effectExtent l="19050" t="19050" r="2095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06812" cy="3735300"/>
                    </a:xfrm>
                    <a:prstGeom prst="rect">
                      <a:avLst/>
                    </a:prstGeom>
                    <a:ln>
                      <a:solidFill>
                        <a:schemeClr val="tx1"/>
                      </a:solidFill>
                    </a:ln>
                  </pic:spPr>
                </pic:pic>
              </a:graphicData>
            </a:graphic>
          </wp:inline>
        </w:drawing>
      </w:r>
    </w:p>
    <w:p w14:paraId="699A2A73" w14:textId="77777777" w:rsidR="008D4208" w:rsidRPr="0068330F" w:rsidRDefault="008D4208" w:rsidP="00CC2E60">
      <w:pPr>
        <w:pStyle w:val="Heading2"/>
        <w:keepNext w:val="0"/>
        <w:keepLines w:val="0"/>
        <w:numPr>
          <w:ilvl w:val="1"/>
          <w:numId w:val="9"/>
        </w:numPr>
        <w:spacing w:before="0" w:after="160" w:line="259" w:lineRule="auto"/>
        <w:contextualSpacing/>
      </w:pPr>
      <w:bookmarkStart w:id="13" w:name="_Toc35960428"/>
      <w:r>
        <w:t>SPF Oversight Working Group</w:t>
      </w:r>
      <w:bookmarkEnd w:id="13"/>
    </w:p>
    <w:p w14:paraId="5A5B5EBC" w14:textId="77777777" w:rsidR="008D4208" w:rsidRPr="0068330F" w:rsidRDefault="008D4208" w:rsidP="008D4208">
      <w:r w:rsidRPr="0068330F">
        <w:t xml:space="preserve">The </w:t>
      </w:r>
      <w:r w:rsidRPr="00A30920">
        <w:t xml:space="preserve">SPF Oversight </w:t>
      </w:r>
      <w:r>
        <w:t xml:space="preserve">Working </w:t>
      </w:r>
      <w:r w:rsidRPr="00A30920">
        <w:t>Group</w:t>
      </w:r>
      <w:r w:rsidRPr="0068330F">
        <w:t xml:space="preserve"> will meet quarterly (and more regularly when needed)</w:t>
      </w:r>
      <w:r>
        <w:t>; its role includes governing</w:t>
      </w:r>
      <w:r w:rsidRPr="0068330F">
        <w:t xml:space="preserve"> SPF performance monitoring activity. The group will be chaired by Richard Meadows, SPF Lead in UKRI Strategy Team; supported by the UKRI Strategy Team; and will report to the</w:t>
      </w:r>
      <w:r>
        <w:t xml:space="preserve"> SPF Oversight Board, the membership of which includes the UKRI Strategy Committee. The</w:t>
      </w:r>
      <w:r w:rsidRPr="0068330F">
        <w:t xml:space="preserve"> Group will be responsible for assessing overall progress on live programme delivery and performance, escalating issues to the UKRI Strategy Committee as necessary. Its remit </w:t>
      </w:r>
      <w:r>
        <w:t xml:space="preserve">with respect to monitoring and evaluation is to ensure </w:t>
      </w:r>
      <w:r w:rsidRPr="0068330F">
        <w:t>that monitoring and data collection is happening across the SPF in line with the principles and expectations set out in this document.</w:t>
      </w:r>
      <w:r>
        <w:t xml:space="preserve"> Will Naughton, the SPF lead, will be responsible for reviewing and approving M&amp;E plans, and for escalating analytical issues to the NPIF Evaluation Board as necessary.</w:t>
      </w:r>
    </w:p>
    <w:p w14:paraId="7E4E2DC8" w14:textId="77777777" w:rsidR="008D4208" w:rsidRPr="0068330F" w:rsidRDefault="008D4208" w:rsidP="008D4208">
      <w:r>
        <w:t>The membership</w:t>
      </w:r>
      <w:r w:rsidRPr="0068330F">
        <w:t xml:space="preserve"> of the SPF Oversight Group </w:t>
      </w:r>
      <w:r>
        <w:t>may evolve over time, but at present, it has the following members</w:t>
      </w:r>
      <w:r w:rsidRPr="0068330F">
        <w:t>:</w:t>
      </w:r>
    </w:p>
    <w:p w14:paraId="183F498B" w14:textId="77777777" w:rsidR="008D4208" w:rsidRDefault="008D4208" w:rsidP="00CC2E60">
      <w:pPr>
        <w:pStyle w:val="ListParagraph"/>
        <w:numPr>
          <w:ilvl w:val="0"/>
          <w:numId w:val="18"/>
        </w:numPr>
        <w:spacing w:after="160" w:line="259" w:lineRule="auto"/>
      </w:pPr>
      <w:r>
        <w:lastRenderedPageBreak/>
        <w:t>UKRI SPF Lead (Chair, Richard Meadows)</w:t>
      </w:r>
    </w:p>
    <w:p w14:paraId="4EF524F3" w14:textId="77777777" w:rsidR="008D4208" w:rsidRPr="0068330F" w:rsidRDefault="008D4208" w:rsidP="00CC2E60">
      <w:pPr>
        <w:pStyle w:val="ListParagraph"/>
        <w:numPr>
          <w:ilvl w:val="0"/>
          <w:numId w:val="18"/>
        </w:numPr>
        <w:spacing w:after="160" w:line="259" w:lineRule="auto"/>
      </w:pPr>
      <w:r>
        <w:t>SPF Finance Business Partners (</w:t>
      </w:r>
      <w:r w:rsidRPr="0068330F">
        <w:t xml:space="preserve">Gavin </w:t>
      </w:r>
      <w:proofErr w:type="spellStart"/>
      <w:r w:rsidRPr="0068330F">
        <w:t>Mapstone</w:t>
      </w:r>
      <w:proofErr w:type="spellEnd"/>
      <w:r w:rsidRPr="0068330F">
        <w:t xml:space="preserve"> and Edyta Winkler-Cope</w:t>
      </w:r>
      <w:r>
        <w:t>)</w:t>
      </w:r>
    </w:p>
    <w:p w14:paraId="2D9754BF" w14:textId="77777777" w:rsidR="008D4208" w:rsidRPr="0068330F" w:rsidRDefault="008D4208" w:rsidP="00CC2E60">
      <w:pPr>
        <w:pStyle w:val="ListParagraph"/>
        <w:numPr>
          <w:ilvl w:val="0"/>
          <w:numId w:val="18"/>
        </w:numPr>
        <w:spacing w:after="160" w:line="259" w:lineRule="auto"/>
      </w:pPr>
      <w:r>
        <w:t>SPF Lead Analyst (</w:t>
      </w:r>
      <w:r w:rsidRPr="0068330F">
        <w:t>Gareth Ward</w:t>
      </w:r>
      <w:r>
        <w:t>)</w:t>
      </w:r>
    </w:p>
    <w:p w14:paraId="219AEE64" w14:textId="77777777" w:rsidR="008D4208" w:rsidRPr="0068330F" w:rsidRDefault="008D4208" w:rsidP="00CC2E60">
      <w:pPr>
        <w:pStyle w:val="ListParagraph"/>
        <w:numPr>
          <w:ilvl w:val="0"/>
          <w:numId w:val="18"/>
        </w:numPr>
        <w:spacing w:after="160" w:line="259" w:lineRule="auto"/>
      </w:pPr>
      <w:r>
        <w:t>SPF M&amp;E Lead (</w:t>
      </w:r>
      <w:r w:rsidRPr="0068330F">
        <w:t>Will Naughton</w:t>
      </w:r>
      <w:r>
        <w:t>)</w:t>
      </w:r>
    </w:p>
    <w:p w14:paraId="4FB84559" w14:textId="77777777" w:rsidR="008D4208" w:rsidRPr="0068330F" w:rsidRDefault="008D4208" w:rsidP="00CC2E60">
      <w:pPr>
        <w:pStyle w:val="ListParagraph"/>
        <w:numPr>
          <w:ilvl w:val="0"/>
          <w:numId w:val="18"/>
        </w:numPr>
        <w:spacing w:after="160" w:line="259" w:lineRule="auto"/>
      </w:pPr>
      <w:r>
        <w:t>Operational Planning Lead (</w:t>
      </w:r>
      <w:r w:rsidRPr="0068330F">
        <w:t>Peter Rigby</w:t>
      </w:r>
      <w:r>
        <w:t>)</w:t>
      </w:r>
    </w:p>
    <w:p w14:paraId="6B494B0F" w14:textId="77777777" w:rsidR="008D4208" w:rsidRPr="0068330F" w:rsidRDefault="008D4208" w:rsidP="00CC2E60">
      <w:pPr>
        <w:pStyle w:val="ListParagraph"/>
        <w:numPr>
          <w:ilvl w:val="0"/>
          <w:numId w:val="18"/>
        </w:numPr>
        <w:spacing w:after="160" w:line="259" w:lineRule="auto"/>
      </w:pPr>
      <w:r w:rsidRPr="0068330F">
        <w:t>Communications</w:t>
      </w:r>
      <w:r>
        <w:t xml:space="preserve"> Lead (</w:t>
      </w:r>
      <w:r w:rsidRPr="0068330F">
        <w:t xml:space="preserve">Chris </w:t>
      </w:r>
      <w:proofErr w:type="spellStart"/>
      <w:r w:rsidRPr="0068330F">
        <w:t>Buratta</w:t>
      </w:r>
      <w:proofErr w:type="spellEnd"/>
      <w:r>
        <w:t>)</w:t>
      </w:r>
    </w:p>
    <w:p w14:paraId="75D17595" w14:textId="77777777" w:rsidR="008D4208" w:rsidRPr="0068330F" w:rsidRDefault="008D4208" w:rsidP="00CC2E60">
      <w:pPr>
        <w:pStyle w:val="ListParagraph"/>
        <w:numPr>
          <w:ilvl w:val="0"/>
          <w:numId w:val="18"/>
        </w:numPr>
        <w:spacing w:after="160" w:line="259" w:lineRule="auto"/>
      </w:pPr>
      <w:r>
        <w:t>SPF Team members (</w:t>
      </w:r>
      <w:r w:rsidRPr="0068330F">
        <w:t xml:space="preserve">Hayley </w:t>
      </w:r>
      <w:proofErr w:type="spellStart"/>
      <w:r w:rsidRPr="0068330F">
        <w:t>Terlevich</w:t>
      </w:r>
      <w:proofErr w:type="spellEnd"/>
      <w:r w:rsidRPr="0068330F">
        <w:t>, Secretariat</w:t>
      </w:r>
      <w:r>
        <w:t>; and Jamie Cowie)</w:t>
      </w:r>
    </w:p>
    <w:p w14:paraId="7F98CE22" w14:textId="77777777" w:rsidR="008D4208" w:rsidRDefault="008D4208" w:rsidP="00CC2E60">
      <w:pPr>
        <w:pStyle w:val="Heading2"/>
        <w:keepNext w:val="0"/>
        <w:keepLines w:val="0"/>
        <w:numPr>
          <w:ilvl w:val="1"/>
          <w:numId w:val="9"/>
        </w:numPr>
        <w:spacing w:before="0" w:after="160" w:line="259" w:lineRule="auto"/>
        <w:contextualSpacing/>
      </w:pPr>
      <w:bookmarkStart w:id="14" w:name="_Toc35960429"/>
      <w:r>
        <w:t>NPIF Evaluation Board</w:t>
      </w:r>
      <w:bookmarkEnd w:id="14"/>
    </w:p>
    <w:p w14:paraId="2428FC0B" w14:textId="77777777" w:rsidR="008D4208" w:rsidRPr="0068330F" w:rsidRDefault="008D4208" w:rsidP="008D4208">
      <w:r w:rsidRPr="0068330F">
        <w:t xml:space="preserve">The expertise required to oversee the design and delivery of the evaluation of cross-cutting funding programmes is common across our NPIF funding programmes. As such, the </w:t>
      </w:r>
      <w:r w:rsidRPr="00A30920">
        <w:t>NPIF Evaluation Board</w:t>
      </w:r>
      <w:r w:rsidRPr="0068330F">
        <w:t xml:space="preserve"> will be responsible for approving SPF evaluation plan and will agree the overall approach to the SPF process and impact evaluation. The Board </w:t>
      </w:r>
      <w:r>
        <w:t>is</w:t>
      </w:r>
      <w:r w:rsidRPr="0068330F">
        <w:t xml:space="preserve"> chaired by Henry Cormack; will report to the UKRI Strategy Committee, escalating issues as necessary; and will receive support from the UKRI Strategy Team and the UKRI Evaluation Team.</w:t>
      </w:r>
    </w:p>
    <w:p w14:paraId="5359F80E" w14:textId="77777777" w:rsidR="008D4208" w:rsidRPr="0068330F" w:rsidRDefault="008D4208" w:rsidP="008D4208">
      <w:r w:rsidRPr="0068330F">
        <w:t>The NPIF Evaluation Board’s specific responsibilities, with respect to the SPF evaluation, will include:</w:t>
      </w:r>
    </w:p>
    <w:p w14:paraId="3D8E048E" w14:textId="77777777" w:rsidR="008D4208" w:rsidRDefault="008D4208" w:rsidP="00CC2E60">
      <w:pPr>
        <w:pStyle w:val="ListParagraph"/>
        <w:numPr>
          <w:ilvl w:val="0"/>
          <w:numId w:val="17"/>
        </w:numPr>
        <w:spacing w:after="160" w:line="259" w:lineRule="auto"/>
      </w:pPr>
      <w:r w:rsidRPr="0068330F">
        <w:t xml:space="preserve">Approving the evaluation plan for the </w:t>
      </w:r>
      <w:r>
        <w:t xml:space="preserve">fund-level </w:t>
      </w:r>
      <w:r w:rsidRPr="0068330F">
        <w:t>SPF programme evaluation</w:t>
      </w:r>
    </w:p>
    <w:p w14:paraId="0C51A2C4" w14:textId="77777777" w:rsidR="008D4208" w:rsidRPr="0068330F" w:rsidRDefault="008D4208" w:rsidP="00CC2E60">
      <w:pPr>
        <w:pStyle w:val="ListParagraph"/>
        <w:numPr>
          <w:ilvl w:val="0"/>
          <w:numId w:val="17"/>
        </w:numPr>
        <w:spacing w:after="160" w:line="259" w:lineRule="auto"/>
      </w:pPr>
      <w:r>
        <w:t>Reviewing and approving programme-level SPF evaluation plans that are escalated by the SPF M&amp;E lead</w:t>
      </w:r>
    </w:p>
    <w:p w14:paraId="32DDF140" w14:textId="77777777" w:rsidR="008D4208" w:rsidRPr="0068330F" w:rsidRDefault="008D4208" w:rsidP="00CC2E60">
      <w:pPr>
        <w:pStyle w:val="ListParagraph"/>
        <w:numPr>
          <w:ilvl w:val="0"/>
          <w:numId w:val="17"/>
        </w:numPr>
        <w:spacing w:after="160" w:line="259" w:lineRule="auto"/>
      </w:pPr>
      <w:r w:rsidRPr="0068330F">
        <w:t>Setting direction and expectations on evaluation leads and their teams, providing advice and challenge as needed, including on data collection responsibilities</w:t>
      </w:r>
    </w:p>
    <w:p w14:paraId="077CF8FF" w14:textId="77777777" w:rsidR="008D4208" w:rsidRPr="0068330F" w:rsidRDefault="008D4208" w:rsidP="00CC2E60">
      <w:pPr>
        <w:pStyle w:val="ListParagraph"/>
        <w:numPr>
          <w:ilvl w:val="0"/>
          <w:numId w:val="17"/>
        </w:numPr>
        <w:spacing w:after="160" w:line="259" w:lineRule="auto"/>
      </w:pPr>
      <w:r w:rsidRPr="0068330F">
        <w:t>Assessing progress on SPF programme and project evaluation</w:t>
      </w:r>
    </w:p>
    <w:p w14:paraId="606912D2" w14:textId="77777777" w:rsidR="008D4208" w:rsidRPr="0068330F" w:rsidRDefault="008D4208" w:rsidP="00CC2E60">
      <w:pPr>
        <w:pStyle w:val="ListParagraph"/>
        <w:numPr>
          <w:ilvl w:val="0"/>
          <w:numId w:val="17"/>
        </w:numPr>
        <w:spacing w:after="160" w:line="259" w:lineRule="auto"/>
      </w:pPr>
      <w:r w:rsidRPr="0068330F">
        <w:t>Providing overall guidance and direction to evaluation development and methodology</w:t>
      </w:r>
    </w:p>
    <w:p w14:paraId="3A03E75E" w14:textId="77777777" w:rsidR="008D4208" w:rsidRPr="0068330F" w:rsidRDefault="008D4208" w:rsidP="00CC2E60">
      <w:pPr>
        <w:pStyle w:val="ListParagraph"/>
        <w:numPr>
          <w:ilvl w:val="0"/>
          <w:numId w:val="17"/>
        </w:numPr>
        <w:spacing w:after="160" w:line="259" w:lineRule="auto"/>
      </w:pPr>
      <w:r w:rsidRPr="0068330F">
        <w:t>Ensuring that evaluation commitments and responsibilities are being met by programme teams</w:t>
      </w:r>
    </w:p>
    <w:p w14:paraId="42CFDC43" w14:textId="77777777" w:rsidR="008D4208" w:rsidRPr="0068330F" w:rsidRDefault="008D4208" w:rsidP="00CC2E60">
      <w:pPr>
        <w:pStyle w:val="ListParagraph"/>
        <w:numPr>
          <w:ilvl w:val="0"/>
          <w:numId w:val="17"/>
        </w:numPr>
        <w:spacing w:after="160" w:line="259" w:lineRule="auto"/>
      </w:pPr>
      <w:r w:rsidRPr="0068330F">
        <w:t>Escalating to the UKRI Strategy Committee where evaluation progress, or findings from evaluation, suggest a change of direction may be needed.</w:t>
      </w:r>
    </w:p>
    <w:p w14:paraId="3B41CB62" w14:textId="77777777" w:rsidR="008D4208" w:rsidRPr="0068330F" w:rsidRDefault="008D4208" w:rsidP="008D4208">
      <w:r w:rsidRPr="0068330F">
        <w:t>The membership of the NPIF Evaluation Board for meetings relevant to the SPF will include:</w:t>
      </w:r>
    </w:p>
    <w:p w14:paraId="66244EA8" w14:textId="77777777" w:rsidR="008D4208" w:rsidRPr="0068330F" w:rsidRDefault="008D4208" w:rsidP="00CC2E60">
      <w:pPr>
        <w:pStyle w:val="ListParagraph"/>
        <w:numPr>
          <w:ilvl w:val="0"/>
          <w:numId w:val="19"/>
        </w:numPr>
        <w:spacing w:after="160" w:line="259" w:lineRule="auto"/>
      </w:pPr>
      <w:r w:rsidRPr="0068330F">
        <w:t>Head of UKRI Evaluation (Henry Cormack, chair)</w:t>
      </w:r>
    </w:p>
    <w:p w14:paraId="19EA7DFE" w14:textId="77777777" w:rsidR="008D4208" w:rsidRPr="0068330F" w:rsidRDefault="008D4208" w:rsidP="00CC2E60">
      <w:pPr>
        <w:pStyle w:val="ListParagraph"/>
        <w:numPr>
          <w:ilvl w:val="0"/>
          <w:numId w:val="19"/>
        </w:numPr>
        <w:spacing w:after="160" w:line="259" w:lineRule="auto"/>
      </w:pPr>
      <w:r w:rsidRPr="0068330F">
        <w:t>Representative from the BEIS Business &amp; Science Group</w:t>
      </w:r>
    </w:p>
    <w:p w14:paraId="53F02F85" w14:textId="77777777" w:rsidR="008D4208" w:rsidRPr="0068330F" w:rsidRDefault="008D4208" w:rsidP="00CC2E60">
      <w:pPr>
        <w:pStyle w:val="ListParagraph"/>
        <w:numPr>
          <w:ilvl w:val="0"/>
          <w:numId w:val="19"/>
        </w:numPr>
        <w:spacing w:after="160" w:line="259" w:lineRule="auto"/>
      </w:pPr>
      <w:r w:rsidRPr="0068330F">
        <w:t>Representative from the BEIS Central Analysis Team</w:t>
      </w:r>
    </w:p>
    <w:p w14:paraId="405BEEA3" w14:textId="77777777" w:rsidR="008D4208" w:rsidRDefault="008D4208" w:rsidP="00CC2E60">
      <w:pPr>
        <w:pStyle w:val="ListParagraph"/>
        <w:numPr>
          <w:ilvl w:val="0"/>
          <w:numId w:val="19"/>
        </w:numPr>
        <w:spacing w:after="0" w:line="259" w:lineRule="auto"/>
        <w:ind w:left="714" w:hanging="357"/>
      </w:pPr>
      <w:r w:rsidRPr="0068330F">
        <w:t>SPF Evaluation lead</w:t>
      </w:r>
      <w:r>
        <w:t xml:space="preserve"> (Will Naughton)</w:t>
      </w:r>
    </w:p>
    <w:p w14:paraId="21DEBD95" w14:textId="77777777" w:rsidR="008D4208" w:rsidRPr="0068330F" w:rsidRDefault="008D4208" w:rsidP="00CC2E60">
      <w:pPr>
        <w:pStyle w:val="ListParagraph"/>
        <w:numPr>
          <w:ilvl w:val="0"/>
          <w:numId w:val="19"/>
        </w:numPr>
        <w:spacing w:after="120" w:line="259" w:lineRule="auto"/>
        <w:ind w:left="714" w:hanging="357"/>
      </w:pPr>
      <w:r>
        <w:t>Representative from the UKRI Performance and Evaluation Network</w:t>
      </w:r>
    </w:p>
    <w:p w14:paraId="791BB2D9" w14:textId="77777777" w:rsidR="008D4208" w:rsidRPr="00A30920" w:rsidRDefault="008D4208" w:rsidP="00CC2E60">
      <w:pPr>
        <w:pStyle w:val="Heading2"/>
        <w:keepNext w:val="0"/>
        <w:keepLines w:val="0"/>
        <w:numPr>
          <w:ilvl w:val="1"/>
          <w:numId w:val="9"/>
        </w:numPr>
        <w:spacing w:before="0" w:after="160" w:line="259" w:lineRule="auto"/>
        <w:contextualSpacing/>
        <w:rPr>
          <w:sz w:val="28"/>
        </w:rPr>
      </w:pPr>
      <w:bookmarkStart w:id="15" w:name="_Ref14445440"/>
      <w:bookmarkStart w:id="16" w:name="_Toc35960430"/>
      <w:r w:rsidRPr="00A30920">
        <w:t>Programme-level M&amp;E governance and resource requirements</w:t>
      </w:r>
      <w:bookmarkEnd w:id="15"/>
      <w:bookmarkEnd w:id="16"/>
    </w:p>
    <w:p w14:paraId="36A9381A" w14:textId="77777777" w:rsidR="008D4208" w:rsidRDefault="008D4208" w:rsidP="008D4208">
      <w:r>
        <w:t xml:space="preserve">There is the need for dedicated resource for monitoring and evaluation on SPF programmes to meet our obligations set out in the business case, upon which our funding from BEIS and HMT is conditional. Programme </w:t>
      </w:r>
      <w:r w:rsidRPr="0017251C">
        <w:t>leads are responsible for ensuring that adequate resource is in place to deliver monitoring and evaluation. Typically, this means</w:t>
      </w:r>
      <w:r>
        <w:t xml:space="preserve"> appointing </w:t>
      </w:r>
      <w:r w:rsidRPr="0068330F">
        <w:t>a dedicated M&amp;E lead</w:t>
      </w:r>
      <w:r>
        <w:rPr>
          <w:rStyle w:val="FootnoteReference"/>
        </w:rPr>
        <w:footnoteReference w:id="4"/>
      </w:r>
      <w:r w:rsidRPr="0068330F">
        <w:t>,</w:t>
      </w:r>
      <w:r>
        <w:t xml:space="preserve"> and ensuring there is sufficient monitoring and evaluation </w:t>
      </w:r>
      <w:r w:rsidRPr="0017251C">
        <w:t xml:space="preserve">expertise in the relevant area of research, science, industry, sector or technology. Having identified relevant individuals to support the process, monitoring and evaluation leads </w:t>
      </w:r>
      <w:r w:rsidRPr="0017251C">
        <w:lastRenderedPageBreak/>
        <w:t>should consider how best to draw on their input during delivery. In most cases, a steering group that brings together experts at key moments in monitoring and evaluation delivery will be an effective way to do this.</w:t>
      </w:r>
      <w:r>
        <w:t xml:space="preserve"> </w:t>
      </w:r>
    </w:p>
    <w:p w14:paraId="14DA0E4C" w14:textId="77777777" w:rsidR="008D4208" w:rsidRPr="00A30920" w:rsidRDefault="008D4208" w:rsidP="008D4208">
      <w:pPr>
        <w:rPr>
          <w:b/>
          <w:sz w:val="28"/>
        </w:rPr>
      </w:pPr>
      <w:r>
        <w:t>Will Naughton, the</w:t>
      </w:r>
      <w:r w:rsidRPr="0068330F">
        <w:t xml:space="preserve"> SPF M&amp;E lead</w:t>
      </w:r>
      <w:r>
        <w:t>,</w:t>
      </w:r>
      <w:r w:rsidRPr="0068330F">
        <w:t xml:space="preserve"> will be responsible for coordinating SPF M&amp;E,</w:t>
      </w:r>
      <w:r>
        <w:t xml:space="preserve"> commissioning the evaluation of the fund-level evaluation, reviewing programme-level M&amp;E plans, and for supporting the operation of the NPIF Evaluation Board. </w:t>
      </w:r>
      <w:r w:rsidRPr="0068330F">
        <w:t xml:space="preserve"> The UKRI Evaluation Team, will support </w:t>
      </w:r>
      <w:r>
        <w:t xml:space="preserve">Will Naughton </w:t>
      </w:r>
      <w:r w:rsidRPr="0068330F">
        <w:t xml:space="preserve">on issues to do with analytical design and approach to the SPF programme evaluation. </w:t>
      </w:r>
      <w:r>
        <w:t>Will Naughton</w:t>
      </w:r>
      <w:r w:rsidRPr="0068330F">
        <w:t xml:space="preserve"> should be the point of contact for M&amp;E leads in delivery organisations for all enquiries relating to SPF M&amp;E.</w:t>
      </w:r>
      <w:r>
        <w:t xml:space="preserve"> </w:t>
      </w:r>
    </w:p>
    <w:p w14:paraId="0C632CB7" w14:textId="77777777" w:rsidR="008D4208" w:rsidRDefault="008D4208" w:rsidP="008D4208">
      <w:r>
        <w:t xml:space="preserve">For programmes that are undertaking an evaluation (see Section </w:t>
      </w:r>
      <w:r>
        <w:fldChar w:fldCharType="begin"/>
      </w:r>
      <w:r>
        <w:instrText xml:space="preserve"> REF _Ref14355003 \r \h </w:instrText>
      </w:r>
      <w:r>
        <w:fldChar w:fldCharType="separate"/>
      </w:r>
      <w:r>
        <w:t>5.4.1</w:t>
      </w:r>
      <w:r>
        <w:fldChar w:fldCharType="end"/>
      </w:r>
      <w:r>
        <w:t xml:space="preserve"> for guidance on whether your programme should be doing so), programme leads must ensure that there is sufficient budget for their evaluation, and sufficient management and governance processes to ensure that the evaluation is successful. Guidance on managing evaluations is set out in Section </w:t>
      </w:r>
      <w:r>
        <w:fldChar w:fldCharType="begin"/>
      </w:r>
      <w:r>
        <w:instrText xml:space="preserve"> REF _Ref14443956 \r \h </w:instrText>
      </w:r>
      <w:r>
        <w:fldChar w:fldCharType="separate"/>
      </w:r>
      <w:r>
        <w:t>5.4.4</w:t>
      </w:r>
      <w:r>
        <w:fldChar w:fldCharType="end"/>
      </w:r>
      <w:r>
        <w:t xml:space="preserve"> (for commissioned evaluations) and </w:t>
      </w:r>
      <w:r>
        <w:fldChar w:fldCharType="begin"/>
      </w:r>
      <w:r>
        <w:instrText xml:space="preserve"> REF _Ref14443958 \r \h </w:instrText>
      </w:r>
      <w:r>
        <w:fldChar w:fldCharType="separate"/>
      </w:r>
      <w:r>
        <w:t>5.4.5</w:t>
      </w:r>
      <w:r>
        <w:fldChar w:fldCharType="end"/>
      </w:r>
      <w:r>
        <w:t xml:space="preserve"> (for evaluation using a peer review panel).</w:t>
      </w:r>
    </w:p>
    <w:p w14:paraId="53B7174F" w14:textId="77777777" w:rsidR="008D4208" w:rsidRPr="00B47FF4" w:rsidRDefault="008D4208" w:rsidP="00CC2E60">
      <w:pPr>
        <w:pStyle w:val="Heading1"/>
        <w:keepNext w:val="0"/>
        <w:numPr>
          <w:ilvl w:val="0"/>
          <w:numId w:val="9"/>
        </w:numPr>
        <w:spacing w:after="160" w:line="259" w:lineRule="auto"/>
        <w:contextualSpacing/>
      </w:pPr>
      <w:bookmarkStart w:id="17" w:name="_Ref14360629"/>
      <w:bookmarkStart w:id="18" w:name="_Toc35960431"/>
      <w:r>
        <w:t>Fund-level evaluation</w:t>
      </w:r>
      <w:bookmarkEnd w:id="17"/>
      <w:bookmarkEnd w:id="18"/>
    </w:p>
    <w:p w14:paraId="32061FB2" w14:textId="77777777" w:rsidR="008D4208" w:rsidRPr="0068330F" w:rsidRDefault="008D4208" w:rsidP="00CC2E60">
      <w:pPr>
        <w:pStyle w:val="Heading2"/>
        <w:keepNext w:val="0"/>
        <w:keepLines w:val="0"/>
        <w:numPr>
          <w:ilvl w:val="1"/>
          <w:numId w:val="9"/>
        </w:numPr>
        <w:spacing w:before="0" w:after="160" w:line="259" w:lineRule="auto"/>
        <w:contextualSpacing/>
      </w:pPr>
      <w:bookmarkStart w:id="19" w:name="_Ref14458484"/>
      <w:bookmarkStart w:id="20" w:name="_Toc35960432"/>
      <w:r>
        <w:t>SPF objectives</w:t>
      </w:r>
      <w:bookmarkEnd w:id="19"/>
      <w:bookmarkEnd w:id="20"/>
    </w:p>
    <w:p w14:paraId="2FFABC04" w14:textId="77777777" w:rsidR="008D4208" w:rsidRDefault="008D4208" w:rsidP="008D4208">
      <w:r>
        <w:t xml:space="preserve">As set out in Section </w:t>
      </w:r>
      <w:r>
        <w:fldChar w:fldCharType="begin"/>
      </w:r>
      <w:r>
        <w:instrText xml:space="preserve"> REF _Ref14451465 \r \h </w:instrText>
      </w:r>
      <w:r>
        <w:fldChar w:fldCharType="separate"/>
      </w:r>
      <w:r>
        <w:t>1</w:t>
      </w:r>
      <w:r>
        <w:fldChar w:fldCharType="end"/>
      </w:r>
      <w:r>
        <w:t xml:space="preserve">, the SPF aims to provide funding for high-quality </w:t>
      </w:r>
      <w:r w:rsidRPr="0068330F">
        <w:t>multi-disciplinary research and innovation (MIDRI) and funding to respond to emerging strategic opportunities, whether identified by the Research &amp; Innovation (R&amp;I) communities or by other Government Departments.</w:t>
      </w:r>
    </w:p>
    <w:p w14:paraId="410BC2D0" w14:textId="77777777" w:rsidR="008D4208" w:rsidRDefault="008D4208" w:rsidP="008D4208">
      <w:r>
        <w:t>The high-level objectives of the SPF are therefore to:</w:t>
      </w:r>
    </w:p>
    <w:p w14:paraId="7B3D8BD6" w14:textId="77777777" w:rsidR="008D4208" w:rsidRPr="0068330F" w:rsidRDefault="008D4208" w:rsidP="00CC2E60">
      <w:pPr>
        <w:pStyle w:val="ListParagraph"/>
        <w:numPr>
          <w:ilvl w:val="0"/>
          <w:numId w:val="20"/>
        </w:numPr>
        <w:spacing w:after="160" w:line="259" w:lineRule="auto"/>
        <w:ind w:hanging="357"/>
        <w:contextualSpacing w:val="0"/>
      </w:pPr>
      <w:r w:rsidRPr="0068330F">
        <w:t>Drive an increase in high quality multi-disciplinary and inter-disciplinary research and innovation (MIDRI), by:</w:t>
      </w:r>
    </w:p>
    <w:p w14:paraId="032A8EA0" w14:textId="77777777" w:rsidR="008D4208" w:rsidRPr="0068330F" w:rsidRDefault="008D4208" w:rsidP="00CC2E60">
      <w:pPr>
        <w:pStyle w:val="ListParagraph"/>
        <w:numPr>
          <w:ilvl w:val="1"/>
          <w:numId w:val="20"/>
        </w:numPr>
        <w:spacing w:after="160" w:line="259" w:lineRule="auto"/>
        <w:ind w:hanging="357"/>
        <w:contextualSpacing w:val="0"/>
      </w:pPr>
      <w:r w:rsidRPr="0068330F">
        <w:t>De-risking the process of preparing/submitting MIDRI proposals for the R&amp;I community</w:t>
      </w:r>
    </w:p>
    <w:p w14:paraId="12AE4999" w14:textId="77777777" w:rsidR="008D4208" w:rsidRPr="0068330F" w:rsidRDefault="008D4208" w:rsidP="00CC2E60">
      <w:pPr>
        <w:pStyle w:val="ListParagraph"/>
        <w:numPr>
          <w:ilvl w:val="1"/>
          <w:numId w:val="20"/>
        </w:numPr>
        <w:spacing w:after="160" w:line="259" w:lineRule="auto"/>
        <w:ind w:hanging="357"/>
        <w:contextualSpacing w:val="0"/>
      </w:pPr>
      <w:r w:rsidRPr="0068330F">
        <w:t>Improving the efficacy of the funding system in assessing MIDRI proposals</w:t>
      </w:r>
    </w:p>
    <w:p w14:paraId="434A3246" w14:textId="77777777" w:rsidR="008D4208" w:rsidRPr="0068330F" w:rsidRDefault="008D4208" w:rsidP="00CC2E60">
      <w:pPr>
        <w:pStyle w:val="ListParagraph"/>
        <w:numPr>
          <w:ilvl w:val="0"/>
          <w:numId w:val="20"/>
        </w:numPr>
        <w:spacing w:after="160" w:line="259" w:lineRule="auto"/>
        <w:ind w:hanging="357"/>
        <w:contextualSpacing w:val="0"/>
      </w:pPr>
      <w:r w:rsidRPr="0068330F">
        <w:t>Ensure that UKRI’s investments link up effectively with cross-departmental R&amp;I priorities and opportunities, by:</w:t>
      </w:r>
    </w:p>
    <w:p w14:paraId="1077810C" w14:textId="77777777" w:rsidR="008D4208" w:rsidRPr="0068330F" w:rsidRDefault="008D4208" w:rsidP="00CC2E60">
      <w:pPr>
        <w:pStyle w:val="ListParagraph"/>
        <w:numPr>
          <w:ilvl w:val="1"/>
          <w:numId w:val="20"/>
        </w:numPr>
        <w:spacing w:after="160" w:line="259" w:lineRule="auto"/>
        <w:ind w:hanging="357"/>
        <w:contextualSpacing w:val="0"/>
      </w:pPr>
      <w:r w:rsidRPr="0068330F">
        <w:t>Improving the join up across Departments to establish consensus on key Government priorities for R&amp;D</w:t>
      </w:r>
    </w:p>
    <w:p w14:paraId="539E6620" w14:textId="77777777" w:rsidR="008D4208" w:rsidRPr="0068330F" w:rsidRDefault="008D4208" w:rsidP="00CC2E60">
      <w:pPr>
        <w:pStyle w:val="ListParagraph"/>
        <w:numPr>
          <w:ilvl w:val="1"/>
          <w:numId w:val="20"/>
        </w:numPr>
        <w:spacing w:after="160" w:line="259" w:lineRule="auto"/>
        <w:ind w:hanging="357"/>
        <w:contextualSpacing w:val="0"/>
      </w:pPr>
      <w:r w:rsidRPr="0068330F">
        <w:t>Increasing the understanding of Government priorities among R&amp;I funders</w:t>
      </w:r>
    </w:p>
    <w:p w14:paraId="7EC0BF60" w14:textId="77777777" w:rsidR="008D4208" w:rsidRPr="0068330F" w:rsidRDefault="008D4208" w:rsidP="00CC2E60">
      <w:pPr>
        <w:pStyle w:val="ListParagraph"/>
        <w:numPr>
          <w:ilvl w:val="1"/>
          <w:numId w:val="20"/>
        </w:numPr>
        <w:spacing w:after="160" w:line="259" w:lineRule="auto"/>
        <w:ind w:hanging="357"/>
        <w:contextualSpacing w:val="0"/>
      </w:pPr>
      <w:r w:rsidRPr="0068330F">
        <w:t>Improving the ability of the R&amp;D funding system to deliver cross-Government R&amp;D priorities through enabling Public Sector Research Establishments (PSREs) to bid for open competitions funded through the SPF</w:t>
      </w:r>
    </w:p>
    <w:p w14:paraId="437AB957" w14:textId="77777777" w:rsidR="008D4208" w:rsidRPr="0068330F" w:rsidRDefault="008D4208" w:rsidP="00CC2E60">
      <w:pPr>
        <w:pStyle w:val="ListParagraph"/>
        <w:numPr>
          <w:ilvl w:val="0"/>
          <w:numId w:val="20"/>
        </w:numPr>
        <w:spacing w:after="160" w:line="259" w:lineRule="auto"/>
        <w:ind w:hanging="357"/>
        <w:contextualSpacing w:val="0"/>
      </w:pPr>
      <w:r w:rsidRPr="0068330F">
        <w:t>Ensure the system is able to respond to strategic priorities and opportunities, by:</w:t>
      </w:r>
    </w:p>
    <w:p w14:paraId="562514FF" w14:textId="77777777" w:rsidR="008D4208" w:rsidRPr="0068330F" w:rsidRDefault="008D4208" w:rsidP="00CC2E60">
      <w:pPr>
        <w:pStyle w:val="ListParagraph"/>
        <w:numPr>
          <w:ilvl w:val="1"/>
          <w:numId w:val="20"/>
        </w:numPr>
        <w:spacing w:after="160" w:line="259" w:lineRule="auto"/>
        <w:ind w:hanging="357"/>
        <w:contextualSpacing w:val="0"/>
      </w:pPr>
      <w:r w:rsidRPr="0068330F">
        <w:t>Providing a funding route for high quality medium scale programmes</w:t>
      </w:r>
    </w:p>
    <w:p w14:paraId="67A36508" w14:textId="77777777" w:rsidR="008D4208" w:rsidRPr="0068330F" w:rsidRDefault="008D4208" w:rsidP="00CC2E60">
      <w:pPr>
        <w:pStyle w:val="ListParagraph"/>
        <w:numPr>
          <w:ilvl w:val="1"/>
          <w:numId w:val="20"/>
        </w:numPr>
        <w:spacing w:after="160" w:line="259" w:lineRule="auto"/>
        <w:ind w:hanging="357"/>
        <w:contextualSpacing w:val="0"/>
      </w:pPr>
      <w:r w:rsidRPr="0068330F">
        <w:t>Improving the agility of the funding system to respond to emerging opportunities</w:t>
      </w:r>
    </w:p>
    <w:p w14:paraId="0267E16A" w14:textId="77777777" w:rsidR="008D4208" w:rsidRDefault="008D4208" w:rsidP="008D4208">
      <w:r w:rsidRPr="0068330F">
        <w:lastRenderedPageBreak/>
        <w:t>High-quality M&amp;E is critical in enabling UKRI to track the progress of these funded activities, and to ensure public money is being spent in accordance with the stated aims of the SPF. It will also allow us to assess the value for money of the SPF, and to understand the impact of its activity on the UK’s knowledge, the economy and society.</w:t>
      </w:r>
    </w:p>
    <w:p w14:paraId="663F5C7F" w14:textId="77777777" w:rsidR="008D4208" w:rsidRPr="00A30920" w:rsidRDefault="008D4208" w:rsidP="00CC2E60">
      <w:pPr>
        <w:pStyle w:val="Heading3"/>
        <w:numPr>
          <w:ilvl w:val="2"/>
          <w:numId w:val="9"/>
        </w:numPr>
        <w:spacing w:after="120" w:line="259" w:lineRule="auto"/>
        <w:contextualSpacing/>
      </w:pPr>
      <w:bookmarkStart w:id="21" w:name="_Toc35960433"/>
      <w:r w:rsidRPr="00A30920">
        <w:t>Defining MIDRI</w:t>
      </w:r>
      <w:bookmarkEnd w:id="21"/>
    </w:p>
    <w:p w14:paraId="27CC6ECC" w14:textId="77777777" w:rsidR="008D4208" w:rsidRDefault="008D4208" w:rsidP="008D4208">
      <w:r>
        <w:t>As above, driving an increase in high-quality MIDRI, de-risking the process of submitting MIDRI proposals and improving the funding system’s efficacy in their assessment are a key objective of the SPF. Assessing whether the SPF has achieved these objectives will therefore be a key question that the evaluation will need to tackle.</w:t>
      </w:r>
    </w:p>
    <w:p w14:paraId="68C35FD9" w14:textId="77777777" w:rsidR="008D4208" w:rsidRDefault="008D4208" w:rsidP="008D4208">
      <w:r>
        <w:t xml:space="preserve">We can define MIDRI as research and training that brings together knowledge and modes of thinking from two or more disciplines or established fields of study. By this definition, however, no single way of measuring MIDRI. As such, we will recommend the use of a range of input and outcome indicators for the purpose of evaluation. The core set of MIDRI metrics are set out below. </w:t>
      </w:r>
    </w:p>
    <w:p w14:paraId="2A40FC92" w14:textId="77777777" w:rsidR="008D4208" w:rsidRDefault="008D4208" w:rsidP="008D4208">
      <w:r>
        <w:t>Potential input indicators (as absolute values and percentages of total research/training budgets) are as follows:</w:t>
      </w:r>
    </w:p>
    <w:p w14:paraId="1A2646BB" w14:textId="77777777" w:rsidR="008D4208" w:rsidRDefault="008D4208" w:rsidP="00CC2E60">
      <w:pPr>
        <w:pStyle w:val="ListParagraph"/>
        <w:numPr>
          <w:ilvl w:val="0"/>
          <w:numId w:val="27"/>
        </w:numPr>
        <w:spacing w:after="120" w:line="240" w:lineRule="auto"/>
        <w:ind w:left="714" w:hanging="357"/>
        <w:jc w:val="both"/>
      </w:pPr>
      <w:r>
        <w:t>Investment in grants involving researchers from more than one department discipline;</w:t>
      </w:r>
    </w:p>
    <w:p w14:paraId="497437AB" w14:textId="77777777" w:rsidR="008D4208" w:rsidRDefault="008D4208" w:rsidP="00CC2E60">
      <w:pPr>
        <w:pStyle w:val="ListParagraph"/>
        <w:numPr>
          <w:ilvl w:val="0"/>
          <w:numId w:val="27"/>
        </w:numPr>
        <w:spacing w:after="120" w:line="240" w:lineRule="auto"/>
        <w:ind w:left="714" w:hanging="357"/>
        <w:jc w:val="both"/>
      </w:pPr>
      <w:r>
        <w:t>Funding of programmes which are focused on a multidisciplinary area or are specifically to promote multidisciplinary research or training; and</w:t>
      </w:r>
    </w:p>
    <w:p w14:paraId="0A887CC2" w14:textId="77777777" w:rsidR="008D4208" w:rsidRDefault="008D4208" w:rsidP="00CC2E60">
      <w:pPr>
        <w:pStyle w:val="ListParagraph"/>
        <w:numPr>
          <w:ilvl w:val="0"/>
          <w:numId w:val="27"/>
        </w:numPr>
        <w:spacing w:after="120" w:line="240" w:lineRule="auto"/>
        <w:ind w:left="714" w:hanging="357"/>
        <w:jc w:val="both"/>
      </w:pPr>
      <w:r>
        <w:t>Funding into cross-council programmes.</w:t>
      </w:r>
    </w:p>
    <w:p w14:paraId="3126C597" w14:textId="77777777" w:rsidR="008D4208" w:rsidRDefault="008D4208" w:rsidP="008D4208">
      <w:r>
        <w:t>And potential output indicators:</w:t>
      </w:r>
    </w:p>
    <w:p w14:paraId="377704A7" w14:textId="77777777" w:rsidR="008D4208" w:rsidRDefault="008D4208" w:rsidP="00CC2E60">
      <w:pPr>
        <w:pStyle w:val="ListParagraph"/>
        <w:numPr>
          <w:ilvl w:val="0"/>
          <w:numId w:val="28"/>
        </w:numPr>
        <w:spacing w:after="160" w:line="259" w:lineRule="auto"/>
      </w:pPr>
      <w:r>
        <w:t>Authorship of papers for evidence of researchers in one discipline collaborating with others in other disciplines; and</w:t>
      </w:r>
    </w:p>
    <w:p w14:paraId="6BFA497D" w14:textId="77777777" w:rsidR="008D4208" w:rsidRDefault="008D4208" w:rsidP="00CC2E60">
      <w:pPr>
        <w:pStyle w:val="ListParagraph"/>
        <w:numPr>
          <w:ilvl w:val="0"/>
          <w:numId w:val="28"/>
        </w:numPr>
        <w:spacing w:after="160" w:line="259" w:lineRule="auto"/>
      </w:pPr>
      <w:r>
        <w:t>Analysis of citations received by authors in one discipline for evidence that those citing their work are active in other disciplines.</w:t>
      </w:r>
    </w:p>
    <w:p w14:paraId="7BE243E8" w14:textId="77777777" w:rsidR="008D4208" w:rsidRPr="00A30920" w:rsidRDefault="008D4208" w:rsidP="00CC2E60">
      <w:pPr>
        <w:pStyle w:val="Heading2"/>
        <w:keepNext w:val="0"/>
        <w:keepLines w:val="0"/>
        <w:numPr>
          <w:ilvl w:val="1"/>
          <w:numId w:val="9"/>
        </w:numPr>
        <w:spacing w:before="0" w:after="160" w:line="259" w:lineRule="auto"/>
        <w:contextualSpacing/>
      </w:pPr>
      <w:bookmarkStart w:id="22" w:name="_Toc35960434"/>
      <w:r w:rsidRPr="00A30920">
        <w:t>Evaluation approach</w:t>
      </w:r>
      <w:bookmarkEnd w:id="22"/>
    </w:p>
    <w:p w14:paraId="32541318" w14:textId="77777777" w:rsidR="008D4208" w:rsidRDefault="008D4208" w:rsidP="008D4208">
      <w:pPr>
        <w:rPr>
          <w:rFonts w:cs="Arial"/>
          <w:color w:val="000000" w:themeColor="text1"/>
        </w:rPr>
      </w:pPr>
      <w:r w:rsidRPr="0068330F">
        <w:rPr>
          <w:rFonts w:cs="Arial"/>
        </w:rPr>
        <w:t>Obtaining a reliable assessment</w:t>
      </w:r>
      <w:r w:rsidRPr="0068330F">
        <w:rPr>
          <w:rFonts w:cs="Arial"/>
          <w:color w:val="000000" w:themeColor="text1"/>
        </w:rPr>
        <w:t xml:space="preserve"> of the impact of the SPF will, as for any research and innovation evaluation, be difficult. Firstly, it will be a difficult to obtain a true baseline for the SPF’s impacts</w:t>
      </w:r>
      <w:r>
        <w:rPr>
          <w:rFonts w:cs="Arial"/>
          <w:color w:val="000000" w:themeColor="text1"/>
        </w:rPr>
        <w:t>.</w:t>
      </w:r>
      <w:r w:rsidRPr="0068330F">
        <w:rPr>
          <w:rFonts w:cs="Arial"/>
          <w:color w:val="000000" w:themeColor="text1"/>
        </w:rPr>
        <w:t xml:space="preserve"> </w:t>
      </w:r>
      <w:r>
        <w:rPr>
          <w:rFonts w:cs="Arial"/>
          <w:color w:val="000000" w:themeColor="text1"/>
        </w:rPr>
        <w:t>C</w:t>
      </w:r>
      <w:r w:rsidRPr="0068330F">
        <w:rPr>
          <w:rFonts w:cs="Arial"/>
          <w:color w:val="000000" w:themeColor="text1"/>
        </w:rPr>
        <w:t>omparison with existing or alternative schemes may be possible, as well as comparison with high-quality but unsuccessful SPF applications</w:t>
      </w:r>
      <w:r>
        <w:rPr>
          <w:rFonts w:cs="Arial"/>
          <w:color w:val="000000" w:themeColor="text1"/>
        </w:rPr>
        <w:t xml:space="preserve">, but this is predicated on there being successful and unsuccessful projects that have similar intended outcomes. </w:t>
      </w:r>
      <w:r w:rsidRPr="0068330F">
        <w:rPr>
          <w:rFonts w:cs="Arial"/>
          <w:color w:val="000000" w:themeColor="text1"/>
        </w:rPr>
        <w:t>Secondly, many of the longer-term outcomes and benefits of the SPF may not be visible for several years after the initial investment. At the same</w:t>
      </w:r>
      <w:r>
        <w:rPr>
          <w:rFonts w:cs="Arial"/>
          <w:color w:val="000000" w:themeColor="text1"/>
        </w:rPr>
        <w:t xml:space="preserve"> time</w:t>
      </w:r>
      <w:r w:rsidRPr="0068330F">
        <w:rPr>
          <w:rFonts w:cs="Arial"/>
          <w:color w:val="000000" w:themeColor="text1"/>
        </w:rPr>
        <w:t>, postponing the evaluation too long may increase the difficult of being able to track the outcomes and impacts of SPF projects. There are also issues with counterfactual construction, identifying appropriate control groups, and attribution of benefit (e.g. in many cases the SPF investment may be one contribution towards an economy- or society-changing outcome, or small relative to the size of an affected market).</w:t>
      </w:r>
    </w:p>
    <w:p w14:paraId="5E6D4447" w14:textId="77777777" w:rsidR="008D4208" w:rsidRPr="00A30920" w:rsidRDefault="008D4208" w:rsidP="008D4208">
      <w:pPr>
        <w:rPr>
          <w:rFonts w:cs="Arial"/>
          <w:color w:val="000000" w:themeColor="text1"/>
        </w:rPr>
      </w:pPr>
      <w:r>
        <w:rPr>
          <w:rFonts w:cs="Arial"/>
          <w:color w:val="000000" w:themeColor="text1"/>
        </w:rPr>
        <w:lastRenderedPageBreak/>
        <w:t xml:space="preserve">We have set out in </w:t>
      </w:r>
      <w:r>
        <w:rPr>
          <w:rFonts w:cs="Arial"/>
          <w:color w:val="000000" w:themeColor="text1"/>
        </w:rPr>
        <w:fldChar w:fldCharType="begin"/>
      </w:r>
      <w:r>
        <w:rPr>
          <w:rFonts w:cs="Arial"/>
          <w:color w:val="000000" w:themeColor="text1"/>
        </w:rPr>
        <w:instrText xml:space="preserve"> REF _Ref14447219 \h </w:instrText>
      </w:r>
      <w:r>
        <w:rPr>
          <w:rFonts w:cs="Arial"/>
          <w:color w:val="000000" w:themeColor="text1"/>
        </w:rPr>
      </w:r>
      <w:r>
        <w:rPr>
          <w:rFonts w:cs="Arial"/>
          <w:color w:val="000000" w:themeColor="text1"/>
        </w:rPr>
        <w:fldChar w:fldCharType="separate"/>
      </w:r>
      <w:r>
        <w:t>Annex C</w:t>
      </w:r>
      <w:r>
        <w:rPr>
          <w:rFonts w:cs="Arial"/>
          <w:color w:val="000000" w:themeColor="text1"/>
        </w:rPr>
        <w:fldChar w:fldCharType="end"/>
      </w:r>
      <w:r>
        <w:rPr>
          <w:rFonts w:cs="Arial"/>
          <w:color w:val="000000" w:themeColor="text1"/>
        </w:rPr>
        <w:t xml:space="preserve"> a summary overview of methodological approaches that could be used to evaluate the SPF, highlighting their dependencies and potential issues</w:t>
      </w:r>
      <w:r>
        <w:rPr>
          <w:rStyle w:val="FootnoteReference"/>
          <w:rFonts w:cs="Arial"/>
          <w:color w:val="000000" w:themeColor="text1"/>
        </w:rPr>
        <w:footnoteReference w:id="5"/>
      </w:r>
      <w:r>
        <w:rPr>
          <w:rFonts w:cs="Arial"/>
          <w:color w:val="000000" w:themeColor="text1"/>
        </w:rPr>
        <w:t xml:space="preserve">. Broadly, we will seek </w:t>
      </w:r>
      <w:r w:rsidRPr="0068330F">
        <w:rPr>
          <w:rFonts w:cs="Arial"/>
          <w:color w:val="000000" w:themeColor="text1"/>
        </w:rPr>
        <w:t xml:space="preserve">to use quantitative analysis where it is feasible and sensible to do so, though </w:t>
      </w:r>
      <w:r w:rsidRPr="0068330F">
        <w:t>our primary aim in impact evaluation will be to develop a rounded understanding of impact to ensure that decisions on future investment within the SPF are based on an understanding of the holistic impact of the investments. In any evaluation we will seek to use a range of quantitative techniques, (including stakeholder interviews, surveys of successful and unsuccessful applicants, and case studies) alongside qualitative methods, to build up a rounded understanding. This will include a consideration of impacts across the logic model</w:t>
      </w:r>
      <w:r>
        <w:t xml:space="preserve"> (shown in </w:t>
      </w:r>
      <w:r>
        <w:fldChar w:fldCharType="begin"/>
      </w:r>
      <w:r>
        <w:instrText xml:space="preserve"> REF _Ref4423072 \h </w:instrText>
      </w:r>
      <w:r>
        <w:fldChar w:fldCharType="separate"/>
      </w:r>
      <w:r w:rsidRPr="0068330F">
        <w:t xml:space="preserve">Annex </w:t>
      </w:r>
      <w:r>
        <w:t>D</w:t>
      </w:r>
      <w:r>
        <w:fldChar w:fldCharType="end"/>
      </w:r>
      <w:r>
        <w:t>)</w:t>
      </w:r>
      <w:r w:rsidRPr="0068330F">
        <w:t>, where SPF funding may be one of several inputs that lead to the ultimate outcomes</w:t>
      </w:r>
      <w:r>
        <w:t>.</w:t>
      </w:r>
    </w:p>
    <w:p w14:paraId="20E1395A" w14:textId="77777777" w:rsidR="008D4208" w:rsidRPr="004B70F2" w:rsidRDefault="008D4208" w:rsidP="00CC2E60">
      <w:pPr>
        <w:pStyle w:val="Heading2"/>
        <w:keepNext w:val="0"/>
        <w:keepLines w:val="0"/>
        <w:numPr>
          <w:ilvl w:val="1"/>
          <w:numId w:val="9"/>
        </w:numPr>
        <w:spacing w:before="0" w:after="160" w:line="259" w:lineRule="auto"/>
        <w:contextualSpacing/>
      </w:pPr>
      <w:bookmarkStart w:id="23" w:name="_Toc35960435"/>
      <w:r>
        <w:t>Evaluation questions</w:t>
      </w:r>
      <w:bookmarkEnd w:id="23"/>
    </w:p>
    <w:p w14:paraId="7B61F833" w14:textId="77777777" w:rsidR="008D4208" w:rsidRDefault="008D4208" w:rsidP="008D4208">
      <w:r w:rsidRPr="0068330F">
        <w:t>The precise questions, indicators and methodology for the overarching SPF evaluation will be developed through the process of developing an evaluation specification, and subsequently refined by the appointed SPF evaluating organisation lead as part of their task of developing a framework for the SPF evaluation.</w:t>
      </w:r>
    </w:p>
    <w:p w14:paraId="787BB9CE" w14:textId="77777777" w:rsidR="008D4208" w:rsidRDefault="008D4208" w:rsidP="008D4208">
      <w:r w:rsidRPr="0068330F">
        <w:t>For now, we have set out some high-level questions</w:t>
      </w:r>
      <w:r>
        <w:t xml:space="preserve"> and possible indicators that the evaluation should seek to address in </w:t>
      </w:r>
      <w:r>
        <w:fldChar w:fldCharType="begin"/>
      </w:r>
      <w:r>
        <w:instrText xml:space="preserve"> REF _Ref14447204 \h </w:instrText>
      </w:r>
      <w:r>
        <w:fldChar w:fldCharType="separate"/>
      </w:r>
      <w:r>
        <w:t>Annex B</w:t>
      </w:r>
      <w:r>
        <w:fldChar w:fldCharType="end"/>
      </w:r>
      <w:r>
        <w:t xml:space="preserve">. We have also set out an indicative menu of possible approaches to the evaluation in </w:t>
      </w:r>
      <w:r>
        <w:fldChar w:fldCharType="begin"/>
      </w:r>
      <w:r>
        <w:instrText xml:space="preserve"> REF _Ref14447219 \h </w:instrText>
      </w:r>
      <w:r>
        <w:fldChar w:fldCharType="separate"/>
      </w:r>
      <w:r>
        <w:t>Annex C</w:t>
      </w:r>
      <w:r>
        <w:fldChar w:fldCharType="end"/>
      </w:r>
      <w:r>
        <w:t>. These will be built upon in the SPF evaluation tender.</w:t>
      </w:r>
    </w:p>
    <w:p w14:paraId="3D9408A6" w14:textId="77777777" w:rsidR="008D4208" w:rsidRDefault="008D4208" w:rsidP="008D4208">
      <w:r>
        <w:t>In the following subsections, we have listed the key questions that should be addressed by the fund-level process and early assessment of impact evaluations.</w:t>
      </w:r>
    </w:p>
    <w:p w14:paraId="731CA909" w14:textId="77777777" w:rsidR="008D4208" w:rsidRDefault="008D4208" w:rsidP="00CC2E60">
      <w:pPr>
        <w:pStyle w:val="Heading3"/>
        <w:numPr>
          <w:ilvl w:val="2"/>
          <w:numId w:val="9"/>
        </w:numPr>
        <w:spacing w:after="120" w:line="259" w:lineRule="auto"/>
        <w:contextualSpacing/>
      </w:pPr>
      <w:bookmarkStart w:id="24" w:name="_Ref14444427"/>
      <w:bookmarkStart w:id="25" w:name="_Toc35960436"/>
      <w:r>
        <w:t>Process evaluation questions</w:t>
      </w:r>
      <w:bookmarkEnd w:id="24"/>
      <w:bookmarkEnd w:id="25"/>
    </w:p>
    <w:p w14:paraId="2D8DAB37" w14:textId="77777777" w:rsidR="008D4208" w:rsidRPr="0068330F" w:rsidRDefault="008D4208" w:rsidP="008D4208">
      <w:pPr>
        <w:rPr>
          <w:b/>
          <w:i/>
        </w:rPr>
      </w:pPr>
      <w:r w:rsidRPr="0068330F">
        <w:rPr>
          <w:rFonts w:cs="Arial"/>
        </w:rPr>
        <w:t xml:space="preserve">The SPF </w:t>
      </w:r>
      <w:r>
        <w:rPr>
          <w:rFonts w:cs="Arial"/>
        </w:rPr>
        <w:t xml:space="preserve">fund-level </w:t>
      </w:r>
      <w:r w:rsidRPr="0068330F">
        <w:rPr>
          <w:rFonts w:cs="Arial"/>
        </w:rPr>
        <w:t>process evaluation will tackle questions such as</w:t>
      </w:r>
      <w:r>
        <w:rPr>
          <w:rFonts w:cs="Arial"/>
        </w:rPr>
        <w:t xml:space="preserve"> those set out below. These process evaluation questions should also apply to programme-level evaluations.</w:t>
      </w:r>
    </w:p>
    <w:p w14:paraId="2EEE3B04" w14:textId="77777777" w:rsidR="008D4208" w:rsidRPr="0068330F" w:rsidRDefault="008D4208" w:rsidP="00CC2E60">
      <w:pPr>
        <w:pStyle w:val="ListParagraph"/>
        <w:numPr>
          <w:ilvl w:val="0"/>
          <w:numId w:val="14"/>
        </w:numPr>
        <w:spacing w:line="240" w:lineRule="auto"/>
      </w:pPr>
      <w:r w:rsidRPr="0068330F">
        <w:t>Is it working as intended?</w:t>
      </w:r>
    </w:p>
    <w:p w14:paraId="045AE0B9" w14:textId="77777777" w:rsidR="008D4208" w:rsidRPr="0068330F" w:rsidRDefault="008D4208" w:rsidP="00CC2E60">
      <w:pPr>
        <w:pStyle w:val="ListParagraph"/>
        <w:numPr>
          <w:ilvl w:val="0"/>
          <w:numId w:val="14"/>
        </w:numPr>
        <w:spacing w:line="240" w:lineRule="auto"/>
      </w:pPr>
      <w:r w:rsidRPr="0068330F">
        <w:t>Is it being delivered as intended?</w:t>
      </w:r>
    </w:p>
    <w:p w14:paraId="2D6BCBA3" w14:textId="77777777" w:rsidR="008D4208" w:rsidRPr="0068330F" w:rsidRDefault="008D4208" w:rsidP="00CC2E60">
      <w:pPr>
        <w:pStyle w:val="ListParagraph"/>
        <w:numPr>
          <w:ilvl w:val="0"/>
          <w:numId w:val="14"/>
        </w:numPr>
        <w:spacing w:line="240" w:lineRule="auto"/>
      </w:pPr>
      <w:r w:rsidRPr="0068330F">
        <w:t>Are targets for inputs and outputs being met?</w:t>
      </w:r>
    </w:p>
    <w:p w14:paraId="1B6FE90F" w14:textId="77777777" w:rsidR="008D4208" w:rsidRPr="0068330F" w:rsidRDefault="008D4208" w:rsidP="00CC2E60">
      <w:pPr>
        <w:pStyle w:val="ListParagraph"/>
        <w:numPr>
          <w:ilvl w:val="0"/>
          <w:numId w:val="14"/>
        </w:numPr>
        <w:spacing w:line="240" w:lineRule="auto"/>
      </w:pPr>
      <w:r w:rsidRPr="0068330F">
        <w:t>Are there any unexpected barriers or facilitators to desired impact?</w:t>
      </w:r>
    </w:p>
    <w:p w14:paraId="2F4CAACF" w14:textId="77777777" w:rsidR="008D4208" w:rsidRDefault="008D4208" w:rsidP="00CC2E60">
      <w:pPr>
        <w:pStyle w:val="ListParagraph"/>
        <w:numPr>
          <w:ilvl w:val="0"/>
          <w:numId w:val="14"/>
        </w:numPr>
        <w:spacing w:before="120" w:line="240" w:lineRule="auto"/>
        <w:ind w:left="714" w:hanging="357"/>
        <w:contextualSpacing w:val="0"/>
        <w:rPr>
          <w:rFonts w:cs="Arial"/>
        </w:rPr>
      </w:pPr>
      <w:r w:rsidRPr="0068330F">
        <w:rPr>
          <w:rFonts w:cs="Arial"/>
        </w:rPr>
        <w:t>What lessons are there for future waves / similar projects?</w:t>
      </w:r>
    </w:p>
    <w:p w14:paraId="2B41902E" w14:textId="77777777" w:rsidR="008D4208" w:rsidRPr="00505DE3" w:rsidRDefault="008D4208" w:rsidP="00CC2E60">
      <w:pPr>
        <w:pStyle w:val="Heading3"/>
        <w:numPr>
          <w:ilvl w:val="2"/>
          <w:numId w:val="9"/>
        </w:numPr>
        <w:spacing w:after="120" w:line="259" w:lineRule="auto"/>
        <w:contextualSpacing/>
      </w:pPr>
      <w:bookmarkStart w:id="26" w:name="_Ref14444463"/>
      <w:bookmarkStart w:id="27" w:name="_Toc35960437"/>
      <w:r>
        <w:t>Early assessment of impact questions</w:t>
      </w:r>
      <w:bookmarkEnd w:id="26"/>
      <w:bookmarkEnd w:id="27"/>
    </w:p>
    <w:p w14:paraId="0D450B68" w14:textId="77777777" w:rsidR="008D4208" w:rsidRPr="0068330F" w:rsidRDefault="008D4208" w:rsidP="008D4208">
      <w:pPr>
        <w:rPr>
          <w:rFonts w:cs="Arial"/>
        </w:rPr>
      </w:pPr>
      <w:r w:rsidRPr="0068330F">
        <w:rPr>
          <w:rFonts w:cs="Arial"/>
        </w:rPr>
        <w:t xml:space="preserve">The early assessment of the SPF’s impact will tackle questions such as: </w:t>
      </w:r>
    </w:p>
    <w:p w14:paraId="2CD34E54" w14:textId="77777777" w:rsidR="008D4208" w:rsidRPr="0068330F" w:rsidRDefault="008D4208" w:rsidP="00CC2E60">
      <w:pPr>
        <w:pStyle w:val="ListParagraph"/>
        <w:numPr>
          <w:ilvl w:val="0"/>
          <w:numId w:val="15"/>
        </w:numPr>
        <w:spacing w:line="240" w:lineRule="auto"/>
      </w:pPr>
      <w:r w:rsidRPr="0068330F">
        <w:t>Is it on course to deliver intended impact?</w:t>
      </w:r>
    </w:p>
    <w:p w14:paraId="4170B32C" w14:textId="77777777" w:rsidR="008D4208" w:rsidRDefault="008D4208" w:rsidP="00CC2E60">
      <w:pPr>
        <w:pStyle w:val="ListParagraph"/>
        <w:numPr>
          <w:ilvl w:val="0"/>
          <w:numId w:val="15"/>
        </w:numPr>
        <w:spacing w:line="240" w:lineRule="auto"/>
      </w:pPr>
      <w:r w:rsidRPr="0068330F">
        <w:t>What have the observed changes been, compared to what was already in place?</w:t>
      </w:r>
    </w:p>
    <w:p w14:paraId="1B9683D7" w14:textId="77777777" w:rsidR="008D4208" w:rsidRDefault="008D4208" w:rsidP="00CC2E60">
      <w:pPr>
        <w:pStyle w:val="ListParagraph"/>
        <w:numPr>
          <w:ilvl w:val="0"/>
          <w:numId w:val="15"/>
        </w:numPr>
        <w:spacing w:line="240" w:lineRule="auto"/>
      </w:pPr>
      <w:r>
        <w:t>Are there interim outcomes that provide an indication of future impact, and to what extent are these attributable to SPF funding?</w:t>
      </w:r>
    </w:p>
    <w:p w14:paraId="784C954F" w14:textId="77777777" w:rsidR="008D4208" w:rsidRPr="00A30920" w:rsidRDefault="008D4208" w:rsidP="00CC2E60">
      <w:pPr>
        <w:pStyle w:val="ListParagraph"/>
        <w:numPr>
          <w:ilvl w:val="0"/>
          <w:numId w:val="15"/>
        </w:numPr>
        <w:spacing w:line="240" w:lineRule="auto"/>
      </w:pPr>
      <w:r>
        <w:t>Have any outcomes occurred which were not originally intended, and how significant are they?</w:t>
      </w:r>
    </w:p>
    <w:p w14:paraId="2D08FF79" w14:textId="77777777" w:rsidR="008D4208" w:rsidRPr="0068330F" w:rsidRDefault="008D4208" w:rsidP="00CC2E60">
      <w:pPr>
        <w:pStyle w:val="Heading2"/>
        <w:keepNext w:val="0"/>
        <w:keepLines w:val="0"/>
        <w:numPr>
          <w:ilvl w:val="1"/>
          <w:numId w:val="9"/>
        </w:numPr>
        <w:spacing w:before="0" w:after="160" w:line="259" w:lineRule="auto"/>
        <w:contextualSpacing/>
      </w:pPr>
      <w:bookmarkStart w:id="28" w:name="_Toc35960438"/>
      <w:r>
        <w:t>Evaluation milestones</w:t>
      </w:r>
      <w:bookmarkEnd w:id="28"/>
    </w:p>
    <w:p w14:paraId="4D3D7D87" w14:textId="77777777" w:rsidR="008D4208" w:rsidRPr="0068330F" w:rsidRDefault="008D4208" w:rsidP="008D4208">
      <w:r>
        <w:lastRenderedPageBreak/>
        <w:t xml:space="preserve">As set out in the previous section, there </w:t>
      </w:r>
      <w:r w:rsidRPr="0068330F">
        <w:t>will be a bespoke, independently-led evaluation of the SPF, which will include a:</w:t>
      </w:r>
    </w:p>
    <w:p w14:paraId="4B058334" w14:textId="77777777" w:rsidR="008D4208" w:rsidRPr="0068330F" w:rsidRDefault="008D4208" w:rsidP="00CC2E60">
      <w:pPr>
        <w:pStyle w:val="ListParagraph"/>
        <w:numPr>
          <w:ilvl w:val="0"/>
          <w:numId w:val="11"/>
        </w:numPr>
        <w:spacing w:after="160" w:line="259" w:lineRule="auto"/>
      </w:pPr>
      <w:r w:rsidRPr="0068330F">
        <w:t xml:space="preserve">Mid-term evaluation, covering an evaluation of the process and an early assessment of impacts; and </w:t>
      </w:r>
    </w:p>
    <w:p w14:paraId="2D872F98" w14:textId="77777777" w:rsidR="008D4208" w:rsidRPr="0068330F" w:rsidRDefault="008D4208" w:rsidP="00CC2E60">
      <w:pPr>
        <w:pStyle w:val="ListParagraph"/>
        <w:numPr>
          <w:ilvl w:val="0"/>
          <w:numId w:val="11"/>
        </w:numPr>
        <w:spacing w:after="160" w:line="259" w:lineRule="auto"/>
      </w:pPr>
      <w:r>
        <w:t>F</w:t>
      </w:r>
      <w:r w:rsidRPr="0068330F">
        <w:t>inal evaluation, covering a full (final) assessment of the SPF process</w:t>
      </w:r>
      <w:r>
        <w:t>, its performance relative to its objectives,</w:t>
      </w:r>
      <w:r w:rsidRPr="0068330F">
        <w:t xml:space="preserve"> and its overall impact.</w:t>
      </w:r>
    </w:p>
    <w:p w14:paraId="36399B8F" w14:textId="77777777" w:rsidR="008D4208" w:rsidRPr="0068330F" w:rsidRDefault="008D4208" w:rsidP="008D4208">
      <w:r w:rsidRPr="0068330F">
        <w:t xml:space="preserve">The SPF M&amp;E Lead in the UKRI Strategy Team, supported by the UKRI Evaluation Team, will be responsible for delivering the SPF evaluation according to the following, high-level timetable: </w:t>
      </w:r>
    </w:p>
    <w:p w14:paraId="5B117F69" w14:textId="77777777" w:rsidR="008D4208" w:rsidRPr="0068330F" w:rsidRDefault="008D4208" w:rsidP="00CC2E60">
      <w:pPr>
        <w:pStyle w:val="ListParagraph"/>
        <w:numPr>
          <w:ilvl w:val="0"/>
          <w:numId w:val="16"/>
        </w:numPr>
        <w:spacing w:after="160" w:line="259" w:lineRule="auto"/>
      </w:pPr>
      <w:r w:rsidRPr="0068330F">
        <w:t xml:space="preserve">Agree evaluation specification with the NPIF evaluation board – </w:t>
      </w:r>
      <w:r>
        <w:t>September</w:t>
      </w:r>
      <w:r w:rsidRPr="0068330F">
        <w:t xml:space="preserve"> 2019</w:t>
      </w:r>
    </w:p>
    <w:p w14:paraId="4951BD67" w14:textId="77777777" w:rsidR="008D4208" w:rsidRPr="0068330F" w:rsidRDefault="008D4208" w:rsidP="00CC2E60">
      <w:pPr>
        <w:pStyle w:val="ListParagraph"/>
        <w:numPr>
          <w:ilvl w:val="0"/>
          <w:numId w:val="16"/>
        </w:numPr>
        <w:spacing w:after="160" w:line="259" w:lineRule="auto"/>
      </w:pPr>
      <w:r w:rsidRPr="0068330F">
        <w:t xml:space="preserve">Publish the invitation to tender for the SPF evaluation – </w:t>
      </w:r>
      <w:r>
        <w:t>September/October</w:t>
      </w:r>
      <w:r w:rsidRPr="0068330F">
        <w:t xml:space="preserve"> 2019 </w:t>
      </w:r>
    </w:p>
    <w:p w14:paraId="5FDC0596" w14:textId="77777777" w:rsidR="008D4208" w:rsidRPr="0068330F" w:rsidRDefault="008D4208" w:rsidP="00CC2E60">
      <w:pPr>
        <w:pStyle w:val="ListParagraph"/>
        <w:numPr>
          <w:ilvl w:val="0"/>
          <w:numId w:val="16"/>
        </w:numPr>
        <w:spacing w:after="160" w:line="259" w:lineRule="auto"/>
      </w:pPr>
      <w:r w:rsidRPr="0068330F">
        <w:t xml:space="preserve">Award contract to the SPF evaluating organisation – </w:t>
      </w:r>
      <w:r>
        <w:t>December</w:t>
      </w:r>
      <w:r w:rsidRPr="0068330F">
        <w:t xml:space="preserve"> 2019</w:t>
      </w:r>
    </w:p>
    <w:p w14:paraId="16CF3E49" w14:textId="77777777" w:rsidR="008D4208" w:rsidRPr="0068330F" w:rsidRDefault="008D4208" w:rsidP="00CC2E60">
      <w:pPr>
        <w:pStyle w:val="ListParagraph"/>
        <w:numPr>
          <w:ilvl w:val="0"/>
          <w:numId w:val="16"/>
        </w:numPr>
        <w:spacing w:after="160" w:line="259" w:lineRule="auto"/>
      </w:pPr>
      <w:r w:rsidRPr="0068330F">
        <w:t xml:space="preserve">First draft of SPF evaluation framework – </w:t>
      </w:r>
      <w:r>
        <w:t>March</w:t>
      </w:r>
      <w:r w:rsidRPr="0068330F">
        <w:t xml:space="preserve"> 20</w:t>
      </w:r>
      <w:r>
        <w:t>20</w:t>
      </w:r>
      <w:r w:rsidRPr="0068330F">
        <w:t xml:space="preserve"> </w:t>
      </w:r>
    </w:p>
    <w:p w14:paraId="2795347D" w14:textId="77777777" w:rsidR="008D4208" w:rsidRPr="0068330F" w:rsidRDefault="008D4208" w:rsidP="00CC2E60">
      <w:pPr>
        <w:pStyle w:val="ListParagraph"/>
        <w:numPr>
          <w:ilvl w:val="0"/>
          <w:numId w:val="16"/>
        </w:numPr>
        <w:spacing w:after="160" w:line="259" w:lineRule="auto"/>
      </w:pPr>
      <w:r w:rsidRPr="0068330F">
        <w:t xml:space="preserve">Sign-off SPF evaluation framework – </w:t>
      </w:r>
      <w:r>
        <w:t>April 2020</w:t>
      </w:r>
    </w:p>
    <w:p w14:paraId="220B5B35" w14:textId="77777777" w:rsidR="008D4208" w:rsidRPr="0068330F" w:rsidRDefault="008D4208" w:rsidP="00CC2E60">
      <w:pPr>
        <w:pStyle w:val="ListParagraph"/>
        <w:numPr>
          <w:ilvl w:val="0"/>
          <w:numId w:val="16"/>
        </w:numPr>
        <w:spacing w:after="160" w:line="259" w:lineRule="auto"/>
      </w:pPr>
      <w:r w:rsidRPr="0068330F">
        <w:t>First draft of mid-term process evaluation – June 2022</w:t>
      </w:r>
    </w:p>
    <w:p w14:paraId="28B6B1C9" w14:textId="77777777" w:rsidR="008D4208" w:rsidRPr="0068330F" w:rsidRDefault="008D4208" w:rsidP="00CC2E60">
      <w:pPr>
        <w:pStyle w:val="ListParagraph"/>
        <w:numPr>
          <w:ilvl w:val="0"/>
          <w:numId w:val="16"/>
        </w:numPr>
        <w:spacing w:after="160" w:line="259" w:lineRule="auto"/>
      </w:pPr>
      <w:r w:rsidRPr="0068330F">
        <w:t xml:space="preserve">Sign-off of mid-term process evaluation – July 2022 </w:t>
      </w:r>
    </w:p>
    <w:p w14:paraId="03CF21F9" w14:textId="77777777" w:rsidR="008D4208" w:rsidRPr="0068330F" w:rsidRDefault="008D4208" w:rsidP="00CC2E60">
      <w:pPr>
        <w:pStyle w:val="ListParagraph"/>
        <w:numPr>
          <w:ilvl w:val="0"/>
          <w:numId w:val="16"/>
        </w:numPr>
        <w:spacing w:after="160" w:line="259" w:lineRule="auto"/>
      </w:pPr>
      <w:r w:rsidRPr="0068330F">
        <w:t>First draft of early assessment of impacts – June 2023</w:t>
      </w:r>
    </w:p>
    <w:p w14:paraId="3C56F88B" w14:textId="77777777" w:rsidR="008D4208" w:rsidRPr="0068330F" w:rsidRDefault="008D4208" w:rsidP="00CC2E60">
      <w:pPr>
        <w:pStyle w:val="ListParagraph"/>
        <w:numPr>
          <w:ilvl w:val="0"/>
          <w:numId w:val="16"/>
        </w:numPr>
        <w:spacing w:after="160" w:line="259" w:lineRule="auto"/>
      </w:pPr>
      <w:r w:rsidRPr="0068330F">
        <w:t>Sign-off of early assessment of impacts – July 2023</w:t>
      </w:r>
    </w:p>
    <w:p w14:paraId="6F89B0FA" w14:textId="77777777" w:rsidR="008D4208" w:rsidRPr="0068330F" w:rsidRDefault="008D4208" w:rsidP="00CC2E60">
      <w:pPr>
        <w:pStyle w:val="ListParagraph"/>
        <w:numPr>
          <w:ilvl w:val="0"/>
          <w:numId w:val="16"/>
        </w:numPr>
        <w:spacing w:after="160" w:line="259" w:lineRule="auto"/>
      </w:pPr>
      <w:r w:rsidRPr="0068330F">
        <w:t>First draft of SPF final process and impact evaluation – June 2026</w:t>
      </w:r>
    </w:p>
    <w:p w14:paraId="105767C6" w14:textId="77777777" w:rsidR="008D4208" w:rsidRDefault="008D4208" w:rsidP="00CC2E60">
      <w:pPr>
        <w:pStyle w:val="ListParagraph"/>
        <w:numPr>
          <w:ilvl w:val="0"/>
          <w:numId w:val="16"/>
        </w:numPr>
        <w:spacing w:after="160" w:line="259" w:lineRule="auto"/>
      </w:pPr>
      <w:r w:rsidRPr="0068330F">
        <w:t>Sign-off SPF final process and impact evaluation – July 2026</w:t>
      </w:r>
    </w:p>
    <w:p w14:paraId="0434E1A3" w14:textId="77777777" w:rsidR="008D4208" w:rsidRDefault="008D4208" w:rsidP="00CC2E60">
      <w:pPr>
        <w:pStyle w:val="Heading1"/>
        <w:keepNext w:val="0"/>
        <w:numPr>
          <w:ilvl w:val="0"/>
          <w:numId w:val="9"/>
        </w:numPr>
        <w:spacing w:after="160" w:line="259" w:lineRule="auto"/>
        <w:contextualSpacing/>
      </w:pPr>
      <w:r>
        <w:t xml:space="preserve"> </w:t>
      </w:r>
      <w:bookmarkStart w:id="29" w:name="_Ref14360728"/>
      <w:bookmarkStart w:id="30" w:name="_Toc35960439"/>
      <w:r>
        <w:t>Monitoring and evaluation planning: requirements for programme leads</w:t>
      </w:r>
      <w:bookmarkEnd w:id="29"/>
      <w:bookmarkEnd w:id="30"/>
    </w:p>
    <w:p w14:paraId="7BC0E15C" w14:textId="77777777" w:rsidR="008D4208" w:rsidRDefault="008D4208" w:rsidP="008D4208">
      <w:r>
        <w:t>This section lays out the monitoring and evaluation requirements for each SPF programme and guidance on how to approach them. The SPF consists of a diverse range of research and innovation activities. There is, therefore, no one-size-fits-all approach to monitoring and evaluation. All programme leads should develop a plan for monitoring and evaluation that sets out the way in which their programme will address:</w:t>
      </w:r>
    </w:p>
    <w:p w14:paraId="31927AA3" w14:textId="77777777" w:rsidR="008D4208" w:rsidRDefault="008D4208" w:rsidP="00CC2E60">
      <w:pPr>
        <w:pStyle w:val="ListParagraph"/>
        <w:numPr>
          <w:ilvl w:val="0"/>
          <w:numId w:val="23"/>
        </w:numPr>
        <w:spacing w:after="160" w:line="259" w:lineRule="auto"/>
      </w:pPr>
      <w:r>
        <w:t xml:space="preserve">The governance and resource requirements set out in Section </w:t>
      </w:r>
      <w:r>
        <w:fldChar w:fldCharType="begin"/>
      </w:r>
      <w:r>
        <w:instrText xml:space="preserve"> REF _Ref14445440 \r \h </w:instrText>
      </w:r>
      <w:r>
        <w:fldChar w:fldCharType="separate"/>
      </w:r>
      <w:r>
        <w:t>3.3</w:t>
      </w:r>
      <w:r>
        <w:fldChar w:fldCharType="end"/>
      </w:r>
      <w:r>
        <w:t>;</w:t>
      </w:r>
    </w:p>
    <w:p w14:paraId="5B778E90" w14:textId="77777777" w:rsidR="008D4208" w:rsidRDefault="008D4208" w:rsidP="00CC2E60">
      <w:pPr>
        <w:pStyle w:val="ListParagraph"/>
        <w:numPr>
          <w:ilvl w:val="0"/>
          <w:numId w:val="23"/>
        </w:numPr>
        <w:spacing w:after="160" w:line="259" w:lineRule="auto"/>
      </w:pPr>
      <w:r>
        <w:t xml:space="preserve">Project delivery reporting (section </w:t>
      </w:r>
      <w:r>
        <w:fldChar w:fldCharType="begin"/>
      </w:r>
      <w:r>
        <w:instrText xml:space="preserve"> REF _Ref10908178 \r \h </w:instrText>
      </w:r>
      <w:r>
        <w:fldChar w:fldCharType="separate"/>
      </w:r>
      <w:r>
        <w:t>5.1</w:t>
      </w:r>
      <w:r>
        <w:fldChar w:fldCharType="end"/>
      </w:r>
      <w:r>
        <w:t>), to enable UKRI to monitor the overall delivery of the SPF in ‘real time’;</w:t>
      </w:r>
    </w:p>
    <w:p w14:paraId="14A511DE" w14:textId="77777777" w:rsidR="008D4208" w:rsidRDefault="008D4208" w:rsidP="00CC2E60">
      <w:pPr>
        <w:pStyle w:val="ListParagraph"/>
        <w:numPr>
          <w:ilvl w:val="0"/>
          <w:numId w:val="23"/>
        </w:numPr>
        <w:spacing w:after="160" w:line="259" w:lineRule="auto"/>
      </w:pPr>
      <w:r>
        <w:t xml:space="preserve">Outcome monitoring data collection (section </w:t>
      </w:r>
      <w:r>
        <w:fldChar w:fldCharType="begin"/>
      </w:r>
      <w:r>
        <w:instrText xml:space="preserve"> REF _Ref10908199 \r \h </w:instrText>
      </w:r>
      <w:r>
        <w:fldChar w:fldCharType="separate"/>
      </w:r>
      <w:r>
        <w:t>5.3</w:t>
      </w:r>
      <w:r>
        <w:fldChar w:fldCharType="end"/>
      </w:r>
      <w:r>
        <w:t xml:space="preserve">), to enable UKRI </w:t>
      </w:r>
      <w:r w:rsidRPr="0068330F">
        <w:t xml:space="preserve">to monitor the outcomes of SPF projects during </w:t>
      </w:r>
      <w:r>
        <w:t xml:space="preserve">(and for a period beyond) </w:t>
      </w:r>
      <w:r w:rsidRPr="0068330F">
        <w:t xml:space="preserve">delivery, and to provide key evidence to support </w:t>
      </w:r>
      <w:r>
        <w:t>an evaluation at the fund- and programme-level; and</w:t>
      </w:r>
    </w:p>
    <w:p w14:paraId="1BAB262D" w14:textId="77777777" w:rsidR="008D4208" w:rsidRDefault="008D4208" w:rsidP="00CC2E60">
      <w:pPr>
        <w:pStyle w:val="ListParagraph"/>
        <w:numPr>
          <w:ilvl w:val="0"/>
          <w:numId w:val="23"/>
        </w:numPr>
        <w:spacing w:after="160" w:line="259" w:lineRule="auto"/>
      </w:pPr>
      <w:r>
        <w:t xml:space="preserve">Evaluation planning (Section </w:t>
      </w:r>
      <w:r>
        <w:fldChar w:fldCharType="begin"/>
      </w:r>
      <w:r>
        <w:instrText xml:space="preserve"> REF _Ref10908212 \r \h </w:instrText>
      </w:r>
      <w:r>
        <w:fldChar w:fldCharType="separate"/>
      </w:r>
      <w:r>
        <w:t>5.4</w:t>
      </w:r>
      <w:r>
        <w:fldChar w:fldCharType="end"/>
      </w:r>
      <w:r>
        <w:t>) for a programme-level evaluation.</w:t>
      </w:r>
      <w:r w:rsidDel="000E6D04">
        <w:t xml:space="preserve"> </w:t>
      </w:r>
    </w:p>
    <w:p w14:paraId="0FE44C7D" w14:textId="77777777" w:rsidR="008D4208" w:rsidRDefault="008D4208" w:rsidP="008D4208">
      <w:r>
        <w:t xml:space="preserve">Monitoring and evaluation plans should be developed using the template in </w:t>
      </w:r>
      <w:r>
        <w:fldChar w:fldCharType="begin"/>
      </w:r>
      <w:r>
        <w:instrText xml:space="preserve"> REF _Ref15473154 \h </w:instrText>
      </w:r>
      <w:r>
        <w:fldChar w:fldCharType="separate"/>
      </w:r>
      <w:r>
        <w:t>Annex A</w:t>
      </w:r>
      <w:r>
        <w:fldChar w:fldCharType="end"/>
      </w:r>
      <w:r>
        <w:t>, and submitted to the Central SPF mailbox</w:t>
      </w:r>
      <w:r>
        <w:rPr>
          <w:rStyle w:val="FootnoteReference"/>
        </w:rPr>
        <w:footnoteReference w:id="6"/>
      </w:r>
      <w:r>
        <w:t xml:space="preserve"> for review within six months of receiving funding. For queries and guidance on completing these plans, please contact Will Naughton</w:t>
      </w:r>
      <w:r>
        <w:rPr>
          <w:rStyle w:val="FootnoteReference"/>
        </w:rPr>
        <w:footnoteReference w:id="7"/>
      </w:r>
      <w:r>
        <w:t>, the SPF M&amp;E lead in the UKRI Analysis Team, who can assist you.</w:t>
      </w:r>
    </w:p>
    <w:p w14:paraId="44571D78" w14:textId="77777777" w:rsidR="008D4208" w:rsidRPr="0068330F" w:rsidRDefault="008D4208" w:rsidP="00CC2E60">
      <w:pPr>
        <w:pStyle w:val="Heading2"/>
        <w:keepNext w:val="0"/>
        <w:keepLines w:val="0"/>
        <w:numPr>
          <w:ilvl w:val="1"/>
          <w:numId w:val="9"/>
        </w:numPr>
        <w:spacing w:before="0" w:after="160" w:line="259" w:lineRule="auto"/>
        <w:contextualSpacing/>
      </w:pPr>
      <w:bookmarkStart w:id="31" w:name="_Ref10908178"/>
      <w:bookmarkStart w:id="32" w:name="_Ref14354943"/>
      <w:bookmarkStart w:id="33" w:name="_Toc35960440"/>
      <w:r>
        <w:t>Project delivery reporting</w:t>
      </w:r>
      <w:bookmarkEnd w:id="31"/>
      <w:bookmarkEnd w:id="32"/>
      <w:bookmarkEnd w:id="33"/>
    </w:p>
    <w:p w14:paraId="5D125810" w14:textId="77777777" w:rsidR="008D4208" w:rsidRPr="0068330F" w:rsidRDefault="008D4208" w:rsidP="008D4208">
      <w:r>
        <w:lastRenderedPageBreak/>
        <w:t>E</w:t>
      </w:r>
      <w:r w:rsidRPr="0068330F">
        <w:t xml:space="preserve">ach SPF programme will be required to submit the </w:t>
      </w:r>
      <w:r w:rsidRPr="008670E7">
        <w:rPr>
          <w:i/>
        </w:rPr>
        <w:t>UKRI Project Reporting Dashboard</w:t>
      </w:r>
      <w:r w:rsidRPr="0068330F">
        <w:t xml:space="preserve">, </w:t>
      </w:r>
      <w:r>
        <w:t>monthly</w:t>
      </w:r>
      <w:r w:rsidRPr="0068330F">
        <w:t xml:space="preserve">, to the Operational Planning team. </w:t>
      </w:r>
      <w:r>
        <w:t xml:space="preserve">Peter Rigby in the Operational Planning team will provide programme leads with the template once your programme has commenced and provide further information on completing these forms. </w:t>
      </w:r>
      <w:r w:rsidRPr="0068330F">
        <w:t xml:space="preserve">Submitted progress reports will be used by the SPF Oversight Group (see Section </w:t>
      </w:r>
      <w:r w:rsidRPr="0068330F">
        <w:fldChar w:fldCharType="begin"/>
      </w:r>
      <w:r w:rsidRPr="0068330F">
        <w:instrText xml:space="preserve"> REF _Ref4420782 \r \h </w:instrText>
      </w:r>
      <w:r>
        <w:instrText xml:space="preserve"> \* MERGEFORMAT </w:instrText>
      </w:r>
      <w:r w:rsidRPr="0068330F">
        <w:fldChar w:fldCharType="separate"/>
      </w:r>
      <w:r>
        <w:t>5</w:t>
      </w:r>
      <w:r w:rsidRPr="0068330F">
        <w:fldChar w:fldCharType="end"/>
      </w:r>
      <w:r w:rsidRPr="0068330F">
        <w:t>) to monitor progress on a regular basis; and to escalate risks and issues as necessary to the UKRI Strategy Committee.</w:t>
      </w:r>
    </w:p>
    <w:p w14:paraId="23C944FE" w14:textId="77777777" w:rsidR="008D4208" w:rsidRPr="00A30920" w:rsidRDefault="008D4208" w:rsidP="008D4208">
      <w:r>
        <w:t xml:space="preserve">To support the completion of this reporting, </w:t>
      </w:r>
      <w:r w:rsidRPr="0068330F">
        <w:t xml:space="preserve">SPF delivery organisations should take appropriate steps to monitor the delivery of the individual SPF projects within their programmes. It will be up to delivery organisations to determine the appropriate approach to monitoring the delivery of SPF projects, including the data gathered; </w:t>
      </w:r>
      <w:r w:rsidRPr="0068330F">
        <w:rPr>
          <w:rFonts w:eastAsia="Times New Roman"/>
          <w:szCs w:val="21"/>
        </w:rPr>
        <w:t>but data and information gathered should enable the delivery organisation to effectively assess progress relative to aims and commitments made at the outset of the project; and assess risks and issues associated with delivery.</w:t>
      </w:r>
    </w:p>
    <w:p w14:paraId="7B687C51" w14:textId="77777777" w:rsidR="008D4208" w:rsidRPr="0068330F" w:rsidRDefault="008D4208" w:rsidP="00CC2E60">
      <w:pPr>
        <w:pStyle w:val="Heading2"/>
        <w:keepNext w:val="0"/>
        <w:keepLines w:val="0"/>
        <w:numPr>
          <w:ilvl w:val="1"/>
          <w:numId w:val="9"/>
        </w:numPr>
        <w:spacing w:before="0" w:after="160" w:line="259" w:lineRule="auto"/>
        <w:contextualSpacing/>
      </w:pPr>
      <w:bookmarkStart w:id="34" w:name="_Toc14431874"/>
      <w:bookmarkStart w:id="35" w:name="_Ref10908199"/>
      <w:bookmarkStart w:id="36" w:name="_Toc35960441"/>
      <w:bookmarkEnd w:id="34"/>
      <w:r>
        <w:t>Outcome monitoring data collection</w:t>
      </w:r>
      <w:bookmarkEnd w:id="35"/>
      <w:bookmarkEnd w:id="36"/>
    </w:p>
    <w:p w14:paraId="72762A88" w14:textId="77777777" w:rsidR="008D4208" w:rsidRDefault="008D4208" w:rsidP="00CC2E60">
      <w:pPr>
        <w:pStyle w:val="Heading3"/>
        <w:numPr>
          <w:ilvl w:val="2"/>
          <w:numId w:val="9"/>
        </w:numPr>
        <w:spacing w:after="120" w:line="259" w:lineRule="auto"/>
        <w:contextualSpacing/>
      </w:pPr>
      <w:bookmarkStart w:id="37" w:name="_Toc35960442"/>
      <w:r>
        <w:t>Minimum requirements</w:t>
      </w:r>
      <w:bookmarkEnd w:id="37"/>
    </w:p>
    <w:p w14:paraId="3A4A8E08" w14:textId="77777777" w:rsidR="008D4208" w:rsidRDefault="008D4208" w:rsidP="008D4208">
      <w:r>
        <w:t xml:space="preserve">The collection of outcome monitoring data both during and after the delivery of SPF projects provides the evidence base to facilitate evaluations at both the programme- and fund-level. Monitoring and evaluation plans should therefore set out the outcome data that they intend to capture, and the mechanisms in place for collecting and storing this data. </w:t>
      </w:r>
    </w:p>
    <w:p w14:paraId="59378EAA" w14:textId="77777777" w:rsidR="008D4208" w:rsidRDefault="008D4208" w:rsidP="008D4208">
      <w:r>
        <w:t xml:space="preserve">All UKRI Councils have outcome monitoring data collection tools in place. Research Councils rely on online outcome reporting via the </w:t>
      </w:r>
      <w:proofErr w:type="spellStart"/>
      <w:r>
        <w:rPr>
          <w:i/>
        </w:rPr>
        <w:t>researchfish</w:t>
      </w:r>
      <w:proofErr w:type="spellEnd"/>
      <w:r>
        <w:rPr>
          <w:i/>
        </w:rPr>
        <w:t xml:space="preserve"> ® </w:t>
      </w:r>
      <w:r>
        <w:t xml:space="preserve">platform; while Innovate UK have their own monitoring processes as part of the Innovate Funding Service. Programme leads must ensure that researchers in receipt of SPF funding report the outcomes of their research using one of these platforms, in addition to the bespoke monitoring approaches set out in business cases. </w:t>
      </w:r>
    </w:p>
    <w:p w14:paraId="4368EDB8" w14:textId="77777777" w:rsidR="008D4208" w:rsidRDefault="008D4208" w:rsidP="008D4208">
      <w:r>
        <w:t>This reporting exercise should happen</w:t>
      </w:r>
      <w:r w:rsidRPr="0010624E">
        <w:t xml:space="preserve"> </w:t>
      </w:r>
      <w:r w:rsidRPr="0068330F">
        <w:t xml:space="preserve">at least annually during the delivery phase and until at least 5 years after project completion. It is the responsibility of the Research Councils to ensure researchers in receipt of SPF funding have access to </w:t>
      </w:r>
      <w:proofErr w:type="spellStart"/>
      <w:r>
        <w:rPr>
          <w:i/>
        </w:rPr>
        <w:t>researchfish</w:t>
      </w:r>
      <w:proofErr w:type="spellEnd"/>
      <w:r>
        <w:rPr>
          <w:i/>
        </w:rPr>
        <w:t xml:space="preserve"> ®</w:t>
      </w:r>
      <w:r w:rsidRPr="0068330F">
        <w:rPr>
          <w:i/>
        </w:rPr>
        <w:t xml:space="preserve"> </w:t>
      </w:r>
      <w:r w:rsidRPr="0068330F">
        <w:t xml:space="preserve">and are aware of the requirement to report SPF research outcomes on at least an annual basis during and after project delivery. It is </w:t>
      </w:r>
      <w:r>
        <w:t>essential</w:t>
      </w:r>
      <w:r w:rsidRPr="0068330F">
        <w:t xml:space="preserve"> that SPF outcomes are clearly attributed to the SPF as part of submissions to </w:t>
      </w:r>
      <w:proofErr w:type="spellStart"/>
      <w:r>
        <w:rPr>
          <w:i/>
        </w:rPr>
        <w:t>researchfish</w:t>
      </w:r>
      <w:proofErr w:type="spellEnd"/>
      <w:r>
        <w:rPr>
          <w:i/>
        </w:rPr>
        <w:t xml:space="preserve"> ®</w:t>
      </w:r>
      <w:r w:rsidRPr="0068330F">
        <w:t>, and Research Councils should ensure researchers are aware of this. For Innovate UK</w:t>
      </w:r>
      <w:r>
        <w:t>-</w:t>
      </w:r>
      <w:r w:rsidRPr="0068330F">
        <w:t xml:space="preserve">led SPF projects, </w:t>
      </w:r>
      <w:r w:rsidRPr="0068330F">
        <w:rPr>
          <w:rFonts w:cs="Arial"/>
          <w:color w:val="000000" w:themeColor="text1"/>
        </w:rPr>
        <w:t>quarterly monitoring will take place via Innovate UK’s well-established Monitoring Officer regime.</w:t>
      </w:r>
      <w:r>
        <w:rPr>
          <w:rFonts w:cs="Arial"/>
          <w:color w:val="000000" w:themeColor="text1"/>
        </w:rPr>
        <w:t xml:space="preserve"> For advice on these outcome reporting platforms, you should contact your relevant UKRI Council representative on the Performance and Evaluation Network. </w:t>
      </w:r>
    </w:p>
    <w:p w14:paraId="2B747D24" w14:textId="77777777" w:rsidR="008D4208" w:rsidRDefault="008D4208" w:rsidP="008D4208">
      <w:r>
        <w:t xml:space="preserve">For instances where non-UKRI delivery organisations cannot access these platforms, please get in touch with Will Naughton, copying the SPF mailbox, at the earliest opportunity. Ultimately, in these instances, the programme’s monitoring and evaluation plan should set out in detail how they propose to monitor the outcomes of their SPF project. This should include the coverage of outcomes metrics that will be monitored, and how the data will be collected and stored. </w:t>
      </w:r>
    </w:p>
    <w:p w14:paraId="2EF1AAFE" w14:textId="77777777" w:rsidR="008D4208" w:rsidRDefault="008D4208" w:rsidP="00CC2E60">
      <w:pPr>
        <w:pStyle w:val="Heading3"/>
        <w:numPr>
          <w:ilvl w:val="2"/>
          <w:numId w:val="9"/>
        </w:numPr>
        <w:spacing w:after="120" w:line="259" w:lineRule="auto"/>
        <w:contextualSpacing/>
      </w:pPr>
      <w:bookmarkStart w:id="38" w:name="_Toc35960443"/>
      <w:r>
        <w:lastRenderedPageBreak/>
        <w:t>Collecting additional outcome monitoring data</w:t>
      </w:r>
      <w:bookmarkEnd w:id="38"/>
    </w:p>
    <w:p w14:paraId="08398EBF" w14:textId="77777777" w:rsidR="008D4208" w:rsidRDefault="008D4208" w:rsidP="008D4208">
      <w:r>
        <w:t>Programme leads should consider whether the data collected by these systems will be sufficient to evaluate their programme. It will be necessary in some instances to supplement this data with additional data fields if there are programme-specific outcomes that will not be captured by the existing question set.</w:t>
      </w:r>
    </w:p>
    <w:p w14:paraId="2325D8E8" w14:textId="77777777" w:rsidR="008D4208" w:rsidRDefault="008D4208" w:rsidP="008D4208">
      <w:r>
        <w:t>As a first step in collecting additional data, programme leads should consider whether it is feasible to obtain additional data through existing reporting platforms. This can be achieved by, for example, providing prompts and guidance to users to answer questions in a specific way.</w:t>
      </w:r>
    </w:p>
    <w:p w14:paraId="7DFEF380" w14:textId="77777777" w:rsidR="008D4208" w:rsidRDefault="008D4208" w:rsidP="008D4208">
      <w:r>
        <w:t>Where a second, separate collection exercise cannot be avoided, data should be collected in Microsoft Excel, with clear unique identifiers for each delivery organisation or grant recipient. Data should be collected with one row per data user, with unique identifiers in the first column. This will better allow for evaluators to collate and review this data.</w:t>
      </w:r>
    </w:p>
    <w:p w14:paraId="38D070AF" w14:textId="77777777" w:rsidR="008D4208" w:rsidRDefault="008D4208" w:rsidP="00CC2E60">
      <w:pPr>
        <w:pStyle w:val="Heading2"/>
        <w:keepNext w:val="0"/>
        <w:keepLines w:val="0"/>
        <w:numPr>
          <w:ilvl w:val="1"/>
          <w:numId w:val="9"/>
        </w:numPr>
        <w:spacing w:before="0" w:after="160" w:line="259" w:lineRule="auto"/>
        <w:contextualSpacing/>
      </w:pPr>
      <w:bookmarkStart w:id="39" w:name="_Toc14431881"/>
      <w:bookmarkStart w:id="40" w:name="_Toc14431882"/>
      <w:bookmarkStart w:id="41" w:name="_Toc14431883"/>
      <w:bookmarkStart w:id="42" w:name="_Toc14431884"/>
      <w:bookmarkStart w:id="43" w:name="_Toc14431885"/>
      <w:bookmarkStart w:id="44" w:name="_Toc14431886"/>
      <w:bookmarkStart w:id="45" w:name="_Ref14354990"/>
      <w:bookmarkStart w:id="46" w:name="_Toc35960444"/>
      <w:bookmarkEnd w:id="39"/>
      <w:bookmarkEnd w:id="40"/>
      <w:bookmarkEnd w:id="41"/>
      <w:bookmarkEnd w:id="42"/>
      <w:bookmarkEnd w:id="43"/>
      <w:bookmarkEnd w:id="44"/>
      <w:r>
        <w:t>Programme evaluation guidance</w:t>
      </w:r>
      <w:bookmarkEnd w:id="45"/>
      <w:bookmarkEnd w:id="46"/>
    </w:p>
    <w:p w14:paraId="2F7FB4BB" w14:textId="77777777" w:rsidR="008D4208" w:rsidRDefault="008D4208" w:rsidP="00CC2E60">
      <w:pPr>
        <w:pStyle w:val="Heading3"/>
        <w:numPr>
          <w:ilvl w:val="2"/>
          <w:numId w:val="9"/>
        </w:numPr>
        <w:spacing w:after="120" w:line="259" w:lineRule="auto"/>
        <w:contextualSpacing/>
      </w:pPr>
      <w:bookmarkStart w:id="47" w:name="_Ref14355003"/>
      <w:bookmarkStart w:id="48" w:name="_Toc35960445"/>
      <w:r>
        <w:t>Will my programme require an evaluation?</w:t>
      </w:r>
      <w:bookmarkEnd w:id="47"/>
      <w:bookmarkEnd w:id="48"/>
    </w:p>
    <w:p w14:paraId="51452487" w14:textId="77777777" w:rsidR="008D4208" w:rsidRPr="00002989" w:rsidRDefault="008D4208" w:rsidP="008D4208">
      <w:r>
        <w:t xml:space="preserve">Not all NPIF programmes, and by extension SPF programmes, should be subject to the same scale of monitoring and evaluation. The NPIF Evaluation Oversight Board has agreed a decision tree to help UKRI programme leads determine the default expectation for the overall scope of monitoring and evaluation activity that should be conducted for their programme, based on the combination of the programme’s value, expected outcomes or impacts and extent to which it is novel, complex or contentious. Please refer to the </w:t>
      </w:r>
      <w:r w:rsidRPr="00002989">
        <w:rPr>
          <w:i/>
        </w:rPr>
        <w:t>Monitoring and Evaluation expectations for programmes funded through UKRI’s cross-cutting funds</w:t>
      </w:r>
      <w:r>
        <w:t xml:space="preserve"> document to assess the evaluation expectations for your programme. </w:t>
      </w:r>
    </w:p>
    <w:p w14:paraId="64972A87" w14:textId="77777777" w:rsidR="008D4208" w:rsidRDefault="008D4208" w:rsidP="00CC2E60">
      <w:pPr>
        <w:pStyle w:val="Heading3"/>
        <w:numPr>
          <w:ilvl w:val="2"/>
          <w:numId w:val="9"/>
        </w:numPr>
        <w:spacing w:after="120" w:line="259" w:lineRule="auto"/>
        <w:contextualSpacing/>
      </w:pPr>
      <w:bookmarkStart w:id="49" w:name="_Toc15473989"/>
      <w:bookmarkStart w:id="50" w:name="_Toc35960446"/>
      <w:bookmarkEnd w:id="49"/>
      <w:r>
        <w:t>Programme evaluation plans</w:t>
      </w:r>
      <w:bookmarkEnd w:id="50"/>
    </w:p>
    <w:p w14:paraId="164774EE" w14:textId="77777777" w:rsidR="008D4208" w:rsidRDefault="008D4208" w:rsidP="008D4208">
      <w:r>
        <w:t xml:space="preserve">For programmes that require an evaluation, an evaluation plan must be completed using the template set out in </w:t>
      </w:r>
      <w:r>
        <w:fldChar w:fldCharType="begin"/>
      </w:r>
      <w:r>
        <w:instrText xml:space="preserve"> REF _Ref15473170 \h </w:instrText>
      </w:r>
      <w:r>
        <w:fldChar w:fldCharType="separate"/>
      </w:r>
      <w:r>
        <w:t>Annex A</w:t>
      </w:r>
      <w:r>
        <w:fldChar w:fldCharType="end"/>
      </w:r>
      <w:r>
        <w:t>. Having an evaluation plan in place at the programme’s outset will ensure that all aspects have been considered and help to guide monitoring and evaluation to success. Evaluation plans should be submitted to the Central SPF Mailbox within 6 months of receiving funding.</w:t>
      </w:r>
    </w:p>
    <w:p w14:paraId="4E5D99EA" w14:textId="77777777" w:rsidR="008D4208" w:rsidRDefault="008D4208" w:rsidP="008D4208">
      <w:r>
        <w:t>The following sections of this document should serve as a useful reference when developing an evaluation plan:</w:t>
      </w:r>
    </w:p>
    <w:p w14:paraId="77E67C79" w14:textId="77777777" w:rsidR="008D4208" w:rsidRDefault="008D4208" w:rsidP="00CC2E60">
      <w:pPr>
        <w:pStyle w:val="ListParagraph"/>
        <w:numPr>
          <w:ilvl w:val="0"/>
          <w:numId w:val="24"/>
        </w:numPr>
        <w:spacing w:after="160" w:line="259" w:lineRule="auto"/>
      </w:pPr>
      <w:r>
        <w:t xml:space="preserve">Section </w:t>
      </w:r>
      <w:r>
        <w:fldChar w:fldCharType="begin"/>
      </w:r>
      <w:r>
        <w:instrText xml:space="preserve"> REF _Ref10915159 \r \h </w:instrText>
      </w:r>
      <w:r>
        <w:fldChar w:fldCharType="separate"/>
      </w:r>
      <w:r>
        <w:t>4.1</w:t>
      </w:r>
      <w:r>
        <w:fldChar w:fldCharType="end"/>
      </w:r>
      <w:r>
        <w:t xml:space="preserve"> sets out the fund-level evaluation aims and outcomes;</w:t>
      </w:r>
    </w:p>
    <w:p w14:paraId="60421F52" w14:textId="77777777" w:rsidR="008D4208" w:rsidRDefault="008D4208" w:rsidP="00CC2E60">
      <w:pPr>
        <w:pStyle w:val="ListParagraph"/>
        <w:numPr>
          <w:ilvl w:val="0"/>
          <w:numId w:val="24"/>
        </w:numPr>
        <w:spacing w:after="160" w:line="259" w:lineRule="auto"/>
      </w:pPr>
      <w:r>
        <w:t xml:space="preserve">Section </w:t>
      </w:r>
      <w:r>
        <w:fldChar w:fldCharType="begin"/>
      </w:r>
      <w:r>
        <w:instrText xml:space="preserve"> REF _Ref14445833 \r \h </w:instrText>
      </w:r>
      <w:r>
        <w:fldChar w:fldCharType="separate"/>
      </w:r>
      <w:r>
        <w:t>5.4.3</w:t>
      </w:r>
      <w:r>
        <w:fldChar w:fldCharType="end"/>
      </w:r>
      <w:r>
        <w:t xml:space="preserve"> sets out the programme evaluation objectives;</w:t>
      </w:r>
    </w:p>
    <w:p w14:paraId="63B8863F" w14:textId="77777777" w:rsidR="008D4208" w:rsidRDefault="008D4208" w:rsidP="00CC2E60">
      <w:pPr>
        <w:pStyle w:val="ListParagraph"/>
        <w:numPr>
          <w:ilvl w:val="0"/>
          <w:numId w:val="24"/>
        </w:numPr>
        <w:spacing w:after="160" w:line="259" w:lineRule="auto"/>
      </w:pPr>
      <w:r>
        <w:fldChar w:fldCharType="begin"/>
      </w:r>
      <w:r>
        <w:instrText xml:space="preserve"> REF _Ref14447204 \h </w:instrText>
      </w:r>
      <w:r>
        <w:fldChar w:fldCharType="separate"/>
      </w:r>
      <w:r>
        <w:t>Annex B</w:t>
      </w:r>
      <w:r>
        <w:fldChar w:fldCharType="end"/>
      </w:r>
      <w:r>
        <w:t xml:space="preserve"> provides an overview of the potential evaluation questions, indicators and data sources that may facilitate an evaluation at the programme- and fund-level; and</w:t>
      </w:r>
    </w:p>
    <w:p w14:paraId="39030996" w14:textId="77777777" w:rsidR="008D4208" w:rsidRDefault="008D4208" w:rsidP="00CC2E60">
      <w:pPr>
        <w:pStyle w:val="ListParagraph"/>
        <w:numPr>
          <w:ilvl w:val="0"/>
          <w:numId w:val="24"/>
        </w:numPr>
        <w:spacing w:after="160" w:line="259" w:lineRule="auto"/>
      </w:pPr>
      <w:r>
        <w:fldChar w:fldCharType="begin"/>
      </w:r>
      <w:r>
        <w:instrText xml:space="preserve"> REF _Ref14447219 \h </w:instrText>
      </w:r>
      <w:r>
        <w:fldChar w:fldCharType="separate"/>
      </w:r>
      <w:r>
        <w:t>Annex C</w:t>
      </w:r>
      <w:r>
        <w:fldChar w:fldCharType="end"/>
      </w:r>
      <w:r>
        <w:t xml:space="preserve"> sets out an illustrative summary of potential methodologies that would underpin these evaluations.</w:t>
      </w:r>
    </w:p>
    <w:p w14:paraId="44938C25" w14:textId="77777777" w:rsidR="008D4208" w:rsidRPr="00002989" w:rsidRDefault="008D4208" w:rsidP="008D4208">
      <w:pPr>
        <w:rPr>
          <w:i/>
        </w:rPr>
      </w:pPr>
      <w:r>
        <w:t xml:space="preserve">There are, of course, differences in scope between evaluations which are externally commissioned, and those that are conducted via peer review. As set out in the previous section, programme leads should refer to the </w:t>
      </w:r>
      <w:r w:rsidRPr="00261D7C">
        <w:rPr>
          <w:i/>
        </w:rPr>
        <w:t>Monitoring and Evaluation expectations for programmes funded through UKRI’s cross-cutting funds</w:t>
      </w:r>
      <w:r>
        <w:t xml:space="preserve"> document to assess the evaluation expectations for your programme. For an overview of the requirements </w:t>
      </w:r>
      <w:r>
        <w:lastRenderedPageBreak/>
        <w:t xml:space="preserve">for a commissioned evaluation, or for a peer review panel, please refer to the </w:t>
      </w:r>
      <w:r>
        <w:rPr>
          <w:i/>
        </w:rPr>
        <w:t>UKRI Monitoring and Evaluation Framework.</w:t>
      </w:r>
    </w:p>
    <w:p w14:paraId="6B743A4F" w14:textId="77777777" w:rsidR="008D4208" w:rsidRDefault="008D4208" w:rsidP="00CC2E60">
      <w:pPr>
        <w:pStyle w:val="Heading3"/>
        <w:numPr>
          <w:ilvl w:val="2"/>
          <w:numId w:val="9"/>
        </w:numPr>
        <w:spacing w:after="120" w:line="259" w:lineRule="auto"/>
        <w:contextualSpacing/>
      </w:pPr>
      <w:bookmarkStart w:id="51" w:name="_Toc14431890"/>
      <w:bookmarkStart w:id="52" w:name="_Toc14431891"/>
      <w:bookmarkStart w:id="53" w:name="_Toc14431892"/>
      <w:bookmarkStart w:id="54" w:name="_Toc14431893"/>
      <w:bookmarkStart w:id="55" w:name="_Toc14431894"/>
      <w:bookmarkStart w:id="56" w:name="_Toc14431895"/>
      <w:bookmarkStart w:id="57" w:name="_Toc14431896"/>
      <w:bookmarkStart w:id="58" w:name="_Ref14445833"/>
      <w:bookmarkStart w:id="59" w:name="_Ref14458628"/>
      <w:bookmarkStart w:id="60" w:name="_Toc35960447"/>
      <w:bookmarkEnd w:id="51"/>
      <w:bookmarkEnd w:id="52"/>
      <w:bookmarkEnd w:id="53"/>
      <w:bookmarkEnd w:id="54"/>
      <w:bookmarkEnd w:id="55"/>
      <w:bookmarkEnd w:id="56"/>
      <w:bookmarkEnd w:id="57"/>
      <w:r>
        <w:t>Programme evaluation objectives</w:t>
      </w:r>
      <w:bookmarkEnd w:id="58"/>
      <w:bookmarkEnd w:id="59"/>
      <w:bookmarkEnd w:id="60"/>
    </w:p>
    <w:p w14:paraId="64EDE4DA" w14:textId="77777777" w:rsidR="008D4208" w:rsidRDefault="008D4208" w:rsidP="008D4208">
      <w:r>
        <w:t xml:space="preserve">As set out in Section </w:t>
      </w:r>
      <w:r>
        <w:rPr>
          <w:highlight w:val="yellow"/>
        </w:rPr>
        <w:fldChar w:fldCharType="begin"/>
      </w:r>
      <w:r>
        <w:instrText xml:space="preserve"> REF _Ref14444345 \r \h </w:instrText>
      </w:r>
      <w:r>
        <w:rPr>
          <w:highlight w:val="yellow"/>
        </w:rPr>
      </w:r>
      <w:r>
        <w:rPr>
          <w:highlight w:val="yellow"/>
        </w:rPr>
        <w:fldChar w:fldCharType="separate"/>
      </w:r>
      <w:r>
        <w:t>2</w:t>
      </w:r>
      <w:r>
        <w:rPr>
          <w:highlight w:val="yellow"/>
        </w:rPr>
        <w:fldChar w:fldCharType="end"/>
      </w:r>
      <w:r w:rsidRPr="00A30920">
        <w:t>,</w:t>
      </w:r>
      <w:r>
        <w:t xml:space="preserve"> the fund-level evaluation will build upon and complement evaluations undertaken at the programme level. As such, it is essential that consideration is given to the aims, outcomes and evaluation questions that the wider fund-level evaluation will consider, which are set out in Section </w:t>
      </w:r>
      <w:r>
        <w:fldChar w:fldCharType="begin"/>
      </w:r>
      <w:r>
        <w:instrText xml:space="preserve"> REF _Ref14360629 \r \h </w:instrText>
      </w:r>
      <w:r>
        <w:fldChar w:fldCharType="separate"/>
      </w:r>
      <w:r>
        <w:t>4</w:t>
      </w:r>
      <w:r>
        <w:fldChar w:fldCharType="end"/>
      </w:r>
      <w:r>
        <w:t xml:space="preserve">. While programme evaluation objectives will be unique to each programme, </w:t>
      </w:r>
      <w:r w:rsidRPr="006A487B">
        <w:rPr>
          <w:u w:val="single"/>
        </w:rPr>
        <w:t>all</w:t>
      </w:r>
      <w:r>
        <w:t xml:space="preserve"> evaluations should seek to answer the following:</w:t>
      </w:r>
    </w:p>
    <w:p w14:paraId="15717EA7" w14:textId="77777777" w:rsidR="008D4208" w:rsidRDefault="008D4208" w:rsidP="00CC2E60">
      <w:pPr>
        <w:pStyle w:val="ListParagraph"/>
        <w:numPr>
          <w:ilvl w:val="0"/>
          <w:numId w:val="25"/>
        </w:numPr>
        <w:spacing w:after="160" w:line="259" w:lineRule="auto"/>
        <w:ind w:hanging="357"/>
        <w:contextualSpacing w:val="0"/>
      </w:pPr>
      <w:r>
        <w:t>To what extent, and how, has the programme produced high quality multi- and/or inter-disciplinary research and innovation?</w:t>
      </w:r>
    </w:p>
    <w:p w14:paraId="3E147F05" w14:textId="77777777" w:rsidR="008D4208" w:rsidRDefault="008D4208" w:rsidP="00CC2E60">
      <w:pPr>
        <w:pStyle w:val="ListParagraph"/>
        <w:numPr>
          <w:ilvl w:val="1"/>
          <w:numId w:val="25"/>
        </w:numPr>
        <w:spacing w:after="160" w:line="259" w:lineRule="auto"/>
        <w:ind w:hanging="357"/>
        <w:contextualSpacing w:val="0"/>
      </w:pPr>
      <w:r>
        <w:t>Has the SPF de-risked the process of preparing and submitting proposals within the programme’s sector? If so, how has it done this, and to what extent?</w:t>
      </w:r>
    </w:p>
    <w:p w14:paraId="3359BF0E" w14:textId="77777777" w:rsidR="008D4208" w:rsidRDefault="008D4208" w:rsidP="00CC2E60">
      <w:pPr>
        <w:pStyle w:val="ListParagraph"/>
        <w:numPr>
          <w:ilvl w:val="1"/>
          <w:numId w:val="25"/>
        </w:numPr>
        <w:spacing w:after="160" w:line="259" w:lineRule="auto"/>
        <w:ind w:hanging="357"/>
        <w:contextualSpacing w:val="0"/>
      </w:pPr>
      <w:r>
        <w:t>Has the efficacy of the funding system improved in the programme’s disciplinary area as a result of the SPF?</w:t>
      </w:r>
    </w:p>
    <w:p w14:paraId="15034691" w14:textId="77777777" w:rsidR="008D4208" w:rsidRDefault="008D4208" w:rsidP="00CC2E60">
      <w:pPr>
        <w:pStyle w:val="ListParagraph"/>
        <w:numPr>
          <w:ilvl w:val="0"/>
          <w:numId w:val="25"/>
        </w:numPr>
        <w:spacing w:after="160" w:line="259" w:lineRule="auto"/>
        <w:ind w:hanging="357"/>
        <w:contextualSpacing w:val="0"/>
      </w:pPr>
      <w:r>
        <w:t>To what extent has the programme linked up effectively with cross-departmental research and innovation priorities</w:t>
      </w:r>
      <w:r>
        <w:rPr>
          <w:rStyle w:val="FootnoteReference"/>
        </w:rPr>
        <w:footnoteReference w:id="8"/>
      </w:r>
      <w:r>
        <w:t xml:space="preserve"> and opportunities?</w:t>
      </w:r>
    </w:p>
    <w:p w14:paraId="39B6F148" w14:textId="77777777" w:rsidR="008D4208" w:rsidRDefault="008D4208" w:rsidP="00CC2E60">
      <w:pPr>
        <w:pStyle w:val="ListParagraph"/>
        <w:numPr>
          <w:ilvl w:val="1"/>
          <w:numId w:val="25"/>
        </w:numPr>
        <w:spacing w:after="160" w:line="259" w:lineRule="auto"/>
        <w:ind w:hanging="357"/>
        <w:contextualSpacing w:val="0"/>
      </w:pPr>
      <w:r>
        <w:t>Has the programme improved join up across departments to establish consensus on key Government priorities for R&amp;D?</w:t>
      </w:r>
    </w:p>
    <w:p w14:paraId="3A53315F" w14:textId="77777777" w:rsidR="008D4208" w:rsidRDefault="008D4208" w:rsidP="00CC2E60">
      <w:pPr>
        <w:pStyle w:val="ListParagraph"/>
        <w:numPr>
          <w:ilvl w:val="1"/>
          <w:numId w:val="25"/>
        </w:numPr>
        <w:spacing w:after="160" w:line="259" w:lineRule="auto"/>
        <w:ind w:hanging="357"/>
        <w:contextualSpacing w:val="0"/>
      </w:pPr>
      <w:r>
        <w:t>Has it increased the understanding of Government priorities among R&amp;I funders?</w:t>
      </w:r>
    </w:p>
    <w:p w14:paraId="2499D7AA" w14:textId="77777777" w:rsidR="008D4208" w:rsidRDefault="008D4208" w:rsidP="00CC2E60">
      <w:pPr>
        <w:pStyle w:val="ListParagraph"/>
        <w:numPr>
          <w:ilvl w:val="0"/>
          <w:numId w:val="20"/>
        </w:numPr>
        <w:spacing w:after="160" w:line="259" w:lineRule="auto"/>
        <w:ind w:hanging="357"/>
        <w:contextualSpacing w:val="0"/>
      </w:pPr>
      <w:r>
        <w:t>To what extent has the SPF enabled a more agile funding route for the programme than typical routes to funding?</w:t>
      </w:r>
    </w:p>
    <w:p w14:paraId="3CF3598B" w14:textId="77777777" w:rsidR="008D4208" w:rsidRDefault="008D4208" w:rsidP="008D4208">
      <w:r>
        <w:t>In addition to these questions, all programme-level impact evaluations should</w:t>
      </w:r>
      <w:r w:rsidRPr="005675B1">
        <w:t xml:space="preserve"> </w:t>
      </w:r>
      <w:r>
        <w:t xml:space="preserve">assess the extent to which their investment has delivered a discernible impact on knowledge creation, the economy and society. Furthermore, all programme-level evaluations should seek to answer the process evaluation questions set out in Section </w:t>
      </w:r>
      <w:r>
        <w:fldChar w:fldCharType="begin"/>
      </w:r>
      <w:r>
        <w:instrText xml:space="preserve"> REF _Ref14444427 \r \h </w:instrText>
      </w:r>
      <w:r>
        <w:fldChar w:fldCharType="separate"/>
      </w:r>
      <w:r>
        <w:t>4.3.1</w:t>
      </w:r>
      <w:r>
        <w:fldChar w:fldCharType="end"/>
      </w:r>
      <w:r>
        <w:t xml:space="preserve">, and should consider the questions set out in Section </w:t>
      </w:r>
      <w:r>
        <w:fldChar w:fldCharType="begin"/>
      </w:r>
      <w:r>
        <w:instrText xml:space="preserve"> REF _Ref14444463 \r \h </w:instrText>
      </w:r>
      <w:r>
        <w:fldChar w:fldCharType="separate"/>
      </w:r>
      <w:r>
        <w:t>4.3.2</w:t>
      </w:r>
      <w:r>
        <w:fldChar w:fldCharType="end"/>
      </w:r>
      <w:r>
        <w:t xml:space="preserve"> for an early assessment of impacts.</w:t>
      </w:r>
    </w:p>
    <w:p w14:paraId="5EBEF998" w14:textId="77777777" w:rsidR="008D4208" w:rsidRPr="00A30920" w:rsidRDefault="008D4208" w:rsidP="00CC2E60">
      <w:pPr>
        <w:pStyle w:val="Heading3"/>
        <w:numPr>
          <w:ilvl w:val="2"/>
          <w:numId w:val="9"/>
        </w:numPr>
        <w:spacing w:after="120" w:line="259" w:lineRule="auto"/>
        <w:contextualSpacing/>
      </w:pPr>
      <w:bookmarkStart w:id="61" w:name="_Ref14443956"/>
      <w:bookmarkStart w:id="62" w:name="_Toc35960448"/>
      <w:r w:rsidRPr="00A30920">
        <w:t>Commissioning an external evaluation</w:t>
      </w:r>
      <w:bookmarkEnd w:id="61"/>
      <w:bookmarkEnd w:id="62"/>
    </w:p>
    <w:p w14:paraId="5F7A1CBA" w14:textId="77777777" w:rsidR="008D4208" w:rsidRDefault="008D4208" w:rsidP="008D4208">
      <w:r>
        <w:t xml:space="preserve">When commissioning an external evaluator, a clear milestone timetable should be in place to allow sufficient time for procurement. The commissioning stage is crucial to ensure that the Invitation to Tender (ITT) receives high-quality proposals. Externally conducted evaluations must happen in line with government purchasing rules and be subject to fair and open competition. We recommend that you visit </w:t>
      </w:r>
      <w:r w:rsidRPr="00C471F3">
        <w:t>the UK SBS procurement page</w:t>
      </w:r>
      <w:r>
        <w:rPr>
          <w:rStyle w:val="FootnoteReference"/>
        </w:rPr>
        <w:footnoteReference w:id="9"/>
      </w:r>
      <w:r w:rsidRPr="00C471F3">
        <w:t xml:space="preserve"> before commencing planning for procurement</w:t>
      </w:r>
      <w:r>
        <w:t xml:space="preserve">. </w:t>
      </w:r>
    </w:p>
    <w:p w14:paraId="6AACE39C" w14:textId="77777777" w:rsidR="008D4208" w:rsidRDefault="008D4208" w:rsidP="008D4208">
      <w:r>
        <w:t xml:space="preserve">As set out in Section </w:t>
      </w:r>
      <w:r>
        <w:fldChar w:fldCharType="begin"/>
      </w:r>
      <w:r>
        <w:instrText xml:space="preserve"> REF _Ref14445440 \r \h </w:instrText>
      </w:r>
      <w:r>
        <w:fldChar w:fldCharType="separate"/>
      </w:r>
      <w:r>
        <w:t>3.3</w:t>
      </w:r>
      <w:r>
        <w:fldChar w:fldCharType="end"/>
      </w:r>
      <w:r>
        <w:t xml:space="preserve">, programme leads are responsible for ensuring that there is sufficient evaluation support available to evaluators. We recommend the use of steering boards to guide the evaluation, </w:t>
      </w:r>
      <w:r>
        <w:lastRenderedPageBreak/>
        <w:t>comprising of sector-specific and evaluation specialists. For more detailed guidance on commissioning evaluations, please refer to Annex C in the UKRI Monitoring and Evaluation framework.</w:t>
      </w:r>
    </w:p>
    <w:p w14:paraId="05A4C1ED" w14:textId="77777777" w:rsidR="008D4208" w:rsidRPr="00A30920" w:rsidRDefault="008D4208" w:rsidP="00CC2E60">
      <w:pPr>
        <w:pStyle w:val="Heading3"/>
        <w:numPr>
          <w:ilvl w:val="2"/>
          <w:numId w:val="9"/>
        </w:numPr>
        <w:spacing w:after="120" w:line="259" w:lineRule="auto"/>
        <w:contextualSpacing/>
      </w:pPr>
      <w:bookmarkStart w:id="63" w:name="_Ref14443958"/>
      <w:bookmarkStart w:id="64" w:name="_Toc35960449"/>
      <w:r w:rsidRPr="00A30920">
        <w:t>Guidance for conducting evaluation using a peer review panel</w:t>
      </w:r>
      <w:bookmarkEnd w:id="63"/>
      <w:bookmarkEnd w:id="64"/>
    </w:p>
    <w:p w14:paraId="1CB043F1" w14:textId="77777777" w:rsidR="008D4208" w:rsidRDefault="008D4208" w:rsidP="008D4208">
      <w:r>
        <w:t>Expert peer review evaluation involves using sector experts, typically those not involved in the research that is the focus of the evaluation, to produce an evidence-based assessment of the investment process and/or its impact. A panel should consist of between 6 and 14 members depending on the size of the investment and should contain a good balance of researchers and research users, with consideration given to UK and/or international panel members.</w:t>
      </w:r>
    </w:p>
    <w:p w14:paraId="312B39C9" w14:textId="77777777" w:rsidR="008D4208" w:rsidRDefault="008D4208" w:rsidP="008D4208">
      <w:r>
        <w:t>The terms of reference for the review panel should be clearly defined at the outset, as should the role of the panel, and the evaluation questions that they should seek to address, following the guidance in this document. Those involved in the delivery of the programme should collate relevant data and evidence and submit it to the peer review panel for review and should organise structured surveys and/or unstructured exercises such as theme days with those involved in the delivery of the programme.</w:t>
      </w:r>
    </w:p>
    <w:p w14:paraId="6254A790" w14:textId="77777777" w:rsidR="008D4208" w:rsidRDefault="008D4208" w:rsidP="008D4208">
      <w:r>
        <w:t xml:space="preserve">The peer review should draw upon the full range of evidence gathered, clearly assessing the investment’s process and its observed impact against each of the evaluation objectives set out in Section </w:t>
      </w:r>
      <w:r>
        <w:fldChar w:fldCharType="begin"/>
      </w:r>
      <w:r>
        <w:instrText xml:space="preserve"> REF _Ref14445833 \r \h </w:instrText>
      </w:r>
      <w:r>
        <w:fldChar w:fldCharType="separate"/>
      </w:r>
      <w:r>
        <w:t>5.4.3</w:t>
      </w:r>
      <w:r>
        <w:fldChar w:fldCharType="end"/>
      </w:r>
      <w:r>
        <w:t>.</w:t>
      </w:r>
    </w:p>
    <w:p w14:paraId="64AD2D75" w14:textId="77777777" w:rsidR="008D4208" w:rsidRDefault="008D4208" w:rsidP="008D4208">
      <w:r>
        <w:t xml:space="preserve">The report should include a brief executive summary, an overview of the programme and evaluation methodology, an analysis of performance against each of the programme objectives, and clear conclusions and recommendations. </w:t>
      </w:r>
    </w:p>
    <w:p w14:paraId="62B5BBCA" w14:textId="77777777" w:rsidR="008D4208" w:rsidRDefault="008D4208" w:rsidP="008D4208">
      <w:pPr>
        <w:rPr>
          <w:b/>
          <w:sz w:val="28"/>
          <w:szCs w:val="24"/>
        </w:rPr>
      </w:pPr>
      <w:r>
        <w:br w:type="page"/>
      </w:r>
    </w:p>
    <w:p w14:paraId="70F22FDD" w14:textId="77777777" w:rsidR="008D4208" w:rsidRDefault="008D4208" w:rsidP="008D4208">
      <w:pPr>
        <w:pStyle w:val="Heading1"/>
        <w:ind w:left="432" w:hanging="432"/>
      </w:pPr>
      <w:bookmarkStart w:id="65" w:name="_Ref14450390"/>
      <w:bookmarkStart w:id="66" w:name="_Ref15473154"/>
      <w:bookmarkStart w:id="67" w:name="_Ref15473170"/>
      <w:bookmarkStart w:id="68" w:name="_Toc35960450"/>
      <w:bookmarkStart w:id="69" w:name="_Ref3380011"/>
      <w:bookmarkStart w:id="70" w:name="_Ref3390326"/>
      <w:bookmarkStart w:id="71" w:name="_Ref3390330"/>
      <w:r>
        <w:lastRenderedPageBreak/>
        <w:t>Annex A: Evaluation plan template</w:t>
      </w:r>
      <w:bookmarkEnd w:id="65"/>
      <w:bookmarkEnd w:id="66"/>
      <w:bookmarkEnd w:id="67"/>
      <w:bookmarkEnd w:id="68"/>
    </w:p>
    <w:p w14:paraId="16231850" w14:textId="77777777" w:rsidR="008D4208" w:rsidRPr="00C2051F" w:rsidRDefault="008D4208" w:rsidP="008D4208">
      <w:pPr>
        <w:spacing w:after="0" w:line="240" w:lineRule="auto"/>
        <w:jc w:val="both"/>
      </w:pPr>
      <w:r>
        <w:t xml:space="preserve">As set out in Section </w:t>
      </w:r>
      <w:r>
        <w:fldChar w:fldCharType="begin"/>
      </w:r>
      <w:r>
        <w:instrText xml:space="preserve"> REF _Ref14360728 \r \h </w:instrText>
      </w:r>
      <w:r>
        <w:fldChar w:fldCharType="separate"/>
      </w:r>
      <w:r>
        <w:t>5</w:t>
      </w:r>
      <w:r>
        <w:fldChar w:fldCharType="end"/>
      </w:r>
      <w:r>
        <w:t xml:space="preserve">, all programmes should seek to complete this evaluation plan template and return it to the SPF inbox within 6 months of receiving funding, where it will be reviewed by the SPF M&amp;E lead and the wider Central UKRI Evaluation Team. The purpose of this is to ensure that the evaluation activity proposed for your programme is sufficient and/or proportionate to the programme activity, to assist you with preparing for undertaking and/or commissioning an evaluation as appropriate, and to keep a clear record of expected evaluation activity. While we require answers to each of the question prompts, you are welcome to remove these prompts if you would prefer to provide a more holistic overview for each section. </w:t>
      </w:r>
    </w:p>
    <w:p w14:paraId="5B68859C" w14:textId="77777777" w:rsidR="008D4208" w:rsidRPr="00D77614" w:rsidRDefault="008D4208" w:rsidP="008D4208">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2"/>
        <w:gridCol w:w="2363"/>
        <w:gridCol w:w="2359"/>
        <w:gridCol w:w="2407"/>
        <w:gridCol w:w="21"/>
      </w:tblGrid>
      <w:tr w:rsidR="008D4208" w:rsidRPr="00D77614" w14:paraId="03AB00CF" w14:textId="77777777" w:rsidTr="003A5657">
        <w:trPr>
          <w:trHeight w:val="397"/>
          <w:jc w:val="center"/>
        </w:trPr>
        <w:tc>
          <w:tcPr>
            <w:tcW w:w="5000" w:type="pct"/>
            <w:gridSpan w:val="5"/>
            <w:tcBorders>
              <w:top w:val="single" w:sz="8" w:space="0" w:color="4F81BD"/>
              <w:bottom w:val="single" w:sz="8" w:space="0" w:color="4F81BD"/>
            </w:tcBorders>
            <w:shd w:val="clear" w:color="auto" w:fill="4F81BD" w:themeFill="accent1"/>
            <w:vAlign w:val="center"/>
          </w:tcPr>
          <w:p w14:paraId="53DA95A0" w14:textId="77777777" w:rsidR="008D4208" w:rsidRPr="00D77614" w:rsidRDefault="008D4208" w:rsidP="00CC2E60">
            <w:pPr>
              <w:pStyle w:val="ListParagraph"/>
              <w:numPr>
                <w:ilvl w:val="0"/>
                <w:numId w:val="22"/>
              </w:numPr>
              <w:spacing w:after="0" w:line="240" w:lineRule="auto"/>
              <w:jc w:val="center"/>
              <w:rPr>
                <w:b/>
                <w:bCs/>
                <w:color w:val="FFFFFF"/>
                <w:szCs w:val="21"/>
              </w:rPr>
            </w:pPr>
            <w:r w:rsidRPr="00D77614">
              <w:rPr>
                <w:b/>
                <w:bCs/>
                <w:color w:val="FFFFFF"/>
                <w:szCs w:val="21"/>
              </w:rPr>
              <w:t>Project/programme objectives and anticipated effects</w:t>
            </w:r>
            <w:r w:rsidRPr="00D77614">
              <w:rPr>
                <w:rStyle w:val="FootnoteReference"/>
                <w:b/>
                <w:bCs/>
                <w:color w:val="FFFFFF"/>
                <w:szCs w:val="21"/>
              </w:rPr>
              <w:footnoteReference w:id="10"/>
            </w:r>
          </w:p>
        </w:tc>
      </w:tr>
      <w:tr w:rsidR="008D4208" w:rsidRPr="00D77614" w14:paraId="7DB21CA3" w14:textId="77777777" w:rsidTr="003A5657">
        <w:trPr>
          <w:trHeight w:val="832"/>
          <w:jc w:val="center"/>
        </w:trPr>
        <w:tc>
          <w:tcPr>
            <w:tcW w:w="5000" w:type="pct"/>
            <w:gridSpan w:val="5"/>
          </w:tcPr>
          <w:p w14:paraId="524AA4F8" w14:textId="77777777" w:rsidR="008D4208" w:rsidRPr="00D77614" w:rsidRDefault="008D4208" w:rsidP="003A5657">
            <w:pPr>
              <w:rPr>
                <w:bCs/>
                <w:i/>
                <w:szCs w:val="21"/>
              </w:rPr>
            </w:pPr>
            <w:r w:rsidRPr="00D77614">
              <w:rPr>
                <w:bCs/>
                <w:i/>
                <w:szCs w:val="21"/>
              </w:rPr>
              <w:t>What are the programme</w:t>
            </w:r>
            <w:r>
              <w:rPr>
                <w:bCs/>
                <w:i/>
                <w:szCs w:val="21"/>
              </w:rPr>
              <w:t xml:space="preserve">’s or project’s </w:t>
            </w:r>
            <w:r w:rsidRPr="00D77614">
              <w:rPr>
                <w:bCs/>
                <w:i/>
                <w:szCs w:val="21"/>
              </w:rPr>
              <w:t>objectives?</w:t>
            </w:r>
          </w:p>
          <w:p w14:paraId="14A79889" w14:textId="77777777" w:rsidR="008D4208" w:rsidRPr="00D77614" w:rsidRDefault="008D4208" w:rsidP="003A5657">
            <w:pPr>
              <w:rPr>
                <w:bCs/>
                <w:i/>
                <w:szCs w:val="21"/>
              </w:rPr>
            </w:pPr>
            <w:r w:rsidRPr="00D77614">
              <w:rPr>
                <w:bCs/>
                <w:i/>
                <w:szCs w:val="21"/>
              </w:rPr>
              <w:t>…</w:t>
            </w:r>
          </w:p>
          <w:p w14:paraId="7C937C75" w14:textId="77777777" w:rsidR="008D4208" w:rsidRPr="00D77614" w:rsidRDefault="008D4208" w:rsidP="003A5657">
            <w:pPr>
              <w:rPr>
                <w:bCs/>
                <w:i/>
                <w:szCs w:val="21"/>
              </w:rPr>
            </w:pPr>
            <w:r w:rsidRPr="00D77614">
              <w:rPr>
                <w:bCs/>
                <w:i/>
                <w:szCs w:val="21"/>
              </w:rPr>
              <w:t xml:space="preserve">What are the </w:t>
            </w:r>
            <w:r w:rsidRPr="00D77614">
              <w:rPr>
                <w:b/>
                <w:bCs/>
                <w:i/>
                <w:szCs w:val="21"/>
              </w:rPr>
              <w:t>issues</w:t>
            </w:r>
            <w:r w:rsidRPr="00D77614">
              <w:rPr>
                <w:bCs/>
                <w:i/>
                <w:szCs w:val="21"/>
              </w:rPr>
              <w:t xml:space="preserve"> being addressed and the </w:t>
            </w:r>
            <w:r w:rsidRPr="00D77614">
              <w:rPr>
                <w:b/>
                <w:bCs/>
                <w:i/>
                <w:szCs w:val="21"/>
              </w:rPr>
              <w:t>context</w:t>
            </w:r>
            <w:r w:rsidRPr="00D77614">
              <w:rPr>
                <w:bCs/>
                <w:i/>
                <w:szCs w:val="21"/>
              </w:rPr>
              <w:t xml:space="preserve"> within which the project or programme is taking place?</w:t>
            </w:r>
          </w:p>
          <w:p w14:paraId="411A99A7" w14:textId="77777777" w:rsidR="008D4208" w:rsidRPr="00D77614" w:rsidRDefault="008D4208" w:rsidP="003A5657">
            <w:pPr>
              <w:rPr>
                <w:bCs/>
                <w:i/>
                <w:szCs w:val="21"/>
              </w:rPr>
            </w:pPr>
            <w:r w:rsidRPr="00D77614">
              <w:rPr>
                <w:bCs/>
                <w:i/>
                <w:szCs w:val="21"/>
              </w:rPr>
              <w:t>…</w:t>
            </w:r>
          </w:p>
          <w:p w14:paraId="34856CF7" w14:textId="77777777" w:rsidR="008D4208" w:rsidRPr="00D77614" w:rsidRDefault="008D4208" w:rsidP="003A5657">
            <w:pPr>
              <w:rPr>
                <w:bCs/>
                <w:i/>
                <w:szCs w:val="21"/>
              </w:rPr>
            </w:pPr>
            <w:r w:rsidRPr="00C77CA3">
              <w:rPr>
                <w:bCs/>
                <w:i/>
                <w:szCs w:val="21"/>
              </w:rPr>
              <w:t>If your programme has an up-to-date logic model, please include it here and/or complete the table below setting out the programme’s key expected inputs, outputs, outcomes and impacts.</w:t>
            </w:r>
          </w:p>
        </w:tc>
      </w:tr>
      <w:tr w:rsidR="008D4208" w:rsidRPr="00D77614" w14:paraId="22323DD5" w14:textId="77777777" w:rsidTr="003A5657">
        <w:trPr>
          <w:trHeight w:val="1483"/>
          <w:jc w:val="center"/>
        </w:trPr>
        <w:tc>
          <w:tcPr>
            <w:tcW w:w="1284" w:type="pct"/>
          </w:tcPr>
          <w:p w14:paraId="3501A269" w14:textId="77777777" w:rsidR="008D4208" w:rsidRPr="00D77614" w:rsidRDefault="008D4208" w:rsidP="003A5657">
            <w:pPr>
              <w:rPr>
                <w:b/>
                <w:bCs/>
                <w:i/>
                <w:szCs w:val="21"/>
              </w:rPr>
            </w:pPr>
            <w:r w:rsidRPr="00D77614">
              <w:rPr>
                <w:bCs/>
                <w:i/>
                <w:szCs w:val="21"/>
              </w:rPr>
              <w:t xml:space="preserve">What are the </w:t>
            </w:r>
            <w:r w:rsidRPr="00D77614">
              <w:rPr>
                <w:b/>
                <w:bCs/>
                <w:i/>
                <w:szCs w:val="21"/>
              </w:rPr>
              <w:t>inputs</w:t>
            </w:r>
            <w:r w:rsidRPr="00D77614">
              <w:rPr>
                <w:bCs/>
                <w:i/>
                <w:szCs w:val="21"/>
              </w:rPr>
              <w:t xml:space="preserve"> i.e. resources and activities? </w:t>
            </w:r>
          </w:p>
          <w:p w14:paraId="1AC0601A" w14:textId="77777777" w:rsidR="008D4208" w:rsidRPr="00D77614" w:rsidRDefault="008D4208" w:rsidP="003A5657">
            <w:pPr>
              <w:rPr>
                <w:b/>
                <w:bCs/>
                <w:szCs w:val="21"/>
              </w:rPr>
            </w:pPr>
          </w:p>
          <w:p w14:paraId="613383A2" w14:textId="77777777" w:rsidR="008D4208" w:rsidRPr="00D77614" w:rsidRDefault="008D4208" w:rsidP="003A5657">
            <w:pPr>
              <w:rPr>
                <w:b/>
                <w:bCs/>
                <w:i/>
                <w:szCs w:val="21"/>
              </w:rPr>
            </w:pPr>
          </w:p>
          <w:p w14:paraId="104DD4EA" w14:textId="77777777" w:rsidR="008D4208" w:rsidRPr="00D77614" w:rsidRDefault="008D4208" w:rsidP="003A5657">
            <w:pPr>
              <w:rPr>
                <w:b/>
                <w:bCs/>
                <w:i/>
                <w:szCs w:val="21"/>
              </w:rPr>
            </w:pPr>
          </w:p>
        </w:tc>
        <w:tc>
          <w:tcPr>
            <w:tcW w:w="1228" w:type="pct"/>
          </w:tcPr>
          <w:p w14:paraId="14EDE08A" w14:textId="77777777" w:rsidR="008D4208" w:rsidRPr="00D77614" w:rsidRDefault="008D4208" w:rsidP="003A5657">
            <w:pPr>
              <w:rPr>
                <w:i/>
                <w:szCs w:val="21"/>
              </w:rPr>
            </w:pPr>
            <w:r w:rsidRPr="00D77614">
              <w:rPr>
                <w:i/>
                <w:szCs w:val="21"/>
              </w:rPr>
              <w:t xml:space="preserve">What are the </w:t>
            </w:r>
            <w:r w:rsidRPr="00D77614">
              <w:rPr>
                <w:b/>
                <w:i/>
                <w:szCs w:val="21"/>
              </w:rPr>
              <w:t>outputs</w:t>
            </w:r>
            <w:r w:rsidRPr="00D77614">
              <w:rPr>
                <w:i/>
                <w:szCs w:val="21"/>
              </w:rPr>
              <w:t>, i.e. what is being delivered?</w:t>
            </w:r>
          </w:p>
          <w:p w14:paraId="04CBC536" w14:textId="77777777" w:rsidR="008D4208" w:rsidRPr="00D77614" w:rsidRDefault="008D4208" w:rsidP="003A5657">
            <w:pPr>
              <w:rPr>
                <w:i/>
                <w:szCs w:val="21"/>
              </w:rPr>
            </w:pPr>
          </w:p>
          <w:p w14:paraId="18594924" w14:textId="77777777" w:rsidR="008D4208" w:rsidRPr="00D77614" w:rsidRDefault="008D4208" w:rsidP="003A5657">
            <w:pPr>
              <w:rPr>
                <w:szCs w:val="21"/>
              </w:rPr>
            </w:pPr>
          </w:p>
          <w:p w14:paraId="3457971C" w14:textId="77777777" w:rsidR="008D4208" w:rsidRPr="00D77614" w:rsidRDefault="008D4208" w:rsidP="003A5657">
            <w:pPr>
              <w:rPr>
                <w:i/>
                <w:szCs w:val="21"/>
              </w:rPr>
            </w:pPr>
          </w:p>
        </w:tc>
        <w:tc>
          <w:tcPr>
            <w:tcW w:w="1226" w:type="pct"/>
          </w:tcPr>
          <w:p w14:paraId="1F4CED62" w14:textId="77777777" w:rsidR="008D4208" w:rsidRPr="00D77614" w:rsidRDefault="008D4208" w:rsidP="003A5657">
            <w:pPr>
              <w:rPr>
                <w:i/>
                <w:szCs w:val="21"/>
              </w:rPr>
            </w:pPr>
            <w:r w:rsidRPr="00D77614">
              <w:rPr>
                <w:i/>
                <w:szCs w:val="21"/>
              </w:rPr>
              <w:t xml:space="preserve">What are the </w:t>
            </w:r>
            <w:r w:rsidRPr="00D77614">
              <w:rPr>
                <w:b/>
                <w:i/>
                <w:szCs w:val="21"/>
              </w:rPr>
              <w:t>outcomes</w:t>
            </w:r>
            <w:r w:rsidRPr="00D77614">
              <w:rPr>
                <w:i/>
                <w:szCs w:val="21"/>
              </w:rPr>
              <w:t>, i.e. short / medium-term results?</w:t>
            </w:r>
          </w:p>
          <w:p w14:paraId="653B84C4" w14:textId="77777777" w:rsidR="008D4208" w:rsidRPr="00D77614" w:rsidRDefault="008D4208" w:rsidP="003A5657">
            <w:pPr>
              <w:rPr>
                <w:i/>
                <w:szCs w:val="21"/>
              </w:rPr>
            </w:pPr>
          </w:p>
        </w:tc>
        <w:tc>
          <w:tcPr>
            <w:tcW w:w="1262" w:type="pct"/>
            <w:gridSpan w:val="2"/>
          </w:tcPr>
          <w:p w14:paraId="37614DF0" w14:textId="77777777" w:rsidR="008D4208" w:rsidRPr="00D77614" w:rsidRDefault="008D4208" w:rsidP="003A5657">
            <w:pPr>
              <w:rPr>
                <w:i/>
                <w:szCs w:val="21"/>
              </w:rPr>
            </w:pPr>
            <w:r w:rsidRPr="00D77614">
              <w:rPr>
                <w:i/>
                <w:szCs w:val="21"/>
              </w:rPr>
              <w:t xml:space="preserve">What are the </w:t>
            </w:r>
            <w:r w:rsidRPr="00D77614">
              <w:rPr>
                <w:b/>
                <w:i/>
                <w:szCs w:val="21"/>
              </w:rPr>
              <w:t>impacts</w:t>
            </w:r>
            <w:r w:rsidRPr="00D77614">
              <w:rPr>
                <w:i/>
                <w:szCs w:val="21"/>
              </w:rPr>
              <w:t>, i.e. long-term results?</w:t>
            </w:r>
          </w:p>
          <w:p w14:paraId="2AF7B7E5" w14:textId="77777777" w:rsidR="008D4208" w:rsidRPr="00D77614" w:rsidRDefault="008D4208" w:rsidP="003A5657">
            <w:pPr>
              <w:rPr>
                <w:szCs w:val="21"/>
              </w:rPr>
            </w:pPr>
          </w:p>
          <w:p w14:paraId="7C569F82" w14:textId="77777777" w:rsidR="008D4208" w:rsidRPr="00D77614" w:rsidRDefault="008D4208" w:rsidP="003A5657">
            <w:pPr>
              <w:rPr>
                <w:i/>
                <w:szCs w:val="21"/>
              </w:rPr>
            </w:pPr>
          </w:p>
        </w:tc>
      </w:tr>
      <w:tr w:rsidR="008D4208" w:rsidRPr="00D77614" w14:paraId="0F4057FD" w14:textId="77777777" w:rsidTr="003A5657">
        <w:trPr>
          <w:gridAfter w:val="1"/>
          <w:wAfter w:w="11" w:type="pct"/>
          <w:trHeight w:val="397"/>
          <w:jc w:val="center"/>
        </w:trPr>
        <w:tc>
          <w:tcPr>
            <w:tcW w:w="4989" w:type="pct"/>
            <w:gridSpan w:val="4"/>
            <w:tcBorders>
              <w:bottom w:val="single" w:sz="8" w:space="0" w:color="4F81BD"/>
            </w:tcBorders>
            <w:shd w:val="clear" w:color="auto" w:fill="4F81BD" w:themeFill="accent1"/>
            <w:vAlign w:val="center"/>
          </w:tcPr>
          <w:p w14:paraId="7C7AD4BD" w14:textId="77777777" w:rsidR="008D4208" w:rsidRPr="00D77614" w:rsidRDefault="008D4208" w:rsidP="00CC2E60">
            <w:pPr>
              <w:pStyle w:val="ListParagraph"/>
              <w:numPr>
                <w:ilvl w:val="0"/>
                <w:numId w:val="22"/>
              </w:numPr>
              <w:spacing w:after="0" w:line="240" w:lineRule="auto"/>
              <w:jc w:val="center"/>
              <w:rPr>
                <w:b/>
                <w:bCs/>
                <w:color w:val="FFFFFF"/>
                <w:szCs w:val="21"/>
              </w:rPr>
            </w:pPr>
            <w:r w:rsidRPr="00D77614">
              <w:rPr>
                <w:b/>
                <w:bCs/>
                <w:color w:val="FFFFFF"/>
                <w:szCs w:val="21"/>
              </w:rPr>
              <w:t>Evaluation objectives</w:t>
            </w:r>
            <w:r>
              <w:rPr>
                <w:b/>
                <w:bCs/>
                <w:color w:val="FFFFFF"/>
                <w:szCs w:val="21"/>
              </w:rPr>
              <w:t xml:space="preserve"> and</w:t>
            </w:r>
            <w:r w:rsidRPr="00D77614">
              <w:rPr>
                <w:b/>
                <w:bCs/>
                <w:color w:val="FFFFFF"/>
                <w:szCs w:val="21"/>
              </w:rPr>
              <w:t xml:space="preserve"> questions</w:t>
            </w:r>
          </w:p>
        </w:tc>
      </w:tr>
      <w:tr w:rsidR="008D4208" w:rsidRPr="00D77614" w14:paraId="20C8D483" w14:textId="77777777" w:rsidTr="003A5657">
        <w:trPr>
          <w:gridAfter w:val="1"/>
          <w:wAfter w:w="11" w:type="pct"/>
          <w:jc w:val="center"/>
        </w:trPr>
        <w:tc>
          <w:tcPr>
            <w:tcW w:w="4989" w:type="pct"/>
            <w:gridSpan w:val="4"/>
          </w:tcPr>
          <w:p w14:paraId="327C4C2B" w14:textId="77777777" w:rsidR="008D4208" w:rsidRPr="00D77614" w:rsidRDefault="008D4208" w:rsidP="003A5657">
            <w:pPr>
              <w:rPr>
                <w:bCs/>
                <w:i/>
                <w:szCs w:val="21"/>
              </w:rPr>
            </w:pPr>
            <w:r w:rsidRPr="00D77614">
              <w:rPr>
                <w:bCs/>
                <w:i/>
                <w:szCs w:val="21"/>
              </w:rPr>
              <w:t xml:space="preserve">What do you need to know about what difference the </w:t>
            </w:r>
            <w:r>
              <w:rPr>
                <w:bCs/>
                <w:i/>
                <w:szCs w:val="21"/>
              </w:rPr>
              <w:t>programme</w:t>
            </w:r>
            <w:r w:rsidRPr="00D77614">
              <w:rPr>
                <w:bCs/>
                <w:i/>
                <w:szCs w:val="21"/>
              </w:rPr>
              <w:t xml:space="preserve"> made, and/or how it was delivered?</w:t>
            </w:r>
          </w:p>
          <w:p w14:paraId="6582DD7E" w14:textId="77777777" w:rsidR="008D4208" w:rsidRPr="00D77614" w:rsidRDefault="008D4208" w:rsidP="003A5657">
            <w:pPr>
              <w:rPr>
                <w:bCs/>
                <w:i/>
                <w:szCs w:val="21"/>
              </w:rPr>
            </w:pPr>
            <w:r w:rsidRPr="00D77614">
              <w:rPr>
                <w:bCs/>
                <w:i/>
                <w:szCs w:val="21"/>
              </w:rPr>
              <w:t>…</w:t>
            </w:r>
          </w:p>
          <w:p w14:paraId="68781CBD" w14:textId="77777777" w:rsidR="008D4208" w:rsidRPr="00D77614" w:rsidRDefault="008D4208" w:rsidP="003A5657">
            <w:pPr>
              <w:rPr>
                <w:b/>
                <w:bCs/>
                <w:szCs w:val="21"/>
              </w:rPr>
            </w:pPr>
            <w:r w:rsidRPr="00D77614">
              <w:rPr>
                <w:bCs/>
                <w:i/>
                <w:szCs w:val="21"/>
              </w:rPr>
              <w:t>Is it clear what will constitute success and how this will be measured?</w:t>
            </w:r>
          </w:p>
          <w:p w14:paraId="62F36310" w14:textId="77777777" w:rsidR="008D4208" w:rsidRPr="00D77614" w:rsidRDefault="008D4208" w:rsidP="003A5657">
            <w:pPr>
              <w:autoSpaceDE w:val="0"/>
              <w:autoSpaceDN w:val="0"/>
              <w:adjustRightInd w:val="0"/>
              <w:rPr>
                <w:bCs/>
                <w:i/>
                <w:szCs w:val="21"/>
              </w:rPr>
            </w:pPr>
            <w:r w:rsidRPr="00D77614">
              <w:rPr>
                <w:bCs/>
                <w:i/>
                <w:szCs w:val="21"/>
              </w:rPr>
              <w:t>…</w:t>
            </w:r>
          </w:p>
          <w:p w14:paraId="2E2C45F0" w14:textId="77777777" w:rsidR="008D4208" w:rsidRDefault="008D4208" w:rsidP="003A5657">
            <w:pPr>
              <w:autoSpaceDE w:val="0"/>
              <w:autoSpaceDN w:val="0"/>
              <w:adjustRightInd w:val="0"/>
              <w:rPr>
                <w:bCs/>
                <w:i/>
                <w:szCs w:val="21"/>
              </w:rPr>
            </w:pPr>
            <w:r w:rsidRPr="00D77614">
              <w:rPr>
                <w:bCs/>
                <w:i/>
                <w:szCs w:val="21"/>
              </w:rPr>
              <w:t>The evaluation questions are as follows</w:t>
            </w:r>
            <w:r>
              <w:rPr>
                <w:bCs/>
                <w:i/>
                <w:szCs w:val="21"/>
              </w:rPr>
              <w:t>:</w:t>
            </w:r>
          </w:p>
          <w:p w14:paraId="7383DBF4" w14:textId="77777777" w:rsidR="008D4208" w:rsidRDefault="008D4208" w:rsidP="00CC2E60">
            <w:pPr>
              <w:pStyle w:val="ListParagraph"/>
              <w:numPr>
                <w:ilvl w:val="0"/>
                <w:numId w:val="29"/>
              </w:numPr>
              <w:autoSpaceDE w:val="0"/>
              <w:autoSpaceDN w:val="0"/>
              <w:adjustRightInd w:val="0"/>
              <w:spacing w:after="160" w:line="259" w:lineRule="auto"/>
              <w:rPr>
                <w:bCs/>
                <w:i/>
                <w:szCs w:val="21"/>
              </w:rPr>
            </w:pPr>
            <w:r>
              <w:rPr>
                <w:bCs/>
                <w:i/>
                <w:szCs w:val="21"/>
              </w:rPr>
              <w:t>[Objective 1]</w:t>
            </w:r>
          </w:p>
          <w:p w14:paraId="249A22B1" w14:textId="77777777" w:rsidR="008D4208" w:rsidRDefault="008D4208" w:rsidP="00CC2E60">
            <w:pPr>
              <w:pStyle w:val="ListParagraph"/>
              <w:numPr>
                <w:ilvl w:val="1"/>
                <w:numId w:val="29"/>
              </w:numPr>
              <w:autoSpaceDE w:val="0"/>
              <w:autoSpaceDN w:val="0"/>
              <w:adjustRightInd w:val="0"/>
              <w:spacing w:after="160" w:line="259" w:lineRule="auto"/>
              <w:rPr>
                <w:bCs/>
                <w:i/>
                <w:szCs w:val="21"/>
              </w:rPr>
            </w:pPr>
            <w:r>
              <w:rPr>
                <w:bCs/>
                <w:i/>
                <w:szCs w:val="21"/>
              </w:rPr>
              <w:t>[Sub-objective 1a]</w:t>
            </w:r>
          </w:p>
          <w:p w14:paraId="4831AE4D" w14:textId="77777777" w:rsidR="008D4208" w:rsidRDefault="008D4208" w:rsidP="00CC2E60">
            <w:pPr>
              <w:pStyle w:val="ListParagraph"/>
              <w:numPr>
                <w:ilvl w:val="1"/>
                <w:numId w:val="29"/>
              </w:numPr>
              <w:autoSpaceDE w:val="0"/>
              <w:autoSpaceDN w:val="0"/>
              <w:adjustRightInd w:val="0"/>
              <w:spacing w:after="160" w:line="259" w:lineRule="auto"/>
              <w:rPr>
                <w:bCs/>
                <w:i/>
                <w:szCs w:val="21"/>
              </w:rPr>
            </w:pPr>
            <w:r>
              <w:rPr>
                <w:bCs/>
                <w:i/>
                <w:szCs w:val="21"/>
              </w:rPr>
              <w:t>[Sub-objective 1b]</w:t>
            </w:r>
          </w:p>
          <w:p w14:paraId="34F89D2F" w14:textId="77777777" w:rsidR="008D4208" w:rsidRDefault="008D4208" w:rsidP="00CC2E60">
            <w:pPr>
              <w:pStyle w:val="ListParagraph"/>
              <w:numPr>
                <w:ilvl w:val="0"/>
                <w:numId w:val="29"/>
              </w:numPr>
              <w:autoSpaceDE w:val="0"/>
              <w:autoSpaceDN w:val="0"/>
              <w:adjustRightInd w:val="0"/>
              <w:spacing w:after="160" w:line="259" w:lineRule="auto"/>
              <w:rPr>
                <w:bCs/>
                <w:i/>
                <w:szCs w:val="21"/>
              </w:rPr>
            </w:pPr>
            <w:r>
              <w:rPr>
                <w:bCs/>
                <w:i/>
                <w:szCs w:val="21"/>
              </w:rPr>
              <w:lastRenderedPageBreak/>
              <w:t>[Objective 2]</w:t>
            </w:r>
          </w:p>
          <w:p w14:paraId="40B2EC6A" w14:textId="77777777" w:rsidR="008D4208" w:rsidRDefault="008D4208" w:rsidP="00CC2E60">
            <w:pPr>
              <w:pStyle w:val="ListParagraph"/>
              <w:numPr>
                <w:ilvl w:val="1"/>
                <w:numId w:val="29"/>
              </w:numPr>
              <w:autoSpaceDE w:val="0"/>
              <w:autoSpaceDN w:val="0"/>
              <w:adjustRightInd w:val="0"/>
              <w:spacing w:after="160" w:line="259" w:lineRule="auto"/>
              <w:rPr>
                <w:bCs/>
                <w:i/>
                <w:szCs w:val="21"/>
              </w:rPr>
            </w:pPr>
            <w:r>
              <w:rPr>
                <w:bCs/>
                <w:i/>
                <w:szCs w:val="21"/>
              </w:rPr>
              <w:t>[Sub-objective 2a]</w:t>
            </w:r>
          </w:p>
          <w:p w14:paraId="2B247E45" w14:textId="77777777" w:rsidR="008D4208" w:rsidRPr="00D6078C" w:rsidRDefault="008D4208" w:rsidP="00CC2E60">
            <w:pPr>
              <w:pStyle w:val="ListParagraph"/>
              <w:numPr>
                <w:ilvl w:val="1"/>
                <w:numId w:val="29"/>
              </w:numPr>
              <w:autoSpaceDE w:val="0"/>
              <w:autoSpaceDN w:val="0"/>
              <w:adjustRightInd w:val="0"/>
              <w:spacing w:after="160" w:line="259" w:lineRule="auto"/>
              <w:rPr>
                <w:bCs/>
                <w:i/>
                <w:szCs w:val="21"/>
              </w:rPr>
            </w:pPr>
            <w:r>
              <w:rPr>
                <w:bCs/>
                <w:i/>
                <w:szCs w:val="21"/>
              </w:rPr>
              <w:t>[Sub-objective 2b]</w:t>
            </w:r>
          </w:p>
          <w:p w14:paraId="320CD5CA" w14:textId="77777777" w:rsidR="008D4208" w:rsidRDefault="008D4208" w:rsidP="00CC2E60">
            <w:pPr>
              <w:pStyle w:val="ListParagraph"/>
              <w:numPr>
                <w:ilvl w:val="0"/>
                <w:numId w:val="29"/>
              </w:numPr>
              <w:autoSpaceDE w:val="0"/>
              <w:autoSpaceDN w:val="0"/>
              <w:adjustRightInd w:val="0"/>
              <w:spacing w:after="160" w:line="259" w:lineRule="auto"/>
              <w:rPr>
                <w:bCs/>
                <w:i/>
                <w:szCs w:val="21"/>
              </w:rPr>
            </w:pPr>
            <w:r>
              <w:rPr>
                <w:bCs/>
                <w:i/>
                <w:szCs w:val="21"/>
              </w:rPr>
              <w:t>…</w:t>
            </w:r>
          </w:p>
          <w:p w14:paraId="31726D1E" w14:textId="77777777" w:rsidR="008D4208" w:rsidRDefault="008D4208" w:rsidP="003A5657">
            <w:pPr>
              <w:autoSpaceDE w:val="0"/>
              <w:autoSpaceDN w:val="0"/>
              <w:adjustRightInd w:val="0"/>
              <w:rPr>
                <w:bCs/>
                <w:i/>
                <w:szCs w:val="21"/>
              </w:rPr>
            </w:pPr>
            <w:r>
              <w:rPr>
                <w:bCs/>
                <w:i/>
                <w:szCs w:val="21"/>
              </w:rPr>
              <w:t>How do you anticipate that your programme’s evaluation activity will complement the wider fund-level evaluation and its objectives, set out in Section 4?</w:t>
            </w:r>
          </w:p>
          <w:p w14:paraId="0DD0DD5C" w14:textId="77777777" w:rsidR="008D4208" w:rsidRPr="003A20A7" w:rsidRDefault="008D4208" w:rsidP="003A5657">
            <w:pPr>
              <w:autoSpaceDE w:val="0"/>
              <w:autoSpaceDN w:val="0"/>
              <w:adjustRightInd w:val="0"/>
              <w:rPr>
                <w:bCs/>
                <w:i/>
                <w:szCs w:val="21"/>
              </w:rPr>
            </w:pPr>
            <w:r>
              <w:rPr>
                <w:bCs/>
                <w:i/>
                <w:szCs w:val="21"/>
              </w:rPr>
              <w:t>…</w:t>
            </w:r>
          </w:p>
        </w:tc>
      </w:tr>
      <w:tr w:rsidR="008D4208" w:rsidRPr="00D77614" w14:paraId="71CF6523" w14:textId="77777777" w:rsidTr="003A5657">
        <w:trPr>
          <w:gridAfter w:val="1"/>
          <w:wAfter w:w="11" w:type="pct"/>
          <w:trHeight w:val="397"/>
          <w:jc w:val="center"/>
        </w:trPr>
        <w:tc>
          <w:tcPr>
            <w:tcW w:w="4989" w:type="pct"/>
            <w:gridSpan w:val="4"/>
            <w:tcBorders>
              <w:top w:val="single" w:sz="8" w:space="0" w:color="4F81BD"/>
              <w:bottom w:val="single" w:sz="8" w:space="0" w:color="4F81BD"/>
            </w:tcBorders>
            <w:shd w:val="clear" w:color="auto" w:fill="4F81BD" w:themeFill="accent1"/>
            <w:vAlign w:val="center"/>
          </w:tcPr>
          <w:p w14:paraId="538D6102" w14:textId="77777777" w:rsidR="008D4208" w:rsidRPr="00D77614" w:rsidRDefault="008D4208" w:rsidP="00CC2E60">
            <w:pPr>
              <w:pStyle w:val="ListParagraph"/>
              <w:numPr>
                <w:ilvl w:val="0"/>
                <w:numId w:val="22"/>
              </w:numPr>
              <w:spacing w:after="0" w:line="240" w:lineRule="auto"/>
              <w:jc w:val="center"/>
              <w:rPr>
                <w:b/>
                <w:bCs/>
                <w:color w:val="FFFFFF"/>
                <w:szCs w:val="21"/>
              </w:rPr>
            </w:pPr>
            <w:r>
              <w:rPr>
                <w:b/>
                <w:bCs/>
                <w:color w:val="FFFFFF"/>
                <w:szCs w:val="21"/>
              </w:rPr>
              <w:lastRenderedPageBreak/>
              <w:t>Evaluation use and audience</w:t>
            </w:r>
          </w:p>
        </w:tc>
      </w:tr>
      <w:tr w:rsidR="008D4208" w:rsidRPr="00D77614" w14:paraId="31DBE322" w14:textId="77777777" w:rsidTr="003A5657">
        <w:trPr>
          <w:gridAfter w:val="1"/>
          <w:wAfter w:w="11" w:type="pct"/>
          <w:trHeight w:val="1319"/>
          <w:jc w:val="center"/>
        </w:trPr>
        <w:tc>
          <w:tcPr>
            <w:tcW w:w="4989" w:type="pct"/>
            <w:gridSpan w:val="4"/>
          </w:tcPr>
          <w:p w14:paraId="3C67E0A2" w14:textId="77777777" w:rsidR="008D4208" w:rsidRPr="00E01B82" w:rsidRDefault="008D4208" w:rsidP="003A5657">
            <w:pPr>
              <w:spacing w:line="240" w:lineRule="auto"/>
              <w:rPr>
                <w:bCs/>
                <w:i/>
                <w:szCs w:val="21"/>
              </w:rPr>
            </w:pPr>
            <w:r w:rsidRPr="00E01B82">
              <w:rPr>
                <w:bCs/>
                <w:i/>
                <w:szCs w:val="21"/>
              </w:rPr>
              <w:t>As set out in Section 4 of the SPF M&amp;E plan, all evaluation activity undertaken at the programme level will underpin and complement the fund-level evaluation, which will allow UKRI to assess the value for money of the SPF and ensure public money is being spent in accordance with the fund’s stated aims, and to understand the impact of its activity on the UK’s knowledge, the economy and society. Aside from this:</w:t>
            </w:r>
          </w:p>
          <w:p w14:paraId="7821767F" w14:textId="77777777" w:rsidR="008D4208" w:rsidRPr="00E01B82" w:rsidRDefault="008D4208" w:rsidP="003A5657">
            <w:pPr>
              <w:spacing w:line="240" w:lineRule="auto"/>
              <w:rPr>
                <w:bCs/>
                <w:i/>
                <w:szCs w:val="21"/>
              </w:rPr>
            </w:pPr>
            <w:r w:rsidRPr="00E01B82">
              <w:rPr>
                <w:bCs/>
                <w:i/>
                <w:szCs w:val="21"/>
              </w:rPr>
              <w:t>How do you anticipate the findings of your evaluation activity will be used, and what decisions will they feed into?</w:t>
            </w:r>
          </w:p>
          <w:p w14:paraId="36CBE990" w14:textId="77777777" w:rsidR="008D4208" w:rsidRPr="00E01B82" w:rsidRDefault="008D4208" w:rsidP="003A5657">
            <w:pPr>
              <w:spacing w:line="240" w:lineRule="auto"/>
              <w:rPr>
                <w:bCs/>
                <w:i/>
                <w:szCs w:val="21"/>
              </w:rPr>
            </w:pPr>
            <w:r w:rsidRPr="00E01B82">
              <w:rPr>
                <w:bCs/>
                <w:i/>
                <w:szCs w:val="21"/>
              </w:rPr>
              <w:t>…</w:t>
            </w:r>
          </w:p>
          <w:p w14:paraId="47CC03DE" w14:textId="77777777" w:rsidR="008D4208" w:rsidRPr="00E01B82" w:rsidRDefault="008D4208" w:rsidP="003A5657">
            <w:pPr>
              <w:spacing w:line="240" w:lineRule="auto"/>
              <w:rPr>
                <w:bCs/>
                <w:i/>
                <w:szCs w:val="21"/>
              </w:rPr>
            </w:pPr>
            <w:r w:rsidRPr="00E01B82">
              <w:rPr>
                <w:bCs/>
                <w:i/>
                <w:szCs w:val="21"/>
              </w:rPr>
              <w:t>Who will its key audience be (i.e. the users of the findings)?</w:t>
            </w:r>
          </w:p>
          <w:p w14:paraId="78BD2B38" w14:textId="77777777" w:rsidR="008D4208" w:rsidRDefault="008D4208" w:rsidP="003A5657">
            <w:pPr>
              <w:spacing w:line="240" w:lineRule="auto"/>
              <w:rPr>
                <w:bCs/>
                <w:i/>
                <w:szCs w:val="21"/>
              </w:rPr>
            </w:pPr>
            <w:r w:rsidRPr="00E01B82">
              <w:rPr>
                <w:bCs/>
                <w:i/>
                <w:szCs w:val="21"/>
              </w:rPr>
              <w:t>…</w:t>
            </w:r>
          </w:p>
          <w:p w14:paraId="0C2FFFCE" w14:textId="77777777" w:rsidR="008D4208" w:rsidRPr="00E01B82" w:rsidRDefault="008D4208" w:rsidP="003A5657">
            <w:pPr>
              <w:spacing w:line="240" w:lineRule="auto"/>
              <w:rPr>
                <w:bCs/>
                <w:i/>
                <w:szCs w:val="21"/>
              </w:rPr>
            </w:pPr>
            <w:r w:rsidRPr="00E01B82">
              <w:rPr>
                <w:bCs/>
                <w:i/>
                <w:szCs w:val="21"/>
              </w:rPr>
              <w:t>How will the findings be shared and disseminated? Who else should be made aware of the findings?</w:t>
            </w:r>
          </w:p>
          <w:p w14:paraId="28752A13" w14:textId="77777777" w:rsidR="008D4208" w:rsidRPr="00E01B82" w:rsidRDefault="008D4208" w:rsidP="003A5657">
            <w:pPr>
              <w:spacing w:line="240" w:lineRule="auto"/>
              <w:rPr>
                <w:bCs/>
                <w:i/>
                <w:szCs w:val="21"/>
              </w:rPr>
            </w:pPr>
            <w:r w:rsidRPr="00E01B82">
              <w:rPr>
                <w:bCs/>
                <w:i/>
                <w:szCs w:val="21"/>
              </w:rPr>
              <w:t>…</w:t>
            </w:r>
          </w:p>
        </w:tc>
      </w:tr>
      <w:tr w:rsidR="008D4208" w:rsidRPr="00D77614" w14:paraId="7456C7BF" w14:textId="77777777" w:rsidTr="003A5657">
        <w:trPr>
          <w:gridAfter w:val="1"/>
          <w:wAfter w:w="11" w:type="pct"/>
          <w:trHeight w:val="397"/>
          <w:jc w:val="center"/>
        </w:trPr>
        <w:tc>
          <w:tcPr>
            <w:tcW w:w="4989" w:type="pct"/>
            <w:gridSpan w:val="4"/>
            <w:shd w:val="clear" w:color="auto" w:fill="4F81BD" w:themeFill="accent1"/>
            <w:vAlign w:val="center"/>
          </w:tcPr>
          <w:p w14:paraId="5BA56D16" w14:textId="77777777" w:rsidR="008D4208" w:rsidRPr="00D77614" w:rsidRDefault="008D4208" w:rsidP="00CC2E60">
            <w:pPr>
              <w:pStyle w:val="ListParagraph"/>
              <w:numPr>
                <w:ilvl w:val="0"/>
                <w:numId w:val="22"/>
              </w:numPr>
              <w:spacing w:after="0" w:line="240" w:lineRule="auto"/>
              <w:jc w:val="center"/>
              <w:rPr>
                <w:b/>
                <w:bCs/>
                <w:color w:val="FFFFFF"/>
                <w:szCs w:val="21"/>
              </w:rPr>
            </w:pPr>
            <w:r w:rsidRPr="00D77614">
              <w:rPr>
                <w:b/>
                <w:bCs/>
                <w:color w:val="FFFFFF"/>
                <w:szCs w:val="21"/>
              </w:rPr>
              <w:t>Type of evaluation required</w:t>
            </w:r>
          </w:p>
        </w:tc>
      </w:tr>
      <w:tr w:rsidR="008D4208" w:rsidRPr="00D77614" w14:paraId="33EAB42D" w14:textId="77777777" w:rsidTr="003A5657">
        <w:trPr>
          <w:gridAfter w:val="1"/>
          <w:wAfter w:w="11" w:type="pct"/>
          <w:jc w:val="center"/>
        </w:trPr>
        <w:tc>
          <w:tcPr>
            <w:tcW w:w="4989" w:type="pct"/>
            <w:gridSpan w:val="4"/>
            <w:vAlign w:val="center"/>
          </w:tcPr>
          <w:p w14:paraId="4039D3A9" w14:textId="77777777" w:rsidR="008D4208" w:rsidRPr="00D77614" w:rsidRDefault="008D4208" w:rsidP="003A5657">
            <w:pPr>
              <w:rPr>
                <w:bCs/>
                <w:i/>
                <w:szCs w:val="21"/>
              </w:rPr>
            </w:pPr>
            <w:r w:rsidRPr="00D77614">
              <w:rPr>
                <w:bCs/>
                <w:i/>
                <w:szCs w:val="21"/>
              </w:rPr>
              <w:t xml:space="preserve">What type of evaluation </w:t>
            </w:r>
            <w:r>
              <w:rPr>
                <w:bCs/>
                <w:i/>
                <w:szCs w:val="21"/>
              </w:rPr>
              <w:t>activity will be required for your programme</w:t>
            </w:r>
            <w:r w:rsidRPr="00D77614">
              <w:rPr>
                <w:bCs/>
                <w:i/>
                <w:szCs w:val="21"/>
              </w:rPr>
              <w:t xml:space="preserve">? In answering this question, you should refer to the </w:t>
            </w:r>
            <w:r w:rsidRPr="00D77614">
              <w:rPr>
                <w:bCs/>
                <w:szCs w:val="21"/>
              </w:rPr>
              <w:t>UKRI Monitoring and Evaluation expectations for programmes funded through UKRI’s cross-cutting funds</w:t>
            </w:r>
            <w:r w:rsidRPr="00D77614">
              <w:rPr>
                <w:bCs/>
                <w:i/>
                <w:szCs w:val="21"/>
              </w:rPr>
              <w:t xml:space="preserve"> document.</w:t>
            </w:r>
          </w:p>
          <w:p w14:paraId="0579DC2E" w14:textId="77777777" w:rsidR="008D4208" w:rsidRPr="00D77614" w:rsidRDefault="008D4208" w:rsidP="003A5657">
            <w:pPr>
              <w:rPr>
                <w:bCs/>
                <w:i/>
                <w:szCs w:val="21"/>
              </w:rPr>
            </w:pPr>
            <w:r w:rsidRPr="00D77614">
              <w:rPr>
                <w:bCs/>
                <w:i/>
                <w:szCs w:val="21"/>
              </w:rPr>
              <w:t>…</w:t>
            </w:r>
          </w:p>
          <w:p w14:paraId="2F0085C3" w14:textId="77777777" w:rsidR="008D4208" w:rsidRPr="00D77614" w:rsidRDefault="008D4208" w:rsidP="003A5657">
            <w:pPr>
              <w:rPr>
                <w:bCs/>
                <w:i/>
                <w:szCs w:val="21"/>
              </w:rPr>
            </w:pPr>
            <w:r w:rsidRPr="00D77614">
              <w:rPr>
                <w:bCs/>
                <w:i/>
                <w:szCs w:val="21"/>
              </w:rPr>
              <w:t>Who will be affected by the programme evaluation, and what are the main anticipated outcomes?</w:t>
            </w:r>
          </w:p>
          <w:p w14:paraId="42185465" w14:textId="77777777" w:rsidR="008D4208" w:rsidRPr="00D77614" w:rsidRDefault="008D4208" w:rsidP="003A5657">
            <w:pPr>
              <w:rPr>
                <w:bCs/>
                <w:i/>
                <w:szCs w:val="21"/>
              </w:rPr>
            </w:pPr>
            <w:r w:rsidRPr="00D77614">
              <w:rPr>
                <w:bCs/>
                <w:i/>
                <w:szCs w:val="21"/>
              </w:rPr>
              <w:t>…</w:t>
            </w:r>
          </w:p>
          <w:p w14:paraId="3A6A7644" w14:textId="77777777" w:rsidR="008D4208" w:rsidRPr="00D77614" w:rsidRDefault="008D4208" w:rsidP="003A5657">
            <w:pPr>
              <w:rPr>
                <w:bCs/>
                <w:i/>
                <w:szCs w:val="21"/>
              </w:rPr>
            </w:pPr>
            <w:r w:rsidRPr="00D77614">
              <w:rPr>
                <w:bCs/>
                <w:i/>
                <w:szCs w:val="21"/>
              </w:rPr>
              <w:t>Does the project/programme design allow for a control group to be identified?</w:t>
            </w:r>
          </w:p>
          <w:p w14:paraId="2147E4CC" w14:textId="77777777" w:rsidR="008D4208" w:rsidRPr="00D77614" w:rsidRDefault="008D4208" w:rsidP="003A5657">
            <w:pPr>
              <w:rPr>
                <w:bCs/>
                <w:i/>
                <w:szCs w:val="21"/>
              </w:rPr>
            </w:pPr>
            <w:r w:rsidRPr="00D77614">
              <w:rPr>
                <w:bCs/>
                <w:i/>
                <w:szCs w:val="21"/>
              </w:rPr>
              <w:t>…</w:t>
            </w:r>
          </w:p>
          <w:p w14:paraId="5E2134A2" w14:textId="77777777" w:rsidR="008D4208" w:rsidRPr="00D77614" w:rsidRDefault="008D4208" w:rsidP="003A5657">
            <w:pPr>
              <w:rPr>
                <w:bCs/>
                <w:i/>
                <w:szCs w:val="21"/>
              </w:rPr>
            </w:pPr>
            <w:r w:rsidRPr="00D77614">
              <w:rPr>
                <w:bCs/>
                <w:i/>
                <w:szCs w:val="21"/>
              </w:rPr>
              <w:t>How will learning from what worked and did not work be identified and measured?</w:t>
            </w:r>
          </w:p>
          <w:p w14:paraId="3AED127A" w14:textId="77777777" w:rsidR="008D4208" w:rsidRPr="00D77614" w:rsidRDefault="008D4208" w:rsidP="003A5657">
            <w:pPr>
              <w:rPr>
                <w:bCs/>
                <w:i/>
                <w:szCs w:val="21"/>
              </w:rPr>
            </w:pPr>
            <w:r w:rsidRPr="00D77614">
              <w:rPr>
                <w:bCs/>
                <w:i/>
                <w:szCs w:val="21"/>
              </w:rPr>
              <w:t>…</w:t>
            </w:r>
          </w:p>
        </w:tc>
      </w:tr>
      <w:tr w:rsidR="008D4208" w:rsidRPr="00D77614" w14:paraId="3135405E" w14:textId="77777777" w:rsidTr="003A5657">
        <w:trPr>
          <w:gridAfter w:val="1"/>
          <w:wAfter w:w="11" w:type="pct"/>
          <w:trHeight w:val="397"/>
          <w:jc w:val="center"/>
        </w:trPr>
        <w:tc>
          <w:tcPr>
            <w:tcW w:w="4989" w:type="pct"/>
            <w:gridSpan w:val="4"/>
            <w:shd w:val="clear" w:color="auto" w:fill="4F81BD" w:themeFill="accent1"/>
            <w:vAlign w:val="center"/>
          </w:tcPr>
          <w:p w14:paraId="4E0F04BA" w14:textId="77777777" w:rsidR="008D4208" w:rsidRPr="00D77614" w:rsidRDefault="008D4208" w:rsidP="00CC2E60">
            <w:pPr>
              <w:pStyle w:val="ListParagraph"/>
              <w:numPr>
                <w:ilvl w:val="0"/>
                <w:numId w:val="22"/>
              </w:numPr>
              <w:spacing w:after="0" w:line="240" w:lineRule="auto"/>
              <w:jc w:val="center"/>
              <w:rPr>
                <w:b/>
                <w:bCs/>
                <w:color w:val="FFFFFF"/>
                <w:szCs w:val="21"/>
              </w:rPr>
            </w:pPr>
            <w:r>
              <w:rPr>
                <w:b/>
                <w:bCs/>
                <w:color w:val="FFFFFF"/>
                <w:szCs w:val="21"/>
              </w:rPr>
              <w:t>Evaluation specification and milestones</w:t>
            </w:r>
          </w:p>
        </w:tc>
      </w:tr>
      <w:tr w:rsidR="008D4208" w:rsidRPr="00D77614" w14:paraId="1ED43D6E" w14:textId="77777777" w:rsidTr="003A5657">
        <w:trPr>
          <w:gridAfter w:val="1"/>
          <w:wAfter w:w="11" w:type="pct"/>
          <w:trHeight w:val="3905"/>
          <w:jc w:val="center"/>
        </w:trPr>
        <w:tc>
          <w:tcPr>
            <w:tcW w:w="4989" w:type="pct"/>
            <w:gridSpan w:val="4"/>
          </w:tcPr>
          <w:p w14:paraId="62F32618" w14:textId="77777777" w:rsidR="008D4208" w:rsidRDefault="008D4208" w:rsidP="003A5657">
            <w:pPr>
              <w:autoSpaceDE w:val="0"/>
              <w:autoSpaceDN w:val="0"/>
              <w:adjustRightInd w:val="0"/>
              <w:rPr>
                <w:bCs/>
                <w:i/>
                <w:szCs w:val="21"/>
              </w:rPr>
            </w:pPr>
            <w:r>
              <w:rPr>
                <w:bCs/>
                <w:i/>
                <w:szCs w:val="21"/>
              </w:rPr>
              <w:lastRenderedPageBreak/>
              <w:t>Who will be involved in developing the evaluation specification and when will it be developed?</w:t>
            </w:r>
          </w:p>
          <w:p w14:paraId="25095FA8" w14:textId="77777777" w:rsidR="008D4208" w:rsidRDefault="008D4208" w:rsidP="003A5657">
            <w:pPr>
              <w:autoSpaceDE w:val="0"/>
              <w:autoSpaceDN w:val="0"/>
              <w:adjustRightInd w:val="0"/>
              <w:rPr>
                <w:bCs/>
                <w:i/>
                <w:szCs w:val="21"/>
              </w:rPr>
            </w:pPr>
            <w:r>
              <w:rPr>
                <w:bCs/>
                <w:i/>
                <w:szCs w:val="21"/>
              </w:rPr>
              <w:t>…</w:t>
            </w:r>
          </w:p>
          <w:p w14:paraId="73A769F3" w14:textId="77777777" w:rsidR="008D4208" w:rsidRDefault="008D4208" w:rsidP="003A5657">
            <w:pPr>
              <w:autoSpaceDE w:val="0"/>
              <w:autoSpaceDN w:val="0"/>
              <w:adjustRightInd w:val="0"/>
              <w:rPr>
                <w:bCs/>
                <w:i/>
                <w:szCs w:val="21"/>
              </w:rPr>
            </w:pPr>
            <w:r>
              <w:rPr>
                <w:bCs/>
                <w:i/>
                <w:szCs w:val="21"/>
              </w:rPr>
              <w:t>When will the evaluation start?</w:t>
            </w:r>
          </w:p>
          <w:p w14:paraId="789878C6" w14:textId="77777777" w:rsidR="008D4208" w:rsidRDefault="008D4208" w:rsidP="003A5657">
            <w:pPr>
              <w:autoSpaceDE w:val="0"/>
              <w:autoSpaceDN w:val="0"/>
              <w:adjustRightInd w:val="0"/>
              <w:rPr>
                <w:bCs/>
                <w:i/>
                <w:szCs w:val="21"/>
              </w:rPr>
            </w:pPr>
            <w:r>
              <w:rPr>
                <w:bCs/>
                <w:i/>
                <w:szCs w:val="21"/>
              </w:rPr>
              <w:t>…</w:t>
            </w:r>
          </w:p>
          <w:p w14:paraId="0C5E3A8B" w14:textId="77777777" w:rsidR="008D4208" w:rsidRDefault="008D4208" w:rsidP="003A5657">
            <w:pPr>
              <w:autoSpaceDE w:val="0"/>
              <w:autoSpaceDN w:val="0"/>
              <w:adjustRightInd w:val="0"/>
              <w:rPr>
                <w:bCs/>
                <w:i/>
                <w:szCs w:val="21"/>
              </w:rPr>
            </w:pPr>
            <w:r>
              <w:rPr>
                <w:bCs/>
                <w:i/>
                <w:szCs w:val="21"/>
              </w:rPr>
              <w:t xml:space="preserve">What are the key evaluation milestones? </w:t>
            </w:r>
          </w:p>
          <w:p w14:paraId="15F8AEA8" w14:textId="77777777" w:rsidR="008D4208" w:rsidRDefault="008D4208" w:rsidP="003A5657">
            <w:pPr>
              <w:autoSpaceDE w:val="0"/>
              <w:autoSpaceDN w:val="0"/>
              <w:adjustRightInd w:val="0"/>
              <w:rPr>
                <w:bCs/>
                <w:i/>
                <w:szCs w:val="21"/>
              </w:rPr>
            </w:pPr>
            <w:r>
              <w:rPr>
                <w:bCs/>
                <w:i/>
                <w:szCs w:val="21"/>
              </w:rPr>
              <w:t>…</w:t>
            </w:r>
          </w:p>
          <w:p w14:paraId="00511370" w14:textId="77777777" w:rsidR="008D4208" w:rsidRDefault="008D4208" w:rsidP="003A5657">
            <w:pPr>
              <w:autoSpaceDE w:val="0"/>
              <w:autoSpaceDN w:val="0"/>
              <w:adjustRightInd w:val="0"/>
              <w:rPr>
                <w:bCs/>
                <w:i/>
                <w:szCs w:val="21"/>
              </w:rPr>
            </w:pPr>
            <w:r>
              <w:rPr>
                <w:bCs/>
                <w:i/>
                <w:szCs w:val="21"/>
              </w:rPr>
              <w:t>If you plan to commission an evaluation, how will it be commissioned? And/or if you plan to commission a peer-review evaluation, how will you commission your expert evaluation group?</w:t>
            </w:r>
          </w:p>
          <w:p w14:paraId="41637033" w14:textId="77777777" w:rsidR="008D4208" w:rsidRPr="00D77614" w:rsidRDefault="008D4208" w:rsidP="003A5657">
            <w:pPr>
              <w:autoSpaceDE w:val="0"/>
              <w:autoSpaceDN w:val="0"/>
              <w:adjustRightInd w:val="0"/>
              <w:rPr>
                <w:bCs/>
                <w:i/>
                <w:szCs w:val="21"/>
              </w:rPr>
            </w:pPr>
            <w:r>
              <w:rPr>
                <w:bCs/>
                <w:i/>
                <w:szCs w:val="21"/>
              </w:rPr>
              <w:t>…</w:t>
            </w:r>
          </w:p>
        </w:tc>
      </w:tr>
      <w:tr w:rsidR="008D4208" w:rsidRPr="00D77614" w14:paraId="363B65DF" w14:textId="77777777" w:rsidTr="003A5657">
        <w:trPr>
          <w:gridAfter w:val="1"/>
          <w:wAfter w:w="11" w:type="pct"/>
          <w:trHeight w:val="397"/>
          <w:jc w:val="center"/>
        </w:trPr>
        <w:tc>
          <w:tcPr>
            <w:tcW w:w="4989" w:type="pct"/>
            <w:gridSpan w:val="4"/>
            <w:shd w:val="clear" w:color="auto" w:fill="4F81BD" w:themeFill="accent1"/>
            <w:vAlign w:val="center"/>
          </w:tcPr>
          <w:p w14:paraId="4F457236" w14:textId="77777777" w:rsidR="008D4208" w:rsidRPr="00D77614" w:rsidRDefault="008D4208" w:rsidP="00CC2E60">
            <w:pPr>
              <w:pStyle w:val="ListParagraph"/>
              <w:numPr>
                <w:ilvl w:val="0"/>
                <w:numId w:val="22"/>
              </w:numPr>
              <w:spacing w:after="0" w:line="240" w:lineRule="auto"/>
              <w:jc w:val="center"/>
              <w:rPr>
                <w:b/>
                <w:bCs/>
                <w:color w:val="FFFFFF"/>
                <w:szCs w:val="21"/>
              </w:rPr>
            </w:pPr>
            <w:r w:rsidRPr="00D77614">
              <w:rPr>
                <w:b/>
                <w:bCs/>
                <w:color w:val="FFFFFF"/>
                <w:szCs w:val="21"/>
              </w:rPr>
              <w:t>Delivery summary: internal governance and available resource</w:t>
            </w:r>
          </w:p>
        </w:tc>
      </w:tr>
      <w:tr w:rsidR="008D4208" w:rsidRPr="00D77614" w14:paraId="12D517F4" w14:textId="77777777" w:rsidTr="003A5657">
        <w:trPr>
          <w:gridAfter w:val="1"/>
          <w:wAfter w:w="11" w:type="pct"/>
          <w:jc w:val="center"/>
        </w:trPr>
        <w:tc>
          <w:tcPr>
            <w:tcW w:w="4989" w:type="pct"/>
            <w:gridSpan w:val="4"/>
          </w:tcPr>
          <w:p w14:paraId="1FBFF734" w14:textId="77777777" w:rsidR="008D4208" w:rsidRPr="00D77614" w:rsidRDefault="008D4208" w:rsidP="003A5657">
            <w:pPr>
              <w:rPr>
                <w:bCs/>
                <w:i/>
                <w:szCs w:val="21"/>
              </w:rPr>
            </w:pPr>
            <w:r w:rsidRPr="00D77614">
              <w:rPr>
                <w:bCs/>
                <w:i/>
                <w:szCs w:val="21"/>
              </w:rPr>
              <w:t>As set out in Section 5.4 of the SPF M&amp;E plan, evaluation plans must be submitted to the SPF inbox for review within six months of receiving funding. Please outline your internal governance and approvals process for the M&amp;E plan, setting out who is responsible for signing it off.</w:t>
            </w:r>
          </w:p>
          <w:p w14:paraId="227B3B8B" w14:textId="77777777" w:rsidR="008D4208" w:rsidRPr="00D77614" w:rsidRDefault="008D4208" w:rsidP="003A5657">
            <w:pPr>
              <w:rPr>
                <w:bCs/>
                <w:i/>
                <w:szCs w:val="21"/>
              </w:rPr>
            </w:pPr>
            <w:r w:rsidRPr="00D77614">
              <w:rPr>
                <w:bCs/>
                <w:i/>
                <w:szCs w:val="21"/>
              </w:rPr>
              <w:t>…</w:t>
            </w:r>
          </w:p>
          <w:p w14:paraId="6CA7F911" w14:textId="77777777" w:rsidR="008D4208" w:rsidRPr="00D77614" w:rsidRDefault="008D4208" w:rsidP="003A5657">
            <w:pPr>
              <w:rPr>
                <w:bCs/>
                <w:i/>
                <w:szCs w:val="21"/>
              </w:rPr>
            </w:pPr>
            <w:r w:rsidRPr="00D77614">
              <w:rPr>
                <w:bCs/>
                <w:i/>
                <w:szCs w:val="21"/>
              </w:rPr>
              <w:t xml:space="preserve">What budget is available for the evaluation? </w:t>
            </w:r>
          </w:p>
          <w:p w14:paraId="030AFC83" w14:textId="77777777" w:rsidR="008D4208" w:rsidRPr="00D77614" w:rsidRDefault="008D4208" w:rsidP="003A5657">
            <w:pPr>
              <w:rPr>
                <w:bCs/>
                <w:i/>
                <w:szCs w:val="21"/>
              </w:rPr>
            </w:pPr>
            <w:r w:rsidRPr="00D77614">
              <w:rPr>
                <w:bCs/>
                <w:i/>
                <w:szCs w:val="21"/>
              </w:rPr>
              <w:t>…</w:t>
            </w:r>
          </w:p>
          <w:p w14:paraId="5785E077" w14:textId="77777777" w:rsidR="008D4208" w:rsidRPr="00D77614" w:rsidRDefault="008D4208" w:rsidP="003A5657">
            <w:pPr>
              <w:rPr>
                <w:bCs/>
                <w:i/>
                <w:szCs w:val="21"/>
              </w:rPr>
            </w:pPr>
            <w:r w:rsidRPr="00D77614">
              <w:rPr>
                <w:bCs/>
                <w:i/>
                <w:szCs w:val="21"/>
              </w:rPr>
              <w:t xml:space="preserve">Who will be the project manager? </w:t>
            </w:r>
          </w:p>
          <w:p w14:paraId="46011BE2" w14:textId="77777777" w:rsidR="008D4208" w:rsidRPr="00D77614" w:rsidRDefault="008D4208" w:rsidP="003A5657">
            <w:pPr>
              <w:rPr>
                <w:bCs/>
                <w:i/>
                <w:szCs w:val="21"/>
              </w:rPr>
            </w:pPr>
            <w:r w:rsidRPr="00D77614">
              <w:rPr>
                <w:bCs/>
                <w:i/>
                <w:szCs w:val="21"/>
              </w:rPr>
              <w:t>…</w:t>
            </w:r>
          </w:p>
          <w:p w14:paraId="3397981A" w14:textId="77777777" w:rsidR="008D4208" w:rsidRPr="00D77614" w:rsidRDefault="008D4208" w:rsidP="003A5657">
            <w:pPr>
              <w:rPr>
                <w:bCs/>
                <w:i/>
                <w:szCs w:val="21"/>
              </w:rPr>
            </w:pPr>
            <w:r w:rsidRPr="00D77614">
              <w:rPr>
                <w:bCs/>
                <w:i/>
                <w:szCs w:val="21"/>
              </w:rPr>
              <w:t xml:space="preserve">Who will be on the steering group? </w:t>
            </w:r>
          </w:p>
          <w:p w14:paraId="59B2DF9B" w14:textId="77777777" w:rsidR="008D4208" w:rsidRPr="00D77614" w:rsidRDefault="008D4208" w:rsidP="003A5657">
            <w:pPr>
              <w:rPr>
                <w:bCs/>
                <w:i/>
                <w:szCs w:val="21"/>
              </w:rPr>
            </w:pPr>
            <w:r w:rsidRPr="00D77614">
              <w:rPr>
                <w:bCs/>
                <w:i/>
                <w:szCs w:val="21"/>
              </w:rPr>
              <w:t>…</w:t>
            </w:r>
          </w:p>
          <w:p w14:paraId="3E39260F" w14:textId="77777777" w:rsidR="008D4208" w:rsidRPr="00D77614" w:rsidRDefault="008D4208" w:rsidP="003A5657">
            <w:pPr>
              <w:rPr>
                <w:bCs/>
                <w:i/>
                <w:szCs w:val="21"/>
              </w:rPr>
            </w:pPr>
            <w:r w:rsidRPr="00D77614">
              <w:rPr>
                <w:bCs/>
                <w:i/>
                <w:szCs w:val="21"/>
              </w:rPr>
              <w:t>Who are the key delivery and wider stakeholders?</w:t>
            </w:r>
          </w:p>
          <w:p w14:paraId="3175E4BE" w14:textId="77777777" w:rsidR="008D4208" w:rsidRPr="00D77614" w:rsidRDefault="008D4208" w:rsidP="003A5657">
            <w:pPr>
              <w:rPr>
                <w:bCs/>
                <w:i/>
                <w:szCs w:val="21"/>
              </w:rPr>
            </w:pPr>
            <w:r w:rsidRPr="00D77614">
              <w:rPr>
                <w:bCs/>
                <w:i/>
                <w:szCs w:val="21"/>
              </w:rPr>
              <w:t>…</w:t>
            </w:r>
          </w:p>
        </w:tc>
      </w:tr>
      <w:tr w:rsidR="008D4208" w:rsidRPr="00D77614" w14:paraId="1407E928" w14:textId="77777777" w:rsidTr="003A5657">
        <w:trPr>
          <w:gridAfter w:val="1"/>
          <w:wAfter w:w="11" w:type="pct"/>
          <w:trHeight w:val="397"/>
          <w:jc w:val="center"/>
        </w:trPr>
        <w:tc>
          <w:tcPr>
            <w:tcW w:w="4989" w:type="pct"/>
            <w:gridSpan w:val="4"/>
            <w:shd w:val="clear" w:color="auto" w:fill="4F81BD" w:themeFill="accent1"/>
            <w:vAlign w:val="center"/>
          </w:tcPr>
          <w:p w14:paraId="1404B7B2" w14:textId="77777777" w:rsidR="008D4208" w:rsidRPr="00D77614" w:rsidRDefault="008D4208" w:rsidP="00CC2E60">
            <w:pPr>
              <w:pStyle w:val="ListParagraph"/>
              <w:numPr>
                <w:ilvl w:val="0"/>
                <w:numId w:val="22"/>
              </w:numPr>
              <w:spacing w:after="0" w:line="240" w:lineRule="auto"/>
              <w:jc w:val="center"/>
              <w:rPr>
                <w:b/>
                <w:bCs/>
                <w:color w:val="FFFFFF"/>
                <w:szCs w:val="21"/>
              </w:rPr>
            </w:pPr>
            <w:r>
              <w:rPr>
                <w:b/>
                <w:bCs/>
                <w:color w:val="FFFFFF"/>
                <w:szCs w:val="21"/>
              </w:rPr>
              <w:t>Outcome monitoring and evaluation data requirements</w:t>
            </w:r>
          </w:p>
        </w:tc>
      </w:tr>
      <w:tr w:rsidR="008D4208" w:rsidRPr="00D77614" w14:paraId="70B3041C" w14:textId="77777777" w:rsidTr="003A5657">
        <w:trPr>
          <w:gridAfter w:val="1"/>
          <w:wAfter w:w="11" w:type="pct"/>
          <w:jc w:val="center"/>
        </w:trPr>
        <w:tc>
          <w:tcPr>
            <w:tcW w:w="4989" w:type="pct"/>
            <w:gridSpan w:val="4"/>
          </w:tcPr>
          <w:p w14:paraId="0E884D92" w14:textId="77777777" w:rsidR="008D4208" w:rsidRDefault="008D4208" w:rsidP="003A5657">
            <w:pPr>
              <w:rPr>
                <w:bCs/>
                <w:i/>
                <w:szCs w:val="21"/>
              </w:rPr>
            </w:pPr>
            <w:r w:rsidRPr="005A1EDC">
              <w:rPr>
                <w:bCs/>
                <w:i/>
                <w:szCs w:val="21"/>
              </w:rPr>
              <w:t xml:space="preserve">What data </w:t>
            </w:r>
            <w:r>
              <w:rPr>
                <w:bCs/>
                <w:i/>
                <w:szCs w:val="21"/>
              </w:rPr>
              <w:t>will you collect to facilitate your evaluation</w:t>
            </w:r>
            <w:r w:rsidRPr="005A1EDC">
              <w:rPr>
                <w:bCs/>
                <w:i/>
                <w:szCs w:val="21"/>
              </w:rPr>
              <w:t>?</w:t>
            </w:r>
            <w:r>
              <w:rPr>
                <w:bCs/>
                <w:i/>
                <w:szCs w:val="21"/>
              </w:rPr>
              <w:t xml:space="preserve"> (Please include data which is collected by default, such as data from </w:t>
            </w:r>
            <w:proofErr w:type="spellStart"/>
            <w:r>
              <w:rPr>
                <w:bCs/>
                <w:i/>
                <w:szCs w:val="21"/>
              </w:rPr>
              <w:t>ResearchFish</w:t>
            </w:r>
            <w:proofErr w:type="spellEnd"/>
            <w:r>
              <w:rPr>
                <w:bCs/>
                <w:i/>
                <w:szCs w:val="21"/>
              </w:rPr>
              <w:t>)</w:t>
            </w:r>
            <w:r w:rsidRPr="005A1EDC">
              <w:rPr>
                <w:bCs/>
                <w:i/>
                <w:szCs w:val="21"/>
              </w:rPr>
              <w:t xml:space="preserve"> </w:t>
            </w:r>
          </w:p>
          <w:p w14:paraId="1E1489B2" w14:textId="77777777" w:rsidR="008D4208" w:rsidRPr="005A1EDC" w:rsidRDefault="008D4208" w:rsidP="003A5657">
            <w:pPr>
              <w:rPr>
                <w:bCs/>
                <w:i/>
                <w:szCs w:val="21"/>
              </w:rPr>
            </w:pPr>
            <w:r>
              <w:rPr>
                <w:bCs/>
                <w:i/>
                <w:szCs w:val="21"/>
              </w:rPr>
              <w:t>…</w:t>
            </w:r>
          </w:p>
          <w:p w14:paraId="14F33939" w14:textId="77777777" w:rsidR="008D4208" w:rsidRDefault="008D4208" w:rsidP="003A5657">
            <w:pPr>
              <w:rPr>
                <w:bCs/>
                <w:i/>
                <w:szCs w:val="21"/>
              </w:rPr>
            </w:pPr>
            <w:r w:rsidRPr="005A1EDC">
              <w:rPr>
                <w:bCs/>
                <w:i/>
                <w:szCs w:val="21"/>
              </w:rPr>
              <w:t xml:space="preserve">When </w:t>
            </w:r>
            <w:r>
              <w:rPr>
                <w:bCs/>
                <w:i/>
                <w:szCs w:val="21"/>
              </w:rPr>
              <w:t>will this data be collected</w:t>
            </w:r>
            <w:r w:rsidRPr="005A1EDC">
              <w:rPr>
                <w:bCs/>
                <w:i/>
                <w:szCs w:val="21"/>
              </w:rPr>
              <w:t>?</w:t>
            </w:r>
          </w:p>
          <w:p w14:paraId="51E70517" w14:textId="77777777" w:rsidR="008D4208" w:rsidRPr="005A1EDC" w:rsidRDefault="008D4208" w:rsidP="003A5657">
            <w:pPr>
              <w:rPr>
                <w:bCs/>
                <w:i/>
                <w:szCs w:val="21"/>
              </w:rPr>
            </w:pPr>
            <w:r>
              <w:rPr>
                <w:bCs/>
                <w:i/>
                <w:szCs w:val="21"/>
              </w:rPr>
              <w:t>…</w:t>
            </w:r>
          </w:p>
          <w:p w14:paraId="26BB24D7" w14:textId="77777777" w:rsidR="008D4208" w:rsidRDefault="008D4208" w:rsidP="003A5657">
            <w:pPr>
              <w:rPr>
                <w:bCs/>
                <w:i/>
                <w:szCs w:val="21"/>
              </w:rPr>
            </w:pPr>
            <w:r w:rsidRPr="005A1EDC">
              <w:rPr>
                <w:bCs/>
                <w:i/>
                <w:szCs w:val="21"/>
              </w:rPr>
              <w:lastRenderedPageBreak/>
              <w:t>What additional data needs to be collected to measure the baseline and monitor progress?</w:t>
            </w:r>
          </w:p>
          <w:p w14:paraId="74810BA4" w14:textId="77777777" w:rsidR="008D4208" w:rsidRPr="005A1EDC" w:rsidRDefault="008D4208" w:rsidP="003A5657">
            <w:pPr>
              <w:rPr>
                <w:bCs/>
                <w:i/>
                <w:szCs w:val="21"/>
              </w:rPr>
            </w:pPr>
            <w:r>
              <w:rPr>
                <w:bCs/>
                <w:i/>
                <w:szCs w:val="21"/>
              </w:rPr>
              <w:t>…</w:t>
            </w:r>
          </w:p>
          <w:p w14:paraId="15A893FB" w14:textId="77777777" w:rsidR="008D4208" w:rsidRDefault="008D4208" w:rsidP="003A5657">
            <w:pPr>
              <w:rPr>
                <w:bCs/>
                <w:i/>
                <w:szCs w:val="21"/>
              </w:rPr>
            </w:pPr>
            <w:r w:rsidRPr="005A1EDC">
              <w:rPr>
                <w:bCs/>
                <w:i/>
                <w:szCs w:val="21"/>
              </w:rPr>
              <w:t>If there is no valid and comprehensive data</w:t>
            </w:r>
            <w:r>
              <w:rPr>
                <w:bCs/>
                <w:i/>
                <w:szCs w:val="21"/>
              </w:rPr>
              <w:t xml:space="preserve"> readily available</w:t>
            </w:r>
            <w:r w:rsidRPr="005A1EDC">
              <w:rPr>
                <w:bCs/>
                <w:i/>
                <w:szCs w:val="21"/>
              </w:rPr>
              <w:t>, is there provision to run primary data collection?</w:t>
            </w:r>
          </w:p>
          <w:p w14:paraId="7F41D255" w14:textId="77777777" w:rsidR="008D4208" w:rsidRPr="005A1EDC" w:rsidRDefault="008D4208" w:rsidP="003A5657">
            <w:pPr>
              <w:rPr>
                <w:bCs/>
                <w:i/>
                <w:szCs w:val="21"/>
              </w:rPr>
            </w:pPr>
            <w:r>
              <w:rPr>
                <w:bCs/>
                <w:i/>
                <w:szCs w:val="21"/>
              </w:rPr>
              <w:t>…</w:t>
            </w:r>
          </w:p>
          <w:p w14:paraId="1B2EF207" w14:textId="77777777" w:rsidR="008D4208" w:rsidRDefault="008D4208" w:rsidP="003A5657">
            <w:pPr>
              <w:rPr>
                <w:bCs/>
                <w:i/>
                <w:szCs w:val="21"/>
              </w:rPr>
            </w:pPr>
            <w:r w:rsidRPr="005A1EDC">
              <w:rPr>
                <w:bCs/>
                <w:i/>
                <w:szCs w:val="21"/>
              </w:rPr>
              <w:t>Who will be responsible for data collection and what processes need to be set up?</w:t>
            </w:r>
          </w:p>
          <w:p w14:paraId="7307C6CA" w14:textId="77777777" w:rsidR="008D4208" w:rsidRPr="005A1EDC" w:rsidRDefault="008D4208" w:rsidP="003A5657">
            <w:pPr>
              <w:rPr>
                <w:bCs/>
                <w:i/>
                <w:szCs w:val="21"/>
              </w:rPr>
            </w:pPr>
            <w:r>
              <w:rPr>
                <w:bCs/>
                <w:i/>
                <w:szCs w:val="21"/>
              </w:rPr>
              <w:t>…</w:t>
            </w:r>
          </w:p>
          <w:p w14:paraId="0C6221D5" w14:textId="77777777" w:rsidR="008D4208" w:rsidRPr="005A1EDC" w:rsidRDefault="008D4208" w:rsidP="003A5657">
            <w:pPr>
              <w:rPr>
                <w:bCs/>
                <w:i/>
                <w:szCs w:val="21"/>
              </w:rPr>
            </w:pPr>
            <w:r w:rsidRPr="005A1EDC">
              <w:rPr>
                <w:bCs/>
                <w:i/>
                <w:szCs w:val="21"/>
              </w:rPr>
              <w:t>Information is required about:</w:t>
            </w:r>
          </w:p>
          <w:p w14:paraId="2BB891F7" w14:textId="77777777" w:rsidR="008D4208" w:rsidRPr="005A1EDC" w:rsidRDefault="008D4208" w:rsidP="003A5657">
            <w:pPr>
              <w:rPr>
                <w:bCs/>
                <w:i/>
                <w:szCs w:val="21"/>
              </w:rPr>
            </w:pPr>
            <w:r w:rsidRPr="005A1EDC">
              <w:rPr>
                <w:bCs/>
                <w:i/>
                <w:szCs w:val="21"/>
              </w:rPr>
              <w:t>…</w:t>
            </w:r>
          </w:p>
          <w:p w14:paraId="62C4834D" w14:textId="77777777" w:rsidR="008D4208" w:rsidRPr="005A1EDC" w:rsidRDefault="008D4208" w:rsidP="003A5657">
            <w:pPr>
              <w:rPr>
                <w:bCs/>
                <w:i/>
                <w:szCs w:val="21"/>
              </w:rPr>
            </w:pPr>
            <w:r w:rsidRPr="005A1EDC">
              <w:rPr>
                <w:bCs/>
                <w:i/>
                <w:szCs w:val="21"/>
              </w:rPr>
              <w:t>These information requirements are being met through the following work-streams:</w:t>
            </w:r>
          </w:p>
          <w:p w14:paraId="27EE0142" w14:textId="77777777" w:rsidR="008D4208" w:rsidRPr="00D77614" w:rsidRDefault="008D4208" w:rsidP="003A5657">
            <w:pPr>
              <w:rPr>
                <w:b/>
                <w:bCs/>
                <w:szCs w:val="21"/>
              </w:rPr>
            </w:pPr>
            <w:r w:rsidRPr="005A1EDC">
              <w:rPr>
                <w:bCs/>
                <w:i/>
                <w:szCs w:val="21"/>
              </w:rPr>
              <w:t>…</w:t>
            </w:r>
          </w:p>
        </w:tc>
      </w:tr>
    </w:tbl>
    <w:p w14:paraId="1EB19CC9" w14:textId="77777777" w:rsidR="008D4208" w:rsidRPr="00D77614" w:rsidRDefault="008D4208" w:rsidP="008D4208">
      <w:pPr>
        <w:spacing w:after="0" w:line="240" w:lineRule="auto"/>
        <w:jc w:val="both"/>
      </w:pPr>
    </w:p>
    <w:p w14:paraId="1ED8932E" w14:textId="77777777" w:rsidR="008D4208" w:rsidRDefault="008D4208" w:rsidP="008D4208">
      <w:pPr>
        <w:rPr>
          <w:highlight w:val="yellow"/>
        </w:rPr>
      </w:pPr>
    </w:p>
    <w:p w14:paraId="7592FC1D" w14:textId="77777777" w:rsidR="008D4208" w:rsidRDefault="008D4208" w:rsidP="008D4208">
      <w:pPr>
        <w:pStyle w:val="Heading1"/>
        <w:sectPr w:rsidR="008D4208" w:rsidSect="000D2CB0">
          <w:headerReference w:type="even" r:id="rId18"/>
          <w:headerReference w:type="default" r:id="rId19"/>
          <w:footerReference w:type="even" r:id="rId20"/>
          <w:footerReference w:type="default" r:id="rId21"/>
          <w:headerReference w:type="first" r:id="rId22"/>
          <w:footerReference w:type="first" r:id="rId23"/>
          <w:pgSz w:w="12240" w:h="15840"/>
          <w:pgMar w:top="851" w:right="1304" w:bottom="567" w:left="1304" w:header="720" w:footer="720" w:gutter="0"/>
          <w:cols w:space="720"/>
          <w:docGrid w:linePitch="360"/>
        </w:sectPr>
      </w:pPr>
    </w:p>
    <w:p w14:paraId="22DECB6A" w14:textId="77777777" w:rsidR="008D4208" w:rsidRDefault="008D4208" w:rsidP="008D4208">
      <w:pPr>
        <w:pStyle w:val="Heading1"/>
      </w:pPr>
      <w:bookmarkStart w:id="72" w:name="_Ref14447204"/>
      <w:bookmarkStart w:id="73" w:name="_Toc35960451"/>
      <w:bookmarkStart w:id="74" w:name="_Ref11672907"/>
      <w:bookmarkEnd w:id="69"/>
      <w:bookmarkEnd w:id="70"/>
      <w:bookmarkEnd w:id="71"/>
      <w:r>
        <w:lastRenderedPageBreak/>
        <w:t>Annex B: Evaluation questions and data sources</w:t>
      </w:r>
      <w:bookmarkEnd w:id="72"/>
      <w:bookmarkEnd w:id="73"/>
    </w:p>
    <w:p w14:paraId="582E641E" w14:textId="77777777" w:rsidR="008D4208" w:rsidRDefault="008D4208" w:rsidP="008D4208">
      <w:r>
        <w:t xml:space="preserve">The table below provides an overview of the potential indicators which will facilitate a robust evaluation of the SPF’s evaluation questions. The breakdown of the overarching evaluation questions can be found in Section </w:t>
      </w:r>
      <w:r>
        <w:fldChar w:fldCharType="begin"/>
      </w:r>
      <w:r>
        <w:instrText xml:space="preserve"> REF _Ref14458484 \r \h </w:instrText>
      </w:r>
      <w:r>
        <w:fldChar w:fldCharType="separate"/>
      </w:r>
      <w:r>
        <w:t>4.1</w:t>
      </w:r>
      <w:r>
        <w:fldChar w:fldCharType="end"/>
      </w:r>
      <w:r>
        <w:t>. The final column outlines the likely sources of this data.</w:t>
      </w:r>
    </w:p>
    <w:p w14:paraId="06C3BF19" w14:textId="77777777" w:rsidR="008D4208" w:rsidRPr="00A30920" w:rsidRDefault="008D4208" w:rsidP="008D4208"/>
    <w:tbl>
      <w:tblPr>
        <w:tblStyle w:val="TableGrid1"/>
        <w:tblW w:w="13325" w:type="dxa"/>
        <w:jc w:val="center"/>
        <w:tblLook w:val="04A0" w:firstRow="1" w:lastRow="0" w:firstColumn="1" w:lastColumn="0" w:noHBand="0" w:noVBand="1"/>
      </w:tblPr>
      <w:tblGrid>
        <w:gridCol w:w="3684"/>
        <w:gridCol w:w="5672"/>
        <w:gridCol w:w="3969"/>
      </w:tblGrid>
      <w:tr w:rsidR="008D4208" w:rsidRPr="0068330F" w14:paraId="66A27D67" w14:textId="77777777" w:rsidTr="003A5657">
        <w:trPr>
          <w:trHeight w:val="575"/>
          <w:jc w:val="center"/>
        </w:trPr>
        <w:tc>
          <w:tcPr>
            <w:tcW w:w="3684" w:type="dxa"/>
            <w:vAlign w:val="center"/>
          </w:tcPr>
          <w:p w14:paraId="1E86E0A6" w14:textId="77777777" w:rsidR="008D4208" w:rsidRPr="0068330F" w:rsidRDefault="008D4208" w:rsidP="003A5657">
            <w:pPr>
              <w:rPr>
                <w:rFonts w:cs="Arial"/>
                <w:b/>
                <w:color w:val="000000"/>
                <w:sz w:val="20"/>
                <w:szCs w:val="20"/>
              </w:rPr>
            </w:pPr>
            <w:r w:rsidRPr="0068330F">
              <w:rPr>
                <w:rFonts w:cs="Arial"/>
                <w:b/>
                <w:bCs/>
                <w:color w:val="000000"/>
                <w:sz w:val="20"/>
                <w:szCs w:val="20"/>
              </w:rPr>
              <w:t>Evaluation question</w:t>
            </w:r>
          </w:p>
        </w:tc>
        <w:tc>
          <w:tcPr>
            <w:tcW w:w="5672" w:type="dxa"/>
            <w:vAlign w:val="center"/>
          </w:tcPr>
          <w:p w14:paraId="37650D7B" w14:textId="77777777" w:rsidR="008D4208" w:rsidRPr="0068330F" w:rsidRDefault="008D4208" w:rsidP="003A5657">
            <w:pPr>
              <w:rPr>
                <w:rFonts w:cs="Arial"/>
                <w:b/>
                <w:color w:val="000000"/>
                <w:sz w:val="20"/>
                <w:szCs w:val="20"/>
              </w:rPr>
            </w:pPr>
            <w:r w:rsidRPr="0068330F">
              <w:rPr>
                <w:rFonts w:cs="Arial"/>
                <w:b/>
                <w:bCs/>
                <w:color w:val="000000"/>
                <w:sz w:val="20"/>
                <w:szCs w:val="20"/>
              </w:rPr>
              <w:t>Potential indicators</w:t>
            </w:r>
            <w:r>
              <w:rPr>
                <w:rFonts w:cs="Arial"/>
                <w:b/>
                <w:bCs/>
                <w:color w:val="000000"/>
                <w:sz w:val="20"/>
                <w:szCs w:val="20"/>
              </w:rPr>
              <w:t xml:space="preserve"> </w:t>
            </w:r>
            <w:r w:rsidRPr="0068330F">
              <w:rPr>
                <w:rFonts w:cs="Arial"/>
                <w:b/>
                <w:bCs/>
                <w:color w:val="000000"/>
                <w:sz w:val="20"/>
                <w:szCs w:val="20"/>
              </w:rPr>
              <w:t>to answer questions</w:t>
            </w:r>
          </w:p>
        </w:tc>
        <w:tc>
          <w:tcPr>
            <w:tcW w:w="3969" w:type="dxa"/>
            <w:vAlign w:val="center"/>
          </w:tcPr>
          <w:p w14:paraId="3AC304F8" w14:textId="77777777" w:rsidR="008D4208" w:rsidRPr="0068330F" w:rsidRDefault="008D4208" w:rsidP="003A5657">
            <w:pPr>
              <w:rPr>
                <w:rFonts w:cs="Arial"/>
                <w:b/>
                <w:bCs/>
                <w:color w:val="000000"/>
                <w:sz w:val="20"/>
                <w:szCs w:val="20"/>
              </w:rPr>
            </w:pPr>
            <w:r>
              <w:rPr>
                <w:rFonts w:cs="Arial"/>
                <w:b/>
                <w:bCs/>
                <w:color w:val="000000"/>
                <w:sz w:val="20"/>
                <w:szCs w:val="20"/>
              </w:rPr>
              <w:t>What are the likely sources of this data?</w:t>
            </w:r>
          </w:p>
        </w:tc>
      </w:tr>
      <w:tr w:rsidR="008D4208" w:rsidRPr="0068330F" w14:paraId="22A3219A" w14:textId="77777777" w:rsidTr="003A5657">
        <w:trPr>
          <w:trHeight w:val="416"/>
          <w:jc w:val="center"/>
        </w:trPr>
        <w:tc>
          <w:tcPr>
            <w:tcW w:w="3684" w:type="dxa"/>
            <w:vAlign w:val="center"/>
          </w:tcPr>
          <w:p w14:paraId="02B1B40F" w14:textId="77777777" w:rsidR="008D4208" w:rsidRPr="0068330F" w:rsidRDefault="008D4208" w:rsidP="003A5657">
            <w:pPr>
              <w:rPr>
                <w:rFonts w:cs="Arial"/>
                <w:color w:val="000000"/>
                <w:sz w:val="20"/>
                <w:szCs w:val="20"/>
              </w:rPr>
            </w:pPr>
            <w:r w:rsidRPr="0068330F">
              <w:rPr>
                <w:rFonts w:cs="Arial"/>
                <w:color w:val="000000"/>
                <w:sz w:val="20"/>
                <w:szCs w:val="20"/>
              </w:rPr>
              <w:t>To what extent has the SPF increased high quality multi-disciplinary and inter-disciplinary research and innovation?</w:t>
            </w:r>
          </w:p>
        </w:tc>
        <w:tc>
          <w:tcPr>
            <w:tcW w:w="5672" w:type="dxa"/>
            <w:vAlign w:val="center"/>
          </w:tcPr>
          <w:p w14:paraId="76555C8B" w14:textId="77777777" w:rsidR="008D4208" w:rsidRPr="0068330F" w:rsidRDefault="008D4208" w:rsidP="00CC2E60">
            <w:pPr>
              <w:numPr>
                <w:ilvl w:val="0"/>
                <w:numId w:val="12"/>
              </w:numPr>
              <w:rPr>
                <w:rFonts w:cs="Arial"/>
                <w:color w:val="000000"/>
                <w:sz w:val="20"/>
                <w:szCs w:val="20"/>
              </w:rPr>
            </w:pPr>
            <w:r w:rsidRPr="0068330F">
              <w:rPr>
                <w:rFonts w:cs="Arial"/>
                <w:color w:val="000000"/>
                <w:sz w:val="20"/>
                <w:szCs w:val="20"/>
              </w:rPr>
              <w:t>Number of projects involving multi-disciplinary and inter-disciplinary research before, during and after SPF allocations</w:t>
            </w:r>
          </w:p>
          <w:p w14:paraId="43CC2A13" w14:textId="77777777" w:rsidR="008D4208" w:rsidRPr="0068330F" w:rsidRDefault="008D4208" w:rsidP="00CC2E60">
            <w:pPr>
              <w:numPr>
                <w:ilvl w:val="0"/>
                <w:numId w:val="12"/>
              </w:numPr>
              <w:rPr>
                <w:rFonts w:cs="Arial"/>
                <w:color w:val="000000"/>
                <w:sz w:val="20"/>
                <w:szCs w:val="20"/>
              </w:rPr>
            </w:pPr>
            <w:r w:rsidRPr="0068330F">
              <w:rPr>
                <w:rFonts w:cs="Arial"/>
                <w:color w:val="000000"/>
                <w:sz w:val="20"/>
                <w:szCs w:val="20"/>
              </w:rPr>
              <w:t>Number of researchers working across different research fields before, during and after SPF allocations</w:t>
            </w:r>
          </w:p>
          <w:p w14:paraId="0A76E2C3" w14:textId="77777777" w:rsidR="008D4208" w:rsidRPr="0068330F" w:rsidRDefault="008D4208" w:rsidP="00CC2E60">
            <w:pPr>
              <w:numPr>
                <w:ilvl w:val="0"/>
                <w:numId w:val="12"/>
              </w:numPr>
              <w:rPr>
                <w:rFonts w:cs="Arial"/>
                <w:color w:val="000000"/>
                <w:sz w:val="20"/>
                <w:szCs w:val="20"/>
              </w:rPr>
            </w:pPr>
            <w:r w:rsidRPr="0068330F">
              <w:rPr>
                <w:rFonts w:cs="Arial"/>
                <w:color w:val="000000"/>
                <w:sz w:val="20"/>
                <w:szCs w:val="20"/>
              </w:rPr>
              <w:t>Number and type of collaborations before, during and after SPF allocations</w:t>
            </w:r>
          </w:p>
          <w:p w14:paraId="0DE60DBD" w14:textId="77777777" w:rsidR="008D4208" w:rsidRDefault="008D4208" w:rsidP="00CC2E60">
            <w:pPr>
              <w:numPr>
                <w:ilvl w:val="0"/>
                <w:numId w:val="12"/>
              </w:numPr>
              <w:rPr>
                <w:rFonts w:cs="Arial"/>
                <w:color w:val="000000"/>
                <w:sz w:val="20"/>
                <w:szCs w:val="20"/>
              </w:rPr>
            </w:pPr>
            <w:r w:rsidRPr="0068330F">
              <w:rPr>
                <w:rFonts w:cs="Arial"/>
                <w:color w:val="000000"/>
                <w:sz w:val="20"/>
                <w:szCs w:val="20"/>
              </w:rPr>
              <w:t xml:space="preserve">Number of publications in peer reviewed journals with co-authorship across disciplines </w:t>
            </w:r>
          </w:p>
          <w:p w14:paraId="4DA9B64B" w14:textId="77777777" w:rsidR="008D4208" w:rsidRPr="0068330F" w:rsidRDefault="008D4208" w:rsidP="00CC2E60">
            <w:pPr>
              <w:numPr>
                <w:ilvl w:val="0"/>
                <w:numId w:val="12"/>
              </w:numPr>
              <w:rPr>
                <w:rFonts w:cs="Arial"/>
                <w:color w:val="000000"/>
                <w:sz w:val="20"/>
                <w:szCs w:val="20"/>
              </w:rPr>
            </w:pPr>
            <w:r>
              <w:rPr>
                <w:rFonts w:cs="Arial"/>
                <w:color w:val="000000"/>
                <w:sz w:val="20"/>
                <w:szCs w:val="20"/>
              </w:rPr>
              <w:t>Assessment of the extent to which MIDRI investment opportunities have been de-risked, and the extent to which the efficacy of the funding system has been improved in assessing MIDRI proposals</w:t>
            </w:r>
          </w:p>
          <w:p w14:paraId="02C342A7" w14:textId="77777777" w:rsidR="008D4208" w:rsidRPr="0068330F" w:rsidRDefault="008D4208" w:rsidP="00CC2E60">
            <w:pPr>
              <w:numPr>
                <w:ilvl w:val="0"/>
                <w:numId w:val="12"/>
              </w:numPr>
              <w:rPr>
                <w:rFonts w:cs="Arial"/>
                <w:color w:val="000000"/>
                <w:sz w:val="20"/>
                <w:szCs w:val="20"/>
              </w:rPr>
            </w:pPr>
            <w:r w:rsidRPr="0068330F">
              <w:rPr>
                <w:rFonts w:cs="Arial"/>
                <w:color w:val="000000"/>
                <w:sz w:val="20"/>
                <w:szCs w:val="20"/>
              </w:rPr>
              <w:t>IP non-exclusively licensed to multiple organisations, rather than exclusively sold to one</w:t>
            </w:r>
          </w:p>
          <w:p w14:paraId="17E0A742" w14:textId="77777777" w:rsidR="008D4208" w:rsidRPr="0068330F" w:rsidRDefault="008D4208" w:rsidP="00CC2E60">
            <w:pPr>
              <w:numPr>
                <w:ilvl w:val="0"/>
                <w:numId w:val="12"/>
              </w:numPr>
              <w:rPr>
                <w:rFonts w:cs="Arial"/>
                <w:color w:val="000000"/>
                <w:sz w:val="20"/>
                <w:szCs w:val="20"/>
              </w:rPr>
            </w:pPr>
            <w:r w:rsidRPr="0068330F">
              <w:rPr>
                <w:rFonts w:cs="Arial"/>
                <w:color w:val="000000"/>
                <w:sz w:val="20"/>
                <w:szCs w:val="20"/>
              </w:rPr>
              <w:t>Feedback on success of collaborations from applicant surveys</w:t>
            </w:r>
          </w:p>
        </w:tc>
        <w:tc>
          <w:tcPr>
            <w:tcW w:w="3969" w:type="dxa"/>
            <w:vAlign w:val="center"/>
          </w:tcPr>
          <w:p w14:paraId="207D575D" w14:textId="77777777" w:rsidR="008D4208" w:rsidRDefault="008D4208" w:rsidP="00CC2E60">
            <w:pPr>
              <w:pStyle w:val="ListParagraph"/>
              <w:numPr>
                <w:ilvl w:val="0"/>
                <w:numId w:val="26"/>
              </w:numPr>
              <w:rPr>
                <w:rFonts w:cs="Arial"/>
                <w:color w:val="000000"/>
                <w:sz w:val="20"/>
                <w:szCs w:val="20"/>
              </w:rPr>
            </w:pPr>
            <w:r>
              <w:rPr>
                <w:rFonts w:cs="Arial"/>
                <w:color w:val="000000"/>
                <w:sz w:val="20"/>
                <w:szCs w:val="20"/>
              </w:rPr>
              <w:t>Grant application data</w:t>
            </w:r>
          </w:p>
          <w:p w14:paraId="038D40BD" w14:textId="77777777" w:rsidR="008D4208" w:rsidRDefault="008D4208" w:rsidP="00CC2E60">
            <w:pPr>
              <w:pStyle w:val="ListParagraph"/>
              <w:numPr>
                <w:ilvl w:val="0"/>
                <w:numId w:val="26"/>
              </w:numPr>
              <w:rPr>
                <w:rFonts w:cs="Arial"/>
                <w:color w:val="000000"/>
                <w:sz w:val="20"/>
                <w:szCs w:val="20"/>
              </w:rPr>
            </w:pPr>
            <w:r>
              <w:rPr>
                <w:rFonts w:cs="Arial"/>
                <w:color w:val="000000"/>
                <w:sz w:val="20"/>
                <w:szCs w:val="20"/>
              </w:rPr>
              <w:t xml:space="preserve">Outcome monitoring data (predominantly collected via </w:t>
            </w:r>
            <w:proofErr w:type="spellStart"/>
            <w:r>
              <w:rPr>
                <w:rFonts w:cs="Arial"/>
                <w:color w:val="000000"/>
                <w:sz w:val="20"/>
                <w:szCs w:val="20"/>
              </w:rPr>
              <w:t>researchfish</w:t>
            </w:r>
            <w:proofErr w:type="spellEnd"/>
            <w:r>
              <w:rPr>
                <w:rFonts w:cs="Arial"/>
                <w:color w:val="000000"/>
                <w:sz w:val="20"/>
                <w:szCs w:val="20"/>
              </w:rPr>
              <w:t xml:space="preserve"> ® and IFS)</w:t>
            </w:r>
          </w:p>
          <w:p w14:paraId="5CF93DBE" w14:textId="77777777" w:rsidR="008D4208" w:rsidRDefault="008D4208" w:rsidP="00CC2E60">
            <w:pPr>
              <w:pStyle w:val="ListParagraph"/>
              <w:numPr>
                <w:ilvl w:val="0"/>
                <w:numId w:val="26"/>
              </w:numPr>
              <w:rPr>
                <w:rFonts w:cs="Arial"/>
                <w:color w:val="000000"/>
                <w:sz w:val="20"/>
                <w:szCs w:val="20"/>
              </w:rPr>
            </w:pPr>
            <w:r>
              <w:rPr>
                <w:rFonts w:cs="Arial"/>
                <w:color w:val="000000"/>
                <w:sz w:val="20"/>
                <w:szCs w:val="20"/>
              </w:rPr>
              <w:t>Baseline data questions</w:t>
            </w:r>
          </w:p>
          <w:p w14:paraId="60C28CDF" w14:textId="77777777" w:rsidR="008D4208" w:rsidRPr="00E046DC" w:rsidRDefault="008D4208" w:rsidP="00CC2E60">
            <w:pPr>
              <w:pStyle w:val="ListParagraph"/>
              <w:numPr>
                <w:ilvl w:val="0"/>
                <w:numId w:val="26"/>
              </w:numPr>
              <w:rPr>
                <w:rFonts w:cs="Arial"/>
                <w:color w:val="000000"/>
                <w:sz w:val="20"/>
                <w:szCs w:val="20"/>
              </w:rPr>
            </w:pPr>
            <w:r>
              <w:rPr>
                <w:rFonts w:cs="Arial"/>
                <w:color w:val="000000"/>
                <w:sz w:val="20"/>
                <w:szCs w:val="20"/>
              </w:rPr>
              <w:t>Surveys and interviews with SPF researchers and the wider R&amp;I community</w:t>
            </w:r>
          </w:p>
        </w:tc>
      </w:tr>
      <w:tr w:rsidR="008D4208" w:rsidRPr="0068330F" w14:paraId="6EF9363D" w14:textId="77777777" w:rsidTr="003A5657">
        <w:trPr>
          <w:trHeight w:val="2400"/>
          <w:jc w:val="center"/>
        </w:trPr>
        <w:tc>
          <w:tcPr>
            <w:tcW w:w="3684" w:type="dxa"/>
            <w:vAlign w:val="center"/>
          </w:tcPr>
          <w:p w14:paraId="674CDB92" w14:textId="77777777" w:rsidR="008D4208" w:rsidRPr="0068330F" w:rsidRDefault="008D4208" w:rsidP="003A5657">
            <w:pPr>
              <w:rPr>
                <w:rFonts w:cs="Arial"/>
                <w:color w:val="000000"/>
                <w:sz w:val="20"/>
                <w:szCs w:val="20"/>
              </w:rPr>
            </w:pPr>
            <w:r w:rsidRPr="0068330F">
              <w:rPr>
                <w:rFonts w:cs="Arial"/>
                <w:color w:val="000000"/>
                <w:sz w:val="20"/>
                <w:szCs w:val="20"/>
              </w:rPr>
              <w:t>To what extent has the SPF ensured alignment with cross-departmental research and innovation priorities?</w:t>
            </w:r>
          </w:p>
        </w:tc>
        <w:tc>
          <w:tcPr>
            <w:tcW w:w="5672" w:type="dxa"/>
            <w:vAlign w:val="center"/>
          </w:tcPr>
          <w:p w14:paraId="0A906CF3" w14:textId="77777777" w:rsidR="008D4208" w:rsidRPr="0068330F" w:rsidRDefault="008D4208" w:rsidP="00CC2E60">
            <w:pPr>
              <w:numPr>
                <w:ilvl w:val="0"/>
                <w:numId w:val="13"/>
              </w:numPr>
              <w:rPr>
                <w:rFonts w:cs="Arial"/>
                <w:color w:val="000000"/>
                <w:sz w:val="20"/>
                <w:szCs w:val="20"/>
              </w:rPr>
            </w:pPr>
            <w:r w:rsidRPr="0068330F">
              <w:rPr>
                <w:rFonts w:cs="Arial"/>
                <w:color w:val="000000"/>
                <w:sz w:val="20"/>
                <w:szCs w:val="20"/>
              </w:rPr>
              <w:t>Awareness of SPF processes and understanding of objectives (feedback from surveys of applicants and wider research community)</w:t>
            </w:r>
          </w:p>
          <w:p w14:paraId="61B051E2" w14:textId="77777777" w:rsidR="008D4208" w:rsidRPr="0068330F" w:rsidRDefault="008D4208" w:rsidP="00CC2E60">
            <w:pPr>
              <w:numPr>
                <w:ilvl w:val="0"/>
                <w:numId w:val="13"/>
              </w:numPr>
              <w:rPr>
                <w:rFonts w:cs="Arial"/>
                <w:color w:val="000000"/>
                <w:sz w:val="20"/>
                <w:szCs w:val="20"/>
              </w:rPr>
            </w:pPr>
            <w:r w:rsidRPr="0068330F">
              <w:rPr>
                <w:rFonts w:cs="Arial"/>
                <w:color w:val="000000"/>
                <w:sz w:val="20"/>
                <w:szCs w:val="20"/>
              </w:rPr>
              <w:t>Level of engagement with the SPF process by the research community (feedback from surveys of applicants and wider research community)</w:t>
            </w:r>
          </w:p>
          <w:p w14:paraId="4442405D" w14:textId="77777777" w:rsidR="008D4208" w:rsidRPr="0068330F" w:rsidRDefault="008D4208" w:rsidP="00CC2E60">
            <w:pPr>
              <w:numPr>
                <w:ilvl w:val="0"/>
                <w:numId w:val="13"/>
              </w:numPr>
              <w:rPr>
                <w:rFonts w:cs="Arial"/>
                <w:color w:val="000000"/>
                <w:sz w:val="20"/>
                <w:szCs w:val="20"/>
              </w:rPr>
            </w:pPr>
            <w:r w:rsidRPr="0068330F">
              <w:rPr>
                <w:rFonts w:cs="Arial"/>
                <w:color w:val="000000"/>
                <w:sz w:val="20"/>
                <w:szCs w:val="20"/>
              </w:rPr>
              <w:t xml:space="preserve">Number of projects meeting strategic criteria </w:t>
            </w:r>
          </w:p>
          <w:p w14:paraId="3CAC13E4" w14:textId="77777777" w:rsidR="008D4208" w:rsidRPr="0068330F" w:rsidRDefault="008D4208" w:rsidP="00CC2E60">
            <w:pPr>
              <w:numPr>
                <w:ilvl w:val="0"/>
                <w:numId w:val="13"/>
              </w:numPr>
              <w:rPr>
                <w:rFonts w:cs="Arial"/>
                <w:color w:val="000000"/>
                <w:sz w:val="20"/>
                <w:szCs w:val="20"/>
              </w:rPr>
            </w:pPr>
            <w:r w:rsidRPr="0068330F">
              <w:rPr>
                <w:rFonts w:cs="Arial"/>
                <w:color w:val="000000"/>
                <w:sz w:val="20"/>
                <w:szCs w:val="20"/>
              </w:rPr>
              <w:t>Success against objectives of funded projects as compared to baseline (counterfactual)</w:t>
            </w:r>
          </w:p>
          <w:p w14:paraId="3083DF15" w14:textId="77777777" w:rsidR="008D4208" w:rsidRPr="0068330F" w:rsidRDefault="008D4208" w:rsidP="00CC2E60">
            <w:pPr>
              <w:numPr>
                <w:ilvl w:val="0"/>
                <w:numId w:val="13"/>
              </w:numPr>
              <w:rPr>
                <w:rFonts w:cs="Arial"/>
                <w:color w:val="000000"/>
                <w:sz w:val="20"/>
                <w:szCs w:val="20"/>
              </w:rPr>
            </w:pPr>
            <w:r w:rsidRPr="0068330F">
              <w:rPr>
                <w:rFonts w:cs="Arial"/>
                <w:color w:val="000000"/>
                <w:sz w:val="20"/>
                <w:szCs w:val="20"/>
              </w:rPr>
              <w:t>Proportion of UKRI funding portfolio devoted to government priorities before, during and after SPF allocations</w:t>
            </w:r>
          </w:p>
        </w:tc>
        <w:tc>
          <w:tcPr>
            <w:tcW w:w="3969" w:type="dxa"/>
            <w:vAlign w:val="center"/>
          </w:tcPr>
          <w:p w14:paraId="4E11E685" w14:textId="77777777" w:rsidR="008D4208" w:rsidRDefault="008D4208" w:rsidP="00CC2E60">
            <w:pPr>
              <w:pStyle w:val="ListParagraph"/>
              <w:numPr>
                <w:ilvl w:val="0"/>
                <w:numId w:val="13"/>
              </w:numPr>
              <w:rPr>
                <w:rFonts w:cs="Arial"/>
                <w:color w:val="000000"/>
                <w:sz w:val="20"/>
                <w:szCs w:val="20"/>
              </w:rPr>
            </w:pPr>
            <w:r>
              <w:rPr>
                <w:rFonts w:cs="Arial"/>
                <w:color w:val="000000"/>
                <w:sz w:val="20"/>
                <w:szCs w:val="20"/>
              </w:rPr>
              <w:t>Government departments’ published Areas of Research Interest</w:t>
            </w:r>
          </w:p>
          <w:p w14:paraId="1FC55782" w14:textId="77777777" w:rsidR="008D4208" w:rsidRDefault="008D4208" w:rsidP="00CC2E60">
            <w:pPr>
              <w:pStyle w:val="ListParagraph"/>
              <w:numPr>
                <w:ilvl w:val="0"/>
                <w:numId w:val="13"/>
              </w:numPr>
              <w:rPr>
                <w:rFonts w:cs="Arial"/>
                <w:color w:val="000000"/>
                <w:sz w:val="20"/>
                <w:szCs w:val="20"/>
              </w:rPr>
            </w:pPr>
            <w:r>
              <w:rPr>
                <w:rFonts w:cs="Arial"/>
                <w:color w:val="000000"/>
                <w:sz w:val="20"/>
                <w:szCs w:val="20"/>
              </w:rPr>
              <w:t>Grant application data</w:t>
            </w:r>
          </w:p>
          <w:p w14:paraId="70BACBDF" w14:textId="77777777" w:rsidR="008D4208" w:rsidRDefault="008D4208" w:rsidP="00CC2E60">
            <w:pPr>
              <w:pStyle w:val="ListParagraph"/>
              <w:numPr>
                <w:ilvl w:val="0"/>
                <w:numId w:val="13"/>
              </w:numPr>
              <w:rPr>
                <w:rFonts w:cs="Arial"/>
                <w:color w:val="000000"/>
                <w:sz w:val="20"/>
                <w:szCs w:val="20"/>
              </w:rPr>
            </w:pPr>
            <w:proofErr w:type="spellStart"/>
            <w:r>
              <w:rPr>
                <w:rFonts w:cs="Arial"/>
                <w:color w:val="000000"/>
                <w:sz w:val="20"/>
                <w:szCs w:val="20"/>
              </w:rPr>
              <w:t>Researchfish</w:t>
            </w:r>
            <w:proofErr w:type="spellEnd"/>
            <w:r>
              <w:rPr>
                <w:rFonts w:cs="Arial"/>
                <w:color w:val="000000"/>
                <w:sz w:val="20"/>
                <w:szCs w:val="20"/>
              </w:rPr>
              <w:t xml:space="preserve"> ® data</w:t>
            </w:r>
          </w:p>
          <w:p w14:paraId="492C2C50" w14:textId="77777777" w:rsidR="008D4208" w:rsidRDefault="008D4208" w:rsidP="00CC2E60">
            <w:pPr>
              <w:pStyle w:val="ListParagraph"/>
              <w:numPr>
                <w:ilvl w:val="0"/>
                <w:numId w:val="13"/>
              </w:numPr>
              <w:rPr>
                <w:rFonts w:cs="Arial"/>
                <w:color w:val="000000"/>
                <w:sz w:val="20"/>
                <w:szCs w:val="20"/>
              </w:rPr>
            </w:pPr>
            <w:r>
              <w:rPr>
                <w:rFonts w:cs="Arial"/>
                <w:color w:val="000000"/>
                <w:sz w:val="20"/>
                <w:szCs w:val="20"/>
              </w:rPr>
              <w:t>Baseline data questions</w:t>
            </w:r>
          </w:p>
          <w:p w14:paraId="3EACCE1B" w14:textId="77777777" w:rsidR="008D4208" w:rsidRDefault="008D4208" w:rsidP="00CC2E60">
            <w:pPr>
              <w:pStyle w:val="ListParagraph"/>
              <w:numPr>
                <w:ilvl w:val="0"/>
                <w:numId w:val="13"/>
              </w:numPr>
              <w:rPr>
                <w:rFonts w:cs="Arial"/>
                <w:color w:val="000000"/>
                <w:sz w:val="20"/>
                <w:szCs w:val="20"/>
              </w:rPr>
            </w:pPr>
            <w:r>
              <w:rPr>
                <w:rFonts w:cs="Arial"/>
                <w:color w:val="000000"/>
                <w:sz w:val="20"/>
                <w:szCs w:val="20"/>
              </w:rPr>
              <w:t>Surveys and interviews with SPF researchers and the wider R&amp;I community</w:t>
            </w:r>
          </w:p>
          <w:p w14:paraId="066BC1DF" w14:textId="77777777" w:rsidR="008D4208" w:rsidRPr="00E073DE" w:rsidRDefault="008D4208" w:rsidP="00CC2E60">
            <w:pPr>
              <w:pStyle w:val="ListParagraph"/>
              <w:numPr>
                <w:ilvl w:val="0"/>
                <w:numId w:val="13"/>
              </w:numPr>
              <w:rPr>
                <w:rFonts w:cs="Arial"/>
                <w:color w:val="000000"/>
                <w:sz w:val="20"/>
                <w:szCs w:val="20"/>
              </w:rPr>
            </w:pPr>
            <w:r>
              <w:rPr>
                <w:rFonts w:cs="Arial"/>
                <w:color w:val="000000"/>
                <w:sz w:val="20"/>
                <w:szCs w:val="20"/>
              </w:rPr>
              <w:t>Surveys and interviews with government officials</w:t>
            </w:r>
          </w:p>
        </w:tc>
      </w:tr>
      <w:tr w:rsidR="008D4208" w:rsidRPr="0068330F" w14:paraId="3DDA48D0" w14:textId="77777777" w:rsidTr="003A5657">
        <w:trPr>
          <w:trHeight w:val="1697"/>
          <w:jc w:val="center"/>
        </w:trPr>
        <w:tc>
          <w:tcPr>
            <w:tcW w:w="3684" w:type="dxa"/>
            <w:vAlign w:val="center"/>
          </w:tcPr>
          <w:p w14:paraId="69A2C522" w14:textId="77777777" w:rsidR="008D4208" w:rsidRPr="0068330F" w:rsidRDefault="008D4208" w:rsidP="003A5657">
            <w:pPr>
              <w:rPr>
                <w:rFonts w:cs="Arial"/>
                <w:color w:val="000000"/>
                <w:sz w:val="20"/>
                <w:szCs w:val="20"/>
              </w:rPr>
            </w:pPr>
            <w:r w:rsidRPr="0068330F">
              <w:rPr>
                <w:rFonts w:cs="Arial"/>
                <w:color w:val="000000"/>
                <w:sz w:val="20"/>
                <w:szCs w:val="20"/>
              </w:rPr>
              <w:lastRenderedPageBreak/>
              <w:t>To what extent has the SPF increased the ability of the R&amp;I system to respond to strategic priorities and opportunities?</w:t>
            </w:r>
          </w:p>
        </w:tc>
        <w:tc>
          <w:tcPr>
            <w:tcW w:w="5672" w:type="dxa"/>
            <w:vAlign w:val="center"/>
          </w:tcPr>
          <w:p w14:paraId="247196AD" w14:textId="77777777" w:rsidR="008D4208" w:rsidRPr="0068330F" w:rsidRDefault="008D4208" w:rsidP="00CC2E60">
            <w:pPr>
              <w:numPr>
                <w:ilvl w:val="0"/>
                <w:numId w:val="12"/>
              </w:numPr>
              <w:rPr>
                <w:rFonts w:cs="Arial"/>
                <w:color w:val="000000"/>
                <w:sz w:val="20"/>
                <w:szCs w:val="20"/>
              </w:rPr>
            </w:pPr>
            <w:r w:rsidRPr="0068330F">
              <w:rPr>
                <w:rFonts w:cs="Arial"/>
                <w:color w:val="000000"/>
                <w:sz w:val="20"/>
                <w:szCs w:val="20"/>
              </w:rPr>
              <w:t>Number, type and scale of research projects before, during and after SPF allocations</w:t>
            </w:r>
          </w:p>
          <w:p w14:paraId="34AE1ED9" w14:textId="77777777" w:rsidR="008D4208" w:rsidRDefault="008D4208" w:rsidP="00CC2E60">
            <w:pPr>
              <w:numPr>
                <w:ilvl w:val="0"/>
                <w:numId w:val="12"/>
              </w:numPr>
              <w:rPr>
                <w:rFonts w:cs="Arial"/>
                <w:color w:val="000000"/>
                <w:sz w:val="20"/>
                <w:szCs w:val="20"/>
              </w:rPr>
            </w:pPr>
            <w:r w:rsidRPr="0068330F">
              <w:rPr>
                <w:rFonts w:cs="Arial"/>
                <w:color w:val="000000"/>
                <w:sz w:val="20"/>
                <w:szCs w:val="20"/>
              </w:rPr>
              <w:t>Changes in the balance of UKRI funding portfolio over time</w:t>
            </w:r>
          </w:p>
          <w:p w14:paraId="16E246EC" w14:textId="77777777" w:rsidR="008D4208" w:rsidRDefault="008D4208" w:rsidP="00CC2E60">
            <w:pPr>
              <w:numPr>
                <w:ilvl w:val="0"/>
                <w:numId w:val="12"/>
              </w:numPr>
              <w:rPr>
                <w:rFonts w:cs="Arial"/>
                <w:color w:val="000000"/>
                <w:sz w:val="20"/>
                <w:szCs w:val="20"/>
              </w:rPr>
            </w:pPr>
            <w:r>
              <w:rPr>
                <w:rFonts w:cs="Arial"/>
                <w:color w:val="000000"/>
                <w:sz w:val="20"/>
                <w:szCs w:val="20"/>
              </w:rPr>
              <w:t>Time lag between identification of strategic or policy priority and commencement of research and innovation activity</w:t>
            </w:r>
          </w:p>
          <w:p w14:paraId="01C78848" w14:textId="77777777" w:rsidR="008D4208" w:rsidRPr="0068330F" w:rsidRDefault="008D4208" w:rsidP="00CC2E60">
            <w:pPr>
              <w:numPr>
                <w:ilvl w:val="0"/>
                <w:numId w:val="12"/>
              </w:numPr>
              <w:rPr>
                <w:rFonts w:cs="Arial"/>
                <w:color w:val="000000"/>
                <w:sz w:val="20"/>
                <w:szCs w:val="20"/>
              </w:rPr>
            </w:pPr>
            <w:r>
              <w:rPr>
                <w:rFonts w:cs="Arial"/>
                <w:color w:val="000000"/>
                <w:sz w:val="20"/>
                <w:szCs w:val="20"/>
              </w:rPr>
              <w:t>Views, opinions and experiences in relation to aligning research and innovation with government priorities</w:t>
            </w:r>
          </w:p>
        </w:tc>
        <w:tc>
          <w:tcPr>
            <w:tcW w:w="3969" w:type="dxa"/>
            <w:vAlign w:val="center"/>
          </w:tcPr>
          <w:p w14:paraId="5EC3DCA4" w14:textId="77777777" w:rsidR="008D4208" w:rsidRDefault="008D4208" w:rsidP="00CC2E60">
            <w:pPr>
              <w:pStyle w:val="ListParagraph"/>
              <w:numPr>
                <w:ilvl w:val="0"/>
                <w:numId w:val="12"/>
              </w:numPr>
              <w:rPr>
                <w:rFonts w:cs="Arial"/>
                <w:color w:val="000000"/>
                <w:sz w:val="20"/>
                <w:szCs w:val="20"/>
              </w:rPr>
            </w:pPr>
            <w:r>
              <w:rPr>
                <w:rFonts w:cs="Arial"/>
                <w:color w:val="000000"/>
                <w:sz w:val="20"/>
                <w:szCs w:val="20"/>
              </w:rPr>
              <w:t>Government departments’ published Areas of Research Interest</w:t>
            </w:r>
          </w:p>
          <w:p w14:paraId="1AF4590C" w14:textId="77777777" w:rsidR="008D4208" w:rsidRDefault="008D4208" w:rsidP="00CC2E60">
            <w:pPr>
              <w:pStyle w:val="ListParagraph"/>
              <w:numPr>
                <w:ilvl w:val="0"/>
                <w:numId w:val="12"/>
              </w:numPr>
              <w:rPr>
                <w:rFonts w:cs="Arial"/>
                <w:color w:val="000000"/>
                <w:sz w:val="20"/>
                <w:szCs w:val="20"/>
              </w:rPr>
            </w:pPr>
            <w:r>
              <w:rPr>
                <w:rFonts w:cs="Arial"/>
                <w:color w:val="000000"/>
                <w:sz w:val="20"/>
                <w:szCs w:val="20"/>
              </w:rPr>
              <w:t>Grant application data</w:t>
            </w:r>
          </w:p>
          <w:p w14:paraId="2B08E732" w14:textId="77777777" w:rsidR="008D4208" w:rsidRDefault="008D4208" w:rsidP="00CC2E60">
            <w:pPr>
              <w:pStyle w:val="ListParagraph"/>
              <w:numPr>
                <w:ilvl w:val="0"/>
                <w:numId w:val="12"/>
              </w:numPr>
              <w:rPr>
                <w:rFonts w:cs="Arial"/>
                <w:color w:val="000000"/>
                <w:sz w:val="20"/>
                <w:szCs w:val="20"/>
              </w:rPr>
            </w:pPr>
            <w:proofErr w:type="spellStart"/>
            <w:r>
              <w:rPr>
                <w:rFonts w:cs="Arial"/>
                <w:color w:val="000000"/>
                <w:sz w:val="20"/>
                <w:szCs w:val="20"/>
              </w:rPr>
              <w:t>Researchfish</w:t>
            </w:r>
            <w:proofErr w:type="spellEnd"/>
            <w:r>
              <w:rPr>
                <w:rFonts w:cs="Arial"/>
                <w:color w:val="000000"/>
                <w:sz w:val="20"/>
                <w:szCs w:val="20"/>
              </w:rPr>
              <w:t xml:space="preserve"> ® data</w:t>
            </w:r>
          </w:p>
          <w:p w14:paraId="0F9A27BC" w14:textId="77777777" w:rsidR="008D4208" w:rsidRDefault="008D4208" w:rsidP="00CC2E60">
            <w:pPr>
              <w:pStyle w:val="ListParagraph"/>
              <w:numPr>
                <w:ilvl w:val="0"/>
                <w:numId w:val="12"/>
              </w:numPr>
              <w:rPr>
                <w:rFonts w:cs="Arial"/>
                <w:color w:val="000000"/>
                <w:sz w:val="20"/>
                <w:szCs w:val="20"/>
              </w:rPr>
            </w:pPr>
            <w:r>
              <w:rPr>
                <w:rFonts w:cs="Arial"/>
                <w:color w:val="000000"/>
                <w:sz w:val="20"/>
                <w:szCs w:val="20"/>
              </w:rPr>
              <w:t>Baseline data questions</w:t>
            </w:r>
          </w:p>
          <w:p w14:paraId="27F2FE1D" w14:textId="77777777" w:rsidR="008D4208" w:rsidRDefault="008D4208" w:rsidP="00CC2E60">
            <w:pPr>
              <w:pStyle w:val="ListParagraph"/>
              <w:numPr>
                <w:ilvl w:val="0"/>
                <w:numId w:val="12"/>
              </w:numPr>
              <w:rPr>
                <w:rFonts w:cs="Arial"/>
                <w:color w:val="000000"/>
                <w:sz w:val="20"/>
                <w:szCs w:val="20"/>
              </w:rPr>
            </w:pPr>
            <w:r>
              <w:rPr>
                <w:rFonts w:cs="Arial"/>
                <w:color w:val="000000"/>
                <w:sz w:val="20"/>
                <w:szCs w:val="20"/>
              </w:rPr>
              <w:t>Surveys and interviews with SPF researchers and the wider R&amp;I community</w:t>
            </w:r>
          </w:p>
          <w:p w14:paraId="300B5575" w14:textId="77777777" w:rsidR="008D4208" w:rsidRPr="00147689" w:rsidRDefault="008D4208" w:rsidP="00CC2E60">
            <w:pPr>
              <w:pStyle w:val="ListParagraph"/>
              <w:numPr>
                <w:ilvl w:val="0"/>
                <w:numId w:val="12"/>
              </w:numPr>
              <w:rPr>
                <w:rFonts w:cs="Arial"/>
                <w:color w:val="000000"/>
                <w:sz w:val="20"/>
                <w:szCs w:val="20"/>
              </w:rPr>
            </w:pPr>
            <w:r>
              <w:rPr>
                <w:rFonts w:cs="Arial"/>
                <w:color w:val="000000"/>
                <w:sz w:val="20"/>
                <w:szCs w:val="20"/>
              </w:rPr>
              <w:t>Surveys and interviews with government officials</w:t>
            </w:r>
          </w:p>
        </w:tc>
      </w:tr>
      <w:tr w:rsidR="008D4208" w:rsidRPr="0068330F" w14:paraId="01E8BA37" w14:textId="77777777" w:rsidTr="003A5657">
        <w:trPr>
          <w:trHeight w:val="1834"/>
          <w:jc w:val="center"/>
        </w:trPr>
        <w:tc>
          <w:tcPr>
            <w:tcW w:w="3684" w:type="dxa"/>
            <w:vAlign w:val="center"/>
          </w:tcPr>
          <w:p w14:paraId="7A282F32" w14:textId="77777777" w:rsidR="008D4208" w:rsidRPr="0068330F" w:rsidRDefault="008D4208" w:rsidP="003A5657">
            <w:pPr>
              <w:rPr>
                <w:rFonts w:cs="Arial"/>
                <w:color w:val="000000"/>
                <w:sz w:val="20"/>
                <w:szCs w:val="20"/>
              </w:rPr>
            </w:pPr>
            <w:r w:rsidRPr="0068330F">
              <w:rPr>
                <w:rFonts w:cs="Arial"/>
                <w:color w:val="000000"/>
                <w:sz w:val="20"/>
                <w:szCs w:val="20"/>
              </w:rPr>
              <w:t xml:space="preserve">What has </w:t>
            </w:r>
            <w:proofErr w:type="spellStart"/>
            <w:r w:rsidRPr="0068330F">
              <w:rPr>
                <w:rFonts w:cs="Arial"/>
                <w:color w:val="000000"/>
                <w:sz w:val="20"/>
                <w:szCs w:val="20"/>
              </w:rPr>
              <w:t>the</w:t>
            </w:r>
            <w:proofErr w:type="spellEnd"/>
            <w:r w:rsidRPr="0068330F">
              <w:rPr>
                <w:rFonts w:cs="Arial"/>
                <w:color w:val="000000"/>
                <w:sz w:val="20"/>
                <w:szCs w:val="20"/>
              </w:rPr>
              <w:t xml:space="preserve"> been the economic and social impact from research findings, new products, processes or services generated by the SPF?</w:t>
            </w:r>
          </w:p>
        </w:tc>
        <w:tc>
          <w:tcPr>
            <w:tcW w:w="5672" w:type="dxa"/>
            <w:vAlign w:val="center"/>
          </w:tcPr>
          <w:p w14:paraId="72A796FC" w14:textId="77777777" w:rsidR="008D4208" w:rsidRPr="0068330F" w:rsidRDefault="008D4208" w:rsidP="00CC2E60">
            <w:pPr>
              <w:numPr>
                <w:ilvl w:val="0"/>
                <w:numId w:val="12"/>
              </w:numPr>
              <w:rPr>
                <w:rFonts w:cs="Arial"/>
                <w:color w:val="000000"/>
                <w:sz w:val="20"/>
                <w:szCs w:val="20"/>
              </w:rPr>
            </w:pPr>
            <w:r w:rsidRPr="0068330F">
              <w:rPr>
                <w:rFonts w:cs="Arial"/>
                <w:color w:val="000000"/>
                <w:sz w:val="20"/>
                <w:szCs w:val="20"/>
              </w:rPr>
              <w:t>Value / share of turnover based on innovations arising from collaborative projects</w:t>
            </w:r>
          </w:p>
          <w:p w14:paraId="22582B46" w14:textId="77777777" w:rsidR="008D4208" w:rsidRPr="0068330F" w:rsidRDefault="008D4208" w:rsidP="00CC2E60">
            <w:pPr>
              <w:numPr>
                <w:ilvl w:val="0"/>
                <w:numId w:val="12"/>
              </w:numPr>
              <w:rPr>
                <w:rFonts w:cs="Arial"/>
                <w:color w:val="000000"/>
                <w:sz w:val="20"/>
                <w:szCs w:val="20"/>
              </w:rPr>
            </w:pPr>
            <w:r w:rsidRPr="0068330F">
              <w:rPr>
                <w:rFonts w:cs="Arial"/>
                <w:color w:val="000000"/>
                <w:sz w:val="20"/>
                <w:szCs w:val="20"/>
              </w:rPr>
              <w:t>Additional employment</w:t>
            </w:r>
          </w:p>
          <w:p w14:paraId="2B80DB4C" w14:textId="77777777" w:rsidR="008D4208" w:rsidRDefault="008D4208" w:rsidP="00CC2E60">
            <w:pPr>
              <w:numPr>
                <w:ilvl w:val="0"/>
                <w:numId w:val="12"/>
              </w:numPr>
              <w:rPr>
                <w:rFonts w:cs="Arial"/>
                <w:color w:val="000000"/>
                <w:sz w:val="20"/>
                <w:szCs w:val="20"/>
              </w:rPr>
            </w:pPr>
            <w:r w:rsidRPr="0068330F">
              <w:rPr>
                <w:rFonts w:cs="Arial"/>
                <w:color w:val="000000"/>
                <w:sz w:val="20"/>
                <w:szCs w:val="20"/>
              </w:rPr>
              <w:t>New additional non-R&amp;D investment</w:t>
            </w:r>
          </w:p>
          <w:p w14:paraId="0969B54D" w14:textId="77777777" w:rsidR="008D4208" w:rsidRDefault="008D4208" w:rsidP="00CC2E60">
            <w:pPr>
              <w:numPr>
                <w:ilvl w:val="0"/>
                <w:numId w:val="12"/>
              </w:numPr>
              <w:rPr>
                <w:rFonts w:cs="Arial"/>
                <w:color w:val="000000"/>
                <w:sz w:val="20"/>
                <w:szCs w:val="20"/>
              </w:rPr>
            </w:pPr>
            <w:r>
              <w:rPr>
                <w:rFonts w:cs="Arial"/>
                <w:color w:val="000000"/>
                <w:sz w:val="20"/>
                <w:szCs w:val="20"/>
              </w:rPr>
              <w:t xml:space="preserve">Intellectual </w:t>
            </w:r>
            <w:proofErr w:type="spellStart"/>
            <w:r>
              <w:rPr>
                <w:rFonts w:cs="Arial"/>
                <w:color w:val="000000"/>
                <w:sz w:val="20"/>
                <w:szCs w:val="20"/>
              </w:rPr>
              <w:t>Proprty</w:t>
            </w:r>
            <w:proofErr w:type="spellEnd"/>
            <w:r>
              <w:rPr>
                <w:rFonts w:cs="Arial"/>
                <w:color w:val="000000"/>
                <w:sz w:val="20"/>
                <w:szCs w:val="20"/>
              </w:rPr>
              <w:t>, spinouts, commercial revenue (etc.) enabled by SPF investment activity</w:t>
            </w:r>
          </w:p>
          <w:p w14:paraId="375CF169" w14:textId="77777777" w:rsidR="008D4208" w:rsidRDefault="008D4208" w:rsidP="00CC2E60">
            <w:pPr>
              <w:numPr>
                <w:ilvl w:val="0"/>
                <w:numId w:val="12"/>
              </w:numPr>
              <w:rPr>
                <w:rFonts w:cs="Arial"/>
                <w:color w:val="000000"/>
                <w:sz w:val="20"/>
                <w:szCs w:val="20"/>
              </w:rPr>
            </w:pPr>
            <w:r>
              <w:rPr>
                <w:rFonts w:cs="Arial"/>
                <w:color w:val="000000"/>
                <w:sz w:val="20"/>
                <w:szCs w:val="20"/>
              </w:rPr>
              <w:t>Gross Value Added, Gross Domestic Product or productivity increases enabled by the SPF at the national and sub-national level</w:t>
            </w:r>
          </w:p>
          <w:p w14:paraId="03A629F5" w14:textId="77777777" w:rsidR="008D4208" w:rsidRDefault="008D4208" w:rsidP="00CC2E60">
            <w:pPr>
              <w:numPr>
                <w:ilvl w:val="0"/>
                <w:numId w:val="12"/>
              </w:numPr>
              <w:rPr>
                <w:rFonts w:cs="Arial"/>
                <w:color w:val="000000"/>
                <w:sz w:val="20"/>
                <w:szCs w:val="20"/>
              </w:rPr>
            </w:pPr>
            <w:r>
              <w:rPr>
                <w:rFonts w:cs="Arial"/>
                <w:color w:val="000000"/>
                <w:sz w:val="20"/>
                <w:szCs w:val="20"/>
              </w:rPr>
              <w:t>Research infrastructure, researcher positions, partnerships, secondments, R&amp;I investment enabled by the SPF</w:t>
            </w:r>
          </w:p>
          <w:p w14:paraId="18A44332" w14:textId="77777777" w:rsidR="008D4208" w:rsidRDefault="008D4208" w:rsidP="00CC2E60">
            <w:pPr>
              <w:numPr>
                <w:ilvl w:val="0"/>
                <w:numId w:val="12"/>
              </w:numPr>
              <w:rPr>
                <w:rFonts w:cs="Arial"/>
                <w:color w:val="000000"/>
                <w:sz w:val="20"/>
                <w:szCs w:val="20"/>
              </w:rPr>
            </w:pPr>
            <w:r>
              <w:rPr>
                <w:rFonts w:cs="Arial"/>
                <w:color w:val="000000"/>
                <w:sz w:val="20"/>
                <w:szCs w:val="20"/>
              </w:rPr>
              <w:t>Research publications, tools, methods, datasets, awards, recognitions, discoveries (etc.) enabled by the SPF</w:t>
            </w:r>
          </w:p>
          <w:p w14:paraId="70B28890" w14:textId="77777777" w:rsidR="008D4208" w:rsidRDefault="008D4208" w:rsidP="00CC2E60">
            <w:pPr>
              <w:numPr>
                <w:ilvl w:val="0"/>
                <w:numId w:val="12"/>
              </w:numPr>
              <w:rPr>
                <w:rFonts w:cs="Arial"/>
                <w:color w:val="000000"/>
                <w:sz w:val="20"/>
                <w:szCs w:val="20"/>
              </w:rPr>
            </w:pPr>
            <w:r>
              <w:rPr>
                <w:rFonts w:cs="Arial"/>
                <w:color w:val="000000"/>
                <w:sz w:val="20"/>
                <w:szCs w:val="20"/>
              </w:rPr>
              <w:t>Medical, software, environmental, artistic and cultural products and services enabled by SPF investment activity</w:t>
            </w:r>
          </w:p>
          <w:p w14:paraId="0C2DED62" w14:textId="77777777" w:rsidR="008D4208" w:rsidRDefault="008D4208" w:rsidP="00CC2E60">
            <w:pPr>
              <w:numPr>
                <w:ilvl w:val="0"/>
                <w:numId w:val="12"/>
              </w:numPr>
              <w:rPr>
                <w:rFonts w:cs="Arial"/>
                <w:color w:val="000000"/>
                <w:sz w:val="20"/>
                <w:szCs w:val="20"/>
              </w:rPr>
            </w:pPr>
            <w:r>
              <w:rPr>
                <w:rFonts w:cs="Arial"/>
                <w:color w:val="000000"/>
                <w:sz w:val="20"/>
                <w:szCs w:val="20"/>
              </w:rPr>
              <w:t>Policy decisions supported by SPF-enabled research and innovation</w:t>
            </w:r>
          </w:p>
          <w:p w14:paraId="58F87FD3" w14:textId="77777777" w:rsidR="008D4208" w:rsidRPr="0068330F" w:rsidRDefault="008D4208" w:rsidP="00CC2E60">
            <w:pPr>
              <w:numPr>
                <w:ilvl w:val="0"/>
                <w:numId w:val="12"/>
              </w:numPr>
              <w:rPr>
                <w:rFonts w:cs="Arial"/>
                <w:color w:val="000000"/>
                <w:sz w:val="20"/>
                <w:szCs w:val="20"/>
              </w:rPr>
            </w:pPr>
            <w:r>
              <w:rPr>
                <w:rFonts w:cs="Arial"/>
                <w:color w:val="000000"/>
                <w:sz w:val="20"/>
                <w:szCs w:val="20"/>
              </w:rPr>
              <w:t>Wellbeing measures</w:t>
            </w:r>
          </w:p>
        </w:tc>
        <w:tc>
          <w:tcPr>
            <w:tcW w:w="3969" w:type="dxa"/>
            <w:vAlign w:val="center"/>
          </w:tcPr>
          <w:p w14:paraId="504C9678" w14:textId="77777777" w:rsidR="008D4208" w:rsidRDefault="008D4208" w:rsidP="00CC2E60">
            <w:pPr>
              <w:pStyle w:val="ListParagraph"/>
              <w:numPr>
                <w:ilvl w:val="0"/>
                <w:numId w:val="12"/>
              </w:numPr>
              <w:rPr>
                <w:rFonts w:cs="Arial"/>
                <w:color w:val="000000"/>
                <w:sz w:val="20"/>
                <w:szCs w:val="20"/>
              </w:rPr>
            </w:pPr>
            <w:r>
              <w:rPr>
                <w:rFonts w:cs="Arial"/>
                <w:color w:val="000000"/>
                <w:sz w:val="20"/>
                <w:szCs w:val="20"/>
              </w:rPr>
              <w:t>ONS economic data</w:t>
            </w:r>
          </w:p>
          <w:p w14:paraId="25356B1D" w14:textId="77777777" w:rsidR="008D4208" w:rsidRDefault="008D4208" w:rsidP="00CC2E60">
            <w:pPr>
              <w:pStyle w:val="ListParagraph"/>
              <w:numPr>
                <w:ilvl w:val="0"/>
                <w:numId w:val="12"/>
              </w:numPr>
              <w:rPr>
                <w:rFonts w:cs="Arial"/>
                <w:color w:val="000000"/>
                <w:sz w:val="20"/>
                <w:szCs w:val="20"/>
              </w:rPr>
            </w:pPr>
            <w:r>
              <w:rPr>
                <w:rFonts w:cs="Arial"/>
                <w:color w:val="000000"/>
                <w:sz w:val="20"/>
                <w:szCs w:val="20"/>
              </w:rPr>
              <w:t>ORCID and online CV data</w:t>
            </w:r>
          </w:p>
          <w:p w14:paraId="0D5AF222" w14:textId="77777777" w:rsidR="008D4208" w:rsidRDefault="008D4208" w:rsidP="00CC2E60">
            <w:pPr>
              <w:pStyle w:val="ListParagraph"/>
              <w:numPr>
                <w:ilvl w:val="0"/>
                <w:numId w:val="12"/>
              </w:numPr>
              <w:rPr>
                <w:rFonts w:cs="Arial"/>
                <w:color w:val="000000"/>
                <w:sz w:val="20"/>
                <w:szCs w:val="20"/>
              </w:rPr>
            </w:pPr>
            <w:r>
              <w:rPr>
                <w:rFonts w:cs="Arial"/>
                <w:color w:val="000000"/>
                <w:sz w:val="20"/>
                <w:szCs w:val="20"/>
              </w:rPr>
              <w:t>Outcome monitoring data</w:t>
            </w:r>
          </w:p>
          <w:p w14:paraId="7507B779" w14:textId="77777777" w:rsidR="008D4208" w:rsidRDefault="008D4208" w:rsidP="00CC2E60">
            <w:pPr>
              <w:pStyle w:val="ListParagraph"/>
              <w:numPr>
                <w:ilvl w:val="0"/>
                <w:numId w:val="12"/>
              </w:numPr>
              <w:rPr>
                <w:rFonts w:cs="Arial"/>
                <w:color w:val="000000"/>
                <w:sz w:val="20"/>
                <w:szCs w:val="20"/>
              </w:rPr>
            </w:pPr>
            <w:r>
              <w:rPr>
                <w:rFonts w:cs="Arial"/>
                <w:color w:val="000000"/>
                <w:sz w:val="20"/>
                <w:szCs w:val="20"/>
              </w:rPr>
              <w:t>Baseline data questions</w:t>
            </w:r>
          </w:p>
          <w:p w14:paraId="441694D8" w14:textId="77777777" w:rsidR="008D4208" w:rsidRDefault="008D4208" w:rsidP="00CC2E60">
            <w:pPr>
              <w:pStyle w:val="ListParagraph"/>
              <w:numPr>
                <w:ilvl w:val="0"/>
                <w:numId w:val="12"/>
              </w:numPr>
              <w:rPr>
                <w:rFonts w:cs="Arial"/>
                <w:color w:val="000000"/>
                <w:sz w:val="20"/>
                <w:szCs w:val="20"/>
              </w:rPr>
            </w:pPr>
            <w:proofErr w:type="spellStart"/>
            <w:r>
              <w:rPr>
                <w:rFonts w:cs="Arial"/>
                <w:color w:val="000000"/>
                <w:sz w:val="20"/>
                <w:szCs w:val="20"/>
              </w:rPr>
              <w:t>Wellcome</w:t>
            </w:r>
            <w:proofErr w:type="spellEnd"/>
            <w:r>
              <w:rPr>
                <w:rFonts w:cs="Arial"/>
                <w:color w:val="000000"/>
                <w:sz w:val="20"/>
                <w:szCs w:val="20"/>
              </w:rPr>
              <w:t>/UKRI Policy Tool</w:t>
            </w:r>
          </w:p>
          <w:p w14:paraId="3158EDEC" w14:textId="77777777" w:rsidR="008D4208" w:rsidRDefault="008D4208" w:rsidP="00CC2E60">
            <w:pPr>
              <w:pStyle w:val="ListParagraph"/>
              <w:numPr>
                <w:ilvl w:val="0"/>
                <w:numId w:val="12"/>
              </w:numPr>
              <w:rPr>
                <w:rFonts w:cs="Arial"/>
                <w:color w:val="000000"/>
                <w:sz w:val="20"/>
                <w:szCs w:val="20"/>
              </w:rPr>
            </w:pPr>
            <w:r>
              <w:rPr>
                <w:rFonts w:cs="Arial"/>
                <w:color w:val="000000"/>
                <w:sz w:val="20"/>
                <w:szCs w:val="20"/>
              </w:rPr>
              <w:t>REF case studies</w:t>
            </w:r>
          </w:p>
          <w:p w14:paraId="3BAC4D34" w14:textId="77777777" w:rsidR="008D4208" w:rsidRDefault="008D4208" w:rsidP="00CC2E60">
            <w:pPr>
              <w:pStyle w:val="ListParagraph"/>
              <w:numPr>
                <w:ilvl w:val="0"/>
                <w:numId w:val="12"/>
              </w:numPr>
              <w:rPr>
                <w:rFonts w:cs="Arial"/>
                <w:color w:val="000000"/>
                <w:sz w:val="20"/>
                <w:szCs w:val="20"/>
              </w:rPr>
            </w:pPr>
            <w:r>
              <w:rPr>
                <w:rFonts w:cs="Arial"/>
                <w:color w:val="000000"/>
                <w:sz w:val="20"/>
                <w:szCs w:val="20"/>
              </w:rPr>
              <w:t>Surveys and interviews with SPF researchers</w:t>
            </w:r>
          </w:p>
          <w:p w14:paraId="5C1A8EE4" w14:textId="77777777" w:rsidR="008D4208" w:rsidRPr="00CB2FD4" w:rsidRDefault="008D4208" w:rsidP="00CC2E60">
            <w:pPr>
              <w:pStyle w:val="ListParagraph"/>
              <w:numPr>
                <w:ilvl w:val="0"/>
                <w:numId w:val="12"/>
              </w:numPr>
              <w:rPr>
                <w:rFonts w:cs="Arial"/>
                <w:color w:val="000000"/>
                <w:sz w:val="20"/>
                <w:szCs w:val="20"/>
              </w:rPr>
            </w:pPr>
            <w:proofErr w:type="spellStart"/>
            <w:r>
              <w:rPr>
                <w:rFonts w:cs="Arial"/>
                <w:color w:val="000000"/>
                <w:sz w:val="20"/>
                <w:szCs w:val="20"/>
              </w:rPr>
              <w:t>researchfish</w:t>
            </w:r>
            <w:proofErr w:type="spellEnd"/>
            <w:r>
              <w:rPr>
                <w:rFonts w:cs="Arial"/>
                <w:color w:val="000000"/>
                <w:sz w:val="20"/>
                <w:szCs w:val="20"/>
              </w:rPr>
              <w:t xml:space="preserve"> ® and IFS data (to identify collaborations/interactions with businesses)</w:t>
            </w:r>
          </w:p>
        </w:tc>
      </w:tr>
    </w:tbl>
    <w:p w14:paraId="583C8D58" w14:textId="77777777" w:rsidR="008D4208" w:rsidRDefault="008D4208" w:rsidP="008D4208">
      <w:pPr>
        <w:sectPr w:rsidR="008D4208" w:rsidSect="00032E4F">
          <w:pgSz w:w="15840" w:h="12240" w:orient="landscape"/>
          <w:pgMar w:top="1304" w:right="851" w:bottom="1304" w:left="567" w:header="720" w:footer="720" w:gutter="0"/>
          <w:cols w:space="720"/>
          <w:docGrid w:linePitch="360"/>
        </w:sectPr>
      </w:pPr>
    </w:p>
    <w:p w14:paraId="2607601C" w14:textId="77777777" w:rsidR="008D4208" w:rsidRDefault="008D4208" w:rsidP="008D4208">
      <w:pPr>
        <w:pStyle w:val="Heading1"/>
        <w:ind w:left="432" w:hanging="432"/>
      </w:pPr>
      <w:bookmarkStart w:id="75" w:name="_Ref14447219"/>
      <w:bookmarkStart w:id="76" w:name="_Toc35960452"/>
      <w:r>
        <w:lastRenderedPageBreak/>
        <w:t>Annex C: Illustrative ‘menu’ of impact evaluation approaches</w:t>
      </w:r>
      <w:bookmarkEnd w:id="75"/>
      <w:bookmarkEnd w:id="76"/>
    </w:p>
    <w:tbl>
      <w:tblPr>
        <w:tblStyle w:val="GridTable4-Accent5"/>
        <w:tblW w:w="0" w:type="auto"/>
        <w:tblLook w:val="04A0" w:firstRow="1" w:lastRow="0" w:firstColumn="1" w:lastColumn="0" w:noHBand="0" w:noVBand="1"/>
      </w:tblPr>
      <w:tblGrid>
        <w:gridCol w:w="2405"/>
        <w:gridCol w:w="2405"/>
        <w:gridCol w:w="2406"/>
        <w:gridCol w:w="2406"/>
      </w:tblGrid>
      <w:tr w:rsidR="008D4208" w:rsidRPr="00DD7C0F" w14:paraId="65E94957" w14:textId="77777777" w:rsidTr="003A56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3FED550" w14:textId="77777777" w:rsidR="008D4208" w:rsidRPr="00DD7C0F" w:rsidRDefault="008D4208" w:rsidP="003A5657">
            <w:pPr>
              <w:spacing w:after="200"/>
              <w:rPr>
                <w:sz w:val="18"/>
              </w:rPr>
            </w:pPr>
            <w:r w:rsidRPr="00DD7C0F">
              <w:rPr>
                <w:sz w:val="18"/>
              </w:rPr>
              <w:t>Method</w:t>
            </w:r>
          </w:p>
        </w:tc>
        <w:tc>
          <w:tcPr>
            <w:tcW w:w="2405" w:type="dxa"/>
          </w:tcPr>
          <w:p w14:paraId="624A07F2" w14:textId="77777777" w:rsidR="008D4208" w:rsidRPr="00DD7C0F" w:rsidRDefault="008D4208" w:rsidP="003A5657">
            <w:pPr>
              <w:spacing w:after="200"/>
              <w:cnfStyle w:val="100000000000" w:firstRow="1" w:lastRow="0" w:firstColumn="0" w:lastColumn="0" w:oddVBand="0" w:evenVBand="0" w:oddHBand="0" w:evenHBand="0" w:firstRowFirstColumn="0" w:firstRowLastColumn="0" w:lastRowFirstColumn="0" w:lastRowLastColumn="0"/>
              <w:rPr>
                <w:sz w:val="18"/>
              </w:rPr>
            </w:pPr>
            <w:r w:rsidRPr="00DD7C0F">
              <w:rPr>
                <w:sz w:val="18"/>
              </w:rPr>
              <w:t>What contribution will this make to the evaluation if applied?</w:t>
            </w:r>
          </w:p>
        </w:tc>
        <w:tc>
          <w:tcPr>
            <w:tcW w:w="2406" w:type="dxa"/>
          </w:tcPr>
          <w:p w14:paraId="4D1FBD5C" w14:textId="77777777" w:rsidR="008D4208" w:rsidRPr="00DD7C0F" w:rsidRDefault="008D4208" w:rsidP="003A5657">
            <w:pPr>
              <w:spacing w:after="200"/>
              <w:cnfStyle w:val="100000000000" w:firstRow="1" w:lastRow="0" w:firstColumn="0" w:lastColumn="0" w:oddVBand="0" w:evenVBand="0" w:oddHBand="0" w:evenHBand="0" w:firstRowFirstColumn="0" w:firstRowLastColumn="0" w:lastRowFirstColumn="0" w:lastRowLastColumn="0"/>
              <w:rPr>
                <w:sz w:val="18"/>
              </w:rPr>
            </w:pPr>
            <w:r w:rsidRPr="00DD7C0F">
              <w:rPr>
                <w:sz w:val="18"/>
              </w:rPr>
              <w:t>What’s required to implement this method, e.g. baseline business data?</w:t>
            </w:r>
          </w:p>
        </w:tc>
        <w:tc>
          <w:tcPr>
            <w:tcW w:w="2406" w:type="dxa"/>
          </w:tcPr>
          <w:p w14:paraId="55B04238" w14:textId="77777777" w:rsidR="008D4208" w:rsidRPr="00DD7C0F" w:rsidRDefault="008D4208" w:rsidP="003A5657">
            <w:pPr>
              <w:spacing w:after="200"/>
              <w:cnfStyle w:val="100000000000" w:firstRow="1" w:lastRow="0" w:firstColumn="0" w:lastColumn="0" w:oddVBand="0" w:evenVBand="0" w:oddHBand="0" w:evenHBand="0" w:firstRowFirstColumn="0" w:firstRowLastColumn="0" w:lastRowFirstColumn="0" w:lastRowLastColumn="0"/>
              <w:rPr>
                <w:sz w:val="18"/>
              </w:rPr>
            </w:pPr>
            <w:r w:rsidRPr="00DD7C0F">
              <w:rPr>
                <w:sz w:val="18"/>
              </w:rPr>
              <w:t>Potential issues</w:t>
            </w:r>
          </w:p>
        </w:tc>
      </w:tr>
      <w:tr w:rsidR="008D4208" w:rsidRPr="00DD7C0F" w14:paraId="71EDF9A6" w14:textId="77777777" w:rsidTr="003A5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1AF7721" w14:textId="77777777" w:rsidR="008D4208" w:rsidRPr="00DD7C0F" w:rsidRDefault="008D4208" w:rsidP="003A5657">
            <w:pPr>
              <w:spacing w:after="200"/>
              <w:rPr>
                <w:sz w:val="18"/>
              </w:rPr>
            </w:pPr>
            <w:r w:rsidRPr="00DD7C0F">
              <w:rPr>
                <w:sz w:val="18"/>
              </w:rPr>
              <w:t>Econometric analysis via difference-in-differences</w:t>
            </w:r>
          </w:p>
        </w:tc>
        <w:tc>
          <w:tcPr>
            <w:tcW w:w="2405" w:type="dxa"/>
          </w:tcPr>
          <w:p w14:paraId="037A15BE" w14:textId="77777777" w:rsidR="008D4208" w:rsidRPr="00DD7C0F" w:rsidRDefault="008D4208" w:rsidP="003A5657">
            <w:pPr>
              <w:spacing w:after="200"/>
              <w:cnfStyle w:val="000000100000" w:firstRow="0" w:lastRow="0" w:firstColumn="0" w:lastColumn="0" w:oddVBand="0" w:evenVBand="0" w:oddHBand="1" w:evenHBand="0" w:firstRowFirstColumn="0" w:firstRowLastColumn="0" w:lastRowFirstColumn="0" w:lastRowLastColumn="0"/>
              <w:rPr>
                <w:sz w:val="18"/>
              </w:rPr>
            </w:pPr>
            <w:r>
              <w:rPr>
                <w:sz w:val="18"/>
              </w:rPr>
              <w:t>A quantitative measure of changes in inputs, activities, outputs, and outcomes, that compares those involved in the SPF with a counterfactual</w:t>
            </w:r>
          </w:p>
        </w:tc>
        <w:tc>
          <w:tcPr>
            <w:tcW w:w="2406" w:type="dxa"/>
          </w:tcPr>
          <w:p w14:paraId="7DA0CAF3" w14:textId="77777777" w:rsidR="008D4208" w:rsidRDefault="008D4208" w:rsidP="003A5657">
            <w:pPr>
              <w:spacing w:after="200"/>
              <w:cnfStyle w:val="000000100000" w:firstRow="0" w:lastRow="0" w:firstColumn="0" w:lastColumn="0" w:oddVBand="0" w:evenVBand="0" w:oddHBand="1" w:evenHBand="0" w:firstRowFirstColumn="0" w:firstRowLastColumn="0" w:lastRowFirstColumn="0" w:lastRowLastColumn="0"/>
              <w:rPr>
                <w:sz w:val="18"/>
              </w:rPr>
            </w:pPr>
            <w:r>
              <w:rPr>
                <w:sz w:val="18"/>
              </w:rPr>
              <w:t>A careful consideration of the counterfactual – such as unsuccessful competition applicants.</w:t>
            </w:r>
          </w:p>
          <w:p w14:paraId="1C96BD92" w14:textId="77777777" w:rsidR="008D4208" w:rsidRPr="00DD7C0F" w:rsidRDefault="008D4208" w:rsidP="003A5657">
            <w:pPr>
              <w:spacing w:after="200"/>
              <w:cnfStyle w:val="000000100000" w:firstRow="0" w:lastRow="0" w:firstColumn="0" w:lastColumn="0" w:oddVBand="0" w:evenVBand="0" w:oddHBand="1" w:evenHBand="0" w:firstRowFirstColumn="0" w:firstRowLastColumn="0" w:lastRowFirstColumn="0" w:lastRowLastColumn="0"/>
              <w:rPr>
                <w:sz w:val="18"/>
              </w:rPr>
            </w:pPr>
            <w:r>
              <w:rPr>
                <w:sz w:val="18"/>
              </w:rPr>
              <w:t>A sufficient sample size in both the control and treatment groups</w:t>
            </w:r>
          </w:p>
        </w:tc>
        <w:tc>
          <w:tcPr>
            <w:tcW w:w="2406" w:type="dxa"/>
          </w:tcPr>
          <w:p w14:paraId="5DF35617" w14:textId="77777777" w:rsidR="008D4208" w:rsidRDefault="008D4208" w:rsidP="003A5657">
            <w:pPr>
              <w:spacing w:after="200"/>
              <w:cnfStyle w:val="000000100000" w:firstRow="0" w:lastRow="0" w:firstColumn="0" w:lastColumn="0" w:oddVBand="0" w:evenVBand="0" w:oddHBand="1" w:evenHBand="0" w:firstRowFirstColumn="0" w:firstRowLastColumn="0" w:lastRowFirstColumn="0" w:lastRowLastColumn="0"/>
              <w:rPr>
                <w:sz w:val="18"/>
              </w:rPr>
            </w:pPr>
            <w:r>
              <w:rPr>
                <w:sz w:val="18"/>
              </w:rPr>
              <w:t>Sample size to allow statistically significant results.</w:t>
            </w:r>
          </w:p>
          <w:p w14:paraId="5B3A9834" w14:textId="77777777" w:rsidR="008D4208" w:rsidRPr="00DD7C0F" w:rsidRDefault="008D4208" w:rsidP="003A5657">
            <w:pPr>
              <w:spacing w:after="200"/>
              <w:cnfStyle w:val="000000100000" w:firstRow="0" w:lastRow="0" w:firstColumn="0" w:lastColumn="0" w:oddVBand="0" w:evenVBand="0" w:oddHBand="1" w:evenHBand="0" w:firstRowFirstColumn="0" w:firstRowLastColumn="0" w:lastRowFirstColumn="0" w:lastRowLastColumn="0"/>
              <w:rPr>
                <w:sz w:val="18"/>
              </w:rPr>
            </w:pPr>
            <w:r>
              <w:rPr>
                <w:sz w:val="18"/>
              </w:rPr>
              <w:t>Skewed impacts across the beneficiaries may reduce the statistical significance of any findings</w:t>
            </w:r>
          </w:p>
        </w:tc>
      </w:tr>
      <w:tr w:rsidR="008D4208" w:rsidRPr="00DD7C0F" w14:paraId="5624B67F" w14:textId="77777777" w:rsidTr="003A5657">
        <w:tc>
          <w:tcPr>
            <w:cnfStyle w:val="001000000000" w:firstRow="0" w:lastRow="0" w:firstColumn="1" w:lastColumn="0" w:oddVBand="0" w:evenVBand="0" w:oddHBand="0" w:evenHBand="0" w:firstRowFirstColumn="0" w:firstRowLastColumn="0" w:lastRowFirstColumn="0" w:lastRowLastColumn="0"/>
            <w:tcW w:w="2405" w:type="dxa"/>
          </w:tcPr>
          <w:p w14:paraId="518F51AF" w14:textId="77777777" w:rsidR="008D4208" w:rsidRPr="00DD7C0F" w:rsidRDefault="008D4208" w:rsidP="003A5657">
            <w:pPr>
              <w:spacing w:after="200"/>
              <w:rPr>
                <w:sz w:val="18"/>
              </w:rPr>
            </w:pPr>
            <w:r>
              <w:rPr>
                <w:sz w:val="18"/>
              </w:rPr>
              <w:t>Regression Discontinuity Design</w:t>
            </w:r>
          </w:p>
        </w:tc>
        <w:tc>
          <w:tcPr>
            <w:tcW w:w="2405" w:type="dxa"/>
          </w:tcPr>
          <w:p w14:paraId="023D9480" w14:textId="77777777" w:rsidR="008D4208" w:rsidRPr="00DD7C0F" w:rsidRDefault="008D4208" w:rsidP="003A5657">
            <w:pPr>
              <w:spacing w:after="200"/>
              <w:cnfStyle w:val="000000000000" w:firstRow="0" w:lastRow="0" w:firstColumn="0" w:lastColumn="0" w:oddVBand="0" w:evenVBand="0" w:oddHBand="0" w:evenHBand="0" w:firstRowFirstColumn="0" w:firstRowLastColumn="0" w:lastRowFirstColumn="0" w:lastRowLastColumn="0"/>
              <w:rPr>
                <w:sz w:val="18"/>
              </w:rPr>
            </w:pPr>
            <w:r>
              <w:rPr>
                <w:sz w:val="18"/>
              </w:rPr>
              <w:t>Provides a robust, near-</w:t>
            </w:r>
            <w:proofErr w:type="spellStart"/>
            <w:r>
              <w:rPr>
                <w:sz w:val="18"/>
              </w:rPr>
              <w:t>randomised</w:t>
            </w:r>
            <w:proofErr w:type="spellEnd"/>
            <w:r>
              <w:rPr>
                <w:sz w:val="18"/>
              </w:rPr>
              <w:t>, quantitative approach to measuring additional impact at the margin.</w:t>
            </w:r>
          </w:p>
        </w:tc>
        <w:tc>
          <w:tcPr>
            <w:tcW w:w="2406" w:type="dxa"/>
          </w:tcPr>
          <w:p w14:paraId="0F769186" w14:textId="77777777" w:rsidR="008D4208" w:rsidRDefault="008D4208" w:rsidP="003A5657">
            <w:pPr>
              <w:spacing w:after="200"/>
              <w:cnfStyle w:val="000000000000" w:firstRow="0" w:lastRow="0" w:firstColumn="0" w:lastColumn="0" w:oddVBand="0" w:evenVBand="0" w:oddHBand="0" w:evenHBand="0" w:firstRowFirstColumn="0" w:firstRowLastColumn="0" w:lastRowFirstColumn="0" w:lastRowLastColumn="0"/>
              <w:rPr>
                <w:sz w:val="18"/>
              </w:rPr>
            </w:pPr>
            <w:r>
              <w:rPr>
                <w:sz w:val="18"/>
              </w:rPr>
              <w:t>A clear threshold between successful and unsuccessful applicants, e.g. through a quality threshold below which applications do not receive funding.</w:t>
            </w:r>
          </w:p>
          <w:p w14:paraId="52B97CCD" w14:textId="77777777" w:rsidR="008D4208" w:rsidRPr="00DD7C0F" w:rsidRDefault="008D4208" w:rsidP="003A5657">
            <w:pPr>
              <w:spacing w:after="200"/>
              <w:cnfStyle w:val="000000000000" w:firstRow="0" w:lastRow="0" w:firstColumn="0" w:lastColumn="0" w:oddVBand="0" w:evenVBand="0" w:oddHBand="0" w:evenHBand="0" w:firstRowFirstColumn="0" w:firstRowLastColumn="0" w:lastRowFirstColumn="0" w:lastRowLastColumn="0"/>
              <w:rPr>
                <w:sz w:val="18"/>
              </w:rPr>
            </w:pPr>
            <w:r>
              <w:rPr>
                <w:sz w:val="18"/>
              </w:rPr>
              <w:t>A sufficient sample size of applicants at the margin of this threshold.</w:t>
            </w:r>
          </w:p>
        </w:tc>
        <w:tc>
          <w:tcPr>
            <w:tcW w:w="2406" w:type="dxa"/>
          </w:tcPr>
          <w:p w14:paraId="30F59B04" w14:textId="77777777" w:rsidR="008D4208" w:rsidRDefault="008D4208" w:rsidP="003A5657">
            <w:pPr>
              <w:spacing w:after="200"/>
              <w:cnfStyle w:val="000000000000" w:firstRow="0" w:lastRow="0" w:firstColumn="0" w:lastColumn="0" w:oddVBand="0" w:evenVBand="0" w:oddHBand="0" w:evenHBand="0" w:firstRowFirstColumn="0" w:firstRowLastColumn="0" w:lastRowFirstColumn="0" w:lastRowLastColumn="0"/>
              <w:rPr>
                <w:sz w:val="18"/>
              </w:rPr>
            </w:pPr>
            <w:r>
              <w:rPr>
                <w:sz w:val="18"/>
              </w:rPr>
              <w:t>Sample size to allow statistically significant results.</w:t>
            </w:r>
          </w:p>
          <w:p w14:paraId="5948BA6C" w14:textId="77777777" w:rsidR="008D4208" w:rsidRPr="00DD7C0F" w:rsidRDefault="008D4208" w:rsidP="003A5657">
            <w:pPr>
              <w:spacing w:after="200"/>
              <w:cnfStyle w:val="000000000000" w:firstRow="0" w:lastRow="0" w:firstColumn="0" w:lastColumn="0" w:oddVBand="0" w:evenVBand="0" w:oddHBand="0" w:evenHBand="0" w:firstRowFirstColumn="0" w:firstRowLastColumn="0" w:lastRowFirstColumn="0" w:lastRowLastColumn="0"/>
              <w:rPr>
                <w:sz w:val="18"/>
              </w:rPr>
            </w:pPr>
            <w:r>
              <w:rPr>
                <w:sz w:val="18"/>
              </w:rPr>
              <w:t>Skewed impacts across the beneficiaries may reduce the statistical significance of any findings, though robust sample selection will mitigate against this.</w:t>
            </w:r>
          </w:p>
        </w:tc>
      </w:tr>
      <w:tr w:rsidR="008D4208" w:rsidRPr="00DD7C0F" w14:paraId="3B3F215A" w14:textId="77777777" w:rsidTr="003A5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7A0A3D" w14:textId="77777777" w:rsidR="008D4208" w:rsidRPr="00DD7C0F" w:rsidRDefault="008D4208" w:rsidP="003A5657">
            <w:pPr>
              <w:spacing w:after="200"/>
              <w:rPr>
                <w:sz w:val="18"/>
              </w:rPr>
            </w:pPr>
            <w:proofErr w:type="spellStart"/>
            <w:r>
              <w:rPr>
                <w:sz w:val="18"/>
              </w:rPr>
              <w:t>Randomised</w:t>
            </w:r>
            <w:proofErr w:type="spellEnd"/>
            <w:r>
              <w:rPr>
                <w:sz w:val="18"/>
              </w:rPr>
              <w:t xml:space="preserve"> Controlled Trial (RCT)</w:t>
            </w:r>
          </w:p>
        </w:tc>
        <w:tc>
          <w:tcPr>
            <w:tcW w:w="2405" w:type="dxa"/>
          </w:tcPr>
          <w:p w14:paraId="39E7B9C6" w14:textId="77777777" w:rsidR="008D4208" w:rsidRPr="00DD7C0F" w:rsidRDefault="008D4208" w:rsidP="003A5657">
            <w:pPr>
              <w:spacing w:after="200"/>
              <w:cnfStyle w:val="000000100000" w:firstRow="0" w:lastRow="0" w:firstColumn="0" w:lastColumn="0" w:oddVBand="0" w:evenVBand="0" w:oddHBand="1" w:evenHBand="0" w:firstRowFirstColumn="0" w:firstRowLastColumn="0" w:lastRowFirstColumn="0" w:lastRowLastColumn="0"/>
              <w:rPr>
                <w:sz w:val="18"/>
              </w:rPr>
            </w:pPr>
            <w:r>
              <w:rPr>
                <w:sz w:val="18"/>
              </w:rPr>
              <w:t>It would provide a robust assessment of impact.</w:t>
            </w:r>
          </w:p>
        </w:tc>
        <w:tc>
          <w:tcPr>
            <w:tcW w:w="2406" w:type="dxa"/>
          </w:tcPr>
          <w:p w14:paraId="09CEC530" w14:textId="77777777" w:rsidR="008D4208" w:rsidRPr="00DD7C0F" w:rsidRDefault="008D4208" w:rsidP="003A5657">
            <w:pPr>
              <w:spacing w:after="200"/>
              <w:cnfStyle w:val="000000100000" w:firstRow="0" w:lastRow="0" w:firstColumn="0" w:lastColumn="0" w:oddVBand="0" w:evenVBand="0" w:oddHBand="1" w:evenHBand="0" w:firstRowFirstColumn="0" w:firstRowLastColumn="0" w:lastRowFirstColumn="0" w:lastRowLastColumn="0"/>
              <w:rPr>
                <w:sz w:val="18"/>
              </w:rPr>
            </w:pPr>
            <w:r>
              <w:rPr>
                <w:sz w:val="18"/>
              </w:rPr>
              <w:t>Early design and the identification of how to source a suitable control group.</w:t>
            </w:r>
          </w:p>
        </w:tc>
        <w:tc>
          <w:tcPr>
            <w:tcW w:w="2406" w:type="dxa"/>
          </w:tcPr>
          <w:p w14:paraId="5C6F7743" w14:textId="77777777" w:rsidR="008D4208" w:rsidRPr="00DD7C0F" w:rsidRDefault="008D4208" w:rsidP="003A5657">
            <w:pPr>
              <w:spacing w:after="200"/>
              <w:cnfStyle w:val="000000100000" w:firstRow="0" w:lastRow="0" w:firstColumn="0" w:lastColumn="0" w:oddVBand="0" w:evenVBand="0" w:oddHBand="1" w:evenHBand="0" w:firstRowFirstColumn="0" w:firstRowLastColumn="0" w:lastRowFirstColumn="0" w:lastRowLastColumn="0"/>
              <w:rPr>
                <w:sz w:val="18"/>
              </w:rPr>
            </w:pPr>
            <w:proofErr w:type="spellStart"/>
            <w:r>
              <w:rPr>
                <w:sz w:val="18"/>
              </w:rPr>
              <w:t>Randomised</w:t>
            </w:r>
            <w:proofErr w:type="spellEnd"/>
            <w:r>
              <w:rPr>
                <w:sz w:val="18"/>
              </w:rPr>
              <w:t xml:space="preserve"> selection process potentially incompatible with funding allocation.</w:t>
            </w:r>
          </w:p>
        </w:tc>
      </w:tr>
      <w:tr w:rsidR="008D4208" w:rsidRPr="00DD7C0F" w14:paraId="26398351" w14:textId="77777777" w:rsidTr="003A5657">
        <w:tc>
          <w:tcPr>
            <w:cnfStyle w:val="001000000000" w:firstRow="0" w:lastRow="0" w:firstColumn="1" w:lastColumn="0" w:oddVBand="0" w:evenVBand="0" w:oddHBand="0" w:evenHBand="0" w:firstRowFirstColumn="0" w:firstRowLastColumn="0" w:lastRowFirstColumn="0" w:lastRowLastColumn="0"/>
            <w:tcW w:w="2405" w:type="dxa"/>
          </w:tcPr>
          <w:p w14:paraId="7FEF55A1" w14:textId="77777777" w:rsidR="008D4208" w:rsidRPr="00DD7C0F" w:rsidRDefault="008D4208" w:rsidP="003A5657">
            <w:pPr>
              <w:spacing w:after="200"/>
              <w:rPr>
                <w:sz w:val="18"/>
              </w:rPr>
            </w:pPr>
            <w:r>
              <w:rPr>
                <w:sz w:val="18"/>
              </w:rPr>
              <w:t>Sector modelling through trend analysis or before-after analysis</w:t>
            </w:r>
          </w:p>
        </w:tc>
        <w:tc>
          <w:tcPr>
            <w:tcW w:w="2405" w:type="dxa"/>
          </w:tcPr>
          <w:p w14:paraId="1BB4FCD3" w14:textId="77777777" w:rsidR="008D4208" w:rsidRPr="00DD7C0F" w:rsidRDefault="008D4208" w:rsidP="003A5657">
            <w:pPr>
              <w:spacing w:after="200"/>
              <w:cnfStyle w:val="000000000000" w:firstRow="0" w:lastRow="0" w:firstColumn="0" w:lastColumn="0" w:oddVBand="0" w:evenVBand="0" w:oddHBand="0" w:evenHBand="0" w:firstRowFirstColumn="0" w:firstRowLastColumn="0" w:lastRowFirstColumn="0" w:lastRowLastColumn="0"/>
              <w:rPr>
                <w:sz w:val="18"/>
              </w:rPr>
            </w:pPr>
            <w:r>
              <w:rPr>
                <w:sz w:val="18"/>
              </w:rPr>
              <w:t>If possible to conduct robustly, this would allow us to see the impact of the programme on the sector from a macro perspective.</w:t>
            </w:r>
          </w:p>
        </w:tc>
        <w:tc>
          <w:tcPr>
            <w:tcW w:w="2406" w:type="dxa"/>
          </w:tcPr>
          <w:p w14:paraId="0953DD88" w14:textId="77777777" w:rsidR="008D4208" w:rsidRDefault="008D4208" w:rsidP="003A5657">
            <w:pPr>
              <w:spacing w:after="200"/>
              <w:cnfStyle w:val="000000000000" w:firstRow="0" w:lastRow="0" w:firstColumn="0" w:lastColumn="0" w:oddVBand="0" w:evenVBand="0" w:oddHBand="0" w:evenHBand="0" w:firstRowFirstColumn="0" w:firstRowLastColumn="0" w:lastRowFirstColumn="0" w:lastRowLastColumn="0"/>
              <w:rPr>
                <w:sz w:val="18"/>
              </w:rPr>
            </w:pPr>
            <w:r>
              <w:rPr>
                <w:sz w:val="18"/>
              </w:rPr>
              <w:t>A clearly defined sector which can either be measured in third party data or targeted by a survey for primary data collection.</w:t>
            </w:r>
          </w:p>
          <w:p w14:paraId="71666AB1" w14:textId="77777777" w:rsidR="008D4208" w:rsidRDefault="008D4208" w:rsidP="003A5657">
            <w:pPr>
              <w:spacing w:after="200"/>
              <w:cnfStyle w:val="000000000000" w:firstRow="0" w:lastRow="0" w:firstColumn="0" w:lastColumn="0" w:oddVBand="0" w:evenVBand="0" w:oddHBand="0" w:evenHBand="0" w:firstRowFirstColumn="0" w:firstRowLastColumn="0" w:lastRowFirstColumn="0" w:lastRowLastColumn="0"/>
              <w:rPr>
                <w:sz w:val="18"/>
              </w:rPr>
            </w:pPr>
            <w:r>
              <w:rPr>
                <w:sz w:val="18"/>
              </w:rPr>
              <w:t>Sector baseline data needs to be collected at the outset and again at suitable intervals (no more frequently than annually).</w:t>
            </w:r>
          </w:p>
          <w:p w14:paraId="011802AA" w14:textId="77777777" w:rsidR="008D4208" w:rsidRDefault="008D4208" w:rsidP="003A5657">
            <w:pPr>
              <w:spacing w:after="200"/>
              <w:cnfStyle w:val="000000000000" w:firstRow="0" w:lastRow="0" w:firstColumn="0" w:lastColumn="0" w:oddVBand="0" w:evenVBand="0" w:oddHBand="0" w:evenHBand="0" w:firstRowFirstColumn="0" w:firstRowLastColumn="0" w:lastRowFirstColumn="0" w:lastRowLastColumn="0"/>
              <w:rPr>
                <w:sz w:val="18"/>
              </w:rPr>
            </w:pPr>
            <w:r>
              <w:rPr>
                <w:sz w:val="18"/>
              </w:rPr>
              <w:t>An ability to control for, or at least qualitatively assess, the impacts of any exogenous shocks to the sector, or any other policy influence.</w:t>
            </w:r>
          </w:p>
          <w:p w14:paraId="112AD8B3" w14:textId="77777777" w:rsidR="008D4208" w:rsidRPr="00DD7C0F" w:rsidRDefault="008D4208" w:rsidP="003A5657">
            <w:pPr>
              <w:spacing w:after="200"/>
              <w:cnfStyle w:val="000000000000" w:firstRow="0" w:lastRow="0" w:firstColumn="0" w:lastColumn="0" w:oddVBand="0" w:evenVBand="0" w:oddHBand="0" w:evenHBand="0" w:firstRowFirstColumn="0" w:firstRowLastColumn="0" w:lastRowFirstColumn="0" w:lastRowLastColumn="0"/>
              <w:rPr>
                <w:sz w:val="18"/>
              </w:rPr>
            </w:pPr>
            <w:r>
              <w:rPr>
                <w:sz w:val="18"/>
              </w:rPr>
              <w:t>The intervention needs to impact upon a significant portion of the industry at a sufficient level to be observable from a macro perspective.</w:t>
            </w:r>
          </w:p>
        </w:tc>
        <w:tc>
          <w:tcPr>
            <w:tcW w:w="2406" w:type="dxa"/>
          </w:tcPr>
          <w:p w14:paraId="33C8138F" w14:textId="77777777" w:rsidR="008D4208" w:rsidRDefault="008D4208" w:rsidP="003A5657">
            <w:pPr>
              <w:spacing w:after="200"/>
              <w:cnfStyle w:val="000000000000" w:firstRow="0" w:lastRow="0" w:firstColumn="0" w:lastColumn="0" w:oddVBand="0" w:evenVBand="0" w:oddHBand="0" w:evenHBand="0" w:firstRowFirstColumn="0" w:firstRowLastColumn="0" w:lastRowFirstColumn="0" w:lastRowLastColumn="0"/>
              <w:rPr>
                <w:sz w:val="18"/>
              </w:rPr>
            </w:pPr>
            <w:r>
              <w:rPr>
                <w:sz w:val="18"/>
              </w:rPr>
              <w:t>Likely to be a large amount of ‘noise’ in the data, with attribution of any changes difficult.</w:t>
            </w:r>
          </w:p>
          <w:p w14:paraId="1DA333B3" w14:textId="77777777" w:rsidR="008D4208" w:rsidRDefault="008D4208" w:rsidP="003A5657">
            <w:pPr>
              <w:spacing w:after="200"/>
              <w:cnfStyle w:val="000000000000" w:firstRow="0" w:lastRow="0" w:firstColumn="0" w:lastColumn="0" w:oddVBand="0" w:evenVBand="0" w:oddHBand="0" w:evenHBand="0" w:firstRowFirstColumn="0" w:firstRowLastColumn="0" w:lastRowFirstColumn="0" w:lastRowLastColumn="0"/>
              <w:rPr>
                <w:sz w:val="18"/>
              </w:rPr>
            </w:pPr>
            <w:r>
              <w:rPr>
                <w:sz w:val="18"/>
              </w:rPr>
              <w:t>The robustness of the counterfactual is always likely to be questioned.</w:t>
            </w:r>
          </w:p>
          <w:p w14:paraId="19031496" w14:textId="77777777" w:rsidR="008D4208" w:rsidRPr="00DD7C0F" w:rsidRDefault="008D4208" w:rsidP="003A5657">
            <w:pPr>
              <w:spacing w:after="200"/>
              <w:cnfStyle w:val="000000000000" w:firstRow="0" w:lastRow="0" w:firstColumn="0" w:lastColumn="0" w:oddVBand="0" w:evenVBand="0" w:oddHBand="0" w:evenHBand="0" w:firstRowFirstColumn="0" w:firstRowLastColumn="0" w:lastRowFirstColumn="0" w:lastRowLastColumn="0"/>
              <w:rPr>
                <w:sz w:val="18"/>
              </w:rPr>
            </w:pPr>
            <w:r>
              <w:rPr>
                <w:sz w:val="18"/>
              </w:rPr>
              <w:t>Likely to be used only as a peripheral method, but one that could help validate findings of other methodologies.</w:t>
            </w:r>
          </w:p>
        </w:tc>
      </w:tr>
      <w:tr w:rsidR="008D4208" w:rsidRPr="00DD7C0F" w14:paraId="42BAADD8" w14:textId="77777777" w:rsidTr="003A5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76F7AD5" w14:textId="77777777" w:rsidR="008D4208" w:rsidRPr="00DD7C0F" w:rsidRDefault="008D4208" w:rsidP="003A5657">
            <w:pPr>
              <w:spacing w:after="200"/>
              <w:rPr>
                <w:sz w:val="18"/>
              </w:rPr>
            </w:pPr>
            <w:r>
              <w:rPr>
                <w:sz w:val="18"/>
              </w:rPr>
              <w:t>Surveys of beneficiaries and non-beneficiaries</w:t>
            </w:r>
          </w:p>
        </w:tc>
        <w:tc>
          <w:tcPr>
            <w:tcW w:w="2405" w:type="dxa"/>
          </w:tcPr>
          <w:p w14:paraId="5AC7E248" w14:textId="77777777" w:rsidR="008D4208" w:rsidRPr="00DD7C0F" w:rsidRDefault="008D4208" w:rsidP="003A5657">
            <w:pPr>
              <w:spacing w:after="200"/>
              <w:cnfStyle w:val="000000100000" w:firstRow="0" w:lastRow="0" w:firstColumn="0" w:lastColumn="0" w:oddVBand="0" w:evenVBand="0" w:oddHBand="1" w:evenHBand="0" w:firstRowFirstColumn="0" w:firstRowLastColumn="0" w:lastRowFirstColumn="0" w:lastRowLastColumn="0"/>
              <w:rPr>
                <w:sz w:val="18"/>
              </w:rPr>
            </w:pPr>
            <w:r>
              <w:rPr>
                <w:sz w:val="18"/>
              </w:rPr>
              <w:t xml:space="preserve">To produce largely quantitative data that can be used as part of an </w:t>
            </w:r>
            <w:r>
              <w:rPr>
                <w:sz w:val="18"/>
              </w:rPr>
              <w:lastRenderedPageBreak/>
              <w:t>econometric analysis and to measure outcomes</w:t>
            </w:r>
          </w:p>
        </w:tc>
        <w:tc>
          <w:tcPr>
            <w:tcW w:w="2406" w:type="dxa"/>
          </w:tcPr>
          <w:p w14:paraId="4140BC62" w14:textId="77777777" w:rsidR="008D4208" w:rsidRDefault="008D4208" w:rsidP="003A5657">
            <w:pPr>
              <w:spacing w:after="200"/>
              <w:cnfStyle w:val="000000100000" w:firstRow="0" w:lastRow="0" w:firstColumn="0" w:lastColumn="0" w:oddVBand="0" w:evenVBand="0" w:oddHBand="1" w:evenHBand="0" w:firstRowFirstColumn="0" w:firstRowLastColumn="0" w:lastRowFirstColumn="0" w:lastRowLastColumn="0"/>
              <w:rPr>
                <w:sz w:val="18"/>
              </w:rPr>
            </w:pPr>
            <w:r>
              <w:rPr>
                <w:sz w:val="18"/>
              </w:rPr>
              <w:lastRenderedPageBreak/>
              <w:t xml:space="preserve">A comprehensive sample (including accurate contact details) to draw from, </w:t>
            </w:r>
            <w:r>
              <w:rPr>
                <w:sz w:val="18"/>
              </w:rPr>
              <w:lastRenderedPageBreak/>
              <w:t>covering both beneficiaries and non-</w:t>
            </w:r>
            <w:proofErr w:type="spellStart"/>
            <w:r>
              <w:rPr>
                <w:sz w:val="18"/>
              </w:rPr>
              <w:t>beneficaries</w:t>
            </w:r>
            <w:proofErr w:type="spellEnd"/>
          </w:p>
          <w:p w14:paraId="6B87E40D" w14:textId="77777777" w:rsidR="008D4208" w:rsidRDefault="008D4208" w:rsidP="003A5657">
            <w:pPr>
              <w:spacing w:after="200"/>
              <w:cnfStyle w:val="000000100000" w:firstRow="0" w:lastRow="0" w:firstColumn="0" w:lastColumn="0" w:oddVBand="0" w:evenVBand="0" w:oddHBand="1" w:evenHBand="0" w:firstRowFirstColumn="0" w:firstRowLastColumn="0" w:lastRowFirstColumn="0" w:lastRowLastColumn="0"/>
              <w:rPr>
                <w:sz w:val="18"/>
              </w:rPr>
            </w:pPr>
            <w:r>
              <w:rPr>
                <w:sz w:val="18"/>
              </w:rPr>
              <w:t>A sufficient sample size to enable quantitative analysis.</w:t>
            </w:r>
          </w:p>
          <w:p w14:paraId="5744A881" w14:textId="77777777" w:rsidR="008D4208" w:rsidRDefault="008D4208" w:rsidP="003A5657">
            <w:pPr>
              <w:spacing w:after="200"/>
              <w:cnfStyle w:val="000000100000" w:firstRow="0" w:lastRow="0" w:firstColumn="0" w:lastColumn="0" w:oddVBand="0" w:evenVBand="0" w:oddHBand="1" w:evenHBand="0" w:firstRowFirstColumn="0" w:firstRowLastColumn="0" w:lastRowFirstColumn="0" w:lastRowLastColumn="0"/>
              <w:rPr>
                <w:sz w:val="18"/>
              </w:rPr>
            </w:pPr>
            <w:r>
              <w:rPr>
                <w:sz w:val="18"/>
              </w:rPr>
              <w:t>The ability to share contact and application details with contractors.</w:t>
            </w:r>
          </w:p>
          <w:p w14:paraId="0001385B" w14:textId="77777777" w:rsidR="008D4208" w:rsidRPr="00DD7C0F" w:rsidRDefault="008D4208" w:rsidP="003A5657">
            <w:pPr>
              <w:spacing w:after="200"/>
              <w:cnfStyle w:val="000000100000" w:firstRow="0" w:lastRow="0" w:firstColumn="0" w:lastColumn="0" w:oddVBand="0" w:evenVBand="0" w:oddHBand="1" w:evenHBand="0" w:firstRowFirstColumn="0" w:firstRowLastColumn="0" w:lastRowFirstColumn="0" w:lastRowLastColumn="0"/>
              <w:rPr>
                <w:sz w:val="18"/>
              </w:rPr>
            </w:pPr>
            <w:r>
              <w:rPr>
                <w:sz w:val="18"/>
              </w:rPr>
              <w:t>Sufficient buy-in from potential respondents to respond over a period of time.</w:t>
            </w:r>
          </w:p>
        </w:tc>
        <w:tc>
          <w:tcPr>
            <w:tcW w:w="2406" w:type="dxa"/>
          </w:tcPr>
          <w:p w14:paraId="49DBA638" w14:textId="77777777" w:rsidR="008D4208" w:rsidRDefault="008D4208" w:rsidP="003A5657">
            <w:pPr>
              <w:spacing w:after="200"/>
              <w:cnfStyle w:val="000000100000" w:firstRow="0" w:lastRow="0" w:firstColumn="0" w:lastColumn="0" w:oddVBand="0" w:evenVBand="0" w:oddHBand="1" w:evenHBand="0" w:firstRowFirstColumn="0" w:firstRowLastColumn="0" w:lastRowFirstColumn="0" w:lastRowLastColumn="0"/>
              <w:rPr>
                <w:sz w:val="18"/>
              </w:rPr>
            </w:pPr>
            <w:r>
              <w:rPr>
                <w:sz w:val="18"/>
              </w:rPr>
              <w:lastRenderedPageBreak/>
              <w:t>Attrition of responses over multiple waves of a survey.</w:t>
            </w:r>
          </w:p>
          <w:p w14:paraId="0A847DCD" w14:textId="77777777" w:rsidR="008D4208" w:rsidRDefault="008D4208" w:rsidP="003A5657">
            <w:pPr>
              <w:spacing w:after="200"/>
              <w:cnfStyle w:val="000000100000" w:firstRow="0" w:lastRow="0" w:firstColumn="0" w:lastColumn="0" w:oddVBand="0" w:evenVBand="0" w:oddHBand="1" w:evenHBand="0" w:firstRowFirstColumn="0" w:firstRowLastColumn="0" w:lastRowFirstColumn="0" w:lastRowLastColumn="0"/>
              <w:rPr>
                <w:sz w:val="18"/>
              </w:rPr>
            </w:pPr>
            <w:r>
              <w:rPr>
                <w:sz w:val="18"/>
              </w:rPr>
              <w:t xml:space="preserve">Self-reported evidence can be less reliable, or less </w:t>
            </w:r>
            <w:r>
              <w:rPr>
                <w:sz w:val="18"/>
              </w:rPr>
              <w:lastRenderedPageBreak/>
              <w:t>credible, although will be necessary for a number of indicators where third-party data doesn’t exist.</w:t>
            </w:r>
          </w:p>
          <w:p w14:paraId="17DADF71" w14:textId="77777777" w:rsidR="008D4208" w:rsidRPr="00DD7C0F" w:rsidRDefault="008D4208" w:rsidP="003A5657">
            <w:pPr>
              <w:spacing w:after="200"/>
              <w:cnfStyle w:val="000000100000" w:firstRow="0" w:lastRow="0" w:firstColumn="0" w:lastColumn="0" w:oddVBand="0" w:evenVBand="0" w:oddHBand="1" w:evenHBand="0" w:firstRowFirstColumn="0" w:firstRowLastColumn="0" w:lastRowFirstColumn="0" w:lastRowLastColumn="0"/>
              <w:rPr>
                <w:sz w:val="18"/>
              </w:rPr>
            </w:pPr>
            <w:r>
              <w:rPr>
                <w:sz w:val="18"/>
              </w:rPr>
              <w:t>Sample size could be an issue, either for treatment or control group. Potential for responses to be pooled across the three main programme elements, although this would reduce the granularity of the analysis.</w:t>
            </w:r>
          </w:p>
        </w:tc>
      </w:tr>
      <w:tr w:rsidR="008D4208" w:rsidRPr="00DD7C0F" w14:paraId="62D23978" w14:textId="77777777" w:rsidTr="003A5657">
        <w:tc>
          <w:tcPr>
            <w:cnfStyle w:val="001000000000" w:firstRow="0" w:lastRow="0" w:firstColumn="1" w:lastColumn="0" w:oddVBand="0" w:evenVBand="0" w:oddHBand="0" w:evenHBand="0" w:firstRowFirstColumn="0" w:firstRowLastColumn="0" w:lastRowFirstColumn="0" w:lastRowLastColumn="0"/>
            <w:tcW w:w="2405" w:type="dxa"/>
          </w:tcPr>
          <w:p w14:paraId="0EAC0F5D" w14:textId="77777777" w:rsidR="008D4208" w:rsidRPr="00DD7C0F" w:rsidRDefault="008D4208" w:rsidP="003A5657">
            <w:pPr>
              <w:spacing w:after="200"/>
              <w:rPr>
                <w:sz w:val="18"/>
              </w:rPr>
            </w:pPr>
            <w:r>
              <w:rPr>
                <w:sz w:val="18"/>
              </w:rPr>
              <w:lastRenderedPageBreak/>
              <w:t>Interviews with key stakeholders</w:t>
            </w:r>
          </w:p>
        </w:tc>
        <w:tc>
          <w:tcPr>
            <w:tcW w:w="2405" w:type="dxa"/>
          </w:tcPr>
          <w:p w14:paraId="79D618BB" w14:textId="77777777" w:rsidR="008D4208" w:rsidRPr="00DD7C0F" w:rsidRDefault="008D4208" w:rsidP="003A5657">
            <w:pPr>
              <w:spacing w:after="200"/>
              <w:cnfStyle w:val="000000000000" w:firstRow="0" w:lastRow="0" w:firstColumn="0" w:lastColumn="0" w:oddVBand="0" w:evenVBand="0" w:oddHBand="0" w:evenHBand="0" w:firstRowFirstColumn="0" w:firstRowLastColumn="0" w:lastRowFirstColumn="0" w:lastRowLastColumn="0"/>
              <w:rPr>
                <w:sz w:val="18"/>
              </w:rPr>
            </w:pPr>
            <w:r>
              <w:rPr>
                <w:sz w:val="18"/>
              </w:rPr>
              <w:t>At the start of an evaluation it can help to focus the research questions by speaking to experts in relevant fields. In later stages, provide qualitative evidence on how the SPF (fund or programme) is working and what outcomes have been achieved.</w:t>
            </w:r>
          </w:p>
        </w:tc>
        <w:tc>
          <w:tcPr>
            <w:tcW w:w="2406" w:type="dxa"/>
          </w:tcPr>
          <w:p w14:paraId="257FB5BF" w14:textId="77777777" w:rsidR="008D4208" w:rsidRPr="00DD7C0F" w:rsidRDefault="008D4208" w:rsidP="003A5657">
            <w:pPr>
              <w:spacing w:after="200"/>
              <w:cnfStyle w:val="000000000000" w:firstRow="0" w:lastRow="0" w:firstColumn="0" w:lastColumn="0" w:oddVBand="0" w:evenVBand="0" w:oddHBand="0" w:evenHBand="0" w:firstRowFirstColumn="0" w:firstRowLastColumn="0" w:lastRowFirstColumn="0" w:lastRowLastColumn="0"/>
              <w:rPr>
                <w:sz w:val="18"/>
              </w:rPr>
            </w:pPr>
            <w:r>
              <w:rPr>
                <w:sz w:val="18"/>
              </w:rPr>
              <w:t>Good knowledge and mapping of the key stakeholders in the sector/programme/project.</w:t>
            </w:r>
          </w:p>
        </w:tc>
        <w:tc>
          <w:tcPr>
            <w:tcW w:w="2406" w:type="dxa"/>
          </w:tcPr>
          <w:p w14:paraId="2F6C24F3" w14:textId="77777777" w:rsidR="008D4208" w:rsidRPr="00DD7C0F" w:rsidRDefault="008D4208" w:rsidP="003A5657">
            <w:pPr>
              <w:spacing w:after="200"/>
              <w:cnfStyle w:val="000000000000" w:firstRow="0" w:lastRow="0" w:firstColumn="0" w:lastColumn="0" w:oddVBand="0" w:evenVBand="0" w:oddHBand="0" w:evenHBand="0" w:firstRowFirstColumn="0" w:firstRowLastColumn="0" w:lastRowFirstColumn="0" w:lastRowLastColumn="0"/>
              <w:rPr>
                <w:sz w:val="18"/>
              </w:rPr>
            </w:pPr>
            <w:r>
              <w:rPr>
                <w:sz w:val="18"/>
              </w:rPr>
              <w:t>Any particular individual’s strong views could skew the results or affect the scope of the research if not representative of the wider stakeholder population.</w:t>
            </w:r>
          </w:p>
        </w:tc>
      </w:tr>
      <w:tr w:rsidR="008D4208" w:rsidRPr="00DD7C0F" w14:paraId="29D0AC0C" w14:textId="77777777" w:rsidTr="003A5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5F39D77" w14:textId="77777777" w:rsidR="008D4208" w:rsidRPr="00DD7C0F" w:rsidRDefault="008D4208" w:rsidP="003A5657">
            <w:pPr>
              <w:spacing w:after="200"/>
              <w:rPr>
                <w:sz w:val="18"/>
              </w:rPr>
            </w:pPr>
            <w:r>
              <w:rPr>
                <w:sz w:val="18"/>
              </w:rPr>
              <w:t>Case studies</w:t>
            </w:r>
          </w:p>
        </w:tc>
        <w:tc>
          <w:tcPr>
            <w:tcW w:w="2405" w:type="dxa"/>
          </w:tcPr>
          <w:p w14:paraId="5DECB525" w14:textId="77777777" w:rsidR="008D4208" w:rsidRPr="00DD7C0F" w:rsidRDefault="008D4208" w:rsidP="003A5657">
            <w:pPr>
              <w:spacing w:after="200"/>
              <w:cnfStyle w:val="000000100000" w:firstRow="0" w:lastRow="0" w:firstColumn="0" w:lastColumn="0" w:oddVBand="0" w:evenVBand="0" w:oddHBand="1" w:evenHBand="0" w:firstRowFirstColumn="0" w:firstRowLastColumn="0" w:lastRowFirstColumn="0" w:lastRowLastColumn="0"/>
              <w:rPr>
                <w:sz w:val="18"/>
              </w:rPr>
            </w:pPr>
            <w:r>
              <w:rPr>
                <w:sz w:val="18"/>
              </w:rPr>
              <w:t>Provides an in-depth view of the processes, collaborations and activities that may have led to project outcomes.</w:t>
            </w:r>
          </w:p>
        </w:tc>
        <w:tc>
          <w:tcPr>
            <w:tcW w:w="2406" w:type="dxa"/>
          </w:tcPr>
          <w:p w14:paraId="5CEE4141" w14:textId="77777777" w:rsidR="008D4208" w:rsidRPr="009F2D28" w:rsidRDefault="008D4208" w:rsidP="003A5657">
            <w:pPr>
              <w:spacing w:after="200"/>
              <w:cnfStyle w:val="000000100000" w:firstRow="0" w:lastRow="0" w:firstColumn="0" w:lastColumn="0" w:oddVBand="0" w:evenVBand="0" w:oddHBand="1" w:evenHBand="0" w:firstRowFirstColumn="0" w:firstRowLastColumn="0" w:lastRowFirstColumn="0" w:lastRowLastColumn="0"/>
              <w:rPr>
                <w:sz w:val="18"/>
              </w:rPr>
            </w:pPr>
            <w:r>
              <w:rPr>
                <w:sz w:val="18"/>
              </w:rPr>
              <w:t xml:space="preserve">A comprehensive sample and framework for selecting case studies, ideally in an </w:t>
            </w:r>
            <w:r>
              <w:rPr>
                <w:i/>
                <w:sz w:val="18"/>
              </w:rPr>
              <w:t>a priori</w:t>
            </w:r>
            <w:r>
              <w:rPr>
                <w:sz w:val="18"/>
              </w:rPr>
              <w:t xml:space="preserve"> manner to allow for a range of outcomes to be observed.</w:t>
            </w:r>
          </w:p>
        </w:tc>
        <w:tc>
          <w:tcPr>
            <w:tcW w:w="2406" w:type="dxa"/>
          </w:tcPr>
          <w:p w14:paraId="3B4A3B45" w14:textId="77777777" w:rsidR="008D4208" w:rsidRPr="00DD7C0F" w:rsidRDefault="008D4208" w:rsidP="003A5657">
            <w:pPr>
              <w:spacing w:after="200"/>
              <w:cnfStyle w:val="000000100000" w:firstRow="0" w:lastRow="0" w:firstColumn="0" w:lastColumn="0" w:oddVBand="0" w:evenVBand="0" w:oddHBand="1" w:evenHBand="0" w:firstRowFirstColumn="0" w:firstRowLastColumn="0" w:lastRowFirstColumn="0" w:lastRowLastColumn="0"/>
              <w:rPr>
                <w:sz w:val="18"/>
              </w:rPr>
            </w:pPr>
            <w:r>
              <w:rPr>
                <w:sz w:val="18"/>
              </w:rPr>
              <w:t>A large number of case studies are likely to be necessary to provide a complete picture. These can be costly and require a greater degree of input from programme participants.</w:t>
            </w:r>
          </w:p>
        </w:tc>
      </w:tr>
      <w:tr w:rsidR="008D4208" w:rsidRPr="00DD7C0F" w14:paraId="3154B5A1" w14:textId="77777777" w:rsidTr="003A5657">
        <w:tc>
          <w:tcPr>
            <w:cnfStyle w:val="001000000000" w:firstRow="0" w:lastRow="0" w:firstColumn="1" w:lastColumn="0" w:oddVBand="0" w:evenVBand="0" w:oddHBand="0" w:evenHBand="0" w:firstRowFirstColumn="0" w:firstRowLastColumn="0" w:lastRowFirstColumn="0" w:lastRowLastColumn="0"/>
            <w:tcW w:w="2405" w:type="dxa"/>
          </w:tcPr>
          <w:p w14:paraId="45650401" w14:textId="77777777" w:rsidR="008D4208" w:rsidRPr="00DD7C0F" w:rsidRDefault="008D4208" w:rsidP="003A5657">
            <w:pPr>
              <w:spacing w:after="200"/>
              <w:rPr>
                <w:sz w:val="18"/>
              </w:rPr>
            </w:pPr>
            <w:r>
              <w:rPr>
                <w:sz w:val="18"/>
              </w:rPr>
              <w:t>Peer review</w:t>
            </w:r>
          </w:p>
        </w:tc>
        <w:tc>
          <w:tcPr>
            <w:tcW w:w="2405" w:type="dxa"/>
          </w:tcPr>
          <w:p w14:paraId="4F576451" w14:textId="77777777" w:rsidR="008D4208" w:rsidRPr="00DD7C0F" w:rsidRDefault="008D4208" w:rsidP="003A5657">
            <w:pPr>
              <w:spacing w:after="200"/>
              <w:cnfStyle w:val="000000000000" w:firstRow="0" w:lastRow="0" w:firstColumn="0" w:lastColumn="0" w:oddVBand="0" w:evenVBand="0" w:oddHBand="0" w:evenHBand="0" w:firstRowFirstColumn="0" w:firstRowLastColumn="0" w:lastRowFirstColumn="0" w:lastRowLastColumn="0"/>
              <w:rPr>
                <w:sz w:val="18"/>
              </w:rPr>
            </w:pPr>
            <w:r>
              <w:rPr>
                <w:sz w:val="18"/>
              </w:rPr>
              <w:t>To ensure conclusions are based on the evidence are robust and logical.</w:t>
            </w:r>
          </w:p>
        </w:tc>
        <w:tc>
          <w:tcPr>
            <w:tcW w:w="2406" w:type="dxa"/>
          </w:tcPr>
          <w:p w14:paraId="66B05BFA" w14:textId="77777777" w:rsidR="008D4208" w:rsidRPr="00DD7C0F" w:rsidRDefault="008D4208" w:rsidP="003A5657">
            <w:pPr>
              <w:spacing w:after="200"/>
              <w:cnfStyle w:val="000000000000" w:firstRow="0" w:lastRow="0" w:firstColumn="0" w:lastColumn="0" w:oddVBand="0" w:evenVBand="0" w:oddHBand="0" w:evenHBand="0" w:firstRowFirstColumn="0" w:firstRowLastColumn="0" w:lastRowFirstColumn="0" w:lastRowLastColumn="0"/>
              <w:rPr>
                <w:sz w:val="18"/>
              </w:rPr>
            </w:pPr>
            <w:r>
              <w:rPr>
                <w:sz w:val="18"/>
              </w:rPr>
              <w:t>Experts who are preferably not involved in the programme.</w:t>
            </w:r>
          </w:p>
        </w:tc>
        <w:tc>
          <w:tcPr>
            <w:tcW w:w="2406" w:type="dxa"/>
          </w:tcPr>
          <w:p w14:paraId="16C57CE2" w14:textId="77777777" w:rsidR="008D4208" w:rsidRPr="00DD7C0F" w:rsidRDefault="008D4208" w:rsidP="003A5657">
            <w:pPr>
              <w:spacing w:after="200"/>
              <w:cnfStyle w:val="000000000000" w:firstRow="0" w:lastRow="0" w:firstColumn="0" w:lastColumn="0" w:oddVBand="0" w:evenVBand="0" w:oddHBand="0" w:evenHBand="0" w:firstRowFirstColumn="0" w:firstRowLastColumn="0" w:lastRowFirstColumn="0" w:lastRowLastColumn="0"/>
              <w:rPr>
                <w:sz w:val="18"/>
              </w:rPr>
            </w:pPr>
          </w:p>
        </w:tc>
      </w:tr>
      <w:tr w:rsidR="008D4208" w:rsidRPr="00DD7C0F" w14:paraId="233C6BFD" w14:textId="77777777" w:rsidTr="003A5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9C8BEED" w14:textId="77777777" w:rsidR="008D4208" w:rsidRPr="00DD7C0F" w:rsidRDefault="008D4208" w:rsidP="003A5657">
            <w:pPr>
              <w:spacing w:after="200"/>
              <w:rPr>
                <w:sz w:val="18"/>
              </w:rPr>
            </w:pPr>
            <w:r>
              <w:rPr>
                <w:sz w:val="18"/>
              </w:rPr>
              <w:t>Bibliometric methods</w:t>
            </w:r>
          </w:p>
        </w:tc>
        <w:tc>
          <w:tcPr>
            <w:tcW w:w="2405" w:type="dxa"/>
          </w:tcPr>
          <w:p w14:paraId="455150FB" w14:textId="77777777" w:rsidR="008D4208" w:rsidRPr="00DD7C0F" w:rsidRDefault="008D4208" w:rsidP="003A5657">
            <w:pPr>
              <w:spacing w:after="200"/>
              <w:cnfStyle w:val="000000100000" w:firstRow="0" w:lastRow="0" w:firstColumn="0" w:lastColumn="0" w:oddVBand="0" w:evenVBand="0" w:oddHBand="1" w:evenHBand="0" w:firstRowFirstColumn="0" w:firstRowLastColumn="0" w:lastRowFirstColumn="0" w:lastRowLastColumn="0"/>
              <w:rPr>
                <w:sz w:val="18"/>
              </w:rPr>
            </w:pPr>
            <w:r>
              <w:rPr>
                <w:sz w:val="18"/>
              </w:rPr>
              <w:t>Provides an assessment of the quantity and quality of research associated with a project.</w:t>
            </w:r>
          </w:p>
        </w:tc>
        <w:tc>
          <w:tcPr>
            <w:tcW w:w="2406" w:type="dxa"/>
          </w:tcPr>
          <w:p w14:paraId="5B9C8094" w14:textId="77777777" w:rsidR="008D4208" w:rsidRPr="00DD7C0F" w:rsidRDefault="008D4208" w:rsidP="003A5657">
            <w:pPr>
              <w:spacing w:after="200"/>
              <w:cnfStyle w:val="000000100000" w:firstRow="0" w:lastRow="0" w:firstColumn="0" w:lastColumn="0" w:oddVBand="0" w:evenVBand="0" w:oddHBand="1" w:evenHBand="0" w:firstRowFirstColumn="0" w:firstRowLastColumn="0" w:lastRowFirstColumn="0" w:lastRowLastColumn="0"/>
              <w:rPr>
                <w:sz w:val="18"/>
              </w:rPr>
            </w:pPr>
            <w:r>
              <w:rPr>
                <w:sz w:val="18"/>
              </w:rPr>
              <w:t xml:space="preserve">Relies on publications being clearly linked to SPF </w:t>
            </w:r>
            <w:proofErr w:type="spellStart"/>
            <w:r>
              <w:rPr>
                <w:sz w:val="18"/>
              </w:rPr>
              <w:t>programmes</w:t>
            </w:r>
            <w:proofErr w:type="spellEnd"/>
            <w:r>
              <w:rPr>
                <w:sz w:val="18"/>
              </w:rPr>
              <w:t>/projects.</w:t>
            </w:r>
          </w:p>
        </w:tc>
        <w:tc>
          <w:tcPr>
            <w:tcW w:w="2406" w:type="dxa"/>
          </w:tcPr>
          <w:p w14:paraId="1DFD8DFA" w14:textId="77777777" w:rsidR="008D4208" w:rsidRPr="00DD7C0F" w:rsidRDefault="008D4208" w:rsidP="003A5657">
            <w:pPr>
              <w:spacing w:after="200"/>
              <w:cnfStyle w:val="000000100000" w:firstRow="0" w:lastRow="0" w:firstColumn="0" w:lastColumn="0" w:oddVBand="0" w:evenVBand="0" w:oddHBand="1" w:evenHBand="0" w:firstRowFirstColumn="0" w:firstRowLastColumn="0" w:lastRowFirstColumn="0" w:lastRowLastColumn="0"/>
              <w:rPr>
                <w:sz w:val="18"/>
              </w:rPr>
            </w:pPr>
            <w:r>
              <w:rPr>
                <w:sz w:val="18"/>
              </w:rPr>
              <w:t>General issues with citation measures need to be considered. Typically omits non-formal publications.</w:t>
            </w:r>
          </w:p>
        </w:tc>
      </w:tr>
      <w:tr w:rsidR="008D4208" w:rsidRPr="00DD7C0F" w14:paraId="6D2E0382" w14:textId="77777777" w:rsidTr="003A5657">
        <w:tc>
          <w:tcPr>
            <w:cnfStyle w:val="001000000000" w:firstRow="0" w:lastRow="0" w:firstColumn="1" w:lastColumn="0" w:oddVBand="0" w:evenVBand="0" w:oddHBand="0" w:evenHBand="0" w:firstRowFirstColumn="0" w:firstRowLastColumn="0" w:lastRowFirstColumn="0" w:lastRowLastColumn="0"/>
            <w:tcW w:w="2405" w:type="dxa"/>
          </w:tcPr>
          <w:p w14:paraId="60079D47" w14:textId="77777777" w:rsidR="008D4208" w:rsidRPr="00DD7C0F" w:rsidRDefault="008D4208" w:rsidP="003A5657">
            <w:pPr>
              <w:spacing w:after="200"/>
              <w:rPr>
                <w:sz w:val="18"/>
              </w:rPr>
            </w:pPr>
            <w:r>
              <w:rPr>
                <w:sz w:val="18"/>
              </w:rPr>
              <w:t>Mixed methods where no counterfactual is available (e.g. for science capital)</w:t>
            </w:r>
          </w:p>
        </w:tc>
        <w:tc>
          <w:tcPr>
            <w:tcW w:w="2405" w:type="dxa"/>
          </w:tcPr>
          <w:p w14:paraId="1F299ADD" w14:textId="77777777" w:rsidR="008D4208" w:rsidRPr="00DD7C0F" w:rsidRDefault="008D4208" w:rsidP="003A5657">
            <w:pPr>
              <w:spacing w:after="200"/>
              <w:cnfStyle w:val="000000000000" w:firstRow="0" w:lastRow="0" w:firstColumn="0" w:lastColumn="0" w:oddVBand="0" w:evenVBand="0" w:oddHBand="0" w:evenHBand="0" w:firstRowFirstColumn="0" w:firstRowLastColumn="0" w:lastRowFirstColumn="0" w:lastRowLastColumn="0"/>
              <w:rPr>
                <w:sz w:val="18"/>
              </w:rPr>
            </w:pPr>
            <w:r>
              <w:rPr>
                <w:sz w:val="18"/>
              </w:rPr>
              <w:t>Drawing on a range of the methods above and supplementing it with assumptions and economic modelling can provide an indication of impact in some instances, e.g. science capital investments.</w:t>
            </w:r>
          </w:p>
        </w:tc>
        <w:tc>
          <w:tcPr>
            <w:tcW w:w="2406" w:type="dxa"/>
          </w:tcPr>
          <w:p w14:paraId="1A26E39C" w14:textId="77777777" w:rsidR="008D4208" w:rsidRPr="00DD7C0F" w:rsidRDefault="008D4208" w:rsidP="003A5657">
            <w:pPr>
              <w:spacing w:after="200"/>
              <w:cnfStyle w:val="000000000000" w:firstRow="0" w:lastRow="0" w:firstColumn="0" w:lastColumn="0" w:oddVBand="0" w:evenVBand="0" w:oddHBand="0" w:evenHBand="0" w:firstRowFirstColumn="0" w:firstRowLastColumn="0" w:lastRowFirstColumn="0" w:lastRowLastColumn="0"/>
              <w:rPr>
                <w:sz w:val="18"/>
              </w:rPr>
            </w:pPr>
            <w:r>
              <w:rPr>
                <w:sz w:val="18"/>
              </w:rPr>
              <w:t xml:space="preserve">This type of approach needs to be developed bespoke for particular </w:t>
            </w:r>
            <w:proofErr w:type="spellStart"/>
            <w:r>
              <w:rPr>
                <w:sz w:val="18"/>
              </w:rPr>
              <w:t>programmes</w:t>
            </w:r>
            <w:proofErr w:type="spellEnd"/>
            <w:r>
              <w:rPr>
                <w:sz w:val="18"/>
              </w:rPr>
              <w:t xml:space="preserve"> and projects and relies on a clear logic model and data collection at each point of the model.</w:t>
            </w:r>
          </w:p>
        </w:tc>
        <w:tc>
          <w:tcPr>
            <w:tcW w:w="2406" w:type="dxa"/>
          </w:tcPr>
          <w:p w14:paraId="60F68A8C" w14:textId="77777777" w:rsidR="008D4208" w:rsidRPr="00DD7C0F" w:rsidRDefault="008D4208" w:rsidP="003A5657">
            <w:pPr>
              <w:spacing w:after="200"/>
              <w:cnfStyle w:val="000000000000" w:firstRow="0" w:lastRow="0" w:firstColumn="0" w:lastColumn="0" w:oddVBand="0" w:evenVBand="0" w:oddHBand="0" w:evenHBand="0" w:firstRowFirstColumn="0" w:firstRowLastColumn="0" w:lastRowFirstColumn="0" w:lastRowLastColumn="0"/>
              <w:rPr>
                <w:sz w:val="18"/>
              </w:rPr>
            </w:pPr>
            <w:r>
              <w:rPr>
                <w:sz w:val="18"/>
              </w:rPr>
              <w:t>In the absence of a robust counterfactual this approach can rely on assumptions.</w:t>
            </w:r>
          </w:p>
        </w:tc>
      </w:tr>
    </w:tbl>
    <w:p w14:paraId="19498C96" w14:textId="77777777" w:rsidR="008D4208" w:rsidRDefault="008D4208" w:rsidP="008D4208">
      <w:pPr>
        <w:spacing w:line="240" w:lineRule="auto"/>
      </w:pPr>
    </w:p>
    <w:p w14:paraId="35A321CC" w14:textId="77777777" w:rsidR="008D4208" w:rsidRDefault="008D4208" w:rsidP="008D4208">
      <w:pPr>
        <w:spacing w:line="240" w:lineRule="auto"/>
      </w:pPr>
    </w:p>
    <w:p w14:paraId="0BE50EEE" w14:textId="77777777" w:rsidR="00091350" w:rsidRDefault="00091350" w:rsidP="008D4208">
      <w:pPr>
        <w:spacing w:line="240" w:lineRule="auto"/>
        <w:sectPr w:rsidR="00091350" w:rsidSect="000D2CB0">
          <w:pgSz w:w="12240" w:h="15840"/>
          <w:pgMar w:top="851" w:right="1304" w:bottom="567" w:left="1304" w:header="720" w:footer="720" w:gutter="0"/>
          <w:cols w:space="720"/>
          <w:docGrid w:linePitch="360"/>
        </w:sectPr>
      </w:pPr>
    </w:p>
    <w:p w14:paraId="3A72D241" w14:textId="345C7B1D" w:rsidR="009324D0" w:rsidRPr="00AA45DF" w:rsidRDefault="00091350" w:rsidP="00F1270E">
      <w:pPr>
        <w:tabs>
          <w:tab w:val="left" w:pos="2148"/>
        </w:tabs>
        <w:spacing w:line="240" w:lineRule="auto"/>
        <w:rPr>
          <w:rFonts w:cstheme="minorHAnsi"/>
        </w:rPr>
      </w:pPr>
      <w:r>
        <w:lastRenderedPageBreak/>
        <w:tab/>
      </w:r>
      <w:bookmarkStart w:id="77" w:name="_Ref4423072"/>
      <w:bookmarkStart w:id="78" w:name="_Toc35960453"/>
      <w:bookmarkEnd w:id="74"/>
      <w:r w:rsidR="008D4208" w:rsidRPr="0068330F">
        <w:t xml:space="preserve">Annex </w:t>
      </w:r>
      <w:r w:rsidR="008D4208">
        <w:t>D:</w:t>
      </w:r>
      <w:r w:rsidR="008D4208" w:rsidRPr="0068330F">
        <w:t xml:space="preserve"> </w:t>
      </w:r>
      <w:r w:rsidR="008D4208">
        <w:t xml:space="preserve">SPF </w:t>
      </w:r>
      <w:r w:rsidR="008D4208" w:rsidRPr="0068330F">
        <w:t>logic model</w:t>
      </w:r>
      <w:bookmarkEnd w:id="77"/>
      <w:bookmarkEnd w:id="78"/>
      <w:r w:rsidR="008D4208" w:rsidRPr="0068330F">
        <w:t xml:space="preserve"> </w:t>
      </w:r>
      <w:r w:rsidR="008D4208" w:rsidRPr="0068330F">
        <w:rPr>
          <w:noProof/>
          <w:lang w:eastAsia="en-GB"/>
        </w:rPr>
        <w:drawing>
          <wp:inline distT="0" distB="0" distL="0" distR="0" wp14:anchorId="074DC0B8" wp14:editId="72D1C452">
            <wp:extent cx="6708061" cy="50682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F logic map v4.png"/>
                    <pic:cNvPicPr/>
                  </pic:nvPicPr>
                  <pic:blipFill>
                    <a:blip r:embed="rId24">
                      <a:extLst>
                        <a:ext uri="{28A0092B-C50C-407E-A947-70E740481C1C}">
                          <a14:useLocalDpi xmlns:a14="http://schemas.microsoft.com/office/drawing/2010/main" val="0"/>
                        </a:ext>
                      </a:extLst>
                    </a:blip>
                    <a:stretch>
                      <a:fillRect/>
                    </a:stretch>
                  </pic:blipFill>
                  <pic:spPr>
                    <a:xfrm>
                      <a:off x="0" y="0"/>
                      <a:ext cx="6765474" cy="5111655"/>
                    </a:xfrm>
                    <a:prstGeom prst="rect">
                      <a:avLst/>
                    </a:prstGeom>
                  </pic:spPr>
                </pic:pic>
              </a:graphicData>
            </a:graphic>
          </wp:inline>
        </w:drawing>
      </w:r>
    </w:p>
    <w:sectPr w:rsidR="009324D0" w:rsidRPr="00AA45DF" w:rsidSect="00F1270E">
      <w:headerReference w:type="even" r:id="rId25"/>
      <w:headerReference w:type="default" r:id="rId26"/>
      <w:footerReference w:type="even" r:id="rId27"/>
      <w:footerReference w:type="default" r:id="rId28"/>
      <w:headerReference w:type="first" r:id="rId29"/>
      <w:footerReference w:type="first" r:id="rId30"/>
      <w:pgSz w:w="16838" w:h="11906" w:orient="landscape" w:code="9"/>
      <w:pgMar w:top="1440" w:right="127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E059" w14:textId="77777777" w:rsidR="00F42CB5" w:rsidRDefault="00F42CB5" w:rsidP="00BE64F6">
      <w:pPr>
        <w:spacing w:after="0" w:line="240" w:lineRule="auto"/>
      </w:pPr>
      <w:r>
        <w:separator/>
      </w:r>
    </w:p>
  </w:endnote>
  <w:endnote w:type="continuationSeparator" w:id="0">
    <w:p w14:paraId="10599FBD" w14:textId="77777777" w:rsidR="00F42CB5" w:rsidRDefault="00F42CB5" w:rsidP="00BE64F6">
      <w:pPr>
        <w:spacing w:after="0" w:line="240" w:lineRule="auto"/>
      </w:pPr>
      <w:r>
        <w:continuationSeparator/>
      </w:r>
    </w:p>
  </w:endnote>
  <w:endnote w:type="continuationNotice" w:id="1">
    <w:p w14:paraId="31D4B2EE" w14:textId="77777777" w:rsidR="00F42CB5" w:rsidRDefault="00F42C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Calibri"/>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D7A8A" w14:textId="77777777" w:rsidR="008D4208" w:rsidRDefault="008D4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5999568"/>
      <w:docPartObj>
        <w:docPartGallery w:val="Page Numbers (Bottom of Page)"/>
        <w:docPartUnique/>
      </w:docPartObj>
    </w:sdtPr>
    <w:sdtEndPr>
      <w:rPr>
        <w:noProof/>
      </w:rPr>
    </w:sdtEndPr>
    <w:sdtContent>
      <w:p w14:paraId="280EFB36" w14:textId="77777777" w:rsidR="008D4208" w:rsidRPr="00E22EAD" w:rsidRDefault="008D4208">
        <w:pPr>
          <w:pStyle w:val="Footer"/>
          <w:jc w:val="center"/>
        </w:pPr>
        <w:r w:rsidRPr="00E22EAD">
          <w:fldChar w:fldCharType="begin"/>
        </w:r>
        <w:r w:rsidRPr="00E22EAD">
          <w:instrText xml:space="preserve"> PAGE   \* MERGEFORMAT </w:instrText>
        </w:r>
        <w:r w:rsidRPr="00E22EAD">
          <w:fldChar w:fldCharType="separate"/>
        </w:r>
        <w:r>
          <w:rPr>
            <w:noProof/>
          </w:rPr>
          <w:t>20</w:t>
        </w:r>
        <w:r w:rsidRPr="00E22EAD">
          <w:rPr>
            <w:noProof/>
          </w:rPr>
          <w:fldChar w:fldCharType="end"/>
        </w:r>
      </w:p>
    </w:sdtContent>
  </w:sdt>
  <w:p w14:paraId="61C81EE2" w14:textId="77777777" w:rsidR="008D4208" w:rsidRDefault="008D42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864B8" w14:textId="77777777" w:rsidR="008D4208" w:rsidRDefault="008D42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08448" w14:textId="77777777" w:rsidR="00C3738D" w:rsidRDefault="00C373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6A12C" w14:textId="77777777" w:rsidR="00C3738D" w:rsidRPr="00152EB8" w:rsidRDefault="00C3738D">
    <w:pPr>
      <w:pStyle w:val="Footer"/>
      <w:jc w:val="center"/>
      <w:rPr>
        <w:rFonts w:ascii="Gill Sans MT" w:hAnsi="Gill Sans MT"/>
        <w:caps/>
        <w:noProof/>
        <w:color w:val="4F81BD" w:themeColor="accent1"/>
      </w:rPr>
    </w:pPr>
    <w:r w:rsidRPr="00152EB8">
      <w:rPr>
        <w:rFonts w:ascii="Gill Sans MT" w:hAnsi="Gill Sans MT"/>
        <w:caps/>
        <w:color w:val="4F81BD" w:themeColor="accent1"/>
      </w:rPr>
      <w:fldChar w:fldCharType="begin"/>
    </w:r>
    <w:r w:rsidRPr="00152EB8">
      <w:rPr>
        <w:rFonts w:ascii="Gill Sans MT" w:hAnsi="Gill Sans MT"/>
        <w:caps/>
        <w:color w:val="4F81BD" w:themeColor="accent1"/>
      </w:rPr>
      <w:instrText xml:space="preserve"> PAGE   \* MERGEFORMAT </w:instrText>
    </w:r>
    <w:r w:rsidRPr="00152EB8">
      <w:rPr>
        <w:rFonts w:ascii="Gill Sans MT" w:hAnsi="Gill Sans MT"/>
        <w:caps/>
        <w:color w:val="4F81BD" w:themeColor="accent1"/>
      </w:rPr>
      <w:fldChar w:fldCharType="separate"/>
    </w:r>
    <w:r>
      <w:rPr>
        <w:rFonts w:ascii="Gill Sans MT" w:hAnsi="Gill Sans MT"/>
        <w:caps/>
        <w:noProof/>
        <w:color w:val="4F81BD" w:themeColor="accent1"/>
      </w:rPr>
      <w:t>7</w:t>
    </w:r>
    <w:r w:rsidRPr="00152EB8">
      <w:rPr>
        <w:rFonts w:ascii="Gill Sans MT" w:hAnsi="Gill Sans MT"/>
        <w:caps/>
        <w:noProof/>
        <w:color w:val="4F81BD" w:themeColor="accent1"/>
      </w:rPr>
      <w:fldChar w:fldCharType="end"/>
    </w:r>
  </w:p>
  <w:p w14:paraId="76D1CEFA" w14:textId="77777777" w:rsidR="00C3738D" w:rsidRDefault="00C373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00C08" w14:textId="77777777" w:rsidR="00C3738D" w:rsidRDefault="00C37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6603B" w14:textId="77777777" w:rsidR="00F42CB5" w:rsidRDefault="00F42CB5" w:rsidP="00BE64F6">
      <w:pPr>
        <w:spacing w:after="0" w:line="240" w:lineRule="auto"/>
      </w:pPr>
      <w:r>
        <w:separator/>
      </w:r>
    </w:p>
  </w:footnote>
  <w:footnote w:type="continuationSeparator" w:id="0">
    <w:p w14:paraId="14912AC6" w14:textId="77777777" w:rsidR="00F42CB5" w:rsidRDefault="00F42CB5" w:rsidP="00BE64F6">
      <w:pPr>
        <w:spacing w:after="0" w:line="240" w:lineRule="auto"/>
      </w:pPr>
      <w:r>
        <w:continuationSeparator/>
      </w:r>
    </w:p>
  </w:footnote>
  <w:footnote w:type="continuationNotice" w:id="1">
    <w:p w14:paraId="6F00BD23" w14:textId="77777777" w:rsidR="00F42CB5" w:rsidRDefault="00F42CB5">
      <w:pPr>
        <w:spacing w:after="0" w:line="240" w:lineRule="auto"/>
      </w:pPr>
    </w:p>
  </w:footnote>
  <w:footnote w:id="2">
    <w:p w14:paraId="54C7F686" w14:textId="77777777" w:rsidR="008D4208" w:rsidRPr="00BD6769" w:rsidRDefault="008D4208" w:rsidP="008D4208">
      <w:pPr>
        <w:pStyle w:val="FootnoteText"/>
      </w:pPr>
      <w:r w:rsidRPr="00BD6769">
        <w:rPr>
          <w:rStyle w:val="FootnoteReference"/>
        </w:rPr>
        <w:footnoteRef/>
      </w:r>
      <w:r w:rsidRPr="00BD6769">
        <w:t xml:space="preserve"> UKRI and non-UKRI organisations </w:t>
      </w:r>
      <w:r>
        <w:t>involved in delivering</w:t>
      </w:r>
      <w:r w:rsidRPr="00BD6769">
        <w:t xml:space="preserve"> SPF projects are referred to in the remainder of this document as </w:t>
      </w:r>
      <w:r>
        <w:t xml:space="preserve">SPF </w:t>
      </w:r>
      <w:r w:rsidRPr="00BD6769">
        <w:t>‘delivery organisations’</w:t>
      </w:r>
      <w:r>
        <w:t>.</w:t>
      </w:r>
    </w:p>
  </w:footnote>
  <w:footnote w:id="3">
    <w:p w14:paraId="1649464D" w14:textId="77777777" w:rsidR="008D4208" w:rsidRDefault="008D4208" w:rsidP="008D4208">
      <w:pPr>
        <w:pStyle w:val="FootnoteText"/>
      </w:pPr>
      <w:r>
        <w:rPr>
          <w:rStyle w:val="FootnoteReference"/>
        </w:rPr>
        <w:footnoteRef/>
      </w:r>
      <w:r>
        <w:t xml:space="preserve"> Programmes defined as: a body of work relating to the administration of a successfully funded bid, by an eligible organisation (ie Research Council or PSRE), directly to the SPF</w:t>
      </w:r>
    </w:p>
  </w:footnote>
  <w:footnote w:id="4">
    <w:p w14:paraId="141AC6BA" w14:textId="77777777" w:rsidR="008D4208" w:rsidRDefault="008D4208" w:rsidP="008D4208">
      <w:pPr>
        <w:pStyle w:val="FootnoteText"/>
      </w:pPr>
      <w:r>
        <w:rPr>
          <w:rStyle w:val="FootnoteReference"/>
        </w:rPr>
        <w:footnoteRef/>
      </w:r>
      <w:r>
        <w:t xml:space="preserve"> </w:t>
      </w:r>
      <w:r w:rsidRPr="009E21BA">
        <w:rPr>
          <w:sz w:val="18"/>
        </w:rPr>
        <w:t>In some instances, M&amp;E leads will be responsible for more than one programme within a delivery organisation</w:t>
      </w:r>
    </w:p>
  </w:footnote>
  <w:footnote w:id="5">
    <w:p w14:paraId="62467D5F" w14:textId="77777777" w:rsidR="008D4208" w:rsidRDefault="008D4208" w:rsidP="008D4208">
      <w:pPr>
        <w:pStyle w:val="FootnoteText"/>
      </w:pPr>
      <w:r>
        <w:rPr>
          <w:rStyle w:val="FootnoteReference"/>
        </w:rPr>
        <w:footnoteRef/>
      </w:r>
      <w:r>
        <w:t xml:space="preserve"> For a comprehensive overview of methodological approaches, please refer to the UKRI Monitoring and Evaluation Framework</w:t>
      </w:r>
    </w:p>
  </w:footnote>
  <w:footnote w:id="6">
    <w:p w14:paraId="4544A15E" w14:textId="77777777" w:rsidR="008D4208" w:rsidRDefault="008D4208" w:rsidP="008D4208">
      <w:pPr>
        <w:pStyle w:val="FootnoteText"/>
      </w:pPr>
      <w:r>
        <w:rPr>
          <w:rStyle w:val="FootnoteReference"/>
        </w:rPr>
        <w:footnoteRef/>
      </w:r>
      <w:r>
        <w:t xml:space="preserve"> </w:t>
      </w:r>
      <w:hyperlink r:id="rId1" w:history="1">
        <w:r w:rsidRPr="009C0A11">
          <w:rPr>
            <w:rStyle w:val="Hyperlink"/>
          </w:rPr>
          <w:t>mailto:SPF@ukri.org</w:t>
        </w:r>
      </w:hyperlink>
    </w:p>
  </w:footnote>
  <w:footnote w:id="7">
    <w:p w14:paraId="74EF76A6" w14:textId="77777777" w:rsidR="008D4208" w:rsidRDefault="008D4208" w:rsidP="008D4208">
      <w:pPr>
        <w:pStyle w:val="FootnoteText"/>
      </w:pPr>
      <w:r>
        <w:rPr>
          <w:rStyle w:val="FootnoteReference"/>
        </w:rPr>
        <w:footnoteRef/>
      </w:r>
      <w:r>
        <w:t xml:space="preserve"> </w:t>
      </w:r>
      <w:hyperlink r:id="rId2" w:history="1">
        <w:r w:rsidRPr="009C0A11">
          <w:rPr>
            <w:rStyle w:val="Hyperlink"/>
          </w:rPr>
          <w:t>mailto:will.naughton@ukri.org</w:t>
        </w:r>
      </w:hyperlink>
    </w:p>
  </w:footnote>
  <w:footnote w:id="8">
    <w:p w14:paraId="21A7C6E7" w14:textId="77777777" w:rsidR="008D4208" w:rsidRDefault="008D4208" w:rsidP="008D4208">
      <w:pPr>
        <w:pStyle w:val="FootnoteText"/>
      </w:pPr>
      <w:r>
        <w:rPr>
          <w:rStyle w:val="FootnoteReference"/>
        </w:rPr>
        <w:footnoteRef/>
      </w:r>
      <w:r>
        <w:t xml:space="preserve"> Defined as Departmental Areas of Research Interest (ARIs)</w:t>
      </w:r>
    </w:p>
  </w:footnote>
  <w:footnote w:id="9">
    <w:p w14:paraId="3C86447D" w14:textId="77777777" w:rsidR="008D4208" w:rsidRDefault="008D4208" w:rsidP="008D4208">
      <w:pPr>
        <w:pStyle w:val="FootnoteText"/>
      </w:pPr>
      <w:r>
        <w:rPr>
          <w:rStyle w:val="FootnoteReference"/>
        </w:rPr>
        <w:footnoteRef/>
      </w:r>
      <w:r>
        <w:t xml:space="preserve"> </w:t>
      </w:r>
      <w:hyperlink r:id="rId3" w:history="1">
        <w:r w:rsidRPr="00617D39">
          <w:rPr>
            <w:rStyle w:val="Hyperlink"/>
          </w:rPr>
          <w:t>https://www.uksbs.co.uk/services/procure/Pages/default.aspx</w:t>
        </w:r>
      </w:hyperlink>
    </w:p>
  </w:footnote>
  <w:footnote w:id="10">
    <w:p w14:paraId="05FE4E93" w14:textId="77777777" w:rsidR="008D4208" w:rsidRPr="00B94834" w:rsidRDefault="008D4208" w:rsidP="008D4208">
      <w:pPr>
        <w:pStyle w:val="FootnoteText"/>
      </w:pPr>
      <w:r>
        <w:rPr>
          <w:rStyle w:val="FootnoteReference"/>
        </w:rPr>
        <w:footnoteRef/>
      </w:r>
      <w:r>
        <w:t xml:space="preserve"> To note, business case information may be transposed here if appropriate and still up-to-date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904BE" w14:textId="77777777" w:rsidR="008D4208" w:rsidRDefault="008D4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8E83F" w14:textId="241F491F" w:rsidR="008D4208" w:rsidRPr="00F35549" w:rsidRDefault="005B5BB4" w:rsidP="00F35549">
    <w:pPr>
      <w:pStyle w:val="Header"/>
      <w:jc w:val="center"/>
    </w:pPr>
    <w:r>
      <w:t>Annex A</w:t>
    </w:r>
  </w:p>
  <w:p w14:paraId="73029725" w14:textId="77777777" w:rsidR="008D4208" w:rsidRDefault="008D42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33254" w14:textId="77777777" w:rsidR="008D4208" w:rsidRDefault="008D42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26F5B" w14:textId="77777777" w:rsidR="00C3738D" w:rsidRDefault="00C373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6338" w14:textId="735A054F" w:rsidR="00C3738D" w:rsidRDefault="005B5BB4" w:rsidP="000D4B07">
    <w:pPr>
      <w:pStyle w:val="Header"/>
      <w:jc w:val="center"/>
    </w:pPr>
    <w:r>
      <w:t xml:space="preserve">Annex </w:t>
    </w:r>
    <w:r w:rsidR="00865DFB">
      <w:t>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0C15" w14:textId="77777777" w:rsidR="00C3738D" w:rsidRDefault="00C37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C43"/>
    <w:multiLevelType w:val="hybridMultilevel"/>
    <w:tmpl w:val="26725CD6"/>
    <w:lvl w:ilvl="0" w:tplc="3B42BA9E">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72CB4"/>
    <w:multiLevelType w:val="hybridMultilevel"/>
    <w:tmpl w:val="B7A0E9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83123"/>
    <w:multiLevelType w:val="hybridMultilevel"/>
    <w:tmpl w:val="7124F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0E1FF7"/>
    <w:multiLevelType w:val="hybridMultilevel"/>
    <w:tmpl w:val="5E72CBC2"/>
    <w:lvl w:ilvl="0" w:tplc="7ADE10D2">
      <w:start w:val="1"/>
      <w:numFmt w:val="decimal"/>
      <w:lvlText w:val="%1)"/>
      <w:lvlJc w:val="left"/>
      <w:pPr>
        <w:tabs>
          <w:tab w:val="num" w:pos="360"/>
        </w:tabs>
        <w:ind w:left="360" w:hanging="360"/>
      </w:pPr>
      <w:rPr>
        <w:rFonts w:cs="Times New Roman" w:hint="default"/>
        <w:color w:val="auto"/>
        <w:sz w:val="24"/>
        <w:szCs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decimal"/>
      <w:pStyle w:val="StyleHeaderArialBoldUnderlineJustified"/>
      <w:lvlText w:val="%4."/>
      <w:lvlJc w:val="left"/>
      <w:pPr>
        <w:tabs>
          <w:tab w:val="num" w:pos="2880"/>
        </w:tabs>
        <w:ind w:left="2520"/>
      </w:pPr>
      <w:rPr>
        <w:rFonts w:cs="Times New Roman" w:hint="default"/>
        <w:color w:val="auto"/>
        <w:sz w:val="16"/>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55F5D"/>
    <w:multiLevelType w:val="hybridMultilevel"/>
    <w:tmpl w:val="A0FED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D3048"/>
    <w:multiLevelType w:val="hybridMultilevel"/>
    <w:tmpl w:val="C5F26134"/>
    <w:lvl w:ilvl="0" w:tplc="AD5C10C6">
      <w:start w:val="1"/>
      <w:numFmt w:val="bullet"/>
      <w:lvlText w:val="-"/>
      <w:lvlJc w:val="left"/>
      <w:pPr>
        <w:ind w:left="720" w:hanging="360"/>
      </w:pPr>
      <w:rPr>
        <w:rFonts w:ascii="Calibri" w:eastAsiaTheme="minorHAnsi" w:hAnsi="Calibri" w:cs="Calibr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23947"/>
    <w:multiLevelType w:val="hybridMultilevel"/>
    <w:tmpl w:val="1E1205B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 w15:restartNumberingAfterBreak="0">
    <w:nsid w:val="12393836"/>
    <w:multiLevelType w:val="multilevel"/>
    <w:tmpl w:val="72D4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5A7CFF"/>
    <w:multiLevelType w:val="hybridMultilevel"/>
    <w:tmpl w:val="2A963AA0"/>
    <w:lvl w:ilvl="0" w:tplc="0809000F">
      <w:start w:val="1"/>
      <w:numFmt w:val="decimal"/>
      <w:lvlText w:val="%1."/>
      <w:lvlJc w:val="left"/>
      <w:pPr>
        <w:ind w:left="893" w:hanging="360"/>
      </w:pPr>
    </w:lvl>
    <w:lvl w:ilvl="1" w:tplc="08090019" w:tentative="1">
      <w:start w:val="1"/>
      <w:numFmt w:val="lowerLetter"/>
      <w:lvlText w:val="%2."/>
      <w:lvlJc w:val="left"/>
      <w:pPr>
        <w:ind w:left="1613" w:hanging="360"/>
      </w:pPr>
    </w:lvl>
    <w:lvl w:ilvl="2" w:tplc="0809001B" w:tentative="1">
      <w:start w:val="1"/>
      <w:numFmt w:val="lowerRoman"/>
      <w:lvlText w:val="%3."/>
      <w:lvlJc w:val="right"/>
      <w:pPr>
        <w:ind w:left="2333" w:hanging="180"/>
      </w:pPr>
    </w:lvl>
    <w:lvl w:ilvl="3" w:tplc="0809000F" w:tentative="1">
      <w:start w:val="1"/>
      <w:numFmt w:val="decimal"/>
      <w:lvlText w:val="%4."/>
      <w:lvlJc w:val="left"/>
      <w:pPr>
        <w:ind w:left="3053" w:hanging="360"/>
      </w:pPr>
    </w:lvl>
    <w:lvl w:ilvl="4" w:tplc="08090019" w:tentative="1">
      <w:start w:val="1"/>
      <w:numFmt w:val="lowerLetter"/>
      <w:lvlText w:val="%5."/>
      <w:lvlJc w:val="left"/>
      <w:pPr>
        <w:ind w:left="3773" w:hanging="360"/>
      </w:pPr>
    </w:lvl>
    <w:lvl w:ilvl="5" w:tplc="0809001B" w:tentative="1">
      <w:start w:val="1"/>
      <w:numFmt w:val="lowerRoman"/>
      <w:lvlText w:val="%6."/>
      <w:lvlJc w:val="right"/>
      <w:pPr>
        <w:ind w:left="4493" w:hanging="180"/>
      </w:pPr>
    </w:lvl>
    <w:lvl w:ilvl="6" w:tplc="0809000F" w:tentative="1">
      <w:start w:val="1"/>
      <w:numFmt w:val="decimal"/>
      <w:lvlText w:val="%7."/>
      <w:lvlJc w:val="left"/>
      <w:pPr>
        <w:ind w:left="5213" w:hanging="360"/>
      </w:pPr>
    </w:lvl>
    <w:lvl w:ilvl="7" w:tplc="08090019" w:tentative="1">
      <w:start w:val="1"/>
      <w:numFmt w:val="lowerLetter"/>
      <w:lvlText w:val="%8."/>
      <w:lvlJc w:val="left"/>
      <w:pPr>
        <w:ind w:left="5933" w:hanging="360"/>
      </w:pPr>
    </w:lvl>
    <w:lvl w:ilvl="8" w:tplc="0809001B" w:tentative="1">
      <w:start w:val="1"/>
      <w:numFmt w:val="lowerRoman"/>
      <w:lvlText w:val="%9."/>
      <w:lvlJc w:val="right"/>
      <w:pPr>
        <w:ind w:left="6653" w:hanging="180"/>
      </w:pPr>
    </w:lvl>
  </w:abstractNum>
  <w:abstractNum w:abstractNumId="9" w15:restartNumberingAfterBreak="0">
    <w:nsid w:val="16AE341C"/>
    <w:multiLevelType w:val="hybridMultilevel"/>
    <w:tmpl w:val="92263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0634E0"/>
    <w:multiLevelType w:val="multilevel"/>
    <w:tmpl w:val="48ECE048"/>
    <w:styleLink w:val="FrameworkHeadings"/>
    <w:lvl w:ilvl="0">
      <w:start w:val="1"/>
      <w:numFmt w:val="decimal"/>
      <w:lvlText w:val="%1."/>
      <w:lvlJc w:val="left"/>
      <w:pPr>
        <w:tabs>
          <w:tab w:val="num" w:pos="0"/>
        </w:tabs>
        <w:ind w:left="369" w:hanging="369"/>
      </w:pPr>
      <w:rPr>
        <w:rFonts w:ascii="Gill Sans MT" w:hAnsi="Gill Sans MT" w:hint="default"/>
        <w:b/>
        <w:i w:val="0"/>
        <w:sz w:val="28"/>
      </w:rPr>
    </w:lvl>
    <w:lvl w:ilvl="1">
      <w:start w:val="1"/>
      <w:numFmt w:val="decimal"/>
      <w:lvlText w:val="%1.%2"/>
      <w:lvlJc w:val="left"/>
      <w:pPr>
        <w:tabs>
          <w:tab w:val="num" w:pos="0"/>
        </w:tabs>
        <w:ind w:left="369" w:hanging="369"/>
      </w:pPr>
      <w:rPr>
        <w:rFonts w:hint="default"/>
      </w:rPr>
    </w:lvl>
    <w:lvl w:ilvl="2">
      <w:start w:val="1"/>
      <w:numFmt w:val="lowerRoman"/>
      <w:lvlText w:val="%3)"/>
      <w:lvlJc w:val="left"/>
      <w:pPr>
        <w:tabs>
          <w:tab w:val="num" w:pos="0"/>
        </w:tabs>
        <w:ind w:left="369" w:hanging="369"/>
      </w:pPr>
      <w:rPr>
        <w:rFonts w:hint="default"/>
      </w:rPr>
    </w:lvl>
    <w:lvl w:ilvl="3">
      <w:start w:val="1"/>
      <w:numFmt w:val="decimal"/>
      <w:lvlText w:val="(%4)"/>
      <w:lvlJc w:val="left"/>
      <w:pPr>
        <w:tabs>
          <w:tab w:val="num" w:pos="0"/>
        </w:tabs>
        <w:ind w:left="369" w:hanging="369"/>
      </w:pPr>
      <w:rPr>
        <w:rFonts w:hint="default"/>
      </w:rPr>
    </w:lvl>
    <w:lvl w:ilvl="4">
      <w:start w:val="1"/>
      <w:numFmt w:val="lowerLetter"/>
      <w:lvlText w:val="(%5)"/>
      <w:lvlJc w:val="left"/>
      <w:pPr>
        <w:tabs>
          <w:tab w:val="num" w:pos="0"/>
        </w:tabs>
        <w:ind w:left="369" w:hanging="369"/>
      </w:pPr>
      <w:rPr>
        <w:rFonts w:hint="default"/>
      </w:rPr>
    </w:lvl>
    <w:lvl w:ilvl="5">
      <w:start w:val="1"/>
      <w:numFmt w:val="lowerRoman"/>
      <w:lvlText w:val="(%6)"/>
      <w:lvlJc w:val="left"/>
      <w:pPr>
        <w:tabs>
          <w:tab w:val="num" w:pos="0"/>
        </w:tabs>
        <w:ind w:left="369" w:hanging="369"/>
      </w:pPr>
      <w:rPr>
        <w:rFonts w:hint="default"/>
      </w:rPr>
    </w:lvl>
    <w:lvl w:ilvl="6">
      <w:start w:val="1"/>
      <w:numFmt w:val="decimal"/>
      <w:lvlText w:val="%7."/>
      <w:lvlJc w:val="left"/>
      <w:pPr>
        <w:tabs>
          <w:tab w:val="num" w:pos="0"/>
        </w:tabs>
        <w:ind w:left="369" w:hanging="369"/>
      </w:pPr>
      <w:rPr>
        <w:rFonts w:hint="default"/>
      </w:rPr>
    </w:lvl>
    <w:lvl w:ilvl="7">
      <w:start w:val="1"/>
      <w:numFmt w:val="lowerLetter"/>
      <w:lvlText w:val="%8."/>
      <w:lvlJc w:val="left"/>
      <w:pPr>
        <w:tabs>
          <w:tab w:val="num" w:pos="0"/>
        </w:tabs>
        <w:ind w:left="369" w:hanging="369"/>
      </w:pPr>
      <w:rPr>
        <w:rFonts w:hint="default"/>
      </w:rPr>
    </w:lvl>
    <w:lvl w:ilvl="8">
      <w:start w:val="1"/>
      <w:numFmt w:val="lowerRoman"/>
      <w:lvlText w:val="%9."/>
      <w:lvlJc w:val="left"/>
      <w:pPr>
        <w:tabs>
          <w:tab w:val="num" w:pos="0"/>
        </w:tabs>
        <w:ind w:left="369" w:hanging="369"/>
      </w:pPr>
      <w:rPr>
        <w:rFonts w:hint="default"/>
      </w:rPr>
    </w:lvl>
  </w:abstractNum>
  <w:abstractNum w:abstractNumId="11" w15:restartNumberingAfterBreak="0">
    <w:nsid w:val="24800A9E"/>
    <w:multiLevelType w:val="multilevel"/>
    <w:tmpl w:val="08090025"/>
    <w:lvl w:ilvl="0">
      <w:start w:val="1"/>
      <w:numFmt w:val="decimal"/>
      <w:lvlText w:val="%1"/>
      <w:lvlJc w:val="left"/>
      <w:pPr>
        <w:ind w:left="432" w:hanging="432"/>
      </w:pPr>
      <w:rPr>
        <w:rFonts w:hint="default"/>
        <w:b/>
        <w:i w:val="0"/>
        <w:sz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3" w15:restartNumberingAfterBreak="0">
    <w:nsid w:val="27995957"/>
    <w:multiLevelType w:val="hybridMultilevel"/>
    <w:tmpl w:val="46BE7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12AA1"/>
    <w:multiLevelType w:val="hybridMultilevel"/>
    <w:tmpl w:val="28409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4B1E50"/>
    <w:multiLevelType w:val="hybridMultilevel"/>
    <w:tmpl w:val="10EA1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A46870"/>
    <w:multiLevelType w:val="hybridMultilevel"/>
    <w:tmpl w:val="A9884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214840"/>
    <w:multiLevelType w:val="hybridMultilevel"/>
    <w:tmpl w:val="928A4FF6"/>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rPr>
        <w:rFonts w:hint="default"/>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A25318"/>
    <w:multiLevelType w:val="hybridMultilevel"/>
    <w:tmpl w:val="0406D2DE"/>
    <w:lvl w:ilvl="0" w:tplc="FD8C66AC">
      <w:start w:val="1"/>
      <w:numFmt w:val="upperRoman"/>
      <w:lvlText w:val="%1."/>
      <w:lvlJc w:val="righ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3812F5"/>
    <w:multiLevelType w:val="hybridMultilevel"/>
    <w:tmpl w:val="E4AAD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7979A1"/>
    <w:multiLevelType w:val="hybridMultilevel"/>
    <w:tmpl w:val="DF8CA49A"/>
    <w:lvl w:ilvl="0" w:tplc="7C321092">
      <w:start w:val="20"/>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FE549A"/>
    <w:multiLevelType w:val="hybridMultilevel"/>
    <w:tmpl w:val="DF847738"/>
    <w:lvl w:ilvl="0" w:tplc="3CD29F74">
      <w:start w:val="1"/>
      <w:numFmt w:val="bullet"/>
      <w:lvlText w:val="•"/>
      <w:lvlJc w:val="left"/>
      <w:pPr>
        <w:tabs>
          <w:tab w:val="num" w:pos="720"/>
        </w:tabs>
        <w:ind w:left="720" w:hanging="360"/>
      </w:pPr>
      <w:rPr>
        <w:rFonts w:ascii="Arial" w:hAnsi="Arial" w:hint="default"/>
      </w:rPr>
    </w:lvl>
    <w:lvl w:ilvl="1" w:tplc="C75498D8">
      <w:start w:val="1"/>
      <w:numFmt w:val="bullet"/>
      <w:lvlText w:val="•"/>
      <w:lvlJc w:val="left"/>
      <w:pPr>
        <w:tabs>
          <w:tab w:val="num" w:pos="1440"/>
        </w:tabs>
        <w:ind w:left="1440" w:hanging="360"/>
      </w:pPr>
      <w:rPr>
        <w:rFonts w:ascii="Arial" w:hAnsi="Arial" w:hint="default"/>
      </w:rPr>
    </w:lvl>
    <w:lvl w:ilvl="2" w:tplc="311C84DE" w:tentative="1">
      <w:start w:val="1"/>
      <w:numFmt w:val="bullet"/>
      <w:lvlText w:val="•"/>
      <w:lvlJc w:val="left"/>
      <w:pPr>
        <w:tabs>
          <w:tab w:val="num" w:pos="2160"/>
        </w:tabs>
        <w:ind w:left="2160" w:hanging="360"/>
      </w:pPr>
      <w:rPr>
        <w:rFonts w:ascii="Arial" w:hAnsi="Arial" w:hint="default"/>
      </w:rPr>
    </w:lvl>
    <w:lvl w:ilvl="3" w:tplc="E0F011EA" w:tentative="1">
      <w:start w:val="1"/>
      <w:numFmt w:val="bullet"/>
      <w:lvlText w:val="•"/>
      <w:lvlJc w:val="left"/>
      <w:pPr>
        <w:tabs>
          <w:tab w:val="num" w:pos="2880"/>
        </w:tabs>
        <w:ind w:left="2880" w:hanging="360"/>
      </w:pPr>
      <w:rPr>
        <w:rFonts w:ascii="Arial" w:hAnsi="Arial" w:hint="default"/>
      </w:rPr>
    </w:lvl>
    <w:lvl w:ilvl="4" w:tplc="AC40813A" w:tentative="1">
      <w:start w:val="1"/>
      <w:numFmt w:val="bullet"/>
      <w:lvlText w:val="•"/>
      <w:lvlJc w:val="left"/>
      <w:pPr>
        <w:tabs>
          <w:tab w:val="num" w:pos="3600"/>
        </w:tabs>
        <w:ind w:left="3600" w:hanging="360"/>
      </w:pPr>
      <w:rPr>
        <w:rFonts w:ascii="Arial" w:hAnsi="Arial" w:hint="default"/>
      </w:rPr>
    </w:lvl>
    <w:lvl w:ilvl="5" w:tplc="2C02AB96" w:tentative="1">
      <w:start w:val="1"/>
      <w:numFmt w:val="bullet"/>
      <w:lvlText w:val="•"/>
      <w:lvlJc w:val="left"/>
      <w:pPr>
        <w:tabs>
          <w:tab w:val="num" w:pos="4320"/>
        </w:tabs>
        <w:ind w:left="4320" w:hanging="360"/>
      </w:pPr>
      <w:rPr>
        <w:rFonts w:ascii="Arial" w:hAnsi="Arial" w:hint="default"/>
      </w:rPr>
    </w:lvl>
    <w:lvl w:ilvl="6" w:tplc="27FC5FE4" w:tentative="1">
      <w:start w:val="1"/>
      <w:numFmt w:val="bullet"/>
      <w:lvlText w:val="•"/>
      <w:lvlJc w:val="left"/>
      <w:pPr>
        <w:tabs>
          <w:tab w:val="num" w:pos="5040"/>
        </w:tabs>
        <w:ind w:left="5040" w:hanging="360"/>
      </w:pPr>
      <w:rPr>
        <w:rFonts w:ascii="Arial" w:hAnsi="Arial" w:hint="default"/>
      </w:rPr>
    </w:lvl>
    <w:lvl w:ilvl="7" w:tplc="269A65F4" w:tentative="1">
      <w:start w:val="1"/>
      <w:numFmt w:val="bullet"/>
      <w:lvlText w:val="•"/>
      <w:lvlJc w:val="left"/>
      <w:pPr>
        <w:tabs>
          <w:tab w:val="num" w:pos="5760"/>
        </w:tabs>
        <w:ind w:left="5760" w:hanging="360"/>
      </w:pPr>
      <w:rPr>
        <w:rFonts w:ascii="Arial" w:hAnsi="Arial" w:hint="default"/>
      </w:rPr>
    </w:lvl>
    <w:lvl w:ilvl="8" w:tplc="9B82517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FC531FA"/>
    <w:multiLevelType w:val="hybridMultilevel"/>
    <w:tmpl w:val="792C054C"/>
    <w:lvl w:ilvl="0" w:tplc="0809000F">
      <w:start w:val="1"/>
      <w:numFmt w:val="decimal"/>
      <w:lvlText w:val="%1."/>
      <w:lvlJc w:val="left"/>
      <w:pPr>
        <w:ind w:left="360" w:hanging="360"/>
      </w:pPr>
      <w:rPr>
        <w:rFonts w:hint="default"/>
      </w:rPr>
    </w:lvl>
    <w:lvl w:ilvl="1" w:tplc="7902AD2A">
      <w:start w:val="1"/>
      <w:numFmt w:val="lowerLetter"/>
      <w:lvlText w:val="%2."/>
      <w:lvlJc w:val="left"/>
      <w:pPr>
        <w:ind w:left="1080" w:hanging="360"/>
      </w:pPr>
      <w:rPr>
        <w:b w:val="0"/>
      </w:rPr>
    </w:lvl>
    <w:lvl w:ilvl="2" w:tplc="0809001B">
      <w:start w:val="1"/>
      <w:numFmt w:val="lowerRoman"/>
      <w:lvlText w:val="%3."/>
      <w:lvlJc w:val="right"/>
      <w:pPr>
        <w:ind w:left="1800" w:hanging="180"/>
      </w:pPr>
    </w:lvl>
    <w:lvl w:ilvl="3" w:tplc="08090001">
      <w:start w:val="1"/>
      <w:numFmt w:val="bullet"/>
      <w:lvlText w:val=""/>
      <w:lvlJc w:val="left"/>
      <w:pPr>
        <w:ind w:left="2520" w:hanging="360"/>
      </w:pPr>
      <w:rPr>
        <w:rFonts w:ascii="Symbol" w:hAnsi="Symbo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2A3260A"/>
    <w:multiLevelType w:val="hybridMultilevel"/>
    <w:tmpl w:val="F5F41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604A87"/>
    <w:multiLevelType w:val="hybridMultilevel"/>
    <w:tmpl w:val="9BCA424E"/>
    <w:lvl w:ilvl="0" w:tplc="7C321092">
      <w:start w:val="2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3F53A6"/>
    <w:multiLevelType w:val="hybridMultilevel"/>
    <w:tmpl w:val="C19C2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6B3423"/>
    <w:multiLevelType w:val="hybridMultilevel"/>
    <w:tmpl w:val="BD0E6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D1661D"/>
    <w:multiLevelType w:val="hybridMultilevel"/>
    <w:tmpl w:val="4E8A9084"/>
    <w:lvl w:ilvl="0" w:tplc="26DC1992">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481E6D67"/>
    <w:multiLevelType w:val="hybridMultilevel"/>
    <w:tmpl w:val="B5E0E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BF5013"/>
    <w:multiLevelType w:val="hybridMultilevel"/>
    <w:tmpl w:val="52B8B242"/>
    <w:lvl w:ilvl="0" w:tplc="FD8C66AC">
      <w:start w:val="1"/>
      <w:numFmt w:val="upperRoman"/>
      <w:lvlText w:val="%1."/>
      <w:lvlJc w:val="righ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7F7212"/>
    <w:multiLevelType w:val="hybridMultilevel"/>
    <w:tmpl w:val="DC124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B475C4"/>
    <w:multiLevelType w:val="hybridMultilevel"/>
    <w:tmpl w:val="E5627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F764E9"/>
    <w:multiLevelType w:val="hybridMultilevel"/>
    <w:tmpl w:val="0650644A"/>
    <w:lvl w:ilvl="0" w:tplc="3B42BA9E">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57504C"/>
    <w:multiLevelType w:val="hybridMultilevel"/>
    <w:tmpl w:val="607E406E"/>
    <w:lvl w:ilvl="0" w:tplc="FD8C66AC">
      <w:start w:val="1"/>
      <w:numFmt w:val="upperRoman"/>
      <w:lvlText w:val="%1."/>
      <w:lvlJc w:val="right"/>
      <w:pPr>
        <w:ind w:left="774" w:hanging="360"/>
      </w:pPr>
      <w:rPr>
        <w:rFonts w:hint="default"/>
        <w:sz w:val="22"/>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4" w15:restartNumberingAfterBreak="0">
    <w:nsid w:val="619A0A75"/>
    <w:multiLevelType w:val="hybridMultilevel"/>
    <w:tmpl w:val="02561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822A40"/>
    <w:multiLevelType w:val="hybridMultilevel"/>
    <w:tmpl w:val="40D22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6A7081"/>
    <w:multiLevelType w:val="hybridMultilevel"/>
    <w:tmpl w:val="CEEA8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E13DB6"/>
    <w:multiLevelType w:val="hybridMultilevel"/>
    <w:tmpl w:val="B7A0E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9C2AA4"/>
    <w:multiLevelType w:val="hybridMultilevel"/>
    <w:tmpl w:val="11E6EE4A"/>
    <w:lvl w:ilvl="0" w:tplc="3B42BA9E">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055E70"/>
    <w:multiLevelType w:val="hybridMultilevel"/>
    <w:tmpl w:val="727C7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192576"/>
    <w:multiLevelType w:val="hybridMultilevel"/>
    <w:tmpl w:val="5B4E40A0"/>
    <w:lvl w:ilvl="0" w:tplc="CB24D40E">
      <w:start w:val="3"/>
      <w:numFmt w:val="bullet"/>
      <w:pStyle w:val="Tablebullet"/>
      <w:lvlText w:val="-"/>
      <w:lvlJc w:val="left"/>
      <w:pPr>
        <w:ind w:left="360" w:hanging="360"/>
      </w:pPr>
      <w:rPr>
        <w:rFonts w:ascii="Calibri" w:eastAsiaTheme="minorHAnsi" w:hAnsi="Calibri" w:cstheme="minorBid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26F6DA0"/>
    <w:multiLevelType w:val="hybridMultilevel"/>
    <w:tmpl w:val="DAF46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EE140D"/>
    <w:multiLevelType w:val="hybridMultilevel"/>
    <w:tmpl w:val="C68EAF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22"/>
  </w:num>
  <w:num w:numId="4">
    <w:abstractNumId w:val="24"/>
  </w:num>
  <w:num w:numId="5">
    <w:abstractNumId w:val="40"/>
  </w:num>
  <w:num w:numId="6">
    <w:abstractNumId w:val="20"/>
  </w:num>
  <w:num w:numId="7">
    <w:abstractNumId w:val="5"/>
  </w:num>
  <w:num w:numId="8">
    <w:abstractNumId w:val="10"/>
  </w:num>
  <w:num w:numId="9">
    <w:abstractNumId w:val="11"/>
  </w:num>
  <w:num w:numId="10">
    <w:abstractNumId w:val="8"/>
  </w:num>
  <w:num w:numId="11">
    <w:abstractNumId w:val="6"/>
  </w:num>
  <w:num w:numId="12">
    <w:abstractNumId w:val="23"/>
  </w:num>
  <w:num w:numId="13">
    <w:abstractNumId w:val="2"/>
  </w:num>
  <w:num w:numId="14">
    <w:abstractNumId w:val="13"/>
  </w:num>
  <w:num w:numId="15">
    <w:abstractNumId w:val="28"/>
  </w:num>
  <w:num w:numId="16">
    <w:abstractNumId w:val="42"/>
  </w:num>
  <w:num w:numId="17">
    <w:abstractNumId w:val="32"/>
  </w:num>
  <w:num w:numId="18">
    <w:abstractNumId w:val="38"/>
  </w:num>
  <w:num w:numId="19">
    <w:abstractNumId w:val="0"/>
  </w:num>
  <w:num w:numId="20">
    <w:abstractNumId w:val="16"/>
  </w:num>
  <w:num w:numId="21">
    <w:abstractNumId w:val="30"/>
  </w:num>
  <w:num w:numId="22">
    <w:abstractNumId w:val="27"/>
  </w:num>
  <w:num w:numId="23">
    <w:abstractNumId w:val="4"/>
  </w:num>
  <w:num w:numId="24">
    <w:abstractNumId w:val="26"/>
  </w:num>
  <w:num w:numId="25">
    <w:abstractNumId w:val="34"/>
  </w:num>
  <w:num w:numId="26">
    <w:abstractNumId w:val="15"/>
  </w:num>
  <w:num w:numId="27">
    <w:abstractNumId w:val="39"/>
  </w:num>
  <w:num w:numId="28">
    <w:abstractNumId w:val="41"/>
  </w:num>
  <w:num w:numId="29">
    <w:abstractNumId w:val="14"/>
  </w:num>
  <w:num w:numId="30">
    <w:abstractNumId w:val="31"/>
  </w:num>
  <w:num w:numId="31">
    <w:abstractNumId w:val="25"/>
  </w:num>
  <w:num w:numId="32">
    <w:abstractNumId w:val="36"/>
  </w:num>
  <w:num w:numId="33">
    <w:abstractNumId w:val="19"/>
  </w:num>
  <w:num w:numId="34">
    <w:abstractNumId w:val="9"/>
  </w:num>
  <w:num w:numId="35">
    <w:abstractNumId w:val="37"/>
  </w:num>
  <w:num w:numId="36">
    <w:abstractNumId w:val="18"/>
  </w:num>
  <w:num w:numId="37">
    <w:abstractNumId w:val="33"/>
  </w:num>
  <w:num w:numId="38">
    <w:abstractNumId w:val="29"/>
  </w:num>
  <w:num w:numId="39">
    <w:abstractNumId w:val="1"/>
  </w:num>
  <w:num w:numId="40">
    <w:abstractNumId w:val="35"/>
  </w:num>
  <w:num w:numId="41">
    <w:abstractNumId w:val="21"/>
  </w:num>
  <w:num w:numId="42">
    <w:abstractNumId w:val="17"/>
  </w:num>
  <w:num w:numId="43">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86"/>
    <w:rsid w:val="00001E3B"/>
    <w:rsid w:val="00004A79"/>
    <w:rsid w:val="00007987"/>
    <w:rsid w:val="000104A5"/>
    <w:rsid w:val="00011142"/>
    <w:rsid w:val="00011503"/>
    <w:rsid w:val="0001165E"/>
    <w:rsid w:val="000123DA"/>
    <w:rsid w:val="00014644"/>
    <w:rsid w:val="000155F1"/>
    <w:rsid w:val="00015D0E"/>
    <w:rsid w:val="0001610B"/>
    <w:rsid w:val="0001794B"/>
    <w:rsid w:val="00017CE2"/>
    <w:rsid w:val="00017F4E"/>
    <w:rsid w:val="00017FC1"/>
    <w:rsid w:val="00020206"/>
    <w:rsid w:val="0002541A"/>
    <w:rsid w:val="00027035"/>
    <w:rsid w:val="0002737F"/>
    <w:rsid w:val="00027D64"/>
    <w:rsid w:val="00031A8E"/>
    <w:rsid w:val="0003300E"/>
    <w:rsid w:val="000333D2"/>
    <w:rsid w:val="00034BD9"/>
    <w:rsid w:val="000355C6"/>
    <w:rsid w:val="00035D04"/>
    <w:rsid w:val="00036078"/>
    <w:rsid w:val="000364D5"/>
    <w:rsid w:val="00037278"/>
    <w:rsid w:val="00037358"/>
    <w:rsid w:val="00040AF4"/>
    <w:rsid w:val="00040BA2"/>
    <w:rsid w:val="00042780"/>
    <w:rsid w:val="000445CA"/>
    <w:rsid w:val="00044D00"/>
    <w:rsid w:val="00044DDE"/>
    <w:rsid w:val="0004561B"/>
    <w:rsid w:val="00045A2F"/>
    <w:rsid w:val="00047A01"/>
    <w:rsid w:val="00051B6A"/>
    <w:rsid w:val="00052CBA"/>
    <w:rsid w:val="00056377"/>
    <w:rsid w:val="00056399"/>
    <w:rsid w:val="0005640E"/>
    <w:rsid w:val="0005659D"/>
    <w:rsid w:val="00057514"/>
    <w:rsid w:val="00060691"/>
    <w:rsid w:val="000607BB"/>
    <w:rsid w:val="000612E4"/>
    <w:rsid w:val="00061E37"/>
    <w:rsid w:val="00062D1F"/>
    <w:rsid w:val="00063A5E"/>
    <w:rsid w:val="000641FD"/>
    <w:rsid w:val="000655E1"/>
    <w:rsid w:val="00066C5B"/>
    <w:rsid w:val="000674D1"/>
    <w:rsid w:val="0007051F"/>
    <w:rsid w:val="000754F9"/>
    <w:rsid w:val="00075B58"/>
    <w:rsid w:val="00075EA1"/>
    <w:rsid w:val="0008269C"/>
    <w:rsid w:val="00084464"/>
    <w:rsid w:val="0009092F"/>
    <w:rsid w:val="00091350"/>
    <w:rsid w:val="00093B0A"/>
    <w:rsid w:val="000956DD"/>
    <w:rsid w:val="000A062C"/>
    <w:rsid w:val="000A1769"/>
    <w:rsid w:val="000A1786"/>
    <w:rsid w:val="000A257B"/>
    <w:rsid w:val="000B01D3"/>
    <w:rsid w:val="000B0302"/>
    <w:rsid w:val="000B10AF"/>
    <w:rsid w:val="000B14C0"/>
    <w:rsid w:val="000B16CF"/>
    <w:rsid w:val="000B3881"/>
    <w:rsid w:val="000B57D3"/>
    <w:rsid w:val="000B5FF7"/>
    <w:rsid w:val="000B6A52"/>
    <w:rsid w:val="000B704F"/>
    <w:rsid w:val="000B785C"/>
    <w:rsid w:val="000C0E57"/>
    <w:rsid w:val="000C1355"/>
    <w:rsid w:val="000C1797"/>
    <w:rsid w:val="000C43A7"/>
    <w:rsid w:val="000C4C54"/>
    <w:rsid w:val="000C4EB9"/>
    <w:rsid w:val="000D037B"/>
    <w:rsid w:val="000D0A35"/>
    <w:rsid w:val="000D2641"/>
    <w:rsid w:val="000D4370"/>
    <w:rsid w:val="000D57ED"/>
    <w:rsid w:val="000D6E67"/>
    <w:rsid w:val="000E1AE0"/>
    <w:rsid w:val="000E2006"/>
    <w:rsid w:val="000E4D6F"/>
    <w:rsid w:val="000E70C4"/>
    <w:rsid w:val="000E713E"/>
    <w:rsid w:val="000E72C2"/>
    <w:rsid w:val="000F667F"/>
    <w:rsid w:val="00100909"/>
    <w:rsid w:val="00100BE0"/>
    <w:rsid w:val="00101745"/>
    <w:rsid w:val="0010753D"/>
    <w:rsid w:val="00110332"/>
    <w:rsid w:val="00112EE2"/>
    <w:rsid w:val="00113909"/>
    <w:rsid w:val="00113BBC"/>
    <w:rsid w:val="0011458D"/>
    <w:rsid w:val="0011490B"/>
    <w:rsid w:val="00114CC5"/>
    <w:rsid w:val="0011708C"/>
    <w:rsid w:val="00120965"/>
    <w:rsid w:val="001210B4"/>
    <w:rsid w:val="001242BA"/>
    <w:rsid w:val="00124F9A"/>
    <w:rsid w:val="00125316"/>
    <w:rsid w:val="00125366"/>
    <w:rsid w:val="0012586D"/>
    <w:rsid w:val="0012624C"/>
    <w:rsid w:val="0012670D"/>
    <w:rsid w:val="00131C09"/>
    <w:rsid w:val="00134D07"/>
    <w:rsid w:val="0013622E"/>
    <w:rsid w:val="00137994"/>
    <w:rsid w:val="00141621"/>
    <w:rsid w:val="00143237"/>
    <w:rsid w:val="00145F31"/>
    <w:rsid w:val="00146962"/>
    <w:rsid w:val="001510BE"/>
    <w:rsid w:val="0015165F"/>
    <w:rsid w:val="001549B3"/>
    <w:rsid w:val="0015506B"/>
    <w:rsid w:val="00161D37"/>
    <w:rsid w:val="001626D5"/>
    <w:rsid w:val="00163876"/>
    <w:rsid w:val="0016488A"/>
    <w:rsid w:val="00165809"/>
    <w:rsid w:val="00166891"/>
    <w:rsid w:val="00166F8B"/>
    <w:rsid w:val="00170CD6"/>
    <w:rsid w:val="00173627"/>
    <w:rsid w:val="00173CE2"/>
    <w:rsid w:val="0017425A"/>
    <w:rsid w:val="001750B3"/>
    <w:rsid w:val="00176310"/>
    <w:rsid w:val="00180869"/>
    <w:rsid w:val="00181322"/>
    <w:rsid w:val="00181632"/>
    <w:rsid w:val="00182E29"/>
    <w:rsid w:val="0019033D"/>
    <w:rsid w:val="00191488"/>
    <w:rsid w:val="00192524"/>
    <w:rsid w:val="00192776"/>
    <w:rsid w:val="001933FB"/>
    <w:rsid w:val="00195EE8"/>
    <w:rsid w:val="001973FB"/>
    <w:rsid w:val="0019786B"/>
    <w:rsid w:val="001A14C3"/>
    <w:rsid w:val="001A4989"/>
    <w:rsid w:val="001A5087"/>
    <w:rsid w:val="001A5A10"/>
    <w:rsid w:val="001B19ED"/>
    <w:rsid w:val="001B1D7D"/>
    <w:rsid w:val="001B285B"/>
    <w:rsid w:val="001B2AF9"/>
    <w:rsid w:val="001B601E"/>
    <w:rsid w:val="001C13C6"/>
    <w:rsid w:val="001C1630"/>
    <w:rsid w:val="001C2469"/>
    <w:rsid w:val="001C24CF"/>
    <w:rsid w:val="001C40E5"/>
    <w:rsid w:val="001C5B86"/>
    <w:rsid w:val="001C5F69"/>
    <w:rsid w:val="001C7D21"/>
    <w:rsid w:val="001D2D6F"/>
    <w:rsid w:val="001D2EBA"/>
    <w:rsid w:val="001D2F4E"/>
    <w:rsid w:val="001D317C"/>
    <w:rsid w:val="001D3B9A"/>
    <w:rsid w:val="001D44F0"/>
    <w:rsid w:val="001D7EF9"/>
    <w:rsid w:val="001E4809"/>
    <w:rsid w:val="001E4C9E"/>
    <w:rsid w:val="001E7847"/>
    <w:rsid w:val="001E79C4"/>
    <w:rsid w:val="001F01B7"/>
    <w:rsid w:val="001F5CCD"/>
    <w:rsid w:val="001F6C0B"/>
    <w:rsid w:val="001F7407"/>
    <w:rsid w:val="001F770D"/>
    <w:rsid w:val="00200073"/>
    <w:rsid w:val="00203BF2"/>
    <w:rsid w:val="00206CE9"/>
    <w:rsid w:val="0020785C"/>
    <w:rsid w:val="00207FB6"/>
    <w:rsid w:val="002117D6"/>
    <w:rsid w:val="00211A61"/>
    <w:rsid w:val="00214A99"/>
    <w:rsid w:val="00214BF3"/>
    <w:rsid w:val="00215B52"/>
    <w:rsid w:val="00215D35"/>
    <w:rsid w:val="00215F29"/>
    <w:rsid w:val="00217194"/>
    <w:rsid w:val="00217546"/>
    <w:rsid w:val="00221555"/>
    <w:rsid w:val="00221590"/>
    <w:rsid w:val="002258A8"/>
    <w:rsid w:val="00227F1A"/>
    <w:rsid w:val="0023343F"/>
    <w:rsid w:val="00235B2A"/>
    <w:rsid w:val="00236294"/>
    <w:rsid w:val="002366FE"/>
    <w:rsid w:val="00241FAB"/>
    <w:rsid w:val="00244A58"/>
    <w:rsid w:val="00244D13"/>
    <w:rsid w:val="0024548A"/>
    <w:rsid w:val="002548C5"/>
    <w:rsid w:val="00255100"/>
    <w:rsid w:val="0025550A"/>
    <w:rsid w:val="002561A2"/>
    <w:rsid w:val="002562A5"/>
    <w:rsid w:val="00256564"/>
    <w:rsid w:val="0025737D"/>
    <w:rsid w:val="00257860"/>
    <w:rsid w:val="00257A84"/>
    <w:rsid w:val="00261450"/>
    <w:rsid w:val="00261E50"/>
    <w:rsid w:val="00262845"/>
    <w:rsid w:val="00262F50"/>
    <w:rsid w:val="002630A5"/>
    <w:rsid w:val="00263C86"/>
    <w:rsid w:val="00264CB1"/>
    <w:rsid w:val="002724D4"/>
    <w:rsid w:val="00272996"/>
    <w:rsid w:val="00272E4B"/>
    <w:rsid w:val="00273BCF"/>
    <w:rsid w:val="002750A9"/>
    <w:rsid w:val="00276244"/>
    <w:rsid w:val="00276C0C"/>
    <w:rsid w:val="00277232"/>
    <w:rsid w:val="002802BA"/>
    <w:rsid w:val="00282D82"/>
    <w:rsid w:val="00285D74"/>
    <w:rsid w:val="00285DFD"/>
    <w:rsid w:val="00291062"/>
    <w:rsid w:val="00291B7E"/>
    <w:rsid w:val="00292F93"/>
    <w:rsid w:val="0029669F"/>
    <w:rsid w:val="00297DAB"/>
    <w:rsid w:val="002A02AC"/>
    <w:rsid w:val="002A1233"/>
    <w:rsid w:val="002A1389"/>
    <w:rsid w:val="002A2CF2"/>
    <w:rsid w:val="002A2F61"/>
    <w:rsid w:val="002A3FC0"/>
    <w:rsid w:val="002A4196"/>
    <w:rsid w:val="002A4F9E"/>
    <w:rsid w:val="002A607E"/>
    <w:rsid w:val="002A7FE3"/>
    <w:rsid w:val="002B0BA9"/>
    <w:rsid w:val="002B1AB5"/>
    <w:rsid w:val="002B24E3"/>
    <w:rsid w:val="002B29F3"/>
    <w:rsid w:val="002B2CAD"/>
    <w:rsid w:val="002B71B9"/>
    <w:rsid w:val="002B7E0F"/>
    <w:rsid w:val="002C05E4"/>
    <w:rsid w:val="002C1A11"/>
    <w:rsid w:val="002C3A38"/>
    <w:rsid w:val="002C4E93"/>
    <w:rsid w:val="002C57B8"/>
    <w:rsid w:val="002C782A"/>
    <w:rsid w:val="002C7FF5"/>
    <w:rsid w:val="002D1672"/>
    <w:rsid w:val="002D1721"/>
    <w:rsid w:val="002D37C2"/>
    <w:rsid w:val="002D3B62"/>
    <w:rsid w:val="002D4160"/>
    <w:rsid w:val="002D41FC"/>
    <w:rsid w:val="002D6A0C"/>
    <w:rsid w:val="002E13AA"/>
    <w:rsid w:val="002E3998"/>
    <w:rsid w:val="002E5B56"/>
    <w:rsid w:val="002E69D0"/>
    <w:rsid w:val="002E6E64"/>
    <w:rsid w:val="002F011E"/>
    <w:rsid w:val="002F10F4"/>
    <w:rsid w:val="002F21E1"/>
    <w:rsid w:val="002F27D3"/>
    <w:rsid w:val="002F31C2"/>
    <w:rsid w:val="002F4D4E"/>
    <w:rsid w:val="002F5DFC"/>
    <w:rsid w:val="002F6871"/>
    <w:rsid w:val="0030053F"/>
    <w:rsid w:val="00300AC7"/>
    <w:rsid w:val="00301143"/>
    <w:rsid w:val="003021E4"/>
    <w:rsid w:val="003027E4"/>
    <w:rsid w:val="00304C10"/>
    <w:rsid w:val="00305D51"/>
    <w:rsid w:val="003077B1"/>
    <w:rsid w:val="003102D3"/>
    <w:rsid w:val="003109F4"/>
    <w:rsid w:val="0031224A"/>
    <w:rsid w:val="003143FA"/>
    <w:rsid w:val="003161F9"/>
    <w:rsid w:val="00320BF3"/>
    <w:rsid w:val="0032106F"/>
    <w:rsid w:val="00322F35"/>
    <w:rsid w:val="00324F05"/>
    <w:rsid w:val="003254F5"/>
    <w:rsid w:val="00325901"/>
    <w:rsid w:val="00325B72"/>
    <w:rsid w:val="00325EE0"/>
    <w:rsid w:val="00326F48"/>
    <w:rsid w:val="00333EFF"/>
    <w:rsid w:val="0033434C"/>
    <w:rsid w:val="00334472"/>
    <w:rsid w:val="00334EE1"/>
    <w:rsid w:val="00335782"/>
    <w:rsid w:val="0033655D"/>
    <w:rsid w:val="00337B36"/>
    <w:rsid w:val="00337EF9"/>
    <w:rsid w:val="00340642"/>
    <w:rsid w:val="00342D04"/>
    <w:rsid w:val="003433BC"/>
    <w:rsid w:val="00343C78"/>
    <w:rsid w:val="003446E9"/>
    <w:rsid w:val="003459FE"/>
    <w:rsid w:val="00345EB7"/>
    <w:rsid w:val="00346393"/>
    <w:rsid w:val="00347A7B"/>
    <w:rsid w:val="003510BC"/>
    <w:rsid w:val="0035251A"/>
    <w:rsid w:val="003530CD"/>
    <w:rsid w:val="00354CE3"/>
    <w:rsid w:val="0035558B"/>
    <w:rsid w:val="00355D27"/>
    <w:rsid w:val="00357BFF"/>
    <w:rsid w:val="003617A6"/>
    <w:rsid w:val="00363BF8"/>
    <w:rsid w:val="00365605"/>
    <w:rsid w:val="00367F77"/>
    <w:rsid w:val="00371444"/>
    <w:rsid w:val="0037217E"/>
    <w:rsid w:val="003753F4"/>
    <w:rsid w:val="0037590A"/>
    <w:rsid w:val="0038425F"/>
    <w:rsid w:val="00385490"/>
    <w:rsid w:val="00386D7A"/>
    <w:rsid w:val="00387A7A"/>
    <w:rsid w:val="00387F3C"/>
    <w:rsid w:val="0039071D"/>
    <w:rsid w:val="0039152B"/>
    <w:rsid w:val="00391811"/>
    <w:rsid w:val="00391B5C"/>
    <w:rsid w:val="00394AB7"/>
    <w:rsid w:val="00396B6F"/>
    <w:rsid w:val="00396F78"/>
    <w:rsid w:val="00397D6B"/>
    <w:rsid w:val="003A220F"/>
    <w:rsid w:val="003A32D9"/>
    <w:rsid w:val="003A6A15"/>
    <w:rsid w:val="003A733C"/>
    <w:rsid w:val="003A73F2"/>
    <w:rsid w:val="003B02E0"/>
    <w:rsid w:val="003B05DD"/>
    <w:rsid w:val="003B0874"/>
    <w:rsid w:val="003B3F0E"/>
    <w:rsid w:val="003B453C"/>
    <w:rsid w:val="003B4D9B"/>
    <w:rsid w:val="003B55E0"/>
    <w:rsid w:val="003B5CE8"/>
    <w:rsid w:val="003B6F1D"/>
    <w:rsid w:val="003B75DD"/>
    <w:rsid w:val="003C082F"/>
    <w:rsid w:val="003C1960"/>
    <w:rsid w:val="003C62CF"/>
    <w:rsid w:val="003C7393"/>
    <w:rsid w:val="003D1B69"/>
    <w:rsid w:val="003D25FB"/>
    <w:rsid w:val="003D3FC5"/>
    <w:rsid w:val="003D443B"/>
    <w:rsid w:val="003D4748"/>
    <w:rsid w:val="003D4D3F"/>
    <w:rsid w:val="003D6CEE"/>
    <w:rsid w:val="003D706E"/>
    <w:rsid w:val="003E0B2C"/>
    <w:rsid w:val="003E1592"/>
    <w:rsid w:val="003E419E"/>
    <w:rsid w:val="003E5E80"/>
    <w:rsid w:val="003E6426"/>
    <w:rsid w:val="003F0512"/>
    <w:rsid w:val="003F176E"/>
    <w:rsid w:val="003F1BB2"/>
    <w:rsid w:val="003F3C86"/>
    <w:rsid w:val="003F3DA8"/>
    <w:rsid w:val="003F418F"/>
    <w:rsid w:val="003F4C87"/>
    <w:rsid w:val="003F4D89"/>
    <w:rsid w:val="003F57BC"/>
    <w:rsid w:val="0040105F"/>
    <w:rsid w:val="00401B2B"/>
    <w:rsid w:val="00402D68"/>
    <w:rsid w:val="00402F64"/>
    <w:rsid w:val="00403442"/>
    <w:rsid w:val="004037E6"/>
    <w:rsid w:val="00403C28"/>
    <w:rsid w:val="00403E79"/>
    <w:rsid w:val="00403EDD"/>
    <w:rsid w:val="00404CC1"/>
    <w:rsid w:val="0040592E"/>
    <w:rsid w:val="00406067"/>
    <w:rsid w:val="00410F7B"/>
    <w:rsid w:val="004117DD"/>
    <w:rsid w:val="00411DF1"/>
    <w:rsid w:val="00413113"/>
    <w:rsid w:val="0041449E"/>
    <w:rsid w:val="004151B9"/>
    <w:rsid w:val="004151CE"/>
    <w:rsid w:val="004166E5"/>
    <w:rsid w:val="00423465"/>
    <w:rsid w:val="00423924"/>
    <w:rsid w:val="00424227"/>
    <w:rsid w:val="00425A13"/>
    <w:rsid w:val="00426017"/>
    <w:rsid w:val="004269D7"/>
    <w:rsid w:val="004274EC"/>
    <w:rsid w:val="004275BD"/>
    <w:rsid w:val="00430457"/>
    <w:rsid w:val="004311FC"/>
    <w:rsid w:val="00432911"/>
    <w:rsid w:val="00433827"/>
    <w:rsid w:val="004347CF"/>
    <w:rsid w:val="0043508A"/>
    <w:rsid w:val="00435949"/>
    <w:rsid w:val="00435E8F"/>
    <w:rsid w:val="0043612C"/>
    <w:rsid w:val="00436148"/>
    <w:rsid w:val="004362BA"/>
    <w:rsid w:val="00436348"/>
    <w:rsid w:val="00440F15"/>
    <w:rsid w:val="00442E63"/>
    <w:rsid w:val="00443864"/>
    <w:rsid w:val="004441D8"/>
    <w:rsid w:val="00446736"/>
    <w:rsid w:val="00451B33"/>
    <w:rsid w:val="00451CE9"/>
    <w:rsid w:val="00452F36"/>
    <w:rsid w:val="004540A6"/>
    <w:rsid w:val="004541CF"/>
    <w:rsid w:val="004543CE"/>
    <w:rsid w:val="004554BF"/>
    <w:rsid w:val="004561E6"/>
    <w:rsid w:val="0046196D"/>
    <w:rsid w:val="004620EC"/>
    <w:rsid w:val="00465C2F"/>
    <w:rsid w:val="004662D5"/>
    <w:rsid w:val="00467362"/>
    <w:rsid w:val="004711A8"/>
    <w:rsid w:val="00474B4D"/>
    <w:rsid w:val="00474E88"/>
    <w:rsid w:val="00475967"/>
    <w:rsid w:val="00477030"/>
    <w:rsid w:val="0047729B"/>
    <w:rsid w:val="00480434"/>
    <w:rsid w:val="00480D0B"/>
    <w:rsid w:val="00480E65"/>
    <w:rsid w:val="00481B0E"/>
    <w:rsid w:val="00482F0D"/>
    <w:rsid w:val="0048483F"/>
    <w:rsid w:val="004878C1"/>
    <w:rsid w:val="00487A7C"/>
    <w:rsid w:val="004900BF"/>
    <w:rsid w:val="00490A92"/>
    <w:rsid w:val="004931AE"/>
    <w:rsid w:val="00493A3F"/>
    <w:rsid w:val="004946D4"/>
    <w:rsid w:val="004961FB"/>
    <w:rsid w:val="00496B9C"/>
    <w:rsid w:val="004A0DFC"/>
    <w:rsid w:val="004A13F9"/>
    <w:rsid w:val="004A2606"/>
    <w:rsid w:val="004A2FA6"/>
    <w:rsid w:val="004A40D8"/>
    <w:rsid w:val="004A4449"/>
    <w:rsid w:val="004A45CD"/>
    <w:rsid w:val="004A5D40"/>
    <w:rsid w:val="004B03C8"/>
    <w:rsid w:val="004B1121"/>
    <w:rsid w:val="004B16D1"/>
    <w:rsid w:val="004B1818"/>
    <w:rsid w:val="004B62D2"/>
    <w:rsid w:val="004B62E4"/>
    <w:rsid w:val="004B6616"/>
    <w:rsid w:val="004B75CE"/>
    <w:rsid w:val="004B799E"/>
    <w:rsid w:val="004B7F53"/>
    <w:rsid w:val="004C0F52"/>
    <w:rsid w:val="004C2B29"/>
    <w:rsid w:val="004C2B93"/>
    <w:rsid w:val="004C353F"/>
    <w:rsid w:val="004C3A9D"/>
    <w:rsid w:val="004C3EF5"/>
    <w:rsid w:val="004C5A97"/>
    <w:rsid w:val="004D0BA1"/>
    <w:rsid w:val="004D35FC"/>
    <w:rsid w:val="004D47A4"/>
    <w:rsid w:val="004D4FCC"/>
    <w:rsid w:val="004E0339"/>
    <w:rsid w:val="004E1718"/>
    <w:rsid w:val="004E28E2"/>
    <w:rsid w:val="004E3B84"/>
    <w:rsid w:val="004E44BF"/>
    <w:rsid w:val="004E4902"/>
    <w:rsid w:val="004E4BC8"/>
    <w:rsid w:val="004E7AEE"/>
    <w:rsid w:val="004E7E18"/>
    <w:rsid w:val="004F0353"/>
    <w:rsid w:val="004F0644"/>
    <w:rsid w:val="004F0A6C"/>
    <w:rsid w:val="004F0D5D"/>
    <w:rsid w:val="004F1931"/>
    <w:rsid w:val="004F3120"/>
    <w:rsid w:val="004F3F4E"/>
    <w:rsid w:val="004F402E"/>
    <w:rsid w:val="004F45FE"/>
    <w:rsid w:val="004F5A55"/>
    <w:rsid w:val="004F5DF6"/>
    <w:rsid w:val="004F7A51"/>
    <w:rsid w:val="00502C6E"/>
    <w:rsid w:val="005032E7"/>
    <w:rsid w:val="005034EF"/>
    <w:rsid w:val="005060AB"/>
    <w:rsid w:val="0050611D"/>
    <w:rsid w:val="00507C52"/>
    <w:rsid w:val="00512D23"/>
    <w:rsid w:val="005138D1"/>
    <w:rsid w:val="005145B9"/>
    <w:rsid w:val="00514680"/>
    <w:rsid w:val="0051553F"/>
    <w:rsid w:val="00520F15"/>
    <w:rsid w:val="005213EB"/>
    <w:rsid w:val="005223C8"/>
    <w:rsid w:val="005226F9"/>
    <w:rsid w:val="005229DE"/>
    <w:rsid w:val="00523243"/>
    <w:rsid w:val="00524833"/>
    <w:rsid w:val="00524D47"/>
    <w:rsid w:val="00524E67"/>
    <w:rsid w:val="00525905"/>
    <w:rsid w:val="00525E8B"/>
    <w:rsid w:val="00526D30"/>
    <w:rsid w:val="00530295"/>
    <w:rsid w:val="005302D4"/>
    <w:rsid w:val="005313BF"/>
    <w:rsid w:val="0053320D"/>
    <w:rsid w:val="00533730"/>
    <w:rsid w:val="00534188"/>
    <w:rsid w:val="0053430D"/>
    <w:rsid w:val="005351E7"/>
    <w:rsid w:val="00535B74"/>
    <w:rsid w:val="00536239"/>
    <w:rsid w:val="00537700"/>
    <w:rsid w:val="00541E4D"/>
    <w:rsid w:val="005437A0"/>
    <w:rsid w:val="005438AD"/>
    <w:rsid w:val="00543CEC"/>
    <w:rsid w:val="005441DB"/>
    <w:rsid w:val="00546E85"/>
    <w:rsid w:val="00547CC9"/>
    <w:rsid w:val="00547CE5"/>
    <w:rsid w:val="0055072E"/>
    <w:rsid w:val="005529AA"/>
    <w:rsid w:val="00553365"/>
    <w:rsid w:val="00553C58"/>
    <w:rsid w:val="0055432F"/>
    <w:rsid w:val="00555F13"/>
    <w:rsid w:val="0055758A"/>
    <w:rsid w:val="00560B5A"/>
    <w:rsid w:val="005611B6"/>
    <w:rsid w:val="00561392"/>
    <w:rsid w:val="00561593"/>
    <w:rsid w:val="005638F0"/>
    <w:rsid w:val="00571F98"/>
    <w:rsid w:val="0057314F"/>
    <w:rsid w:val="0057375A"/>
    <w:rsid w:val="00573B45"/>
    <w:rsid w:val="005766E7"/>
    <w:rsid w:val="00576C98"/>
    <w:rsid w:val="0058017C"/>
    <w:rsid w:val="00581058"/>
    <w:rsid w:val="005811FA"/>
    <w:rsid w:val="00581C5B"/>
    <w:rsid w:val="00585E6C"/>
    <w:rsid w:val="0059028C"/>
    <w:rsid w:val="005919CB"/>
    <w:rsid w:val="00591EE5"/>
    <w:rsid w:val="00591F67"/>
    <w:rsid w:val="00593322"/>
    <w:rsid w:val="00594596"/>
    <w:rsid w:val="005947AA"/>
    <w:rsid w:val="00595D79"/>
    <w:rsid w:val="0059625C"/>
    <w:rsid w:val="00597C81"/>
    <w:rsid w:val="005A09CB"/>
    <w:rsid w:val="005A1479"/>
    <w:rsid w:val="005A1995"/>
    <w:rsid w:val="005A24D0"/>
    <w:rsid w:val="005A357B"/>
    <w:rsid w:val="005A3C81"/>
    <w:rsid w:val="005A4771"/>
    <w:rsid w:val="005A7293"/>
    <w:rsid w:val="005B0B22"/>
    <w:rsid w:val="005B37E3"/>
    <w:rsid w:val="005B3937"/>
    <w:rsid w:val="005B3A02"/>
    <w:rsid w:val="005B3C87"/>
    <w:rsid w:val="005B43C8"/>
    <w:rsid w:val="005B5BB4"/>
    <w:rsid w:val="005B61E0"/>
    <w:rsid w:val="005B7149"/>
    <w:rsid w:val="005B7B50"/>
    <w:rsid w:val="005B7FED"/>
    <w:rsid w:val="005C0983"/>
    <w:rsid w:val="005C1D42"/>
    <w:rsid w:val="005C2D32"/>
    <w:rsid w:val="005C479E"/>
    <w:rsid w:val="005C4C12"/>
    <w:rsid w:val="005C5A11"/>
    <w:rsid w:val="005C5D6B"/>
    <w:rsid w:val="005C5F18"/>
    <w:rsid w:val="005C6240"/>
    <w:rsid w:val="005C636D"/>
    <w:rsid w:val="005C687D"/>
    <w:rsid w:val="005D1668"/>
    <w:rsid w:val="005D2107"/>
    <w:rsid w:val="005D4CCC"/>
    <w:rsid w:val="005D672D"/>
    <w:rsid w:val="005D6F43"/>
    <w:rsid w:val="005E4027"/>
    <w:rsid w:val="005F0B96"/>
    <w:rsid w:val="005F0D56"/>
    <w:rsid w:val="005F11E8"/>
    <w:rsid w:val="005F1FB0"/>
    <w:rsid w:val="005F41F6"/>
    <w:rsid w:val="005F587B"/>
    <w:rsid w:val="005F641C"/>
    <w:rsid w:val="005F7B73"/>
    <w:rsid w:val="00600082"/>
    <w:rsid w:val="0060022D"/>
    <w:rsid w:val="0060109B"/>
    <w:rsid w:val="00601368"/>
    <w:rsid w:val="00601EFA"/>
    <w:rsid w:val="006020B5"/>
    <w:rsid w:val="00602463"/>
    <w:rsid w:val="00606078"/>
    <w:rsid w:val="006062A5"/>
    <w:rsid w:val="00606BB4"/>
    <w:rsid w:val="00610C17"/>
    <w:rsid w:val="0061199D"/>
    <w:rsid w:val="00611C5B"/>
    <w:rsid w:val="00612F95"/>
    <w:rsid w:val="006139D2"/>
    <w:rsid w:val="00613DBF"/>
    <w:rsid w:val="00614C44"/>
    <w:rsid w:val="006168D2"/>
    <w:rsid w:val="00617D35"/>
    <w:rsid w:val="00620AFB"/>
    <w:rsid w:val="00621411"/>
    <w:rsid w:val="006226C3"/>
    <w:rsid w:val="00623D2E"/>
    <w:rsid w:val="00623E1B"/>
    <w:rsid w:val="00624AEB"/>
    <w:rsid w:val="00625C01"/>
    <w:rsid w:val="00625E9B"/>
    <w:rsid w:val="00626209"/>
    <w:rsid w:val="00627FFE"/>
    <w:rsid w:val="00631482"/>
    <w:rsid w:val="00632852"/>
    <w:rsid w:val="00640A21"/>
    <w:rsid w:val="00644900"/>
    <w:rsid w:val="0064521C"/>
    <w:rsid w:val="00645836"/>
    <w:rsid w:val="006501E5"/>
    <w:rsid w:val="00651220"/>
    <w:rsid w:val="00651416"/>
    <w:rsid w:val="00651D2B"/>
    <w:rsid w:val="00652168"/>
    <w:rsid w:val="00653E98"/>
    <w:rsid w:val="00654B72"/>
    <w:rsid w:val="00654D34"/>
    <w:rsid w:val="00655F4D"/>
    <w:rsid w:val="00655FBD"/>
    <w:rsid w:val="00657E1B"/>
    <w:rsid w:val="006607AB"/>
    <w:rsid w:val="0066127C"/>
    <w:rsid w:val="0066205E"/>
    <w:rsid w:val="00662726"/>
    <w:rsid w:val="006627AA"/>
    <w:rsid w:val="006628CD"/>
    <w:rsid w:val="006629BA"/>
    <w:rsid w:val="00665160"/>
    <w:rsid w:val="00665A2D"/>
    <w:rsid w:val="00667599"/>
    <w:rsid w:val="006678DD"/>
    <w:rsid w:val="00667FC9"/>
    <w:rsid w:val="00670F85"/>
    <w:rsid w:val="00671821"/>
    <w:rsid w:val="0067197C"/>
    <w:rsid w:val="00672C32"/>
    <w:rsid w:val="006732CE"/>
    <w:rsid w:val="00673429"/>
    <w:rsid w:val="00674A0F"/>
    <w:rsid w:val="00675634"/>
    <w:rsid w:val="00677B6B"/>
    <w:rsid w:val="00677D2F"/>
    <w:rsid w:val="00680CF8"/>
    <w:rsid w:val="00682AA9"/>
    <w:rsid w:val="00682D32"/>
    <w:rsid w:val="00682D47"/>
    <w:rsid w:val="006852D8"/>
    <w:rsid w:val="00685D82"/>
    <w:rsid w:val="006876C4"/>
    <w:rsid w:val="006876E6"/>
    <w:rsid w:val="00687CB4"/>
    <w:rsid w:val="00687EA0"/>
    <w:rsid w:val="00694BCE"/>
    <w:rsid w:val="00695DC8"/>
    <w:rsid w:val="00697346"/>
    <w:rsid w:val="00697761"/>
    <w:rsid w:val="006A00C6"/>
    <w:rsid w:val="006A1CC8"/>
    <w:rsid w:val="006A1DF7"/>
    <w:rsid w:val="006A2119"/>
    <w:rsid w:val="006A281A"/>
    <w:rsid w:val="006A2872"/>
    <w:rsid w:val="006A4E9D"/>
    <w:rsid w:val="006A4F68"/>
    <w:rsid w:val="006A4FA8"/>
    <w:rsid w:val="006A6E6F"/>
    <w:rsid w:val="006C13A3"/>
    <w:rsid w:val="006C39EF"/>
    <w:rsid w:val="006D05A2"/>
    <w:rsid w:val="006D0B9D"/>
    <w:rsid w:val="006D5FAA"/>
    <w:rsid w:val="006D6288"/>
    <w:rsid w:val="006D6CB5"/>
    <w:rsid w:val="006D7C4F"/>
    <w:rsid w:val="006E0490"/>
    <w:rsid w:val="006E0B44"/>
    <w:rsid w:val="006E3222"/>
    <w:rsid w:val="006E3283"/>
    <w:rsid w:val="006E41A1"/>
    <w:rsid w:val="006F1904"/>
    <w:rsid w:val="006F28FE"/>
    <w:rsid w:val="006F2A97"/>
    <w:rsid w:val="006F2E68"/>
    <w:rsid w:val="006F3B9F"/>
    <w:rsid w:val="006F543E"/>
    <w:rsid w:val="006F57B9"/>
    <w:rsid w:val="006F63ED"/>
    <w:rsid w:val="0070062A"/>
    <w:rsid w:val="00700D6A"/>
    <w:rsid w:val="00703F57"/>
    <w:rsid w:val="007041EE"/>
    <w:rsid w:val="007049B3"/>
    <w:rsid w:val="00705374"/>
    <w:rsid w:val="00706C68"/>
    <w:rsid w:val="007077F4"/>
    <w:rsid w:val="00707EC9"/>
    <w:rsid w:val="00710D27"/>
    <w:rsid w:val="00712991"/>
    <w:rsid w:val="00713EDF"/>
    <w:rsid w:val="00714204"/>
    <w:rsid w:val="0071518E"/>
    <w:rsid w:val="0071616B"/>
    <w:rsid w:val="00716D27"/>
    <w:rsid w:val="007176DF"/>
    <w:rsid w:val="00717D5A"/>
    <w:rsid w:val="00721A02"/>
    <w:rsid w:val="007221E7"/>
    <w:rsid w:val="0072427D"/>
    <w:rsid w:val="007259FC"/>
    <w:rsid w:val="00726E5B"/>
    <w:rsid w:val="00730A87"/>
    <w:rsid w:val="00730BBA"/>
    <w:rsid w:val="007312DF"/>
    <w:rsid w:val="00731EC1"/>
    <w:rsid w:val="0073206C"/>
    <w:rsid w:val="00732747"/>
    <w:rsid w:val="007335F1"/>
    <w:rsid w:val="007335FD"/>
    <w:rsid w:val="007370FE"/>
    <w:rsid w:val="00742B95"/>
    <w:rsid w:val="00743A80"/>
    <w:rsid w:val="007461F7"/>
    <w:rsid w:val="00746BA7"/>
    <w:rsid w:val="0074717F"/>
    <w:rsid w:val="00750122"/>
    <w:rsid w:val="0075107E"/>
    <w:rsid w:val="007519E7"/>
    <w:rsid w:val="007526FC"/>
    <w:rsid w:val="00753B06"/>
    <w:rsid w:val="00754CB2"/>
    <w:rsid w:val="007552B6"/>
    <w:rsid w:val="00755DF2"/>
    <w:rsid w:val="00760928"/>
    <w:rsid w:val="00760DA4"/>
    <w:rsid w:val="007621EA"/>
    <w:rsid w:val="00762621"/>
    <w:rsid w:val="00762F17"/>
    <w:rsid w:val="007639E3"/>
    <w:rsid w:val="0076481C"/>
    <w:rsid w:val="00764E53"/>
    <w:rsid w:val="00767470"/>
    <w:rsid w:val="0077486D"/>
    <w:rsid w:val="00776720"/>
    <w:rsid w:val="00777AE1"/>
    <w:rsid w:val="00777BD3"/>
    <w:rsid w:val="00777E37"/>
    <w:rsid w:val="00780C75"/>
    <w:rsid w:val="00781220"/>
    <w:rsid w:val="00781F6E"/>
    <w:rsid w:val="00784FE9"/>
    <w:rsid w:val="00786463"/>
    <w:rsid w:val="00787F67"/>
    <w:rsid w:val="00792E8E"/>
    <w:rsid w:val="00794AB0"/>
    <w:rsid w:val="00794D8B"/>
    <w:rsid w:val="00794F07"/>
    <w:rsid w:val="00795353"/>
    <w:rsid w:val="00795F6A"/>
    <w:rsid w:val="007966FA"/>
    <w:rsid w:val="00797EF1"/>
    <w:rsid w:val="007A0448"/>
    <w:rsid w:val="007A34EF"/>
    <w:rsid w:val="007A70EF"/>
    <w:rsid w:val="007B196F"/>
    <w:rsid w:val="007B2753"/>
    <w:rsid w:val="007B3383"/>
    <w:rsid w:val="007B37D1"/>
    <w:rsid w:val="007B39BF"/>
    <w:rsid w:val="007B564F"/>
    <w:rsid w:val="007B682B"/>
    <w:rsid w:val="007B737F"/>
    <w:rsid w:val="007C208B"/>
    <w:rsid w:val="007C2936"/>
    <w:rsid w:val="007C422C"/>
    <w:rsid w:val="007C426A"/>
    <w:rsid w:val="007C44C3"/>
    <w:rsid w:val="007C47E0"/>
    <w:rsid w:val="007C6279"/>
    <w:rsid w:val="007D0D91"/>
    <w:rsid w:val="007D209B"/>
    <w:rsid w:val="007D7656"/>
    <w:rsid w:val="007E0644"/>
    <w:rsid w:val="007E0C0C"/>
    <w:rsid w:val="007E0CF4"/>
    <w:rsid w:val="007E560D"/>
    <w:rsid w:val="007E61DA"/>
    <w:rsid w:val="007E6AE6"/>
    <w:rsid w:val="007E7153"/>
    <w:rsid w:val="007E7EA4"/>
    <w:rsid w:val="007F03A6"/>
    <w:rsid w:val="007F0745"/>
    <w:rsid w:val="007F0B3D"/>
    <w:rsid w:val="007F123D"/>
    <w:rsid w:val="007F2335"/>
    <w:rsid w:val="007F289E"/>
    <w:rsid w:val="007F4C04"/>
    <w:rsid w:val="007F5B57"/>
    <w:rsid w:val="00800CD3"/>
    <w:rsid w:val="0080199D"/>
    <w:rsid w:val="00803684"/>
    <w:rsid w:val="00804407"/>
    <w:rsid w:val="008050B2"/>
    <w:rsid w:val="0080629A"/>
    <w:rsid w:val="0080649F"/>
    <w:rsid w:val="00806668"/>
    <w:rsid w:val="00806B27"/>
    <w:rsid w:val="00807325"/>
    <w:rsid w:val="00807389"/>
    <w:rsid w:val="00807EA7"/>
    <w:rsid w:val="00811224"/>
    <w:rsid w:val="0081137D"/>
    <w:rsid w:val="00811B76"/>
    <w:rsid w:val="00813019"/>
    <w:rsid w:val="008134A0"/>
    <w:rsid w:val="00813AA6"/>
    <w:rsid w:val="00814A3B"/>
    <w:rsid w:val="00815846"/>
    <w:rsid w:val="008223EF"/>
    <w:rsid w:val="00822724"/>
    <w:rsid w:val="008227A9"/>
    <w:rsid w:val="0082337D"/>
    <w:rsid w:val="00824B07"/>
    <w:rsid w:val="00825F71"/>
    <w:rsid w:val="008262CC"/>
    <w:rsid w:val="0082688C"/>
    <w:rsid w:val="00826EB0"/>
    <w:rsid w:val="00827F25"/>
    <w:rsid w:val="00831F89"/>
    <w:rsid w:val="008339E7"/>
    <w:rsid w:val="008344FB"/>
    <w:rsid w:val="00836946"/>
    <w:rsid w:val="00842873"/>
    <w:rsid w:val="00842E19"/>
    <w:rsid w:val="00843F81"/>
    <w:rsid w:val="00844BD2"/>
    <w:rsid w:val="008455EC"/>
    <w:rsid w:val="00845A83"/>
    <w:rsid w:val="00845FD6"/>
    <w:rsid w:val="00850EC3"/>
    <w:rsid w:val="00851945"/>
    <w:rsid w:val="0085375D"/>
    <w:rsid w:val="0086073E"/>
    <w:rsid w:val="00863486"/>
    <w:rsid w:val="00863CFE"/>
    <w:rsid w:val="008642B9"/>
    <w:rsid w:val="00865DFB"/>
    <w:rsid w:val="00866A59"/>
    <w:rsid w:val="00867A15"/>
    <w:rsid w:val="00873B7B"/>
    <w:rsid w:val="00874DD1"/>
    <w:rsid w:val="00875083"/>
    <w:rsid w:val="00876206"/>
    <w:rsid w:val="00876B99"/>
    <w:rsid w:val="008778BB"/>
    <w:rsid w:val="00884022"/>
    <w:rsid w:val="00884EC2"/>
    <w:rsid w:val="00886739"/>
    <w:rsid w:val="00887357"/>
    <w:rsid w:val="00890018"/>
    <w:rsid w:val="00890703"/>
    <w:rsid w:val="00892D75"/>
    <w:rsid w:val="0089482E"/>
    <w:rsid w:val="00895214"/>
    <w:rsid w:val="00896143"/>
    <w:rsid w:val="008A0158"/>
    <w:rsid w:val="008A01A1"/>
    <w:rsid w:val="008A2A82"/>
    <w:rsid w:val="008A2C04"/>
    <w:rsid w:val="008A2E2E"/>
    <w:rsid w:val="008A3277"/>
    <w:rsid w:val="008A7E94"/>
    <w:rsid w:val="008A7F0D"/>
    <w:rsid w:val="008B1E5E"/>
    <w:rsid w:val="008B3B81"/>
    <w:rsid w:val="008B425D"/>
    <w:rsid w:val="008B62A7"/>
    <w:rsid w:val="008B62EA"/>
    <w:rsid w:val="008C072D"/>
    <w:rsid w:val="008C08D9"/>
    <w:rsid w:val="008C0D69"/>
    <w:rsid w:val="008C1705"/>
    <w:rsid w:val="008C18F5"/>
    <w:rsid w:val="008C3DCB"/>
    <w:rsid w:val="008C45E2"/>
    <w:rsid w:val="008C6333"/>
    <w:rsid w:val="008C6BEE"/>
    <w:rsid w:val="008C7B4A"/>
    <w:rsid w:val="008C7E47"/>
    <w:rsid w:val="008D31CB"/>
    <w:rsid w:val="008D4208"/>
    <w:rsid w:val="008D48DE"/>
    <w:rsid w:val="008D6191"/>
    <w:rsid w:val="008D7609"/>
    <w:rsid w:val="008D784C"/>
    <w:rsid w:val="008E23C2"/>
    <w:rsid w:val="008E26A5"/>
    <w:rsid w:val="008E2DA3"/>
    <w:rsid w:val="008E3804"/>
    <w:rsid w:val="008E3F4D"/>
    <w:rsid w:val="008E6F36"/>
    <w:rsid w:val="008F07E9"/>
    <w:rsid w:val="008F1DB5"/>
    <w:rsid w:val="008F372D"/>
    <w:rsid w:val="008F4290"/>
    <w:rsid w:val="008F433B"/>
    <w:rsid w:val="008F5C9F"/>
    <w:rsid w:val="008F6E7C"/>
    <w:rsid w:val="00901421"/>
    <w:rsid w:val="009034A1"/>
    <w:rsid w:val="0090646E"/>
    <w:rsid w:val="009067C8"/>
    <w:rsid w:val="00906BE2"/>
    <w:rsid w:val="00907B45"/>
    <w:rsid w:val="0091321F"/>
    <w:rsid w:val="00913EC9"/>
    <w:rsid w:val="00914A09"/>
    <w:rsid w:val="00914DCC"/>
    <w:rsid w:val="009172AF"/>
    <w:rsid w:val="00917903"/>
    <w:rsid w:val="0092517B"/>
    <w:rsid w:val="00925649"/>
    <w:rsid w:val="0092577E"/>
    <w:rsid w:val="00931173"/>
    <w:rsid w:val="009324D0"/>
    <w:rsid w:val="00933563"/>
    <w:rsid w:val="009339E9"/>
    <w:rsid w:val="009365FB"/>
    <w:rsid w:val="00936F9C"/>
    <w:rsid w:val="009401AB"/>
    <w:rsid w:val="00941976"/>
    <w:rsid w:val="0094242F"/>
    <w:rsid w:val="009429AA"/>
    <w:rsid w:val="00942E79"/>
    <w:rsid w:val="00946AEB"/>
    <w:rsid w:val="00946D22"/>
    <w:rsid w:val="00946FE1"/>
    <w:rsid w:val="00950487"/>
    <w:rsid w:val="0095284E"/>
    <w:rsid w:val="009564DC"/>
    <w:rsid w:val="0096569C"/>
    <w:rsid w:val="00966E10"/>
    <w:rsid w:val="00974C4D"/>
    <w:rsid w:val="00975893"/>
    <w:rsid w:val="00976FD4"/>
    <w:rsid w:val="009773EB"/>
    <w:rsid w:val="00985420"/>
    <w:rsid w:val="00986570"/>
    <w:rsid w:val="00991B2A"/>
    <w:rsid w:val="00992810"/>
    <w:rsid w:val="00993160"/>
    <w:rsid w:val="00995B1A"/>
    <w:rsid w:val="009A0D01"/>
    <w:rsid w:val="009A5EAB"/>
    <w:rsid w:val="009A7EDB"/>
    <w:rsid w:val="009B026A"/>
    <w:rsid w:val="009B0B40"/>
    <w:rsid w:val="009B680B"/>
    <w:rsid w:val="009B68A1"/>
    <w:rsid w:val="009B6C1A"/>
    <w:rsid w:val="009B70A3"/>
    <w:rsid w:val="009C04CB"/>
    <w:rsid w:val="009C0627"/>
    <w:rsid w:val="009C1A67"/>
    <w:rsid w:val="009C2188"/>
    <w:rsid w:val="009C25FC"/>
    <w:rsid w:val="009C34EF"/>
    <w:rsid w:val="009C62ED"/>
    <w:rsid w:val="009C6A09"/>
    <w:rsid w:val="009C6DE9"/>
    <w:rsid w:val="009C73A2"/>
    <w:rsid w:val="009C79AC"/>
    <w:rsid w:val="009D14B0"/>
    <w:rsid w:val="009D2A64"/>
    <w:rsid w:val="009D2E4C"/>
    <w:rsid w:val="009D5132"/>
    <w:rsid w:val="009D524E"/>
    <w:rsid w:val="009E022F"/>
    <w:rsid w:val="009E26DB"/>
    <w:rsid w:val="009E2E2A"/>
    <w:rsid w:val="009E4AC0"/>
    <w:rsid w:val="009F07AC"/>
    <w:rsid w:val="009F126E"/>
    <w:rsid w:val="009F1E0E"/>
    <w:rsid w:val="009F22B8"/>
    <w:rsid w:val="009F24E9"/>
    <w:rsid w:val="009F2FE0"/>
    <w:rsid w:val="009F3612"/>
    <w:rsid w:val="009F4854"/>
    <w:rsid w:val="009F575F"/>
    <w:rsid w:val="00A00808"/>
    <w:rsid w:val="00A01160"/>
    <w:rsid w:val="00A02E9B"/>
    <w:rsid w:val="00A037CA"/>
    <w:rsid w:val="00A04E61"/>
    <w:rsid w:val="00A06E74"/>
    <w:rsid w:val="00A076CE"/>
    <w:rsid w:val="00A11F87"/>
    <w:rsid w:val="00A145BF"/>
    <w:rsid w:val="00A14C74"/>
    <w:rsid w:val="00A14FE3"/>
    <w:rsid w:val="00A159F3"/>
    <w:rsid w:val="00A15FE2"/>
    <w:rsid w:val="00A17431"/>
    <w:rsid w:val="00A206F7"/>
    <w:rsid w:val="00A21755"/>
    <w:rsid w:val="00A237D2"/>
    <w:rsid w:val="00A2597F"/>
    <w:rsid w:val="00A26188"/>
    <w:rsid w:val="00A265EB"/>
    <w:rsid w:val="00A31752"/>
    <w:rsid w:val="00A317ED"/>
    <w:rsid w:val="00A32277"/>
    <w:rsid w:val="00A33862"/>
    <w:rsid w:val="00A33D83"/>
    <w:rsid w:val="00A35287"/>
    <w:rsid w:val="00A3637B"/>
    <w:rsid w:val="00A368FD"/>
    <w:rsid w:val="00A36B02"/>
    <w:rsid w:val="00A3728F"/>
    <w:rsid w:val="00A37750"/>
    <w:rsid w:val="00A40994"/>
    <w:rsid w:val="00A43683"/>
    <w:rsid w:val="00A4384C"/>
    <w:rsid w:val="00A43E3D"/>
    <w:rsid w:val="00A44CFD"/>
    <w:rsid w:val="00A462DB"/>
    <w:rsid w:val="00A50E2C"/>
    <w:rsid w:val="00A51FDD"/>
    <w:rsid w:val="00A52677"/>
    <w:rsid w:val="00A578C9"/>
    <w:rsid w:val="00A578D0"/>
    <w:rsid w:val="00A57C70"/>
    <w:rsid w:val="00A6186A"/>
    <w:rsid w:val="00A627A2"/>
    <w:rsid w:val="00A63085"/>
    <w:rsid w:val="00A6318E"/>
    <w:rsid w:val="00A636A3"/>
    <w:rsid w:val="00A647D9"/>
    <w:rsid w:val="00A64DC9"/>
    <w:rsid w:val="00A6563F"/>
    <w:rsid w:val="00A67CCA"/>
    <w:rsid w:val="00A71EC0"/>
    <w:rsid w:val="00A73169"/>
    <w:rsid w:val="00A7572C"/>
    <w:rsid w:val="00A7695D"/>
    <w:rsid w:val="00A7745E"/>
    <w:rsid w:val="00A8077B"/>
    <w:rsid w:val="00A81B15"/>
    <w:rsid w:val="00A820F8"/>
    <w:rsid w:val="00A84AD9"/>
    <w:rsid w:val="00A84FF3"/>
    <w:rsid w:val="00A856B6"/>
    <w:rsid w:val="00A912AE"/>
    <w:rsid w:val="00A938CE"/>
    <w:rsid w:val="00A93958"/>
    <w:rsid w:val="00A95917"/>
    <w:rsid w:val="00A95C4F"/>
    <w:rsid w:val="00A974DA"/>
    <w:rsid w:val="00A97C0E"/>
    <w:rsid w:val="00A97C5F"/>
    <w:rsid w:val="00AA11C4"/>
    <w:rsid w:val="00AA20FF"/>
    <w:rsid w:val="00AA3AA9"/>
    <w:rsid w:val="00AA3FD7"/>
    <w:rsid w:val="00AA4401"/>
    <w:rsid w:val="00AA45DF"/>
    <w:rsid w:val="00AA5A39"/>
    <w:rsid w:val="00AB493F"/>
    <w:rsid w:val="00AB4FFF"/>
    <w:rsid w:val="00AB5110"/>
    <w:rsid w:val="00AB7AC5"/>
    <w:rsid w:val="00AC146E"/>
    <w:rsid w:val="00AC16DC"/>
    <w:rsid w:val="00AC1792"/>
    <w:rsid w:val="00AC1978"/>
    <w:rsid w:val="00AC201E"/>
    <w:rsid w:val="00AC3EB1"/>
    <w:rsid w:val="00AC4BC7"/>
    <w:rsid w:val="00AC597C"/>
    <w:rsid w:val="00AC5D18"/>
    <w:rsid w:val="00AC64CC"/>
    <w:rsid w:val="00AD0509"/>
    <w:rsid w:val="00AD0769"/>
    <w:rsid w:val="00AD15E8"/>
    <w:rsid w:val="00AD2638"/>
    <w:rsid w:val="00AD3FC8"/>
    <w:rsid w:val="00AD41AF"/>
    <w:rsid w:val="00AD6DDF"/>
    <w:rsid w:val="00AE0766"/>
    <w:rsid w:val="00AE101C"/>
    <w:rsid w:val="00AE1AED"/>
    <w:rsid w:val="00AE1FAA"/>
    <w:rsid w:val="00AE2077"/>
    <w:rsid w:val="00AE47AB"/>
    <w:rsid w:val="00AE59D1"/>
    <w:rsid w:val="00AE5C97"/>
    <w:rsid w:val="00AE6232"/>
    <w:rsid w:val="00AE6E92"/>
    <w:rsid w:val="00AE7D61"/>
    <w:rsid w:val="00AF33AF"/>
    <w:rsid w:val="00AF4085"/>
    <w:rsid w:val="00AF4D69"/>
    <w:rsid w:val="00AF4E84"/>
    <w:rsid w:val="00AF54A5"/>
    <w:rsid w:val="00AF790D"/>
    <w:rsid w:val="00B00F52"/>
    <w:rsid w:val="00B010A9"/>
    <w:rsid w:val="00B01C58"/>
    <w:rsid w:val="00B024DF"/>
    <w:rsid w:val="00B0302D"/>
    <w:rsid w:val="00B0561D"/>
    <w:rsid w:val="00B056E8"/>
    <w:rsid w:val="00B071F0"/>
    <w:rsid w:val="00B10559"/>
    <w:rsid w:val="00B13CBF"/>
    <w:rsid w:val="00B1415A"/>
    <w:rsid w:val="00B16823"/>
    <w:rsid w:val="00B169B2"/>
    <w:rsid w:val="00B176CA"/>
    <w:rsid w:val="00B21AE1"/>
    <w:rsid w:val="00B2284C"/>
    <w:rsid w:val="00B22D99"/>
    <w:rsid w:val="00B23AD2"/>
    <w:rsid w:val="00B2475F"/>
    <w:rsid w:val="00B247D1"/>
    <w:rsid w:val="00B25451"/>
    <w:rsid w:val="00B2592D"/>
    <w:rsid w:val="00B26DE9"/>
    <w:rsid w:val="00B272EC"/>
    <w:rsid w:val="00B30521"/>
    <w:rsid w:val="00B30EA4"/>
    <w:rsid w:val="00B33400"/>
    <w:rsid w:val="00B35BDE"/>
    <w:rsid w:val="00B3669D"/>
    <w:rsid w:val="00B40A3B"/>
    <w:rsid w:val="00B418FF"/>
    <w:rsid w:val="00B46160"/>
    <w:rsid w:val="00B47861"/>
    <w:rsid w:val="00B47E65"/>
    <w:rsid w:val="00B52A09"/>
    <w:rsid w:val="00B52A59"/>
    <w:rsid w:val="00B54E1B"/>
    <w:rsid w:val="00B5762E"/>
    <w:rsid w:val="00B57E89"/>
    <w:rsid w:val="00B62706"/>
    <w:rsid w:val="00B63161"/>
    <w:rsid w:val="00B65015"/>
    <w:rsid w:val="00B662AC"/>
    <w:rsid w:val="00B66FD9"/>
    <w:rsid w:val="00B70888"/>
    <w:rsid w:val="00B717EF"/>
    <w:rsid w:val="00B71BE4"/>
    <w:rsid w:val="00B72576"/>
    <w:rsid w:val="00B74638"/>
    <w:rsid w:val="00B74CA3"/>
    <w:rsid w:val="00B750FD"/>
    <w:rsid w:val="00B81608"/>
    <w:rsid w:val="00B82977"/>
    <w:rsid w:val="00B82AB8"/>
    <w:rsid w:val="00B84298"/>
    <w:rsid w:val="00B85295"/>
    <w:rsid w:val="00B86973"/>
    <w:rsid w:val="00B87382"/>
    <w:rsid w:val="00B9055E"/>
    <w:rsid w:val="00B90871"/>
    <w:rsid w:val="00B919E2"/>
    <w:rsid w:val="00B9548B"/>
    <w:rsid w:val="00B96BA8"/>
    <w:rsid w:val="00BA1503"/>
    <w:rsid w:val="00BA39E7"/>
    <w:rsid w:val="00BA4B6C"/>
    <w:rsid w:val="00BA5889"/>
    <w:rsid w:val="00BA61DC"/>
    <w:rsid w:val="00BA6A9D"/>
    <w:rsid w:val="00BB0D40"/>
    <w:rsid w:val="00BB1FFF"/>
    <w:rsid w:val="00BB2610"/>
    <w:rsid w:val="00BB49A9"/>
    <w:rsid w:val="00BB5BFA"/>
    <w:rsid w:val="00BB5D40"/>
    <w:rsid w:val="00BC31E8"/>
    <w:rsid w:val="00BC3F47"/>
    <w:rsid w:val="00BC5328"/>
    <w:rsid w:val="00BC6766"/>
    <w:rsid w:val="00BC6A1F"/>
    <w:rsid w:val="00BC6C84"/>
    <w:rsid w:val="00BC7B95"/>
    <w:rsid w:val="00BD22D8"/>
    <w:rsid w:val="00BD2E94"/>
    <w:rsid w:val="00BD2F05"/>
    <w:rsid w:val="00BD34E7"/>
    <w:rsid w:val="00BE0088"/>
    <w:rsid w:val="00BE2C00"/>
    <w:rsid w:val="00BE526D"/>
    <w:rsid w:val="00BE5EAF"/>
    <w:rsid w:val="00BE5FA5"/>
    <w:rsid w:val="00BE64F6"/>
    <w:rsid w:val="00BE6ADE"/>
    <w:rsid w:val="00BF3620"/>
    <w:rsid w:val="00BF451C"/>
    <w:rsid w:val="00BF45E8"/>
    <w:rsid w:val="00BF54D6"/>
    <w:rsid w:val="00BF56A7"/>
    <w:rsid w:val="00BF578D"/>
    <w:rsid w:val="00BF6A15"/>
    <w:rsid w:val="00C01D78"/>
    <w:rsid w:val="00C0271A"/>
    <w:rsid w:val="00C050DF"/>
    <w:rsid w:val="00C05C4C"/>
    <w:rsid w:val="00C07B73"/>
    <w:rsid w:val="00C12EFA"/>
    <w:rsid w:val="00C1380A"/>
    <w:rsid w:val="00C1453D"/>
    <w:rsid w:val="00C17A5C"/>
    <w:rsid w:val="00C216CD"/>
    <w:rsid w:val="00C23AE6"/>
    <w:rsid w:val="00C25332"/>
    <w:rsid w:val="00C26155"/>
    <w:rsid w:val="00C30B65"/>
    <w:rsid w:val="00C322CC"/>
    <w:rsid w:val="00C3363F"/>
    <w:rsid w:val="00C35E55"/>
    <w:rsid w:val="00C36917"/>
    <w:rsid w:val="00C36BEC"/>
    <w:rsid w:val="00C3738D"/>
    <w:rsid w:val="00C37876"/>
    <w:rsid w:val="00C4041A"/>
    <w:rsid w:val="00C417C6"/>
    <w:rsid w:val="00C4368D"/>
    <w:rsid w:val="00C44CB6"/>
    <w:rsid w:val="00C46EA8"/>
    <w:rsid w:val="00C51549"/>
    <w:rsid w:val="00C54413"/>
    <w:rsid w:val="00C57801"/>
    <w:rsid w:val="00C61006"/>
    <w:rsid w:val="00C61446"/>
    <w:rsid w:val="00C6218F"/>
    <w:rsid w:val="00C63947"/>
    <w:rsid w:val="00C63E62"/>
    <w:rsid w:val="00C65DBE"/>
    <w:rsid w:val="00C6640B"/>
    <w:rsid w:val="00C66464"/>
    <w:rsid w:val="00C66A1C"/>
    <w:rsid w:val="00C70DD5"/>
    <w:rsid w:val="00C717EA"/>
    <w:rsid w:val="00C72BDF"/>
    <w:rsid w:val="00C7415B"/>
    <w:rsid w:val="00C75F97"/>
    <w:rsid w:val="00C77BDF"/>
    <w:rsid w:val="00C821A0"/>
    <w:rsid w:val="00C821F6"/>
    <w:rsid w:val="00C84003"/>
    <w:rsid w:val="00C87C68"/>
    <w:rsid w:val="00C925FB"/>
    <w:rsid w:val="00C974E0"/>
    <w:rsid w:val="00C978A2"/>
    <w:rsid w:val="00CA04EB"/>
    <w:rsid w:val="00CA33C9"/>
    <w:rsid w:val="00CA34F5"/>
    <w:rsid w:val="00CA4971"/>
    <w:rsid w:val="00CA5DAC"/>
    <w:rsid w:val="00CA69A3"/>
    <w:rsid w:val="00CA7911"/>
    <w:rsid w:val="00CA7AAD"/>
    <w:rsid w:val="00CB443D"/>
    <w:rsid w:val="00CB4684"/>
    <w:rsid w:val="00CB46B5"/>
    <w:rsid w:val="00CB5B88"/>
    <w:rsid w:val="00CB5DF1"/>
    <w:rsid w:val="00CB6B9C"/>
    <w:rsid w:val="00CB6D90"/>
    <w:rsid w:val="00CB7FEC"/>
    <w:rsid w:val="00CC056F"/>
    <w:rsid w:val="00CC17A8"/>
    <w:rsid w:val="00CC2B60"/>
    <w:rsid w:val="00CC2E60"/>
    <w:rsid w:val="00CC3091"/>
    <w:rsid w:val="00CC3EEC"/>
    <w:rsid w:val="00CC5B4B"/>
    <w:rsid w:val="00CC5E93"/>
    <w:rsid w:val="00CC679A"/>
    <w:rsid w:val="00CC6B2A"/>
    <w:rsid w:val="00CD0ACB"/>
    <w:rsid w:val="00CD2134"/>
    <w:rsid w:val="00CD383F"/>
    <w:rsid w:val="00CD5C23"/>
    <w:rsid w:val="00CD5F4F"/>
    <w:rsid w:val="00CD6F72"/>
    <w:rsid w:val="00CD7A50"/>
    <w:rsid w:val="00CD7C3B"/>
    <w:rsid w:val="00CE0740"/>
    <w:rsid w:val="00CE15BC"/>
    <w:rsid w:val="00CE2545"/>
    <w:rsid w:val="00CE2DDF"/>
    <w:rsid w:val="00CE3318"/>
    <w:rsid w:val="00CE69CF"/>
    <w:rsid w:val="00CE74E2"/>
    <w:rsid w:val="00CF0C2C"/>
    <w:rsid w:val="00CF1370"/>
    <w:rsid w:val="00CF271C"/>
    <w:rsid w:val="00CF29D5"/>
    <w:rsid w:val="00CF33E0"/>
    <w:rsid w:val="00CF5293"/>
    <w:rsid w:val="00CF5F9C"/>
    <w:rsid w:val="00CF7001"/>
    <w:rsid w:val="00D011AF"/>
    <w:rsid w:val="00D02E3B"/>
    <w:rsid w:val="00D037AF"/>
    <w:rsid w:val="00D042C7"/>
    <w:rsid w:val="00D045CE"/>
    <w:rsid w:val="00D06667"/>
    <w:rsid w:val="00D06F8E"/>
    <w:rsid w:val="00D07506"/>
    <w:rsid w:val="00D0783E"/>
    <w:rsid w:val="00D07A29"/>
    <w:rsid w:val="00D10794"/>
    <w:rsid w:val="00D11A76"/>
    <w:rsid w:val="00D1251D"/>
    <w:rsid w:val="00D12FB7"/>
    <w:rsid w:val="00D13D22"/>
    <w:rsid w:val="00D144CD"/>
    <w:rsid w:val="00D14CA6"/>
    <w:rsid w:val="00D17CCE"/>
    <w:rsid w:val="00D213A3"/>
    <w:rsid w:val="00D21572"/>
    <w:rsid w:val="00D2201A"/>
    <w:rsid w:val="00D222FC"/>
    <w:rsid w:val="00D231C5"/>
    <w:rsid w:val="00D23CAB"/>
    <w:rsid w:val="00D249A2"/>
    <w:rsid w:val="00D250EB"/>
    <w:rsid w:val="00D25288"/>
    <w:rsid w:val="00D31393"/>
    <w:rsid w:val="00D327C3"/>
    <w:rsid w:val="00D32FC3"/>
    <w:rsid w:val="00D336AD"/>
    <w:rsid w:val="00D3504E"/>
    <w:rsid w:val="00D352BC"/>
    <w:rsid w:val="00D35B08"/>
    <w:rsid w:val="00D35F3F"/>
    <w:rsid w:val="00D36F75"/>
    <w:rsid w:val="00D40A41"/>
    <w:rsid w:val="00D417D0"/>
    <w:rsid w:val="00D431C8"/>
    <w:rsid w:val="00D436A6"/>
    <w:rsid w:val="00D43B3F"/>
    <w:rsid w:val="00D4707A"/>
    <w:rsid w:val="00D516F5"/>
    <w:rsid w:val="00D5436D"/>
    <w:rsid w:val="00D64DDC"/>
    <w:rsid w:val="00D67AF1"/>
    <w:rsid w:val="00D71541"/>
    <w:rsid w:val="00D737A2"/>
    <w:rsid w:val="00D762EF"/>
    <w:rsid w:val="00D7716F"/>
    <w:rsid w:val="00D77E7C"/>
    <w:rsid w:val="00D80BE3"/>
    <w:rsid w:val="00D82C16"/>
    <w:rsid w:val="00D83F2D"/>
    <w:rsid w:val="00D84EBD"/>
    <w:rsid w:val="00D867F1"/>
    <w:rsid w:val="00D87A67"/>
    <w:rsid w:val="00D87B4E"/>
    <w:rsid w:val="00D91C74"/>
    <w:rsid w:val="00D92579"/>
    <w:rsid w:val="00D93816"/>
    <w:rsid w:val="00D94069"/>
    <w:rsid w:val="00D94280"/>
    <w:rsid w:val="00D94B5B"/>
    <w:rsid w:val="00D95363"/>
    <w:rsid w:val="00D95780"/>
    <w:rsid w:val="00D960D0"/>
    <w:rsid w:val="00DA245A"/>
    <w:rsid w:val="00DA3582"/>
    <w:rsid w:val="00DA43E1"/>
    <w:rsid w:val="00DA5A46"/>
    <w:rsid w:val="00DA5CDB"/>
    <w:rsid w:val="00DA747B"/>
    <w:rsid w:val="00DA7CD3"/>
    <w:rsid w:val="00DB194C"/>
    <w:rsid w:val="00DB19B5"/>
    <w:rsid w:val="00DB1B64"/>
    <w:rsid w:val="00DB1BE7"/>
    <w:rsid w:val="00DB22AA"/>
    <w:rsid w:val="00DB28C7"/>
    <w:rsid w:val="00DB3937"/>
    <w:rsid w:val="00DB472F"/>
    <w:rsid w:val="00DB655A"/>
    <w:rsid w:val="00DB70A1"/>
    <w:rsid w:val="00DB7A9F"/>
    <w:rsid w:val="00DC0ADA"/>
    <w:rsid w:val="00DC2236"/>
    <w:rsid w:val="00DC239D"/>
    <w:rsid w:val="00DC3D1E"/>
    <w:rsid w:val="00DC3EC5"/>
    <w:rsid w:val="00DC47F1"/>
    <w:rsid w:val="00DC5F53"/>
    <w:rsid w:val="00DC660B"/>
    <w:rsid w:val="00DC69FB"/>
    <w:rsid w:val="00DD4410"/>
    <w:rsid w:val="00DD4739"/>
    <w:rsid w:val="00DD5577"/>
    <w:rsid w:val="00DD6098"/>
    <w:rsid w:val="00DD6765"/>
    <w:rsid w:val="00DE0E72"/>
    <w:rsid w:val="00DE4013"/>
    <w:rsid w:val="00DE7AE3"/>
    <w:rsid w:val="00DE7F74"/>
    <w:rsid w:val="00DF0EE5"/>
    <w:rsid w:val="00DF278B"/>
    <w:rsid w:val="00DF2CCE"/>
    <w:rsid w:val="00DF2D61"/>
    <w:rsid w:val="00DF5638"/>
    <w:rsid w:val="00DF6463"/>
    <w:rsid w:val="00DF7CB4"/>
    <w:rsid w:val="00E008C0"/>
    <w:rsid w:val="00E0201B"/>
    <w:rsid w:val="00E04818"/>
    <w:rsid w:val="00E05997"/>
    <w:rsid w:val="00E0697D"/>
    <w:rsid w:val="00E12039"/>
    <w:rsid w:val="00E130E6"/>
    <w:rsid w:val="00E1580F"/>
    <w:rsid w:val="00E1727B"/>
    <w:rsid w:val="00E206FE"/>
    <w:rsid w:val="00E241C7"/>
    <w:rsid w:val="00E2447D"/>
    <w:rsid w:val="00E24703"/>
    <w:rsid w:val="00E2477F"/>
    <w:rsid w:val="00E26A42"/>
    <w:rsid w:val="00E270A1"/>
    <w:rsid w:val="00E27986"/>
    <w:rsid w:val="00E30C7B"/>
    <w:rsid w:val="00E31E88"/>
    <w:rsid w:val="00E321F2"/>
    <w:rsid w:val="00E339FB"/>
    <w:rsid w:val="00E36115"/>
    <w:rsid w:val="00E40387"/>
    <w:rsid w:val="00E425CF"/>
    <w:rsid w:val="00E446B9"/>
    <w:rsid w:val="00E44EAC"/>
    <w:rsid w:val="00E5142C"/>
    <w:rsid w:val="00E53A9F"/>
    <w:rsid w:val="00E53AA6"/>
    <w:rsid w:val="00E545BF"/>
    <w:rsid w:val="00E55654"/>
    <w:rsid w:val="00E55D86"/>
    <w:rsid w:val="00E56C13"/>
    <w:rsid w:val="00E575DC"/>
    <w:rsid w:val="00E577E3"/>
    <w:rsid w:val="00E608D2"/>
    <w:rsid w:val="00E60EB3"/>
    <w:rsid w:val="00E61382"/>
    <w:rsid w:val="00E629EC"/>
    <w:rsid w:val="00E63394"/>
    <w:rsid w:val="00E63BA8"/>
    <w:rsid w:val="00E64898"/>
    <w:rsid w:val="00E65FA4"/>
    <w:rsid w:val="00E6633A"/>
    <w:rsid w:val="00E7064A"/>
    <w:rsid w:val="00E7108A"/>
    <w:rsid w:val="00E71719"/>
    <w:rsid w:val="00E71905"/>
    <w:rsid w:val="00E71D7B"/>
    <w:rsid w:val="00E74B78"/>
    <w:rsid w:val="00E75E2C"/>
    <w:rsid w:val="00E768F0"/>
    <w:rsid w:val="00E77BE8"/>
    <w:rsid w:val="00E803BC"/>
    <w:rsid w:val="00E814BB"/>
    <w:rsid w:val="00E81507"/>
    <w:rsid w:val="00E82085"/>
    <w:rsid w:val="00E83F4E"/>
    <w:rsid w:val="00E91EED"/>
    <w:rsid w:val="00E92251"/>
    <w:rsid w:val="00E9256D"/>
    <w:rsid w:val="00E93556"/>
    <w:rsid w:val="00E93859"/>
    <w:rsid w:val="00E944B3"/>
    <w:rsid w:val="00E9450E"/>
    <w:rsid w:val="00E95BE5"/>
    <w:rsid w:val="00EA0945"/>
    <w:rsid w:val="00EA18C0"/>
    <w:rsid w:val="00EA1BAA"/>
    <w:rsid w:val="00EA2C8B"/>
    <w:rsid w:val="00EA31DE"/>
    <w:rsid w:val="00EA3400"/>
    <w:rsid w:val="00EA5596"/>
    <w:rsid w:val="00EA5B6B"/>
    <w:rsid w:val="00EA5EE1"/>
    <w:rsid w:val="00EA75FE"/>
    <w:rsid w:val="00EA77D7"/>
    <w:rsid w:val="00EB00F0"/>
    <w:rsid w:val="00EB0DD4"/>
    <w:rsid w:val="00EB1D40"/>
    <w:rsid w:val="00EB34D9"/>
    <w:rsid w:val="00EB364E"/>
    <w:rsid w:val="00EB3833"/>
    <w:rsid w:val="00EB4903"/>
    <w:rsid w:val="00EB60F2"/>
    <w:rsid w:val="00EB6D76"/>
    <w:rsid w:val="00EB73C4"/>
    <w:rsid w:val="00EC1C93"/>
    <w:rsid w:val="00EC2BD8"/>
    <w:rsid w:val="00EC326C"/>
    <w:rsid w:val="00EC5EDA"/>
    <w:rsid w:val="00EC6F46"/>
    <w:rsid w:val="00ED3103"/>
    <w:rsid w:val="00ED369B"/>
    <w:rsid w:val="00ED698E"/>
    <w:rsid w:val="00EE228B"/>
    <w:rsid w:val="00EE2445"/>
    <w:rsid w:val="00EE29B2"/>
    <w:rsid w:val="00EE3559"/>
    <w:rsid w:val="00EE635C"/>
    <w:rsid w:val="00EF1361"/>
    <w:rsid w:val="00EF256A"/>
    <w:rsid w:val="00EF2A05"/>
    <w:rsid w:val="00EF2B49"/>
    <w:rsid w:val="00EF368B"/>
    <w:rsid w:val="00EF3B76"/>
    <w:rsid w:val="00EF5CAA"/>
    <w:rsid w:val="00EF611A"/>
    <w:rsid w:val="00EF69E6"/>
    <w:rsid w:val="00F006D6"/>
    <w:rsid w:val="00F014C6"/>
    <w:rsid w:val="00F030F2"/>
    <w:rsid w:val="00F07767"/>
    <w:rsid w:val="00F07F57"/>
    <w:rsid w:val="00F10FB7"/>
    <w:rsid w:val="00F11BC0"/>
    <w:rsid w:val="00F11C03"/>
    <w:rsid w:val="00F1270E"/>
    <w:rsid w:val="00F12BA7"/>
    <w:rsid w:val="00F147B8"/>
    <w:rsid w:val="00F14E72"/>
    <w:rsid w:val="00F161D0"/>
    <w:rsid w:val="00F21A1B"/>
    <w:rsid w:val="00F2217F"/>
    <w:rsid w:val="00F23889"/>
    <w:rsid w:val="00F239C7"/>
    <w:rsid w:val="00F243FD"/>
    <w:rsid w:val="00F24652"/>
    <w:rsid w:val="00F250D1"/>
    <w:rsid w:val="00F27AF3"/>
    <w:rsid w:val="00F27CDF"/>
    <w:rsid w:val="00F32E44"/>
    <w:rsid w:val="00F345EA"/>
    <w:rsid w:val="00F35770"/>
    <w:rsid w:val="00F362B1"/>
    <w:rsid w:val="00F36309"/>
    <w:rsid w:val="00F36628"/>
    <w:rsid w:val="00F4097F"/>
    <w:rsid w:val="00F42CB5"/>
    <w:rsid w:val="00F437DA"/>
    <w:rsid w:val="00F44165"/>
    <w:rsid w:val="00F45371"/>
    <w:rsid w:val="00F455CD"/>
    <w:rsid w:val="00F4689A"/>
    <w:rsid w:val="00F47E04"/>
    <w:rsid w:val="00F47F13"/>
    <w:rsid w:val="00F52D95"/>
    <w:rsid w:val="00F53B0B"/>
    <w:rsid w:val="00F53F27"/>
    <w:rsid w:val="00F54C98"/>
    <w:rsid w:val="00F56DF1"/>
    <w:rsid w:val="00F56F20"/>
    <w:rsid w:val="00F57B8C"/>
    <w:rsid w:val="00F57E96"/>
    <w:rsid w:val="00F61012"/>
    <w:rsid w:val="00F61B1E"/>
    <w:rsid w:val="00F64493"/>
    <w:rsid w:val="00F65588"/>
    <w:rsid w:val="00F66DF2"/>
    <w:rsid w:val="00F67DE4"/>
    <w:rsid w:val="00F7312E"/>
    <w:rsid w:val="00F7374A"/>
    <w:rsid w:val="00F73B4B"/>
    <w:rsid w:val="00F7657D"/>
    <w:rsid w:val="00F76D8D"/>
    <w:rsid w:val="00F77491"/>
    <w:rsid w:val="00F805E0"/>
    <w:rsid w:val="00F806EB"/>
    <w:rsid w:val="00F819C8"/>
    <w:rsid w:val="00F81F93"/>
    <w:rsid w:val="00F8259C"/>
    <w:rsid w:val="00F82AFC"/>
    <w:rsid w:val="00F83177"/>
    <w:rsid w:val="00F8453F"/>
    <w:rsid w:val="00F85F75"/>
    <w:rsid w:val="00F86203"/>
    <w:rsid w:val="00F86512"/>
    <w:rsid w:val="00F86DDF"/>
    <w:rsid w:val="00F90E8A"/>
    <w:rsid w:val="00F90F92"/>
    <w:rsid w:val="00F912CB"/>
    <w:rsid w:val="00F9134F"/>
    <w:rsid w:val="00F91713"/>
    <w:rsid w:val="00F92279"/>
    <w:rsid w:val="00F92427"/>
    <w:rsid w:val="00F92736"/>
    <w:rsid w:val="00F92BCB"/>
    <w:rsid w:val="00F932CE"/>
    <w:rsid w:val="00F95EBB"/>
    <w:rsid w:val="00F975AD"/>
    <w:rsid w:val="00F97ACC"/>
    <w:rsid w:val="00FA0C6D"/>
    <w:rsid w:val="00FA325A"/>
    <w:rsid w:val="00FA3852"/>
    <w:rsid w:val="00FA6CC6"/>
    <w:rsid w:val="00FA6D2D"/>
    <w:rsid w:val="00FA71C1"/>
    <w:rsid w:val="00FA7454"/>
    <w:rsid w:val="00FA7BB0"/>
    <w:rsid w:val="00FB03BD"/>
    <w:rsid w:val="00FB233B"/>
    <w:rsid w:val="00FB29B2"/>
    <w:rsid w:val="00FB4F54"/>
    <w:rsid w:val="00FB5BB7"/>
    <w:rsid w:val="00FB7CE0"/>
    <w:rsid w:val="00FC0575"/>
    <w:rsid w:val="00FC163D"/>
    <w:rsid w:val="00FC3068"/>
    <w:rsid w:val="00FC323C"/>
    <w:rsid w:val="00FC352A"/>
    <w:rsid w:val="00FC40C4"/>
    <w:rsid w:val="00FC4B55"/>
    <w:rsid w:val="00FC4E08"/>
    <w:rsid w:val="00FC50E8"/>
    <w:rsid w:val="00FC64E1"/>
    <w:rsid w:val="00FD0E63"/>
    <w:rsid w:val="00FD0EC9"/>
    <w:rsid w:val="00FD13B8"/>
    <w:rsid w:val="00FD23A2"/>
    <w:rsid w:val="00FD2D90"/>
    <w:rsid w:val="00FD4C42"/>
    <w:rsid w:val="00FD6F5C"/>
    <w:rsid w:val="00FD7028"/>
    <w:rsid w:val="00FE1C4F"/>
    <w:rsid w:val="00FE1D3D"/>
    <w:rsid w:val="00FE3010"/>
    <w:rsid w:val="00FE3EC2"/>
    <w:rsid w:val="00FE4B98"/>
    <w:rsid w:val="00FE6325"/>
    <w:rsid w:val="00FF08FD"/>
    <w:rsid w:val="00FF0DF7"/>
    <w:rsid w:val="00FF400A"/>
    <w:rsid w:val="00FF46FC"/>
    <w:rsid w:val="00FF649D"/>
    <w:rsid w:val="00FF6F8E"/>
    <w:rsid w:val="25481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463279"/>
  <w15:docId w15:val="{8407D7A4-6988-4F1D-9574-C2DE6E14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69D"/>
    <w:pPr>
      <w:keepNext/>
      <w:spacing w:after="0" w:line="240" w:lineRule="auto"/>
      <w:outlineLvl w:val="0"/>
    </w:pPr>
    <w:rPr>
      <w:rFonts w:ascii="Arial" w:eastAsia="Times New Roman" w:hAnsi="Arial" w:cs="Arial"/>
      <w:b/>
      <w:bCs/>
      <w:sz w:val="24"/>
      <w:szCs w:val="24"/>
    </w:rPr>
  </w:style>
  <w:style w:type="paragraph" w:styleId="Heading2">
    <w:name w:val="heading 2"/>
    <w:basedOn w:val="Normal"/>
    <w:next w:val="Normal"/>
    <w:link w:val="Heading2Char"/>
    <w:uiPriority w:val="9"/>
    <w:unhideWhenUsed/>
    <w:qFormat/>
    <w:rsid w:val="008D42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D42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8D4208"/>
    <w:pPr>
      <w:spacing w:before="150" w:after="300" w:line="264" w:lineRule="atLeast"/>
      <w:ind w:left="864" w:hanging="864"/>
      <w:outlineLvl w:val="3"/>
    </w:pPr>
    <w:rPr>
      <w:rFonts w:ascii="Open Sans" w:eastAsia="Times New Roman" w:hAnsi="Open Sans" w:cs="Times New Roman"/>
      <w:b/>
      <w:bCs/>
      <w:color w:val="000000"/>
      <w:sz w:val="27"/>
      <w:szCs w:val="27"/>
      <w:lang w:eastAsia="en-GB"/>
    </w:rPr>
  </w:style>
  <w:style w:type="paragraph" w:styleId="Heading5">
    <w:name w:val="heading 5"/>
    <w:basedOn w:val="Normal"/>
    <w:next w:val="Normal"/>
    <w:link w:val="Heading5Char"/>
    <w:uiPriority w:val="9"/>
    <w:semiHidden/>
    <w:unhideWhenUsed/>
    <w:qFormat/>
    <w:rsid w:val="008D4208"/>
    <w:pPr>
      <w:keepNext/>
      <w:keepLines/>
      <w:spacing w:before="40" w:after="0" w:line="259" w:lineRule="auto"/>
      <w:ind w:left="1008" w:hanging="1008"/>
      <w:outlineLvl w:val="4"/>
    </w:pPr>
    <w:rPr>
      <w:rFonts w:asciiTheme="majorHAnsi" w:eastAsiaTheme="majorEastAsia" w:hAnsiTheme="majorHAnsi" w:cstheme="majorBidi"/>
      <w:color w:val="365F91" w:themeColor="accent1" w:themeShade="BF"/>
      <w:sz w:val="21"/>
    </w:rPr>
  </w:style>
  <w:style w:type="paragraph" w:styleId="Heading6">
    <w:name w:val="heading 6"/>
    <w:basedOn w:val="Normal"/>
    <w:next w:val="Normal"/>
    <w:link w:val="Heading6Char"/>
    <w:uiPriority w:val="9"/>
    <w:semiHidden/>
    <w:unhideWhenUsed/>
    <w:qFormat/>
    <w:rsid w:val="008D4208"/>
    <w:pPr>
      <w:keepNext/>
      <w:keepLines/>
      <w:spacing w:before="40" w:after="0" w:line="259" w:lineRule="auto"/>
      <w:ind w:left="1152" w:hanging="1152"/>
      <w:outlineLvl w:val="5"/>
    </w:pPr>
    <w:rPr>
      <w:rFonts w:asciiTheme="majorHAnsi" w:eastAsiaTheme="majorEastAsia" w:hAnsiTheme="majorHAnsi" w:cstheme="majorBidi"/>
      <w:color w:val="243F60" w:themeColor="accent1" w:themeShade="7F"/>
      <w:sz w:val="21"/>
    </w:rPr>
  </w:style>
  <w:style w:type="paragraph" w:styleId="Heading7">
    <w:name w:val="heading 7"/>
    <w:basedOn w:val="Normal"/>
    <w:next w:val="Normal"/>
    <w:link w:val="Heading7Char"/>
    <w:uiPriority w:val="9"/>
    <w:unhideWhenUsed/>
    <w:qFormat/>
    <w:rsid w:val="00325EE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D4208"/>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D4208"/>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7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986"/>
    <w:rPr>
      <w:rFonts w:ascii="Tahoma" w:hAnsi="Tahoma" w:cs="Tahoma"/>
      <w:sz w:val="16"/>
      <w:szCs w:val="16"/>
    </w:rPr>
  </w:style>
  <w:style w:type="character" w:styleId="Hyperlink">
    <w:name w:val="Hyperlink"/>
    <w:basedOn w:val="DefaultParagraphFont"/>
    <w:uiPriority w:val="99"/>
    <w:unhideWhenUsed/>
    <w:rsid w:val="00E27986"/>
    <w:rPr>
      <w:color w:val="0000FF" w:themeColor="hyperlink"/>
      <w:u w:val="single"/>
    </w:rPr>
  </w:style>
  <w:style w:type="table" w:styleId="TableGrid">
    <w:name w:val="Table Grid"/>
    <w:basedOn w:val="TableNormal"/>
    <w:uiPriority w:val="39"/>
    <w:rsid w:val="00E27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E27986"/>
    <w:pPr>
      <w:ind w:left="720"/>
      <w:contextualSpacing/>
    </w:pPr>
  </w:style>
  <w:style w:type="paragraph" w:customStyle="1" w:styleId="DfESOutNumbered">
    <w:name w:val="DfESOutNumbered"/>
    <w:basedOn w:val="Normal"/>
    <w:rsid w:val="00E27986"/>
    <w:pPr>
      <w:widowControl w:val="0"/>
      <w:numPr>
        <w:numId w:val="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B3669D"/>
    <w:rPr>
      <w:rFonts w:ascii="Arial" w:eastAsia="Times New Roman" w:hAnsi="Arial" w:cs="Arial"/>
      <w:b/>
      <w:bCs/>
      <w:sz w:val="24"/>
      <w:szCs w:val="24"/>
    </w:rPr>
  </w:style>
  <w:style w:type="character" w:customStyle="1" w:styleId="Heading7Char">
    <w:name w:val="Heading 7 Char"/>
    <w:basedOn w:val="DefaultParagraphFont"/>
    <w:link w:val="Heading7"/>
    <w:uiPriority w:val="9"/>
    <w:rsid w:val="00325EE0"/>
    <w:rPr>
      <w:rFonts w:asciiTheme="majorHAnsi" w:eastAsiaTheme="majorEastAsia" w:hAnsiTheme="majorHAnsi" w:cstheme="majorBidi"/>
      <w:i/>
      <w:iCs/>
      <w:color w:val="404040" w:themeColor="text1" w:themeTint="BF"/>
    </w:rPr>
  </w:style>
  <w:style w:type="paragraph" w:styleId="NormalWeb">
    <w:name w:val="Normal (Web)"/>
    <w:basedOn w:val="Normal"/>
    <w:uiPriority w:val="99"/>
    <w:rsid w:val="00325EE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HeaderArialBoldUnderlineJustified">
    <w:name w:val="Style Header + Arial Bold Underline Justified"/>
    <w:basedOn w:val="Normal"/>
    <w:rsid w:val="0012624C"/>
    <w:pPr>
      <w:numPr>
        <w:ilvl w:val="3"/>
        <w:numId w:val="2"/>
      </w:numPr>
      <w:tabs>
        <w:tab w:val="clear" w:pos="2880"/>
        <w:tab w:val="num" w:pos="360"/>
      </w:tabs>
      <w:spacing w:after="0" w:line="240" w:lineRule="auto"/>
      <w:ind w:left="0"/>
    </w:pPr>
    <w:rPr>
      <w:rFonts w:ascii="Arial" w:eastAsia="Times New Roman" w:hAnsi="Arial" w:cs="Times New Roman"/>
      <w:sz w:val="24"/>
      <w:szCs w:val="24"/>
    </w:rPr>
  </w:style>
  <w:style w:type="paragraph" w:styleId="PlainText">
    <w:name w:val="Plain Text"/>
    <w:basedOn w:val="Normal"/>
    <w:link w:val="PlainTextChar"/>
    <w:uiPriority w:val="99"/>
    <w:semiHidden/>
    <w:unhideWhenUsed/>
    <w:rsid w:val="00B25451"/>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B25451"/>
    <w:rPr>
      <w:rFonts w:ascii="Calibri" w:hAnsi="Calibri" w:cs="Consolas"/>
      <w:szCs w:val="21"/>
    </w:rPr>
  </w:style>
  <w:style w:type="paragraph" w:styleId="CommentText">
    <w:name w:val="annotation text"/>
    <w:basedOn w:val="Normal"/>
    <w:link w:val="CommentTextChar"/>
    <w:uiPriority w:val="99"/>
    <w:unhideWhenUsed/>
    <w:rsid w:val="004D47A4"/>
    <w:rPr>
      <w:rFonts w:ascii="Calibri" w:hAnsi="Calibri" w:cs="Calibri"/>
      <w:sz w:val="20"/>
      <w:szCs w:val="20"/>
    </w:rPr>
  </w:style>
  <w:style w:type="character" w:customStyle="1" w:styleId="CommentTextChar">
    <w:name w:val="Comment Text Char"/>
    <w:basedOn w:val="DefaultParagraphFont"/>
    <w:link w:val="CommentText"/>
    <w:uiPriority w:val="99"/>
    <w:rsid w:val="004D47A4"/>
    <w:rPr>
      <w:rFonts w:ascii="Calibri" w:hAnsi="Calibri" w:cs="Calibri"/>
      <w:sz w:val="20"/>
      <w:szCs w:val="20"/>
    </w:rPr>
  </w:style>
  <w:style w:type="character" w:customStyle="1" w:styleId="originalelement">
    <w:name w:val="originalelement"/>
    <w:basedOn w:val="DefaultParagraphFont"/>
    <w:rsid w:val="004D47A4"/>
  </w:style>
  <w:style w:type="character" w:styleId="CommentReference">
    <w:name w:val="annotation reference"/>
    <w:basedOn w:val="DefaultParagraphFont"/>
    <w:uiPriority w:val="99"/>
    <w:semiHidden/>
    <w:unhideWhenUsed/>
    <w:rsid w:val="000B57D3"/>
    <w:rPr>
      <w:sz w:val="16"/>
      <w:szCs w:val="16"/>
    </w:rPr>
  </w:style>
  <w:style w:type="paragraph" w:styleId="CommentSubject">
    <w:name w:val="annotation subject"/>
    <w:basedOn w:val="CommentText"/>
    <w:next w:val="CommentText"/>
    <w:link w:val="CommentSubjectChar"/>
    <w:uiPriority w:val="99"/>
    <w:semiHidden/>
    <w:unhideWhenUsed/>
    <w:rsid w:val="000B57D3"/>
    <w:pPr>
      <w:spacing w:line="240" w:lineRule="auto"/>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B57D3"/>
    <w:rPr>
      <w:rFonts w:ascii="Calibri" w:hAnsi="Calibri" w:cs="Calibri"/>
      <w:b/>
      <w:bCs/>
      <w:sz w:val="20"/>
      <w:szCs w:val="20"/>
    </w:rPr>
  </w:style>
  <w:style w:type="character" w:styleId="FollowedHyperlink">
    <w:name w:val="FollowedHyperlink"/>
    <w:basedOn w:val="DefaultParagraphFont"/>
    <w:uiPriority w:val="99"/>
    <w:semiHidden/>
    <w:unhideWhenUsed/>
    <w:rsid w:val="009B6C1A"/>
    <w:rPr>
      <w:color w:val="800080" w:themeColor="followedHyperlink"/>
      <w:u w:val="single"/>
    </w:rPr>
  </w:style>
  <w:style w:type="paragraph" w:customStyle="1" w:styleId="Default">
    <w:name w:val="Default"/>
    <w:rsid w:val="00215B52"/>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6629BA"/>
  </w:style>
  <w:style w:type="paragraph" w:styleId="Caption">
    <w:name w:val="caption"/>
    <w:basedOn w:val="Normal"/>
    <w:next w:val="Normal"/>
    <w:uiPriority w:val="35"/>
    <w:unhideWhenUsed/>
    <w:qFormat/>
    <w:rsid w:val="00424227"/>
    <w:pPr>
      <w:spacing w:line="240" w:lineRule="auto"/>
    </w:pPr>
    <w:rPr>
      <w:i/>
      <w:iCs/>
      <w:color w:val="1F497D" w:themeColor="text2"/>
      <w:sz w:val="18"/>
      <w:szCs w:val="18"/>
    </w:rPr>
  </w:style>
  <w:style w:type="character" w:customStyle="1" w:styleId="UnresolvedMention1">
    <w:name w:val="Unresolved Mention1"/>
    <w:basedOn w:val="DefaultParagraphFont"/>
    <w:uiPriority w:val="99"/>
    <w:semiHidden/>
    <w:unhideWhenUsed/>
    <w:rsid w:val="00E1727B"/>
    <w:rPr>
      <w:color w:val="605E5C"/>
      <w:shd w:val="clear" w:color="auto" w:fill="E1DFDD"/>
    </w:rPr>
  </w:style>
  <w:style w:type="paragraph" w:styleId="Revision">
    <w:name w:val="Revision"/>
    <w:hidden/>
    <w:uiPriority w:val="99"/>
    <w:semiHidden/>
    <w:rsid w:val="00301143"/>
    <w:pPr>
      <w:spacing w:after="0" w:line="240" w:lineRule="auto"/>
    </w:pPr>
  </w:style>
  <w:style w:type="paragraph" w:styleId="Header">
    <w:name w:val="header"/>
    <w:basedOn w:val="Normal"/>
    <w:link w:val="HeaderChar"/>
    <w:uiPriority w:val="99"/>
    <w:unhideWhenUsed/>
    <w:rsid w:val="000B01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1D3"/>
  </w:style>
  <w:style w:type="paragraph" w:styleId="Footer">
    <w:name w:val="footer"/>
    <w:basedOn w:val="Normal"/>
    <w:link w:val="FooterChar"/>
    <w:uiPriority w:val="99"/>
    <w:unhideWhenUsed/>
    <w:rsid w:val="000B01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1D3"/>
  </w:style>
  <w:style w:type="table" w:customStyle="1" w:styleId="TableGrid1">
    <w:name w:val="Table Grid1"/>
    <w:basedOn w:val="TableNormal"/>
    <w:next w:val="TableGrid"/>
    <w:uiPriority w:val="59"/>
    <w:rsid w:val="00EB73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basedOn w:val="ListParagraph"/>
    <w:link w:val="TablebulletChar"/>
    <w:qFormat/>
    <w:rsid w:val="000B0302"/>
    <w:pPr>
      <w:numPr>
        <w:numId w:val="5"/>
      </w:numPr>
      <w:spacing w:after="0" w:line="240" w:lineRule="auto"/>
    </w:pPr>
    <w:rPr>
      <w:rFonts w:cs="Arial"/>
      <w:color w:val="0B0C0C"/>
      <w:sz w:val="20"/>
      <w:szCs w:val="20"/>
      <w:bdr w:val="none" w:sz="0" w:space="0" w:color="auto" w:frame="1"/>
    </w:rPr>
  </w:style>
  <w:style w:type="character" w:customStyle="1" w:styleId="TablebulletChar">
    <w:name w:val="Table bullet Char"/>
    <w:basedOn w:val="DefaultParagraphFont"/>
    <w:link w:val="Tablebullet"/>
    <w:rsid w:val="000B0302"/>
    <w:rPr>
      <w:rFonts w:cs="Arial"/>
      <w:color w:val="0B0C0C"/>
      <w:sz w:val="20"/>
      <w:szCs w:val="20"/>
      <w:bdr w:val="none" w:sz="0" w:space="0" w:color="auto" w:frame="1"/>
    </w:rPr>
  </w:style>
  <w:style w:type="table" w:customStyle="1" w:styleId="TableGrid2">
    <w:name w:val="Table Grid2"/>
    <w:basedOn w:val="TableNormal"/>
    <w:next w:val="TableGrid"/>
    <w:uiPriority w:val="39"/>
    <w:rsid w:val="00291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291B7E"/>
    <w:pPr>
      <w:spacing w:after="0" w:line="240" w:lineRule="auto"/>
    </w:pPr>
    <w:rPr>
      <w:rFonts w:cs="Arial"/>
      <w:color w:val="0B0C0C"/>
      <w:sz w:val="20"/>
      <w:szCs w:val="16"/>
      <w:bdr w:val="none" w:sz="0" w:space="0" w:color="auto" w:frame="1"/>
    </w:rPr>
  </w:style>
  <w:style w:type="character" w:customStyle="1" w:styleId="TableChar">
    <w:name w:val="Table Char"/>
    <w:basedOn w:val="DefaultParagraphFont"/>
    <w:link w:val="Table"/>
    <w:rsid w:val="00291B7E"/>
    <w:rPr>
      <w:rFonts w:cs="Arial"/>
      <w:color w:val="0B0C0C"/>
      <w:sz w:val="20"/>
      <w:szCs w:val="16"/>
      <w:bdr w:val="none" w:sz="0" w:space="0" w:color="auto" w:frame="1"/>
    </w:rPr>
  </w:style>
  <w:style w:type="paragraph" w:styleId="FootnoteText">
    <w:name w:val="footnote text"/>
    <w:basedOn w:val="Normal"/>
    <w:link w:val="FootnoteTextChar"/>
    <w:uiPriority w:val="99"/>
    <w:semiHidden/>
    <w:unhideWhenUsed/>
    <w:rsid w:val="005377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700"/>
    <w:rPr>
      <w:sz w:val="20"/>
      <w:szCs w:val="20"/>
    </w:rPr>
  </w:style>
  <w:style w:type="character" w:styleId="FootnoteReference">
    <w:name w:val="footnote reference"/>
    <w:basedOn w:val="DefaultParagraphFont"/>
    <w:uiPriority w:val="99"/>
    <w:semiHidden/>
    <w:unhideWhenUsed/>
    <w:rsid w:val="00537700"/>
    <w:rPr>
      <w:vertAlign w:val="superscript"/>
    </w:rPr>
  </w:style>
  <w:style w:type="character" w:styleId="UnresolvedMention">
    <w:name w:val="Unresolved Mention"/>
    <w:basedOn w:val="DefaultParagraphFont"/>
    <w:uiPriority w:val="99"/>
    <w:semiHidden/>
    <w:unhideWhenUsed/>
    <w:rsid w:val="006E41A1"/>
    <w:rPr>
      <w:color w:val="605E5C"/>
      <w:shd w:val="clear" w:color="auto" w:fill="E1DFDD"/>
    </w:rPr>
  </w:style>
  <w:style w:type="character" w:customStyle="1" w:styleId="Heading2Char">
    <w:name w:val="Heading 2 Char"/>
    <w:basedOn w:val="DefaultParagraphFont"/>
    <w:link w:val="Heading2"/>
    <w:uiPriority w:val="9"/>
    <w:rsid w:val="008D42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D420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8D4208"/>
    <w:rPr>
      <w:rFonts w:ascii="Open Sans" w:eastAsia="Times New Roman" w:hAnsi="Open Sans" w:cs="Times New Roman"/>
      <w:b/>
      <w:bCs/>
      <w:color w:val="000000"/>
      <w:sz w:val="27"/>
      <w:szCs w:val="27"/>
      <w:lang w:eastAsia="en-GB"/>
    </w:rPr>
  </w:style>
  <w:style w:type="character" w:customStyle="1" w:styleId="Heading5Char">
    <w:name w:val="Heading 5 Char"/>
    <w:basedOn w:val="DefaultParagraphFont"/>
    <w:link w:val="Heading5"/>
    <w:uiPriority w:val="9"/>
    <w:semiHidden/>
    <w:rsid w:val="008D4208"/>
    <w:rPr>
      <w:rFonts w:asciiTheme="majorHAnsi" w:eastAsiaTheme="majorEastAsia" w:hAnsiTheme="majorHAnsi" w:cstheme="majorBidi"/>
      <w:color w:val="365F91" w:themeColor="accent1" w:themeShade="BF"/>
      <w:sz w:val="21"/>
    </w:rPr>
  </w:style>
  <w:style w:type="character" w:customStyle="1" w:styleId="Heading6Char">
    <w:name w:val="Heading 6 Char"/>
    <w:basedOn w:val="DefaultParagraphFont"/>
    <w:link w:val="Heading6"/>
    <w:uiPriority w:val="9"/>
    <w:semiHidden/>
    <w:rsid w:val="008D4208"/>
    <w:rPr>
      <w:rFonts w:asciiTheme="majorHAnsi" w:eastAsiaTheme="majorEastAsia" w:hAnsiTheme="majorHAnsi" w:cstheme="majorBidi"/>
      <w:color w:val="243F60" w:themeColor="accent1" w:themeShade="7F"/>
      <w:sz w:val="21"/>
    </w:rPr>
  </w:style>
  <w:style w:type="character" w:customStyle="1" w:styleId="Heading8Char">
    <w:name w:val="Heading 8 Char"/>
    <w:basedOn w:val="DefaultParagraphFont"/>
    <w:link w:val="Heading8"/>
    <w:uiPriority w:val="9"/>
    <w:semiHidden/>
    <w:rsid w:val="008D42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D4208"/>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8D4208"/>
    <w:rPr>
      <w:b/>
      <w:bCs/>
    </w:rPr>
  </w:style>
  <w:style w:type="table" w:styleId="GridTable1Light-Accent1">
    <w:name w:val="Grid Table 1 Light Accent 1"/>
    <w:basedOn w:val="TableNormal"/>
    <w:uiPriority w:val="46"/>
    <w:rsid w:val="008D4208"/>
    <w:pPr>
      <w:spacing w:after="0" w:line="240" w:lineRule="auto"/>
    </w:pPr>
    <w:rPr>
      <w:rFonts w:ascii="Arial" w:hAnsi="Arial"/>
      <w:sz w:val="21"/>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8D4208"/>
    <w:pPr>
      <w:keepNext w:val="0"/>
      <w:spacing w:after="160" w:line="259" w:lineRule="auto"/>
      <w:ind w:left="432" w:hanging="432"/>
      <w:contextualSpacing/>
      <w:outlineLvl w:val="9"/>
    </w:pPr>
    <w:rPr>
      <w:rFonts w:ascii="Gill Sans MT" w:eastAsiaTheme="minorHAnsi" w:hAnsi="Gill Sans MT" w:cstheme="minorBidi"/>
      <w:bCs w:val="0"/>
      <w:sz w:val="28"/>
    </w:rPr>
  </w:style>
  <w:style w:type="paragraph" w:styleId="TOC1">
    <w:name w:val="toc 1"/>
    <w:basedOn w:val="Normal"/>
    <w:next w:val="Normal"/>
    <w:autoRedefine/>
    <w:uiPriority w:val="39"/>
    <w:unhideWhenUsed/>
    <w:rsid w:val="008D4208"/>
    <w:pPr>
      <w:spacing w:after="100" w:line="259" w:lineRule="auto"/>
    </w:pPr>
    <w:rPr>
      <w:rFonts w:ascii="Gill Sans MT" w:hAnsi="Gill Sans MT"/>
      <w:sz w:val="21"/>
    </w:rPr>
  </w:style>
  <w:style w:type="paragraph" w:styleId="TOC2">
    <w:name w:val="toc 2"/>
    <w:basedOn w:val="Normal"/>
    <w:next w:val="Normal"/>
    <w:autoRedefine/>
    <w:uiPriority w:val="39"/>
    <w:unhideWhenUsed/>
    <w:rsid w:val="008D4208"/>
    <w:pPr>
      <w:tabs>
        <w:tab w:val="left" w:pos="880"/>
        <w:tab w:val="right" w:leader="dot" w:pos="9622"/>
      </w:tabs>
      <w:spacing w:after="60" w:line="259" w:lineRule="auto"/>
      <w:ind w:left="210"/>
    </w:pPr>
    <w:rPr>
      <w:rFonts w:ascii="Gill Sans MT" w:hAnsi="Gill Sans MT"/>
      <w:sz w:val="21"/>
    </w:rPr>
  </w:style>
  <w:style w:type="numbering" w:customStyle="1" w:styleId="FrameworkHeadings">
    <w:name w:val="Framework Headings"/>
    <w:uiPriority w:val="99"/>
    <w:rsid w:val="008D4208"/>
    <w:pPr>
      <w:numPr>
        <w:numId w:val="8"/>
      </w:numPr>
    </w:pPr>
  </w:style>
  <w:style w:type="paragraph" w:styleId="TOC3">
    <w:name w:val="toc 3"/>
    <w:basedOn w:val="Normal"/>
    <w:next w:val="Normal"/>
    <w:autoRedefine/>
    <w:uiPriority w:val="39"/>
    <w:unhideWhenUsed/>
    <w:rsid w:val="008D4208"/>
    <w:pPr>
      <w:spacing w:after="100" w:line="259" w:lineRule="auto"/>
      <w:ind w:left="420"/>
    </w:pPr>
    <w:rPr>
      <w:rFonts w:ascii="Gill Sans MT" w:hAnsi="Gill Sans MT"/>
      <w:sz w:val="21"/>
    </w:rPr>
  </w:style>
  <w:style w:type="character" w:styleId="PlaceholderText">
    <w:name w:val="Placeholder Text"/>
    <w:basedOn w:val="DefaultParagraphFont"/>
    <w:uiPriority w:val="99"/>
    <w:semiHidden/>
    <w:rsid w:val="008D4208"/>
    <w:rPr>
      <w:color w:val="808080"/>
    </w:rPr>
  </w:style>
  <w:style w:type="table" w:styleId="PlainTable1">
    <w:name w:val="Plain Table 1"/>
    <w:basedOn w:val="TableNormal"/>
    <w:uiPriority w:val="41"/>
    <w:rsid w:val="008D4208"/>
    <w:pPr>
      <w:spacing w:after="0" w:line="240" w:lineRule="auto"/>
    </w:pPr>
    <w:rPr>
      <w:rFonts w:ascii="Arial" w:hAnsi="Arial"/>
      <w:sz w:val="21"/>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5">
    <w:name w:val="Grid Table 4 Accent 5"/>
    <w:basedOn w:val="TableNormal"/>
    <w:uiPriority w:val="49"/>
    <w:rsid w:val="008D4208"/>
    <w:pPr>
      <w:spacing w:after="0" w:line="240" w:lineRule="auto"/>
    </w:pPr>
    <w:rPr>
      <w:rFonts w:ascii="Arial" w:hAnsi="Arial"/>
      <w:sz w:val="21"/>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nresolvedMention2">
    <w:name w:val="Unresolved Mention2"/>
    <w:basedOn w:val="DefaultParagraphFont"/>
    <w:uiPriority w:val="99"/>
    <w:semiHidden/>
    <w:unhideWhenUsed/>
    <w:rsid w:val="008D4208"/>
    <w:rPr>
      <w:color w:val="605E5C"/>
      <w:shd w:val="clear" w:color="auto" w:fill="E1DFDD"/>
    </w:rPr>
  </w:style>
  <w:style w:type="paragraph" w:customStyle="1" w:styleId="paragraph">
    <w:name w:val="paragraph"/>
    <w:basedOn w:val="Normal"/>
    <w:rsid w:val="008607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073E"/>
  </w:style>
  <w:style w:type="character" w:customStyle="1" w:styleId="eop">
    <w:name w:val="eop"/>
    <w:basedOn w:val="DefaultParagraphFont"/>
    <w:rsid w:val="00860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27830">
      <w:bodyDiv w:val="1"/>
      <w:marLeft w:val="0"/>
      <w:marRight w:val="0"/>
      <w:marTop w:val="0"/>
      <w:marBottom w:val="0"/>
      <w:divBdr>
        <w:top w:val="none" w:sz="0" w:space="0" w:color="auto"/>
        <w:left w:val="none" w:sz="0" w:space="0" w:color="auto"/>
        <w:bottom w:val="none" w:sz="0" w:space="0" w:color="auto"/>
        <w:right w:val="none" w:sz="0" w:space="0" w:color="auto"/>
      </w:divBdr>
    </w:div>
    <w:div w:id="234097206">
      <w:bodyDiv w:val="1"/>
      <w:marLeft w:val="0"/>
      <w:marRight w:val="0"/>
      <w:marTop w:val="0"/>
      <w:marBottom w:val="0"/>
      <w:divBdr>
        <w:top w:val="none" w:sz="0" w:space="0" w:color="auto"/>
        <w:left w:val="none" w:sz="0" w:space="0" w:color="auto"/>
        <w:bottom w:val="none" w:sz="0" w:space="0" w:color="auto"/>
        <w:right w:val="none" w:sz="0" w:space="0" w:color="auto"/>
      </w:divBdr>
    </w:div>
    <w:div w:id="282538540">
      <w:bodyDiv w:val="1"/>
      <w:marLeft w:val="0"/>
      <w:marRight w:val="0"/>
      <w:marTop w:val="0"/>
      <w:marBottom w:val="0"/>
      <w:divBdr>
        <w:top w:val="none" w:sz="0" w:space="0" w:color="auto"/>
        <w:left w:val="none" w:sz="0" w:space="0" w:color="auto"/>
        <w:bottom w:val="none" w:sz="0" w:space="0" w:color="auto"/>
        <w:right w:val="none" w:sz="0" w:space="0" w:color="auto"/>
      </w:divBdr>
    </w:div>
    <w:div w:id="642389906">
      <w:bodyDiv w:val="1"/>
      <w:marLeft w:val="0"/>
      <w:marRight w:val="0"/>
      <w:marTop w:val="0"/>
      <w:marBottom w:val="0"/>
      <w:divBdr>
        <w:top w:val="none" w:sz="0" w:space="0" w:color="auto"/>
        <w:left w:val="none" w:sz="0" w:space="0" w:color="auto"/>
        <w:bottom w:val="none" w:sz="0" w:space="0" w:color="auto"/>
        <w:right w:val="none" w:sz="0" w:space="0" w:color="auto"/>
      </w:divBdr>
    </w:div>
    <w:div w:id="727144035">
      <w:bodyDiv w:val="1"/>
      <w:marLeft w:val="0"/>
      <w:marRight w:val="0"/>
      <w:marTop w:val="0"/>
      <w:marBottom w:val="0"/>
      <w:divBdr>
        <w:top w:val="none" w:sz="0" w:space="0" w:color="auto"/>
        <w:left w:val="none" w:sz="0" w:space="0" w:color="auto"/>
        <w:bottom w:val="none" w:sz="0" w:space="0" w:color="auto"/>
        <w:right w:val="none" w:sz="0" w:space="0" w:color="auto"/>
      </w:divBdr>
    </w:div>
    <w:div w:id="808281256">
      <w:bodyDiv w:val="1"/>
      <w:marLeft w:val="0"/>
      <w:marRight w:val="0"/>
      <w:marTop w:val="0"/>
      <w:marBottom w:val="0"/>
      <w:divBdr>
        <w:top w:val="none" w:sz="0" w:space="0" w:color="auto"/>
        <w:left w:val="none" w:sz="0" w:space="0" w:color="auto"/>
        <w:bottom w:val="none" w:sz="0" w:space="0" w:color="auto"/>
        <w:right w:val="none" w:sz="0" w:space="0" w:color="auto"/>
      </w:divBdr>
    </w:div>
    <w:div w:id="933510991">
      <w:bodyDiv w:val="1"/>
      <w:marLeft w:val="0"/>
      <w:marRight w:val="0"/>
      <w:marTop w:val="0"/>
      <w:marBottom w:val="0"/>
      <w:divBdr>
        <w:top w:val="none" w:sz="0" w:space="0" w:color="auto"/>
        <w:left w:val="none" w:sz="0" w:space="0" w:color="auto"/>
        <w:bottom w:val="none" w:sz="0" w:space="0" w:color="auto"/>
        <w:right w:val="none" w:sz="0" w:space="0" w:color="auto"/>
      </w:divBdr>
    </w:div>
    <w:div w:id="1029720494">
      <w:bodyDiv w:val="1"/>
      <w:marLeft w:val="0"/>
      <w:marRight w:val="0"/>
      <w:marTop w:val="0"/>
      <w:marBottom w:val="0"/>
      <w:divBdr>
        <w:top w:val="none" w:sz="0" w:space="0" w:color="auto"/>
        <w:left w:val="none" w:sz="0" w:space="0" w:color="auto"/>
        <w:bottom w:val="none" w:sz="0" w:space="0" w:color="auto"/>
        <w:right w:val="none" w:sz="0" w:space="0" w:color="auto"/>
      </w:divBdr>
    </w:div>
    <w:div w:id="1152261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2.png"/><Relationship Id="rId25" Type="http://schemas.openxmlformats.org/officeDocument/2006/relationships/header" Target="header4.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uksbs.co.uk/services/procure/Pages/default.aspx" TargetMode="External"/><Relationship Id="rId2" Type="http://schemas.openxmlformats.org/officeDocument/2006/relationships/hyperlink" Target="mailto:will.naughton@ukri.org" TargetMode="External"/><Relationship Id="rId1" Type="http://schemas.openxmlformats.org/officeDocument/2006/relationships/hyperlink" Target="mailto:SPF@ukri.org"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F169CF-90D7-46F7-AA40-7D46BF809C9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08D7B37-7BF3-4858-9118-16A56DE8D807}">
      <dgm:prSet phldrT="[Text]" custT="1"/>
      <dgm:spPr>
        <a:solidFill>
          <a:schemeClr val="tx2">
            <a:lumMod val="60000"/>
            <a:lumOff val="40000"/>
          </a:schemeClr>
        </a:solidFill>
      </dgm:spPr>
      <dgm:t>
        <a:bodyPr/>
        <a:lstStyle/>
        <a:p>
          <a:pPr algn="ctr"/>
          <a:r>
            <a:rPr lang="en-GB" sz="1200" b="1">
              <a:latin typeface="Gill Sans MT" panose="020B0502020104020203" pitchFamily="34" charset="0"/>
            </a:rPr>
            <a:t>SPF Monitoring</a:t>
          </a:r>
          <a:br>
            <a:rPr lang="en-GB" sz="1200">
              <a:latin typeface="Gill Sans MT" panose="020B0502020104020203" pitchFamily="34" charset="0"/>
            </a:rPr>
          </a:br>
          <a:r>
            <a:rPr lang="en-GB" sz="200">
              <a:latin typeface="Gill Sans MT" panose="020B0502020104020203" pitchFamily="34" charset="0"/>
            </a:rPr>
            <a:t> </a:t>
          </a:r>
          <a:br>
            <a:rPr lang="en-GB" sz="1200">
              <a:latin typeface="Gill Sans MT" panose="020B0502020104020203" pitchFamily="34" charset="0"/>
            </a:rPr>
          </a:br>
          <a:r>
            <a:rPr lang="en-GB" sz="1200">
              <a:latin typeface="Gill Sans MT" panose="020B0502020104020203" pitchFamily="34" charset="0"/>
            </a:rPr>
            <a:t>(to be led by each SPF delivery organisations) </a:t>
          </a:r>
        </a:p>
      </dgm:t>
    </dgm:pt>
    <dgm:pt modelId="{8DAA1752-C098-4CD8-AF9C-13693651D2A6}" type="parTrans" cxnId="{C8AAEDF2-1828-4253-B0FB-B1DC832DD68B}">
      <dgm:prSet/>
      <dgm:spPr/>
      <dgm:t>
        <a:bodyPr/>
        <a:lstStyle/>
        <a:p>
          <a:pPr algn="ctr"/>
          <a:endParaRPr lang="en-GB" sz="1200">
            <a:latin typeface="Gill Sans MT" panose="020B0502020104020203" pitchFamily="34" charset="0"/>
          </a:endParaRPr>
        </a:p>
      </dgm:t>
    </dgm:pt>
    <dgm:pt modelId="{8EFBF551-8761-4852-9E9B-C8E6718133AC}" type="sibTrans" cxnId="{C8AAEDF2-1828-4253-B0FB-B1DC832DD68B}">
      <dgm:prSet/>
      <dgm:spPr/>
      <dgm:t>
        <a:bodyPr/>
        <a:lstStyle/>
        <a:p>
          <a:pPr algn="ctr"/>
          <a:endParaRPr lang="en-GB" sz="1200">
            <a:latin typeface="Gill Sans MT" panose="020B0502020104020203" pitchFamily="34" charset="0"/>
          </a:endParaRPr>
        </a:p>
      </dgm:t>
    </dgm:pt>
    <dgm:pt modelId="{15E9C790-BE5D-4AA7-BE2E-C5073277AA19}">
      <dgm:prSet phldrT="[Text]" custT="1"/>
      <dgm:spPr>
        <a:solidFill>
          <a:schemeClr val="tx2">
            <a:lumMod val="60000"/>
            <a:lumOff val="40000"/>
          </a:schemeClr>
        </a:solidFill>
      </dgm:spPr>
      <dgm:t>
        <a:bodyPr/>
        <a:lstStyle/>
        <a:p>
          <a:pPr algn="ctr"/>
          <a:r>
            <a:rPr lang="en-GB" sz="1200">
              <a:latin typeface="Gill Sans MT" panose="020B0502020104020203" pitchFamily="34" charset="0"/>
            </a:rPr>
            <a:t>Delivery monitoring</a:t>
          </a:r>
        </a:p>
      </dgm:t>
    </dgm:pt>
    <dgm:pt modelId="{D15B26D2-91D3-4751-822A-E6C898EBB822}" type="parTrans" cxnId="{023A0876-8B6E-4914-B823-9FE32E11DBCD}">
      <dgm:prSet/>
      <dgm:spPr/>
      <dgm:t>
        <a:bodyPr/>
        <a:lstStyle/>
        <a:p>
          <a:pPr algn="ctr"/>
          <a:endParaRPr lang="en-GB" sz="1200">
            <a:latin typeface="Gill Sans MT" panose="020B0502020104020203" pitchFamily="34" charset="0"/>
          </a:endParaRPr>
        </a:p>
      </dgm:t>
    </dgm:pt>
    <dgm:pt modelId="{4B0D9320-F683-4779-AF44-55BA961B86D7}" type="sibTrans" cxnId="{023A0876-8B6E-4914-B823-9FE32E11DBCD}">
      <dgm:prSet/>
      <dgm:spPr/>
      <dgm:t>
        <a:bodyPr/>
        <a:lstStyle/>
        <a:p>
          <a:pPr algn="ctr"/>
          <a:endParaRPr lang="en-GB" sz="1200">
            <a:latin typeface="Gill Sans MT" panose="020B0502020104020203" pitchFamily="34" charset="0"/>
          </a:endParaRPr>
        </a:p>
      </dgm:t>
    </dgm:pt>
    <dgm:pt modelId="{CC24B070-3B97-4B0A-B9A0-31EE300CA6B5}">
      <dgm:prSet phldrT="[Text]" custT="1"/>
      <dgm:spPr>
        <a:solidFill>
          <a:schemeClr val="tx2">
            <a:lumMod val="60000"/>
            <a:lumOff val="40000"/>
          </a:schemeClr>
        </a:solidFill>
      </dgm:spPr>
      <dgm:t>
        <a:bodyPr/>
        <a:lstStyle/>
        <a:p>
          <a:pPr algn="ctr"/>
          <a:r>
            <a:rPr lang="en-GB" sz="1200">
              <a:latin typeface="Gill Sans MT" panose="020B0502020104020203" pitchFamily="34" charset="0"/>
            </a:rPr>
            <a:t>Outcome monitoring</a:t>
          </a:r>
        </a:p>
      </dgm:t>
    </dgm:pt>
    <dgm:pt modelId="{6898B754-51EE-4A4F-A68D-46ACBA968680}" type="parTrans" cxnId="{B2921727-C426-4FC5-9BBA-EB9167A89E8F}">
      <dgm:prSet/>
      <dgm:spPr/>
      <dgm:t>
        <a:bodyPr/>
        <a:lstStyle/>
        <a:p>
          <a:pPr algn="ctr"/>
          <a:endParaRPr lang="en-GB" sz="1200">
            <a:latin typeface="Gill Sans MT" panose="020B0502020104020203" pitchFamily="34" charset="0"/>
          </a:endParaRPr>
        </a:p>
      </dgm:t>
    </dgm:pt>
    <dgm:pt modelId="{B895AAB9-B17B-4A4C-AE29-60578046338D}" type="sibTrans" cxnId="{B2921727-C426-4FC5-9BBA-EB9167A89E8F}">
      <dgm:prSet/>
      <dgm:spPr/>
      <dgm:t>
        <a:bodyPr/>
        <a:lstStyle/>
        <a:p>
          <a:pPr algn="ctr"/>
          <a:endParaRPr lang="en-GB" sz="1200">
            <a:latin typeface="Gill Sans MT" panose="020B0502020104020203" pitchFamily="34" charset="0"/>
          </a:endParaRPr>
        </a:p>
      </dgm:t>
    </dgm:pt>
    <dgm:pt modelId="{42D81F3B-1536-46D6-9E23-4537A62A1997}" type="pres">
      <dgm:prSet presAssocID="{CCF169CF-90D7-46F7-AA40-7D46BF809C92}" presName="hierChild1" presStyleCnt="0">
        <dgm:presLayoutVars>
          <dgm:orgChart val="1"/>
          <dgm:chPref val="1"/>
          <dgm:dir/>
          <dgm:animOne val="branch"/>
          <dgm:animLvl val="lvl"/>
          <dgm:resizeHandles/>
        </dgm:presLayoutVars>
      </dgm:prSet>
      <dgm:spPr/>
    </dgm:pt>
    <dgm:pt modelId="{F80F6455-083D-4703-A550-2D508CDF04AB}" type="pres">
      <dgm:prSet presAssocID="{908D7B37-7BF3-4858-9118-16A56DE8D807}" presName="hierRoot1" presStyleCnt="0">
        <dgm:presLayoutVars>
          <dgm:hierBranch val="init"/>
        </dgm:presLayoutVars>
      </dgm:prSet>
      <dgm:spPr/>
    </dgm:pt>
    <dgm:pt modelId="{B2BE65F8-4076-4828-B4E5-94797EBD6429}" type="pres">
      <dgm:prSet presAssocID="{908D7B37-7BF3-4858-9118-16A56DE8D807}" presName="rootComposite1" presStyleCnt="0"/>
      <dgm:spPr/>
    </dgm:pt>
    <dgm:pt modelId="{C2CE900F-0003-4C27-BB21-18C9D23A15E8}" type="pres">
      <dgm:prSet presAssocID="{908D7B37-7BF3-4858-9118-16A56DE8D807}" presName="rootText1" presStyleLbl="node0" presStyleIdx="0" presStyleCnt="1" custScaleX="379237">
        <dgm:presLayoutVars>
          <dgm:chPref val="3"/>
        </dgm:presLayoutVars>
      </dgm:prSet>
      <dgm:spPr/>
    </dgm:pt>
    <dgm:pt modelId="{C5AE2F6F-8571-4016-A0C8-E1B97C4CF5D6}" type="pres">
      <dgm:prSet presAssocID="{908D7B37-7BF3-4858-9118-16A56DE8D807}" presName="rootConnector1" presStyleLbl="node1" presStyleIdx="0" presStyleCnt="0"/>
      <dgm:spPr/>
    </dgm:pt>
    <dgm:pt modelId="{5ED565EF-8653-4A10-91E0-6F4F92B6D77F}" type="pres">
      <dgm:prSet presAssocID="{908D7B37-7BF3-4858-9118-16A56DE8D807}" presName="hierChild2" presStyleCnt="0"/>
      <dgm:spPr/>
    </dgm:pt>
    <dgm:pt modelId="{30D6DE8F-E584-4344-9543-38870D286063}" type="pres">
      <dgm:prSet presAssocID="{D15B26D2-91D3-4751-822A-E6C898EBB822}" presName="Name37" presStyleLbl="parChTrans1D2" presStyleIdx="0" presStyleCnt="2"/>
      <dgm:spPr/>
    </dgm:pt>
    <dgm:pt modelId="{27E15769-B777-4D29-9BD3-17FDDA8E8EE4}" type="pres">
      <dgm:prSet presAssocID="{15E9C790-BE5D-4AA7-BE2E-C5073277AA19}" presName="hierRoot2" presStyleCnt="0">
        <dgm:presLayoutVars>
          <dgm:hierBranch val="init"/>
        </dgm:presLayoutVars>
      </dgm:prSet>
      <dgm:spPr/>
    </dgm:pt>
    <dgm:pt modelId="{3E799D8A-2C08-4E6A-B298-96FB2059C883}" type="pres">
      <dgm:prSet presAssocID="{15E9C790-BE5D-4AA7-BE2E-C5073277AA19}" presName="rootComposite" presStyleCnt="0"/>
      <dgm:spPr/>
    </dgm:pt>
    <dgm:pt modelId="{4233073A-1C4F-4D7D-B476-06058DDB8A84}" type="pres">
      <dgm:prSet presAssocID="{15E9C790-BE5D-4AA7-BE2E-C5073277AA19}" presName="rootText" presStyleLbl="node2" presStyleIdx="0" presStyleCnt="2">
        <dgm:presLayoutVars>
          <dgm:chPref val="3"/>
        </dgm:presLayoutVars>
      </dgm:prSet>
      <dgm:spPr/>
    </dgm:pt>
    <dgm:pt modelId="{399E0891-FE42-465B-98A2-FD5CEED937F5}" type="pres">
      <dgm:prSet presAssocID="{15E9C790-BE5D-4AA7-BE2E-C5073277AA19}" presName="rootConnector" presStyleLbl="node2" presStyleIdx="0" presStyleCnt="2"/>
      <dgm:spPr/>
    </dgm:pt>
    <dgm:pt modelId="{5052A1C9-3EC1-4E71-BAAD-175EA1BCBA73}" type="pres">
      <dgm:prSet presAssocID="{15E9C790-BE5D-4AA7-BE2E-C5073277AA19}" presName="hierChild4" presStyleCnt="0"/>
      <dgm:spPr/>
    </dgm:pt>
    <dgm:pt modelId="{48664CE4-1A08-4F31-A217-C4B51D5BAACC}" type="pres">
      <dgm:prSet presAssocID="{15E9C790-BE5D-4AA7-BE2E-C5073277AA19}" presName="hierChild5" presStyleCnt="0"/>
      <dgm:spPr/>
    </dgm:pt>
    <dgm:pt modelId="{D54D82B0-FDB2-4A83-BA6A-81F4D2222661}" type="pres">
      <dgm:prSet presAssocID="{6898B754-51EE-4A4F-A68D-46ACBA968680}" presName="Name37" presStyleLbl="parChTrans1D2" presStyleIdx="1" presStyleCnt="2"/>
      <dgm:spPr/>
    </dgm:pt>
    <dgm:pt modelId="{C63824C2-58C7-496F-B929-E491E49D3BBE}" type="pres">
      <dgm:prSet presAssocID="{CC24B070-3B97-4B0A-B9A0-31EE300CA6B5}" presName="hierRoot2" presStyleCnt="0">
        <dgm:presLayoutVars>
          <dgm:hierBranch val="init"/>
        </dgm:presLayoutVars>
      </dgm:prSet>
      <dgm:spPr/>
    </dgm:pt>
    <dgm:pt modelId="{A8CE4797-6E39-4CF2-BA6C-43F6696614CF}" type="pres">
      <dgm:prSet presAssocID="{CC24B070-3B97-4B0A-B9A0-31EE300CA6B5}" presName="rootComposite" presStyleCnt="0"/>
      <dgm:spPr/>
    </dgm:pt>
    <dgm:pt modelId="{358592A5-C7E6-40BD-9ABA-3C6B90D96E64}" type="pres">
      <dgm:prSet presAssocID="{CC24B070-3B97-4B0A-B9A0-31EE300CA6B5}" presName="rootText" presStyleLbl="node2" presStyleIdx="1" presStyleCnt="2">
        <dgm:presLayoutVars>
          <dgm:chPref val="3"/>
        </dgm:presLayoutVars>
      </dgm:prSet>
      <dgm:spPr/>
    </dgm:pt>
    <dgm:pt modelId="{34284E6D-A65F-43BC-87B4-C4F3EFFE9649}" type="pres">
      <dgm:prSet presAssocID="{CC24B070-3B97-4B0A-B9A0-31EE300CA6B5}" presName="rootConnector" presStyleLbl="node2" presStyleIdx="1" presStyleCnt="2"/>
      <dgm:spPr/>
    </dgm:pt>
    <dgm:pt modelId="{541835AC-5B8D-4A19-9EEB-18960F7506F8}" type="pres">
      <dgm:prSet presAssocID="{CC24B070-3B97-4B0A-B9A0-31EE300CA6B5}" presName="hierChild4" presStyleCnt="0"/>
      <dgm:spPr/>
    </dgm:pt>
    <dgm:pt modelId="{DC7C03B7-D696-487C-8548-CE5A5F1E66F6}" type="pres">
      <dgm:prSet presAssocID="{CC24B070-3B97-4B0A-B9A0-31EE300CA6B5}" presName="hierChild5" presStyleCnt="0"/>
      <dgm:spPr/>
    </dgm:pt>
    <dgm:pt modelId="{E2C797A6-D6A2-4E12-BE8C-2B1EA7D39970}" type="pres">
      <dgm:prSet presAssocID="{908D7B37-7BF3-4858-9118-16A56DE8D807}" presName="hierChild3" presStyleCnt="0"/>
      <dgm:spPr/>
    </dgm:pt>
  </dgm:ptLst>
  <dgm:cxnLst>
    <dgm:cxn modelId="{FBAEE307-390A-43D5-B29F-09EE36CE0614}" type="presOf" srcId="{908D7B37-7BF3-4858-9118-16A56DE8D807}" destId="{C5AE2F6F-8571-4016-A0C8-E1B97C4CF5D6}" srcOrd="1" destOrd="0" presId="urn:microsoft.com/office/officeart/2005/8/layout/orgChart1"/>
    <dgm:cxn modelId="{B2921727-C426-4FC5-9BBA-EB9167A89E8F}" srcId="{908D7B37-7BF3-4858-9118-16A56DE8D807}" destId="{CC24B070-3B97-4B0A-B9A0-31EE300CA6B5}" srcOrd="1" destOrd="0" parTransId="{6898B754-51EE-4A4F-A68D-46ACBA968680}" sibTransId="{B895AAB9-B17B-4A4C-AE29-60578046338D}"/>
    <dgm:cxn modelId="{0828D32C-057E-4793-9FFE-BEDFE8011CF2}" type="presOf" srcId="{908D7B37-7BF3-4858-9118-16A56DE8D807}" destId="{C2CE900F-0003-4C27-BB21-18C9D23A15E8}" srcOrd="0" destOrd="0" presId="urn:microsoft.com/office/officeart/2005/8/layout/orgChart1"/>
    <dgm:cxn modelId="{5033FF34-94EE-4E4F-BBEB-7612DD5CAA5B}" type="presOf" srcId="{6898B754-51EE-4A4F-A68D-46ACBA968680}" destId="{D54D82B0-FDB2-4A83-BA6A-81F4D2222661}" srcOrd="0" destOrd="0" presId="urn:microsoft.com/office/officeart/2005/8/layout/orgChart1"/>
    <dgm:cxn modelId="{2E28146E-0BEB-4F94-8221-DC11A7D1D66C}" type="presOf" srcId="{15E9C790-BE5D-4AA7-BE2E-C5073277AA19}" destId="{4233073A-1C4F-4D7D-B476-06058DDB8A84}" srcOrd="0" destOrd="0" presId="urn:microsoft.com/office/officeart/2005/8/layout/orgChart1"/>
    <dgm:cxn modelId="{10470E4F-7C1E-4674-A8D5-BB1DFC50A514}" type="presOf" srcId="{CCF169CF-90D7-46F7-AA40-7D46BF809C92}" destId="{42D81F3B-1536-46D6-9E23-4537A62A1997}" srcOrd="0" destOrd="0" presId="urn:microsoft.com/office/officeart/2005/8/layout/orgChart1"/>
    <dgm:cxn modelId="{28124E71-4A39-4BD1-BC8B-95FD1B0B40F3}" type="presOf" srcId="{CC24B070-3B97-4B0A-B9A0-31EE300CA6B5}" destId="{358592A5-C7E6-40BD-9ABA-3C6B90D96E64}" srcOrd="0" destOrd="0" presId="urn:microsoft.com/office/officeart/2005/8/layout/orgChart1"/>
    <dgm:cxn modelId="{023A0876-8B6E-4914-B823-9FE32E11DBCD}" srcId="{908D7B37-7BF3-4858-9118-16A56DE8D807}" destId="{15E9C790-BE5D-4AA7-BE2E-C5073277AA19}" srcOrd="0" destOrd="0" parTransId="{D15B26D2-91D3-4751-822A-E6C898EBB822}" sibTransId="{4B0D9320-F683-4779-AF44-55BA961B86D7}"/>
    <dgm:cxn modelId="{5E6C61E0-9779-4CFE-BBE8-F6D3134429E0}" type="presOf" srcId="{CC24B070-3B97-4B0A-B9A0-31EE300CA6B5}" destId="{34284E6D-A65F-43BC-87B4-C4F3EFFE9649}" srcOrd="1" destOrd="0" presId="urn:microsoft.com/office/officeart/2005/8/layout/orgChart1"/>
    <dgm:cxn modelId="{63443CEF-A73C-4B0B-8F2F-C682865E98D4}" type="presOf" srcId="{15E9C790-BE5D-4AA7-BE2E-C5073277AA19}" destId="{399E0891-FE42-465B-98A2-FD5CEED937F5}" srcOrd="1" destOrd="0" presId="urn:microsoft.com/office/officeart/2005/8/layout/orgChart1"/>
    <dgm:cxn modelId="{4C6B68F1-CA1B-43DF-A104-B6A638FC1C91}" type="presOf" srcId="{D15B26D2-91D3-4751-822A-E6C898EBB822}" destId="{30D6DE8F-E584-4344-9543-38870D286063}" srcOrd="0" destOrd="0" presId="urn:microsoft.com/office/officeart/2005/8/layout/orgChart1"/>
    <dgm:cxn modelId="{C8AAEDF2-1828-4253-B0FB-B1DC832DD68B}" srcId="{CCF169CF-90D7-46F7-AA40-7D46BF809C92}" destId="{908D7B37-7BF3-4858-9118-16A56DE8D807}" srcOrd="0" destOrd="0" parTransId="{8DAA1752-C098-4CD8-AF9C-13693651D2A6}" sibTransId="{8EFBF551-8761-4852-9E9B-C8E6718133AC}"/>
    <dgm:cxn modelId="{135B8073-1788-40C8-9F43-F98B3DB0A1D9}" type="presParOf" srcId="{42D81F3B-1536-46D6-9E23-4537A62A1997}" destId="{F80F6455-083D-4703-A550-2D508CDF04AB}" srcOrd="0" destOrd="0" presId="urn:microsoft.com/office/officeart/2005/8/layout/orgChart1"/>
    <dgm:cxn modelId="{73F5807A-CE1D-4876-BB78-CB6736B20F25}" type="presParOf" srcId="{F80F6455-083D-4703-A550-2D508CDF04AB}" destId="{B2BE65F8-4076-4828-B4E5-94797EBD6429}" srcOrd="0" destOrd="0" presId="urn:microsoft.com/office/officeart/2005/8/layout/orgChart1"/>
    <dgm:cxn modelId="{8CEFD779-00DC-415C-836A-8A76C33C9F50}" type="presParOf" srcId="{B2BE65F8-4076-4828-B4E5-94797EBD6429}" destId="{C2CE900F-0003-4C27-BB21-18C9D23A15E8}" srcOrd="0" destOrd="0" presId="urn:microsoft.com/office/officeart/2005/8/layout/orgChart1"/>
    <dgm:cxn modelId="{AD45B53C-5407-48E9-81B3-DB2CA3C166B2}" type="presParOf" srcId="{B2BE65F8-4076-4828-B4E5-94797EBD6429}" destId="{C5AE2F6F-8571-4016-A0C8-E1B97C4CF5D6}" srcOrd="1" destOrd="0" presId="urn:microsoft.com/office/officeart/2005/8/layout/orgChart1"/>
    <dgm:cxn modelId="{60971B13-B78C-4026-83C8-A36BFCEE4CBA}" type="presParOf" srcId="{F80F6455-083D-4703-A550-2D508CDF04AB}" destId="{5ED565EF-8653-4A10-91E0-6F4F92B6D77F}" srcOrd="1" destOrd="0" presId="urn:microsoft.com/office/officeart/2005/8/layout/orgChart1"/>
    <dgm:cxn modelId="{19C02BB3-71B9-49A9-9141-78E84C26BA7D}" type="presParOf" srcId="{5ED565EF-8653-4A10-91E0-6F4F92B6D77F}" destId="{30D6DE8F-E584-4344-9543-38870D286063}" srcOrd="0" destOrd="0" presId="urn:microsoft.com/office/officeart/2005/8/layout/orgChart1"/>
    <dgm:cxn modelId="{B3DDCADC-DE98-4E8A-806A-0946A5136A7E}" type="presParOf" srcId="{5ED565EF-8653-4A10-91E0-6F4F92B6D77F}" destId="{27E15769-B777-4D29-9BD3-17FDDA8E8EE4}" srcOrd="1" destOrd="0" presId="urn:microsoft.com/office/officeart/2005/8/layout/orgChart1"/>
    <dgm:cxn modelId="{9F947192-5C0C-44D9-B64D-094D843E24F8}" type="presParOf" srcId="{27E15769-B777-4D29-9BD3-17FDDA8E8EE4}" destId="{3E799D8A-2C08-4E6A-B298-96FB2059C883}" srcOrd="0" destOrd="0" presId="urn:microsoft.com/office/officeart/2005/8/layout/orgChart1"/>
    <dgm:cxn modelId="{CA24FC16-E82D-4DD8-8496-E55D7700E494}" type="presParOf" srcId="{3E799D8A-2C08-4E6A-B298-96FB2059C883}" destId="{4233073A-1C4F-4D7D-B476-06058DDB8A84}" srcOrd="0" destOrd="0" presId="urn:microsoft.com/office/officeart/2005/8/layout/orgChart1"/>
    <dgm:cxn modelId="{26BB8A58-BF8F-4B56-BA81-89776CDD628D}" type="presParOf" srcId="{3E799D8A-2C08-4E6A-B298-96FB2059C883}" destId="{399E0891-FE42-465B-98A2-FD5CEED937F5}" srcOrd="1" destOrd="0" presId="urn:microsoft.com/office/officeart/2005/8/layout/orgChart1"/>
    <dgm:cxn modelId="{901F13A8-8E19-4BEA-BC12-E2BFC7A1644D}" type="presParOf" srcId="{27E15769-B777-4D29-9BD3-17FDDA8E8EE4}" destId="{5052A1C9-3EC1-4E71-BAAD-175EA1BCBA73}" srcOrd="1" destOrd="0" presId="urn:microsoft.com/office/officeart/2005/8/layout/orgChart1"/>
    <dgm:cxn modelId="{924238B2-6F12-45FE-95BE-D9CD3CCF897C}" type="presParOf" srcId="{27E15769-B777-4D29-9BD3-17FDDA8E8EE4}" destId="{48664CE4-1A08-4F31-A217-C4B51D5BAACC}" srcOrd="2" destOrd="0" presId="urn:microsoft.com/office/officeart/2005/8/layout/orgChart1"/>
    <dgm:cxn modelId="{267F06A7-FAF9-4DEA-B80E-6AC746279415}" type="presParOf" srcId="{5ED565EF-8653-4A10-91E0-6F4F92B6D77F}" destId="{D54D82B0-FDB2-4A83-BA6A-81F4D2222661}" srcOrd="2" destOrd="0" presId="urn:microsoft.com/office/officeart/2005/8/layout/orgChart1"/>
    <dgm:cxn modelId="{EC8A6DAF-9984-4B3F-ACCD-C66A27114B8F}" type="presParOf" srcId="{5ED565EF-8653-4A10-91E0-6F4F92B6D77F}" destId="{C63824C2-58C7-496F-B929-E491E49D3BBE}" srcOrd="3" destOrd="0" presId="urn:microsoft.com/office/officeart/2005/8/layout/orgChart1"/>
    <dgm:cxn modelId="{9CB02332-E358-4437-9856-4D987091E6AF}" type="presParOf" srcId="{C63824C2-58C7-496F-B929-E491E49D3BBE}" destId="{A8CE4797-6E39-4CF2-BA6C-43F6696614CF}" srcOrd="0" destOrd="0" presId="urn:microsoft.com/office/officeart/2005/8/layout/orgChart1"/>
    <dgm:cxn modelId="{17616EB5-F3E7-42E5-906F-BECB0B11A69D}" type="presParOf" srcId="{A8CE4797-6E39-4CF2-BA6C-43F6696614CF}" destId="{358592A5-C7E6-40BD-9ABA-3C6B90D96E64}" srcOrd="0" destOrd="0" presId="urn:microsoft.com/office/officeart/2005/8/layout/orgChart1"/>
    <dgm:cxn modelId="{FAEC7803-82A1-4314-B4ED-3F06E3EDCAF0}" type="presParOf" srcId="{A8CE4797-6E39-4CF2-BA6C-43F6696614CF}" destId="{34284E6D-A65F-43BC-87B4-C4F3EFFE9649}" srcOrd="1" destOrd="0" presId="urn:microsoft.com/office/officeart/2005/8/layout/orgChart1"/>
    <dgm:cxn modelId="{E903BFB0-5D28-40E7-B0E2-DBE3207A83C3}" type="presParOf" srcId="{C63824C2-58C7-496F-B929-E491E49D3BBE}" destId="{541835AC-5B8D-4A19-9EEB-18960F7506F8}" srcOrd="1" destOrd="0" presId="urn:microsoft.com/office/officeart/2005/8/layout/orgChart1"/>
    <dgm:cxn modelId="{8513120C-191B-4DE7-89A5-8ACC3B363615}" type="presParOf" srcId="{C63824C2-58C7-496F-B929-E491E49D3BBE}" destId="{DC7C03B7-D696-487C-8548-CE5A5F1E66F6}" srcOrd="2" destOrd="0" presId="urn:microsoft.com/office/officeart/2005/8/layout/orgChart1"/>
    <dgm:cxn modelId="{E01C3FD2-2044-4F4A-B599-0CE34DF46113}" type="presParOf" srcId="{F80F6455-083D-4703-A550-2D508CDF04AB}" destId="{E2C797A6-D6A2-4E12-BE8C-2B1EA7D39970}" srcOrd="2" destOrd="0" presId="urn:microsoft.com/office/officeart/2005/8/layout/orgChart1"/>
  </dgm:cxnLst>
  <dgm:bg/>
  <dgm:whole>
    <a:ln>
      <a:solidFill>
        <a:schemeClr val="tx1"/>
      </a:solidFill>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4D82B0-FDB2-4A83-BA6A-81F4D2222661}">
      <dsp:nvSpPr>
        <dsp:cNvPr id="0" name=""/>
        <dsp:cNvSpPr/>
      </dsp:nvSpPr>
      <dsp:spPr>
        <a:xfrm>
          <a:off x="1658203" y="474285"/>
          <a:ext cx="529038" cy="183633"/>
        </a:xfrm>
        <a:custGeom>
          <a:avLst/>
          <a:gdLst/>
          <a:ahLst/>
          <a:cxnLst/>
          <a:rect l="0" t="0" r="0" b="0"/>
          <a:pathLst>
            <a:path>
              <a:moveTo>
                <a:pt x="0" y="0"/>
              </a:moveTo>
              <a:lnTo>
                <a:pt x="0" y="91816"/>
              </a:lnTo>
              <a:lnTo>
                <a:pt x="529038" y="91816"/>
              </a:lnTo>
              <a:lnTo>
                <a:pt x="529038" y="1836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D6DE8F-E584-4344-9543-38870D286063}">
      <dsp:nvSpPr>
        <dsp:cNvPr id="0" name=""/>
        <dsp:cNvSpPr/>
      </dsp:nvSpPr>
      <dsp:spPr>
        <a:xfrm>
          <a:off x="1129164" y="474285"/>
          <a:ext cx="529038" cy="183633"/>
        </a:xfrm>
        <a:custGeom>
          <a:avLst/>
          <a:gdLst/>
          <a:ahLst/>
          <a:cxnLst/>
          <a:rect l="0" t="0" r="0" b="0"/>
          <a:pathLst>
            <a:path>
              <a:moveTo>
                <a:pt x="529038" y="0"/>
              </a:moveTo>
              <a:lnTo>
                <a:pt x="529038" y="91816"/>
              </a:lnTo>
              <a:lnTo>
                <a:pt x="0" y="91816"/>
              </a:lnTo>
              <a:lnTo>
                <a:pt x="0" y="1836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CE900F-0003-4C27-BB21-18C9D23A15E8}">
      <dsp:nvSpPr>
        <dsp:cNvPr id="0" name=""/>
        <dsp:cNvSpPr/>
      </dsp:nvSpPr>
      <dsp:spPr>
        <a:xfrm>
          <a:off x="97" y="37064"/>
          <a:ext cx="3316211" cy="437221"/>
        </a:xfrm>
        <a:prstGeom prst="rect">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Gill Sans MT" panose="020B0502020104020203" pitchFamily="34" charset="0"/>
            </a:rPr>
            <a:t>SPF Monitoring</a:t>
          </a:r>
          <a:br>
            <a:rPr lang="en-GB" sz="1200" kern="1200">
              <a:latin typeface="Gill Sans MT" panose="020B0502020104020203" pitchFamily="34" charset="0"/>
            </a:rPr>
          </a:br>
          <a:r>
            <a:rPr lang="en-GB" sz="200" kern="1200">
              <a:latin typeface="Gill Sans MT" panose="020B0502020104020203" pitchFamily="34" charset="0"/>
            </a:rPr>
            <a:t> </a:t>
          </a:r>
          <a:br>
            <a:rPr lang="en-GB" sz="1200" kern="1200">
              <a:latin typeface="Gill Sans MT" panose="020B0502020104020203" pitchFamily="34" charset="0"/>
            </a:rPr>
          </a:br>
          <a:r>
            <a:rPr lang="en-GB" sz="1200" kern="1200">
              <a:latin typeface="Gill Sans MT" panose="020B0502020104020203" pitchFamily="34" charset="0"/>
            </a:rPr>
            <a:t>(to be led by each SPF delivery organisations) </a:t>
          </a:r>
        </a:p>
      </dsp:txBody>
      <dsp:txXfrm>
        <a:off x="97" y="37064"/>
        <a:ext cx="3316211" cy="437221"/>
      </dsp:txXfrm>
    </dsp:sp>
    <dsp:sp modelId="{4233073A-1C4F-4D7D-B476-06058DDB8A84}">
      <dsp:nvSpPr>
        <dsp:cNvPr id="0" name=""/>
        <dsp:cNvSpPr/>
      </dsp:nvSpPr>
      <dsp:spPr>
        <a:xfrm>
          <a:off x="691943" y="657919"/>
          <a:ext cx="874442" cy="437221"/>
        </a:xfrm>
        <a:prstGeom prst="rect">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Gill Sans MT" panose="020B0502020104020203" pitchFamily="34" charset="0"/>
            </a:rPr>
            <a:t>Delivery monitoring</a:t>
          </a:r>
        </a:p>
      </dsp:txBody>
      <dsp:txXfrm>
        <a:off x="691943" y="657919"/>
        <a:ext cx="874442" cy="437221"/>
      </dsp:txXfrm>
    </dsp:sp>
    <dsp:sp modelId="{358592A5-C7E6-40BD-9ABA-3C6B90D96E64}">
      <dsp:nvSpPr>
        <dsp:cNvPr id="0" name=""/>
        <dsp:cNvSpPr/>
      </dsp:nvSpPr>
      <dsp:spPr>
        <a:xfrm>
          <a:off x="1750019" y="657919"/>
          <a:ext cx="874442" cy="437221"/>
        </a:xfrm>
        <a:prstGeom prst="rect">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Gill Sans MT" panose="020B0502020104020203" pitchFamily="34" charset="0"/>
            </a:rPr>
            <a:t>Outcome monitoring</a:t>
          </a:r>
        </a:p>
      </dsp:txBody>
      <dsp:txXfrm>
        <a:off x="1750019" y="657919"/>
        <a:ext cx="874442" cy="43722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F1A67399727140BD593387117D75E9" ma:contentTypeVersion="12" ma:contentTypeDescription="Create a new document." ma:contentTypeScope="" ma:versionID="339f97e3b1ea2b6841193fbb109d91d6">
  <xsd:schema xmlns:xsd="http://www.w3.org/2001/XMLSchema" xmlns:xs="http://www.w3.org/2001/XMLSchema" xmlns:p="http://schemas.microsoft.com/office/2006/metadata/properties" xmlns:ns3="c7fcce77-4f66-4160-a7ea-6aa48d65bcf4" xmlns:ns4="d050ca85-6117-48b7-b24e-3b397bf6e116" targetNamespace="http://schemas.microsoft.com/office/2006/metadata/properties" ma:root="true" ma:fieldsID="85e82f769d48d8f2914f5b8a466d362c" ns3:_="" ns4:_="">
    <xsd:import namespace="c7fcce77-4f66-4160-a7ea-6aa48d65bcf4"/>
    <xsd:import namespace="d050ca85-6117-48b7-b24e-3b397bf6e1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cce77-4f66-4160-a7ea-6aa48d65b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0ca85-6117-48b7-b24e-3b397bf6e11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92EF2-A017-4609-88CC-BEA93DBDD8ED}">
  <ds:schemaRefs>
    <ds:schemaRef ds:uri="http://schemas.microsoft.com/sharepoint/v3/contenttype/forms"/>
  </ds:schemaRefs>
</ds:datastoreItem>
</file>

<file path=customXml/itemProps2.xml><?xml version="1.0" encoding="utf-8"?>
<ds:datastoreItem xmlns:ds="http://schemas.openxmlformats.org/officeDocument/2006/customXml" ds:itemID="{1E724F72-DE02-4835-BA5A-079FFF6F242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050ca85-6117-48b7-b24e-3b397bf6e116"/>
    <ds:schemaRef ds:uri="http://purl.org/dc/terms/"/>
    <ds:schemaRef ds:uri="http://schemas.openxmlformats.org/package/2006/metadata/core-properties"/>
    <ds:schemaRef ds:uri="c7fcce77-4f66-4160-a7ea-6aa48d65bcf4"/>
    <ds:schemaRef ds:uri="http://www.w3.org/XML/1998/namespace"/>
    <ds:schemaRef ds:uri="http://purl.org/dc/dcmitype/"/>
  </ds:schemaRefs>
</ds:datastoreItem>
</file>

<file path=customXml/itemProps3.xml><?xml version="1.0" encoding="utf-8"?>
<ds:datastoreItem xmlns:ds="http://schemas.openxmlformats.org/officeDocument/2006/customXml" ds:itemID="{E9ABEE38-A6B7-40E5-B951-D6DE4356E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cce77-4f66-4160-a7ea-6aa48d65bcf4"/>
    <ds:schemaRef ds:uri="d050ca85-6117-48b7-b24e-3b397bf6e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0DD349-7B2C-4AAA-B87B-3E037FA56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7519</Words>
  <Characters>42863</Characters>
  <Application>Microsoft Office Word</Application>
  <DocSecurity>4</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50282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Coleman Janine (VE)</dc:creator>
  <cp:lastModifiedBy>Victoria Clewer</cp:lastModifiedBy>
  <cp:revision>2</cp:revision>
  <cp:lastPrinted>2019-12-11T13:42:00Z</cp:lastPrinted>
  <dcterms:created xsi:type="dcterms:W3CDTF">2020-04-20T15:32:00Z</dcterms:created>
  <dcterms:modified xsi:type="dcterms:W3CDTF">2020-04-20T15:32:00Z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0x0101001AF1A67399727140BD593387117D75E9</vt:lpwstr>
  </property>
  <property fmtid="{D5CDD505-2E9C-101B-9397-08002B2CF9AE}" pid="3" name="_dlc_DocIdItemGuid">
    <vt:lpwstr>ed9e0187-9ed5-4766-a495-72e67abfcd84</vt:lpwstr>
  </property>
</Properties>
</file>