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8FB2"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1F0F4EB9" w14:textId="77777777" w:rsidR="00DD644B" w:rsidRDefault="00DD644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294BC562"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5AE00097"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DD644B" w14:paraId="5680F1DA" w14:textId="77777777">
        <w:tc>
          <w:tcPr>
            <w:tcW w:w="2263" w:type="dxa"/>
          </w:tcPr>
          <w:p w14:paraId="5E837F57" w14:textId="77777777"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75B90851" w14:textId="77777777"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2BCB1DBA"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2A4020C5"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7935E1E1"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roofErr w:type="gramStart"/>
      <w:r>
        <w:rPr>
          <w:rFonts w:ascii="Arial" w:eastAsia="Arial" w:hAnsi="Arial" w:cs="Arial"/>
          <w:sz w:val="24"/>
          <w:szCs w:val="24"/>
        </w:rPr>
        <w:t>”;</w:t>
      </w:r>
      <w:proofErr w:type="gramEnd"/>
    </w:p>
    <w:p w14:paraId="23277D69"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roofErr w:type="gramStart"/>
      <w:r>
        <w:rPr>
          <w:rFonts w:ascii="Arial" w:eastAsia="Arial" w:hAnsi="Arial" w:cs="Arial"/>
          <w:sz w:val="24"/>
          <w:szCs w:val="24"/>
        </w:rPr>
        <w:t>”;</w:t>
      </w:r>
      <w:proofErr w:type="gramEnd"/>
    </w:p>
    <w:p w14:paraId="3D02E49C"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w:t>
      </w:r>
      <w:proofErr w:type="gramStart"/>
      <w:r>
        <w:rPr>
          <w:rFonts w:ascii="Arial" w:eastAsia="Arial" w:hAnsi="Arial" w:cs="Arial"/>
          <w:sz w:val="24"/>
          <w:szCs w:val="24"/>
        </w:rPr>
        <w:t>Party;</w:t>
      </w:r>
      <w:proofErr w:type="gramEnd"/>
      <w:r>
        <w:rPr>
          <w:rFonts w:ascii="Arial" w:eastAsia="Arial" w:hAnsi="Arial" w:cs="Arial"/>
          <w:sz w:val="24"/>
          <w:szCs w:val="24"/>
        </w:rPr>
        <w:t xml:space="preserve"> </w:t>
      </w:r>
    </w:p>
    <w:p w14:paraId="330908B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7CA13337" w14:textId="77777777" w:rsidR="00DD644B" w:rsidRDefault="00E16500">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4F36CF26"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04B5BC8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4B0F153C"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1CAE787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6C511725"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 systematic description of the envisaged Processing and the purpose of the </w:t>
      </w:r>
      <w:proofErr w:type="gramStart"/>
      <w:r>
        <w:rPr>
          <w:rFonts w:ascii="Arial" w:eastAsia="Arial" w:hAnsi="Arial" w:cs="Arial"/>
          <w:sz w:val="24"/>
          <w:szCs w:val="24"/>
        </w:rPr>
        <w:t>Processing;</w:t>
      </w:r>
      <w:proofErr w:type="gramEnd"/>
    </w:p>
    <w:p w14:paraId="7DF1C812"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an assessment of the necessity and proportionality of the Processing in relation to the </w:t>
      </w:r>
      <w:proofErr w:type="gramStart"/>
      <w:r>
        <w:rPr>
          <w:rFonts w:ascii="Arial" w:eastAsia="Arial" w:hAnsi="Arial" w:cs="Arial"/>
          <w:sz w:val="24"/>
          <w:szCs w:val="24"/>
        </w:rPr>
        <w:t>Deliverables;</w:t>
      </w:r>
      <w:proofErr w:type="gramEnd"/>
    </w:p>
    <w:p w14:paraId="3F954E7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5DEF91FA"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4AC01BDB"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14:paraId="46F979F3"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xml:space="preserve">), unless the Processor is required to do otherwise by Law. If it is so </w:t>
      </w:r>
      <w:proofErr w:type="gramStart"/>
      <w:r>
        <w:rPr>
          <w:rFonts w:ascii="Arial" w:eastAsia="Arial" w:hAnsi="Arial" w:cs="Arial"/>
          <w:sz w:val="24"/>
          <w:szCs w:val="24"/>
        </w:rPr>
        <w:t>required</w:t>
      </w:r>
      <w:proofErr w:type="gramEnd"/>
      <w:r>
        <w:rPr>
          <w:rFonts w:ascii="Arial" w:eastAsia="Arial" w:hAnsi="Arial" w:cs="Arial"/>
          <w:sz w:val="24"/>
          <w:szCs w:val="24"/>
        </w:rPr>
        <w:t xml:space="preserve"> the Processor shall notify the Controller before Processing the Personal Data unless prohibited by Law;</w:t>
      </w:r>
    </w:p>
    <w:p w14:paraId="6BC82D80"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7986799D"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nature of the data to be </w:t>
      </w:r>
      <w:proofErr w:type="gramStart"/>
      <w:r>
        <w:rPr>
          <w:rFonts w:ascii="Arial" w:eastAsia="Arial" w:hAnsi="Arial" w:cs="Arial"/>
          <w:sz w:val="24"/>
          <w:szCs w:val="24"/>
        </w:rPr>
        <w:t>protected;</w:t>
      </w:r>
      <w:bookmarkStart w:id="3" w:name="bookmark=id.3znysh7" w:colFirst="0" w:colLast="0"/>
      <w:bookmarkEnd w:id="3"/>
      <w:proofErr w:type="gramEnd"/>
    </w:p>
    <w:p w14:paraId="36F46E74"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Personal Data </w:t>
      </w:r>
      <w:proofErr w:type="gramStart"/>
      <w:r>
        <w:rPr>
          <w:rFonts w:ascii="Arial" w:eastAsia="Arial" w:hAnsi="Arial" w:cs="Arial"/>
          <w:sz w:val="24"/>
          <w:szCs w:val="24"/>
        </w:rPr>
        <w:t>Breach;</w:t>
      </w:r>
      <w:proofErr w:type="gramEnd"/>
    </w:p>
    <w:p w14:paraId="5A3E19B4"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1B6CE5C2"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w:t>
      </w:r>
      <w:proofErr w:type="gramStart"/>
      <w:r>
        <w:rPr>
          <w:rFonts w:ascii="Arial" w:eastAsia="Arial" w:hAnsi="Arial" w:cs="Arial"/>
          <w:sz w:val="24"/>
          <w:szCs w:val="24"/>
        </w:rPr>
        <w:t>measures;</w:t>
      </w:r>
      <w:proofErr w:type="gramEnd"/>
      <w:r>
        <w:rPr>
          <w:rFonts w:ascii="Arial" w:eastAsia="Arial" w:hAnsi="Arial" w:cs="Arial"/>
          <w:sz w:val="24"/>
          <w:szCs w:val="24"/>
        </w:rPr>
        <w:t xml:space="preserve"> </w:t>
      </w:r>
    </w:p>
    <w:p w14:paraId="3BB71560"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79BBCBCE"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roofErr w:type="gramStart"/>
      <w:r>
        <w:rPr>
          <w:rFonts w:ascii="Arial" w:eastAsia="Arial" w:hAnsi="Arial" w:cs="Arial"/>
          <w:sz w:val="24"/>
          <w:szCs w:val="24"/>
        </w:rPr>
        <w:t>);</w:t>
      </w:r>
      <w:proofErr w:type="gramEnd"/>
    </w:p>
    <w:p w14:paraId="34868610"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27D1E0C4"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r w:rsidR="007E266C">
        <w:rPr>
          <w:rFonts w:ascii="Arial" w:eastAsia="Arial" w:hAnsi="Arial" w:cs="Arial"/>
          <w:sz w:val="24"/>
          <w:szCs w:val="24"/>
        </w:rPr>
        <w:t xml:space="preserve"> of the Core </w:t>
      </w:r>
      <w:proofErr w:type="gramStart"/>
      <w:r w:rsidR="007E266C">
        <w:rPr>
          <w:rFonts w:ascii="Arial" w:eastAsia="Arial" w:hAnsi="Arial" w:cs="Arial"/>
          <w:sz w:val="24"/>
          <w:szCs w:val="24"/>
        </w:rPr>
        <w:t>Terms</w:t>
      </w:r>
      <w:r>
        <w:rPr>
          <w:rFonts w:ascii="Arial" w:eastAsia="Arial" w:hAnsi="Arial" w:cs="Arial"/>
          <w:sz w:val="24"/>
          <w:szCs w:val="24"/>
        </w:rPr>
        <w:t>;</w:t>
      </w:r>
      <w:proofErr w:type="gramEnd"/>
    </w:p>
    <w:p w14:paraId="39A88796"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proofErr w:type="gramStart"/>
      <w:r>
        <w:rPr>
          <w:rFonts w:ascii="Arial" w:eastAsia="Arial" w:hAnsi="Arial" w:cs="Arial"/>
          <w:sz w:val="24"/>
          <w:szCs w:val="24"/>
        </w:rPr>
        <w:t>Subprocessor</w:t>
      </w:r>
      <w:proofErr w:type="spellEnd"/>
      <w:r>
        <w:rPr>
          <w:rFonts w:ascii="Arial" w:eastAsia="Arial" w:hAnsi="Arial" w:cs="Arial"/>
          <w:sz w:val="24"/>
          <w:szCs w:val="24"/>
        </w:rPr>
        <w:t>;</w:t>
      </w:r>
      <w:proofErr w:type="gramEnd"/>
    </w:p>
    <w:p w14:paraId="11664ACE"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1C5074FD"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55A4D192"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 Personal Data outside of the EU unless the prior written consent of the Controller has been obtained and the following conditions are fulfilled:</w:t>
      </w:r>
    </w:p>
    <w:p w14:paraId="2F08A8B4"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 xml:space="preserve">UK GDPR Article 46 or LED Article 37) as determined by the </w:t>
      </w:r>
      <w:proofErr w:type="gramStart"/>
      <w:r>
        <w:rPr>
          <w:rFonts w:ascii="Arial" w:eastAsia="Arial" w:hAnsi="Arial" w:cs="Arial"/>
          <w:sz w:val="24"/>
          <w:szCs w:val="24"/>
        </w:rPr>
        <w:t>Controller;</w:t>
      </w:r>
      <w:proofErr w:type="gramEnd"/>
    </w:p>
    <w:p w14:paraId="7A3CD2FC"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 xml:space="preserve">the Data Subject has enforceable rights and effective legal </w:t>
      </w:r>
      <w:proofErr w:type="gramStart"/>
      <w:r>
        <w:rPr>
          <w:rFonts w:ascii="Arial" w:eastAsia="Arial" w:hAnsi="Arial" w:cs="Arial"/>
          <w:sz w:val="24"/>
          <w:szCs w:val="24"/>
        </w:rPr>
        <w:t>remedies;</w:t>
      </w:r>
      <w:proofErr w:type="gramEnd"/>
    </w:p>
    <w:p w14:paraId="0A770656"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33ABD3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any reasonable instructions notified to it in advance by the Controller with respect to the Processing of the Personal Data; and</w:t>
      </w:r>
    </w:p>
    <w:p w14:paraId="4F7A2573"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1BFB7C47"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 xml:space="preserve">Subject to paragraph </w:t>
      </w:r>
      <w:r w:rsidR="007E266C">
        <w:rPr>
          <w:rFonts w:ascii="Arial" w:eastAsia="Arial" w:hAnsi="Arial" w:cs="Arial"/>
          <w:sz w:val="24"/>
          <w:szCs w:val="24"/>
        </w:rPr>
        <w:t>8</w:t>
      </w:r>
      <w:r>
        <w:rPr>
          <w:rFonts w:ascii="Arial" w:eastAsia="Arial" w:hAnsi="Arial" w:cs="Arial"/>
          <w:sz w:val="24"/>
          <w:szCs w:val="24"/>
        </w:rPr>
        <w:t xml:space="preserve">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19DB7EE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roofErr w:type="gramStart"/>
      <w:r>
        <w:rPr>
          <w:rFonts w:ascii="Arial" w:eastAsia="Arial" w:hAnsi="Arial" w:cs="Arial"/>
          <w:sz w:val="24"/>
          <w:szCs w:val="24"/>
        </w:rPr>
        <w:t>);</w:t>
      </w:r>
      <w:proofErr w:type="gramEnd"/>
    </w:p>
    <w:p w14:paraId="14A0D005"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785910B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w:t>
      </w:r>
      <w:proofErr w:type="gramStart"/>
      <w:r>
        <w:rPr>
          <w:rFonts w:ascii="Arial" w:eastAsia="Arial" w:hAnsi="Arial" w:cs="Arial"/>
          <w:sz w:val="24"/>
          <w:szCs w:val="24"/>
        </w:rPr>
        <w:t>Legislation;</w:t>
      </w:r>
      <w:proofErr w:type="gramEnd"/>
      <w:r>
        <w:rPr>
          <w:rFonts w:ascii="Arial" w:eastAsia="Arial" w:hAnsi="Arial" w:cs="Arial"/>
          <w:sz w:val="24"/>
          <w:szCs w:val="24"/>
        </w:rPr>
        <w:t xml:space="preserve"> </w:t>
      </w:r>
    </w:p>
    <w:p w14:paraId="0BE2AEC6"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w:t>
      </w:r>
      <w:proofErr w:type="gramStart"/>
      <w:r>
        <w:rPr>
          <w:rFonts w:ascii="Arial" w:eastAsia="Arial" w:hAnsi="Arial" w:cs="Arial"/>
          <w:sz w:val="24"/>
          <w:szCs w:val="24"/>
        </w:rPr>
        <w:t>Contract;</w:t>
      </w:r>
      <w:proofErr w:type="gramEnd"/>
      <w:r>
        <w:rPr>
          <w:rFonts w:ascii="Arial" w:eastAsia="Arial" w:hAnsi="Arial" w:cs="Arial"/>
          <w:sz w:val="24"/>
          <w:szCs w:val="24"/>
        </w:rPr>
        <w:t xml:space="preserve"> </w:t>
      </w:r>
    </w:p>
    <w:p w14:paraId="12578C4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43ACD83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58F02CD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w:t>
      </w:r>
      <w:r w:rsidR="00830F50">
        <w:rPr>
          <w:rFonts w:ascii="Arial" w:eastAsia="Arial" w:hAnsi="Arial" w:cs="Arial"/>
          <w:sz w:val="24"/>
          <w:szCs w:val="24"/>
        </w:rPr>
        <w:t>7</w:t>
      </w:r>
      <w:r>
        <w:rPr>
          <w:rFonts w:ascii="Arial" w:eastAsia="Arial" w:hAnsi="Arial" w:cs="Arial"/>
          <w:sz w:val="24"/>
          <w:szCs w:val="24"/>
        </w:rPr>
        <w:t xml:space="preserve"> of this Joint Schedule 11 shall include the provision of further information to the Controller, as details become available. </w:t>
      </w:r>
    </w:p>
    <w:p w14:paraId="10F62DE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Taking into account the nature of the Processing, the Processor shall provide the Controller with assistance in relation to either Party's obligations under Data Protection Legislation and any complaint, communication or request made under paragraph </w:t>
      </w:r>
      <w:r w:rsidR="00830F50">
        <w:rPr>
          <w:rFonts w:ascii="Arial" w:eastAsia="Arial" w:hAnsi="Arial" w:cs="Arial"/>
          <w:sz w:val="24"/>
          <w:szCs w:val="24"/>
        </w:rPr>
        <w:t>7</w:t>
      </w:r>
      <w:r>
        <w:rPr>
          <w:rFonts w:ascii="Arial" w:eastAsia="Arial" w:hAnsi="Arial" w:cs="Arial"/>
          <w:sz w:val="24"/>
          <w:szCs w:val="24"/>
        </w:rPr>
        <w:t xml:space="preserve"> of this Joint Schedule 11 (and insofar as possible within the timescales reasonably required by the Controller) including by immediately providing:</w:t>
      </w:r>
    </w:p>
    <w:p w14:paraId="4F4B7D96"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with full details and copies of the complaint, communication or </w:t>
      </w:r>
      <w:proofErr w:type="gramStart"/>
      <w:r>
        <w:rPr>
          <w:rFonts w:ascii="Arial" w:eastAsia="Arial" w:hAnsi="Arial" w:cs="Arial"/>
          <w:sz w:val="24"/>
          <w:szCs w:val="24"/>
        </w:rPr>
        <w:t>request;</w:t>
      </w:r>
      <w:proofErr w:type="gramEnd"/>
    </w:p>
    <w:p w14:paraId="1E1DC3B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w:t>
      </w:r>
      <w:proofErr w:type="gramStart"/>
      <w:r>
        <w:rPr>
          <w:rFonts w:ascii="Arial" w:eastAsia="Arial" w:hAnsi="Arial" w:cs="Arial"/>
          <w:sz w:val="24"/>
          <w:szCs w:val="24"/>
        </w:rPr>
        <w:t>Legislation;</w:t>
      </w:r>
      <w:proofErr w:type="gramEnd"/>
      <w:r>
        <w:rPr>
          <w:rFonts w:ascii="Arial" w:eastAsia="Arial" w:hAnsi="Arial" w:cs="Arial"/>
          <w:sz w:val="24"/>
          <w:szCs w:val="24"/>
        </w:rPr>
        <w:t xml:space="preserve"> </w:t>
      </w:r>
    </w:p>
    <w:p w14:paraId="76E98C8E"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w:t>
      </w:r>
      <w:proofErr w:type="gramStart"/>
      <w:r>
        <w:rPr>
          <w:rFonts w:ascii="Arial" w:eastAsia="Arial" w:hAnsi="Arial" w:cs="Arial"/>
          <w:sz w:val="24"/>
          <w:szCs w:val="24"/>
        </w:rPr>
        <w:t>Subject;</w:t>
      </w:r>
      <w:proofErr w:type="gramEnd"/>
      <w:r>
        <w:rPr>
          <w:rFonts w:ascii="Arial" w:eastAsia="Arial" w:hAnsi="Arial" w:cs="Arial"/>
          <w:sz w:val="24"/>
          <w:szCs w:val="24"/>
        </w:rPr>
        <w:t xml:space="preserve"> </w:t>
      </w:r>
    </w:p>
    <w:p w14:paraId="78C21E51"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4A11F7A5"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2E56564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41389365"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determines that the Processing is not </w:t>
      </w:r>
      <w:proofErr w:type="gramStart"/>
      <w:r>
        <w:rPr>
          <w:rFonts w:ascii="Arial" w:eastAsia="Arial" w:hAnsi="Arial" w:cs="Arial"/>
          <w:sz w:val="24"/>
          <w:szCs w:val="24"/>
        </w:rPr>
        <w:t>occasional;</w:t>
      </w:r>
      <w:proofErr w:type="gramEnd"/>
    </w:p>
    <w:p w14:paraId="327B6CF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41059C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425138E1"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40FFE6C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34464939"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0773E820"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w:t>
      </w:r>
      <w:proofErr w:type="gramStart"/>
      <w:r>
        <w:rPr>
          <w:rFonts w:ascii="Arial" w:eastAsia="Arial" w:hAnsi="Arial" w:cs="Arial"/>
          <w:sz w:val="24"/>
          <w:szCs w:val="24"/>
        </w:rPr>
        <w:t>Processing;</w:t>
      </w:r>
      <w:proofErr w:type="gramEnd"/>
    </w:p>
    <w:p w14:paraId="049CD3FE"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w:t>
      </w:r>
      <w:proofErr w:type="gramStart"/>
      <w:r>
        <w:rPr>
          <w:rFonts w:ascii="Arial" w:eastAsia="Arial" w:hAnsi="Arial" w:cs="Arial"/>
          <w:sz w:val="24"/>
          <w:szCs w:val="24"/>
        </w:rPr>
        <w:t>Controller;</w:t>
      </w:r>
      <w:proofErr w:type="gramEnd"/>
      <w:r>
        <w:rPr>
          <w:rFonts w:ascii="Arial" w:eastAsia="Arial" w:hAnsi="Arial" w:cs="Arial"/>
          <w:sz w:val="24"/>
          <w:szCs w:val="24"/>
        </w:rPr>
        <w:t xml:space="preserve"> </w:t>
      </w:r>
    </w:p>
    <w:p w14:paraId="0F7D6BE0"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59A0377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727D51FB"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4CBF0464"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5718540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5B5D9438"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300C2134"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5C62A134"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4ECF358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E44B27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2C7F4AD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has provided Personal Data to the other Party in accordance with paragraph </w:t>
      </w:r>
      <w:r w:rsidR="007E266C">
        <w:rPr>
          <w:rFonts w:ascii="Arial" w:eastAsia="Arial" w:hAnsi="Arial" w:cs="Arial"/>
          <w:sz w:val="24"/>
          <w:szCs w:val="24"/>
        </w:rPr>
        <w:t>1</w:t>
      </w:r>
      <w:r>
        <w:rPr>
          <w:rFonts w:ascii="Arial" w:eastAsia="Arial" w:hAnsi="Arial" w:cs="Arial"/>
          <w:sz w:val="24"/>
          <w:szCs w:val="24"/>
        </w:rPr>
        <w:t>8 of this Joint Schedule 11 above, the recipient of the Personal Data will provide all such relevant documents and information relating to its data protection policies and procedures as the other Party may reasonably require.</w:t>
      </w:r>
    </w:p>
    <w:p w14:paraId="2A66B1DC"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40C20EA7"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6FB8EC5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to the extent necessary to perform their respective obligations under the </w:t>
      </w:r>
      <w:proofErr w:type="gramStart"/>
      <w:r>
        <w:rPr>
          <w:rFonts w:ascii="Arial" w:eastAsia="Arial" w:hAnsi="Arial" w:cs="Arial"/>
          <w:sz w:val="24"/>
          <w:szCs w:val="24"/>
        </w:rPr>
        <w:t>Contract;</w:t>
      </w:r>
      <w:proofErr w:type="gramEnd"/>
    </w:p>
    <w:p w14:paraId="244EBC7D"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7BA1D1F6"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0A00C04F"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14:paraId="59DE4694"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3F46783A"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0D7F2875"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623FCCBF"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449E96B9"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13092129"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6049CF39"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0A9FB9C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w:t>
      </w:r>
      <w:proofErr w:type="gramStart"/>
      <w:r>
        <w:rPr>
          <w:rFonts w:ascii="Arial" w:eastAsia="Arial" w:hAnsi="Arial" w:cs="Arial"/>
          <w:sz w:val="24"/>
          <w:szCs w:val="24"/>
        </w:rPr>
        <w:t>Breach;</w:t>
      </w:r>
      <w:proofErr w:type="gramEnd"/>
      <w:r>
        <w:rPr>
          <w:rFonts w:ascii="Arial" w:eastAsia="Arial" w:hAnsi="Arial" w:cs="Arial"/>
          <w:sz w:val="24"/>
          <w:szCs w:val="24"/>
        </w:rPr>
        <w:t xml:space="preserve"> </w:t>
      </w:r>
    </w:p>
    <w:p w14:paraId="2CA74C6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292BEDD5"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154FBE0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2F38D3A1"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321B81DC"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4519B81"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w:t>
      </w:r>
      <w:r w:rsidR="00830F50">
        <w:rPr>
          <w:rFonts w:ascii="Arial" w:eastAsia="Arial" w:hAnsi="Arial" w:cs="Arial"/>
          <w:sz w:val="24"/>
          <w:szCs w:val="24"/>
        </w:rPr>
        <w:t>8</w:t>
      </w:r>
      <w:r>
        <w:rPr>
          <w:rFonts w:ascii="Arial" w:eastAsia="Arial" w:hAnsi="Arial" w:cs="Arial"/>
          <w:sz w:val="24"/>
          <w:szCs w:val="24"/>
        </w:rPr>
        <w:t xml:space="preserve"> of this Joint Schedule 11.</w:t>
      </w:r>
    </w:p>
    <w:p w14:paraId="29C781C0" w14:textId="77777777" w:rsidR="00DD644B" w:rsidRDefault="00DD644B">
      <w:pPr>
        <w:pBdr>
          <w:top w:val="nil"/>
          <w:left w:val="nil"/>
          <w:bottom w:val="nil"/>
          <w:right w:val="nil"/>
          <w:between w:val="nil"/>
        </w:pBdr>
        <w:spacing w:before="280" w:after="120"/>
        <w:ind w:left="709"/>
        <w:rPr>
          <w:rFonts w:ascii="Arial" w:eastAsia="Arial" w:hAnsi="Arial" w:cs="Arial"/>
          <w:sz w:val="24"/>
          <w:szCs w:val="24"/>
        </w:rPr>
      </w:pPr>
    </w:p>
    <w:p w14:paraId="65C96D14" w14:textId="77777777" w:rsidR="00DD644B" w:rsidRDefault="00E16500">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7B6A794B" w14:textId="77777777" w:rsidR="00DD644B" w:rsidRDefault="00E16500">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3EBC3B11" w14:textId="7C0C3334"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The contact details of the Relevant Authority’s Data Protection Officer are:</w:t>
      </w:r>
      <w:r w:rsidR="00126B0A">
        <w:rPr>
          <w:rFonts w:ascii="Arial" w:eastAsia="Arial" w:hAnsi="Arial" w:cs="Arial"/>
          <w:sz w:val="24"/>
          <w:szCs w:val="24"/>
        </w:rPr>
        <w:t xml:space="preserve"> </w:t>
      </w:r>
      <w:r w:rsidR="003D381C" w:rsidRPr="003D381C">
        <w:rPr>
          <w:rFonts w:ascii="Arial" w:eastAsia="Arial" w:hAnsi="Arial" w:cs="Arial"/>
          <w:color w:val="FFFFFF" w:themeColor="background1"/>
          <w:sz w:val="24"/>
          <w:szCs w:val="24"/>
          <w:highlight w:val="black"/>
        </w:rPr>
        <w:t>Redacted under FOIA Section 40, Personal Information</w:t>
      </w:r>
      <w:r w:rsidR="003D381C" w:rsidRPr="003D381C">
        <w:rPr>
          <w:rFonts w:ascii="Arial" w:eastAsia="Arial" w:hAnsi="Arial" w:cs="Arial"/>
          <w:color w:val="FFFFFF" w:themeColor="background1"/>
          <w:sz w:val="24"/>
          <w:szCs w:val="24"/>
        </w:rPr>
        <w:t xml:space="preserve"> </w:t>
      </w:r>
    </w:p>
    <w:p w14:paraId="5632C8BA" w14:textId="7BCC5DDF" w:rsidR="00DD644B" w:rsidRPr="003D381C" w:rsidRDefault="00E16500">
      <w:pPr>
        <w:keepNext/>
        <w:numPr>
          <w:ilvl w:val="3"/>
          <w:numId w:val="9"/>
        </w:numPr>
        <w:spacing w:after="0" w:line="240" w:lineRule="auto"/>
        <w:jc w:val="both"/>
        <w:rPr>
          <w:rFonts w:ascii="Arial" w:eastAsia="Arial" w:hAnsi="Arial" w:cs="Arial"/>
          <w:sz w:val="24"/>
          <w:szCs w:val="24"/>
        </w:rPr>
      </w:pPr>
      <w:r w:rsidRPr="003D381C">
        <w:rPr>
          <w:rFonts w:ascii="Arial" w:eastAsia="Arial" w:hAnsi="Arial" w:cs="Arial"/>
          <w:sz w:val="24"/>
          <w:szCs w:val="24"/>
        </w:rPr>
        <w:t xml:space="preserve">The contact details of the Supplier’s Data Protection Officer are: </w:t>
      </w:r>
      <w:r w:rsidR="003D381C" w:rsidRPr="003D381C">
        <w:rPr>
          <w:rFonts w:ascii="Arial" w:eastAsia="Arial" w:hAnsi="Arial" w:cs="Arial"/>
          <w:color w:val="FFFFFF" w:themeColor="background1"/>
          <w:sz w:val="24"/>
          <w:szCs w:val="24"/>
          <w:highlight w:val="black"/>
        </w:rPr>
        <w:t>Redacted under FOIA Section 40, Personal Information</w:t>
      </w:r>
    </w:p>
    <w:p w14:paraId="754B6155" w14:textId="77777777"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67E1EAF2" w14:textId="77777777"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Any such furt</w:t>
      </w:r>
      <w:r w:rsidR="009E7940">
        <w:rPr>
          <w:rFonts w:ascii="Arial" w:eastAsia="Arial" w:hAnsi="Arial" w:cs="Arial"/>
          <w:sz w:val="24"/>
          <w:szCs w:val="24"/>
        </w:rPr>
        <w:t>h</w:t>
      </w:r>
      <w:r>
        <w:rPr>
          <w:rFonts w:ascii="Arial" w:eastAsia="Arial" w:hAnsi="Arial" w:cs="Arial"/>
          <w:sz w:val="24"/>
          <w:szCs w:val="24"/>
        </w:rPr>
        <w:t>er instructions shall be incorporated into this Annex.</w:t>
      </w:r>
    </w:p>
    <w:p w14:paraId="60FF237F" w14:textId="77777777" w:rsidR="00DD644B" w:rsidRDefault="00DD644B">
      <w:pPr>
        <w:keepNext/>
        <w:ind w:left="720"/>
        <w:rPr>
          <w:rFonts w:ascii="Arial" w:eastAsia="Arial" w:hAnsi="Arial" w:cs="Arial"/>
          <w:sz w:val="24"/>
          <w:szCs w:val="24"/>
        </w:rPr>
      </w:pPr>
    </w:p>
    <w:tbl>
      <w:tblPr>
        <w:tblStyle w:val="a0"/>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D644B" w14:paraId="68F24C81" w14:textId="77777777">
        <w:trPr>
          <w:trHeight w:val="700"/>
        </w:trPr>
        <w:tc>
          <w:tcPr>
            <w:tcW w:w="2263" w:type="dxa"/>
            <w:shd w:val="clear" w:color="auto" w:fill="BFBFBF"/>
            <w:vAlign w:val="center"/>
          </w:tcPr>
          <w:p w14:paraId="3701BA52" w14:textId="77777777" w:rsidR="00DD644B" w:rsidRDefault="00E16500">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5855A6F1" w14:textId="77777777" w:rsidR="00DD644B" w:rsidRDefault="00E16500">
            <w:pPr>
              <w:jc w:val="center"/>
              <w:rPr>
                <w:rFonts w:ascii="Arial" w:eastAsia="Arial" w:hAnsi="Arial" w:cs="Arial"/>
                <w:b/>
                <w:sz w:val="24"/>
                <w:szCs w:val="24"/>
              </w:rPr>
            </w:pPr>
            <w:r>
              <w:rPr>
                <w:rFonts w:ascii="Arial" w:eastAsia="Arial" w:hAnsi="Arial" w:cs="Arial"/>
                <w:b/>
                <w:sz w:val="24"/>
                <w:szCs w:val="24"/>
              </w:rPr>
              <w:t>Details</w:t>
            </w:r>
          </w:p>
        </w:tc>
      </w:tr>
      <w:tr w:rsidR="00DD644B" w14:paraId="53D80F01" w14:textId="77777777">
        <w:trPr>
          <w:trHeight w:val="1620"/>
        </w:trPr>
        <w:tc>
          <w:tcPr>
            <w:tcW w:w="2263" w:type="dxa"/>
            <w:shd w:val="clear" w:color="auto" w:fill="auto"/>
          </w:tcPr>
          <w:p w14:paraId="326DF2B7" w14:textId="77777777" w:rsidR="00DD644B" w:rsidRDefault="00E16500">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3F052801" w14:textId="77777777" w:rsidR="00DD644B" w:rsidRDefault="00E16500">
            <w:pPr>
              <w:rPr>
                <w:rFonts w:ascii="Arial" w:eastAsia="Arial" w:hAnsi="Arial" w:cs="Arial"/>
                <w:b/>
                <w:sz w:val="24"/>
                <w:szCs w:val="24"/>
              </w:rPr>
            </w:pPr>
            <w:r>
              <w:rPr>
                <w:rFonts w:ascii="Arial" w:eastAsia="Arial" w:hAnsi="Arial" w:cs="Arial"/>
                <w:b/>
                <w:sz w:val="24"/>
                <w:szCs w:val="24"/>
              </w:rPr>
              <w:t xml:space="preserve">The Relevant Authority is </w:t>
            </w:r>
            <w:proofErr w:type="gramStart"/>
            <w:r>
              <w:rPr>
                <w:rFonts w:ascii="Arial" w:eastAsia="Arial" w:hAnsi="Arial" w:cs="Arial"/>
                <w:b/>
                <w:sz w:val="24"/>
                <w:szCs w:val="24"/>
              </w:rPr>
              <w:t>Controller</w:t>
            </w:r>
            <w:proofErr w:type="gramEnd"/>
            <w:r>
              <w:rPr>
                <w:rFonts w:ascii="Arial" w:eastAsia="Arial" w:hAnsi="Arial" w:cs="Arial"/>
                <w:b/>
                <w:sz w:val="24"/>
                <w:szCs w:val="24"/>
              </w:rPr>
              <w:t xml:space="preserve"> and the Supplier is Processor</w:t>
            </w:r>
          </w:p>
          <w:p w14:paraId="43DC79D1" w14:textId="77777777" w:rsidR="00DD644B" w:rsidRDefault="00E16500">
            <w:pPr>
              <w:rPr>
                <w:rFonts w:ascii="Arial" w:eastAsia="Arial" w:hAnsi="Arial" w:cs="Arial"/>
                <w:sz w:val="24"/>
                <w:szCs w:val="24"/>
              </w:rPr>
            </w:pPr>
            <w:r>
              <w:rPr>
                <w:rFonts w:ascii="Arial" w:eastAsia="Arial" w:hAnsi="Arial" w:cs="Arial"/>
                <w:sz w:val="24"/>
                <w:szCs w:val="24"/>
              </w:rPr>
              <w:t xml:space="preserve">The Parties acknowledge that in accordance with paragraph </w:t>
            </w:r>
            <w:r w:rsidR="00830F50">
              <w:rPr>
                <w:rFonts w:ascii="Arial" w:eastAsia="Arial" w:hAnsi="Arial" w:cs="Arial"/>
                <w:sz w:val="24"/>
                <w:szCs w:val="24"/>
              </w:rPr>
              <w:t>3</w:t>
            </w:r>
            <w:r>
              <w:rPr>
                <w:rFonts w:ascii="Arial" w:eastAsia="Arial" w:hAnsi="Arial" w:cs="Arial"/>
                <w:sz w:val="24"/>
                <w:szCs w:val="24"/>
              </w:rPr>
              <w:t xml:space="preserve"> to paragraph 1</w:t>
            </w:r>
            <w:r w:rsidR="00830F50">
              <w:rPr>
                <w:rFonts w:ascii="Arial" w:eastAsia="Arial" w:hAnsi="Arial" w:cs="Arial"/>
                <w:sz w:val="24"/>
                <w:szCs w:val="24"/>
              </w:rPr>
              <w:t>6</w:t>
            </w:r>
            <w:r>
              <w:rPr>
                <w:rFonts w:ascii="Arial" w:eastAsia="Arial" w:hAnsi="Arial" w:cs="Arial"/>
                <w:sz w:val="24"/>
                <w:szCs w:val="24"/>
              </w:rPr>
              <w:t xml:space="preserve"> and for the purposes of the Data Protection Legislation, the Relevant Authority is the </w:t>
            </w:r>
            <w:proofErr w:type="gramStart"/>
            <w:r>
              <w:rPr>
                <w:rFonts w:ascii="Arial" w:eastAsia="Arial" w:hAnsi="Arial" w:cs="Arial"/>
                <w:sz w:val="24"/>
                <w:szCs w:val="24"/>
              </w:rPr>
              <w:t>Controller</w:t>
            </w:r>
            <w:proofErr w:type="gramEnd"/>
            <w:r>
              <w:rPr>
                <w:rFonts w:ascii="Arial" w:eastAsia="Arial" w:hAnsi="Arial" w:cs="Arial"/>
                <w:sz w:val="24"/>
                <w:szCs w:val="24"/>
              </w:rPr>
              <w:t xml:space="preserve"> and the Supplier is the Processor </w:t>
            </w:r>
            <w:r w:rsidRPr="00901983">
              <w:rPr>
                <w:rFonts w:ascii="Arial" w:eastAsia="Arial" w:hAnsi="Arial" w:cs="Arial"/>
                <w:sz w:val="24"/>
                <w:szCs w:val="24"/>
              </w:rPr>
              <w:t>of the following</w:t>
            </w:r>
            <w:r>
              <w:rPr>
                <w:rFonts w:ascii="Arial" w:eastAsia="Arial" w:hAnsi="Arial" w:cs="Arial"/>
                <w:sz w:val="24"/>
                <w:szCs w:val="24"/>
              </w:rPr>
              <w:t xml:space="preserve"> Personal Data:</w:t>
            </w:r>
          </w:p>
          <w:p w14:paraId="7C3A1D64" w14:textId="77777777" w:rsidR="00DD644B" w:rsidRDefault="00DD644B">
            <w:pPr>
              <w:rPr>
                <w:rFonts w:ascii="Arial" w:eastAsia="Arial" w:hAnsi="Arial" w:cs="Arial"/>
                <w:sz w:val="24"/>
                <w:szCs w:val="24"/>
              </w:rPr>
            </w:pPr>
          </w:p>
          <w:p w14:paraId="5C8676B1" w14:textId="77777777" w:rsidR="00901983" w:rsidRPr="00B56432" w:rsidRDefault="00901983" w:rsidP="00901983">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sidRPr="00B56432">
              <w:rPr>
                <w:rFonts w:ascii="Arial" w:eastAsia="Arial" w:hAnsi="Arial" w:cs="Arial"/>
                <w:color w:val="000000"/>
                <w:sz w:val="24"/>
                <w:szCs w:val="24"/>
              </w:rPr>
              <w:t>Personal Data incidental to the performance of the services</w:t>
            </w:r>
          </w:p>
          <w:p w14:paraId="2D845DC3" w14:textId="77777777" w:rsidR="00DD644B" w:rsidRDefault="00DD644B">
            <w:pPr>
              <w:rPr>
                <w:rFonts w:ascii="Arial" w:eastAsia="Arial" w:hAnsi="Arial" w:cs="Arial"/>
                <w:sz w:val="24"/>
                <w:szCs w:val="24"/>
              </w:rPr>
            </w:pPr>
          </w:p>
          <w:p w14:paraId="4A0DC62D" w14:textId="77777777" w:rsidR="00DD644B" w:rsidRDefault="00E16500">
            <w:pPr>
              <w:rPr>
                <w:rFonts w:ascii="Arial" w:eastAsia="Arial" w:hAnsi="Arial" w:cs="Arial"/>
                <w:b/>
                <w:sz w:val="24"/>
                <w:szCs w:val="24"/>
              </w:rPr>
            </w:pPr>
            <w:r>
              <w:rPr>
                <w:rFonts w:ascii="Arial" w:eastAsia="Arial" w:hAnsi="Arial" w:cs="Arial"/>
                <w:b/>
                <w:sz w:val="24"/>
                <w:szCs w:val="24"/>
              </w:rPr>
              <w:t xml:space="preserve">The Supplier is </w:t>
            </w:r>
            <w:proofErr w:type="gramStart"/>
            <w:r>
              <w:rPr>
                <w:rFonts w:ascii="Arial" w:eastAsia="Arial" w:hAnsi="Arial" w:cs="Arial"/>
                <w:b/>
                <w:sz w:val="24"/>
                <w:szCs w:val="24"/>
              </w:rPr>
              <w:t>Controller</w:t>
            </w:r>
            <w:proofErr w:type="gramEnd"/>
            <w:r>
              <w:rPr>
                <w:rFonts w:ascii="Arial" w:eastAsia="Arial" w:hAnsi="Arial" w:cs="Arial"/>
                <w:b/>
                <w:sz w:val="24"/>
                <w:szCs w:val="24"/>
              </w:rPr>
              <w:t xml:space="preserve"> and the Relevant Authority is Processor</w:t>
            </w:r>
            <w:r w:rsidR="00211EE0">
              <w:rPr>
                <w:rFonts w:ascii="Arial" w:eastAsia="Arial" w:hAnsi="Arial" w:cs="Arial"/>
                <w:b/>
                <w:sz w:val="24"/>
                <w:szCs w:val="24"/>
              </w:rPr>
              <w:t xml:space="preserve"> – n/a</w:t>
            </w:r>
          </w:p>
          <w:p w14:paraId="0D787901" w14:textId="77777777" w:rsidR="00DD644B" w:rsidRDefault="00DD644B">
            <w:pPr>
              <w:rPr>
                <w:rFonts w:ascii="Arial" w:eastAsia="Arial" w:hAnsi="Arial" w:cs="Arial"/>
                <w:i/>
                <w:sz w:val="24"/>
                <w:szCs w:val="24"/>
              </w:rPr>
            </w:pPr>
          </w:p>
          <w:p w14:paraId="61C6C7DE" w14:textId="77777777" w:rsidR="00DD644B" w:rsidRDefault="00DD644B">
            <w:pPr>
              <w:rPr>
                <w:rFonts w:ascii="Arial" w:eastAsia="Arial" w:hAnsi="Arial" w:cs="Arial"/>
                <w:sz w:val="24"/>
                <w:szCs w:val="24"/>
                <w:highlight w:val="yellow"/>
              </w:rPr>
            </w:pPr>
          </w:p>
          <w:p w14:paraId="21EE8BCF" w14:textId="77777777" w:rsidR="00DD644B" w:rsidRDefault="00DD644B">
            <w:pPr>
              <w:rPr>
                <w:rFonts w:ascii="Arial" w:eastAsia="Arial" w:hAnsi="Arial" w:cs="Arial"/>
                <w:i/>
                <w:sz w:val="24"/>
                <w:szCs w:val="24"/>
              </w:rPr>
            </w:pPr>
          </w:p>
          <w:p w14:paraId="577636DA" w14:textId="77777777" w:rsidR="00DD644B" w:rsidRDefault="00DD644B">
            <w:pPr>
              <w:rPr>
                <w:rFonts w:ascii="Arial" w:eastAsia="Arial" w:hAnsi="Arial" w:cs="Arial"/>
                <w:i/>
                <w:sz w:val="24"/>
                <w:szCs w:val="24"/>
              </w:rPr>
            </w:pPr>
          </w:p>
          <w:p w14:paraId="6D231AF1" w14:textId="77777777" w:rsidR="00DD644B" w:rsidRDefault="00E16500">
            <w:pPr>
              <w:rPr>
                <w:rFonts w:ascii="Arial" w:eastAsia="Arial" w:hAnsi="Arial" w:cs="Arial"/>
                <w:i/>
                <w:sz w:val="24"/>
                <w:szCs w:val="24"/>
              </w:rPr>
            </w:pPr>
            <w:r>
              <w:rPr>
                <w:rFonts w:ascii="Arial" w:eastAsia="Arial" w:hAnsi="Arial" w:cs="Arial"/>
                <w:i/>
                <w:sz w:val="24"/>
                <w:szCs w:val="24"/>
              </w:rPr>
              <w:t xml:space="preserve"> </w:t>
            </w:r>
          </w:p>
          <w:p w14:paraId="76CD6FE8" w14:textId="77777777" w:rsidR="00DD644B" w:rsidRDefault="00E16500">
            <w:pPr>
              <w:rPr>
                <w:rFonts w:ascii="Arial" w:eastAsia="Arial" w:hAnsi="Arial" w:cs="Arial"/>
                <w:b/>
                <w:sz w:val="24"/>
                <w:szCs w:val="24"/>
              </w:rPr>
            </w:pPr>
            <w:r>
              <w:rPr>
                <w:rFonts w:ascii="Arial" w:eastAsia="Arial" w:hAnsi="Arial" w:cs="Arial"/>
                <w:b/>
                <w:sz w:val="24"/>
                <w:szCs w:val="24"/>
              </w:rPr>
              <w:t>The Parties are Independent Controllers of Personal Data</w:t>
            </w:r>
          </w:p>
          <w:p w14:paraId="424B07E6" w14:textId="77777777" w:rsidR="00DD644B" w:rsidRDefault="00DD644B">
            <w:pPr>
              <w:rPr>
                <w:rFonts w:ascii="Arial" w:eastAsia="Arial" w:hAnsi="Arial" w:cs="Arial"/>
                <w:b/>
                <w:i/>
                <w:sz w:val="24"/>
                <w:szCs w:val="24"/>
                <w:highlight w:val="yellow"/>
              </w:rPr>
            </w:pPr>
          </w:p>
          <w:p w14:paraId="537ADCB1" w14:textId="77777777" w:rsidR="00DD644B" w:rsidRPr="00B56432" w:rsidRDefault="00E16500">
            <w:pPr>
              <w:rPr>
                <w:rFonts w:ascii="Arial" w:eastAsia="Arial" w:hAnsi="Arial" w:cs="Arial"/>
                <w:sz w:val="24"/>
                <w:szCs w:val="24"/>
              </w:rPr>
            </w:pPr>
            <w:r w:rsidRPr="00B56432">
              <w:rPr>
                <w:rFonts w:ascii="Arial" w:eastAsia="Arial" w:hAnsi="Arial" w:cs="Arial"/>
                <w:sz w:val="24"/>
                <w:szCs w:val="24"/>
              </w:rPr>
              <w:t>The Parties acknowledge that they are Independent Controllers for the purposes of the Data Protection Legislation in respect of:</w:t>
            </w:r>
          </w:p>
          <w:p w14:paraId="2B715FD9" w14:textId="77777777" w:rsidR="00DD644B" w:rsidRPr="00B56432" w:rsidRDefault="00E16500">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sidRPr="00B56432">
              <w:rPr>
                <w:rFonts w:ascii="Arial" w:eastAsia="Arial" w:hAnsi="Arial" w:cs="Arial"/>
                <w:color w:val="000000"/>
                <w:sz w:val="24"/>
                <w:szCs w:val="24"/>
              </w:rPr>
              <w:lastRenderedPageBreak/>
              <w:t>Business contact details of Supplier Personnel for which the Supplier is the Controller</w:t>
            </w:r>
            <w:r w:rsidR="00211EE0">
              <w:rPr>
                <w:rFonts w:ascii="Arial" w:eastAsia="Arial" w:hAnsi="Arial" w:cs="Arial"/>
                <w:color w:val="000000"/>
                <w:sz w:val="24"/>
                <w:szCs w:val="24"/>
              </w:rPr>
              <w:t>; and</w:t>
            </w:r>
          </w:p>
          <w:p w14:paraId="3776D0BD" w14:textId="77777777" w:rsidR="000A3E68" w:rsidRDefault="000A3E68" w:rsidP="000A3E68">
            <w:pPr>
              <w:pBdr>
                <w:top w:val="nil"/>
                <w:left w:val="nil"/>
                <w:bottom w:val="nil"/>
                <w:right w:val="nil"/>
                <w:between w:val="nil"/>
              </w:pBdr>
              <w:spacing w:after="0" w:line="240" w:lineRule="auto"/>
              <w:ind w:left="360"/>
              <w:jc w:val="both"/>
              <w:rPr>
                <w:rFonts w:ascii="Arial" w:eastAsia="Arial" w:hAnsi="Arial" w:cs="Arial"/>
                <w:i/>
                <w:color w:val="000000"/>
                <w:sz w:val="24"/>
                <w:szCs w:val="24"/>
              </w:rPr>
            </w:pPr>
          </w:p>
          <w:p w14:paraId="6432B262" w14:textId="77777777" w:rsidR="000A3E68" w:rsidRDefault="000A3E68" w:rsidP="000A3E68">
            <w:pPr>
              <w:numPr>
                <w:ilvl w:val="0"/>
                <w:numId w:val="1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Buyer Personnel for which the Buyer is the Controller</w:t>
            </w:r>
            <w:r w:rsidR="00211EE0">
              <w:rPr>
                <w:rFonts w:ascii="Arial" w:eastAsia="Arial" w:hAnsi="Arial" w:cs="Arial"/>
                <w:i/>
                <w:color w:val="000000"/>
                <w:sz w:val="24"/>
                <w:szCs w:val="24"/>
              </w:rPr>
              <w:t>.</w:t>
            </w:r>
          </w:p>
          <w:p w14:paraId="07F23DA2" w14:textId="77777777" w:rsidR="00DD644B" w:rsidRDefault="00DD644B" w:rsidP="00B56432">
            <w:pPr>
              <w:pBdr>
                <w:top w:val="nil"/>
                <w:left w:val="nil"/>
                <w:bottom w:val="nil"/>
                <w:right w:val="nil"/>
                <w:between w:val="nil"/>
              </w:pBdr>
              <w:spacing w:after="0" w:line="240" w:lineRule="auto"/>
              <w:ind w:left="720"/>
              <w:jc w:val="both"/>
              <w:rPr>
                <w:rFonts w:ascii="Arial" w:eastAsia="Arial" w:hAnsi="Arial" w:cs="Arial"/>
                <w:i/>
                <w:color w:val="000000"/>
                <w:sz w:val="24"/>
                <w:szCs w:val="24"/>
              </w:rPr>
            </w:pPr>
          </w:p>
          <w:p w14:paraId="73333622" w14:textId="77777777" w:rsidR="00DD644B" w:rsidRDefault="00DD644B">
            <w:pPr>
              <w:rPr>
                <w:rFonts w:ascii="Arial" w:eastAsia="Arial" w:hAnsi="Arial" w:cs="Arial"/>
                <w:i/>
                <w:sz w:val="24"/>
                <w:szCs w:val="24"/>
              </w:rPr>
            </w:pPr>
          </w:p>
          <w:p w14:paraId="0EB09EBB" w14:textId="77777777" w:rsidR="00DD644B" w:rsidRDefault="00E16500">
            <w:pPr>
              <w:rPr>
                <w:rFonts w:ascii="Arial" w:eastAsia="Arial" w:hAnsi="Arial" w:cs="Arial"/>
                <w:i/>
                <w:sz w:val="24"/>
                <w:szCs w:val="24"/>
              </w:rPr>
            </w:pPr>
            <w:r>
              <w:rPr>
                <w:rFonts w:ascii="Arial" w:eastAsia="Arial" w:hAnsi="Arial" w:cs="Arial"/>
                <w:i/>
                <w:sz w:val="24"/>
                <w:szCs w:val="24"/>
              </w:rPr>
              <w:t xml:space="preserve"> </w:t>
            </w:r>
          </w:p>
          <w:p w14:paraId="28C62076" w14:textId="77777777" w:rsidR="00DD644B" w:rsidRDefault="00DD644B">
            <w:pPr>
              <w:rPr>
                <w:rFonts w:ascii="Arial" w:eastAsia="Arial" w:hAnsi="Arial" w:cs="Arial"/>
                <w:sz w:val="24"/>
                <w:szCs w:val="24"/>
              </w:rPr>
            </w:pPr>
          </w:p>
        </w:tc>
      </w:tr>
      <w:tr w:rsidR="00DD644B" w14:paraId="7722F995" w14:textId="77777777">
        <w:trPr>
          <w:trHeight w:val="1460"/>
        </w:trPr>
        <w:tc>
          <w:tcPr>
            <w:tcW w:w="2263" w:type="dxa"/>
            <w:shd w:val="clear" w:color="auto" w:fill="auto"/>
          </w:tcPr>
          <w:p w14:paraId="22C485C9" w14:textId="77777777" w:rsidR="00DD644B" w:rsidRDefault="00E16500">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684D437D" w14:textId="77777777" w:rsidR="00DD644B" w:rsidRDefault="00FC079E">
            <w:pPr>
              <w:rPr>
                <w:rFonts w:ascii="Arial" w:eastAsia="Arial" w:hAnsi="Arial" w:cs="Arial"/>
                <w:sz w:val="24"/>
                <w:szCs w:val="24"/>
              </w:rPr>
            </w:pPr>
            <w:r w:rsidRPr="00FC079E">
              <w:rPr>
                <w:rFonts w:ascii="Arial" w:eastAsia="Arial" w:hAnsi="Arial" w:cs="Arial"/>
                <w:sz w:val="24"/>
                <w:szCs w:val="24"/>
              </w:rPr>
              <w:t>The duration of the call off stated in the order form.</w:t>
            </w:r>
          </w:p>
        </w:tc>
      </w:tr>
      <w:tr w:rsidR="00DD644B" w14:paraId="763D9CF1" w14:textId="77777777">
        <w:trPr>
          <w:trHeight w:val="1520"/>
        </w:trPr>
        <w:tc>
          <w:tcPr>
            <w:tcW w:w="2263" w:type="dxa"/>
            <w:shd w:val="clear" w:color="auto" w:fill="auto"/>
          </w:tcPr>
          <w:p w14:paraId="13CDCDE8" w14:textId="77777777" w:rsidR="00DD644B" w:rsidRDefault="00E16500">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5960EBA9" w14:textId="77777777" w:rsidR="00DD644B" w:rsidRDefault="00901983">
            <w:pPr>
              <w:rPr>
                <w:rFonts w:ascii="Arial" w:eastAsia="Arial" w:hAnsi="Arial" w:cs="Arial"/>
                <w:sz w:val="24"/>
                <w:szCs w:val="24"/>
              </w:rPr>
            </w:pPr>
            <w:r w:rsidRPr="00B56432">
              <w:rPr>
                <w:rFonts w:ascii="Arial" w:eastAsia="Arial" w:hAnsi="Arial" w:cs="Arial"/>
                <w:sz w:val="24"/>
                <w:szCs w:val="24"/>
              </w:rPr>
              <w:t>Processing of personal data only incidental to the provision of regulated legal services.</w:t>
            </w:r>
            <w:r>
              <w:rPr>
                <w:rFonts w:ascii="Arial" w:eastAsia="Arial" w:hAnsi="Arial" w:cs="Arial"/>
                <w:i/>
                <w:sz w:val="24"/>
                <w:szCs w:val="24"/>
              </w:rPr>
              <w:t xml:space="preserve"> </w:t>
            </w:r>
          </w:p>
        </w:tc>
      </w:tr>
      <w:tr w:rsidR="00DD644B" w14:paraId="7FE095DB" w14:textId="77777777">
        <w:trPr>
          <w:trHeight w:val="1400"/>
        </w:trPr>
        <w:tc>
          <w:tcPr>
            <w:tcW w:w="2263" w:type="dxa"/>
            <w:shd w:val="clear" w:color="auto" w:fill="auto"/>
          </w:tcPr>
          <w:p w14:paraId="34BAAEA1" w14:textId="77777777" w:rsidR="00DD644B" w:rsidRDefault="00E16500">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78CA31AC" w14:textId="77777777" w:rsidR="00DD644B" w:rsidRDefault="00663F58">
            <w:pPr>
              <w:rPr>
                <w:rFonts w:ascii="Arial" w:eastAsia="Arial" w:hAnsi="Arial" w:cs="Arial"/>
                <w:sz w:val="24"/>
                <w:szCs w:val="24"/>
              </w:rPr>
            </w:pPr>
            <w:r>
              <w:rPr>
                <w:rFonts w:ascii="Arial" w:eastAsia="Arial" w:hAnsi="Arial" w:cs="Arial"/>
                <w:sz w:val="24"/>
                <w:szCs w:val="24"/>
              </w:rPr>
              <w:t>N</w:t>
            </w:r>
            <w:r w:rsidR="00E16500" w:rsidRPr="00B56432">
              <w:rPr>
                <w:rFonts w:ascii="Arial" w:eastAsia="Arial" w:hAnsi="Arial" w:cs="Arial"/>
                <w:sz w:val="24"/>
                <w:szCs w:val="24"/>
              </w:rPr>
              <w:t xml:space="preserve">ame, </w:t>
            </w:r>
            <w:r w:rsidR="00901983" w:rsidRPr="00B56432">
              <w:rPr>
                <w:rFonts w:ascii="Arial" w:eastAsia="Arial" w:hAnsi="Arial" w:cs="Arial"/>
                <w:sz w:val="24"/>
                <w:szCs w:val="24"/>
              </w:rPr>
              <w:t>email address</w:t>
            </w:r>
            <w:r w:rsidR="00E16500" w:rsidRPr="00B56432">
              <w:rPr>
                <w:rFonts w:ascii="Arial" w:eastAsia="Arial" w:hAnsi="Arial" w:cs="Arial"/>
                <w:sz w:val="24"/>
                <w:szCs w:val="24"/>
              </w:rPr>
              <w:t>, telephone number</w:t>
            </w:r>
          </w:p>
        </w:tc>
      </w:tr>
      <w:tr w:rsidR="00DD644B" w14:paraId="22A993CA" w14:textId="77777777">
        <w:trPr>
          <w:trHeight w:val="1560"/>
        </w:trPr>
        <w:tc>
          <w:tcPr>
            <w:tcW w:w="2263" w:type="dxa"/>
            <w:shd w:val="clear" w:color="auto" w:fill="auto"/>
          </w:tcPr>
          <w:p w14:paraId="65E1F4DB" w14:textId="77777777" w:rsidR="00DD644B" w:rsidRDefault="00E16500">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287B70F8" w14:textId="77777777" w:rsidR="00DD644B" w:rsidRDefault="00901983">
            <w:pPr>
              <w:rPr>
                <w:rFonts w:ascii="Arial" w:eastAsia="Arial" w:hAnsi="Arial" w:cs="Arial"/>
                <w:sz w:val="24"/>
                <w:szCs w:val="24"/>
              </w:rPr>
            </w:pPr>
            <w:r w:rsidRPr="00B56432">
              <w:rPr>
                <w:rFonts w:ascii="Arial" w:eastAsia="Arial" w:hAnsi="Arial" w:cs="Arial"/>
                <w:sz w:val="24"/>
                <w:szCs w:val="24"/>
              </w:rPr>
              <w:t>Buyer</w:t>
            </w:r>
            <w:r w:rsidR="0018792B">
              <w:rPr>
                <w:rFonts w:ascii="Arial" w:eastAsia="Arial" w:hAnsi="Arial" w:cs="Arial"/>
                <w:sz w:val="24"/>
                <w:szCs w:val="24"/>
              </w:rPr>
              <w:t xml:space="preserve"> and S</w:t>
            </w:r>
            <w:r w:rsidR="00E16500" w:rsidRPr="00B56432">
              <w:rPr>
                <w:rFonts w:ascii="Arial" w:eastAsia="Arial" w:hAnsi="Arial" w:cs="Arial"/>
                <w:sz w:val="24"/>
                <w:szCs w:val="24"/>
              </w:rPr>
              <w:t>upplier</w:t>
            </w:r>
            <w:r w:rsidR="0018792B">
              <w:rPr>
                <w:rFonts w:ascii="Arial" w:eastAsia="Arial" w:hAnsi="Arial" w:cs="Arial"/>
                <w:sz w:val="24"/>
                <w:szCs w:val="24"/>
              </w:rPr>
              <w:t xml:space="preserve"> Personnel</w:t>
            </w:r>
          </w:p>
        </w:tc>
      </w:tr>
      <w:tr w:rsidR="00DD644B" w14:paraId="761C7497" w14:textId="77777777">
        <w:trPr>
          <w:trHeight w:val="1660"/>
        </w:trPr>
        <w:tc>
          <w:tcPr>
            <w:tcW w:w="2263" w:type="dxa"/>
            <w:shd w:val="clear" w:color="auto" w:fill="auto"/>
          </w:tcPr>
          <w:p w14:paraId="5E9780FA" w14:textId="77777777" w:rsidR="00DD644B" w:rsidRDefault="00E16500">
            <w:pPr>
              <w:rPr>
                <w:rFonts w:ascii="Arial" w:eastAsia="Arial" w:hAnsi="Arial" w:cs="Arial"/>
                <w:sz w:val="24"/>
                <w:szCs w:val="24"/>
              </w:rPr>
            </w:pPr>
            <w:r>
              <w:rPr>
                <w:rFonts w:ascii="Arial" w:eastAsia="Arial" w:hAnsi="Arial" w:cs="Arial"/>
                <w:sz w:val="24"/>
                <w:szCs w:val="24"/>
              </w:rPr>
              <w:t xml:space="preserve">Plan for return and destruction of the data once the Processing is </w:t>
            </w:r>
            <w:proofErr w:type="gramStart"/>
            <w:r>
              <w:rPr>
                <w:rFonts w:ascii="Arial" w:eastAsia="Arial" w:hAnsi="Arial" w:cs="Arial"/>
                <w:sz w:val="24"/>
                <w:szCs w:val="24"/>
              </w:rPr>
              <w:t>complete</w:t>
            </w:r>
            <w:proofErr w:type="gramEnd"/>
          </w:p>
          <w:p w14:paraId="753BD36E" w14:textId="77777777" w:rsidR="00DD644B" w:rsidRDefault="00E16500">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132B1049" w14:textId="77777777" w:rsidR="00DD644B" w:rsidRDefault="00901983">
            <w:pPr>
              <w:rPr>
                <w:rFonts w:ascii="Arial" w:eastAsia="Arial" w:hAnsi="Arial" w:cs="Arial"/>
                <w:sz w:val="24"/>
                <w:szCs w:val="24"/>
              </w:rPr>
            </w:pPr>
            <w:r w:rsidRPr="00B56432">
              <w:rPr>
                <w:rFonts w:ascii="Arial" w:eastAsia="Arial" w:hAnsi="Arial" w:cs="Arial"/>
                <w:sz w:val="24"/>
                <w:szCs w:val="24"/>
              </w:rPr>
              <w:t>The minimum period required for insurance/regulatory purposes.</w:t>
            </w:r>
          </w:p>
        </w:tc>
      </w:tr>
    </w:tbl>
    <w:p w14:paraId="3CB1CE46" w14:textId="77777777" w:rsidR="00DD644B" w:rsidRDefault="00DD644B">
      <w:pPr>
        <w:rPr>
          <w:rFonts w:ascii="Arial" w:eastAsia="Arial" w:hAnsi="Arial" w:cs="Arial"/>
          <w:b/>
          <w:sz w:val="24"/>
          <w:szCs w:val="24"/>
        </w:rPr>
      </w:pPr>
    </w:p>
    <w:p w14:paraId="0C43325E" w14:textId="77777777" w:rsidR="00DD644B" w:rsidRDefault="00E16500">
      <w:pPr>
        <w:rPr>
          <w:rFonts w:ascii="Arial" w:eastAsia="Arial" w:hAnsi="Arial" w:cs="Arial"/>
          <w:b/>
          <w:sz w:val="24"/>
          <w:szCs w:val="24"/>
        </w:rPr>
      </w:pPr>
      <w:r>
        <w:br w:type="page"/>
      </w:r>
    </w:p>
    <w:p w14:paraId="08EFF8F3" w14:textId="77777777" w:rsidR="00DD644B" w:rsidRDefault="00E16500">
      <w:pPr>
        <w:rPr>
          <w:rFonts w:ascii="Arial" w:eastAsia="Arial" w:hAnsi="Arial" w:cs="Arial"/>
          <w:sz w:val="24"/>
          <w:szCs w:val="24"/>
        </w:rPr>
      </w:pPr>
      <w:r>
        <w:rPr>
          <w:rFonts w:ascii="Arial" w:eastAsia="Arial" w:hAnsi="Arial" w:cs="Arial"/>
          <w:b/>
          <w:sz w:val="24"/>
          <w:szCs w:val="24"/>
        </w:rPr>
        <w:lastRenderedPageBreak/>
        <w:t>Annex 2 - Joint Controller Agreement</w:t>
      </w:r>
      <w:r w:rsidR="00FC079E">
        <w:rPr>
          <w:rFonts w:ascii="Arial" w:eastAsia="Arial" w:hAnsi="Arial" w:cs="Arial"/>
          <w:b/>
          <w:sz w:val="24"/>
          <w:szCs w:val="24"/>
        </w:rPr>
        <w:t xml:space="preserve"> </w:t>
      </w:r>
      <w:r w:rsidR="00FC079E" w:rsidRPr="00B56432">
        <w:rPr>
          <w:rFonts w:ascii="Arial" w:eastAsia="Arial" w:hAnsi="Arial" w:cs="Arial"/>
          <w:b/>
          <w:color w:val="FF0000"/>
          <w:sz w:val="24"/>
          <w:szCs w:val="24"/>
        </w:rPr>
        <w:t>– Not Used</w:t>
      </w:r>
    </w:p>
    <w:p w14:paraId="792E299D" w14:textId="77777777" w:rsidR="00DD644B" w:rsidRDefault="00E16500">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7AFF53BC" w14:textId="77777777" w:rsidR="00DD644B" w:rsidRDefault="00E16500">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sidR="00830F50">
        <w:rPr>
          <w:rFonts w:ascii="Arial" w:eastAsia="Arial" w:hAnsi="Arial" w:cs="Arial"/>
          <w:sz w:val="24"/>
          <w:szCs w:val="24"/>
        </w:rPr>
        <w:t>3</w:t>
      </w:r>
      <w:r>
        <w:rPr>
          <w:rFonts w:ascii="Arial" w:eastAsia="Arial" w:hAnsi="Arial" w:cs="Arial"/>
          <w:sz w:val="24"/>
          <w:szCs w:val="24"/>
        </w:rPr>
        <w:t>-1</w:t>
      </w:r>
      <w:r w:rsidR="00830F50">
        <w:rPr>
          <w:rFonts w:ascii="Arial" w:eastAsia="Arial" w:hAnsi="Arial" w:cs="Arial"/>
          <w:sz w:val="24"/>
          <w:szCs w:val="24"/>
        </w:rPr>
        <w:t>6</w:t>
      </w:r>
      <w:r>
        <w:rPr>
          <w:rFonts w:ascii="Arial" w:eastAsia="Arial" w:hAnsi="Arial" w:cs="Arial"/>
          <w:sz w:val="24"/>
          <w:szCs w:val="24"/>
        </w:rPr>
        <w:t xml:space="preserve"> of Joint Schedule 11 (Where one Party is </w:t>
      </w:r>
      <w:proofErr w:type="gramStart"/>
      <w:r>
        <w:rPr>
          <w:rFonts w:ascii="Arial" w:eastAsia="Arial" w:hAnsi="Arial" w:cs="Arial"/>
          <w:sz w:val="24"/>
          <w:szCs w:val="24"/>
        </w:rPr>
        <w:t>Controller</w:t>
      </w:r>
      <w:proofErr w:type="gramEnd"/>
      <w:r>
        <w:rPr>
          <w:rFonts w:ascii="Arial" w:eastAsia="Arial" w:hAnsi="Arial" w:cs="Arial"/>
          <w:sz w:val="24"/>
          <w:szCs w:val="24"/>
        </w:rPr>
        <w:t xml:space="preserve"> and the other Party is Processor) and paragraphs </w:t>
      </w:r>
      <w:r w:rsidR="00830F50">
        <w:rPr>
          <w:rFonts w:ascii="Arial" w:eastAsia="Arial" w:hAnsi="Arial" w:cs="Arial"/>
          <w:sz w:val="24"/>
          <w:szCs w:val="24"/>
        </w:rPr>
        <w:t>18</w:t>
      </w:r>
      <w:r>
        <w:rPr>
          <w:rFonts w:ascii="Arial" w:eastAsia="Arial" w:hAnsi="Arial" w:cs="Arial"/>
          <w:sz w:val="24"/>
          <w:szCs w:val="24"/>
        </w:rPr>
        <w:t>-2</w:t>
      </w:r>
      <w:r w:rsidR="00830F50">
        <w:rPr>
          <w:rFonts w:ascii="Arial" w:eastAsia="Arial" w:hAnsi="Arial" w:cs="Arial"/>
          <w:sz w:val="24"/>
          <w:szCs w:val="24"/>
        </w:rPr>
        <w:t>8</w:t>
      </w:r>
      <w:r>
        <w:rPr>
          <w:rFonts w:ascii="Arial" w:eastAsia="Arial" w:hAnsi="Arial" w:cs="Arial"/>
          <w:sz w:val="24"/>
          <w:szCs w:val="24"/>
        </w:rPr>
        <w:t xml:space="preserve"> of Joint Schedule 11 (Independent Controllers of Personal Data). Accordingly, the Parties each undertake to comply with the applicable Data Protection Legislation in respect of their Processing of such Personal Data as Data Controllers. </w:t>
      </w:r>
    </w:p>
    <w:p w14:paraId="303C3C1F" w14:textId="77777777" w:rsidR="00DD644B" w:rsidRDefault="00E16500">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14:paraId="11DB4F99"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w:t>
      </w:r>
      <w:proofErr w:type="gramStart"/>
      <w:r>
        <w:rPr>
          <w:rFonts w:ascii="Arial" w:eastAsia="Arial" w:hAnsi="Arial" w:cs="Arial"/>
          <w:sz w:val="24"/>
          <w:szCs w:val="24"/>
          <w:highlight w:val="white"/>
        </w:rPr>
        <w:t>GDPR;</w:t>
      </w:r>
      <w:proofErr w:type="gramEnd"/>
    </w:p>
    <w:p w14:paraId="25896E5C"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shall direct Data Subjects to its Data Protection Officer or suitable alternative in connection with the exercise of their rights as Data Subjects and for any enquiries concerning their Personal Data or </w:t>
      </w:r>
      <w:proofErr w:type="gramStart"/>
      <w:r>
        <w:rPr>
          <w:rFonts w:ascii="Arial" w:eastAsia="Arial" w:hAnsi="Arial" w:cs="Arial"/>
          <w:sz w:val="24"/>
          <w:szCs w:val="24"/>
          <w:highlight w:val="white"/>
        </w:rPr>
        <w:t>privacy;</w:t>
      </w:r>
      <w:proofErr w:type="gramEnd"/>
    </w:p>
    <w:p w14:paraId="245B87B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is solely responsible for the Parties’ compliance with all duties to provide information to Data Subjects under Articles 13 and 14 of the UK </w:t>
      </w:r>
      <w:proofErr w:type="gramStart"/>
      <w:r>
        <w:rPr>
          <w:rFonts w:ascii="Arial" w:eastAsia="Arial" w:hAnsi="Arial" w:cs="Arial"/>
          <w:sz w:val="24"/>
          <w:szCs w:val="24"/>
        </w:rPr>
        <w:t>GDPR;</w:t>
      </w:r>
      <w:proofErr w:type="gramEnd"/>
    </w:p>
    <w:p w14:paraId="6672CF46"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5D868F1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0E2B4277" w14:textId="77777777" w:rsidR="00DD644B" w:rsidRDefault="00E16500">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2CA1870E"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4BC6E3ED"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2822CBA6"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14:paraId="59EB5CE5"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3557A2DF"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7E100B24"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any other requests, complaints or communications from Data Subjects (or third parties on their behalf) relating to the other Party’s obligations under applicable Data Protection </w:t>
      </w:r>
      <w:proofErr w:type="gramStart"/>
      <w:r>
        <w:rPr>
          <w:rFonts w:ascii="Arial" w:eastAsia="Arial" w:hAnsi="Arial" w:cs="Arial"/>
          <w:sz w:val="24"/>
          <w:szCs w:val="24"/>
        </w:rPr>
        <w:t>Legislation;</w:t>
      </w:r>
      <w:proofErr w:type="gramEnd"/>
    </w:p>
    <w:p w14:paraId="488864E1"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3392EEDF"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26E2A067" w14:textId="77777777" w:rsidR="00DD644B" w:rsidRDefault="00E16500">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w:t>
      </w:r>
      <w:proofErr w:type="gramStart"/>
      <w:r>
        <w:rPr>
          <w:rFonts w:ascii="Arial" w:eastAsia="Arial" w:hAnsi="Arial" w:cs="Arial"/>
          <w:sz w:val="24"/>
          <w:szCs w:val="24"/>
        </w:rPr>
        <w:t>period;</w:t>
      </w:r>
      <w:proofErr w:type="gramEnd"/>
      <w:r>
        <w:rPr>
          <w:rFonts w:ascii="Arial" w:eastAsia="Arial" w:hAnsi="Arial" w:cs="Arial"/>
          <w:sz w:val="24"/>
          <w:szCs w:val="24"/>
        </w:rPr>
        <w:t xml:space="preserve"> </w:t>
      </w:r>
    </w:p>
    <w:p w14:paraId="5F305C85"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to (v</w:t>
      </w:r>
      <w:proofErr w:type="gramStart"/>
      <w:r>
        <w:rPr>
          <w:rFonts w:ascii="Arial" w:eastAsia="Arial" w:hAnsi="Arial" w:cs="Arial"/>
          <w:sz w:val="24"/>
          <w:szCs w:val="24"/>
        </w:rPr>
        <w:t>);</w:t>
      </w:r>
      <w:proofErr w:type="gramEnd"/>
      <w:r>
        <w:rPr>
          <w:rFonts w:ascii="Arial" w:eastAsia="Arial" w:hAnsi="Arial" w:cs="Arial"/>
          <w:sz w:val="24"/>
          <w:szCs w:val="24"/>
        </w:rPr>
        <w:t xml:space="preserve"> </w:t>
      </w:r>
    </w:p>
    <w:p w14:paraId="5D5A30A2"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Pr>
          <w:rFonts w:ascii="Arial" w:eastAsia="Arial" w:hAnsi="Arial" w:cs="Arial"/>
          <w:sz w:val="24"/>
          <w:szCs w:val="24"/>
        </w:rPr>
        <w:t>Legislation;</w:t>
      </w:r>
      <w:proofErr w:type="gramEnd"/>
    </w:p>
    <w:p w14:paraId="68089A47" w14:textId="77777777" w:rsidR="00DD644B" w:rsidRDefault="00E16500" w:rsidP="00690CDB">
      <w:pPr>
        <w:numPr>
          <w:ilvl w:val="2"/>
          <w:numId w:val="2"/>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Pr>
          <w:rFonts w:ascii="Arial" w:eastAsia="Arial" w:hAnsi="Arial" w:cs="Arial"/>
          <w:sz w:val="24"/>
          <w:szCs w:val="24"/>
        </w:rPr>
        <w:t>Annex;</w:t>
      </w:r>
      <w:proofErr w:type="gramEnd"/>
    </w:p>
    <w:p w14:paraId="2D13976C"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request from the Data Subject only the minimum information necessary to provide the Deliverables and treat such extracted information as Confidential </w:t>
      </w:r>
      <w:proofErr w:type="gramStart"/>
      <w:r>
        <w:rPr>
          <w:rFonts w:ascii="Arial" w:eastAsia="Arial" w:hAnsi="Arial" w:cs="Arial"/>
          <w:sz w:val="24"/>
          <w:szCs w:val="24"/>
        </w:rPr>
        <w:t>Information;</w:t>
      </w:r>
      <w:proofErr w:type="gramEnd"/>
    </w:p>
    <w:p w14:paraId="63A4C6D9"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Pr>
          <w:rFonts w:ascii="Arial" w:eastAsia="Arial" w:hAnsi="Arial" w:cs="Arial"/>
          <w:sz w:val="24"/>
          <w:szCs w:val="24"/>
        </w:rPr>
        <w:t>Data;</w:t>
      </w:r>
      <w:proofErr w:type="gramEnd"/>
    </w:p>
    <w:p w14:paraId="436D7103"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5895556F"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w:t>
      </w:r>
      <w:proofErr w:type="gramStart"/>
      <w:r>
        <w:rPr>
          <w:rFonts w:ascii="Arial" w:eastAsia="Arial" w:hAnsi="Arial" w:cs="Arial"/>
          <w:sz w:val="24"/>
          <w:szCs w:val="24"/>
        </w:rPr>
        <w:t>Information;</w:t>
      </w:r>
      <w:proofErr w:type="gramEnd"/>
      <w:r>
        <w:rPr>
          <w:rFonts w:ascii="Arial" w:eastAsia="Arial" w:hAnsi="Arial" w:cs="Arial"/>
          <w:sz w:val="24"/>
          <w:szCs w:val="24"/>
        </w:rPr>
        <w:t xml:space="preserve"> </w:t>
      </w:r>
    </w:p>
    <w:p w14:paraId="73FB58E4"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informed of the confidential nature of the Personal Data, are subject to appropriate obligations of confidentiality and do not publish, disclose or divulge any of the Personal Data to any third party where </w:t>
      </w:r>
      <w:proofErr w:type="gramStart"/>
      <w:r>
        <w:rPr>
          <w:rFonts w:ascii="Arial" w:eastAsia="Arial" w:hAnsi="Arial" w:cs="Arial"/>
          <w:sz w:val="24"/>
          <w:szCs w:val="24"/>
        </w:rPr>
        <w:t>the that</w:t>
      </w:r>
      <w:proofErr w:type="gramEnd"/>
      <w:r>
        <w:rPr>
          <w:rFonts w:ascii="Arial" w:eastAsia="Arial" w:hAnsi="Arial" w:cs="Arial"/>
          <w:sz w:val="24"/>
          <w:szCs w:val="24"/>
        </w:rPr>
        <w:t xml:space="preserve"> Party would not be permitted to do so; and</w:t>
      </w:r>
    </w:p>
    <w:p w14:paraId="0C8E0D4E"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as required by the applicable Data Protection </w:t>
      </w:r>
      <w:proofErr w:type="gramStart"/>
      <w:r>
        <w:rPr>
          <w:rFonts w:ascii="Arial" w:eastAsia="Arial" w:hAnsi="Arial" w:cs="Arial"/>
          <w:sz w:val="24"/>
          <w:szCs w:val="24"/>
        </w:rPr>
        <w:t>Legislation;</w:t>
      </w:r>
      <w:proofErr w:type="gramEnd"/>
    </w:p>
    <w:p w14:paraId="40A12128"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0081E1BD"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nature of the data to be </w:t>
      </w:r>
      <w:proofErr w:type="gramStart"/>
      <w:r>
        <w:rPr>
          <w:rFonts w:ascii="Arial" w:eastAsia="Arial" w:hAnsi="Arial" w:cs="Arial"/>
          <w:sz w:val="24"/>
          <w:szCs w:val="24"/>
        </w:rPr>
        <w:t>protected;</w:t>
      </w:r>
      <w:proofErr w:type="gramEnd"/>
    </w:p>
    <w:p w14:paraId="11BDB9D9"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Personal Data </w:t>
      </w:r>
      <w:proofErr w:type="gramStart"/>
      <w:r>
        <w:rPr>
          <w:rFonts w:ascii="Arial" w:eastAsia="Arial" w:hAnsi="Arial" w:cs="Arial"/>
          <w:sz w:val="24"/>
          <w:szCs w:val="24"/>
        </w:rPr>
        <w:t>Breach;</w:t>
      </w:r>
      <w:proofErr w:type="gramEnd"/>
    </w:p>
    <w:p w14:paraId="368F776D"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38E55B6A"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w:t>
      </w:r>
      <w:proofErr w:type="gramStart"/>
      <w:r>
        <w:rPr>
          <w:rFonts w:ascii="Arial" w:eastAsia="Arial" w:hAnsi="Arial" w:cs="Arial"/>
          <w:sz w:val="24"/>
          <w:szCs w:val="24"/>
        </w:rPr>
        <w:t>measures;</w:t>
      </w:r>
      <w:proofErr w:type="gramEnd"/>
    </w:p>
    <w:p w14:paraId="51F0C653"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1CF54FAC"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09FE3415"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820BEC0"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1B42C3A3"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B580FAA" w14:textId="77777777" w:rsidR="00DD644B" w:rsidRDefault="00E16500">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2C5DE997" w14:textId="77777777" w:rsidR="00DD644B" w:rsidRDefault="00E16500">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29D71103"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and the Information Commissioner investigating the Personal Data Breach and its cause, containing and recovering the compromised Personal Data and compliance with the applicable </w:t>
      </w:r>
      <w:proofErr w:type="gramStart"/>
      <w:r>
        <w:rPr>
          <w:rFonts w:ascii="Arial" w:eastAsia="Arial" w:hAnsi="Arial" w:cs="Arial"/>
          <w:sz w:val="24"/>
          <w:szCs w:val="24"/>
        </w:rPr>
        <w:t>guidance;</w:t>
      </w:r>
      <w:proofErr w:type="gramEnd"/>
    </w:p>
    <w:p w14:paraId="3AB45AAF"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including taking such reasonable steps as are directed by the other Party to assist in the investigation, mitigation and remediation of a Personal Data </w:t>
      </w:r>
      <w:proofErr w:type="gramStart"/>
      <w:r>
        <w:rPr>
          <w:rFonts w:ascii="Arial" w:eastAsia="Arial" w:hAnsi="Arial" w:cs="Arial"/>
          <w:sz w:val="24"/>
          <w:szCs w:val="24"/>
        </w:rPr>
        <w:t>Breach;</w:t>
      </w:r>
      <w:proofErr w:type="gramEnd"/>
    </w:p>
    <w:p w14:paraId="3407C710"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296C8256"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2D0E8B2"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37BCB21"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w:t>
      </w:r>
      <w:proofErr w:type="gramStart"/>
      <w:r>
        <w:rPr>
          <w:rFonts w:ascii="Arial" w:eastAsia="Arial" w:hAnsi="Arial" w:cs="Arial"/>
          <w:sz w:val="24"/>
          <w:szCs w:val="24"/>
        </w:rPr>
        <w:t>Breach;</w:t>
      </w:r>
      <w:proofErr w:type="gramEnd"/>
      <w:r>
        <w:rPr>
          <w:rFonts w:ascii="Arial" w:eastAsia="Arial" w:hAnsi="Arial" w:cs="Arial"/>
          <w:sz w:val="24"/>
          <w:szCs w:val="24"/>
        </w:rPr>
        <w:t xml:space="preserve"> </w:t>
      </w:r>
    </w:p>
    <w:p w14:paraId="1F2CA25B"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Personal Data </w:t>
      </w:r>
      <w:proofErr w:type="gramStart"/>
      <w:r>
        <w:rPr>
          <w:rFonts w:ascii="Arial" w:eastAsia="Arial" w:hAnsi="Arial" w:cs="Arial"/>
          <w:sz w:val="24"/>
          <w:szCs w:val="24"/>
        </w:rPr>
        <w:t>affected;</w:t>
      </w:r>
      <w:proofErr w:type="gramEnd"/>
    </w:p>
    <w:p w14:paraId="0E5D5015"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categories and number of Data Subjects </w:t>
      </w:r>
      <w:proofErr w:type="gramStart"/>
      <w:r>
        <w:rPr>
          <w:rFonts w:ascii="Arial" w:eastAsia="Arial" w:hAnsi="Arial" w:cs="Arial"/>
          <w:sz w:val="24"/>
          <w:szCs w:val="24"/>
        </w:rPr>
        <w:t>concerned;</w:t>
      </w:r>
      <w:proofErr w:type="gramEnd"/>
    </w:p>
    <w:p w14:paraId="2CD5F2FF"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name and contact details of the Supplier’s Data Protection Officer or other relevant contact from whom more information may be </w:t>
      </w:r>
      <w:proofErr w:type="gramStart"/>
      <w:r>
        <w:rPr>
          <w:rFonts w:ascii="Arial" w:eastAsia="Arial" w:hAnsi="Arial" w:cs="Arial"/>
          <w:sz w:val="24"/>
          <w:szCs w:val="24"/>
        </w:rPr>
        <w:t>obtained;</w:t>
      </w:r>
      <w:proofErr w:type="gramEnd"/>
    </w:p>
    <w:p w14:paraId="26D7F169"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45551BA4"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6D123BE4"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6F908772"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16A916BB" w14:textId="77777777" w:rsidR="00DD644B" w:rsidRDefault="00E16500">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6FD9B037" w14:textId="77777777" w:rsidR="00DD644B" w:rsidRDefault="00E16500">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D4A153C"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6E1D5DF5"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77AA84EC"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63BA5AED"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7F3F2669" w14:textId="77777777" w:rsidR="00DD644B" w:rsidRDefault="00E16500">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4B19510" w14:textId="77777777" w:rsidR="00DD644B" w:rsidRDefault="00DD644B">
      <w:pPr>
        <w:pBdr>
          <w:top w:val="nil"/>
          <w:left w:val="nil"/>
          <w:bottom w:val="nil"/>
          <w:right w:val="nil"/>
          <w:between w:val="nil"/>
        </w:pBdr>
        <w:spacing w:after="80"/>
        <w:ind w:left="11"/>
        <w:rPr>
          <w:rFonts w:ascii="Arial" w:eastAsia="Arial" w:hAnsi="Arial" w:cs="Arial"/>
          <w:sz w:val="24"/>
          <w:szCs w:val="24"/>
        </w:rPr>
      </w:pPr>
    </w:p>
    <w:p w14:paraId="1BB057AA" w14:textId="77777777" w:rsidR="00DD644B" w:rsidRDefault="00E16500">
      <w:pPr>
        <w:numPr>
          <w:ilvl w:val="2"/>
          <w:numId w:val="7"/>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571FC7DC" w14:textId="77777777" w:rsidR="00DD644B" w:rsidRDefault="00DD644B">
      <w:pPr>
        <w:keepNext/>
        <w:rPr>
          <w:rFonts w:ascii="Arial" w:eastAsia="Arial" w:hAnsi="Arial" w:cs="Arial"/>
          <w:sz w:val="24"/>
          <w:szCs w:val="24"/>
        </w:rPr>
      </w:pPr>
    </w:p>
    <w:p w14:paraId="7943181D"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1E00FE88" w14:textId="77777777" w:rsidR="00DD644B" w:rsidRDefault="00E16500">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273173C3"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2F32B6D7"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479D1605"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w:t>
      </w:r>
      <w:proofErr w:type="gramStart"/>
      <w:r>
        <w:rPr>
          <w:rFonts w:ascii="Arial" w:eastAsia="Arial" w:hAnsi="Arial" w:cs="Arial"/>
          <w:sz w:val="24"/>
          <w:szCs w:val="24"/>
        </w:rPr>
        <w:t>cost</w:t>
      </w:r>
      <w:proofErr w:type="gramEnd"/>
      <w:r>
        <w:rPr>
          <w:rFonts w:ascii="Arial" w:eastAsia="Arial" w:hAnsi="Arial" w:cs="Arial"/>
          <w:sz w:val="24"/>
          <w:szCs w:val="24"/>
        </w:rPr>
        <w:t xml:space="preserve">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70629554"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1107BDB7"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7105D53E"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7D29B78"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35A30C75"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the Relevant Authority is responsible for the relevant Personal Data Breach, then the Relevant Authority shall be responsible for the Claim </w:t>
      </w:r>
      <w:proofErr w:type="gramStart"/>
      <w:r>
        <w:rPr>
          <w:rFonts w:ascii="Arial" w:eastAsia="Arial" w:hAnsi="Arial" w:cs="Arial"/>
          <w:sz w:val="24"/>
          <w:szCs w:val="24"/>
        </w:rPr>
        <w:t>Losses;</w:t>
      </w:r>
      <w:proofErr w:type="gramEnd"/>
    </w:p>
    <w:p w14:paraId="4B21B161"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669EBE03"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72EC68E1"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280803D"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46C491C8"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7E19759A" w14:textId="77777777" w:rsidR="00DD644B" w:rsidRDefault="00E16500">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31C18DE1"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696CD12B"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0EA1560F" w14:textId="77777777" w:rsidR="00DD644B" w:rsidRDefault="00E1650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5E6F4574" w14:textId="77777777" w:rsidR="00DD644B" w:rsidRDefault="00E1650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6DC86255"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3B714600"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03972FDE" w14:textId="77777777" w:rsidR="00DD644B" w:rsidRDefault="00E16500">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5A13FE29" w14:textId="77777777" w:rsidR="00DD644B" w:rsidRDefault="00DD644B">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4C0A52AB" w14:textId="77777777" w:rsidR="00DD644B" w:rsidRDefault="00DD644B">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5" w:name="bookmark=id.1ksv4uv" w:colFirst="0" w:colLast="0"/>
      <w:bookmarkStart w:id="16" w:name="_heading=h.44sinio" w:colFirst="0" w:colLast="0"/>
      <w:bookmarkEnd w:id="15"/>
      <w:bookmarkEnd w:id="16"/>
    </w:p>
    <w:sectPr w:rsidR="00DD644B">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7886" w14:textId="77777777" w:rsidR="00D6250B" w:rsidRDefault="00D6250B">
      <w:pPr>
        <w:spacing w:after="0" w:line="240" w:lineRule="auto"/>
      </w:pPr>
      <w:r>
        <w:separator/>
      </w:r>
    </w:p>
  </w:endnote>
  <w:endnote w:type="continuationSeparator" w:id="0">
    <w:p w14:paraId="52B814E6" w14:textId="77777777" w:rsidR="00D6250B" w:rsidRDefault="00D62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AD21" w14:textId="77777777"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4A797D">
      <w:rPr>
        <w:rFonts w:ascii="Arial" w:eastAsia="Arial" w:hAnsi="Arial" w:cs="Arial"/>
        <w:sz w:val="20"/>
        <w:szCs w:val="20"/>
      </w:rPr>
      <w:t>6179</w:t>
    </w:r>
    <w:r>
      <w:rPr>
        <w:rFonts w:ascii="Arial" w:eastAsia="Arial" w:hAnsi="Arial" w:cs="Arial"/>
        <w:sz w:val="20"/>
        <w:szCs w:val="20"/>
      </w:rPr>
      <w:tab/>
      <w:t xml:space="preserve">                                           </w:t>
    </w:r>
  </w:p>
  <w:p w14:paraId="4CCAAC8B"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D34E2">
      <w:rPr>
        <w:rFonts w:ascii="Arial" w:eastAsia="Arial" w:hAnsi="Arial" w:cs="Arial"/>
        <w:noProof/>
        <w:color w:val="000000"/>
        <w:sz w:val="20"/>
        <w:szCs w:val="20"/>
      </w:rPr>
      <w:t>9</w:t>
    </w:r>
    <w:r>
      <w:rPr>
        <w:rFonts w:ascii="Arial" w:eastAsia="Arial" w:hAnsi="Arial" w:cs="Arial"/>
        <w:color w:val="000000"/>
        <w:sz w:val="20"/>
        <w:szCs w:val="20"/>
      </w:rPr>
      <w:fldChar w:fldCharType="end"/>
    </w:r>
    <w:r>
      <w:rPr>
        <w:rFonts w:ascii="Arial" w:eastAsia="Arial" w:hAnsi="Arial" w:cs="Arial"/>
        <w:color w:val="000000"/>
        <w:sz w:val="20"/>
        <w:szCs w:val="20"/>
      </w:rPr>
      <w:t>-</w:t>
    </w:r>
  </w:p>
  <w:p w14:paraId="164A3D5F" w14:textId="77777777" w:rsidR="00DD644B" w:rsidRDefault="00E16500">
    <w:pPr>
      <w:spacing w:after="0"/>
    </w:pPr>
    <w:r>
      <w:rPr>
        <w:rFonts w:ascii="Arial" w:eastAsia="Arial" w:hAnsi="Arial" w:cs="Arial"/>
        <w:sz w:val="20"/>
        <w:szCs w:val="20"/>
      </w:rPr>
      <w:t>Model Version: v4.3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28A2" w14:textId="77777777"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906B0DB"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40BBB1E0" w14:textId="77777777" w:rsidR="00DD644B" w:rsidRDefault="00E16500">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B8FD" w14:textId="77777777" w:rsidR="00D6250B" w:rsidRDefault="00D6250B">
      <w:pPr>
        <w:spacing w:after="0" w:line="240" w:lineRule="auto"/>
      </w:pPr>
      <w:r>
        <w:separator/>
      </w:r>
    </w:p>
  </w:footnote>
  <w:footnote w:type="continuationSeparator" w:id="0">
    <w:p w14:paraId="5B6C43A6" w14:textId="77777777" w:rsidR="00D6250B" w:rsidRDefault="00D62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8B89"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768DDA03"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58A0" w14:textId="77777777" w:rsidR="00DD644B" w:rsidRDefault="00E165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65BEF17F" wp14:editId="6943798A">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748"/>
    <w:multiLevelType w:val="multilevel"/>
    <w:tmpl w:val="3514A9B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A457F2"/>
    <w:multiLevelType w:val="multilevel"/>
    <w:tmpl w:val="4D284C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A9473D5"/>
    <w:multiLevelType w:val="multilevel"/>
    <w:tmpl w:val="004CABA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0AEF231A"/>
    <w:multiLevelType w:val="multilevel"/>
    <w:tmpl w:val="BC8864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DCE56EE"/>
    <w:multiLevelType w:val="multilevel"/>
    <w:tmpl w:val="3CBEA3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0FF1404B"/>
    <w:multiLevelType w:val="multilevel"/>
    <w:tmpl w:val="6EFC44F6"/>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917218"/>
    <w:multiLevelType w:val="multilevel"/>
    <w:tmpl w:val="AA4CD71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275D59"/>
    <w:multiLevelType w:val="multilevel"/>
    <w:tmpl w:val="EE46A3A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1D9064D2"/>
    <w:multiLevelType w:val="multilevel"/>
    <w:tmpl w:val="11C2964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BE0401"/>
    <w:multiLevelType w:val="multilevel"/>
    <w:tmpl w:val="8640AB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2B3C62AC"/>
    <w:multiLevelType w:val="multilevel"/>
    <w:tmpl w:val="3E709B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CD751A8"/>
    <w:multiLevelType w:val="multilevel"/>
    <w:tmpl w:val="E482E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1C093B"/>
    <w:multiLevelType w:val="multilevel"/>
    <w:tmpl w:val="A4885E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F134AC8"/>
    <w:multiLevelType w:val="multilevel"/>
    <w:tmpl w:val="5E5A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61790482">
    <w:abstractNumId w:val="6"/>
  </w:num>
  <w:num w:numId="2" w16cid:durableId="1067260325">
    <w:abstractNumId w:val="2"/>
  </w:num>
  <w:num w:numId="3" w16cid:durableId="1080100091">
    <w:abstractNumId w:val="7"/>
  </w:num>
  <w:num w:numId="4" w16cid:durableId="716050365">
    <w:abstractNumId w:val="12"/>
  </w:num>
  <w:num w:numId="5" w16cid:durableId="1054814575">
    <w:abstractNumId w:val="4"/>
  </w:num>
  <w:num w:numId="6" w16cid:durableId="1166166280">
    <w:abstractNumId w:val="0"/>
  </w:num>
  <w:num w:numId="7" w16cid:durableId="1084187612">
    <w:abstractNumId w:val="3"/>
  </w:num>
  <w:num w:numId="8" w16cid:durableId="1744133349">
    <w:abstractNumId w:val="9"/>
  </w:num>
  <w:num w:numId="9" w16cid:durableId="318653719">
    <w:abstractNumId w:val="8"/>
  </w:num>
  <w:num w:numId="10" w16cid:durableId="161429741">
    <w:abstractNumId w:val="10"/>
  </w:num>
  <w:num w:numId="11" w16cid:durableId="576406412">
    <w:abstractNumId w:val="13"/>
  </w:num>
  <w:num w:numId="12" w16cid:durableId="413405811">
    <w:abstractNumId w:val="1"/>
  </w:num>
  <w:num w:numId="13" w16cid:durableId="1289315261">
    <w:abstractNumId w:val="11"/>
  </w:num>
  <w:num w:numId="14" w16cid:durableId="714238958">
    <w:abstractNumId w:val="5"/>
  </w:num>
  <w:num w:numId="15" w16cid:durableId="1612007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44B"/>
    <w:rsid w:val="00060241"/>
    <w:rsid w:val="000A3E68"/>
    <w:rsid w:val="000F4B37"/>
    <w:rsid w:val="00126B0A"/>
    <w:rsid w:val="0018792B"/>
    <w:rsid w:val="00211EE0"/>
    <w:rsid w:val="002D34E2"/>
    <w:rsid w:val="002E6624"/>
    <w:rsid w:val="00306631"/>
    <w:rsid w:val="00314381"/>
    <w:rsid w:val="00370435"/>
    <w:rsid w:val="003D381C"/>
    <w:rsid w:val="00410EF5"/>
    <w:rsid w:val="004A797D"/>
    <w:rsid w:val="004E6878"/>
    <w:rsid w:val="0050139B"/>
    <w:rsid w:val="005C631C"/>
    <w:rsid w:val="00643823"/>
    <w:rsid w:val="00643EE1"/>
    <w:rsid w:val="00663F58"/>
    <w:rsid w:val="00690CDB"/>
    <w:rsid w:val="007714EF"/>
    <w:rsid w:val="007E266C"/>
    <w:rsid w:val="00830F50"/>
    <w:rsid w:val="00845E42"/>
    <w:rsid w:val="008C6A72"/>
    <w:rsid w:val="00901983"/>
    <w:rsid w:val="00935884"/>
    <w:rsid w:val="00954D44"/>
    <w:rsid w:val="009E7940"/>
    <w:rsid w:val="00A05CE1"/>
    <w:rsid w:val="00A5558F"/>
    <w:rsid w:val="00A60D8C"/>
    <w:rsid w:val="00AA5F48"/>
    <w:rsid w:val="00B265E5"/>
    <w:rsid w:val="00B56432"/>
    <w:rsid w:val="00B81976"/>
    <w:rsid w:val="00BE6BFD"/>
    <w:rsid w:val="00C12FA8"/>
    <w:rsid w:val="00C42C99"/>
    <w:rsid w:val="00C556BA"/>
    <w:rsid w:val="00C55DFE"/>
    <w:rsid w:val="00CF3EC8"/>
    <w:rsid w:val="00D13BF0"/>
    <w:rsid w:val="00D6250B"/>
    <w:rsid w:val="00D73B1E"/>
    <w:rsid w:val="00DB4D44"/>
    <w:rsid w:val="00DB52FB"/>
    <w:rsid w:val="00DC739B"/>
    <w:rsid w:val="00DD644B"/>
    <w:rsid w:val="00E16500"/>
    <w:rsid w:val="00E60F18"/>
    <w:rsid w:val="00F05CD0"/>
    <w:rsid w:val="00F71A53"/>
    <w:rsid w:val="00FC0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93BF"/>
  <w15:docId w15:val="{07907D62-A77F-4FA5-BD29-C16156FE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35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8aDYrp8yeUzBvCzmiwi0IzQwKrg==">AMUW2mWA/vGugzqInYbPmO9UkgsIZIAPn3eqXgJQaRPiAKkoFTEKxjk6jKnBZGnBO0/UZAnw5xJ1IydpHRtGfToSgGtjjeWoRzgOW2+pAodr08fumIYFs9btMA81PUFCaq0r+PGZGEMib276mfkdxjYug77AyP8ak7A2agYkCdxKeUpbgTXxlaTJ1t8h361kfqjz0lyhEf4JWJ/P12BaezB7VWMYHn0rI1//7Asf6uoNPt2o/Pgk62MBKr/lNup4mAzDBZ8WAZguoHlwadW/YJkEkMTrTPsUu3DdRpYa6y8EvZ9o6tDaLSWQlhzGmnCmb8hvsecnCDgtdXwAkg+GDwGX7h55kA4KhKpg4mfK0gtiZDPSIrnvpR10oVuioyjDO+0nmS7QT8+7</go:docsCustomData>
</go:gDocsCustomXmlDataStorage>
</file>

<file path=customXml/itemProps1.xml><?xml version="1.0" encoding="utf-8"?>
<ds:datastoreItem xmlns:ds="http://schemas.openxmlformats.org/officeDocument/2006/customXml" ds:itemID="{3798BBED-6DCE-4CA6-A210-1ED2B0579F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4879</Words>
  <Characters>27816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Lianne Garvey</dc:creator>
  <cp:lastModifiedBy>Rowena Lawlor</cp:lastModifiedBy>
  <cp:revision>3</cp:revision>
  <dcterms:created xsi:type="dcterms:W3CDTF">2023-10-11T09:50:00Z</dcterms:created>
  <dcterms:modified xsi:type="dcterms:W3CDTF">2023-10-11T09:52:00Z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