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6"/>
          <w:szCs w:val="36"/>
        </w:rPr>
      </w:pPr>
      <w:bookmarkStart w:colFirst="0" w:colLast="0" w:name="_gjdgxs" w:id="0"/>
      <w:bookmarkEnd w:id="0"/>
      <w:r w:rsidDel="00000000" w:rsidR="00000000" w:rsidRPr="00000000">
        <w:rPr>
          <w:rFonts w:ascii="Arial" w:cs="Arial" w:eastAsia="Arial" w:hAnsi="Arial"/>
          <w:b w:val="1"/>
          <w:sz w:val="36"/>
          <w:szCs w:val="36"/>
          <w:rtl w:val="0"/>
        </w:rPr>
        <w:t xml:space="preserve">Joint Schedule 12 (Supply Chain Visibility)</w:t>
      </w:r>
    </w:p>
    <w:p w:rsidR="00000000" w:rsidDel="00000000" w:rsidP="00000000" w:rsidRDefault="00000000" w:rsidRPr="00000000" w14:paraId="0000000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hanging="4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8198.0" w:type="dxa"/>
        <w:jc w:val="left"/>
        <w:tblInd w:w="63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"Contracts Finder"</w:t>
            </w:r>
          </w:p>
        </w:tc>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Government’s publishing portal for public sector procurement opportunities; </w:t>
            </w:r>
          </w:p>
        </w:tc>
      </w:tr>
      <w:tr>
        <w:trPr>
          <w:cantSplit w:val="0"/>
          <w:trHeight w:val="20" w:hRule="atLeast"/>
          <w:tblHeader w:val="0"/>
        </w:trPr>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"SME"</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enterprise falling within the category of micro, small and medium sized enterprises defined by the Commission Recommendation of 6 May 2003 concerning the definition of micro, small and medium sized enterprises; </w:t>
            </w:r>
          </w:p>
        </w:tc>
      </w:tr>
      <w:tr>
        <w:trPr>
          <w:cantSplit w:val="0"/>
          <w:trHeight w:val="20" w:hRule="atLeast"/>
          <w:tblHeader w:val="0"/>
        </w:trPr>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“Supply Chain Information Report Template”</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document at Annex 1 of this Schedule 12; and</w:t>
            </w:r>
          </w:p>
        </w:tc>
      </w:tr>
      <w:tr>
        <w:trPr>
          <w:cantSplit w:val="0"/>
          <w:trHeight w:val="20" w:hRule="atLeast"/>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"VCSE"</w:t>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non-governmental organisation that is value-driven and which principally reinvests its surpluses to further social, environmental or cultural objectives.</w:t>
            </w:r>
          </w:p>
        </w:tc>
      </w:tr>
      <w:tr>
        <w:trPr>
          <w:cantSplit w:val="0"/>
          <w:trHeight w:val="20" w:hRule="atLeast"/>
          <w:tblHeader w:val="0"/>
        </w:trPr>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09"/>
                <w:tab w:val="left" w:pos="1134"/>
              </w:tabs>
              <w:spacing w:after="12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Sub-Contract Opportunities in the Supply Chain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Supplier shall:</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2.3, advertise on Contracts Finder all Sub-Contract opportunities arising from or in connection with the provision of the Deliverables above a minimum threshold of £25,000 that arise during the Contract Period;</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90 days of awarding a Sub-Contract to a Subcontractor, update the notice on Contract Finder with details of the successful Subcontractor; </w:t>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 the number, type and value of the Sub-Contract opportunities placed on Contracts Finder advertised and awarded in its supply chain during the Contract Period; </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reports on the information at Paragraph 2.1.3 to the Relevant Authority in the format and frequency as reasonably specified by the Relevant Authority; and </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108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Contracts Finder to its suppliers and encourage those organisations to register on Contracts Finder.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advert referred to at Paragraph 2.1.1 of this Schedule 12 shall provide a full and detailed description of the Sub-Contract opportunity with each of the mandatory fields being completed on Contracts Finder by the Supplier.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on the Supplier set out at Paragraph 2.1 shall only apply in respect of Sub-Contract opportunities arising after the Effective Date.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Notwithstanding Paragraph 2.1, the Authority may by giving its prior Approval, agree that a Sub-Contract opportunity is not required to be advertised by the Supplier on Contracts Finder.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Visibility of Supply Chain Spend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contract revenue received directly on the Contract;</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under the Contract (including revenues for non-SMEs/non-VCSEs); and</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total value of sub-contracted revenues to SMEs and VCSEs.</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3" w:right="0" w:hanging="63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993" w:right="0" w:hanging="567"/>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further agrees and acknowledges that it may not make any amendment to the Supply Chain Information Report Template without the prior Approval of the Authority.  </w:t>
      </w:r>
    </w:p>
    <w:p w:rsidR="00000000" w:rsidDel="00000000" w:rsidP="00000000" w:rsidRDefault="00000000" w:rsidRPr="00000000" w14:paraId="0000002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2C">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Supply Chain Information Report template</w:t>
      </w:r>
    </w:p>
    <w:p w:rsidR="00000000" w:rsidDel="00000000" w:rsidP="00000000" w:rsidRDefault="00000000" w:rsidRPr="00000000" w14:paraId="0000002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1470660" cy="70866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0660" cy="70866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Framework Ref: RM6068</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Version: 1.0</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Model Version 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12 (Supply Chain Visibility)</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Crown Copyright 20</w:t>
    </w:r>
    <w:r w:rsidDel="00000000" w:rsidR="00000000" w:rsidRPr="00000000">
      <w:rPr>
        <w:rFonts w:ascii="Arial" w:cs="Arial" w:eastAsia="Arial" w:hAnsi="Arial"/>
        <w:rtl w:val="0"/>
      </w:rPr>
      <w:t xml:space="preserve">22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