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E9110" w14:textId="77777777" w:rsidR="00205699" w:rsidRDefault="00205699" w:rsidP="00205699"/>
    <w:p w14:paraId="301FD773" w14:textId="77777777" w:rsidR="008E28A5" w:rsidRPr="008E28A5" w:rsidRDefault="008E28A5" w:rsidP="00205699">
      <w:pPr>
        <w:contextualSpacing/>
        <w:rPr>
          <w:rFonts w:cs="Arial"/>
          <w:b/>
          <w:sz w:val="24"/>
          <w:szCs w:val="24"/>
        </w:rPr>
      </w:pPr>
      <w:r w:rsidRPr="008E28A5">
        <w:rPr>
          <w:rFonts w:cs="Arial"/>
          <w:b/>
          <w:sz w:val="24"/>
          <w:szCs w:val="24"/>
        </w:rPr>
        <w:t>BEIS INVITATION TO TENDER</w:t>
      </w:r>
      <w:r w:rsidR="00D375A8">
        <w:rPr>
          <w:rFonts w:cs="Arial"/>
          <w:b/>
          <w:sz w:val="24"/>
          <w:szCs w:val="24"/>
        </w:rPr>
        <w:t xml:space="preserve">: </w:t>
      </w:r>
      <w:r w:rsidR="00D375A8" w:rsidRPr="00D375A8">
        <w:rPr>
          <w:rFonts w:cs="Arial"/>
          <w:b/>
          <w:sz w:val="24"/>
          <w:szCs w:val="24"/>
        </w:rPr>
        <w:t>1455/04/2018</w:t>
      </w:r>
      <w:r w:rsidRPr="008E28A5">
        <w:rPr>
          <w:rFonts w:cs="Arial"/>
          <w:b/>
          <w:sz w:val="24"/>
          <w:szCs w:val="24"/>
        </w:rPr>
        <w:t xml:space="preserve"> </w:t>
      </w:r>
    </w:p>
    <w:p w14:paraId="509918F0" w14:textId="77777777" w:rsidR="00205699" w:rsidRPr="008E28A5" w:rsidRDefault="00205699" w:rsidP="00205699">
      <w:pPr>
        <w:contextualSpacing/>
        <w:rPr>
          <w:rFonts w:cs="Arial"/>
          <w:b/>
          <w:sz w:val="24"/>
          <w:szCs w:val="24"/>
        </w:rPr>
      </w:pPr>
      <w:r w:rsidRPr="008E28A5">
        <w:rPr>
          <w:rFonts w:cs="Arial"/>
          <w:b/>
          <w:sz w:val="24"/>
          <w:szCs w:val="24"/>
        </w:rPr>
        <w:t>Reporting UK Non-Nuclear Radioactive Discharges as Required Under the Convention for the Protection of the Marine Environment of the North-East Atlantic (the OSPAR Convention)</w:t>
      </w:r>
    </w:p>
    <w:p w14:paraId="1C5E97F1" w14:textId="77777777" w:rsidR="00205699" w:rsidRDefault="00205699" w:rsidP="00205699">
      <w:pPr>
        <w:contextualSpacing/>
        <w:rPr>
          <w:rFonts w:cs="Arial"/>
          <w:sz w:val="24"/>
          <w:szCs w:val="24"/>
        </w:rPr>
      </w:pPr>
    </w:p>
    <w:p w14:paraId="73F7A97A" w14:textId="77777777" w:rsidR="00205699" w:rsidRPr="000E28AC" w:rsidRDefault="008E28A5" w:rsidP="00205699">
      <w:pPr>
        <w:contextualSpacing/>
        <w:rPr>
          <w:rFonts w:cs="Arial"/>
          <w:sz w:val="24"/>
          <w:szCs w:val="24"/>
        </w:rPr>
      </w:pPr>
      <w:r>
        <w:rPr>
          <w:rFonts w:cs="Arial"/>
          <w:sz w:val="24"/>
          <w:szCs w:val="24"/>
        </w:rPr>
        <w:t>Q</w:t>
      </w:r>
      <w:r w:rsidR="00205699">
        <w:rPr>
          <w:rFonts w:cs="Arial"/>
          <w:sz w:val="24"/>
          <w:szCs w:val="24"/>
        </w:rPr>
        <w:t xml:space="preserve">uestions from potential suppliers </w:t>
      </w:r>
      <w:r>
        <w:rPr>
          <w:rFonts w:cs="Arial"/>
          <w:sz w:val="24"/>
          <w:szCs w:val="24"/>
        </w:rPr>
        <w:t xml:space="preserve">and </w:t>
      </w:r>
      <w:r w:rsidR="00205699">
        <w:rPr>
          <w:rFonts w:cs="Arial"/>
          <w:sz w:val="24"/>
          <w:szCs w:val="24"/>
        </w:rPr>
        <w:t>answers</w:t>
      </w:r>
      <w:r w:rsidR="00C90AE1">
        <w:rPr>
          <w:rFonts w:cs="Arial"/>
          <w:sz w:val="24"/>
          <w:szCs w:val="24"/>
        </w:rPr>
        <w:t xml:space="preserve"> </w:t>
      </w:r>
    </w:p>
    <w:p w14:paraId="7F2D9E9C" w14:textId="77777777" w:rsidR="00B527A7" w:rsidRDefault="00B527A7"/>
    <w:tbl>
      <w:tblPr>
        <w:tblStyle w:val="TableGrid"/>
        <w:tblW w:w="0" w:type="auto"/>
        <w:tblLook w:val="04A0" w:firstRow="1" w:lastRow="0" w:firstColumn="1" w:lastColumn="0" w:noHBand="0" w:noVBand="1"/>
      </w:tblPr>
      <w:tblGrid>
        <w:gridCol w:w="10456"/>
      </w:tblGrid>
      <w:tr w:rsidR="00B527A7" w14:paraId="3EC4D6BD" w14:textId="77777777" w:rsidTr="00B527A7">
        <w:tc>
          <w:tcPr>
            <w:tcW w:w="10682" w:type="dxa"/>
          </w:tcPr>
          <w:p w14:paraId="142AB917" w14:textId="77777777" w:rsidR="00B527A7" w:rsidRDefault="00B527A7" w:rsidP="00C21350">
            <w:pPr>
              <w:rPr>
                <w:i/>
              </w:rPr>
            </w:pPr>
            <w:r w:rsidRPr="00B527A7">
              <w:rPr>
                <w:b/>
              </w:rPr>
              <w:t>Question</w:t>
            </w:r>
            <w:r w:rsidR="00CB5E09">
              <w:rPr>
                <w:b/>
              </w:rPr>
              <w:t xml:space="preserve"> 1</w:t>
            </w:r>
            <w:r>
              <w:t>: Where does jurisdiction lie on obtaining the data (</w:t>
            </w:r>
            <w:r w:rsidRPr="00D51442">
              <w:rPr>
                <w:i/>
              </w:rPr>
              <w:t xml:space="preserve">meaning how and who </w:t>
            </w:r>
            <w:r>
              <w:rPr>
                <w:i/>
              </w:rPr>
              <w:t>suppliers</w:t>
            </w:r>
            <w:r w:rsidRPr="00D51442">
              <w:rPr>
                <w:i/>
              </w:rPr>
              <w:t xml:space="preserve"> can contact to obtain the data</w:t>
            </w:r>
            <w:r w:rsidR="00C21350">
              <w:rPr>
                <w:i/>
              </w:rPr>
              <w:t xml:space="preserve">, is </w:t>
            </w:r>
            <w:r w:rsidRPr="00D51442">
              <w:rPr>
                <w:i/>
              </w:rPr>
              <w:t>any authority/clearance/licence need</w:t>
            </w:r>
            <w:r w:rsidR="00C21350">
              <w:rPr>
                <w:i/>
              </w:rPr>
              <w:t>ed</w:t>
            </w:r>
            <w:r w:rsidRPr="00D51442">
              <w:rPr>
                <w:i/>
              </w:rPr>
              <w:t xml:space="preserve"> to obtain the data</w:t>
            </w:r>
            <w:r w:rsidR="00C21350">
              <w:rPr>
                <w:i/>
              </w:rPr>
              <w:t xml:space="preserve"> and what format the data will be provided in</w:t>
            </w:r>
            <w:r>
              <w:rPr>
                <w:i/>
              </w:rPr>
              <w:t>)</w:t>
            </w:r>
            <w:r w:rsidR="00C21350">
              <w:rPr>
                <w:i/>
              </w:rPr>
              <w:t>?</w:t>
            </w:r>
          </w:p>
          <w:p w14:paraId="460B68EB" w14:textId="77777777" w:rsidR="00853F01" w:rsidRDefault="00853F01" w:rsidP="00C21350"/>
        </w:tc>
      </w:tr>
      <w:tr w:rsidR="00B527A7" w14:paraId="0ACCB0AC" w14:textId="77777777" w:rsidTr="00B527A7">
        <w:tc>
          <w:tcPr>
            <w:tcW w:w="10682" w:type="dxa"/>
          </w:tcPr>
          <w:p w14:paraId="206EE28F" w14:textId="77777777" w:rsidR="00D5794A" w:rsidRDefault="00B527A7" w:rsidP="00D5794A">
            <w:r w:rsidRPr="00B527A7">
              <w:rPr>
                <w:b/>
              </w:rPr>
              <w:t>Answer</w:t>
            </w:r>
            <w:r w:rsidR="00CB5E09">
              <w:rPr>
                <w:b/>
              </w:rPr>
              <w:t xml:space="preserve"> 1</w:t>
            </w:r>
            <w:r>
              <w:t>:</w:t>
            </w:r>
            <w:r w:rsidR="00D5794A">
              <w:t xml:space="preserve"> Suppliers will gather this data from the following central points:</w:t>
            </w:r>
          </w:p>
          <w:p w14:paraId="58F64FE1" w14:textId="77777777" w:rsidR="00D5794A" w:rsidRDefault="00D5794A" w:rsidP="00D5794A">
            <w:pPr>
              <w:pStyle w:val="ListParagraph"/>
              <w:numPr>
                <w:ilvl w:val="2"/>
                <w:numId w:val="2"/>
              </w:numPr>
            </w:pPr>
            <w:r w:rsidRPr="0040624A">
              <w:t>Environment Agency (for England)</w:t>
            </w:r>
          </w:p>
          <w:p w14:paraId="7C6352F6" w14:textId="77777777" w:rsidR="00D5794A" w:rsidRDefault="00D5794A" w:rsidP="00D5794A">
            <w:pPr>
              <w:pStyle w:val="ListParagraph"/>
              <w:numPr>
                <w:ilvl w:val="2"/>
                <w:numId w:val="2"/>
              </w:numPr>
            </w:pPr>
            <w:r w:rsidRPr="0040624A">
              <w:t>Natural Resources Wales (for Wales)</w:t>
            </w:r>
          </w:p>
          <w:p w14:paraId="09729A9C" w14:textId="77777777" w:rsidR="00D5794A" w:rsidRDefault="00D5794A" w:rsidP="00D5794A">
            <w:pPr>
              <w:pStyle w:val="ListParagraph"/>
              <w:numPr>
                <w:ilvl w:val="2"/>
                <w:numId w:val="2"/>
              </w:numPr>
            </w:pPr>
            <w:r w:rsidRPr="0040624A">
              <w:t>Northern Ireland Environment Agency (for Northern Ireland)</w:t>
            </w:r>
          </w:p>
          <w:p w14:paraId="0CA2143D" w14:textId="77777777" w:rsidR="00D5794A" w:rsidRDefault="00D5794A" w:rsidP="00D5794A">
            <w:pPr>
              <w:pStyle w:val="ListParagraph"/>
              <w:numPr>
                <w:ilvl w:val="2"/>
                <w:numId w:val="2"/>
              </w:numPr>
            </w:pPr>
            <w:r w:rsidRPr="00D23C15">
              <w:t>Scottish Environment Protection Agency</w:t>
            </w:r>
            <w:r>
              <w:rPr>
                <w:sz w:val="20"/>
                <w:szCs w:val="20"/>
                <w:lang w:val="en"/>
              </w:rPr>
              <w:t xml:space="preserve"> </w:t>
            </w:r>
            <w:r w:rsidRPr="0040624A">
              <w:t>(for Scotland)</w:t>
            </w:r>
          </w:p>
          <w:p w14:paraId="40EF192A" w14:textId="77777777" w:rsidR="00D5794A" w:rsidRDefault="00D5794A" w:rsidP="00D5794A">
            <w:pPr>
              <w:pStyle w:val="ListParagraph"/>
              <w:numPr>
                <w:ilvl w:val="2"/>
                <w:numId w:val="2"/>
              </w:numPr>
            </w:pPr>
            <w:r w:rsidRPr="0040624A">
              <w:t>Information will also be provided from the Department for Business, Energy and Industrial</w:t>
            </w:r>
            <w:r>
              <w:t xml:space="preserve"> </w:t>
            </w:r>
            <w:r w:rsidRPr="0040624A">
              <w:t xml:space="preserve">Strategy </w:t>
            </w:r>
            <w:r>
              <w:t>(BEIS) for oil and gas industry</w:t>
            </w:r>
          </w:p>
          <w:p w14:paraId="2FA53228" w14:textId="77777777" w:rsidR="00B527A7" w:rsidRDefault="00B527A7"/>
          <w:p w14:paraId="6F81F076" w14:textId="77777777" w:rsidR="00D5794A" w:rsidRDefault="00010F14">
            <w:r>
              <w:t>More information about obtaining the data is provided in Table 1 below.</w:t>
            </w:r>
          </w:p>
          <w:p w14:paraId="66F2C717" w14:textId="77777777" w:rsidR="00D5794A" w:rsidRDefault="00D5794A"/>
        </w:tc>
      </w:tr>
    </w:tbl>
    <w:p w14:paraId="69A27EDD" w14:textId="77777777" w:rsidR="00B527A7" w:rsidRDefault="00B527A7"/>
    <w:p w14:paraId="19E9CFF6" w14:textId="77777777" w:rsidR="00B527A7" w:rsidRDefault="00B527A7"/>
    <w:tbl>
      <w:tblPr>
        <w:tblStyle w:val="TableGrid"/>
        <w:tblW w:w="0" w:type="auto"/>
        <w:tblLook w:val="04A0" w:firstRow="1" w:lastRow="0" w:firstColumn="1" w:lastColumn="0" w:noHBand="0" w:noVBand="1"/>
      </w:tblPr>
      <w:tblGrid>
        <w:gridCol w:w="10456"/>
      </w:tblGrid>
      <w:tr w:rsidR="00B527A7" w14:paraId="3999827C" w14:textId="77777777" w:rsidTr="002A3DCE">
        <w:tc>
          <w:tcPr>
            <w:tcW w:w="10682" w:type="dxa"/>
          </w:tcPr>
          <w:p w14:paraId="39DBC485" w14:textId="77777777" w:rsidR="00B527A7" w:rsidRDefault="00B527A7" w:rsidP="002A3DCE">
            <w:r w:rsidRPr="00B527A7">
              <w:rPr>
                <w:b/>
              </w:rPr>
              <w:t>Question</w:t>
            </w:r>
            <w:r w:rsidR="00CB5E09">
              <w:rPr>
                <w:b/>
              </w:rPr>
              <w:t xml:space="preserve"> 2</w:t>
            </w:r>
            <w:r>
              <w:t>: Is there a formal Bid Template that BEIS would like suppliers to comply with?</w:t>
            </w:r>
          </w:p>
          <w:p w14:paraId="3F0EE5FA" w14:textId="77777777" w:rsidR="00853F01" w:rsidRDefault="00853F01" w:rsidP="002A3DCE"/>
        </w:tc>
      </w:tr>
      <w:tr w:rsidR="00B527A7" w14:paraId="520B3E21" w14:textId="77777777" w:rsidTr="002A3DCE">
        <w:tc>
          <w:tcPr>
            <w:tcW w:w="10682" w:type="dxa"/>
          </w:tcPr>
          <w:p w14:paraId="512FA0A5" w14:textId="77777777" w:rsidR="00E95EBC" w:rsidRDefault="00B527A7" w:rsidP="00E95EBC">
            <w:r w:rsidRPr="00B527A7">
              <w:rPr>
                <w:b/>
              </w:rPr>
              <w:t>Answer</w:t>
            </w:r>
            <w:r w:rsidR="00CB5E09">
              <w:rPr>
                <w:b/>
              </w:rPr>
              <w:t xml:space="preserve"> 2</w:t>
            </w:r>
            <w:r>
              <w:t>:</w:t>
            </w:r>
            <w:r w:rsidR="0060616D">
              <w:t xml:space="preserve"> BEIS do not ask suppliers to submit formal bids in a particular template. Suppliers </w:t>
            </w:r>
            <w:r w:rsidR="00E95EBC">
              <w:t>should</w:t>
            </w:r>
            <w:r w:rsidR="0060616D">
              <w:t xml:space="preserve"> consider</w:t>
            </w:r>
            <w:r w:rsidR="00E95EBC">
              <w:t xml:space="preserve"> advice and guidance set out in the Invitation To Tender document, to ensure BEIS requirements and preferences are addressed. </w:t>
            </w:r>
          </w:p>
          <w:p w14:paraId="2B32AC5D" w14:textId="77777777" w:rsidR="00B527A7" w:rsidRDefault="00E95EBC" w:rsidP="00E95EBC">
            <w:r>
              <w:t xml:space="preserve"> </w:t>
            </w:r>
          </w:p>
        </w:tc>
      </w:tr>
    </w:tbl>
    <w:p w14:paraId="145B69BB" w14:textId="77777777" w:rsidR="00B527A7" w:rsidRDefault="00B527A7"/>
    <w:p w14:paraId="11F3FA70" w14:textId="77777777" w:rsidR="00B527A7" w:rsidRDefault="00B527A7"/>
    <w:tbl>
      <w:tblPr>
        <w:tblStyle w:val="TableGrid"/>
        <w:tblW w:w="0" w:type="auto"/>
        <w:tblLook w:val="04A0" w:firstRow="1" w:lastRow="0" w:firstColumn="1" w:lastColumn="0" w:noHBand="0" w:noVBand="1"/>
      </w:tblPr>
      <w:tblGrid>
        <w:gridCol w:w="10456"/>
      </w:tblGrid>
      <w:tr w:rsidR="00B527A7" w14:paraId="43BAC77C" w14:textId="77777777" w:rsidTr="002A3DCE">
        <w:tc>
          <w:tcPr>
            <w:tcW w:w="10682" w:type="dxa"/>
          </w:tcPr>
          <w:p w14:paraId="57DB4373" w14:textId="77777777" w:rsidR="00B527A7" w:rsidRDefault="00B527A7" w:rsidP="002A3DCE">
            <w:r w:rsidRPr="00B527A7">
              <w:rPr>
                <w:b/>
              </w:rPr>
              <w:t>Question</w:t>
            </w:r>
            <w:r w:rsidR="00CB5E09">
              <w:rPr>
                <w:b/>
              </w:rPr>
              <w:t xml:space="preserve"> 3</w:t>
            </w:r>
            <w:r>
              <w:t xml:space="preserve">: </w:t>
            </w:r>
            <w:r w:rsidR="00C21350" w:rsidRPr="009B09AC">
              <w:t>Roughly how many facilities will be providing data?</w:t>
            </w:r>
          </w:p>
          <w:p w14:paraId="11B7656D" w14:textId="77777777" w:rsidR="00853F01" w:rsidRPr="00C21350" w:rsidRDefault="00853F01" w:rsidP="002A3DCE">
            <w:pPr>
              <w:rPr>
                <w:rFonts w:ascii="Calibri" w:hAnsi="Calibri"/>
                <w:color w:val="1F497D"/>
                <w:lang w:eastAsia="en-US"/>
              </w:rPr>
            </w:pPr>
          </w:p>
        </w:tc>
      </w:tr>
      <w:tr w:rsidR="00B527A7" w14:paraId="1A098030" w14:textId="77777777" w:rsidTr="002A3DCE">
        <w:tc>
          <w:tcPr>
            <w:tcW w:w="10682" w:type="dxa"/>
          </w:tcPr>
          <w:p w14:paraId="6F83C56C" w14:textId="77777777" w:rsidR="0060616D" w:rsidRDefault="00B527A7" w:rsidP="0060616D">
            <w:r w:rsidRPr="00B527A7">
              <w:rPr>
                <w:b/>
              </w:rPr>
              <w:t>Answer</w:t>
            </w:r>
            <w:r w:rsidR="00CB5E09">
              <w:rPr>
                <w:b/>
              </w:rPr>
              <w:t xml:space="preserve"> 3</w:t>
            </w:r>
            <w:r>
              <w:t>:</w:t>
            </w:r>
            <w:r w:rsidR="0060616D">
              <w:t xml:space="preserve"> Suppliers will gather data from </w:t>
            </w:r>
            <w:r w:rsidR="0060616D" w:rsidRPr="000B7AF9">
              <w:t>the annual returns of authorised non</w:t>
            </w:r>
            <w:r w:rsidR="0060616D">
              <w:t>-n</w:t>
            </w:r>
            <w:r w:rsidR="0060616D" w:rsidRPr="000B7AF9">
              <w:t>uclear premises to the environment agencies within the UK (approximately 1200 premises)</w:t>
            </w:r>
            <w:r w:rsidR="0060616D">
              <w:t>. However suppliers will gather this data from the following central points:</w:t>
            </w:r>
          </w:p>
          <w:p w14:paraId="2D39B739" w14:textId="77777777" w:rsidR="0060616D" w:rsidRDefault="0060616D" w:rsidP="0060616D">
            <w:pPr>
              <w:pStyle w:val="ListParagraph"/>
              <w:numPr>
                <w:ilvl w:val="2"/>
                <w:numId w:val="2"/>
              </w:numPr>
            </w:pPr>
            <w:r w:rsidRPr="0040624A">
              <w:t>Environment Agency (for England)</w:t>
            </w:r>
          </w:p>
          <w:p w14:paraId="1A36CA45" w14:textId="77777777" w:rsidR="0060616D" w:rsidRDefault="0060616D" w:rsidP="0060616D">
            <w:pPr>
              <w:pStyle w:val="ListParagraph"/>
              <w:numPr>
                <w:ilvl w:val="2"/>
                <w:numId w:val="2"/>
              </w:numPr>
            </w:pPr>
            <w:r w:rsidRPr="0040624A">
              <w:t>Natural Resources Wales (for Wales)</w:t>
            </w:r>
          </w:p>
          <w:p w14:paraId="42FA7443" w14:textId="77777777" w:rsidR="0060616D" w:rsidRDefault="0060616D" w:rsidP="0060616D">
            <w:pPr>
              <w:pStyle w:val="ListParagraph"/>
              <w:numPr>
                <w:ilvl w:val="2"/>
                <w:numId w:val="2"/>
              </w:numPr>
            </w:pPr>
            <w:r w:rsidRPr="0040624A">
              <w:t>Northern Ireland Environment Agency (for Northern Ireland)</w:t>
            </w:r>
          </w:p>
          <w:p w14:paraId="1D4AF4DA" w14:textId="77777777" w:rsidR="0060616D" w:rsidRDefault="0060616D" w:rsidP="0060616D">
            <w:pPr>
              <w:pStyle w:val="ListParagraph"/>
              <w:numPr>
                <w:ilvl w:val="2"/>
                <w:numId w:val="2"/>
              </w:numPr>
            </w:pPr>
            <w:r w:rsidRPr="00D23C15">
              <w:t>Scottish Environment Protection Agency</w:t>
            </w:r>
            <w:r>
              <w:rPr>
                <w:sz w:val="20"/>
                <w:szCs w:val="20"/>
                <w:lang w:val="en"/>
              </w:rPr>
              <w:t xml:space="preserve"> </w:t>
            </w:r>
            <w:r w:rsidRPr="0040624A">
              <w:t>(for Scotland)</w:t>
            </w:r>
          </w:p>
          <w:p w14:paraId="5F9FFFBF" w14:textId="77777777" w:rsidR="0060616D" w:rsidRDefault="0060616D" w:rsidP="0060616D">
            <w:pPr>
              <w:pStyle w:val="ListParagraph"/>
              <w:numPr>
                <w:ilvl w:val="2"/>
                <w:numId w:val="2"/>
              </w:numPr>
            </w:pPr>
            <w:r w:rsidRPr="0040624A">
              <w:t>Information will also be provided from the Department for Business, Energy and Industrial</w:t>
            </w:r>
            <w:r>
              <w:t xml:space="preserve"> </w:t>
            </w:r>
            <w:r w:rsidRPr="0040624A">
              <w:t xml:space="preserve">Strategy </w:t>
            </w:r>
            <w:r>
              <w:t>(BEIS) for oil and gas industry</w:t>
            </w:r>
          </w:p>
          <w:p w14:paraId="18233734" w14:textId="77777777" w:rsidR="0060616D" w:rsidRDefault="0060616D" w:rsidP="002A3DCE"/>
        </w:tc>
      </w:tr>
    </w:tbl>
    <w:p w14:paraId="7987710C" w14:textId="77777777" w:rsidR="00B527A7" w:rsidRDefault="00B527A7"/>
    <w:p w14:paraId="5C08E1BA" w14:textId="77777777" w:rsidR="00B527A7" w:rsidRDefault="00B527A7"/>
    <w:p w14:paraId="5BC88CE3" w14:textId="77777777" w:rsidR="00CB5E09" w:rsidRDefault="00CB5E09"/>
    <w:tbl>
      <w:tblPr>
        <w:tblStyle w:val="TableGrid"/>
        <w:tblW w:w="0" w:type="auto"/>
        <w:tblLook w:val="04A0" w:firstRow="1" w:lastRow="0" w:firstColumn="1" w:lastColumn="0" w:noHBand="0" w:noVBand="1"/>
      </w:tblPr>
      <w:tblGrid>
        <w:gridCol w:w="10456"/>
      </w:tblGrid>
      <w:tr w:rsidR="00B527A7" w14:paraId="1F92907C" w14:textId="77777777" w:rsidTr="002A3DCE">
        <w:tc>
          <w:tcPr>
            <w:tcW w:w="10682" w:type="dxa"/>
          </w:tcPr>
          <w:p w14:paraId="37D1C505" w14:textId="77777777" w:rsidR="00B527A7" w:rsidRDefault="00B527A7" w:rsidP="009B09AC">
            <w:r w:rsidRPr="00B527A7">
              <w:rPr>
                <w:b/>
              </w:rPr>
              <w:t>Question</w:t>
            </w:r>
            <w:r w:rsidR="00CB5E09">
              <w:rPr>
                <w:b/>
              </w:rPr>
              <w:t xml:space="preserve"> 4</w:t>
            </w:r>
            <w:r>
              <w:t xml:space="preserve">: </w:t>
            </w:r>
            <w:r w:rsidR="00C21350" w:rsidRPr="009B09AC">
              <w:t>What values/units will the data be expressed in?</w:t>
            </w:r>
          </w:p>
          <w:p w14:paraId="05802185" w14:textId="77777777" w:rsidR="00853F01" w:rsidRDefault="00853F01" w:rsidP="009B09AC"/>
        </w:tc>
      </w:tr>
      <w:tr w:rsidR="00B527A7" w14:paraId="6F7A16D6" w14:textId="77777777" w:rsidTr="002A3DCE">
        <w:tc>
          <w:tcPr>
            <w:tcW w:w="10682" w:type="dxa"/>
          </w:tcPr>
          <w:p w14:paraId="54BD9C1E" w14:textId="77777777" w:rsidR="00B527A7" w:rsidRDefault="00B527A7" w:rsidP="00D8314F">
            <w:r w:rsidRPr="00B527A7">
              <w:rPr>
                <w:b/>
              </w:rPr>
              <w:t>Answer</w:t>
            </w:r>
            <w:r w:rsidR="00CB5E09">
              <w:rPr>
                <w:b/>
              </w:rPr>
              <w:t xml:space="preserve"> 4</w:t>
            </w:r>
            <w:r>
              <w:t>:</w:t>
            </w:r>
            <w:r w:rsidR="00D8314F">
              <w:t xml:space="preserve"> Data is commonly </w:t>
            </w:r>
            <w:r w:rsidR="0060616D">
              <w:t xml:space="preserve">provided </w:t>
            </w:r>
            <w:r w:rsidR="00D8314F">
              <w:t>in the values MBq (</w:t>
            </w:r>
            <w:r w:rsidR="00D8314F" w:rsidRPr="00D8314F">
              <w:t>megabecquerel)</w:t>
            </w:r>
            <w:r w:rsidR="00B5220A">
              <w:t xml:space="preserve">, </w:t>
            </w:r>
            <w:r w:rsidR="00D8314F" w:rsidRPr="00D8314F">
              <w:t>GBq (gigabecquerel)</w:t>
            </w:r>
            <w:r w:rsidR="00B5220A">
              <w:t xml:space="preserve"> and TBq (</w:t>
            </w:r>
            <w:r w:rsidR="00BD7CF6" w:rsidRPr="00BD7CF6">
              <w:t>terabecquerel</w:t>
            </w:r>
            <w:r w:rsidR="00BD7CF6">
              <w:t>)</w:t>
            </w:r>
            <w:r w:rsidR="0060616D">
              <w:t>.</w:t>
            </w:r>
          </w:p>
          <w:p w14:paraId="091B1826" w14:textId="77777777" w:rsidR="00D8314F" w:rsidRDefault="00D8314F" w:rsidP="00D8314F"/>
        </w:tc>
      </w:tr>
    </w:tbl>
    <w:p w14:paraId="39CAEFF3" w14:textId="77777777" w:rsidR="00B527A7" w:rsidRDefault="00B527A7"/>
    <w:p w14:paraId="39641FCF" w14:textId="77777777" w:rsidR="00B527A7" w:rsidRDefault="00B527A7"/>
    <w:tbl>
      <w:tblPr>
        <w:tblStyle w:val="TableGrid"/>
        <w:tblW w:w="0" w:type="auto"/>
        <w:tblLook w:val="04A0" w:firstRow="1" w:lastRow="0" w:firstColumn="1" w:lastColumn="0" w:noHBand="0" w:noVBand="1"/>
      </w:tblPr>
      <w:tblGrid>
        <w:gridCol w:w="10456"/>
      </w:tblGrid>
      <w:tr w:rsidR="00B527A7" w14:paraId="1B7F76B6" w14:textId="77777777" w:rsidTr="002A3DCE">
        <w:tc>
          <w:tcPr>
            <w:tcW w:w="10682" w:type="dxa"/>
          </w:tcPr>
          <w:p w14:paraId="51251C91" w14:textId="77777777" w:rsidR="00B527A7" w:rsidRDefault="00B527A7" w:rsidP="002A3DCE">
            <w:r w:rsidRPr="00B527A7">
              <w:rPr>
                <w:b/>
              </w:rPr>
              <w:t>Question</w:t>
            </w:r>
            <w:r w:rsidR="00CB5E09">
              <w:rPr>
                <w:b/>
              </w:rPr>
              <w:t xml:space="preserve"> 5</w:t>
            </w:r>
            <w:r>
              <w:t xml:space="preserve">: </w:t>
            </w:r>
            <w:r w:rsidR="00C21350" w:rsidRPr="009B09AC">
              <w:t>Is there an historic facility data sheet we can see</w:t>
            </w:r>
            <w:r w:rsidR="00C9799A">
              <w:t xml:space="preserve"> (</w:t>
            </w:r>
            <w:r w:rsidR="00C9799A" w:rsidRPr="00C9799A">
              <w:rPr>
                <w:i/>
              </w:rPr>
              <w:t>meaning a non-nuclear premise’s annual discharge return submitted to an environment agency</w:t>
            </w:r>
            <w:r w:rsidR="00C9799A">
              <w:t>)</w:t>
            </w:r>
            <w:r w:rsidR="00C21350" w:rsidRPr="009B09AC">
              <w:t>?</w:t>
            </w:r>
          </w:p>
          <w:p w14:paraId="17C5D4C0" w14:textId="77777777" w:rsidR="00853F01" w:rsidRDefault="00853F01" w:rsidP="002A3DCE"/>
        </w:tc>
      </w:tr>
      <w:tr w:rsidR="00B527A7" w14:paraId="57B694DA" w14:textId="77777777" w:rsidTr="002A3DCE">
        <w:tc>
          <w:tcPr>
            <w:tcW w:w="10682" w:type="dxa"/>
          </w:tcPr>
          <w:p w14:paraId="03F9D6FF" w14:textId="77777777" w:rsidR="00251028" w:rsidRDefault="00B527A7" w:rsidP="00C9799A">
            <w:r w:rsidRPr="00B527A7">
              <w:rPr>
                <w:b/>
              </w:rPr>
              <w:t>Answer</w:t>
            </w:r>
            <w:r w:rsidR="00CB5E09">
              <w:rPr>
                <w:b/>
              </w:rPr>
              <w:t xml:space="preserve"> 5</w:t>
            </w:r>
            <w:r>
              <w:t>:</w:t>
            </w:r>
            <w:r w:rsidR="00C9799A">
              <w:t xml:space="preserve"> </w:t>
            </w:r>
            <w:r w:rsidR="003672C7">
              <w:t>S</w:t>
            </w:r>
            <w:r w:rsidR="002F4A80">
              <w:t xml:space="preserve">uppliers </w:t>
            </w:r>
            <w:r w:rsidR="003672C7">
              <w:t xml:space="preserve">may view Pollution Inventory guidance and template reporting forms at </w:t>
            </w:r>
            <w:r w:rsidR="00C9799A">
              <w:t xml:space="preserve">the following </w:t>
            </w:r>
            <w:r w:rsidR="00C9799A" w:rsidRPr="000D7C5C">
              <w:lastRenderedPageBreak/>
              <w:t xml:space="preserve">link </w:t>
            </w:r>
            <w:r w:rsidR="00591DA1" w:rsidRPr="000D7C5C">
              <w:t>to</w:t>
            </w:r>
            <w:r w:rsidR="00B5220A">
              <w:t xml:space="preserve"> </w:t>
            </w:r>
            <w:r w:rsidR="000D7C5C">
              <w:t>the Environment Agency (England)</w:t>
            </w:r>
            <w:r w:rsidR="004F5886">
              <w:t xml:space="preserve">. </w:t>
            </w:r>
            <w:r w:rsidR="00B40253">
              <w:t xml:space="preserve"> </w:t>
            </w:r>
          </w:p>
          <w:p w14:paraId="22B9B4ED" w14:textId="77777777" w:rsidR="000D7C5C" w:rsidRDefault="004A3592" w:rsidP="00C9799A">
            <w:hyperlink r:id="rId5" w:anchor="pollution-inventory:-guidance-notes" w:history="1">
              <w:r w:rsidR="000D7C5C" w:rsidRPr="0010644B">
                <w:rPr>
                  <w:rStyle w:val="Hyperlink"/>
                </w:rPr>
                <w:t>https://www.gov.uk/government/collections/pollution-inventory-reporting#pollution-inventory:-guidance-notes</w:t>
              </w:r>
            </w:hyperlink>
          </w:p>
          <w:p w14:paraId="495EBC18" w14:textId="77777777" w:rsidR="00B5220A" w:rsidRDefault="00C9799A" w:rsidP="00C9799A">
            <w:r>
              <w:t xml:space="preserve">  </w:t>
            </w:r>
          </w:p>
          <w:p w14:paraId="5262AFF2" w14:textId="77777777" w:rsidR="00112651" w:rsidRDefault="003D268A" w:rsidP="00112651">
            <w:r>
              <w:t>BEIS encourage suppliers to review OSPAR</w:t>
            </w:r>
            <w:r w:rsidR="00112651">
              <w:t>’s</w:t>
            </w:r>
            <w:r>
              <w:t xml:space="preserve"> published ‘</w:t>
            </w:r>
            <w:r w:rsidRPr="00112651">
              <w:rPr>
                <w:i/>
              </w:rPr>
              <w:t>Annual Report on Discharges of Radioactive Substances from the Non-Nuclear Sector</w:t>
            </w:r>
            <w:r>
              <w:t>’ using the publications search function on the OSPAR website</w:t>
            </w:r>
            <w:r w:rsidR="00112651">
              <w:t xml:space="preserve"> (link below)</w:t>
            </w:r>
            <w:r>
              <w:t xml:space="preserve">. </w:t>
            </w:r>
            <w:r w:rsidR="007226DA">
              <w:t>D</w:t>
            </w:r>
            <w:r w:rsidR="00112651">
              <w:t>ata</w:t>
            </w:r>
            <w:r w:rsidR="007226DA">
              <w:t xml:space="preserve">, </w:t>
            </w:r>
            <w:r>
              <w:t>information</w:t>
            </w:r>
            <w:r w:rsidR="007226DA">
              <w:t xml:space="preserve"> and process </w:t>
            </w:r>
            <w:r w:rsidR="00112651">
              <w:t xml:space="preserve">in these </w:t>
            </w:r>
            <w:r w:rsidR="003672C7">
              <w:t xml:space="preserve">OSPAR </w:t>
            </w:r>
            <w:r w:rsidR="00112651">
              <w:t xml:space="preserve">consolidated reports </w:t>
            </w:r>
            <w:r w:rsidR="007226DA">
              <w:t xml:space="preserve">are </w:t>
            </w:r>
            <w:r w:rsidR="00112651">
              <w:t xml:space="preserve">lifted from the report that </w:t>
            </w:r>
            <w:r w:rsidR="00860480">
              <w:t xml:space="preserve">earlier </w:t>
            </w:r>
            <w:r w:rsidR="00112651">
              <w:t xml:space="preserve">suppliers </w:t>
            </w:r>
            <w:r w:rsidR="00860480">
              <w:t xml:space="preserve">have </w:t>
            </w:r>
            <w:r w:rsidR="00112651">
              <w:t>provide</w:t>
            </w:r>
            <w:r w:rsidR="00860480">
              <w:t>d</w:t>
            </w:r>
            <w:r w:rsidR="00112651">
              <w:t xml:space="preserve"> for BEIS. </w:t>
            </w:r>
          </w:p>
          <w:p w14:paraId="2F04BED7" w14:textId="77777777" w:rsidR="003672C7" w:rsidRDefault="004A3592" w:rsidP="003672C7">
            <w:pPr>
              <w:rPr>
                <w:rFonts w:cs="Arial"/>
              </w:rPr>
            </w:pPr>
            <w:hyperlink r:id="rId6" w:history="1">
              <w:r w:rsidR="003672C7">
                <w:rPr>
                  <w:rStyle w:val="Hyperlink"/>
                  <w:rFonts w:cs="Arial"/>
                </w:rPr>
                <w:t>https://www.ospar.org/work-areas/rsc</w:t>
              </w:r>
            </w:hyperlink>
          </w:p>
          <w:p w14:paraId="641A1578" w14:textId="77777777" w:rsidR="003D268A" w:rsidRDefault="00112651" w:rsidP="00112651">
            <w:r>
              <w:t xml:space="preserve"> </w:t>
            </w:r>
            <w:r w:rsidR="003D268A">
              <w:t xml:space="preserve">    </w:t>
            </w:r>
          </w:p>
        </w:tc>
      </w:tr>
    </w:tbl>
    <w:p w14:paraId="12795D7E" w14:textId="77777777" w:rsidR="00B527A7" w:rsidRDefault="00B527A7"/>
    <w:p w14:paraId="55046CA2" w14:textId="77777777" w:rsidR="00B527A7" w:rsidRDefault="00B527A7"/>
    <w:tbl>
      <w:tblPr>
        <w:tblStyle w:val="TableGrid"/>
        <w:tblW w:w="0" w:type="auto"/>
        <w:tblLook w:val="04A0" w:firstRow="1" w:lastRow="0" w:firstColumn="1" w:lastColumn="0" w:noHBand="0" w:noVBand="1"/>
      </w:tblPr>
      <w:tblGrid>
        <w:gridCol w:w="10456"/>
      </w:tblGrid>
      <w:tr w:rsidR="00B527A7" w14:paraId="10E139C9" w14:textId="77777777" w:rsidTr="002A3DCE">
        <w:tc>
          <w:tcPr>
            <w:tcW w:w="10682" w:type="dxa"/>
          </w:tcPr>
          <w:p w14:paraId="25C87618" w14:textId="77777777" w:rsidR="00B527A7" w:rsidRDefault="00B527A7" w:rsidP="009B09AC">
            <w:r w:rsidRPr="00B527A7">
              <w:rPr>
                <w:b/>
              </w:rPr>
              <w:t>Question</w:t>
            </w:r>
            <w:r w:rsidR="00CB5E09">
              <w:rPr>
                <w:b/>
              </w:rPr>
              <w:t xml:space="preserve"> 6</w:t>
            </w:r>
            <w:r>
              <w:t xml:space="preserve">: </w:t>
            </w:r>
            <w:r w:rsidR="00C21350" w:rsidRPr="009B09AC">
              <w:t>In determining the discharge transit route to the OSPAR regions is marine modelling required by the contractor?</w:t>
            </w:r>
          </w:p>
          <w:p w14:paraId="16673822" w14:textId="77777777" w:rsidR="00CD7874" w:rsidRDefault="00CD7874" w:rsidP="009B09AC"/>
        </w:tc>
      </w:tr>
      <w:tr w:rsidR="00B527A7" w14:paraId="2ACFB535" w14:textId="77777777" w:rsidTr="002A3DCE">
        <w:tc>
          <w:tcPr>
            <w:tcW w:w="10682" w:type="dxa"/>
          </w:tcPr>
          <w:p w14:paraId="2B7287CC" w14:textId="77777777" w:rsidR="00CD7874" w:rsidRDefault="00B527A7" w:rsidP="00CD7874">
            <w:r w:rsidRPr="00CD7874">
              <w:rPr>
                <w:b/>
              </w:rPr>
              <w:t>Answer</w:t>
            </w:r>
            <w:r w:rsidR="00CB5E09">
              <w:rPr>
                <w:b/>
              </w:rPr>
              <w:t xml:space="preserve"> 6</w:t>
            </w:r>
            <w:r w:rsidRPr="00CD7874">
              <w:t>:</w:t>
            </w:r>
            <w:r w:rsidR="00CD7874" w:rsidRPr="00CD7874">
              <w:t xml:space="preserve"> it will be necessary for the </w:t>
            </w:r>
            <w:r w:rsidR="00E13D98">
              <w:t>supplier</w:t>
            </w:r>
            <w:r w:rsidR="00CD7874" w:rsidRPr="00CD7874">
              <w:t xml:space="preserve"> to follow the OSPAR </w:t>
            </w:r>
            <w:r w:rsidR="00CD7874">
              <w:t xml:space="preserve">guidance on </w:t>
            </w:r>
            <w:r w:rsidR="00CD7874" w:rsidRPr="00CD7874">
              <w:t xml:space="preserve">reporting procedures for non-nuclear </w:t>
            </w:r>
            <w:r w:rsidR="00CD7874">
              <w:t>discharges. L</w:t>
            </w:r>
            <w:r w:rsidR="00CD7874" w:rsidRPr="00CD7874">
              <w:t xml:space="preserve">inks to OSPAR guidance and the reporting template </w:t>
            </w:r>
            <w:r w:rsidR="00CD7874">
              <w:t xml:space="preserve">are </w:t>
            </w:r>
            <w:r w:rsidR="00CD7874" w:rsidRPr="00CD7874">
              <w:t>provided</w:t>
            </w:r>
            <w:r w:rsidR="00CD7874">
              <w:t xml:space="preserve"> in the Invitation To Tender. </w:t>
            </w:r>
            <w:r w:rsidR="00CD7874" w:rsidRPr="00CD7874">
              <w:t xml:space="preserve"> BEIS would welcome </w:t>
            </w:r>
            <w:r w:rsidR="00EF0337">
              <w:t xml:space="preserve">suppliers ideas for achieving </w:t>
            </w:r>
            <w:r w:rsidR="00E13D98">
              <w:t xml:space="preserve">an </w:t>
            </w:r>
            <w:r w:rsidR="00EF0337">
              <w:t>effective approach (which maybe a technology based solution</w:t>
            </w:r>
            <w:r w:rsidR="00A22C69">
              <w:t xml:space="preserve">, or maybe alternative </w:t>
            </w:r>
            <w:r w:rsidR="00EF0337">
              <w:t>practical</w:t>
            </w:r>
            <w:r w:rsidR="00A22C69">
              <w:t xml:space="preserve"> or</w:t>
            </w:r>
            <w:r w:rsidR="00EF0337">
              <w:t xml:space="preserve"> innovative </w:t>
            </w:r>
            <w:r w:rsidR="00A22C69">
              <w:t>approaches</w:t>
            </w:r>
            <w:r w:rsidR="00EF0337">
              <w:t xml:space="preserve">). </w:t>
            </w:r>
          </w:p>
          <w:p w14:paraId="63D0644A" w14:textId="77777777" w:rsidR="007226DA" w:rsidRDefault="007226DA" w:rsidP="00CD7874"/>
          <w:p w14:paraId="4CA45A27" w14:textId="77777777" w:rsidR="007226DA" w:rsidRDefault="007226DA" w:rsidP="007226DA">
            <w:r>
              <w:t>Suppliers may also review OSPAR’s published ‘</w:t>
            </w:r>
            <w:r w:rsidRPr="00112651">
              <w:rPr>
                <w:i/>
              </w:rPr>
              <w:t>Annual Report on Discharges of Radioactive Substances from the Non-Nuclear Sector</w:t>
            </w:r>
            <w:r>
              <w:t>’ using the publications search function on the OSPAR website (link below). Data, information and process in these OSPAR consolidated reports are lifted from the report</w:t>
            </w:r>
            <w:r w:rsidR="00860480">
              <w:t>s</w:t>
            </w:r>
            <w:r>
              <w:t xml:space="preserve"> that </w:t>
            </w:r>
            <w:r w:rsidR="00860480">
              <w:t xml:space="preserve">earlier </w:t>
            </w:r>
            <w:r>
              <w:t xml:space="preserve">suppliers </w:t>
            </w:r>
            <w:r w:rsidR="00860480">
              <w:t xml:space="preserve">have </w:t>
            </w:r>
            <w:r>
              <w:t>provide</w:t>
            </w:r>
            <w:r w:rsidR="00860480">
              <w:t>d</w:t>
            </w:r>
            <w:r>
              <w:t xml:space="preserve"> for BEIS. </w:t>
            </w:r>
          </w:p>
          <w:p w14:paraId="582359E4" w14:textId="77777777" w:rsidR="007226DA" w:rsidRPr="007226DA" w:rsidRDefault="004A3592" w:rsidP="00CD7874">
            <w:pPr>
              <w:rPr>
                <w:rFonts w:cs="Arial"/>
              </w:rPr>
            </w:pPr>
            <w:hyperlink r:id="rId7" w:history="1">
              <w:r w:rsidR="007226DA">
                <w:rPr>
                  <w:rStyle w:val="Hyperlink"/>
                  <w:rFonts w:cs="Arial"/>
                </w:rPr>
                <w:t>https://www.ospar.org/work-areas/rsc</w:t>
              </w:r>
            </w:hyperlink>
          </w:p>
          <w:p w14:paraId="5F3C63DB" w14:textId="77777777" w:rsidR="00B527A7" w:rsidRDefault="00B527A7" w:rsidP="002A3DCE"/>
        </w:tc>
      </w:tr>
    </w:tbl>
    <w:p w14:paraId="7D677443" w14:textId="77777777" w:rsidR="00B527A7" w:rsidRDefault="00B527A7"/>
    <w:p w14:paraId="04E42F85" w14:textId="77777777" w:rsidR="00644B3F" w:rsidRDefault="00644B3F"/>
    <w:tbl>
      <w:tblPr>
        <w:tblStyle w:val="TableGrid"/>
        <w:tblW w:w="0" w:type="auto"/>
        <w:tblLook w:val="04A0" w:firstRow="1" w:lastRow="0" w:firstColumn="1" w:lastColumn="0" w:noHBand="0" w:noVBand="1"/>
      </w:tblPr>
      <w:tblGrid>
        <w:gridCol w:w="10456"/>
      </w:tblGrid>
      <w:tr w:rsidR="00B527A7" w14:paraId="3E6FCEF4" w14:textId="77777777" w:rsidTr="002A3DCE">
        <w:tc>
          <w:tcPr>
            <w:tcW w:w="10682" w:type="dxa"/>
          </w:tcPr>
          <w:p w14:paraId="40FFBA7D" w14:textId="77777777" w:rsidR="00B527A7" w:rsidRDefault="00B527A7" w:rsidP="009B09AC">
            <w:r w:rsidRPr="00B527A7">
              <w:rPr>
                <w:b/>
              </w:rPr>
              <w:t>Question</w:t>
            </w:r>
            <w:r w:rsidR="00CB5E09">
              <w:rPr>
                <w:b/>
              </w:rPr>
              <w:t xml:space="preserve"> 7</w:t>
            </w:r>
            <w:r>
              <w:t xml:space="preserve">: </w:t>
            </w:r>
            <w:r w:rsidR="00C21350" w:rsidRPr="009B09AC">
              <w:t>Is there a</w:t>
            </w:r>
            <w:r w:rsidR="00644B3F">
              <w:t>n</w:t>
            </w:r>
            <w:r w:rsidR="00C21350" w:rsidRPr="009B09AC">
              <w:t xml:space="preserve"> historic final report we can see?</w:t>
            </w:r>
          </w:p>
          <w:p w14:paraId="2DA21797" w14:textId="77777777" w:rsidR="00644B3F" w:rsidRDefault="00644B3F" w:rsidP="009B09AC"/>
        </w:tc>
      </w:tr>
      <w:tr w:rsidR="00B527A7" w14:paraId="0350ABD0" w14:textId="77777777" w:rsidTr="002A3DCE">
        <w:tc>
          <w:tcPr>
            <w:tcW w:w="10682" w:type="dxa"/>
          </w:tcPr>
          <w:p w14:paraId="62632AF9" w14:textId="77777777" w:rsidR="00DB0C73" w:rsidRDefault="00B527A7" w:rsidP="00DB0C73">
            <w:r w:rsidRPr="00B527A7">
              <w:rPr>
                <w:b/>
              </w:rPr>
              <w:t>Answer</w:t>
            </w:r>
            <w:r w:rsidR="00CB5E09">
              <w:rPr>
                <w:b/>
              </w:rPr>
              <w:t xml:space="preserve"> 7</w:t>
            </w:r>
            <w:r>
              <w:t>:</w:t>
            </w:r>
            <w:r w:rsidR="00644B3F">
              <w:t xml:space="preserve"> </w:t>
            </w:r>
            <w:r w:rsidR="00DB0C73">
              <w:t>BEIS encourage suppliers to review OSPAR’s published ‘</w:t>
            </w:r>
            <w:r w:rsidR="00DB0C73" w:rsidRPr="00112651">
              <w:rPr>
                <w:i/>
              </w:rPr>
              <w:t>Annual Report on Discharges of Radioactive Substances from the Non-Nuclear Sector</w:t>
            </w:r>
            <w:r w:rsidR="00DB0C73">
              <w:t xml:space="preserve">’ using the publications search function on the OSPAR website (link below). </w:t>
            </w:r>
            <w:r w:rsidR="00860480">
              <w:t>D</w:t>
            </w:r>
            <w:r w:rsidR="00DB0C73">
              <w:t>ata</w:t>
            </w:r>
            <w:r w:rsidR="00860480">
              <w:t xml:space="preserve">, </w:t>
            </w:r>
            <w:r w:rsidR="00DB0C73">
              <w:t>information</w:t>
            </w:r>
            <w:r w:rsidR="00860480">
              <w:t xml:space="preserve"> and process</w:t>
            </w:r>
            <w:r w:rsidR="00DB0C73">
              <w:t xml:space="preserve"> in these OSPAR consolidated reports </w:t>
            </w:r>
            <w:r w:rsidR="00860480">
              <w:t>are</w:t>
            </w:r>
            <w:r w:rsidR="00DB0C73">
              <w:t xml:space="preserve"> lifted from the report</w:t>
            </w:r>
            <w:r w:rsidR="00860480">
              <w:t>s</w:t>
            </w:r>
            <w:r w:rsidR="00DB0C73">
              <w:t xml:space="preserve"> that </w:t>
            </w:r>
            <w:r w:rsidR="00860480">
              <w:t xml:space="preserve">earlier </w:t>
            </w:r>
            <w:r w:rsidR="00DB0C73">
              <w:t xml:space="preserve">suppliers </w:t>
            </w:r>
            <w:r w:rsidR="00860480">
              <w:t xml:space="preserve">have </w:t>
            </w:r>
            <w:r w:rsidR="00DB0C73">
              <w:t>provide</w:t>
            </w:r>
            <w:r w:rsidR="00860480">
              <w:t>d</w:t>
            </w:r>
            <w:r w:rsidR="00DB0C73">
              <w:t xml:space="preserve"> for BEIS. </w:t>
            </w:r>
          </w:p>
          <w:p w14:paraId="1174857A" w14:textId="77777777" w:rsidR="00DB0C73" w:rsidRDefault="004A3592" w:rsidP="00DB0C73">
            <w:pPr>
              <w:rPr>
                <w:rFonts w:cs="Arial"/>
              </w:rPr>
            </w:pPr>
            <w:hyperlink r:id="rId8" w:history="1">
              <w:r w:rsidR="00DB0C73">
                <w:rPr>
                  <w:rStyle w:val="Hyperlink"/>
                  <w:rFonts w:cs="Arial"/>
                </w:rPr>
                <w:t>https://www.ospar.org/work-areas/rsc</w:t>
              </w:r>
            </w:hyperlink>
          </w:p>
          <w:p w14:paraId="3E3145D4" w14:textId="77777777" w:rsidR="00644B3F" w:rsidRDefault="00644B3F" w:rsidP="00644B3F"/>
        </w:tc>
      </w:tr>
    </w:tbl>
    <w:p w14:paraId="48DBFD37" w14:textId="77777777" w:rsidR="00B527A7" w:rsidRDefault="00B527A7"/>
    <w:p w14:paraId="3A8DF8BB" w14:textId="77777777" w:rsidR="00B527A7" w:rsidRDefault="00B527A7"/>
    <w:tbl>
      <w:tblPr>
        <w:tblStyle w:val="TableGrid"/>
        <w:tblW w:w="0" w:type="auto"/>
        <w:tblLook w:val="04A0" w:firstRow="1" w:lastRow="0" w:firstColumn="1" w:lastColumn="0" w:noHBand="0" w:noVBand="1"/>
      </w:tblPr>
      <w:tblGrid>
        <w:gridCol w:w="10456"/>
      </w:tblGrid>
      <w:tr w:rsidR="00B527A7" w14:paraId="6F56E86C" w14:textId="77777777" w:rsidTr="002A3DCE">
        <w:tc>
          <w:tcPr>
            <w:tcW w:w="10682" w:type="dxa"/>
          </w:tcPr>
          <w:p w14:paraId="738BEEEE" w14:textId="77777777" w:rsidR="009B09AC" w:rsidRDefault="00B527A7" w:rsidP="009B09AC">
            <w:r w:rsidRPr="009B09AC">
              <w:rPr>
                <w:b/>
              </w:rPr>
              <w:t>Question</w:t>
            </w:r>
            <w:r w:rsidR="00CB5E09">
              <w:rPr>
                <w:b/>
              </w:rPr>
              <w:t xml:space="preserve"> 8</w:t>
            </w:r>
            <w:r>
              <w:t xml:space="preserve">: </w:t>
            </w:r>
            <w:r w:rsidR="009B09AC">
              <w:t>To identify the approximate amount of data that will need to be analysed and reported to ensure that our commercial offering is accurate please can BEIS provide either an example report from previous years or the following:</w:t>
            </w:r>
          </w:p>
          <w:p w14:paraId="5A5A07DC" w14:textId="77777777" w:rsidR="009B09AC" w:rsidRDefault="009B09AC" w:rsidP="009B09AC">
            <w:pPr>
              <w:pStyle w:val="ListParagraph"/>
              <w:ind w:left="1440" w:hanging="360"/>
            </w:pPr>
            <w:r>
              <w:t>a.</w:t>
            </w:r>
            <w:r>
              <w:rPr>
                <w:sz w:val="14"/>
                <w:szCs w:val="14"/>
              </w:rPr>
              <w:t xml:space="preserve">      </w:t>
            </w:r>
            <w:r>
              <w:t>Approximate number of UK non-nuclear radioactive sources</w:t>
            </w:r>
          </w:p>
          <w:p w14:paraId="4AEC763C" w14:textId="77777777" w:rsidR="009B09AC" w:rsidRDefault="009B09AC" w:rsidP="009B09AC">
            <w:pPr>
              <w:pStyle w:val="ListParagraph"/>
              <w:ind w:left="1440" w:hanging="360"/>
            </w:pPr>
            <w:r>
              <w:t>b.</w:t>
            </w:r>
            <w:r>
              <w:rPr>
                <w:sz w:val="14"/>
                <w:szCs w:val="14"/>
              </w:rPr>
              <w:t xml:space="preserve">      </w:t>
            </w:r>
            <w:r>
              <w:t>Approximate number of monitoring events per source</w:t>
            </w:r>
            <w:r w:rsidR="006B02AD">
              <w:t xml:space="preserve"> (</w:t>
            </w:r>
            <w:r w:rsidR="006B02AD" w:rsidRPr="006B02AD">
              <w:rPr>
                <w:i/>
              </w:rPr>
              <w:t>means the number of non-nuclear discharges in a reporting year from a single premise</w:t>
            </w:r>
            <w:r w:rsidR="006B02AD" w:rsidRPr="006B02AD">
              <w:t>)</w:t>
            </w:r>
          </w:p>
          <w:p w14:paraId="6C80CA8A" w14:textId="77777777" w:rsidR="00B527A7" w:rsidRDefault="009B09AC" w:rsidP="009B09AC">
            <w:pPr>
              <w:pStyle w:val="ListParagraph"/>
              <w:ind w:left="1440" w:hanging="360"/>
            </w:pPr>
            <w:r>
              <w:t>c.</w:t>
            </w:r>
            <w:r>
              <w:rPr>
                <w:sz w:val="14"/>
                <w:szCs w:val="14"/>
              </w:rPr>
              <w:t xml:space="preserve">      </w:t>
            </w:r>
            <w:r>
              <w:t>Approximate number of radioactive elements per reporting event. In accordance with OSAPAR guidance document this is 16 elements</w:t>
            </w:r>
            <w:r w:rsidR="006B02AD">
              <w:t xml:space="preserve"> </w:t>
            </w:r>
            <w:r w:rsidR="006B02AD" w:rsidRPr="006B02AD">
              <w:rPr>
                <w:i/>
              </w:rPr>
              <w:t>(means the radionuclides listed in the OSPAR guidance</w:t>
            </w:r>
            <w:r w:rsidR="006B02AD">
              <w:rPr>
                <w:color w:val="1F497D"/>
              </w:rPr>
              <w:t>)</w:t>
            </w:r>
            <w:r>
              <w:t>?</w:t>
            </w:r>
          </w:p>
          <w:p w14:paraId="23E6FBCF" w14:textId="77777777" w:rsidR="00A22C69" w:rsidRDefault="00A22C69" w:rsidP="009B09AC">
            <w:pPr>
              <w:pStyle w:val="ListParagraph"/>
              <w:ind w:left="1440" w:hanging="360"/>
            </w:pPr>
          </w:p>
        </w:tc>
      </w:tr>
      <w:tr w:rsidR="00B527A7" w14:paraId="2A1BC233" w14:textId="77777777" w:rsidTr="002A3DCE">
        <w:tc>
          <w:tcPr>
            <w:tcW w:w="10682" w:type="dxa"/>
          </w:tcPr>
          <w:p w14:paraId="741F6839" w14:textId="77777777" w:rsidR="00264150" w:rsidRDefault="00B527A7" w:rsidP="002A3DCE">
            <w:r w:rsidRPr="00B527A7">
              <w:rPr>
                <w:b/>
              </w:rPr>
              <w:t>Answer</w:t>
            </w:r>
            <w:r w:rsidR="00CB5E09">
              <w:rPr>
                <w:b/>
              </w:rPr>
              <w:t xml:space="preserve"> 8</w:t>
            </w:r>
            <w:r>
              <w:t>:</w:t>
            </w:r>
            <w:r w:rsidR="00926E12">
              <w:t xml:space="preserve"> </w:t>
            </w:r>
            <w:r w:rsidR="00264150">
              <w:t xml:space="preserve">We are unable to provide an example report. </w:t>
            </w:r>
          </w:p>
          <w:p w14:paraId="73EE4F9C" w14:textId="77777777" w:rsidR="00264150" w:rsidRDefault="00264150" w:rsidP="002A3DCE"/>
          <w:p w14:paraId="18710C16" w14:textId="77777777" w:rsidR="00926E12" w:rsidRDefault="00264150" w:rsidP="002A3DCE">
            <w:r>
              <w:t xml:space="preserve">Suppliers should note that discharges of radioactive substances from the UK non-nuclear sector are subject to change from one year to the next – reflecting perhaps changes in UK activities and business. </w:t>
            </w:r>
            <w:r w:rsidR="00306091">
              <w:t>In accordance with the bullets above:</w:t>
            </w:r>
            <w:r>
              <w:t xml:space="preserve"> </w:t>
            </w:r>
          </w:p>
          <w:p w14:paraId="43E95792" w14:textId="77777777" w:rsidR="00264150" w:rsidRDefault="00264150" w:rsidP="002A3DCE"/>
          <w:p w14:paraId="69D162FD" w14:textId="77777777" w:rsidR="0040624A" w:rsidRDefault="007B77C7" w:rsidP="00306091">
            <w:pPr>
              <w:pStyle w:val="ListParagraph"/>
              <w:numPr>
                <w:ilvl w:val="0"/>
                <w:numId w:val="4"/>
              </w:numPr>
            </w:pPr>
            <w:r>
              <w:t xml:space="preserve">Suppliers will gather data </w:t>
            </w:r>
            <w:r w:rsidR="000B7AF9">
              <w:t xml:space="preserve">from </w:t>
            </w:r>
            <w:r w:rsidR="000B7AF9" w:rsidRPr="000B7AF9">
              <w:t>the annual returns of authorised non</w:t>
            </w:r>
            <w:r w:rsidR="000B7AF9">
              <w:t>-n</w:t>
            </w:r>
            <w:r w:rsidR="000B7AF9" w:rsidRPr="000B7AF9">
              <w:t>uclear premises to the environment agencies within the UK (approximately 1200 premises)</w:t>
            </w:r>
            <w:r w:rsidR="000B7AF9">
              <w:t>. However suppliers will gather this data from</w:t>
            </w:r>
            <w:r w:rsidR="00037797">
              <w:t xml:space="preserve"> the following central points</w:t>
            </w:r>
            <w:r w:rsidR="0040624A">
              <w:t>:</w:t>
            </w:r>
          </w:p>
          <w:p w14:paraId="20CF73C8" w14:textId="77777777" w:rsidR="0040624A" w:rsidRDefault="0040624A" w:rsidP="00306091">
            <w:pPr>
              <w:pStyle w:val="ListParagraph"/>
              <w:numPr>
                <w:ilvl w:val="2"/>
                <w:numId w:val="2"/>
              </w:numPr>
            </w:pPr>
            <w:r w:rsidRPr="0040624A">
              <w:t>Environment Agency (for England)</w:t>
            </w:r>
          </w:p>
          <w:p w14:paraId="51997A66" w14:textId="77777777" w:rsidR="0040624A" w:rsidRDefault="0040624A" w:rsidP="00306091">
            <w:pPr>
              <w:pStyle w:val="ListParagraph"/>
              <w:numPr>
                <w:ilvl w:val="2"/>
                <w:numId w:val="2"/>
              </w:numPr>
            </w:pPr>
            <w:r w:rsidRPr="0040624A">
              <w:t>Natural Resources Wales (for Wales)</w:t>
            </w:r>
          </w:p>
          <w:p w14:paraId="07F9847C" w14:textId="77777777" w:rsidR="0040624A" w:rsidRDefault="0040624A" w:rsidP="00306091">
            <w:pPr>
              <w:pStyle w:val="ListParagraph"/>
              <w:numPr>
                <w:ilvl w:val="2"/>
                <w:numId w:val="2"/>
              </w:numPr>
            </w:pPr>
            <w:r w:rsidRPr="0040624A">
              <w:lastRenderedPageBreak/>
              <w:t>Northern Ireland Environment Agency (for Northern Ireland)</w:t>
            </w:r>
          </w:p>
          <w:p w14:paraId="0A5C2BF8" w14:textId="77777777" w:rsidR="0040624A" w:rsidRDefault="00D23C15" w:rsidP="00306091">
            <w:pPr>
              <w:pStyle w:val="ListParagraph"/>
              <w:numPr>
                <w:ilvl w:val="2"/>
                <w:numId w:val="2"/>
              </w:numPr>
            </w:pPr>
            <w:r w:rsidRPr="00D23C15">
              <w:t>Scottish Environment Protection Agency</w:t>
            </w:r>
            <w:r>
              <w:rPr>
                <w:sz w:val="20"/>
                <w:szCs w:val="20"/>
                <w:lang w:val="en"/>
              </w:rPr>
              <w:t xml:space="preserve"> </w:t>
            </w:r>
            <w:r w:rsidR="0040624A" w:rsidRPr="0040624A">
              <w:t>(for Scotland)</w:t>
            </w:r>
          </w:p>
          <w:p w14:paraId="0D0F6EF0" w14:textId="77777777" w:rsidR="000B7AF9" w:rsidRDefault="0040624A" w:rsidP="00306091">
            <w:pPr>
              <w:pStyle w:val="ListParagraph"/>
              <w:numPr>
                <w:ilvl w:val="2"/>
                <w:numId w:val="2"/>
              </w:numPr>
            </w:pPr>
            <w:r w:rsidRPr="0040624A">
              <w:t>Information will also be provided from the Department for Business, Energy and Industrial</w:t>
            </w:r>
            <w:r>
              <w:t xml:space="preserve"> </w:t>
            </w:r>
            <w:r w:rsidRPr="0040624A">
              <w:t xml:space="preserve">Strategy </w:t>
            </w:r>
            <w:r>
              <w:t>(BEIS) for oil and gas industry</w:t>
            </w:r>
          </w:p>
          <w:p w14:paraId="241F9640" w14:textId="77777777" w:rsidR="0040624A" w:rsidRDefault="0040624A" w:rsidP="0040624A">
            <w:pPr>
              <w:widowControl/>
              <w:overflowPunct/>
              <w:textAlignment w:val="auto"/>
            </w:pPr>
          </w:p>
          <w:p w14:paraId="6AD3DD67" w14:textId="77777777" w:rsidR="00264150" w:rsidRPr="00BA15A8" w:rsidRDefault="00306091" w:rsidP="00306091">
            <w:pPr>
              <w:pStyle w:val="ListParagraph"/>
              <w:numPr>
                <w:ilvl w:val="0"/>
                <w:numId w:val="4"/>
              </w:numPr>
            </w:pPr>
            <w:r w:rsidRPr="00BA15A8">
              <w:t xml:space="preserve">OSPAR does not require information about the number of </w:t>
            </w:r>
            <w:r w:rsidR="006B02AD">
              <w:t>‘</w:t>
            </w:r>
            <w:r w:rsidRPr="00BA15A8">
              <w:t>monitoring events per source</w:t>
            </w:r>
            <w:r w:rsidR="006B02AD">
              <w:t>’</w:t>
            </w:r>
            <w:r w:rsidRPr="00BA15A8">
              <w:t xml:space="preserve">. OSPAR requires the annual quantity of discharge released and this information is provided upon request of the data from the environment agencies within the UK. </w:t>
            </w:r>
          </w:p>
          <w:p w14:paraId="5CE1B58C" w14:textId="77777777" w:rsidR="000B7AF9" w:rsidRDefault="000B7AF9" w:rsidP="000B7AF9"/>
          <w:p w14:paraId="59FEA2E2" w14:textId="77777777" w:rsidR="00D23C15" w:rsidRPr="00D23C15" w:rsidRDefault="00D23C15" w:rsidP="005A75AC">
            <w:pPr>
              <w:pStyle w:val="ListParagraph"/>
              <w:numPr>
                <w:ilvl w:val="0"/>
                <w:numId w:val="4"/>
              </w:numPr>
              <w:rPr>
                <w:rFonts w:cs="Mangal"/>
                <w:sz w:val="22"/>
                <w:szCs w:val="22"/>
              </w:rPr>
            </w:pPr>
            <w:r w:rsidRPr="00D23C15">
              <w:rPr>
                <w:rFonts w:cs="Mangal"/>
                <w:sz w:val="22"/>
                <w:szCs w:val="22"/>
              </w:rPr>
              <w:t>OSPAR</w:t>
            </w:r>
            <w:r>
              <w:t>’s non-nuclear reporting covers</w:t>
            </w:r>
            <w:r w:rsidR="006B02AD">
              <w:t xml:space="preserve"> the following radionuclides. Accounting for duplications there are less than 16</w:t>
            </w:r>
            <w:r>
              <w:t>:</w:t>
            </w:r>
          </w:p>
          <w:p w14:paraId="18BBAEF1" w14:textId="77777777" w:rsidR="00D23C15" w:rsidRPr="00D23C15" w:rsidRDefault="00D23C15" w:rsidP="005A75AC">
            <w:pPr>
              <w:pStyle w:val="ListParagraph"/>
              <w:numPr>
                <w:ilvl w:val="2"/>
                <w:numId w:val="2"/>
              </w:numPr>
            </w:pPr>
            <w:r w:rsidRPr="00D23C15">
              <w:t>the oil &amp; gas sector, the medical sector (I-131);</w:t>
            </w:r>
          </w:p>
          <w:p w14:paraId="73330A2C" w14:textId="77777777" w:rsidR="00D23C15" w:rsidRPr="00D23C15" w:rsidRDefault="00D23C15" w:rsidP="005A75AC">
            <w:pPr>
              <w:pStyle w:val="ListParagraph"/>
              <w:numPr>
                <w:ilvl w:val="2"/>
                <w:numId w:val="2"/>
              </w:numPr>
            </w:pPr>
            <w:r w:rsidRPr="00D23C15">
              <w:t>universities and research centres (H-3, C-14, P-32, S-35, Cr-51, I-125);</w:t>
            </w:r>
          </w:p>
          <w:p w14:paraId="081A23C9" w14:textId="77777777" w:rsidR="00D23C15" w:rsidRPr="00D23C15" w:rsidRDefault="00D23C15" w:rsidP="005A75AC">
            <w:pPr>
              <w:pStyle w:val="ListParagraph"/>
              <w:numPr>
                <w:ilvl w:val="2"/>
                <w:numId w:val="2"/>
              </w:numPr>
            </w:pPr>
            <w:r w:rsidRPr="00D23C15">
              <w:t>the phosphate industry (Pb-210, Po-210, Ra-226);</w:t>
            </w:r>
          </w:p>
          <w:p w14:paraId="6DDB9BC6" w14:textId="77777777" w:rsidR="00D23C15" w:rsidRPr="00D23C15" w:rsidRDefault="00D23C15" w:rsidP="005A75AC">
            <w:pPr>
              <w:pStyle w:val="ListParagraph"/>
              <w:numPr>
                <w:ilvl w:val="2"/>
                <w:numId w:val="2"/>
              </w:numPr>
            </w:pPr>
            <w:r w:rsidRPr="00D23C15">
              <w:t>titanium dioxide pigment manufactures (Pb-210, Po-210, Ra-226, Ra-228);</w:t>
            </w:r>
          </w:p>
          <w:p w14:paraId="1CF3FF41" w14:textId="77777777" w:rsidR="00D23C15" w:rsidRPr="00D23C15" w:rsidRDefault="00D23C15" w:rsidP="005A75AC">
            <w:pPr>
              <w:pStyle w:val="ListParagraph"/>
              <w:numPr>
                <w:ilvl w:val="2"/>
                <w:numId w:val="2"/>
              </w:numPr>
            </w:pPr>
            <w:r w:rsidRPr="00D23C15">
              <w:t>primary steel manufacture (Pb-210, Po-210);</w:t>
            </w:r>
          </w:p>
          <w:p w14:paraId="5794320F" w14:textId="77777777" w:rsidR="00D23C15" w:rsidRDefault="00D23C15" w:rsidP="002A3DCE">
            <w:pPr>
              <w:pStyle w:val="ListParagraph"/>
              <w:numPr>
                <w:ilvl w:val="2"/>
                <w:numId w:val="2"/>
              </w:numPr>
            </w:pPr>
            <w:r w:rsidRPr="00D23C15">
              <w:t>radiochemical production (H-3, C-14, S-35, Cr-51, I-125, Pb-2</w:t>
            </w:r>
            <w:r w:rsidR="00D374CD">
              <w:t>10, Po 210)</w:t>
            </w:r>
          </w:p>
          <w:p w14:paraId="6B51544B" w14:textId="77777777" w:rsidR="00926E12" w:rsidRDefault="00926E12" w:rsidP="002A3DCE"/>
        </w:tc>
      </w:tr>
    </w:tbl>
    <w:p w14:paraId="05F5E93C" w14:textId="77777777" w:rsidR="00B527A7" w:rsidRDefault="00B527A7"/>
    <w:p w14:paraId="460159F2" w14:textId="77777777" w:rsidR="00B527A7" w:rsidRDefault="00B527A7"/>
    <w:tbl>
      <w:tblPr>
        <w:tblStyle w:val="TableGrid"/>
        <w:tblW w:w="0" w:type="auto"/>
        <w:tblLook w:val="04A0" w:firstRow="1" w:lastRow="0" w:firstColumn="1" w:lastColumn="0" w:noHBand="0" w:noVBand="1"/>
      </w:tblPr>
      <w:tblGrid>
        <w:gridCol w:w="10456"/>
      </w:tblGrid>
      <w:tr w:rsidR="00B527A7" w14:paraId="44E7F4E7" w14:textId="77777777" w:rsidTr="002A3DCE">
        <w:tc>
          <w:tcPr>
            <w:tcW w:w="10682" w:type="dxa"/>
          </w:tcPr>
          <w:p w14:paraId="3CE466C4" w14:textId="77777777" w:rsidR="00B527A7" w:rsidRDefault="00B527A7" w:rsidP="009B09AC">
            <w:r w:rsidRPr="009B09AC">
              <w:rPr>
                <w:b/>
              </w:rPr>
              <w:t>Question</w:t>
            </w:r>
            <w:r w:rsidR="00CB5E09">
              <w:rPr>
                <w:b/>
              </w:rPr>
              <w:t xml:space="preserve"> 9</w:t>
            </w:r>
            <w:r>
              <w:t xml:space="preserve">: </w:t>
            </w:r>
            <w:r w:rsidR="009B09AC">
              <w:t>Confirm that the contract/ project management plan is to be developed and submitted as part of the contractor proposal?</w:t>
            </w:r>
          </w:p>
          <w:p w14:paraId="21473C7B" w14:textId="77777777" w:rsidR="0083030B" w:rsidRDefault="0083030B" w:rsidP="009B09AC"/>
        </w:tc>
      </w:tr>
      <w:tr w:rsidR="00B527A7" w14:paraId="37D0D249" w14:textId="77777777" w:rsidTr="002A3DCE">
        <w:tc>
          <w:tcPr>
            <w:tcW w:w="10682" w:type="dxa"/>
          </w:tcPr>
          <w:p w14:paraId="11AB20EE" w14:textId="77777777" w:rsidR="00B527A7" w:rsidRDefault="00B527A7" w:rsidP="0083030B">
            <w:pPr>
              <w:rPr>
                <w:rFonts w:cs="Arial"/>
                <w:sz w:val="24"/>
                <w:szCs w:val="24"/>
              </w:rPr>
            </w:pPr>
            <w:r w:rsidRPr="00B527A7">
              <w:rPr>
                <w:b/>
              </w:rPr>
              <w:t>Answer</w:t>
            </w:r>
            <w:r w:rsidR="00CB5E09">
              <w:rPr>
                <w:b/>
              </w:rPr>
              <w:t xml:space="preserve"> 9</w:t>
            </w:r>
            <w:r>
              <w:t>:</w:t>
            </w:r>
            <w:r w:rsidR="00CA1859">
              <w:t xml:space="preserve"> </w:t>
            </w:r>
            <w:r w:rsidR="0083030B">
              <w:rPr>
                <w:rFonts w:cs="Arial"/>
                <w:sz w:val="24"/>
                <w:szCs w:val="24"/>
              </w:rPr>
              <w:t xml:space="preserve">Suppliers </w:t>
            </w:r>
            <w:r w:rsidR="00CA1859" w:rsidRPr="009F1004">
              <w:rPr>
                <w:rFonts w:cs="Arial"/>
                <w:sz w:val="24"/>
                <w:szCs w:val="24"/>
              </w:rPr>
              <w:t xml:space="preserve">will </w:t>
            </w:r>
            <w:r w:rsidR="0083030B">
              <w:rPr>
                <w:rFonts w:cs="Arial"/>
                <w:sz w:val="24"/>
                <w:szCs w:val="24"/>
              </w:rPr>
              <w:t xml:space="preserve">need to </w:t>
            </w:r>
            <w:r w:rsidR="00CA1859" w:rsidRPr="009F1004">
              <w:rPr>
                <w:rFonts w:cs="Arial"/>
                <w:sz w:val="24"/>
                <w:szCs w:val="24"/>
              </w:rPr>
              <w:t xml:space="preserve">provide a proposed Contract/Project management plan </w:t>
            </w:r>
            <w:r w:rsidR="0083030B">
              <w:rPr>
                <w:rFonts w:cs="Arial"/>
                <w:sz w:val="24"/>
                <w:szCs w:val="24"/>
              </w:rPr>
              <w:t>(</w:t>
            </w:r>
            <w:r w:rsidR="00CA1859" w:rsidRPr="009F1004">
              <w:rPr>
                <w:rFonts w:cs="Arial"/>
                <w:sz w:val="24"/>
                <w:szCs w:val="24"/>
              </w:rPr>
              <w:t>against which progress and expectations can be monitored</w:t>
            </w:r>
            <w:r w:rsidR="0083030B">
              <w:rPr>
                <w:rFonts w:cs="Arial"/>
                <w:sz w:val="24"/>
                <w:szCs w:val="24"/>
              </w:rPr>
              <w:t>) as part of their bid response</w:t>
            </w:r>
            <w:r w:rsidR="00CA1859" w:rsidRPr="009F1004">
              <w:rPr>
                <w:rFonts w:cs="Arial"/>
                <w:sz w:val="24"/>
                <w:szCs w:val="24"/>
              </w:rPr>
              <w:t>.</w:t>
            </w:r>
            <w:r w:rsidR="0083030B">
              <w:rPr>
                <w:rFonts w:cs="Arial"/>
                <w:sz w:val="24"/>
                <w:szCs w:val="24"/>
              </w:rPr>
              <w:t xml:space="preserve"> </w:t>
            </w:r>
          </w:p>
          <w:p w14:paraId="6D1B0A39" w14:textId="77777777" w:rsidR="0083030B" w:rsidRDefault="0083030B" w:rsidP="0083030B">
            <w:pPr>
              <w:rPr>
                <w:rFonts w:cs="Arial"/>
                <w:sz w:val="24"/>
                <w:szCs w:val="24"/>
              </w:rPr>
            </w:pPr>
          </w:p>
          <w:p w14:paraId="41641CA6" w14:textId="77777777" w:rsidR="0083030B" w:rsidRPr="0083030B" w:rsidRDefault="0083030B" w:rsidP="0083030B">
            <w:r w:rsidRPr="0083030B">
              <w:t xml:space="preserve">Once the supplier is appointed the proposed management plan will be refined and agreed at the initial meeting with input from the BEIS project manager. </w:t>
            </w:r>
          </w:p>
          <w:p w14:paraId="38ABF488" w14:textId="77777777" w:rsidR="0083030B" w:rsidRDefault="0083030B" w:rsidP="0083030B"/>
        </w:tc>
      </w:tr>
    </w:tbl>
    <w:p w14:paraId="611FFBEE" w14:textId="77777777" w:rsidR="00B527A7" w:rsidRDefault="00B527A7"/>
    <w:p w14:paraId="2310C942" w14:textId="77777777" w:rsidR="00B527A7" w:rsidRDefault="00B527A7"/>
    <w:tbl>
      <w:tblPr>
        <w:tblStyle w:val="TableGrid"/>
        <w:tblW w:w="0" w:type="auto"/>
        <w:tblLook w:val="04A0" w:firstRow="1" w:lastRow="0" w:firstColumn="1" w:lastColumn="0" w:noHBand="0" w:noVBand="1"/>
      </w:tblPr>
      <w:tblGrid>
        <w:gridCol w:w="10456"/>
      </w:tblGrid>
      <w:tr w:rsidR="009B09AC" w14:paraId="3C63AF84" w14:textId="77777777" w:rsidTr="002A3DCE">
        <w:tc>
          <w:tcPr>
            <w:tcW w:w="10682" w:type="dxa"/>
          </w:tcPr>
          <w:p w14:paraId="56059CC0" w14:textId="77777777" w:rsidR="009B09AC" w:rsidRDefault="009B09AC" w:rsidP="009B09AC">
            <w:r w:rsidRPr="00B527A7">
              <w:rPr>
                <w:b/>
              </w:rPr>
              <w:t>Question</w:t>
            </w:r>
            <w:r w:rsidR="00CB5E09">
              <w:rPr>
                <w:b/>
              </w:rPr>
              <w:t xml:space="preserve"> 10</w:t>
            </w:r>
            <w:r>
              <w:t>: Confirm the budget allocated of £31,000 is per year of contract or covers the entire 3 year contract offered?</w:t>
            </w:r>
          </w:p>
          <w:p w14:paraId="305B5F4C" w14:textId="77777777" w:rsidR="0083030B" w:rsidRDefault="0083030B" w:rsidP="009B09AC"/>
        </w:tc>
      </w:tr>
      <w:tr w:rsidR="009B09AC" w14:paraId="772BCB37" w14:textId="77777777" w:rsidTr="002A3DCE">
        <w:tc>
          <w:tcPr>
            <w:tcW w:w="10682" w:type="dxa"/>
          </w:tcPr>
          <w:p w14:paraId="57512AAD" w14:textId="77777777" w:rsidR="00295ED3" w:rsidRDefault="009B09AC" w:rsidP="00295ED3">
            <w:r w:rsidRPr="00B629E5">
              <w:rPr>
                <w:b/>
              </w:rPr>
              <w:t>Answer</w:t>
            </w:r>
            <w:r w:rsidR="00CB5E09">
              <w:rPr>
                <w:b/>
              </w:rPr>
              <w:t xml:space="preserve"> 10</w:t>
            </w:r>
            <w:r>
              <w:t>:</w:t>
            </w:r>
            <w:r w:rsidR="00D461A1">
              <w:t xml:space="preserve"> The allocated budget of £31,000 (exc VAT) is for the entire period of the proposed contract</w:t>
            </w:r>
            <w:r w:rsidR="00295ED3">
              <w:t xml:space="preserve"> and is not for each year of the contract</w:t>
            </w:r>
            <w:r w:rsidR="00D461A1">
              <w:t xml:space="preserve">. </w:t>
            </w:r>
          </w:p>
          <w:p w14:paraId="5FDF12E0" w14:textId="77777777" w:rsidR="00295ED3" w:rsidRDefault="00295ED3" w:rsidP="00295ED3"/>
          <w:p w14:paraId="0BE40806" w14:textId="77777777" w:rsidR="00295ED3" w:rsidRDefault="00D461A1" w:rsidP="00295ED3">
            <w:r>
              <w:t xml:space="preserve">The </w:t>
            </w:r>
            <w:r w:rsidR="00295ED3">
              <w:t xml:space="preserve">proposed </w:t>
            </w:r>
            <w:r>
              <w:t>contract is for 3+1 years</w:t>
            </w:r>
            <w:r w:rsidR="00295ED3">
              <w:t xml:space="preserve"> commencing this year (2018), and ending in October 2021</w:t>
            </w:r>
            <w:r>
              <w:t>.</w:t>
            </w:r>
            <w:r w:rsidR="00295ED3">
              <w:t xml:space="preserve"> The successful supplier will be responsible for providing the non-nuclear radioactive discharges report for OSPAR for four separate years.</w:t>
            </w:r>
          </w:p>
          <w:p w14:paraId="46149031" w14:textId="77777777" w:rsidR="00295ED3" w:rsidRDefault="00295ED3" w:rsidP="00295ED3"/>
          <w:p w14:paraId="1DEC829E" w14:textId="77777777" w:rsidR="00295ED3" w:rsidRDefault="00B629E5" w:rsidP="00295ED3">
            <w:r w:rsidRPr="00B629E5">
              <w:t>However, because of Government budgets and spending review periods we cannot currently guarantee funding will be available for year</w:t>
            </w:r>
            <w:r w:rsidR="006F67D5">
              <w:t>s</w:t>
            </w:r>
            <w:r w:rsidRPr="00B629E5">
              <w:t xml:space="preserve"> 3</w:t>
            </w:r>
            <w:r w:rsidR="006F67D5">
              <w:t xml:space="preserve"> and 4. W</w:t>
            </w:r>
            <w:r w:rsidRPr="00B629E5">
              <w:t>e are looking for bids to price for the 3</w:t>
            </w:r>
            <w:r>
              <w:t>+1</w:t>
            </w:r>
            <w:r w:rsidRPr="00B629E5">
              <w:t xml:space="preserve"> years under the knowledge that </w:t>
            </w:r>
            <w:r w:rsidR="00860480">
              <w:t xml:space="preserve">the project </w:t>
            </w:r>
            <w:r w:rsidRPr="00B629E5">
              <w:t xml:space="preserve">may only </w:t>
            </w:r>
            <w:r w:rsidR="006F67D5">
              <w:t xml:space="preserve">run </w:t>
            </w:r>
            <w:r w:rsidRPr="00B629E5">
              <w:t>for 2 years.</w:t>
            </w:r>
          </w:p>
          <w:p w14:paraId="155BA092" w14:textId="77777777" w:rsidR="009B09AC" w:rsidRDefault="00295ED3" w:rsidP="00295ED3">
            <w:r>
              <w:t xml:space="preserve"> </w:t>
            </w:r>
            <w:r w:rsidR="00D461A1">
              <w:t xml:space="preserve">  </w:t>
            </w:r>
            <w:bookmarkStart w:id="0" w:name="_GoBack"/>
            <w:bookmarkEnd w:id="0"/>
          </w:p>
        </w:tc>
      </w:tr>
    </w:tbl>
    <w:p w14:paraId="661FF670" w14:textId="77777777" w:rsidR="009B09AC" w:rsidRDefault="009B09AC"/>
    <w:p w14:paraId="733E1175" w14:textId="77777777" w:rsidR="00B527A7" w:rsidRDefault="00B527A7"/>
    <w:p w14:paraId="2F30AF7D" w14:textId="77777777" w:rsidR="00010F14" w:rsidRDefault="00010F14"/>
    <w:p w14:paraId="79C91D28" w14:textId="77777777" w:rsidR="00010F14" w:rsidRDefault="00010F14"/>
    <w:p w14:paraId="33708410" w14:textId="77777777" w:rsidR="00010F14" w:rsidRDefault="00010F14"/>
    <w:p w14:paraId="7E872F74" w14:textId="77777777" w:rsidR="00010F14" w:rsidRDefault="00010F14"/>
    <w:p w14:paraId="23346696" w14:textId="77777777" w:rsidR="00010F14" w:rsidRDefault="00010F14"/>
    <w:p w14:paraId="2C503C45" w14:textId="77777777" w:rsidR="00010F14" w:rsidRDefault="00010F14"/>
    <w:p w14:paraId="1D24EA40" w14:textId="77777777" w:rsidR="00010F14" w:rsidRDefault="00010F14"/>
    <w:p w14:paraId="2C3B6228" w14:textId="77777777" w:rsidR="00010F14" w:rsidRDefault="00010F14"/>
    <w:p w14:paraId="7D316840" w14:textId="77777777" w:rsidR="00010F14" w:rsidRDefault="00010F14"/>
    <w:p w14:paraId="6B7969A4" w14:textId="77777777" w:rsidR="00010F14" w:rsidRDefault="00010F14"/>
    <w:p w14:paraId="2BD6A54D" w14:textId="77777777" w:rsidR="00010F14" w:rsidRDefault="00010F14"/>
    <w:p w14:paraId="64904407" w14:textId="77777777" w:rsidR="00010F14" w:rsidRDefault="00010F14"/>
    <w:p w14:paraId="0D8E9E35" w14:textId="77777777" w:rsidR="00010F14" w:rsidRDefault="00010F14"/>
    <w:p w14:paraId="33580CAE" w14:textId="77777777" w:rsidR="00010F14" w:rsidRDefault="00010F14"/>
    <w:p w14:paraId="53EB363E" w14:textId="77777777" w:rsidR="00010F14" w:rsidRDefault="00010F14"/>
    <w:p w14:paraId="018CC9DC" w14:textId="77777777" w:rsidR="00010F14" w:rsidRDefault="00010F14"/>
    <w:p w14:paraId="1128AE87" w14:textId="77777777" w:rsidR="00010F14" w:rsidRDefault="00010F14"/>
    <w:p w14:paraId="60BC2DF6" w14:textId="77777777" w:rsidR="00010F14" w:rsidRDefault="00010F14"/>
    <w:p w14:paraId="2E3C0F32" w14:textId="77777777" w:rsidR="00010F14" w:rsidRDefault="00010F14"/>
    <w:p w14:paraId="511FC4A2" w14:textId="77777777" w:rsidR="00010F14" w:rsidRDefault="00010F14">
      <w:r>
        <w:t>Table 1</w:t>
      </w:r>
    </w:p>
    <w:p w14:paraId="4AC76207" w14:textId="77777777" w:rsidR="00010F14" w:rsidRDefault="00010F14"/>
    <w:tbl>
      <w:tblPr>
        <w:tblStyle w:val="TableGrid"/>
        <w:tblW w:w="0" w:type="auto"/>
        <w:tblLook w:val="04A0" w:firstRow="1" w:lastRow="0" w:firstColumn="1" w:lastColumn="0" w:noHBand="0" w:noVBand="1"/>
      </w:tblPr>
      <w:tblGrid>
        <w:gridCol w:w="2142"/>
        <w:gridCol w:w="2113"/>
        <w:gridCol w:w="2113"/>
        <w:gridCol w:w="1975"/>
        <w:gridCol w:w="2113"/>
      </w:tblGrid>
      <w:tr w:rsidR="00010F14" w:rsidRPr="000E28AC" w14:paraId="0E7F98E7" w14:textId="77777777" w:rsidTr="002A3DCE">
        <w:tc>
          <w:tcPr>
            <w:tcW w:w="3122" w:type="dxa"/>
          </w:tcPr>
          <w:p w14:paraId="5E0884F3" w14:textId="77777777" w:rsidR="00010F14" w:rsidRPr="000E28AC" w:rsidRDefault="00010F14" w:rsidP="002A3DCE">
            <w:pPr>
              <w:contextualSpacing/>
              <w:rPr>
                <w:rFonts w:cs="Arial"/>
                <w:sz w:val="24"/>
                <w:szCs w:val="24"/>
              </w:rPr>
            </w:pPr>
            <w:r w:rsidRPr="000E28AC">
              <w:rPr>
                <w:rFonts w:cs="Arial"/>
                <w:sz w:val="24"/>
                <w:szCs w:val="24"/>
              </w:rPr>
              <w:t xml:space="preserve">Sectors </w:t>
            </w:r>
          </w:p>
        </w:tc>
        <w:tc>
          <w:tcPr>
            <w:tcW w:w="3123" w:type="dxa"/>
          </w:tcPr>
          <w:p w14:paraId="07E15963" w14:textId="77777777" w:rsidR="00010F14" w:rsidRPr="000E28AC" w:rsidRDefault="00010F14" w:rsidP="002A3DCE">
            <w:pPr>
              <w:contextualSpacing/>
              <w:rPr>
                <w:rFonts w:cs="Arial"/>
                <w:sz w:val="24"/>
                <w:szCs w:val="24"/>
              </w:rPr>
            </w:pPr>
            <w:r w:rsidRPr="000E28AC">
              <w:rPr>
                <w:rFonts w:cs="Arial"/>
                <w:sz w:val="24"/>
                <w:szCs w:val="24"/>
              </w:rPr>
              <w:t>England</w:t>
            </w:r>
          </w:p>
        </w:tc>
        <w:tc>
          <w:tcPr>
            <w:tcW w:w="3123" w:type="dxa"/>
          </w:tcPr>
          <w:p w14:paraId="6B2EEF26" w14:textId="77777777" w:rsidR="00010F14" w:rsidRPr="000E28AC" w:rsidRDefault="00010F14" w:rsidP="002A3DCE">
            <w:pPr>
              <w:contextualSpacing/>
              <w:rPr>
                <w:rFonts w:cs="Arial"/>
                <w:sz w:val="24"/>
                <w:szCs w:val="24"/>
              </w:rPr>
            </w:pPr>
            <w:r w:rsidRPr="000E28AC">
              <w:rPr>
                <w:rFonts w:cs="Arial"/>
                <w:sz w:val="24"/>
                <w:szCs w:val="24"/>
              </w:rPr>
              <w:t>Wales</w:t>
            </w:r>
          </w:p>
        </w:tc>
        <w:tc>
          <w:tcPr>
            <w:tcW w:w="3123" w:type="dxa"/>
          </w:tcPr>
          <w:p w14:paraId="029969E3" w14:textId="77777777" w:rsidR="00010F14" w:rsidRPr="000E28AC" w:rsidRDefault="00010F14" w:rsidP="002A3DCE">
            <w:pPr>
              <w:contextualSpacing/>
              <w:rPr>
                <w:rFonts w:cs="Arial"/>
                <w:sz w:val="24"/>
                <w:szCs w:val="24"/>
              </w:rPr>
            </w:pPr>
            <w:r w:rsidRPr="000E28AC">
              <w:rPr>
                <w:rFonts w:cs="Arial"/>
                <w:sz w:val="24"/>
                <w:szCs w:val="24"/>
              </w:rPr>
              <w:t>Scotland</w:t>
            </w:r>
          </w:p>
        </w:tc>
        <w:tc>
          <w:tcPr>
            <w:tcW w:w="3123" w:type="dxa"/>
          </w:tcPr>
          <w:p w14:paraId="527FDE4A" w14:textId="77777777" w:rsidR="00010F14" w:rsidRPr="000E28AC" w:rsidRDefault="00010F14" w:rsidP="002A3DCE">
            <w:pPr>
              <w:contextualSpacing/>
              <w:rPr>
                <w:rFonts w:cs="Arial"/>
                <w:sz w:val="24"/>
                <w:szCs w:val="24"/>
              </w:rPr>
            </w:pPr>
            <w:r w:rsidRPr="000E28AC">
              <w:rPr>
                <w:rFonts w:cs="Arial"/>
                <w:sz w:val="24"/>
                <w:szCs w:val="24"/>
              </w:rPr>
              <w:t>N Ireland</w:t>
            </w:r>
          </w:p>
        </w:tc>
      </w:tr>
      <w:tr w:rsidR="00010F14" w:rsidRPr="000E28AC" w14:paraId="288AD19D" w14:textId="77777777" w:rsidTr="002A3DCE">
        <w:tc>
          <w:tcPr>
            <w:tcW w:w="3122" w:type="dxa"/>
          </w:tcPr>
          <w:p w14:paraId="50197C21" w14:textId="77777777" w:rsidR="00010F14" w:rsidRDefault="00010F14" w:rsidP="002A3DCE">
            <w:pPr>
              <w:contextualSpacing/>
              <w:rPr>
                <w:rFonts w:cs="Arial"/>
                <w:sz w:val="24"/>
                <w:szCs w:val="24"/>
              </w:rPr>
            </w:pPr>
            <w:r>
              <w:rPr>
                <w:rFonts w:cs="Arial"/>
                <w:sz w:val="24"/>
                <w:szCs w:val="24"/>
              </w:rPr>
              <w:t>-Phosphate</w:t>
            </w:r>
          </w:p>
          <w:p w14:paraId="7CBBF040" w14:textId="77777777" w:rsidR="00010F14" w:rsidRDefault="00010F14" w:rsidP="002A3DCE">
            <w:pPr>
              <w:contextualSpacing/>
              <w:rPr>
                <w:rFonts w:cs="Arial"/>
                <w:sz w:val="24"/>
                <w:szCs w:val="24"/>
              </w:rPr>
            </w:pPr>
            <w:r>
              <w:rPr>
                <w:rFonts w:cs="Arial"/>
                <w:sz w:val="24"/>
                <w:szCs w:val="24"/>
              </w:rPr>
              <w:t>-Titanium</w:t>
            </w:r>
          </w:p>
          <w:p w14:paraId="50FCC787" w14:textId="77777777" w:rsidR="00010F14" w:rsidRDefault="00010F14" w:rsidP="002A3DCE">
            <w:pPr>
              <w:contextualSpacing/>
              <w:rPr>
                <w:rFonts w:cs="Arial"/>
                <w:sz w:val="24"/>
                <w:szCs w:val="24"/>
              </w:rPr>
            </w:pPr>
            <w:r>
              <w:rPr>
                <w:rFonts w:cs="Arial"/>
                <w:sz w:val="24"/>
                <w:szCs w:val="24"/>
              </w:rPr>
              <w:t>-Steel</w:t>
            </w:r>
          </w:p>
          <w:p w14:paraId="0C7F5EB0" w14:textId="77777777" w:rsidR="00010F14" w:rsidRDefault="00010F14" w:rsidP="002A3DCE">
            <w:pPr>
              <w:contextualSpacing/>
              <w:rPr>
                <w:rFonts w:cs="Arial"/>
                <w:sz w:val="24"/>
                <w:szCs w:val="24"/>
              </w:rPr>
            </w:pPr>
            <w:r>
              <w:rPr>
                <w:rFonts w:cs="Arial"/>
                <w:sz w:val="24"/>
                <w:szCs w:val="24"/>
              </w:rPr>
              <w:t>-Rare earth</w:t>
            </w:r>
          </w:p>
          <w:p w14:paraId="0D6034D9" w14:textId="77777777" w:rsidR="00010F14" w:rsidRPr="000E28AC" w:rsidRDefault="00010F14" w:rsidP="002A3DCE">
            <w:pPr>
              <w:contextualSpacing/>
              <w:rPr>
                <w:rFonts w:cs="Arial"/>
                <w:sz w:val="24"/>
                <w:szCs w:val="24"/>
              </w:rPr>
            </w:pPr>
            <w:r w:rsidRPr="000E28AC">
              <w:rPr>
                <w:rFonts w:cs="Arial"/>
                <w:sz w:val="24"/>
                <w:szCs w:val="24"/>
              </w:rPr>
              <w:t>-Medical</w:t>
            </w:r>
          </w:p>
          <w:p w14:paraId="3ED81112" w14:textId="77777777" w:rsidR="00010F14" w:rsidRPr="000E28AC" w:rsidRDefault="00010F14" w:rsidP="002A3DCE">
            <w:pPr>
              <w:contextualSpacing/>
              <w:rPr>
                <w:rFonts w:cs="Arial"/>
                <w:sz w:val="24"/>
                <w:szCs w:val="24"/>
              </w:rPr>
            </w:pPr>
            <w:r w:rsidRPr="000E28AC">
              <w:rPr>
                <w:rFonts w:cs="Arial"/>
                <w:sz w:val="24"/>
                <w:szCs w:val="24"/>
              </w:rPr>
              <w:t>-Universities and research</w:t>
            </w:r>
          </w:p>
          <w:p w14:paraId="0213A7C6" w14:textId="77777777" w:rsidR="00010F14" w:rsidRPr="000E28AC" w:rsidRDefault="00010F14" w:rsidP="002A3DCE">
            <w:pPr>
              <w:contextualSpacing/>
              <w:rPr>
                <w:rFonts w:cs="Arial"/>
                <w:sz w:val="24"/>
                <w:szCs w:val="24"/>
              </w:rPr>
            </w:pPr>
            <w:r w:rsidRPr="000E28AC">
              <w:rPr>
                <w:rFonts w:cs="Arial"/>
                <w:sz w:val="24"/>
                <w:szCs w:val="24"/>
              </w:rPr>
              <w:t xml:space="preserve">-Radiochemical production </w:t>
            </w:r>
          </w:p>
        </w:tc>
        <w:tc>
          <w:tcPr>
            <w:tcW w:w="3123" w:type="dxa"/>
          </w:tcPr>
          <w:p w14:paraId="47180E4D" w14:textId="77777777" w:rsidR="00010F14" w:rsidRPr="000E28AC" w:rsidRDefault="00010F14" w:rsidP="002A3DCE">
            <w:pPr>
              <w:contextualSpacing/>
              <w:rPr>
                <w:rFonts w:cs="Arial"/>
                <w:sz w:val="24"/>
                <w:szCs w:val="24"/>
              </w:rPr>
            </w:pPr>
            <w:r w:rsidRPr="000E28AC">
              <w:rPr>
                <w:rFonts w:cs="Arial"/>
                <w:sz w:val="24"/>
                <w:szCs w:val="24"/>
              </w:rPr>
              <w:t>The Pollution Inventory for England, maintained by the Environment Agency (EA)</w:t>
            </w:r>
          </w:p>
          <w:p w14:paraId="00E982BC" w14:textId="77777777" w:rsidR="00010F14" w:rsidRPr="00B34C4A" w:rsidRDefault="00010F14" w:rsidP="002A3DCE">
            <w:pPr>
              <w:contextualSpacing/>
              <w:rPr>
                <w:rFonts w:cs="Arial"/>
                <w:i/>
                <w:sz w:val="16"/>
                <w:szCs w:val="16"/>
              </w:rPr>
            </w:pPr>
            <w:r w:rsidRPr="00B34C4A">
              <w:rPr>
                <w:rFonts w:cs="Arial"/>
                <w:i/>
                <w:sz w:val="16"/>
                <w:szCs w:val="16"/>
              </w:rPr>
              <w:t>Licence not needed.</w:t>
            </w:r>
          </w:p>
          <w:p w14:paraId="194919DA" w14:textId="77777777" w:rsidR="00010F14" w:rsidRPr="00B34C4A" w:rsidRDefault="00010F14" w:rsidP="002A3DCE">
            <w:pPr>
              <w:contextualSpacing/>
              <w:rPr>
                <w:rFonts w:cs="Arial"/>
                <w:i/>
                <w:sz w:val="16"/>
                <w:szCs w:val="16"/>
              </w:rPr>
            </w:pPr>
            <w:r w:rsidRPr="00B34C4A">
              <w:rPr>
                <w:rFonts w:cs="Arial"/>
                <w:i/>
                <w:sz w:val="16"/>
                <w:szCs w:val="16"/>
              </w:rPr>
              <w:t>Data requested via published contact information on website.</w:t>
            </w:r>
          </w:p>
          <w:p w14:paraId="2471727A" w14:textId="77777777" w:rsidR="00010F14" w:rsidRPr="000E28AC" w:rsidRDefault="00010F14" w:rsidP="002A3DCE">
            <w:pPr>
              <w:contextualSpacing/>
              <w:rPr>
                <w:rFonts w:cs="Arial"/>
                <w:sz w:val="20"/>
                <w:szCs w:val="20"/>
              </w:rPr>
            </w:pPr>
            <w:r w:rsidRPr="00B34C4A">
              <w:rPr>
                <w:rFonts w:cs="Arial"/>
                <w:i/>
                <w:sz w:val="16"/>
                <w:szCs w:val="16"/>
              </w:rPr>
              <w:t>Data provided in excel format.</w:t>
            </w:r>
            <w:r>
              <w:rPr>
                <w:rFonts w:cs="Arial"/>
                <w:i/>
                <w:sz w:val="20"/>
                <w:szCs w:val="20"/>
              </w:rPr>
              <w:t xml:space="preserve"> </w:t>
            </w:r>
          </w:p>
        </w:tc>
        <w:tc>
          <w:tcPr>
            <w:tcW w:w="3123" w:type="dxa"/>
          </w:tcPr>
          <w:p w14:paraId="2F416CBA" w14:textId="77777777" w:rsidR="00010F14" w:rsidRDefault="00010F14" w:rsidP="002A3DCE">
            <w:pPr>
              <w:contextualSpacing/>
              <w:rPr>
                <w:rFonts w:cs="Arial"/>
                <w:sz w:val="24"/>
                <w:szCs w:val="24"/>
              </w:rPr>
            </w:pPr>
            <w:r w:rsidRPr="000E28AC">
              <w:rPr>
                <w:rFonts w:cs="Arial"/>
                <w:sz w:val="24"/>
                <w:szCs w:val="24"/>
              </w:rPr>
              <w:t>The Pollution Inventory for Wales, maintained by Natural Resources Wales (NRW), the environmental regulator for Wales</w:t>
            </w:r>
          </w:p>
          <w:p w14:paraId="7BF4F8D1" w14:textId="77777777" w:rsidR="00010F14" w:rsidRPr="00B34C4A" w:rsidRDefault="00010F14" w:rsidP="002A3DCE">
            <w:pPr>
              <w:contextualSpacing/>
              <w:rPr>
                <w:rFonts w:cs="Arial"/>
                <w:i/>
                <w:sz w:val="16"/>
                <w:szCs w:val="16"/>
              </w:rPr>
            </w:pPr>
            <w:r w:rsidRPr="00B34C4A">
              <w:rPr>
                <w:rFonts w:cs="Arial"/>
                <w:i/>
                <w:sz w:val="16"/>
                <w:szCs w:val="16"/>
              </w:rPr>
              <w:t>‘Sign off’ licence is needed.</w:t>
            </w:r>
          </w:p>
          <w:p w14:paraId="7FFA58EE" w14:textId="77777777" w:rsidR="00010F14" w:rsidRPr="00B34C4A" w:rsidRDefault="00010F14" w:rsidP="002A3DCE">
            <w:pPr>
              <w:contextualSpacing/>
              <w:rPr>
                <w:rFonts w:cs="Arial"/>
                <w:i/>
                <w:sz w:val="16"/>
                <w:szCs w:val="16"/>
              </w:rPr>
            </w:pPr>
            <w:r w:rsidRPr="00B34C4A">
              <w:rPr>
                <w:rFonts w:cs="Arial"/>
                <w:i/>
                <w:sz w:val="16"/>
                <w:szCs w:val="16"/>
              </w:rPr>
              <w:t>Data requested via published contact information on website.</w:t>
            </w:r>
          </w:p>
          <w:p w14:paraId="42329361" w14:textId="77777777" w:rsidR="00010F14" w:rsidRPr="000E28AC" w:rsidRDefault="00010F14" w:rsidP="002A3DCE">
            <w:pPr>
              <w:contextualSpacing/>
              <w:rPr>
                <w:rFonts w:cs="Arial"/>
                <w:sz w:val="24"/>
                <w:szCs w:val="24"/>
              </w:rPr>
            </w:pPr>
            <w:r w:rsidRPr="00B34C4A">
              <w:rPr>
                <w:rFonts w:cs="Arial"/>
                <w:i/>
                <w:sz w:val="16"/>
                <w:szCs w:val="16"/>
              </w:rPr>
              <w:t>Data provided in excel format.</w:t>
            </w:r>
          </w:p>
        </w:tc>
        <w:tc>
          <w:tcPr>
            <w:tcW w:w="3123" w:type="dxa"/>
          </w:tcPr>
          <w:p w14:paraId="294CBFE4" w14:textId="77777777" w:rsidR="00010F14" w:rsidRDefault="00010F14" w:rsidP="002A3DCE">
            <w:pPr>
              <w:contextualSpacing/>
              <w:rPr>
                <w:rFonts w:cs="Arial"/>
                <w:sz w:val="24"/>
                <w:szCs w:val="24"/>
              </w:rPr>
            </w:pPr>
            <w:r w:rsidRPr="000E28AC">
              <w:rPr>
                <w:rFonts w:cs="Arial"/>
                <w:sz w:val="24"/>
                <w:szCs w:val="24"/>
              </w:rPr>
              <w:t>The Scottish statutory returns, as captured in the Scottish Pollutant Release Inventory (SPRI), maintained by the Scottish Environment Protection Agency (SEPA)</w:t>
            </w:r>
          </w:p>
          <w:p w14:paraId="006A4488" w14:textId="77777777" w:rsidR="00010F14" w:rsidRPr="00B34C4A" w:rsidRDefault="00010F14" w:rsidP="002A3DCE">
            <w:pPr>
              <w:contextualSpacing/>
              <w:rPr>
                <w:rFonts w:cs="Arial"/>
                <w:i/>
                <w:sz w:val="16"/>
                <w:szCs w:val="16"/>
              </w:rPr>
            </w:pPr>
            <w:r w:rsidRPr="00B34C4A">
              <w:rPr>
                <w:rFonts w:cs="Arial"/>
                <w:i/>
                <w:sz w:val="16"/>
                <w:szCs w:val="16"/>
              </w:rPr>
              <w:t>Licence not needed.</w:t>
            </w:r>
          </w:p>
          <w:p w14:paraId="07D3B973" w14:textId="77777777" w:rsidR="00010F14" w:rsidRPr="00B34C4A" w:rsidRDefault="00010F14" w:rsidP="002A3DCE">
            <w:pPr>
              <w:contextualSpacing/>
              <w:rPr>
                <w:rFonts w:cs="Arial"/>
                <w:i/>
                <w:sz w:val="16"/>
                <w:szCs w:val="16"/>
              </w:rPr>
            </w:pPr>
            <w:r w:rsidRPr="00B34C4A">
              <w:rPr>
                <w:rFonts w:cs="Arial"/>
                <w:i/>
                <w:sz w:val="16"/>
                <w:szCs w:val="16"/>
              </w:rPr>
              <w:t>Data requested via published contact information on website.</w:t>
            </w:r>
          </w:p>
          <w:p w14:paraId="607E326A" w14:textId="77777777" w:rsidR="00010F14" w:rsidRPr="000E28AC" w:rsidRDefault="00010F14" w:rsidP="002A3DCE">
            <w:pPr>
              <w:contextualSpacing/>
              <w:rPr>
                <w:rFonts w:cs="Arial"/>
                <w:sz w:val="24"/>
                <w:szCs w:val="24"/>
              </w:rPr>
            </w:pPr>
            <w:r w:rsidRPr="00B34C4A">
              <w:rPr>
                <w:rFonts w:cs="Arial"/>
                <w:i/>
                <w:sz w:val="16"/>
                <w:szCs w:val="16"/>
              </w:rPr>
              <w:t>Data provided in excel format.</w:t>
            </w:r>
          </w:p>
        </w:tc>
        <w:tc>
          <w:tcPr>
            <w:tcW w:w="3123" w:type="dxa"/>
          </w:tcPr>
          <w:p w14:paraId="6460F658" w14:textId="77777777" w:rsidR="00010F14" w:rsidRDefault="00010F14" w:rsidP="002A3DCE">
            <w:pPr>
              <w:contextualSpacing/>
              <w:rPr>
                <w:rFonts w:cs="Arial"/>
                <w:sz w:val="24"/>
                <w:szCs w:val="24"/>
              </w:rPr>
            </w:pPr>
            <w:r w:rsidRPr="000E28AC">
              <w:rPr>
                <w:rFonts w:cs="Arial"/>
                <w:sz w:val="24"/>
                <w:szCs w:val="24"/>
              </w:rPr>
              <w:t>Northern Ireland statutory returns, as collated by the Northern Ireland Environment Agency (NIEA)</w:t>
            </w:r>
          </w:p>
          <w:p w14:paraId="76D76A6D" w14:textId="77777777" w:rsidR="00010F14" w:rsidRPr="00B34C4A" w:rsidRDefault="00010F14" w:rsidP="002A3DCE">
            <w:pPr>
              <w:contextualSpacing/>
              <w:rPr>
                <w:rFonts w:cs="Arial"/>
                <w:i/>
                <w:sz w:val="16"/>
                <w:szCs w:val="16"/>
              </w:rPr>
            </w:pPr>
            <w:r w:rsidRPr="00B34C4A">
              <w:rPr>
                <w:rFonts w:cs="Arial"/>
                <w:i/>
                <w:sz w:val="16"/>
                <w:szCs w:val="16"/>
              </w:rPr>
              <w:t>Licence not needed.</w:t>
            </w:r>
          </w:p>
          <w:p w14:paraId="411ADD58" w14:textId="77777777" w:rsidR="00010F14" w:rsidRPr="00B34C4A" w:rsidRDefault="00010F14" w:rsidP="002A3DCE">
            <w:pPr>
              <w:contextualSpacing/>
              <w:rPr>
                <w:rFonts w:cs="Arial"/>
                <w:i/>
                <w:sz w:val="16"/>
                <w:szCs w:val="16"/>
              </w:rPr>
            </w:pPr>
            <w:r w:rsidRPr="00B34C4A">
              <w:rPr>
                <w:rFonts w:cs="Arial"/>
                <w:i/>
                <w:sz w:val="16"/>
                <w:szCs w:val="16"/>
              </w:rPr>
              <w:t>Data requested via published contact information on website.</w:t>
            </w:r>
          </w:p>
          <w:p w14:paraId="3EAA5BA6" w14:textId="77777777" w:rsidR="00010F14" w:rsidRPr="000E28AC" w:rsidRDefault="00010F14" w:rsidP="002A3DCE">
            <w:pPr>
              <w:contextualSpacing/>
              <w:rPr>
                <w:rFonts w:cs="Arial"/>
                <w:sz w:val="24"/>
                <w:szCs w:val="24"/>
              </w:rPr>
            </w:pPr>
            <w:r w:rsidRPr="00B34C4A">
              <w:rPr>
                <w:rFonts w:cs="Arial"/>
                <w:i/>
                <w:sz w:val="16"/>
                <w:szCs w:val="16"/>
              </w:rPr>
              <w:t xml:space="preserve">Data provided in </w:t>
            </w:r>
            <w:r>
              <w:rPr>
                <w:rFonts w:cs="Arial"/>
                <w:i/>
                <w:sz w:val="16"/>
                <w:szCs w:val="16"/>
              </w:rPr>
              <w:t>PDF</w:t>
            </w:r>
            <w:r w:rsidRPr="00B34C4A">
              <w:rPr>
                <w:rFonts w:cs="Arial"/>
                <w:i/>
                <w:sz w:val="16"/>
                <w:szCs w:val="16"/>
              </w:rPr>
              <w:t xml:space="preserve"> format.</w:t>
            </w:r>
          </w:p>
        </w:tc>
      </w:tr>
      <w:tr w:rsidR="00010F14" w:rsidRPr="000E28AC" w14:paraId="2B7A759F" w14:textId="77777777" w:rsidTr="002A3DCE">
        <w:tc>
          <w:tcPr>
            <w:tcW w:w="3122" w:type="dxa"/>
          </w:tcPr>
          <w:p w14:paraId="7098337F" w14:textId="77777777" w:rsidR="00010F14" w:rsidRPr="000E28AC" w:rsidRDefault="00010F14" w:rsidP="002A3DCE">
            <w:pPr>
              <w:contextualSpacing/>
              <w:rPr>
                <w:rFonts w:cs="Arial"/>
                <w:sz w:val="24"/>
                <w:szCs w:val="24"/>
              </w:rPr>
            </w:pPr>
            <w:r w:rsidRPr="000E28AC">
              <w:rPr>
                <w:rFonts w:cs="Arial"/>
                <w:sz w:val="24"/>
                <w:szCs w:val="24"/>
              </w:rPr>
              <w:t xml:space="preserve">-Oil and gas extraction </w:t>
            </w:r>
            <w:r w:rsidRPr="00791E5C">
              <w:rPr>
                <w:rFonts w:cs="Arial"/>
                <w:sz w:val="24"/>
                <w:szCs w:val="24"/>
              </w:rPr>
              <w:t>(same EEMS for E, W and NI)</w:t>
            </w:r>
          </w:p>
        </w:tc>
        <w:tc>
          <w:tcPr>
            <w:tcW w:w="3123" w:type="dxa"/>
          </w:tcPr>
          <w:p w14:paraId="19FC8992" w14:textId="77777777" w:rsidR="00010F14" w:rsidRDefault="00010F14" w:rsidP="002A3DCE">
            <w:pPr>
              <w:contextualSpacing/>
              <w:rPr>
                <w:rFonts w:cs="Arial"/>
                <w:sz w:val="24"/>
                <w:szCs w:val="24"/>
              </w:rPr>
            </w:pPr>
            <w:r w:rsidRPr="00C32CF9">
              <w:rPr>
                <w:rFonts w:cs="Arial"/>
                <w:sz w:val="24"/>
                <w:szCs w:val="24"/>
              </w:rPr>
              <w:t>The Environmental Emissions Monitoring System (EEMS), managed by BEIS</w:t>
            </w:r>
          </w:p>
          <w:p w14:paraId="08367864" w14:textId="77777777" w:rsidR="00010F14" w:rsidRPr="00B34C4A" w:rsidRDefault="00010F14" w:rsidP="002A3DCE">
            <w:pPr>
              <w:contextualSpacing/>
              <w:rPr>
                <w:rFonts w:cs="Arial"/>
                <w:i/>
                <w:sz w:val="16"/>
                <w:szCs w:val="16"/>
              </w:rPr>
            </w:pPr>
            <w:r w:rsidRPr="00B34C4A">
              <w:rPr>
                <w:rFonts w:cs="Arial"/>
                <w:i/>
                <w:sz w:val="16"/>
                <w:szCs w:val="16"/>
              </w:rPr>
              <w:t>Licence not needed.</w:t>
            </w:r>
          </w:p>
          <w:p w14:paraId="2CB53958" w14:textId="77777777" w:rsidR="00010F14" w:rsidRPr="00B34C4A" w:rsidRDefault="00010F14" w:rsidP="002A3DCE">
            <w:pPr>
              <w:contextualSpacing/>
              <w:rPr>
                <w:rFonts w:cs="Arial"/>
                <w:i/>
                <w:sz w:val="16"/>
                <w:szCs w:val="16"/>
              </w:rPr>
            </w:pPr>
            <w:r w:rsidRPr="00B34C4A">
              <w:rPr>
                <w:rFonts w:cs="Arial"/>
                <w:i/>
                <w:sz w:val="16"/>
                <w:szCs w:val="16"/>
              </w:rPr>
              <w:t xml:space="preserve">Data </w:t>
            </w:r>
            <w:r>
              <w:rPr>
                <w:rFonts w:cs="Arial"/>
                <w:i/>
                <w:sz w:val="16"/>
                <w:szCs w:val="16"/>
              </w:rPr>
              <w:t>provided on request to BEIS</w:t>
            </w:r>
            <w:r w:rsidRPr="00B34C4A">
              <w:rPr>
                <w:rFonts w:cs="Arial"/>
                <w:i/>
                <w:sz w:val="16"/>
                <w:szCs w:val="16"/>
              </w:rPr>
              <w:t>.</w:t>
            </w:r>
          </w:p>
          <w:p w14:paraId="3F65B478" w14:textId="77777777" w:rsidR="00010F14" w:rsidRPr="000E28AC" w:rsidRDefault="00010F14" w:rsidP="002A3DCE">
            <w:pPr>
              <w:contextualSpacing/>
              <w:rPr>
                <w:rFonts w:cs="Arial"/>
                <w:sz w:val="24"/>
                <w:szCs w:val="24"/>
              </w:rPr>
            </w:pPr>
            <w:r w:rsidRPr="00B34C4A">
              <w:rPr>
                <w:rFonts w:cs="Arial"/>
                <w:i/>
                <w:sz w:val="16"/>
                <w:szCs w:val="16"/>
              </w:rPr>
              <w:t>Data provided in excel format.</w:t>
            </w:r>
          </w:p>
        </w:tc>
        <w:tc>
          <w:tcPr>
            <w:tcW w:w="3123" w:type="dxa"/>
          </w:tcPr>
          <w:p w14:paraId="3BC92EB8" w14:textId="77777777" w:rsidR="00010F14" w:rsidRDefault="00010F14" w:rsidP="002A3DCE">
            <w:pPr>
              <w:contextualSpacing/>
              <w:rPr>
                <w:rFonts w:cs="Arial"/>
                <w:sz w:val="24"/>
                <w:szCs w:val="24"/>
              </w:rPr>
            </w:pPr>
            <w:r w:rsidRPr="000E28AC">
              <w:rPr>
                <w:rFonts w:cs="Arial"/>
                <w:sz w:val="24"/>
                <w:szCs w:val="24"/>
              </w:rPr>
              <w:t>The Environmental Emissions Monitoring System (EEMS), managed by BEIS</w:t>
            </w:r>
          </w:p>
          <w:p w14:paraId="30121B7E" w14:textId="77777777" w:rsidR="00010F14" w:rsidRPr="00B34C4A" w:rsidRDefault="00010F14" w:rsidP="002A3DCE">
            <w:pPr>
              <w:contextualSpacing/>
              <w:rPr>
                <w:rFonts w:cs="Arial"/>
                <w:i/>
                <w:sz w:val="16"/>
                <w:szCs w:val="16"/>
              </w:rPr>
            </w:pPr>
            <w:r w:rsidRPr="00B34C4A">
              <w:rPr>
                <w:rFonts w:cs="Arial"/>
                <w:i/>
                <w:sz w:val="16"/>
                <w:szCs w:val="16"/>
              </w:rPr>
              <w:t>Licence not needed.</w:t>
            </w:r>
          </w:p>
          <w:p w14:paraId="41B571A9" w14:textId="77777777" w:rsidR="00010F14" w:rsidRPr="00B34C4A" w:rsidRDefault="00010F14" w:rsidP="002A3DCE">
            <w:pPr>
              <w:contextualSpacing/>
              <w:rPr>
                <w:rFonts w:cs="Arial"/>
                <w:i/>
                <w:sz w:val="16"/>
                <w:szCs w:val="16"/>
              </w:rPr>
            </w:pPr>
            <w:r w:rsidRPr="00B34C4A">
              <w:rPr>
                <w:rFonts w:cs="Arial"/>
                <w:i/>
                <w:sz w:val="16"/>
                <w:szCs w:val="16"/>
              </w:rPr>
              <w:t xml:space="preserve">Data </w:t>
            </w:r>
            <w:r>
              <w:rPr>
                <w:rFonts w:cs="Arial"/>
                <w:i/>
                <w:sz w:val="16"/>
                <w:szCs w:val="16"/>
              </w:rPr>
              <w:t>provided on request to BEIS</w:t>
            </w:r>
            <w:r w:rsidRPr="00B34C4A">
              <w:rPr>
                <w:rFonts w:cs="Arial"/>
                <w:i/>
                <w:sz w:val="16"/>
                <w:szCs w:val="16"/>
              </w:rPr>
              <w:t>.</w:t>
            </w:r>
          </w:p>
          <w:p w14:paraId="68D645C5" w14:textId="77777777" w:rsidR="00010F14" w:rsidRPr="000E28AC" w:rsidRDefault="00010F14" w:rsidP="002A3DCE">
            <w:pPr>
              <w:contextualSpacing/>
              <w:rPr>
                <w:rFonts w:cs="Arial"/>
                <w:sz w:val="24"/>
                <w:szCs w:val="24"/>
              </w:rPr>
            </w:pPr>
            <w:r w:rsidRPr="00B34C4A">
              <w:rPr>
                <w:rFonts w:cs="Arial"/>
                <w:i/>
                <w:sz w:val="16"/>
                <w:szCs w:val="16"/>
              </w:rPr>
              <w:t>Data provided in excel format.</w:t>
            </w:r>
          </w:p>
        </w:tc>
        <w:tc>
          <w:tcPr>
            <w:tcW w:w="3123" w:type="dxa"/>
          </w:tcPr>
          <w:p w14:paraId="7F3F8D8D" w14:textId="77777777" w:rsidR="00010F14" w:rsidRDefault="00010F14" w:rsidP="002A3DCE">
            <w:pPr>
              <w:contextualSpacing/>
              <w:rPr>
                <w:rFonts w:cs="Arial"/>
                <w:sz w:val="24"/>
                <w:szCs w:val="24"/>
              </w:rPr>
            </w:pPr>
            <w:r w:rsidRPr="000E28AC">
              <w:rPr>
                <w:rFonts w:cs="Arial"/>
                <w:sz w:val="24"/>
                <w:szCs w:val="24"/>
              </w:rPr>
              <w:t>The SPRI that includes statutory returns to SEPA on the discharge of scale from onshore de-scaling operators</w:t>
            </w:r>
          </w:p>
          <w:p w14:paraId="44264525" w14:textId="77777777" w:rsidR="00010F14" w:rsidRPr="00B34C4A" w:rsidRDefault="00010F14" w:rsidP="002A3DCE">
            <w:pPr>
              <w:contextualSpacing/>
              <w:rPr>
                <w:rFonts w:cs="Arial"/>
                <w:i/>
                <w:sz w:val="16"/>
                <w:szCs w:val="16"/>
              </w:rPr>
            </w:pPr>
            <w:r w:rsidRPr="00B34C4A">
              <w:rPr>
                <w:rFonts w:cs="Arial"/>
                <w:i/>
                <w:sz w:val="16"/>
                <w:szCs w:val="16"/>
              </w:rPr>
              <w:t>Licence not needed.</w:t>
            </w:r>
          </w:p>
          <w:p w14:paraId="0B377E14" w14:textId="77777777" w:rsidR="00010F14" w:rsidRPr="00B34C4A" w:rsidRDefault="00010F14" w:rsidP="002A3DCE">
            <w:pPr>
              <w:contextualSpacing/>
              <w:rPr>
                <w:rFonts w:cs="Arial"/>
                <w:i/>
                <w:sz w:val="16"/>
                <w:szCs w:val="16"/>
              </w:rPr>
            </w:pPr>
            <w:r w:rsidRPr="00B34C4A">
              <w:rPr>
                <w:rFonts w:cs="Arial"/>
                <w:i/>
                <w:sz w:val="16"/>
                <w:szCs w:val="16"/>
              </w:rPr>
              <w:t>Data requested via published contact information on website.</w:t>
            </w:r>
          </w:p>
          <w:p w14:paraId="6AEC6C60" w14:textId="77777777" w:rsidR="00010F14" w:rsidRPr="000E28AC" w:rsidRDefault="00010F14" w:rsidP="002A3DCE">
            <w:pPr>
              <w:contextualSpacing/>
              <w:rPr>
                <w:rFonts w:cs="Arial"/>
                <w:sz w:val="24"/>
                <w:szCs w:val="24"/>
              </w:rPr>
            </w:pPr>
            <w:r w:rsidRPr="00B34C4A">
              <w:rPr>
                <w:rFonts w:cs="Arial"/>
                <w:i/>
                <w:sz w:val="16"/>
                <w:szCs w:val="16"/>
              </w:rPr>
              <w:t>Data provided in excel format.</w:t>
            </w:r>
          </w:p>
        </w:tc>
        <w:tc>
          <w:tcPr>
            <w:tcW w:w="3123" w:type="dxa"/>
          </w:tcPr>
          <w:p w14:paraId="0B06980A" w14:textId="77777777" w:rsidR="00010F14" w:rsidRDefault="00010F14" w:rsidP="002A3DCE">
            <w:pPr>
              <w:contextualSpacing/>
              <w:rPr>
                <w:rFonts w:cs="Arial"/>
                <w:sz w:val="24"/>
                <w:szCs w:val="24"/>
              </w:rPr>
            </w:pPr>
            <w:r w:rsidRPr="000E28AC">
              <w:rPr>
                <w:rFonts w:cs="Arial"/>
                <w:sz w:val="24"/>
                <w:szCs w:val="24"/>
              </w:rPr>
              <w:t>The Environmental Emissions Monitoring System (EEMS), managed by BEIS</w:t>
            </w:r>
          </w:p>
          <w:p w14:paraId="1703602C" w14:textId="77777777" w:rsidR="00010F14" w:rsidRPr="00B34C4A" w:rsidRDefault="00010F14" w:rsidP="002A3DCE">
            <w:pPr>
              <w:contextualSpacing/>
              <w:rPr>
                <w:rFonts w:cs="Arial"/>
                <w:i/>
                <w:sz w:val="16"/>
                <w:szCs w:val="16"/>
              </w:rPr>
            </w:pPr>
            <w:r w:rsidRPr="00B34C4A">
              <w:rPr>
                <w:rFonts w:cs="Arial"/>
                <w:i/>
                <w:sz w:val="16"/>
                <w:szCs w:val="16"/>
              </w:rPr>
              <w:t>Licence not needed.</w:t>
            </w:r>
          </w:p>
          <w:p w14:paraId="778D35B9" w14:textId="77777777" w:rsidR="00010F14" w:rsidRPr="00B34C4A" w:rsidRDefault="00010F14" w:rsidP="002A3DCE">
            <w:pPr>
              <w:contextualSpacing/>
              <w:rPr>
                <w:rFonts w:cs="Arial"/>
                <w:i/>
                <w:sz w:val="16"/>
                <w:szCs w:val="16"/>
              </w:rPr>
            </w:pPr>
            <w:r w:rsidRPr="00B34C4A">
              <w:rPr>
                <w:rFonts w:cs="Arial"/>
                <w:i/>
                <w:sz w:val="16"/>
                <w:szCs w:val="16"/>
              </w:rPr>
              <w:t xml:space="preserve">Data </w:t>
            </w:r>
            <w:r>
              <w:rPr>
                <w:rFonts w:cs="Arial"/>
                <w:i/>
                <w:sz w:val="16"/>
                <w:szCs w:val="16"/>
              </w:rPr>
              <w:t>provided on request to BEIS</w:t>
            </w:r>
            <w:r w:rsidRPr="00B34C4A">
              <w:rPr>
                <w:rFonts w:cs="Arial"/>
                <w:i/>
                <w:sz w:val="16"/>
                <w:szCs w:val="16"/>
              </w:rPr>
              <w:t>.</w:t>
            </w:r>
          </w:p>
          <w:p w14:paraId="7F52EDD1" w14:textId="77777777" w:rsidR="00010F14" w:rsidRPr="000E28AC" w:rsidRDefault="00010F14" w:rsidP="002A3DCE">
            <w:pPr>
              <w:contextualSpacing/>
              <w:rPr>
                <w:rFonts w:cs="Arial"/>
                <w:sz w:val="24"/>
                <w:szCs w:val="24"/>
              </w:rPr>
            </w:pPr>
            <w:r w:rsidRPr="00B34C4A">
              <w:rPr>
                <w:rFonts w:cs="Arial"/>
                <w:i/>
                <w:sz w:val="16"/>
                <w:szCs w:val="16"/>
              </w:rPr>
              <w:t>Data provided in excel format.</w:t>
            </w:r>
          </w:p>
        </w:tc>
      </w:tr>
    </w:tbl>
    <w:p w14:paraId="13FF10A2" w14:textId="77777777" w:rsidR="00010F14" w:rsidRDefault="00010F14"/>
    <w:sectPr w:rsidR="00010F14" w:rsidSect="002056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8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7EEE"/>
    <w:multiLevelType w:val="multilevel"/>
    <w:tmpl w:val="AEB8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71300"/>
    <w:multiLevelType w:val="hybridMultilevel"/>
    <w:tmpl w:val="472824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B76B9F"/>
    <w:multiLevelType w:val="hybridMultilevel"/>
    <w:tmpl w:val="F4CA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0385B"/>
    <w:multiLevelType w:val="multilevel"/>
    <w:tmpl w:val="60D42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99"/>
    <w:rsid w:val="00010F14"/>
    <w:rsid w:val="00037797"/>
    <w:rsid w:val="000B7AF9"/>
    <w:rsid w:val="000C3F8C"/>
    <w:rsid w:val="000D7C5C"/>
    <w:rsid w:val="00112651"/>
    <w:rsid w:val="001E0B81"/>
    <w:rsid w:val="00205699"/>
    <w:rsid w:val="00251028"/>
    <w:rsid w:val="00264150"/>
    <w:rsid w:val="00295ED3"/>
    <w:rsid w:val="002F4A80"/>
    <w:rsid w:val="00306091"/>
    <w:rsid w:val="003672C7"/>
    <w:rsid w:val="003D268A"/>
    <w:rsid w:val="0040624A"/>
    <w:rsid w:val="004A3592"/>
    <w:rsid w:val="004F5886"/>
    <w:rsid w:val="00591DA1"/>
    <w:rsid w:val="005A75AC"/>
    <w:rsid w:val="005F1D53"/>
    <w:rsid w:val="0060616D"/>
    <w:rsid w:val="00644B3F"/>
    <w:rsid w:val="006B02AD"/>
    <w:rsid w:val="006F67D5"/>
    <w:rsid w:val="007226DA"/>
    <w:rsid w:val="007B77C7"/>
    <w:rsid w:val="0083030B"/>
    <w:rsid w:val="00853F01"/>
    <w:rsid w:val="00860480"/>
    <w:rsid w:val="008E28A5"/>
    <w:rsid w:val="00926E12"/>
    <w:rsid w:val="009B09AC"/>
    <w:rsid w:val="00A22C69"/>
    <w:rsid w:val="00A41CC2"/>
    <w:rsid w:val="00A64CDA"/>
    <w:rsid w:val="00AD0869"/>
    <w:rsid w:val="00B224E2"/>
    <w:rsid w:val="00B40253"/>
    <w:rsid w:val="00B40FBF"/>
    <w:rsid w:val="00B5220A"/>
    <w:rsid w:val="00B527A7"/>
    <w:rsid w:val="00B629E5"/>
    <w:rsid w:val="00B62E8F"/>
    <w:rsid w:val="00B75DA0"/>
    <w:rsid w:val="00B76BD4"/>
    <w:rsid w:val="00B97370"/>
    <w:rsid w:val="00BA15A8"/>
    <w:rsid w:val="00BD7CF6"/>
    <w:rsid w:val="00BE0B2D"/>
    <w:rsid w:val="00C21350"/>
    <w:rsid w:val="00C431C8"/>
    <w:rsid w:val="00C90AE1"/>
    <w:rsid w:val="00C9799A"/>
    <w:rsid w:val="00CA1859"/>
    <w:rsid w:val="00CB5E09"/>
    <w:rsid w:val="00CD7874"/>
    <w:rsid w:val="00CE3E82"/>
    <w:rsid w:val="00D23C15"/>
    <w:rsid w:val="00D374CD"/>
    <w:rsid w:val="00D375A8"/>
    <w:rsid w:val="00D461A1"/>
    <w:rsid w:val="00D51442"/>
    <w:rsid w:val="00D5794A"/>
    <w:rsid w:val="00D8314F"/>
    <w:rsid w:val="00DB0C73"/>
    <w:rsid w:val="00DF2318"/>
    <w:rsid w:val="00E13D98"/>
    <w:rsid w:val="00E95EBC"/>
    <w:rsid w:val="00EF0337"/>
    <w:rsid w:val="00F5427C"/>
    <w:rsid w:val="00FB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7781"/>
  <w15:docId w15:val="{21C6D535-5036-2942-8F78-4DD44C8D0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699"/>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stParagraph"/>
    <w:uiPriority w:val="34"/>
    <w:locked/>
    <w:rsid w:val="009B09AC"/>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B09AC"/>
    <w:pPr>
      <w:widowControl/>
      <w:overflowPunct/>
      <w:autoSpaceDE/>
      <w:autoSpaceDN/>
      <w:adjustRightInd/>
      <w:ind w:left="720"/>
      <w:textAlignment w:val="auto"/>
    </w:pPr>
    <w:rPr>
      <w:rFonts w:eastAsiaTheme="minorHAnsi" w:cs="Arial"/>
      <w:sz w:val="24"/>
      <w:szCs w:val="24"/>
      <w:lang w:eastAsia="en-US"/>
    </w:rPr>
  </w:style>
  <w:style w:type="paragraph" w:styleId="FootnoteText">
    <w:name w:val="footnote text"/>
    <w:basedOn w:val="Normal"/>
    <w:link w:val="FootnoteTextChar"/>
    <w:uiPriority w:val="99"/>
    <w:rsid w:val="00B629E5"/>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B629E5"/>
    <w:rPr>
      <w:rFonts w:ascii="Calibri" w:eastAsia="MS Mincho" w:hAnsi="Calibri" w:cs="Times New Roman"/>
      <w:sz w:val="20"/>
      <w:szCs w:val="20"/>
    </w:rPr>
  </w:style>
  <w:style w:type="character" w:styleId="CommentReference">
    <w:name w:val="annotation reference"/>
    <w:basedOn w:val="DefaultParagraphFont"/>
    <w:uiPriority w:val="99"/>
    <w:semiHidden/>
    <w:unhideWhenUsed/>
    <w:rsid w:val="00C431C8"/>
    <w:rPr>
      <w:sz w:val="16"/>
      <w:szCs w:val="16"/>
    </w:rPr>
  </w:style>
  <w:style w:type="paragraph" w:styleId="CommentText">
    <w:name w:val="annotation text"/>
    <w:basedOn w:val="Normal"/>
    <w:link w:val="CommentTextChar"/>
    <w:uiPriority w:val="99"/>
    <w:semiHidden/>
    <w:unhideWhenUsed/>
    <w:rsid w:val="00C431C8"/>
    <w:rPr>
      <w:sz w:val="20"/>
      <w:szCs w:val="20"/>
    </w:rPr>
  </w:style>
  <w:style w:type="character" w:customStyle="1" w:styleId="CommentTextChar">
    <w:name w:val="Comment Text Char"/>
    <w:basedOn w:val="DefaultParagraphFont"/>
    <w:link w:val="CommentText"/>
    <w:uiPriority w:val="99"/>
    <w:semiHidden/>
    <w:rsid w:val="00C431C8"/>
    <w:rPr>
      <w:rFonts w:eastAsia="Times New Roman" w:cs="Mangal"/>
      <w:sz w:val="20"/>
      <w:szCs w:val="20"/>
      <w:lang w:eastAsia="en-GB"/>
    </w:rPr>
  </w:style>
  <w:style w:type="paragraph" w:styleId="CommentSubject">
    <w:name w:val="annotation subject"/>
    <w:basedOn w:val="CommentText"/>
    <w:next w:val="CommentText"/>
    <w:link w:val="CommentSubjectChar"/>
    <w:uiPriority w:val="99"/>
    <w:semiHidden/>
    <w:unhideWhenUsed/>
    <w:rsid w:val="00C431C8"/>
    <w:rPr>
      <w:b/>
      <w:bCs/>
    </w:rPr>
  </w:style>
  <w:style w:type="character" w:customStyle="1" w:styleId="CommentSubjectChar">
    <w:name w:val="Comment Subject Char"/>
    <w:basedOn w:val="CommentTextChar"/>
    <w:link w:val="CommentSubject"/>
    <w:uiPriority w:val="99"/>
    <w:semiHidden/>
    <w:rsid w:val="00C431C8"/>
    <w:rPr>
      <w:rFonts w:eastAsia="Times New Roman" w:cs="Mangal"/>
      <w:b/>
      <w:bCs/>
      <w:sz w:val="20"/>
      <w:szCs w:val="20"/>
      <w:lang w:eastAsia="en-GB"/>
    </w:rPr>
  </w:style>
  <w:style w:type="paragraph" w:styleId="BalloonText">
    <w:name w:val="Balloon Text"/>
    <w:basedOn w:val="Normal"/>
    <w:link w:val="BalloonTextChar"/>
    <w:uiPriority w:val="99"/>
    <w:semiHidden/>
    <w:unhideWhenUsed/>
    <w:rsid w:val="00C431C8"/>
    <w:rPr>
      <w:rFonts w:ascii="Tahoma" w:hAnsi="Tahoma" w:cs="Tahoma"/>
      <w:sz w:val="16"/>
      <w:szCs w:val="16"/>
    </w:rPr>
  </w:style>
  <w:style w:type="character" w:customStyle="1" w:styleId="BalloonTextChar">
    <w:name w:val="Balloon Text Char"/>
    <w:basedOn w:val="DefaultParagraphFont"/>
    <w:link w:val="BalloonText"/>
    <w:uiPriority w:val="99"/>
    <w:semiHidden/>
    <w:rsid w:val="00C431C8"/>
    <w:rPr>
      <w:rFonts w:ascii="Tahoma" w:eastAsia="Times New Roman" w:hAnsi="Tahoma" w:cs="Tahoma"/>
      <w:sz w:val="16"/>
      <w:szCs w:val="16"/>
      <w:lang w:eastAsia="en-GB"/>
    </w:rPr>
  </w:style>
  <w:style w:type="paragraph" w:styleId="NormalWeb">
    <w:name w:val="Normal (Web)"/>
    <w:basedOn w:val="Normal"/>
    <w:uiPriority w:val="99"/>
    <w:semiHidden/>
    <w:unhideWhenUsed/>
    <w:rsid w:val="00D23C15"/>
    <w:pPr>
      <w:widowControl/>
      <w:overflowPunct/>
      <w:autoSpaceDE/>
      <w:autoSpaceDN/>
      <w:adjustRightInd/>
      <w:spacing w:before="100" w:beforeAutospacing="1" w:after="300"/>
      <w:textAlignment w:val="auto"/>
    </w:pPr>
    <w:rPr>
      <w:rFonts w:ascii="Times New Roman" w:hAnsi="Times New Roman" w:cs="Times New Roman"/>
      <w:sz w:val="24"/>
      <w:szCs w:val="24"/>
    </w:rPr>
  </w:style>
  <w:style w:type="character" w:styleId="Hyperlink">
    <w:name w:val="Hyperlink"/>
    <w:basedOn w:val="DefaultParagraphFont"/>
    <w:uiPriority w:val="99"/>
    <w:unhideWhenUsed/>
    <w:rsid w:val="00C9799A"/>
    <w:rPr>
      <w:color w:val="0000FF" w:themeColor="hyperlink"/>
      <w:u w:val="single"/>
    </w:rPr>
  </w:style>
  <w:style w:type="character" w:styleId="FollowedHyperlink">
    <w:name w:val="FollowedHyperlink"/>
    <w:basedOn w:val="DefaultParagraphFont"/>
    <w:uiPriority w:val="99"/>
    <w:semiHidden/>
    <w:unhideWhenUsed/>
    <w:rsid w:val="00B522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56928">
      <w:bodyDiv w:val="1"/>
      <w:marLeft w:val="0"/>
      <w:marRight w:val="0"/>
      <w:marTop w:val="0"/>
      <w:marBottom w:val="0"/>
      <w:divBdr>
        <w:top w:val="none" w:sz="0" w:space="0" w:color="auto"/>
        <w:left w:val="none" w:sz="0" w:space="0" w:color="auto"/>
        <w:bottom w:val="none" w:sz="0" w:space="0" w:color="auto"/>
        <w:right w:val="none" w:sz="0" w:space="0" w:color="auto"/>
      </w:divBdr>
      <w:divsChild>
        <w:div w:id="1789932928">
          <w:marLeft w:val="0"/>
          <w:marRight w:val="0"/>
          <w:marTop w:val="3"/>
          <w:marBottom w:val="3"/>
          <w:divBdr>
            <w:top w:val="none" w:sz="0" w:space="0" w:color="auto"/>
            <w:left w:val="none" w:sz="0" w:space="0" w:color="auto"/>
            <w:bottom w:val="none" w:sz="0" w:space="0" w:color="auto"/>
            <w:right w:val="none" w:sz="0" w:space="0" w:color="auto"/>
          </w:divBdr>
          <w:divsChild>
            <w:div w:id="4231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2632">
      <w:bodyDiv w:val="1"/>
      <w:marLeft w:val="0"/>
      <w:marRight w:val="0"/>
      <w:marTop w:val="0"/>
      <w:marBottom w:val="0"/>
      <w:divBdr>
        <w:top w:val="none" w:sz="0" w:space="0" w:color="auto"/>
        <w:left w:val="none" w:sz="0" w:space="0" w:color="auto"/>
        <w:bottom w:val="none" w:sz="0" w:space="0" w:color="auto"/>
        <w:right w:val="none" w:sz="0" w:space="0" w:color="auto"/>
      </w:divBdr>
    </w:div>
    <w:div w:id="848059756">
      <w:bodyDiv w:val="1"/>
      <w:marLeft w:val="0"/>
      <w:marRight w:val="0"/>
      <w:marTop w:val="0"/>
      <w:marBottom w:val="0"/>
      <w:divBdr>
        <w:top w:val="none" w:sz="0" w:space="0" w:color="auto"/>
        <w:left w:val="none" w:sz="0" w:space="0" w:color="auto"/>
        <w:bottom w:val="none" w:sz="0" w:space="0" w:color="auto"/>
        <w:right w:val="none" w:sz="0" w:space="0" w:color="auto"/>
      </w:divBdr>
    </w:div>
    <w:div w:id="895776873">
      <w:bodyDiv w:val="1"/>
      <w:marLeft w:val="0"/>
      <w:marRight w:val="0"/>
      <w:marTop w:val="0"/>
      <w:marBottom w:val="0"/>
      <w:divBdr>
        <w:top w:val="none" w:sz="0" w:space="0" w:color="auto"/>
        <w:left w:val="none" w:sz="0" w:space="0" w:color="auto"/>
        <w:bottom w:val="none" w:sz="0" w:space="0" w:color="auto"/>
        <w:right w:val="none" w:sz="0" w:space="0" w:color="auto"/>
      </w:divBdr>
    </w:div>
    <w:div w:id="991714840">
      <w:bodyDiv w:val="1"/>
      <w:marLeft w:val="0"/>
      <w:marRight w:val="0"/>
      <w:marTop w:val="0"/>
      <w:marBottom w:val="0"/>
      <w:divBdr>
        <w:top w:val="none" w:sz="0" w:space="0" w:color="auto"/>
        <w:left w:val="none" w:sz="0" w:space="0" w:color="auto"/>
        <w:bottom w:val="none" w:sz="0" w:space="0" w:color="auto"/>
        <w:right w:val="none" w:sz="0" w:space="0" w:color="auto"/>
      </w:divBdr>
    </w:div>
    <w:div w:id="1005398848">
      <w:bodyDiv w:val="1"/>
      <w:marLeft w:val="0"/>
      <w:marRight w:val="0"/>
      <w:marTop w:val="0"/>
      <w:marBottom w:val="0"/>
      <w:divBdr>
        <w:top w:val="none" w:sz="0" w:space="0" w:color="auto"/>
        <w:left w:val="none" w:sz="0" w:space="0" w:color="auto"/>
        <w:bottom w:val="none" w:sz="0" w:space="0" w:color="auto"/>
        <w:right w:val="none" w:sz="0" w:space="0" w:color="auto"/>
      </w:divBdr>
    </w:div>
    <w:div w:id="1083599929">
      <w:bodyDiv w:val="1"/>
      <w:marLeft w:val="0"/>
      <w:marRight w:val="0"/>
      <w:marTop w:val="0"/>
      <w:marBottom w:val="0"/>
      <w:divBdr>
        <w:top w:val="none" w:sz="0" w:space="0" w:color="auto"/>
        <w:left w:val="none" w:sz="0" w:space="0" w:color="auto"/>
        <w:bottom w:val="none" w:sz="0" w:space="0" w:color="auto"/>
        <w:right w:val="none" w:sz="0" w:space="0" w:color="auto"/>
      </w:divBdr>
    </w:div>
    <w:div w:id="1213495839">
      <w:bodyDiv w:val="1"/>
      <w:marLeft w:val="0"/>
      <w:marRight w:val="0"/>
      <w:marTop w:val="0"/>
      <w:marBottom w:val="0"/>
      <w:divBdr>
        <w:top w:val="none" w:sz="0" w:space="0" w:color="auto"/>
        <w:left w:val="none" w:sz="0" w:space="0" w:color="auto"/>
        <w:bottom w:val="none" w:sz="0" w:space="0" w:color="auto"/>
        <w:right w:val="none" w:sz="0" w:space="0" w:color="auto"/>
      </w:divBdr>
    </w:div>
    <w:div w:id="158630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spar.org/work-areas/rsc" TargetMode="External"/><Relationship Id="rId3" Type="http://schemas.openxmlformats.org/officeDocument/2006/relationships/settings" Target="settings.xml"/><Relationship Id="rId7" Type="http://schemas.openxmlformats.org/officeDocument/2006/relationships/hyperlink" Target="https://www.ospar.org/work-areas/r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par.org/work-areas/rsc" TargetMode="External"/><Relationship Id="rId5" Type="http://schemas.openxmlformats.org/officeDocument/2006/relationships/hyperlink" Target="https://www.gov.uk/government/collections/pollution-inventory-repor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Bill (CNR)</dc:creator>
  <cp:lastModifiedBy>natasha zappone</cp:lastModifiedBy>
  <cp:revision>4</cp:revision>
  <dcterms:created xsi:type="dcterms:W3CDTF">2018-04-23T08:53:00Z</dcterms:created>
  <dcterms:modified xsi:type="dcterms:W3CDTF">2018-04-23T12:11:00Z</dcterms:modified>
</cp:coreProperties>
</file>