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6161" w:rsidRDefault="00B96161"/>
    <w:p w:rsidR="00ED3B7C" w:rsidRDefault="00ED3B7C"/>
    <w:p w:rsidR="00ED3B7C" w:rsidRDefault="00ED3B7C">
      <w:pPr>
        <w:rPr>
          <w:b/>
          <w:sz w:val="36"/>
          <w:szCs w:val="36"/>
        </w:rPr>
      </w:pPr>
      <w:r w:rsidRPr="00ED3B7C">
        <w:rPr>
          <w:b/>
          <w:sz w:val="36"/>
          <w:szCs w:val="36"/>
        </w:rPr>
        <w:t xml:space="preserve">Clarification responses – Diving Deep HMS </w:t>
      </w:r>
      <w:r w:rsidRPr="00ED3B7C">
        <w:rPr>
          <w:b/>
          <w:i/>
          <w:sz w:val="36"/>
          <w:szCs w:val="36"/>
        </w:rPr>
        <w:t xml:space="preserve">Invincible </w:t>
      </w:r>
      <w:r w:rsidRPr="00ED3B7C">
        <w:rPr>
          <w:b/>
          <w:sz w:val="36"/>
          <w:szCs w:val="36"/>
        </w:rPr>
        <w:t>1744</w:t>
      </w:r>
    </w:p>
    <w:tbl>
      <w:tblPr>
        <w:tblStyle w:val="TableGrid"/>
        <w:tblW w:w="0" w:type="auto"/>
        <w:tblLook w:val="04A0" w:firstRow="1" w:lastRow="0" w:firstColumn="1" w:lastColumn="0" w:noHBand="0" w:noVBand="1"/>
      </w:tblPr>
      <w:tblGrid>
        <w:gridCol w:w="9242"/>
      </w:tblGrid>
      <w:tr w:rsidR="00ED3B7C" w:rsidTr="00ED3B7C">
        <w:tc>
          <w:tcPr>
            <w:tcW w:w="9242" w:type="dxa"/>
            <w:tcBorders>
              <w:top w:val="single" w:sz="4" w:space="0" w:color="auto"/>
              <w:left w:val="single" w:sz="4" w:space="0" w:color="auto"/>
              <w:right w:val="single" w:sz="4" w:space="0" w:color="auto"/>
            </w:tcBorders>
          </w:tcPr>
          <w:p w:rsidR="00ED3B7C" w:rsidRPr="00ED3B7C" w:rsidRDefault="00ED3B7C">
            <w:pPr>
              <w:rPr>
                <w:b/>
                <w:color w:val="FF0000"/>
                <w:sz w:val="24"/>
                <w:szCs w:val="24"/>
              </w:rPr>
            </w:pPr>
            <w:r>
              <w:rPr>
                <w:b/>
                <w:color w:val="FF0000"/>
                <w:sz w:val="24"/>
                <w:szCs w:val="24"/>
              </w:rPr>
              <w:t xml:space="preserve">Q1 Is the National Museum of the Royal Navy happy to work with a principal contractor and their subcontractors? </w:t>
            </w:r>
          </w:p>
        </w:tc>
      </w:tr>
      <w:tr w:rsidR="00ED3B7C" w:rsidTr="00ED3B7C">
        <w:tc>
          <w:tcPr>
            <w:tcW w:w="9242" w:type="dxa"/>
            <w:tcBorders>
              <w:left w:val="single" w:sz="4" w:space="0" w:color="auto"/>
              <w:bottom w:val="single" w:sz="4" w:space="0" w:color="auto"/>
              <w:right w:val="single" w:sz="4" w:space="0" w:color="auto"/>
            </w:tcBorders>
          </w:tcPr>
          <w:p w:rsidR="00ED3B7C" w:rsidRPr="00ED3B7C" w:rsidRDefault="00ED3B7C">
            <w:pPr>
              <w:rPr>
                <w:sz w:val="24"/>
                <w:szCs w:val="24"/>
              </w:rPr>
            </w:pPr>
            <w:r>
              <w:rPr>
                <w:sz w:val="24"/>
                <w:szCs w:val="24"/>
              </w:rPr>
              <w:t>Yes, we anticipated this to be likely because there are distinct areas of this ITT, Exhibition design and build, and digital content.</w:t>
            </w:r>
          </w:p>
        </w:tc>
      </w:tr>
      <w:tr w:rsidR="00ED3B7C" w:rsidTr="00ED3B7C">
        <w:tc>
          <w:tcPr>
            <w:tcW w:w="9242" w:type="dxa"/>
            <w:tcBorders>
              <w:top w:val="single" w:sz="4" w:space="0" w:color="auto"/>
            </w:tcBorders>
          </w:tcPr>
          <w:p w:rsidR="00ED3B7C" w:rsidRPr="00862358" w:rsidRDefault="00862358">
            <w:pPr>
              <w:rPr>
                <w:b/>
                <w:sz w:val="24"/>
                <w:szCs w:val="24"/>
              </w:rPr>
            </w:pPr>
            <w:r w:rsidRPr="00862358">
              <w:rPr>
                <w:b/>
                <w:color w:val="FF0000"/>
                <w:sz w:val="24"/>
                <w:szCs w:val="24"/>
              </w:rPr>
              <w:t>Q2 Is this is an open process closing on 8 April and that there is no requirement to make an initial qualification submission or formally register?</w:t>
            </w:r>
          </w:p>
        </w:tc>
      </w:tr>
      <w:tr w:rsidR="00ED3B7C" w:rsidTr="00ED3B7C">
        <w:tc>
          <w:tcPr>
            <w:tcW w:w="9242" w:type="dxa"/>
          </w:tcPr>
          <w:p w:rsidR="00ED3B7C" w:rsidRPr="00862358" w:rsidRDefault="00862358">
            <w:pPr>
              <w:rPr>
                <w:bCs/>
                <w:sz w:val="24"/>
                <w:szCs w:val="24"/>
              </w:rPr>
            </w:pPr>
            <w:r w:rsidRPr="00862358">
              <w:rPr>
                <w:bCs/>
                <w:sz w:val="24"/>
                <w:szCs w:val="24"/>
              </w:rPr>
              <w:t>It is an open process – there’s no need to register, but the supplier must submit their tenders to the correct email address (</w:t>
            </w:r>
            <w:hyperlink r:id="rId7" w:history="1">
              <w:r w:rsidRPr="00862358">
                <w:rPr>
                  <w:rStyle w:val="Hyperlink"/>
                  <w:bCs/>
                  <w:color w:val="0070C0"/>
                  <w:sz w:val="24"/>
                  <w:szCs w:val="24"/>
                </w:rPr>
                <w:t>tenders@nmrn.org.uk</w:t>
              </w:r>
            </w:hyperlink>
            <w:r w:rsidRPr="00862358">
              <w:rPr>
                <w:bCs/>
                <w:sz w:val="24"/>
                <w:szCs w:val="24"/>
              </w:rPr>
              <w:t>)</w:t>
            </w:r>
          </w:p>
        </w:tc>
      </w:tr>
      <w:tr w:rsidR="00ED3B7C" w:rsidTr="00ED3B7C">
        <w:tc>
          <w:tcPr>
            <w:tcW w:w="9242" w:type="dxa"/>
          </w:tcPr>
          <w:p w:rsidR="00ED3B7C" w:rsidRPr="00862358" w:rsidRDefault="00862358">
            <w:pPr>
              <w:rPr>
                <w:b/>
                <w:sz w:val="24"/>
                <w:szCs w:val="24"/>
              </w:rPr>
            </w:pPr>
            <w:r>
              <w:rPr>
                <w:b/>
                <w:color w:val="FF0000"/>
                <w:sz w:val="24"/>
                <w:szCs w:val="24"/>
              </w:rPr>
              <w:t xml:space="preserve">Q3 </w:t>
            </w:r>
            <w:r w:rsidRPr="00862358">
              <w:rPr>
                <w:b/>
                <w:color w:val="FF0000"/>
                <w:sz w:val="24"/>
                <w:szCs w:val="24"/>
              </w:rPr>
              <w:t>The brief mentions “pods” that will visit sites other than Chatham and Portsmouth. Will this be happening concurrently with the main exhibitions or will these pods be elements of the main exhibitions that will tour smaller venues after the Portsmouth exhibition has closed?</w:t>
            </w:r>
          </w:p>
        </w:tc>
      </w:tr>
      <w:tr w:rsidR="00ED3B7C" w:rsidTr="00ED3B7C">
        <w:tc>
          <w:tcPr>
            <w:tcW w:w="9242" w:type="dxa"/>
          </w:tcPr>
          <w:p w:rsidR="00ED3B7C" w:rsidRPr="00862358" w:rsidRDefault="00862358">
            <w:pPr>
              <w:rPr>
                <w:bCs/>
                <w:sz w:val="24"/>
                <w:szCs w:val="24"/>
              </w:rPr>
            </w:pPr>
            <w:r w:rsidRPr="00862358">
              <w:rPr>
                <w:bCs/>
                <w:sz w:val="24"/>
                <w:szCs w:val="24"/>
              </w:rPr>
              <w:t>Yes – these pods will be elements of the main exhibition that will tour to smaller venues after the Portsmouth exhibition has closed.</w:t>
            </w:r>
          </w:p>
        </w:tc>
      </w:tr>
      <w:tr w:rsidR="00ED3B7C" w:rsidTr="00862358">
        <w:trPr>
          <w:trHeight w:val="968"/>
        </w:trPr>
        <w:tc>
          <w:tcPr>
            <w:tcW w:w="9242" w:type="dxa"/>
          </w:tcPr>
          <w:p w:rsidR="00ED3B7C" w:rsidRPr="00862358" w:rsidRDefault="00862358">
            <w:pPr>
              <w:rPr>
                <w:b/>
                <w:sz w:val="24"/>
                <w:szCs w:val="24"/>
              </w:rPr>
            </w:pPr>
            <w:r w:rsidRPr="00862358">
              <w:rPr>
                <w:b/>
                <w:color w:val="FF0000"/>
                <w:sz w:val="24"/>
                <w:szCs w:val="24"/>
              </w:rPr>
              <w:t>Q4 Are we able to engage the software developers who have produced the current digital assets? If not will the work they have produced be available for development into viable exhibition experiences for a general audience?</w:t>
            </w:r>
          </w:p>
        </w:tc>
      </w:tr>
      <w:tr w:rsidR="00ED3B7C" w:rsidTr="00ED3B7C">
        <w:tc>
          <w:tcPr>
            <w:tcW w:w="9242" w:type="dxa"/>
          </w:tcPr>
          <w:p w:rsidR="00ED3B7C" w:rsidRPr="00B34105" w:rsidRDefault="00862358">
            <w:pPr>
              <w:rPr>
                <w:bCs/>
                <w:sz w:val="24"/>
                <w:szCs w:val="24"/>
              </w:rPr>
            </w:pPr>
            <w:r w:rsidRPr="00862358">
              <w:rPr>
                <w:bCs/>
                <w:sz w:val="24"/>
                <w:szCs w:val="24"/>
              </w:rPr>
              <w:t xml:space="preserve">The people who produced the current digital content are </w:t>
            </w:r>
            <w:proofErr w:type="spellStart"/>
            <w:r w:rsidRPr="00862358">
              <w:rPr>
                <w:bCs/>
                <w:sz w:val="24"/>
                <w:szCs w:val="24"/>
              </w:rPr>
              <w:t>Artas</w:t>
            </w:r>
            <w:proofErr w:type="spellEnd"/>
            <w:r w:rsidRPr="00862358">
              <w:rPr>
                <w:bCs/>
                <w:sz w:val="24"/>
                <w:szCs w:val="24"/>
              </w:rPr>
              <w:t xml:space="preserve"> Media</w:t>
            </w:r>
            <w:r>
              <w:t xml:space="preserve"> </w:t>
            </w:r>
            <w:hyperlink r:id="rId8" w:history="1">
              <w:r>
                <w:rPr>
                  <w:rStyle w:val="Hyperlink"/>
                </w:rPr>
                <w:t>https://artasmedia.com/</w:t>
              </w:r>
            </w:hyperlink>
            <w:r>
              <w:rPr>
                <w:color w:val="1F497D"/>
              </w:rPr>
              <w:t xml:space="preserve"> </w:t>
            </w:r>
            <w:r w:rsidRPr="00862358">
              <w:rPr>
                <w:bCs/>
                <w:sz w:val="24"/>
                <w:szCs w:val="24"/>
              </w:rPr>
              <w:t xml:space="preserve">and would be available to engage. Previous film footage and photography has been taken by Michael </w:t>
            </w:r>
            <w:proofErr w:type="gramStart"/>
            <w:r w:rsidRPr="00862358">
              <w:rPr>
                <w:bCs/>
                <w:sz w:val="24"/>
                <w:szCs w:val="24"/>
              </w:rPr>
              <w:t>Pitts</w:t>
            </w:r>
            <w:r w:rsidRPr="00862358">
              <w:t xml:space="preserve">  </w:t>
            </w:r>
            <w:proofErr w:type="gramEnd"/>
            <w:r>
              <w:rPr>
                <w:color w:val="1F497D"/>
              </w:rPr>
              <w:fldChar w:fldCharType="begin"/>
            </w:r>
            <w:r>
              <w:rPr>
                <w:color w:val="1F497D"/>
              </w:rPr>
              <w:instrText xml:space="preserve"> HYPERLINK "http://www.michaelpitts.co.uk/index.php" </w:instrText>
            </w:r>
            <w:r>
              <w:rPr>
                <w:color w:val="1F497D"/>
              </w:rPr>
              <w:fldChar w:fldCharType="separate"/>
            </w:r>
            <w:r>
              <w:rPr>
                <w:rStyle w:val="Hyperlink"/>
              </w:rPr>
              <w:t>http://www.michaelpitts.co.uk/index.php</w:t>
            </w:r>
            <w:r>
              <w:rPr>
                <w:color w:val="1F497D"/>
              </w:rPr>
              <w:fldChar w:fldCharType="end"/>
            </w:r>
            <w:r>
              <w:rPr>
                <w:color w:val="1F497D"/>
              </w:rPr>
              <w:t xml:space="preserve"> </w:t>
            </w:r>
            <w:r w:rsidRPr="00862358">
              <w:rPr>
                <w:bCs/>
                <w:sz w:val="24"/>
                <w:szCs w:val="24"/>
              </w:rPr>
              <w:t>and  edited by Neil Lucas</w:t>
            </w:r>
            <w:r w:rsidRPr="00862358">
              <w:t xml:space="preserve"> </w:t>
            </w:r>
            <w:hyperlink r:id="rId9" w:history="1">
              <w:r>
                <w:rPr>
                  <w:rStyle w:val="Hyperlink"/>
                </w:rPr>
                <w:t>http://www.lucasproductions.com/</w:t>
              </w:r>
            </w:hyperlink>
            <w:r>
              <w:rPr>
                <w:color w:val="1F497D"/>
              </w:rPr>
              <w:t xml:space="preserve"> </w:t>
            </w:r>
            <w:r w:rsidRPr="00862358">
              <w:rPr>
                <w:bCs/>
                <w:sz w:val="24"/>
                <w:szCs w:val="24"/>
              </w:rPr>
              <w:t>both are also available to engage.</w:t>
            </w:r>
            <w:r w:rsidR="00D0346F">
              <w:rPr>
                <w:bCs/>
                <w:sz w:val="24"/>
                <w:szCs w:val="24"/>
              </w:rPr>
              <w:t xml:space="preserve"> Using </w:t>
            </w:r>
            <w:proofErr w:type="spellStart"/>
            <w:r w:rsidR="00B34105">
              <w:rPr>
                <w:bCs/>
                <w:sz w:val="24"/>
                <w:szCs w:val="24"/>
              </w:rPr>
              <w:t>Artas</w:t>
            </w:r>
            <w:proofErr w:type="spellEnd"/>
            <w:r w:rsidR="00B34105">
              <w:rPr>
                <w:bCs/>
                <w:sz w:val="24"/>
                <w:szCs w:val="24"/>
              </w:rPr>
              <w:t xml:space="preserve"> media and Michael </w:t>
            </w:r>
            <w:proofErr w:type="gramStart"/>
            <w:r w:rsidR="00B34105">
              <w:rPr>
                <w:bCs/>
                <w:sz w:val="24"/>
                <w:szCs w:val="24"/>
              </w:rPr>
              <w:t>Pitts</w:t>
            </w:r>
            <w:proofErr w:type="gramEnd"/>
            <w:r w:rsidR="00D0346F">
              <w:rPr>
                <w:bCs/>
                <w:sz w:val="24"/>
                <w:szCs w:val="24"/>
              </w:rPr>
              <w:t xml:space="preserve"> </w:t>
            </w:r>
            <w:r w:rsidR="00B34105">
              <w:rPr>
                <w:bCs/>
                <w:sz w:val="24"/>
                <w:szCs w:val="24"/>
              </w:rPr>
              <w:t xml:space="preserve">previous </w:t>
            </w:r>
            <w:r w:rsidR="00D0346F">
              <w:rPr>
                <w:bCs/>
                <w:sz w:val="24"/>
                <w:szCs w:val="24"/>
              </w:rPr>
              <w:t>work independently would require negotiation</w:t>
            </w:r>
            <w:r w:rsidR="00B34105">
              <w:rPr>
                <w:bCs/>
                <w:sz w:val="24"/>
                <w:szCs w:val="24"/>
              </w:rPr>
              <w:t xml:space="preserve"> over copyright</w:t>
            </w:r>
            <w:r w:rsidR="00D0346F">
              <w:rPr>
                <w:bCs/>
                <w:sz w:val="24"/>
                <w:szCs w:val="24"/>
              </w:rPr>
              <w:t xml:space="preserve"> but this is entirely possible.</w:t>
            </w:r>
            <w:r w:rsidRPr="00862358">
              <w:rPr>
                <w:bCs/>
                <w:sz w:val="24"/>
                <w:szCs w:val="24"/>
              </w:rPr>
              <w:t xml:space="preserve"> Due to time constraints of the final dive excavation season, we have commissioned a</w:t>
            </w:r>
            <w:r w:rsidR="00B34105">
              <w:rPr>
                <w:bCs/>
                <w:sz w:val="24"/>
                <w:szCs w:val="24"/>
              </w:rPr>
              <w:t xml:space="preserve"> new</w:t>
            </w:r>
            <w:r w:rsidRPr="00862358">
              <w:rPr>
                <w:bCs/>
                <w:sz w:val="24"/>
                <w:szCs w:val="24"/>
              </w:rPr>
              <w:t xml:space="preserve"> film (raw footage only) of both the underwater excavation and a short ‘making of’ documentary to be filmed by Michael Pitts (funded separately to the ITT). Editing of the footage has not been commissioned yet and would need to be included in </w:t>
            </w:r>
            <w:r w:rsidR="00D0346F">
              <w:rPr>
                <w:bCs/>
                <w:sz w:val="24"/>
                <w:szCs w:val="24"/>
              </w:rPr>
              <w:t xml:space="preserve">this tender </w:t>
            </w:r>
            <w:r w:rsidRPr="00862358">
              <w:rPr>
                <w:bCs/>
                <w:sz w:val="24"/>
                <w:szCs w:val="24"/>
              </w:rPr>
              <w:t>funding.</w:t>
            </w:r>
            <w:r w:rsidR="00D0346F">
              <w:rPr>
                <w:bCs/>
                <w:sz w:val="24"/>
                <w:szCs w:val="24"/>
              </w:rPr>
              <w:t xml:space="preserve"> The film commissioned by the NMRN would be available for use as we would hold the copyright. </w:t>
            </w:r>
            <w:r w:rsidR="00B34105">
              <w:rPr>
                <w:bCs/>
                <w:sz w:val="24"/>
                <w:szCs w:val="24"/>
              </w:rPr>
              <w:t>It</w:t>
            </w:r>
            <w:r w:rsidR="00D0346F">
              <w:rPr>
                <w:bCs/>
                <w:sz w:val="24"/>
                <w:szCs w:val="24"/>
              </w:rPr>
              <w:t xml:space="preserve"> is up to the principal contractor to select their sub-contractors</w:t>
            </w:r>
            <w:r w:rsidR="00B97298">
              <w:rPr>
                <w:bCs/>
                <w:sz w:val="24"/>
                <w:szCs w:val="24"/>
              </w:rPr>
              <w:t>,</w:t>
            </w:r>
            <w:r w:rsidR="00D0346F">
              <w:rPr>
                <w:bCs/>
                <w:sz w:val="24"/>
                <w:szCs w:val="24"/>
              </w:rPr>
              <w:t xml:space="preserve"> </w:t>
            </w:r>
            <w:r w:rsidR="00B34105">
              <w:rPr>
                <w:bCs/>
                <w:sz w:val="24"/>
                <w:szCs w:val="24"/>
              </w:rPr>
              <w:t>we are open to any suggestions but reserve the right to veto sub-contractors for the digital design element of the ITT and suggest alternatives.</w:t>
            </w:r>
          </w:p>
        </w:tc>
      </w:tr>
      <w:tr w:rsidR="00ED3B7C" w:rsidTr="00ED3B7C">
        <w:tc>
          <w:tcPr>
            <w:tcW w:w="9242" w:type="dxa"/>
          </w:tcPr>
          <w:p w:rsidR="00ED3B7C" w:rsidRPr="00D0346F" w:rsidRDefault="00B34105">
            <w:pPr>
              <w:rPr>
                <w:b/>
                <w:sz w:val="24"/>
                <w:szCs w:val="24"/>
              </w:rPr>
            </w:pPr>
            <w:r>
              <w:rPr>
                <w:b/>
                <w:color w:val="FF0000"/>
                <w:sz w:val="24"/>
                <w:szCs w:val="24"/>
              </w:rPr>
              <w:t xml:space="preserve">Q5 </w:t>
            </w:r>
            <w:r w:rsidR="00D0346F" w:rsidRPr="00D0346F">
              <w:rPr>
                <w:b/>
                <w:color w:val="FF0000"/>
                <w:sz w:val="24"/>
                <w:szCs w:val="24"/>
              </w:rPr>
              <w:t>Do you require creative credentials and financial standing as part of the submission?</w:t>
            </w:r>
          </w:p>
        </w:tc>
      </w:tr>
      <w:tr w:rsidR="00ED3B7C" w:rsidTr="00ED3B7C">
        <w:tc>
          <w:tcPr>
            <w:tcW w:w="9242" w:type="dxa"/>
          </w:tcPr>
          <w:p w:rsidR="00ED3B7C" w:rsidRPr="00B34105" w:rsidRDefault="00D0346F">
            <w:pPr>
              <w:rPr>
                <w:bCs/>
                <w:sz w:val="24"/>
                <w:szCs w:val="24"/>
              </w:rPr>
            </w:pPr>
            <w:r w:rsidRPr="00D0346F">
              <w:rPr>
                <w:bCs/>
                <w:sz w:val="24"/>
                <w:szCs w:val="24"/>
              </w:rPr>
              <w:t xml:space="preserve">We will do a credit check, so good financial standing is imperative. Annex 2 </w:t>
            </w:r>
            <w:r w:rsidR="00B97298">
              <w:rPr>
                <w:bCs/>
                <w:sz w:val="24"/>
                <w:szCs w:val="24"/>
              </w:rPr>
              <w:t xml:space="preserve">in the ITT </w:t>
            </w:r>
            <w:r w:rsidRPr="00D0346F">
              <w:rPr>
                <w:bCs/>
                <w:sz w:val="24"/>
                <w:szCs w:val="24"/>
              </w:rPr>
              <w:t xml:space="preserve">sets out our requirements – we ask for CVs with no more than 200 words on up to 3 projects the lead designer has worked on and we set out our financial requirements in part 2 of Annex 2, which includes the requirement to supply details about accounts, cash flow and turnover. Further information about relevant skills can be found under ‘4.4 Evaluation Criteria’ of the </w:t>
            </w:r>
            <w:r w:rsidRPr="00D0346F">
              <w:rPr>
                <w:bCs/>
                <w:sz w:val="24"/>
                <w:szCs w:val="24"/>
              </w:rPr>
              <w:lastRenderedPageBreak/>
              <w:t>ITT.</w:t>
            </w:r>
          </w:p>
        </w:tc>
      </w:tr>
      <w:tr w:rsidR="00ED3B7C" w:rsidTr="00ED3B7C">
        <w:tc>
          <w:tcPr>
            <w:tcW w:w="9242" w:type="dxa"/>
          </w:tcPr>
          <w:p w:rsidR="00ED3B7C" w:rsidRPr="00B34105" w:rsidRDefault="00B34105">
            <w:pPr>
              <w:rPr>
                <w:b/>
                <w:sz w:val="24"/>
                <w:szCs w:val="24"/>
              </w:rPr>
            </w:pPr>
            <w:r>
              <w:rPr>
                <w:b/>
                <w:color w:val="FF0000"/>
                <w:sz w:val="24"/>
                <w:szCs w:val="24"/>
              </w:rPr>
              <w:lastRenderedPageBreak/>
              <w:t xml:space="preserve">Q6 </w:t>
            </w:r>
            <w:r w:rsidRPr="00B34105">
              <w:rPr>
                <w:b/>
                <w:color w:val="FF0000"/>
                <w:sz w:val="24"/>
                <w:szCs w:val="24"/>
              </w:rPr>
              <w:t xml:space="preserve">There is mention of a special tank for treatment </w:t>
            </w:r>
            <w:proofErr w:type="gramStart"/>
            <w:r w:rsidRPr="00B34105">
              <w:rPr>
                <w:b/>
                <w:color w:val="FF0000"/>
                <w:sz w:val="24"/>
                <w:szCs w:val="24"/>
              </w:rPr>
              <w:t>of a</w:t>
            </w:r>
            <w:proofErr w:type="gramEnd"/>
            <w:r w:rsidRPr="00B34105">
              <w:rPr>
                <w:b/>
                <w:color w:val="FF0000"/>
                <w:sz w:val="24"/>
                <w:szCs w:val="24"/>
              </w:rPr>
              <w:t xml:space="preserve"> cannon. Does this already exist or does a tank have to be made as part of the service?</w:t>
            </w:r>
          </w:p>
        </w:tc>
      </w:tr>
      <w:tr w:rsidR="00ED3B7C" w:rsidTr="00ED3B7C">
        <w:tc>
          <w:tcPr>
            <w:tcW w:w="9242" w:type="dxa"/>
          </w:tcPr>
          <w:p w:rsidR="00ED3B7C" w:rsidRPr="00B34105" w:rsidRDefault="00B34105">
            <w:pPr>
              <w:rPr>
                <w:bCs/>
              </w:rPr>
            </w:pPr>
            <w:r w:rsidRPr="00B34105">
              <w:rPr>
                <w:bCs/>
              </w:rPr>
              <w:t xml:space="preserve">We would like to find some way of demonstrating active conservation within the exhibition so the tank is only a suggestion but could be used to demonstrate conservation of one of the swivel guns found on the Invincible (a picture of the swivel gun can be found here </w:t>
            </w:r>
            <w:hyperlink r:id="rId10" w:history="1">
              <w:r w:rsidRPr="00B34105">
                <w:rPr>
                  <w:rStyle w:val="Hyperlink"/>
                </w:rPr>
                <w:t>http://archive.divernet.com/home-diving-news/p322301-hms-invincible:-swivel-guns-and-rubbish.html</w:t>
              </w:r>
            </w:hyperlink>
            <w:r>
              <w:rPr>
                <w:color w:val="7030A0"/>
              </w:rPr>
              <w:t xml:space="preserve"> </w:t>
            </w:r>
            <w:r w:rsidRPr="00B34105">
              <w:t>)</w:t>
            </w:r>
            <w:r w:rsidRPr="00B34105">
              <w:rPr>
                <w:bCs/>
                <w:color w:val="7030A0"/>
              </w:rPr>
              <w:t xml:space="preserve">. </w:t>
            </w:r>
            <w:r w:rsidRPr="00B34105">
              <w:rPr>
                <w:bCs/>
              </w:rPr>
              <w:t>The tank would have to be built.</w:t>
            </w:r>
          </w:p>
        </w:tc>
      </w:tr>
      <w:tr w:rsidR="00ED3B7C" w:rsidTr="00ED3B7C">
        <w:tc>
          <w:tcPr>
            <w:tcW w:w="9242" w:type="dxa"/>
          </w:tcPr>
          <w:p w:rsidR="00ED3B7C" w:rsidRPr="00B34105" w:rsidRDefault="00B34105">
            <w:pPr>
              <w:rPr>
                <w:b/>
                <w:sz w:val="24"/>
                <w:szCs w:val="24"/>
              </w:rPr>
            </w:pPr>
            <w:r>
              <w:rPr>
                <w:b/>
                <w:color w:val="FF0000"/>
                <w:sz w:val="24"/>
                <w:szCs w:val="24"/>
              </w:rPr>
              <w:t xml:space="preserve">Q7 </w:t>
            </w:r>
            <w:r w:rsidRPr="00B34105">
              <w:rPr>
                <w:b/>
                <w:color w:val="FF0000"/>
                <w:sz w:val="24"/>
                <w:szCs w:val="24"/>
              </w:rPr>
              <w:t xml:space="preserve">What level of prototyping and testing is envisaged? Will it be full testing of complete installations or “proof of concept” testing and evaluation earlier in the development </w:t>
            </w:r>
            <w:proofErr w:type="gramStart"/>
            <w:r w:rsidRPr="00B34105">
              <w:rPr>
                <w:b/>
                <w:color w:val="FF0000"/>
                <w:sz w:val="24"/>
                <w:szCs w:val="24"/>
              </w:rPr>
              <w:t>process.</w:t>
            </w:r>
            <w:proofErr w:type="gramEnd"/>
          </w:p>
        </w:tc>
      </w:tr>
      <w:tr w:rsidR="00ED3B7C" w:rsidTr="00ED3B7C">
        <w:tc>
          <w:tcPr>
            <w:tcW w:w="9242" w:type="dxa"/>
          </w:tcPr>
          <w:p w:rsidR="00ED3B7C" w:rsidRPr="00B34105" w:rsidRDefault="00B34105">
            <w:pPr>
              <w:rPr>
                <w:bCs/>
                <w:sz w:val="24"/>
                <w:szCs w:val="24"/>
              </w:rPr>
            </w:pPr>
            <w:r w:rsidRPr="00B34105">
              <w:rPr>
                <w:bCs/>
                <w:sz w:val="24"/>
                <w:szCs w:val="24"/>
              </w:rPr>
              <w:t>This may depend on the final designs – display panels could be tested through proof of concept, but more complex elements, such as the digital elements and interactives will require full testing.</w:t>
            </w:r>
          </w:p>
        </w:tc>
      </w:tr>
      <w:tr w:rsidR="00503698" w:rsidTr="00ED3B7C">
        <w:tc>
          <w:tcPr>
            <w:tcW w:w="9242" w:type="dxa"/>
          </w:tcPr>
          <w:p w:rsidR="00503698" w:rsidRPr="00B34105" w:rsidRDefault="00503698" w:rsidP="00503698">
            <w:pPr>
              <w:rPr>
                <w:bCs/>
                <w:sz w:val="24"/>
                <w:szCs w:val="24"/>
              </w:rPr>
            </w:pPr>
            <w:r>
              <w:rPr>
                <w:b/>
                <w:color w:val="FF0000"/>
                <w:sz w:val="24"/>
                <w:szCs w:val="24"/>
              </w:rPr>
              <w:t xml:space="preserve">Q8 How many modular </w:t>
            </w:r>
            <w:proofErr w:type="spellStart"/>
            <w:r>
              <w:rPr>
                <w:b/>
                <w:color w:val="FF0000"/>
                <w:sz w:val="24"/>
                <w:szCs w:val="24"/>
              </w:rPr>
              <w:t>sestions</w:t>
            </w:r>
            <w:proofErr w:type="spellEnd"/>
            <w:r>
              <w:rPr>
                <w:b/>
                <w:color w:val="FF0000"/>
                <w:sz w:val="24"/>
                <w:szCs w:val="24"/>
              </w:rPr>
              <w:t xml:space="preserve"> of wall are there at Chatham and what size are they?</w:t>
            </w:r>
          </w:p>
        </w:tc>
      </w:tr>
      <w:tr w:rsidR="00503698" w:rsidTr="00ED3B7C">
        <w:tc>
          <w:tcPr>
            <w:tcW w:w="9242" w:type="dxa"/>
          </w:tcPr>
          <w:p w:rsidR="00503698" w:rsidRDefault="00503698" w:rsidP="00503698">
            <w:pPr>
              <w:rPr>
                <w:rFonts w:eastAsia="Times New Roman" w:cs="Arial"/>
                <w:sz w:val="24"/>
                <w:szCs w:val="24"/>
              </w:rPr>
            </w:pPr>
            <w:r>
              <w:rPr>
                <w:rFonts w:eastAsia="Times New Roman" w:cs="Arial"/>
                <w:sz w:val="24"/>
                <w:szCs w:val="24"/>
              </w:rPr>
              <w:t xml:space="preserve">ITT and design brief states; </w:t>
            </w:r>
            <w:r w:rsidRPr="00503698">
              <w:rPr>
                <w:rFonts w:eastAsia="Times New Roman" w:cs="Arial"/>
                <w:i/>
                <w:sz w:val="24"/>
                <w:szCs w:val="24"/>
              </w:rPr>
              <w:t>The internal walling system is modular and can be moved to suit the layout of the exhibition. They are 800mm sections supported by aluminium frames. Minimum wall length is normally 2400mm, made up of 3 x 800mm modules.</w:t>
            </w:r>
            <w:r w:rsidRPr="00503698">
              <w:rPr>
                <w:rFonts w:eastAsia="Times New Roman" w:cs="Arial"/>
                <w:sz w:val="24"/>
                <w:szCs w:val="24"/>
              </w:rPr>
              <w:t> </w:t>
            </w:r>
          </w:p>
          <w:p w:rsidR="005A48C0" w:rsidRPr="005A48C0" w:rsidRDefault="005A48C0" w:rsidP="005A48C0">
            <w:pPr>
              <w:rPr>
                <w:rFonts w:cs="Arial"/>
                <w:sz w:val="24"/>
                <w:szCs w:val="24"/>
                <w:u w:val="single"/>
              </w:rPr>
            </w:pPr>
            <w:r w:rsidRPr="005A48C0">
              <w:rPr>
                <w:rFonts w:cs="Arial"/>
                <w:sz w:val="24"/>
                <w:szCs w:val="24"/>
                <w:u w:val="single"/>
              </w:rPr>
              <w:t>Further information from Chatham:</w:t>
            </w:r>
          </w:p>
          <w:p w:rsidR="005A48C0" w:rsidRPr="005A48C0" w:rsidRDefault="005A48C0" w:rsidP="005A48C0">
            <w:pPr>
              <w:rPr>
                <w:rFonts w:cs="Arial"/>
                <w:sz w:val="24"/>
                <w:szCs w:val="24"/>
              </w:rPr>
            </w:pPr>
            <w:r w:rsidRPr="005A48C0">
              <w:rPr>
                <w:rFonts w:cs="Arial"/>
                <w:sz w:val="24"/>
                <w:szCs w:val="24"/>
              </w:rPr>
              <w:t xml:space="preserve">We have 60 panels and sufficient framing to make </w:t>
            </w:r>
            <w:proofErr w:type="spellStart"/>
            <w:r w:rsidRPr="005A48C0">
              <w:rPr>
                <w:rFonts w:cs="Arial"/>
                <w:sz w:val="24"/>
                <w:szCs w:val="24"/>
              </w:rPr>
              <w:t>approx</w:t>
            </w:r>
            <w:proofErr w:type="spellEnd"/>
            <w:r w:rsidRPr="005A48C0">
              <w:rPr>
                <w:rFonts w:cs="Arial"/>
                <w:sz w:val="24"/>
                <w:szCs w:val="24"/>
              </w:rPr>
              <w:t xml:space="preserve"> 24 lin. </w:t>
            </w:r>
            <w:proofErr w:type="spellStart"/>
            <w:r w:rsidRPr="005A48C0">
              <w:rPr>
                <w:rFonts w:cs="Arial"/>
                <w:sz w:val="24"/>
                <w:szCs w:val="24"/>
              </w:rPr>
              <w:t>mtrs</w:t>
            </w:r>
            <w:proofErr w:type="spellEnd"/>
            <w:r w:rsidRPr="005A48C0">
              <w:rPr>
                <w:rFonts w:cs="Arial"/>
                <w:sz w:val="24"/>
                <w:szCs w:val="24"/>
              </w:rPr>
              <w:t xml:space="preserve">.  </w:t>
            </w:r>
            <w:proofErr w:type="gramStart"/>
            <w:r w:rsidRPr="005A48C0">
              <w:rPr>
                <w:rFonts w:cs="Arial"/>
                <w:sz w:val="24"/>
                <w:szCs w:val="24"/>
              </w:rPr>
              <w:t>depending</w:t>
            </w:r>
            <w:proofErr w:type="gramEnd"/>
            <w:r w:rsidRPr="005A48C0">
              <w:rPr>
                <w:rFonts w:cs="Arial"/>
                <w:sz w:val="24"/>
                <w:szCs w:val="24"/>
              </w:rPr>
              <w:t xml:space="preserve"> on configuration / ends / corners.  </w:t>
            </w:r>
          </w:p>
          <w:p w:rsidR="005A48C0" w:rsidRPr="005A48C0" w:rsidRDefault="005A48C0" w:rsidP="005A48C0">
            <w:pPr>
              <w:rPr>
                <w:rFonts w:cs="Arial"/>
                <w:sz w:val="24"/>
                <w:szCs w:val="24"/>
              </w:rPr>
            </w:pPr>
            <w:r w:rsidRPr="005A48C0">
              <w:rPr>
                <w:rFonts w:cs="Arial"/>
                <w:sz w:val="24"/>
                <w:szCs w:val="24"/>
              </w:rPr>
              <w:t xml:space="preserve">And the information as before they are 800mm sections with a minimum length of 2400mm. They are not available to be used at Portsmouth. </w:t>
            </w:r>
          </w:p>
          <w:p w:rsidR="00503698" w:rsidRPr="00B34105" w:rsidRDefault="00503698">
            <w:pPr>
              <w:rPr>
                <w:bCs/>
                <w:sz w:val="24"/>
                <w:szCs w:val="24"/>
              </w:rPr>
            </w:pPr>
            <w:bookmarkStart w:id="0" w:name="_GoBack"/>
            <w:bookmarkEnd w:id="0"/>
          </w:p>
        </w:tc>
      </w:tr>
      <w:tr w:rsidR="00503698" w:rsidTr="00ED3B7C">
        <w:tc>
          <w:tcPr>
            <w:tcW w:w="9242" w:type="dxa"/>
          </w:tcPr>
          <w:p w:rsidR="00503698" w:rsidRPr="00503698" w:rsidRDefault="00503698">
            <w:pPr>
              <w:rPr>
                <w:b/>
                <w:bCs/>
                <w:color w:val="FF0000"/>
                <w:sz w:val="24"/>
                <w:szCs w:val="24"/>
              </w:rPr>
            </w:pPr>
            <w:r>
              <w:rPr>
                <w:rFonts w:eastAsia="Times New Roman"/>
                <w:b/>
                <w:color w:val="FF0000"/>
                <w:sz w:val="24"/>
                <w:szCs w:val="24"/>
              </w:rPr>
              <w:t xml:space="preserve">Q 9 </w:t>
            </w:r>
            <w:r w:rsidRPr="00503698">
              <w:rPr>
                <w:rFonts w:eastAsia="Times New Roman"/>
                <w:b/>
                <w:color w:val="FF0000"/>
                <w:sz w:val="24"/>
                <w:szCs w:val="24"/>
              </w:rPr>
              <w:t>Could you elaborate on the requirements of the electrolysis display tank for the Invincible gun.</w:t>
            </w:r>
          </w:p>
        </w:tc>
      </w:tr>
      <w:tr w:rsidR="00503698" w:rsidTr="00ED3B7C">
        <w:tc>
          <w:tcPr>
            <w:tcW w:w="9242" w:type="dxa"/>
          </w:tcPr>
          <w:p w:rsidR="00503698" w:rsidRPr="00B34105" w:rsidRDefault="00503698">
            <w:pPr>
              <w:rPr>
                <w:bCs/>
                <w:sz w:val="24"/>
                <w:szCs w:val="24"/>
              </w:rPr>
            </w:pPr>
            <w:r>
              <w:rPr>
                <w:bCs/>
                <w:sz w:val="24"/>
                <w:szCs w:val="24"/>
              </w:rPr>
              <w:t>Please see the answer to Q6</w:t>
            </w:r>
            <w:r w:rsidR="00164385">
              <w:rPr>
                <w:bCs/>
                <w:sz w:val="24"/>
                <w:szCs w:val="24"/>
              </w:rPr>
              <w:t xml:space="preserve">. If we do choose the option of a display tank it will need to be designed to prevent public access but allow easy access and maintenance for museum staff. </w:t>
            </w:r>
          </w:p>
        </w:tc>
      </w:tr>
      <w:tr w:rsidR="00503698" w:rsidTr="00ED3B7C">
        <w:tc>
          <w:tcPr>
            <w:tcW w:w="9242" w:type="dxa"/>
          </w:tcPr>
          <w:p w:rsidR="00503698" w:rsidRPr="001634FB" w:rsidRDefault="001634FB">
            <w:pPr>
              <w:rPr>
                <w:rFonts w:eastAsia="Times New Roman"/>
                <w:b/>
                <w:color w:val="FF0000"/>
                <w:sz w:val="24"/>
                <w:szCs w:val="24"/>
              </w:rPr>
            </w:pPr>
            <w:r>
              <w:rPr>
                <w:rFonts w:eastAsia="Times New Roman"/>
                <w:b/>
                <w:color w:val="FF0000"/>
                <w:sz w:val="24"/>
                <w:szCs w:val="24"/>
              </w:rPr>
              <w:t xml:space="preserve">Q10 </w:t>
            </w:r>
            <w:r w:rsidR="00503698" w:rsidRPr="001634FB">
              <w:rPr>
                <w:rFonts w:eastAsia="Times New Roman"/>
                <w:b/>
                <w:color w:val="FF0000"/>
                <w:sz w:val="24"/>
                <w:szCs w:val="24"/>
              </w:rPr>
              <w:t xml:space="preserve">I understand we need to contact </w:t>
            </w:r>
            <w:hyperlink r:id="rId11" w:history="1">
              <w:r w:rsidR="00503698" w:rsidRPr="001634FB">
                <w:rPr>
                  <w:rStyle w:val="Hyperlink"/>
                  <w:rFonts w:eastAsia="Times New Roman"/>
                  <w:b/>
                  <w:color w:val="FF0000"/>
                  <w:sz w:val="24"/>
                  <w:szCs w:val="24"/>
                </w:rPr>
                <w:t>awels@chdt.org.uk</w:t>
              </w:r>
            </w:hyperlink>
            <w:r w:rsidR="00503698" w:rsidRPr="001634FB">
              <w:rPr>
                <w:rFonts w:eastAsia="Times New Roman"/>
                <w:b/>
                <w:color w:val="FF0000"/>
                <w:sz w:val="24"/>
                <w:szCs w:val="24"/>
              </w:rPr>
              <w:t> to arrange</w:t>
            </w:r>
            <w:r w:rsidRPr="001634FB">
              <w:rPr>
                <w:rFonts w:eastAsia="Times New Roman"/>
                <w:b/>
                <w:color w:val="FF0000"/>
                <w:sz w:val="24"/>
                <w:szCs w:val="24"/>
              </w:rPr>
              <w:t xml:space="preserve"> a site visit to Chatham</w:t>
            </w:r>
          </w:p>
        </w:tc>
      </w:tr>
      <w:tr w:rsidR="00503698" w:rsidTr="00ED3B7C">
        <w:tc>
          <w:tcPr>
            <w:tcW w:w="9242" w:type="dxa"/>
          </w:tcPr>
          <w:p w:rsidR="00503698" w:rsidRPr="00B34105" w:rsidRDefault="001634FB">
            <w:pPr>
              <w:rPr>
                <w:bCs/>
                <w:sz w:val="24"/>
                <w:szCs w:val="24"/>
              </w:rPr>
            </w:pPr>
            <w:r>
              <w:rPr>
                <w:bCs/>
                <w:sz w:val="24"/>
                <w:szCs w:val="24"/>
              </w:rPr>
              <w:t xml:space="preserve">The contact to arrange a site visit to Chatham is; </w:t>
            </w:r>
            <w:hyperlink r:id="rId12" w:history="1">
              <w:r w:rsidRPr="00061899">
                <w:rPr>
                  <w:rStyle w:val="Hyperlink"/>
                  <w:bCs/>
                  <w:sz w:val="24"/>
                  <w:szCs w:val="24"/>
                </w:rPr>
                <w:t>awelsh@chdt.org.uk</w:t>
              </w:r>
            </w:hyperlink>
            <w:r>
              <w:rPr>
                <w:bCs/>
                <w:sz w:val="24"/>
                <w:szCs w:val="24"/>
              </w:rPr>
              <w:t xml:space="preserve"> </w:t>
            </w:r>
          </w:p>
        </w:tc>
      </w:tr>
      <w:tr w:rsidR="00164385" w:rsidTr="00ED3B7C">
        <w:tc>
          <w:tcPr>
            <w:tcW w:w="9242" w:type="dxa"/>
          </w:tcPr>
          <w:p w:rsidR="00164385" w:rsidRDefault="00164385" w:rsidP="00164385">
            <w:pPr>
              <w:rPr>
                <w:bCs/>
                <w:sz w:val="24"/>
                <w:szCs w:val="24"/>
              </w:rPr>
            </w:pPr>
            <w:r>
              <w:rPr>
                <w:rFonts w:eastAsia="Times New Roman"/>
                <w:b/>
                <w:color w:val="FF0000"/>
                <w:sz w:val="24"/>
                <w:szCs w:val="24"/>
              </w:rPr>
              <w:t xml:space="preserve">The date for Interviews and presentations listed in the ITT has changed due to the Easter holidays. </w:t>
            </w:r>
          </w:p>
        </w:tc>
      </w:tr>
      <w:tr w:rsidR="00164385" w:rsidTr="00ED3B7C">
        <w:tc>
          <w:tcPr>
            <w:tcW w:w="9242" w:type="dxa"/>
          </w:tcPr>
          <w:p w:rsidR="00164385" w:rsidRDefault="00832A4B">
            <w:pPr>
              <w:rPr>
                <w:bCs/>
                <w:sz w:val="24"/>
                <w:szCs w:val="24"/>
              </w:rPr>
            </w:pPr>
            <w:r>
              <w:rPr>
                <w:bCs/>
                <w:sz w:val="24"/>
                <w:szCs w:val="24"/>
              </w:rPr>
              <w:t>The date is currently listed as the 22</w:t>
            </w:r>
            <w:r w:rsidRPr="00832A4B">
              <w:rPr>
                <w:bCs/>
                <w:sz w:val="24"/>
                <w:szCs w:val="24"/>
                <w:vertAlign w:val="superscript"/>
              </w:rPr>
              <w:t>nd</w:t>
            </w:r>
            <w:r>
              <w:rPr>
                <w:bCs/>
                <w:sz w:val="24"/>
                <w:szCs w:val="24"/>
              </w:rPr>
              <w:t xml:space="preserve"> </w:t>
            </w:r>
            <w:proofErr w:type="gramStart"/>
            <w:r>
              <w:rPr>
                <w:bCs/>
                <w:sz w:val="24"/>
                <w:szCs w:val="24"/>
              </w:rPr>
              <w:t>April,</w:t>
            </w:r>
            <w:proofErr w:type="gramEnd"/>
            <w:r>
              <w:rPr>
                <w:bCs/>
                <w:sz w:val="24"/>
                <w:szCs w:val="24"/>
              </w:rPr>
              <w:t xml:space="preserve"> the new date will be the 26</w:t>
            </w:r>
            <w:r w:rsidRPr="00832A4B">
              <w:rPr>
                <w:bCs/>
                <w:sz w:val="24"/>
                <w:szCs w:val="24"/>
                <w:vertAlign w:val="superscript"/>
              </w:rPr>
              <w:t>th</w:t>
            </w:r>
            <w:r>
              <w:rPr>
                <w:bCs/>
                <w:sz w:val="24"/>
                <w:szCs w:val="24"/>
              </w:rPr>
              <w:t xml:space="preserve"> April.</w:t>
            </w:r>
          </w:p>
        </w:tc>
      </w:tr>
    </w:tbl>
    <w:p w:rsidR="00ED3B7C" w:rsidRPr="00ED3B7C" w:rsidRDefault="00ED3B7C">
      <w:pPr>
        <w:rPr>
          <w:b/>
          <w:sz w:val="36"/>
          <w:szCs w:val="36"/>
        </w:rPr>
      </w:pPr>
    </w:p>
    <w:sectPr w:rsidR="00ED3B7C" w:rsidRPr="00ED3B7C">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3B7C" w:rsidRDefault="00ED3B7C" w:rsidP="00ED3B7C">
      <w:pPr>
        <w:spacing w:after="0" w:line="240" w:lineRule="auto"/>
      </w:pPr>
      <w:r>
        <w:separator/>
      </w:r>
    </w:p>
  </w:endnote>
  <w:endnote w:type="continuationSeparator" w:id="0">
    <w:p w:rsidR="00ED3B7C" w:rsidRDefault="00ED3B7C" w:rsidP="00ED3B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3B7C" w:rsidRDefault="00ED3B7C" w:rsidP="00ED3B7C">
      <w:pPr>
        <w:spacing w:after="0" w:line="240" w:lineRule="auto"/>
      </w:pPr>
      <w:r>
        <w:separator/>
      </w:r>
    </w:p>
  </w:footnote>
  <w:footnote w:type="continuationSeparator" w:id="0">
    <w:p w:rsidR="00ED3B7C" w:rsidRDefault="00ED3B7C" w:rsidP="00ED3B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B7C" w:rsidRDefault="00ED3B7C" w:rsidP="00ED3B7C">
    <w:pPr>
      <w:pStyle w:val="Header"/>
      <w:jc w:val="right"/>
    </w:pPr>
    <w:r>
      <w:rPr>
        <w:noProof/>
        <w:lang w:eastAsia="en-GB"/>
      </w:rPr>
      <w:drawing>
        <wp:inline distT="0" distB="0" distL="0" distR="0">
          <wp:extent cx="1994881" cy="114300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MRN Logo.jpg"/>
                  <pic:cNvPicPr/>
                </pic:nvPicPr>
                <pic:blipFill>
                  <a:blip r:embed="rId1">
                    <a:extLst>
                      <a:ext uri="{28A0092B-C50C-407E-A947-70E740481C1C}">
                        <a14:useLocalDpi xmlns:a14="http://schemas.microsoft.com/office/drawing/2010/main" val="0"/>
                      </a:ext>
                    </a:extLst>
                  </a:blip>
                  <a:stretch>
                    <a:fillRect/>
                  </a:stretch>
                </pic:blipFill>
                <pic:spPr>
                  <a:xfrm>
                    <a:off x="0" y="0"/>
                    <a:ext cx="1995054" cy="114309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B7C"/>
    <w:rsid w:val="001634FB"/>
    <w:rsid w:val="00164385"/>
    <w:rsid w:val="002A3672"/>
    <w:rsid w:val="00503698"/>
    <w:rsid w:val="005A48C0"/>
    <w:rsid w:val="00797032"/>
    <w:rsid w:val="00832A4B"/>
    <w:rsid w:val="00862358"/>
    <w:rsid w:val="00B34105"/>
    <w:rsid w:val="00B96161"/>
    <w:rsid w:val="00B97298"/>
    <w:rsid w:val="00D0346F"/>
    <w:rsid w:val="00ED3B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3B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B7C"/>
  </w:style>
  <w:style w:type="paragraph" w:styleId="Footer">
    <w:name w:val="footer"/>
    <w:basedOn w:val="Normal"/>
    <w:link w:val="FooterChar"/>
    <w:uiPriority w:val="99"/>
    <w:unhideWhenUsed/>
    <w:rsid w:val="00ED3B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B7C"/>
  </w:style>
  <w:style w:type="paragraph" w:styleId="BalloonText">
    <w:name w:val="Balloon Text"/>
    <w:basedOn w:val="Normal"/>
    <w:link w:val="BalloonTextChar"/>
    <w:uiPriority w:val="99"/>
    <w:semiHidden/>
    <w:unhideWhenUsed/>
    <w:rsid w:val="00ED3B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3B7C"/>
    <w:rPr>
      <w:rFonts w:ascii="Tahoma" w:hAnsi="Tahoma" w:cs="Tahoma"/>
      <w:sz w:val="16"/>
      <w:szCs w:val="16"/>
    </w:rPr>
  </w:style>
  <w:style w:type="table" w:styleId="TableGrid">
    <w:name w:val="Table Grid"/>
    <w:basedOn w:val="TableNormal"/>
    <w:uiPriority w:val="59"/>
    <w:rsid w:val="00ED3B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6235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3B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B7C"/>
  </w:style>
  <w:style w:type="paragraph" w:styleId="Footer">
    <w:name w:val="footer"/>
    <w:basedOn w:val="Normal"/>
    <w:link w:val="FooterChar"/>
    <w:uiPriority w:val="99"/>
    <w:unhideWhenUsed/>
    <w:rsid w:val="00ED3B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B7C"/>
  </w:style>
  <w:style w:type="paragraph" w:styleId="BalloonText">
    <w:name w:val="Balloon Text"/>
    <w:basedOn w:val="Normal"/>
    <w:link w:val="BalloonTextChar"/>
    <w:uiPriority w:val="99"/>
    <w:semiHidden/>
    <w:unhideWhenUsed/>
    <w:rsid w:val="00ED3B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3B7C"/>
    <w:rPr>
      <w:rFonts w:ascii="Tahoma" w:hAnsi="Tahoma" w:cs="Tahoma"/>
      <w:sz w:val="16"/>
      <w:szCs w:val="16"/>
    </w:rPr>
  </w:style>
  <w:style w:type="table" w:styleId="TableGrid">
    <w:name w:val="Table Grid"/>
    <w:basedOn w:val="TableNormal"/>
    <w:uiPriority w:val="59"/>
    <w:rsid w:val="00ED3B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623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31766">
      <w:bodyDiv w:val="1"/>
      <w:marLeft w:val="0"/>
      <w:marRight w:val="0"/>
      <w:marTop w:val="0"/>
      <w:marBottom w:val="0"/>
      <w:divBdr>
        <w:top w:val="none" w:sz="0" w:space="0" w:color="auto"/>
        <w:left w:val="none" w:sz="0" w:space="0" w:color="auto"/>
        <w:bottom w:val="none" w:sz="0" w:space="0" w:color="auto"/>
        <w:right w:val="none" w:sz="0" w:space="0" w:color="auto"/>
      </w:divBdr>
    </w:div>
    <w:div w:id="391319461">
      <w:bodyDiv w:val="1"/>
      <w:marLeft w:val="0"/>
      <w:marRight w:val="0"/>
      <w:marTop w:val="0"/>
      <w:marBottom w:val="0"/>
      <w:divBdr>
        <w:top w:val="none" w:sz="0" w:space="0" w:color="auto"/>
        <w:left w:val="none" w:sz="0" w:space="0" w:color="auto"/>
        <w:bottom w:val="none" w:sz="0" w:space="0" w:color="auto"/>
        <w:right w:val="none" w:sz="0" w:space="0" w:color="auto"/>
      </w:divBdr>
    </w:div>
    <w:div w:id="526336744">
      <w:bodyDiv w:val="1"/>
      <w:marLeft w:val="0"/>
      <w:marRight w:val="0"/>
      <w:marTop w:val="0"/>
      <w:marBottom w:val="0"/>
      <w:divBdr>
        <w:top w:val="none" w:sz="0" w:space="0" w:color="auto"/>
        <w:left w:val="none" w:sz="0" w:space="0" w:color="auto"/>
        <w:bottom w:val="none" w:sz="0" w:space="0" w:color="auto"/>
        <w:right w:val="none" w:sz="0" w:space="0" w:color="auto"/>
      </w:divBdr>
    </w:div>
    <w:div w:id="656109632">
      <w:bodyDiv w:val="1"/>
      <w:marLeft w:val="0"/>
      <w:marRight w:val="0"/>
      <w:marTop w:val="0"/>
      <w:marBottom w:val="0"/>
      <w:divBdr>
        <w:top w:val="none" w:sz="0" w:space="0" w:color="auto"/>
        <w:left w:val="none" w:sz="0" w:space="0" w:color="auto"/>
        <w:bottom w:val="none" w:sz="0" w:space="0" w:color="auto"/>
        <w:right w:val="none" w:sz="0" w:space="0" w:color="auto"/>
      </w:divBdr>
    </w:div>
    <w:div w:id="665861040">
      <w:bodyDiv w:val="1"/>
      <w:marLeft w:val="0"/>
      <w:marRight w:val="0"/>
      <w:marTop w:val="0"/>
      <w:marBottom w:val="0"/>
      <w:divBdr>
        <w:top w:val="none" w:sz="0" w:space="0" w:color="auto"/>
        <w:left w:val="none" w:sz="0" w:space="0" w:color="auto"/>
        <w:bottom w:val="none" w:sz="0" w:space="0" w:color="auto"/>
        <w:right w:val="none" w:sz="0" w:space="0" w:color="auto"/>
      </w:divBdr>
    </w:div>
    <w:div w:id="926232991">
      <w:bodyDiv w:val="1"/>
      <w:marLeft w:val="0"/>
      <w:marRight w:val="0"/>
      <w:marTop w:val="0"/>
      <w:marBottom w:val="0"/>
      <w:divBdr>
        <w:top w:val="none" w:sz="0" w:space="0" w:color="auto"/>
        <w:left w:val="none" w:sz="0" w:space="0" w:color="auto"/>
        <w:bottom w:val="none" w:sz="0" w:space="0" w:color="auto"/>
        <w:right w:val="none" w:sz="0" w:space="0" w:color="auto"/>
      </w:divBdr>
    </w:div>
    <w:div w:id="1363552458">
      <w:bodyDiv w:val="1"/>
      <w:marLeft w:val="0"/>
      <w:marRight w:val="0"/>
      <w:marTop w:val="0"/>
      <w:marBottom w:val="0"/>
      <w:divBdr>
        <w:top w:val="none" w:sz="0" w:space="0" w:color="auto"/>
        <w:left w:val="none" w:sz="0" w:space="0" w:color="auto"/>
        <w:bottom w:val="none" w:sz="0" w:space="0" w:color="auto"/>
        <w:right w:val="none" w:sz="0" w:space="0" w:color="auto"/>
      </w:divBdr>
    </w:div>
    <w:div w:id="1855461786">
      <w:bodyDiv w:val="1"/>
      <w:marLeft w:val="0"/>
      <w:marRight w:val="0"/>
      <w:marTop w:val="0"/>
      <w:marBottom w:val="0"/>
      <w:divBdr>
        <w:top w:val="none" w:sz="0" w:space="0" w:color="auto"/>
        <w:left w:val="none" w:sz="0" w:space="0" w:color="auto"/>
        <w:bottom w:val="none" w:sz="0" w:space="0" w:color="auto"/>
        <w:right w:val="none" w:sz="0" w:space="0" w:color="auto"/>
      </w:divBdr>
    </w:div>
    <w:div w:id="1860048187">
      <w:bodyDiv w:val="1"/>
      <w:marLeft w:val="0"/>
      <w:marRight w:val="0"/>
      <w:marTop w:val="0"/>
      <w:marBottom w:val="0"/>
      <w:divBdr>
        <w:top w:val="none" w:sz="0" w:space="0" w:color="auto"/>
        <w:left w:val="none" w:sz="0" w:space="0" w:color="auto"/>
        <w:bottom w:val="none" w:sz="0" w:space="0" w:color="auto"/>
        <w:right w:val="none" w:sz="0" w:space="0" w:color="auto"/>
      </w:divBdr>
    </w:div>
    <w:div w:id="2026901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tasmedia.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enders@nmrn.org.uk" TargetMode="External"/><Relationship Id="rId12" Type="http://schemas.openxmlformats.org/officeDocument/2006/relationships/hyperlink" Target="mailto:awelsh@chdt.org.u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awels@chdt.org.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archive.divernet.com/home-diving-news/p322301-hms-invincible:-swivel-guns-and-rubbish.html" TargetMode="External"/><Relationship Id="rId4" Type="http://schemas.openxmlformats.org/officeDocument/2006/relationships/webSettings" Target="webSettings.xml"/><Relationship Id="rId9" Type="http://schemas.openxmlformats.org/officeDocument/2006/relationships/hyperlink" Target="http://www.lucasproductions.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TotalTime>
  <Pages>2</Pages>
  <Words>820</Words>
  <Characters>4680</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Eileen Clegg</dc:creator>
  <cp:lastModifiedBy>Eileen Clegg</cp:lastModifiedBy>
  <cp:revision>5</cp:revision>
  <dcterms:created xsi:type="dcterms:W3CDTF">2019-03-25T11:23:00Z</dcterms:created>
  <dcterms:modified xsi:type="dcterms:W3CDTF">2019-03-27T14:12:00Z</dcterms:modified>
</cp:coreProperties>
</file>