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1E5" w:rsidRDefault="006A1580">
      <w:pPr>
        <w:pStyle w:val="Heading1"/>
      </w:pPr>
      <w:bookmarkStart w:id="0" w:name="_gjdgxs"/>
      <w:bookmarkStart w:id="1" w:name="_GoBack"/>
      <w:bookmarkEnd w:id="0"/>
      <w:bookmarkEnd w:id="1"/>
      <w:r>
        <w:t>Joint Schedule 1 (Definitions)</w:t>
      </w:r>
    </w:p>
    <w:p w:rsidR="00C161E5" w:rsidRDefault="006A1580">
      <w:pPr>
        <w:pStyle w:val="Standard"/>
        <w:numPr>
          <w:ilvl w:val="1"/>
          <w:numId w:val="16"/>
        </w:numPr>
        <w:tabs>
          <w:tab w:val="left" w:pos="1418"/>
        </w:tabs>
        <w:spacing w:before="120" w:after="120" w:line="240" w:lineRule="auto"/>
        <w:ind w:left="284"/>
        <w:jc w:val="both"/>
      </w:pPr>
      <w:r>
        <w:rPr>
          <w:rFonts w:ascii="Arial" w:eastAsia="Arial" w:hAnsi="Arial" w:cs="Arial"/>
          <w:color w:val="000000"/>
          <w:sz w:val="24"/>
          <w:szCs w:val="24"/>
        </w:rPr>
        <w:t>In each Contract, unless the context otherwise requires, capitalised expressions shall have the meanings set out in this Joint Schedule 1 (Definitions) or the relevant Schedule in which that capitalised expression appears.</w:t>
      </w:r>
    </w:p>
    <w:p w:rsidR="00C161E5" w:rsidRDefault="006A1580">
      <w:pPr>
        <w:pStyle w:val="Standard"/>
        <w:numPr>
          <w:ilvl w:val="1"/>
          <w:numId w:val="16"/>
        </w:numPr>
        <w:tabs>
          <w:tab w:val="left" w:pos="1418"/>
        </w:tabs>
        <w:spacing w:before="120" w:after="120" w:line="240" w:lineRule="auto"/>
        <w:ind w:left="284"/>
        <w:jc w:val="both"/>
      </w:pPr>
      <w:bookmarkStart w:id="2" w:name="_1fob9te"/>
      <w:bookmarkEnd w:id="2"/>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C161E5" w:rsidRDefault="006A1580">
      <w:pPr>
        <w:pStyle w:val="Standard"/>
        <w:keepNext/>
        <w:numPr>
          <w:ilvl w:val="1"/>
          <w:numId w:val="16"/>
        </w:numPr>
        <w:tabs>
          <w:tab w:val="left" w:pos="1418"/>
        </w:tabs>
        <w:spacing w:before="120" w:after="120" w:line="240" w:lineRule="auto"/>
        <w:ind w:left="284"/>
        <w:jc w:val="both"/>
      </w:pPr>
      <w:r>
        <w:rPr>
          <w:rFonts w:ascii="Arial" w:eastAsia="Arial" w:hAnsi="Arial" w:cs="Arial"/>
          <w:color w:val="000000"/>
          <w:sz w:val="24"/>
          <w:szCs w:val="24"/>
        </w:rPr>
        <w:t>In each Contract, unless the context otherwise requires:</w:t>
      </w:r>
    </w:p>
    <w:p w:rsidR="00C161E5" w:rsidRDefault="006A1580">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the singular includes the plural and vice versa;</w:t>
      </w:r>
    </w:p>
    <w:p w:rsidR="00C161E5" w:rsidRDefault="006A1580">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reference to a gender includes the other gender and the neuter;</w:t>
      </w:r>
    </w:p>
    <w:p w:rsidR="00C161E5" w:rsidRDefault="006A1580">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rsidR="00C161E5" w:rsidRDefault="006A1580">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a reference to any Law includes a reference to that Law as amended, extended, consolidated or re-enacted from time to time;</w:t>
      </w:r>
    </w:p>
    <w:p w:rsidR="00C161E5" w:rsidRDefault="006A1580">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rsidR="00C161E5" w:rsidRDefault="006A1580">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rsidR="00C161E5" w:rsidRDefault="006A1580">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w:t>
      </w:r>
    </w:p>
    <w:p w:rsidR="00C161E5" w:rsidRDefault="006A1580">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rsidR="00C161E5" w:rsidRDefault="006A1580">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w:t>
      </w:r>
    </w:p>
    <w:p w:rsidR="00C161E5" w:rsidRDefault="006A1580">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references to a series of Clauses or Paragraphs shall be inclusive of the clause numbers specified;</w:t>
      </w:r>
    </w:p>
    <w:p w:rsidR="00C161E5" w:rsidRDefault="006A1580">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the headings in each Contract are for ease of reference only and shall not affect the interpretation or construction of a Contract;</w:t>
      </w:r>
    </w:p>
    <w:p w:rsidR="00C161E5" w:rsidRDefault="006A1580">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where the Buyer is a Central Government Body it shall be treated as contracting with the Crown as a whole;</w:t>
      </w:r>
    </w:p>
    <w:p w:rsidR="00C161E5" w:rsidRDefault="006A1580">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 xml:space="preserve">any reference in a Contract which immediately before Exit Day is a reference </w:t>
      </w:r>
      <w:r>
        <w:rPr>
          <w:rFonts w:ascii="Arial" w:eastAsia="Arial" w:hAnsi="Arial" w:cs="Arial"/>
          <w:color w:val="000000"/>
          <w:sz w:val="24"/>
          <w:szCs w:val="24"/>
        </w:rPr>
        <w:lastRenderedPageBreak/>
        <w:t>to (as it has effect from time to time):</w:t>
      </w:r>
    </w:p>
    <w:p w:rsidR="00C161E5" w:rsidRDefault="006A1580">
      <w:pPr>
        <w:pStyle w:val="Standard"/>
        <w:numPr>
          <w:ilvl w:val="3"/>
          <w:numId w:val="16"/>
        </w:numPr>
        <w:tabs>
          <w:tab w:val="left" w:pos="4679"/>
          <w:tab w:val="left" w:pos="4821"/>
        </w:tabs>
        <w:spacing w:before="120" w:after="120" w:line="240" w:lineRule="auto"/>
        <w:ind w:left="2694" w:hanging="709"/>
        <w:jc w:val="both"/>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rsidR="00C161E5" w:rsidRDefault="006A1580">
      <w:pPr>
        <w:pStyle w:val="Standard"/>
        <w:numPr>
          <w:ilvl w:val="3"/>
          <w:numId w:val="16"/>
        </w:numPr>
        <w:tabs>
          <w:tab w:val="left" w:pos="4679"/>
          <w:tab w:val="left" w:pos="4821"/>
        </w:tabs>
        <w:spacing w:before="120" w:after="120" w:line="240" w:lineRule="auto"/>
        <w:ind w:left="2694" w:hanging="709"/>
        <w:jc w:val="both"/>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rsidR="00C161E5" w:rsidRDefault="006A1580">
      <w:pPr>
        <w:pStyle w:val="Standard"/>
        <w:numPr>
          <w:ilvl w:val="2"/>
          <w:numId w:val="16"/>
        </w:numPr>
        <w:tabs>
          <w:tab w:val="left" w:pos="2978"/>
          <w:tab w:val="left" w:pos="3120"/>
        </w:tabs>
        <w:spacing w:before="120" w:after="120" w:line="240" w:lineRule="auto"/>
        <w:ind w:left="993"/>
        <w:jc w:val="both"/>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rsidR="00C161E5" w:rsidRDefault="006A1580">
      <w:pPr>
        <w:pStyle w:val="Standard"/>
        <w:numPr>
          <w:ilvl w:val="2"/>
          <w:numId w:val="16"/>
        </w:numPr>
        <w:tabs>
          <w:tab w:val="left" w:pos="2978"/>
          <w:tab w:val="left" w:pos="3120"/>
        </w:tabs>
        <w:spacing w:before="120" w:after="120" w:line="240" w:lineRule="auto"/>
        <w:ind w:left="993"/>
        <w:jc w:val="both"/>
      </w:pPr>
      <w:proofErr w:type="gramStart"/>
      <w:r>
        <w:rPr>
          <w:rFonts w:ascii="Arial" w:eastAsia="Arial" w:hAnsi="Arial" w:cs="Arial"/>
          <w:color w:val="000000"/>
          <w:sz w:val="24"/>
          <w:szCs w:val="24"/>
        </w:rPr>
        <w:t>unless</w:t>
      </w:r>
      <w:proofErr w:type="gramEnd"/>
      <w:r>
        <w:rPr>
          <w:rFonts w:ascii="Arial" w:eastAsia="Arial" w:hAnsi="Arial" w:cs="Arial"/>
          <w:color w:val="000000"/>
          <w:sz w:val="24"/>
          <w:szCs w:val="24"/>
        </w:rPr>
        <w:t xml:space="preserve">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rsidR="00C161E5" w:rsidRDefault="006A1580">
      <w:pPr>
        <w:pStyle w:val="Standard"/>
        <w:keepNext/>
        <w:numPr>
          <w:ilvl w:val="1"/>
          <w:numId w:val="16"/>
        </w:numPr>
        <w:tabs>
          <w:tab w:val="left" w:pos="1418"/>
        </w:tabs>
        <w:spacing w:before="120" w:after="120" w:line="240" w:lineRule="auto"/>
        <w:ind w:left="284"/>
        <w:jc w:val="both"/>
      </w:pPr>
      <w:r>
        <w:rPr>
          <w:rFonts w:ascii="Arial" w:eastAsia="Arial" w:hAnsi="Arial" w:cs="Arial"/>
          <w:color w:val="000000"/>
          <w:sz w:val="24"/>
          <w:szCs w:val="24"/>
        </w:rPr>
        <w:t>In each Contract, unless the context otherwise requires, the following words shall have the following meanings:</w:t>
      </w:r>
    </w:p>
    <w:p w:rsidR="00C161E5" w:rsidRDefault="00C161E5">
      <w:pPr>
        <w:pStyle w:val="Standard"/>
        <w:keepNext/>
        <w:tabs>
          <w:tab w:val="left" w:pos="1701"/>
        </w:tabs>
        <w:spacing w:before="120" w:after="120" w:line="240" w:lineRule="auto"/>
        <w:ind w:left="567" w:hanging="567"/>
        <w:jc w:val="both"/>
        <w:rPr>
          <w:rFonts w:ascii="Arial" w:eastAsia="Arial" w:hAnsi="Arial" w:cs="Arial"/>
          <w:color w:val="000000"/>
          <w:sz w:val="24"/>
          <w:szCs w:val="24"/>
        </w:rPr>
      </w:pPr>
    </w:p>
    <w:tbl>
      <w:tblPr>
        <w:tblW w:w="9747" w:type="dxa"/>
        <w:tblLayout w:type="fixed"/>
        <w:tblCellMar>
          <w:left w:w="10" w:type="dxa"/>
          <w:right w:w="10" w:type="dxa"/>
        </w:tblCellMar>
        <w:tblLook w:val="0000" w:firstRow="0" w:lastRow="0" w:firstColumn="0" w:lastColumn="0" w:noHBand="0" w:noVBand="0"/>
      </w:tblPr>
      <w:tblGrid>
        <w:gridCol w:w="2403"/>
        <w:gridCol w:w="7344"/>
      </w:tblGrid>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bookmarkStart w:id="3" w:name="_3znysh7"/>
            <w:bookmarkEnd w:id="3"/>
            <w:r>
              <w:rPr>
                <w:rFonts w:ascii="Arial" w:eastAsia="Arial" w:hAnsi="Arial" w:cs="Arial"/>
                <w:b/>
                <w:color w:val="000000"/>
                <w:sz w:val="24"/>
                <w:szCs w:val="24"/>
              </w:rPr>
              <w:t>"Achieve"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"Additional Insurances"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insurance requirements relating to a Call-Off Contract specified in the Order Form additional to those outlined in Joint Schedule 3 (Insurance Requirements);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"Admin Fee”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"Affected Party"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Party seeking to claim relief in respect of a Force Majeure Event;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"Affiliates"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“Annex”</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extra information which supports a Schedule;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"Approval"</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"Audit"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Relevant Authority’s right to:</w:t>
            </w:r>
          </w:p>
          <w:p w:rsidR="00C161E5" w:rsidRDefault="006A1580">
            <w:pPr>
              <w:pStyle w:val="Standard"/>
              <w:numPr>
                <w:ilvl w:val="0"/>
                <w:numId w:val="25"/>
              </w:numPr>
              <w:tabs>
                <w:tab w:val="left" w:pos="282"/>
                <w:tab w:val="left" w:pos="452"/>
              </w:tabs>
              <w:spacing w:after="120" w:line="240" w:lineRule="auto"/>
              <w:ind w:left="461" w:hanging="288"/>
            </w:pPr>
            <w:r>
              <w:rPr>
                <w:rFonts w:ascii="Arial" w:eastAsia="Arial" w:hAnsi="Arial" w:cs="Arial"/>
                <w:color w:val="000000"/>
                <w:sz w:val="24"/>
                <w:szCs w:val="24"/>
              </w:rPr>
              <w:t xml:space="preserve">verify the accuracy of the Charges and any other amounts payable by a Buyer under a Call-Off Contract (including </w:t>
            </w:r>
            <w:r>
              <w:rPr>
                <w:rFonts w:ascii="Arial" w:eastAsia="Arial" w:hAnsi="Arial" w:cs="Arial"/>
                <w:color w:val="000000"/>
                <w:sz w:val="24"/>
                <w:szCs w:val="24"/>
              </w:rPr>
              <w:lastRenderedPageBreak/>
              <w:t>proposed or actual variations to them in accordance with the Contract);</w:t>
            </w:r>
          </w:p>
          <w:p w:rsidR="00C161E5" w:rsidRDefault="006A1580">
            <w:pPr>
              <w:pStyle w:val="Standard"/>
              <w:numPr>
                <w:ilvl w:val="0"/>
                <w:numId w:val="3"/>
              </w:numPr>
              <w:tabs>
                <w:tab w:val="left" w:pos="282"/>
                <w:tab w:val="left" w:pos="452"/>
              </w:tabs>
              <w:spacing w:after="120" w:line="240" w:lineRule="auto"/>
              <w:ind w:left="461" w:hanging="288"/>
            </w:pPr>
            <w:r>
              <w:rPr>
                <w:rFonts w:ascii="Arial" w:eastAsia="Arial" w:hAnsi="Arial" w:cs="Arial"/>
                <w:sz w:val="24"/>
                <w:szCs w:val="24"/>
              </w:rPr>
              <w:t>verify the costs of the Supplier (including the costs of all Subcontractors and any third party suppliers) in connection with the provision of the Deliverables;</w:t>
            </w:r>
          </w:p>
          <w:p w:rsidR="00C161E5" w:rsidRDefault="006A1580">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verify the Open Book Data;</w:t>
            </w:r>
          </w:p>
          <w:p w:rsidR="00C161E5" w:rsidRDefault="006A1580">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verify the Supplier’s and each Subcontractor’s compliance with the applicable Law;</w:t>
            </w:r>
          </w:p>
          <w:p w:rsidR="00C161E5" w:rsidRDefault="006A1580">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rsidR="00C161E5" w:rsidRDefault="006A1580">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rsidR="00C161E5" w:rsidRDefault="006A1580">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rsidR="00C161E5" w:rsidRDefault="006A1580">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review any books of account and the internal contract management accounts kept by the Supplier in connection with each Contract;</w:t>
            </w:r>
          </w:p>
          <w:p w:rsidR="00C161E5" w:rsidRDefault="006A1580">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rsidR="00C161E5" w:rsidRDefault="006A1580">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w:t>
            </w:r>
          </w:p>
          <w:p w:rsidR="00C161E5" w:rsidRDefault="006A1580">
            <w:pPr>
              <w:pStyle w:val="Standard"/>
              <w:numPr>
                <w:ilvl w:val="0"/>
                <w:numId w:val="3"/>
              </w:numPr>
              <w:tabs>
                <w:tab w:val="left" w:pos="282"/>
                <w:tab w:val="left" w:pos="452"/>
              </w:tabs>
              <w:spacing w:after="120" w:line="240" w:lineRule="auto"/>
              <w:ind w:left="461" w:hanging="288"/>
            </w:pPr>
            <w:r>
              <w:rPr>
                <w:rFonts w:ascii="Arial" w:eastAsia="Arial" w:hAnsi="Arial" w:cs="Arial"/>
                <w:color w:val="000000"/>
                <w:sz w:val="24"/>
                <w:szCs w:val="24"/>
              </w:rPr>
              <w:t>verify the accuracy and completeness of any:</w:t>
            </w:r>
          </w:p>
          <w:p w:rsidR="00C161E5" w:rsidRDefault="006A1580">
            <w:pPr>
              <w:pStyle w:val="Standard"/>
              <w:tabs>
                <w:tab w:val="left" w:pos="282"/>
                <w:tab w:val="left" w:pos="452"/>
              </w:tabs>
              <w:spacing w:after="120" w:line="240" w:lineRule="auto"/>
              <w:ind w:left="461"/>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Management Information delivered or required by the Framework Contrac</w:t>
            </w:r>
            <w:r>
              <w:rPr>
                <w:rFonts w:ascii="Arial" w:eastAsia="Arial" w:hAnsi="Arial" w:cs="Arial"/>
                <w:sz w:val="24"/>
                <w:szCs w:val="24"/>
              </w:rPr>
              <w:t>t; or</w:t>
            </w:r>
          </w:p>
          <w:p w:rsidR="00C161E5" w:rsidRDefault="006A1580">
            <w:pPr>
              <w:pStyle w:val="Standard"/>
              <w:tabs>
                <w:tab w:val="left" w:pos="282"/>
                <w:tab w:val="left" w:pos="452"/>
              </w:tabs>
              <w:spacing w:after="120" w:line="240" w:lineRule="auto"/>
              <w:ind w:left="461"/>
            </w:pPr>
            <w:r>
              <w:rPr>
                <w:rFonts w:ascii="Arial" w:eastAsia="Arial" w:hAnsi="Arial" w:cs="Arial"/>
                <w:sz w:val="24"/>
                <w:szCs w:val="24"/>
              </w:rPr>
              <w:t>(ii) Financial Report and compliance with Financial Transparency Objectives as specified by the Buyer in the Order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lastRenderedPageBreak/>
              <w:t>"Auditor"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numPr>
                <w:ilvl w:val="0"/>
                <w:numId w:val="26"/>
              </w:numPr>
              <w:tabs>
                <w:tab w:val="left" w:pos="322"/>
                <w:tab w:val="left" w:pos="492"/>
              </w:tabs>
              <w:spacing w:after="120" w:line="240" w:lineRule="auto"/>
              <w:ind w:left="501" w:hanging="331"/>
            </w:pPr>
            <w:r>
              <w:rPr>
                <w:rFonts w:ascii="Arial" w:eastAsia="Arial" w:hAnsi="Arial" w:cs="Arial"/>
                <w:color w:val="000000"/>
                <w:sz w:val="24"/>
                <w:szCs w:val="24"/>
              </w:rPr>
              <w:t>the Buyer’s internal and external auditors;</w:t>
            </w:r>
          </w:p>
          <w:p w:rsidR="00C161E5" w:rsidRDefault="006A1580">
            <w:pPr>
              <w:pStyle w:val="Standard"/>
              <w:numPr>
                <w:ilvl w:val="0"/>
                <w:numId w:val="24"/>
              </w:numPr>
              <w:tabs>
                <w:tab w:val="left" w:pos="282"/>
                <w:tab w:val="left" w:pos="452"/>
              </w:tabs>
              <w:spacing w:after="120" w:line="240" w:lineRule="auto"/>
              <w:ind w:left="461" w:hanging="288"/>
            </w:pPr>
            <w:r>
              <w:rPr>
                <w:rFonts w:ascii="Arial" w:eastAsia="Arial" w:hAnsi="Arial" w:cs="Arial"/>
                <w:color w:val="000000"/>
                <w:sz w:val="24"/>
                <w:szCs w:val="24"/>
              </w:rPr>
              <w:t>the Buyer’s statutory or regulatory auditors;</w:t>
            </w:r>
          </w:p>
          <w:p w:rsidR="00C161E5" w:rsidRDefault="006A1580">
            <w:pPr>
              <w:pStyle w:val="Standard"/>
              <w:numPr>
                <w:ilvl w:val="0"/>
                <w:numId w:val="24"/>
              </w:numPr>
              <w:tabs>
                <w:tab w:val="left" w:pos="282"/>
                <w:tab w:val="left" w:pos="452"/>
              </w:tabs>
              <w:spacing w:after="120" w:line="240" w:lineRule="auto"/>
              <w:ind w:left="461" w:hanging="288"/>
            </w:pPr>
            <w:r>
              <w:rPr>
                <w:rFonts w:ascii="Arial" w:eastAsia="Arial" w:hAnsi="Arial" w:cs="Arial"/>
                <w:color w:val="000000"/>
                <w:sz w:val="24"/>
                <w:szCs w:val="24"/>
              </w:rPr>
              <w:t>the Comptroller and Auditor General, their staff and/or any appointed representatives of the National Audit Office;</w:t>
            </w:r>
          </w:p>
          <w:p w:rsidR="00C161E5" w:rsidRDefault="006A1580">
            <w:pPr>
              <w:pStyle w:val="Standard"/>
              <w:numPr>
                <w:ilvl w:val="0"/>
                <w:numId w:val="24"/>
              </w:numPr>
              <w:tabs>
                <w:tab w:val="left" w:pos="282"/>
                <w:tab w:val="left" w:pos="452"/>
              </w:tabs>
              <w:spacing w:after="120" w:line="240" w:lineRule="auto"/>
              <w:ind w:left="461" w:hanging="288"/>
            </w:pPr>
            <w:r>
              <w:rPr>
                <w:rFonts w:ascii="Arial" w:eastAsia="Arial" w:hAnsi="Arial" w:cs="Arial"/>
                <w:color w:val="000000"/>
                <w:sz w:val="24"/>
                <w:szCs w:val="24"/>
              </w:rPr>
              <w:lastRenderedPageBreak/>
              <w:t>HM Treasury or the Cabinet Office;</w:t>
            </w:r>
          </w:p>
          <w:p w:rsidR="00C161E5" w:rsidRDefault="006A1580">
            <w:pPr>
              <w:pStyle w:val="Standard"/>
              <w:numPr>
                <w:ilvl w:val="0"/>
                <w:numId w:val="24"/>
              </w:numPr>
              <w:tabs>
                <w:tab w:val="left" w:pos="282"/>
                <w:tab w:val="left" w:pos="452"/>
              </w:tabs>
              <w:spacing w:after="120" w:line="240" w:lineRule="auto"/>
              <w:ind w:left="461" w:hanging="288"/>
            </w:pPr>
            <w:r>
              <w:rPr>
                <w:rFonts w:ascii="Arial" w:eastAsia="Arial" w:hAnsi="Arial" w:cs="Arial"/>
                <w:color w:val="000000"/>
                <w:sz w:val="24"/>
                <w:szCs w:val="24"/>
              </w:rPr>
              <w:t>any party formally appointed by the Buyer to carry out audit or similar review functions; and</w:t>
            </w:r>
          </w:p>
          <w:p w:rsidR="00C161E5" w:rsidRDefault="006A1580">
            <w:pPr>
              <w:pStyle w:val="Standard"/>
              <w:numPr>
                <w:ilvl w:val="0"/>
                <w:numId w:val="24"/>
              </w:numPr>
              <w:tabs>
                <w:tab w:val="left" w:pos="282"/>
                <w:tab w:val="left" w:pos="452"/>
              </w:tabs>
              <w:spacing w:after="120" w:line="240" w:lineRule="auto"/>
              <w:ind w:left="461" w:hanging="288"/>
            </w:pPr>
            <w:r>
              <w:rPr>
                <w:rFonts w:ascii="Arial" w:eastAsia="Arial" w:hAnsi="Arial" w:cs="Arial"/>
                <w:color w:val="000000"/>
                <w:sz w:val="24"/>
                <w:szCs w:val="24"/>
              </w:rPr>
              <w:t>successors or assigns of any of the above;</w:t>
            </w:r>
          </w:p>
        </w:tc>
      </w:tr>
      <w:tr w:rsidR="00C161E5">
        <w:trPr>
          <w:trHeight w:val="601"/>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lastRenderedPageBreak/>
              <w:t>"Authority"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line="240" w:lineRule="auto"/>
            </w:pPr>
            <w:r>
              <w:rPr>
                <w:rFonts w:ascii="Arial" w:eastAsia="Arial" w:hAnsi="Arial" w:cs="Arial"/>
                <w:sz w:val="24"/>
                <w:szCs w:val="24"/>
              </w:rPr>
              <w:t>CCS and each Buyer;</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line="240" w:lineRule="auto"/>
              <w:ind w:left="142"/>
            </w:pPr>
            <w:r>
              <w:rPr>
                <w:rFonts w:ascii="Arial" w:eastAsia="Arial" w:hAnsi="Arial" w:cs="Arial"/>
                <w:b/>
                <w:color w:val="000000"/>
                <w:sz w:val="24"/>
                <w:szCs w:val="24"/>
              </w:rPr>
              <w:t>"Authority Cause"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"BACS"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"Beneficiary"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 Party having (or claiming to have) the benefit of an indemnity under this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"Buyer"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relevant public sector purchaser identified as such in the Order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keepNext/>
              <w:spacing w:after="120" w:line="240" w:lineRule="auto"/>
              <w:ind w:left="142"/>
            </w:pPr>
            <w:r>
              <w:rPr>
                <w:rFonts w:ascii="Arial" w:eastAsia="Arial" w:hAnsi="Arial" w:cs="Arial"/>
                <w:b/>
                <w:color w:val="000000"/>
                <w:sz w:val="24"/>
                <w:szCs w:val="24"/>
              </w:rPr>
              <w:t>"Buyer Assets"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"Buyer Authorised Representative"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"Buyer Premises"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"Call-Off Contract"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"Call-Off Contract Period"</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Contract Period in respect of the Call-Off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"Call-Off Expiry Date"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scheduled date of the end of a Call-Off Contract as stated in the Order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"Call-Off Incorporated Terms"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contractual terms applicable to the Call-Off Contract specified under the relevant heading in the Order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"Call-Off Initial Period"</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Initial Period of a Call-Off Contract specified in the Order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 xml:space="preserve">"Call-Off Optional Extension </w:t>
            </w:r>
            <w:r>
              <w:rPr>
                <w:rFonts w:ascii="Arial" w:eastAsia="Arial" w:hAnsi="Arial" w:cs="Arial"/>
                <w:b/>
                <w:color w:val="000000"/>
                <w:sz w:val="24"/>
                <w:szCs w:val="24"/>
              </w:rPr>
              <w:lastRenderedPageBreak/>
              <w:t>Period"</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lastRenderedPageBreak/>
              <w:t xml:space="preserve">such period or periods beyond which the Call-Off Initial Period may </w:t>
            </w:r>
            <w:r>
              <w:rPr>
                <w:rFonts w:ascii="Arial" w:eastAsia="Arial" w:hAnsi="Arial" w:cs="Arial"/>
                <w:color w:val="000000"/>
                <w:sz w:val="24"/>
                <w:szCs w:val="24"/>
              </w:rPr>
              <w:lastRenderedPageBreak/>
              <w:t>be extended as specified in the Order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lastRenderedPageBreak/>
              <w:t>"Call-Off Procedure"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"Call-Off Special Terms"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any additional terms and conditions specified in the Order Form incorporated into the applicable Call-Off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"Call-Off Start Date"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date of start of a Call-Off Contract as stated in the Order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"Call-Off Tender"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"CCS"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"CCS Authorised Representative"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keepNext/>
              <w:spacing w:after="120" w:line="240" w:lineRule="auto"/>
              <w:ind w:left="142"/>
            </w:pPr>
            <w:r>
              <w:rPr>
                <w:rFonts w:ascii="Arial" w:eastAsia="Arial" w:hAnsi="Arial" w:cs="Arial"/>
                <w:b/>
                <w:color w:val="000000"/>
                <w:sz w:val="24"/>
                <w:szCs w:val="24"/>
              </w:rPr>
              <w:t>"Central Government Body"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 xml:space="preserve">a body listed in one of the following </w:t>
            </w:r>
            <w:r>
              <w:rPr>
                <w:rFonts w:ascii="Arial" w:eastAsia="Arial" w:hAnsi="Arial" w:cs="Arial"/>
                <w:sz w:val="24"/>
                <w:szCs w:val="24"/>
              </w:rPr>
              <w:t>subcategories</w:t>
            </w:r>
            <w:r>
              <w:rPr>
                <w:rFonts w:ascii="Arial" w:eastAsia="Arial" w:hAnsi="Arial" w:cs="Arial"/>
                <w:color w:val="000000"/>
                <w:sz w:val="24"/>
                <w:szCs w:val="24"/>
              </w:rPr>
              <w:t xml:space="preserve"> of the Central Government classification of the Public Sector Classification Guide, as published and amended from time to time by the Office for National Statistics:</w:t>
            </w:r>
          </w:p>
          <w:p w:rsidR="00C161E5" w:rsidRDefault="006A1580">
            <w:pPr>
              <w:pStyle w:val="Standard"/>
              <w:numPr>
                <w:ilvl w:val="1"/>
                <w:numId w:val="11"/>
              </w:numPr>
              <w:tabs>
                <w:tab w:val="left" w:pos="113"/>
                <w:tab w:val="left" w:pos="833"/>
              </w:tabs>
              <w:spacing w:after="120" w:line="240" w:lineRule="auto"/>
              <w:ind w:left="689" w:hanging="545"/>
            </w:pPr>
            <w:r>
              <w:rPr>
                <w:rFonts w:ascii="Arial" w:eastAsia="Arial" w:hAnsi="Arial" w:cs="Arial"/>
                <w:color w:val="000000"/>
                <w:sz w:val="24"/>
                <w:szCs w:val="24"/>
              </w:rPr>
              <w:t>Government Department;</w:t>
            </w:r>
          </w:p>
          <w:p w:rsidR="00C161E5" w:rsidRDefault="006A1580">
            <w:pPr>
              <w:pStyle w:val="Standard"/>
              <w:numPr>
                <w:ilvl w:val="1"/>
                <w:numId w:val="11"/>
              </w:numPr>
              <w:tabs>
                <w:tab w:val="left" w:pos="-144"/>
                <w:tab w:val="left" w:pos="576"/>
              </w:tabs>
              <w:spacing w:after="120" w:line="240" w:lineRule="auto"/>
              <w:ind w:hanging="288"/>
            </w:pPr>
            <w:r>
              <w:rPr>
                <w:rFonts w:ascii="Arial" w:eastAsia="Arial" w:hAnsi="Arial" w:cs="Arial"/>
                <w:color w:val="000000"/>
                <w:sz w:val="24"/>
                <w:szCs w:val="24"/>
              </w:rPr>
              <w:t>Non-Departmental Public Body or Assembly Sponsored Public Body (advisory, executive, or tribunal);</w:t>
            </w:r>
          </w:p>
          <w:p w:rsidR="00C161E5" w:rsidRDefault="006A1580">
            <w:pPr>
              <w:pStyle w:val="Standard"/>
              <w:numPr>
                <w:ilvl w:val="1"/>
                <w:numId w:val="11"/>
              </w:numPr>
              <w:tabs>
                <w:tab w:val="left" w:pos="113"/>
                <w:tab w:val="left" w:pos="833"/>
              </w:tabs>
              <w:spacing w:after="120" w:line="240" w:lineRule="auto"/>
              <w:ind w:left="689" w:hanging="545"/>
            </w:pPr>
            <w:r>
              <w:rPr>
                <w:rFonts w:ascii="Arial" w:eastAsia="Arial" w:hAnsi="Arial" w:cs="Arial"/>
                <w:color w:val="000000"/>
                <w:sz w:val="24"/>
                <w:szCs w:val="24"/>
              </w:rPr>
              <w:t>Non-Ministerial Department; or</w:t>
            </w:r>
          </w:p>
          <w:p w:rsidR="00C161E5" w:rsidRDefault="006A1580">
            <w:pPr>
              <w:pStyle w:val="Standard"/>
              <w:numPr>
                <w:ilvl w:val="1"/>
                <w:numId w:val="11"/>
              </w:numPr>
              <w:tabs>
                <w:tab w:val="left" w:pos="113"/>
                <w:tab w:val="left" w:pos="833"/>
              </w:tabs>
              <w:spacing w:after="120" w:line="240" w:lineRule="auto"/>
              <w:ind w:left="689" w:hanging="545"/>
            </w:pPr>
            <w:r>
              <w:rPr>
                <w:rFonts w:ascii="Arial" w:eastAsia="Arial" w:hAnsi="Arial" w:cs="Arial"/>
                <w:color w:val="000000"/>
                <w:sz w:val="24"/>
                <w:szCs w:val="24"/>
              </w:rPr>
              <w:t>Executive Agency;</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"Change in Law"</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any change in Law which impacts on the supply of the Deliverables and performance of the Contract which comes into force after the Start Date;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"Change of Control"</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 change of control within the meaning of Section 450 of the Corporation Tax Act 2010;</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"Charges"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"Claim"</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any claim which it appears that a Beneficiary is, or may become, entitled to indemnification under this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"Commercially Sensitive Information"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 xml:space="preserve">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w:t>
            </w:r>
            <w:r>
              <w:rPr>
                <w:rFonts w:ascii="Arial" w:eastAsia="Arial" w:hAnsi="Arial" w:cs="Arial"/>
                <w:color w:val="000000"/>
                <w:sz w:val="24"/>
                <w:szCs w:val="24"/>
              </w:rPr>
              <w:lastRenderedPageBreak/>
              <w:t>disadvantage or material financial loss;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lastRenderedPageBreak/>
              <w:t>"Comparable Supply"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supply of Deliverables to another Buyer of the Supplier that are the same or similar to the Deliverables;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"Compliance Officer"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person(s) appointed by the Supplier who is responsible for ensuring that the Supplier complies with its legal obligations;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"Confidential Information"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keepNext/>
              <w:spacing w:after="120" w:line="240" w:lineRule="auto"/>
              <w:ind w:left="142"/>
            </w:pPr>
            <w:r>
              <w:rPr>
                <w:rFonts w:ascii="Arial" w:eastAsia="Arial" w:hAnsi="Arial" w:cs="Arial"/>
                <w:b/>
                <w:color w:val="000000"/>
                <w:sz w:val="24"/>
                <w:szCs w:val="24"/>
              </w:rPr>
              <w:t>"Conflict of Interest"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"Contract"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either the Framework Contract or the Call-Off Contract, as the context requires;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"Contract Period"</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term of either a Framework Contract or Call-Off Contract on and from the earlier of the:</w:t>
            </w:r>
          </w:p>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 applicable Start Date; or</w:t>
            </w:r>
          </w:p>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b) the Effective Date</w:t>
            </w:r>
          </w:p>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up to and including the applicable End Date;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"Contract Value"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higher of the actual or expected total Charges paid or payable under a Contract where all obligations are met by the Supplier;</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"Contract Year"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 consecutive period of twelve (12) Months commencing on the Start Date or each anniversary thereof;</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"Control"</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“Controller”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has the meaning given to it in the GDPR;</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“Core Terms”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9"/>
                <w:tab w:val="left" w:pos="161"/>
              </w:tabs>
              <w:spacing w:after="120" w:line="240" w:lineRule="auto"/>
              <w:ind w:left="170"/>
            </w:pPr>
            <w:r>
              <w:rPr>
                <w:rFonts w:ascii="Arial" w:eastAsia="Arial" w:hAnsi="Arial" w:cs="Arial"/>
                <w:color w:val="000000"/>
                <w:sz w:val="24"/>
                <w:szCs w:val="24"/>
              </w:rPr>
              <w:t>CCS’ standard terms and conditions for common goods and services which govern how Supplier must interact with CCS and Buyers under Framework Contracts and Call-Off Contracts;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"Costs"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rsidR="00C161E5" w:rsidRDefault="006A1580">
            <w:pPr>
              <w:pStyle w:val="Standard"/>
              <w:numPr>
                <w:ilvl w:val="1"/>
                <w:numId w:val="11"/>
              </w:numPr>
              <w:tabs>
                <w:tab w:val="left" w:pos="-144"/>
                <w:tab w:val="left" w:pos="576"/>
              </w:tabs>
              <w:spacing w:after="120" w:line="240" w:lineRule="auto"/>
              <w:ind w:hanging="288"/>
            </w:pPr>
            <w:r>
              <w:rPr>
                <w:rFonts w:ascii="Arial" w:eastAsia="Arial" w:hAnsi="Arial" w:cs="Arial"/>
                <w:color w:val="000000"/>
                <w:sz w:val="24"/>
                <w:szCs w:val="24"/>
              </w:rPr>
              <w:t>the cost to the Supplier or the Key Subcontractor (as the context requires), calculated per Work Day, of engaging the Supplier Staff, including:</w:t>
            </w:r>
          </w:p>
          <w:p w:rsidR="00C161E5" w:rsidRDefault="006A1580">
            <w:pPr>
              <w:pStyle w:val="Standard"/>
              <w:numPr>
                <w:ilvl w:val="2"/>
                <w:numId w:val="11"/>
              </w:numPr>
              <w:tabs>
                <w:tab w:val="left" w:pos="216"/>
                <w:tab w:val="left" w:pos="936"/>
              </w:tabs>
              <w:spacing w:after="120" w:line="240" w:lineRule="auto"/>
              <w:ind w:left="792"/>
            </w:pPr>
            <w:r>
              <w:rPr>
                <w:rFonts w:ascii="Arial" w:eastAsia="Arial" w:hAnsi="Arial" w:cs="Arial"/>
                <w:color w:val="000000"/>
                <w:sz w:val="24"/>
                <w:szCs w:val="24"/>
              </w:rPr>
              <w:t>base salary paid to the Supplier Staff;</w:t>
            </w:r>
          </w:p>
          <w:p w:rsidR="00C161E5" w:rsidRDefault="006A1580">
            <w:pPr>
              <w:pStyle w:val="Standard"/>
              <w:numPr>
                <w:ilvl w:val="2"/>
                <w:numId w:val="11"/>
              </w:numPr>
              <w:tabs>
                <w:tab w:val="left" w:pos="216"/>
                <w:tab w:val="left" w:pos="936"/>
              </w:tabs>
              <w:spacing w:after="120" w:line="240" w:lineRule="auto"/>
              <w:ind w:left="792"/>
            </w:pPr>
            <w:r>
              <w:rPr>
                <w:rFonts w:ascii="Arial" w:eastAsia="Arial" w:hAnsi="Arial" w:cs="Arial"/>
                <w:color w:val="000000"/>
                <w:sz w:val="24"/>
                <w:szCs w:val="24"/>
              </w:rPr>
              <w:t>employer’s National Insurance contributions;</w:t>
            </w:r>
          </w:p>
          <w:p w:rsidR="00C161E5" w:rsidRDefault="006A1580">
            <w:pPr>
              <w:pStyle w:val="Standard"/>
              <w:numPr>
                <w:ilvl w:val="2"/>
                <w:numId w:val="11"/>
              </w:numPr>
              <w:tabs>
                <w:tab w:val="left" w:pos="216"/>
                <w:tab w:val="left" w:pos="936"/>
              </w:tabs>
              <w:spacing w:after="120" w:line="240" w:lineRule="auto"/>
              <w:ind w:left="792"/>
            </w:pPr>
            <w:r>
              <w:rPr>
                <w:rFonts w:ascii="Arial" w:eastAsia="Arial" w:hAnsi="Arial" w:cs="Arial"/>
                <w:color w:val="000000"/>
                <w:sz w:val="24"/>
                <w:szCs w:val="24"/>
              </w:rPr>
              <w:lastRenderedPageBreak/>
              <w:t>pension contributions;</w:t>
            </w:r>
          </w:p>
          <w:p w:rsidR="00C161E5" w:rsidRDefault="006A1580">
            <w:pPr>
              <w:pStyle w:val="Standard"/>
              <w:numPr>
                <w:ilvl w:val="2"/>
                <w:numId w:val="11"/>
              </w:numPr>
              <w:tabs>
                <w:tab w:val="left" w:pos="216"/>
                <w:tab w:val="left" w:pos="936"/>
              </w:tabs>
              <w:spacing w:after="120" w:line="240" w:lineRule="auto"/>
              <w:ind w:left="792"/>
            </w:pPr>
            <w:r>
              <w:rPr>
                <w:rFonts w:ascii="Arial" w:eastAsia="Arial" w:hAnsi="Arial" w:cs="Arial"/>
                <w:color w:val="000000"/>
                <w:sz w:val="24"/>
                <w:szCs w:val="24"/>
              </w:rPr>
              <w:t>car allowances;</w:t>
            </w:r>
          </w:p>
          <w:p w:rsidR="00C161E5" w:rsidRDefault="006A1580">
            <w:pPr>
              <w:pStyle w:val="Standard"/>
              <w:numPr>
                <w:ilvl w:val="2"/>
                <w:numId w:val="11"/>
              </w:numPr>
              <w:tabs>
                <w:tab w:val="left" w:pos="216"/>
                <w:tab w:val="left" w:pos="936"/>
              </w:tabs>
              <w:spacing w:after="120" w:line="240" w:lineRule="auto"/>
              <w:ind w:left="792"/>
            </w:pPr>
            <w:r>
              <w:rPr>
                <w:rFonts w:ascii="Arial" w:eastAsia="Arial" w:hAnsi="Arial" w:cs="Arial"/>
                <w:color w:val="000000"/>
                <w:sz w:val="24"/>
                <w:szCs w:val="24"/>
              </w:rPr>
              <w:t>any other contractual employment benefits;</w:t>
            </w:r>
          </w:p>
          <w:p w:rsidR="00C161E5" w:rsidRDefault="006A1580">
            <w:pPr>
              <w:pStyle w:val="Standard"/>
              <w:numPr>
                <w:ilvl w:val="2"/>
                <w:numId w:val="11"/>
              </w:numPr>
              <w:tabs>
                <w:tab w:val="left" w:pos="216"/>
                <w:tab w:val="left" w:pos="936"/>
              </w:tabs>
              <w:spacing w:after="120" w:line="240" w:lineRule="auto"/>
              <w:ind w:left="792"/>
            </w:pPr>
            <w:r>
              <w:rPr>
                <w:rFonts w:ascii="Arial" w:eastAsia="Arial" w:hAnsi="Arial" w:cs="Arial"/>
                <w:color w:val="000000"/>
                <w:sz w:val="24"/>
                <w:szCs w:val="24"/>
              </w:rPr>
              <w:t>staff training;</w:t>
            </w:r>
          </w:p>
          <w:p w:rsidR="00C161E5" w:rsidRDefault="006A1580">
            <w:pPr>
              <w:pStyle w:val="Standard"/>
              <w:numPr>
                <w:ilvl w:val="2"/>
                <w:numId w:val="11"/>
              </w:numPr>
              <w:tabs>
                <w:tab w:val="left" w:pos="216"/>
                <w:tab w:val="left" w:pos="936"/>
              </w:tabs>
              <w:spacing w:after="120" w:line="240" w:lineRule="auto"/>
              <w:ind w:left="792"/>
            </w:pPr>
            <w:r>
              <w:rPr>
                <w:rFonts w:ascii="Arial" w:eastAsia="Arial" w:hAnsi="Arial" w:cs="Arial"/>
                <w:sz w:val="24"/>
                <w:szCs w:val="24"/>
              </w:rPr>
              <w:t>workplace</w:t>
            </w:r>
            <w:r>
              <w:rPr>
                <w:rFonts w:ascii="Arial" w:eastAsia="Arial" w:hAnsi="Arial" w:cs="Arial"/>
                <w:color w:val="000000"/>
                <w:sz w:val="24"/>
                <w:szCs w:val="24"/>
              </w:rPr>
              <w:t xml:space="preserve"> accommodation;</w:t>
            </w:r>
          </w:p>
          <w:p w:rsidR="00C161E5" w:rsidRDefault="006A1580">
            <w:pPr>
              <w:pStyle w:val="Standard"/>
              <w:numPr>
                <w:ilvl w:val="2"/>
                <w:numId w:val="11"/>
              </w:numPr>
              <w:tabs>
                <w:tab w:val="left" w:pos="216"/>
                <w:tab w:val="left" w:pos="936"/>
              </w:tabs>
              <w:spacing w:after="120" w:line="240" w:lineRule="auto"/>
              <w:ind w:left="792"/>
            </w:pPr>
            <w:r>
              <w:rPr>
                <w:rFonts w:ascii="Arial" w:eastAsia="Arial" w:hAnsi="Arial" w:cs="Arial"/>
                <w:sz w:val="24"/>
                <w:szCs w:val="24"/>
              </w:rPr>
              <w:t>workplace</w:t>
            </w:r>
            <w:r>
              <w:rPr>
                <w:rFonts w:ascii="Arial" w:eastAsia="Arial" w:hAnsi="Arial" w:cs="Arial"/>
                <w:color w:val="000000"/>
                <w:sz w:val="24"/>
                <w:szCs w:val="24"/>
              </w:rPr>
              <w:t xml:space="preserve"> IT equipment and tools reasonably necessary to provide the Deliverables (but not including items included within limb (b) below); and</w:t>
            </w:r>
          </w:p>
          <w:p w:rsidR="00C161E5" w:rsidRDefault="006A1580">
            <w:pPr>
              <w:pStyle w:val="Standard"/>
              <w:numPr>
                <w:ilvl w:val="2"/>
                <w:numId w:val="11"/>
              </w:numPr>
              <w:tabs>
                <w:tab w:val="left" w:pos="216"/>
                <w:tab w:val="left" w:pos="936"/>
              </w:tabs>
              <w:spacing w:after="120" w:line="240" w:lineRule="auto"/>
              <w:ind w:left="792"/>
            </w:pPr>
            <w:r>
              <w:rPr>
                <w:rFonts w:ascii="Arial" w:eastAsia="Arial" w:hAnsi="Arial" w:cs="Arial"/>
                <w:color w:val="000000"/>
                <w:sz w:val="24"/>
                <w:szCs w:val="24"/>
              </w:rPr>
              <w:t>reasonable recruitment costs, as agreed with the Buyer;</w:t>
            </w:r>
          </w:p>
          <w:p w:rsidR="00C161E5" w:rsidRDefault="006A1580">
            <w:pPr>
              <w:pStyle w:val="Standard"/>
              <w:numPr>
                <w:ilvl w:val="1"/>
                <w:numId w:val="11"/>
              </w:numPr>
              <w:tabs>
                <w:tab w:val="left" w:pos="-144"/>
                <w:tab w:val="left" w:pos="576"/>
              </w:tabs>
              <w:spacing w:after="120" w:line="240" w:lineRule="auto"/>
              <w:ind w:hanging="288"/>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C161E5" w:rsidRDefault="006A1580">
            <w:pPr>
              <w:pStyle w:val="Standard"/>
              <w:numPr>
                <w:ilvl w:val="1"/>
                <w:numId w:val="11"/>
              </w:numPr>
              <w:tabs>
                <w:tab w:val="left" w:pos="-144"/>
                <w:tab w:val="left" w:pos="576"/>
              </w:tabs>
              <w:spacing w:after="120" w:line="240" w:lineRule="auto"/>
              <w:ind w:hanging="288"/>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rsidR="00C161E5" w:rsidRDefault="006A1580">
            <w:pPr>
              <w:pStyle w:val="Standard"/>
              <w:numPr>
                <w:ilvl w:val="1"/>
                <w:numId w:val="11"/>
              </w:numPr>
              <w:tabs>
                <w:tab w:val="left" w:pos="-144"/>
                <w:tab w:val="left" w:pos="576"/>
              </w:tabs>
              <w:spacing w:after="120" w:line="240" w:lineRule="auto"/>
              <w:ind w:hanging="288"/>
            </w:pPr>
            <w:r>
              <w:rPr>
                <w:rFonts w:ascii="Arial" w:eastAsia="Arial" w:hAnsi="Arial" w:cs="Arial"/>
                <w:color w:val="000000"/>
                <w:sz w:val="24"/>
                <w:szCs w:val="24"/>
              </w:rPr>
              <w:t>Reimbursable Expenses to the extent these have been specified as allowable in the Order Form and are incurred in delivering any Deliverables;</w:t>
            </w:r>
          </w:p>
          <w:p w:rsidR="00C161E5" w:rsidRDefault="006A1580">
            <w:pPr>
              <w:pStyle w:val="Standard"/>
              <w:tabs>
                <w:tab w:val="left" w:pos="-179"/>
                <w:tab w:val="left" w:pos="411"/>
              </w:tabs>
              <w:spacing w:after="120" w:line="240" w:lineRule="auto"/>
            </w:pPr>
            <w:r>
              <w:rPr>
                <w:rFonts w:ascii="Arial" w:eastAsia="Arial" w:hAnsi="Arial" w:cs="Arial"/>
                <w:color w:val="000000"/>
                <w:sz w:val="24"/>
                <w:szCs w:val="24"/>
              </w:rPr>
              <w:tab/>
              <w:t>but excluding:</w:t>
            </w:r>
          </w:p>
          <w:p w:rsidR="00C161E5" w:rsidRDefault="006A1580">
            <w:pPr>
              <w:pStyle w:val="Standard"/>
              <w:numPr>
                <w:ilvl w:val="1"/>
                <w:numId w:val="11"/>
              </w:numPr>
              <w:tabs>
                <w:tab w:val="left" w:pos="0"/>
                <w:tab w:val="left" w:pos="720"/>
              </w:tabs>
              <w:spacing w:after="120" w:line="240" w:lineRule="auto"/>
              <w:ind w:left="576" w:hanging="432"/>
            </w:pPr>
            <w:r>
              <w:rPr>
                <w:rFonts w:ascii="Arial" w:eastAsia="Arial" w:hAnsi="Arial" w:cs="Arial"/>
                <w:color w:val="000000"/>
                <w:sz w:val="24"/>
                <w:szCs w:val="24"/>
              </w:rPr>
              <w:t>Overhead;</w:t>
            </w:r>
          </w:p>
          <w:p w:rsidR="00C161E5" w:rsidRDefault="006A1580">
            <w:pPr>
              <w:pStyle w:val="Standard"/>
              <w:numPr>
                <w:ilvl w:val="1"/>
                <w:numId w:val="11"/>
              </w:numPr>
              <w:tabs>
                <w:tab w:val="left" w:pos="0"/>
                <w:tab w:val="left" w:pos="720"/>
              </w:tabs>
              <w:spacing w:after="120" w:line="240" w:lineRule="auto"/>
              <w:ind w:left="576" w:hanging="432"/>
            </w:pPr>
            <w:r>
              <w:rPr>
                <w:rFonts w:ascii="Arial" w:eastAsia="Arial" w:hAnsi="Arial" w:cs="Arial"/>
                <w:color w:val="000000"/>
                <w:sz w:val="24"/>
                <w:szCs w:val="24"/>
              </w:rPr>
              <w:t>financing or similar costs;</w:t>
            </w:r>
          </w:p>
          <w:p w:rsidR="00C161E5" w:rsidRDefault="006A1580">
            <w:pPr>
              <w:pStyle w:val="Standard"/>
              <w:numPr>
                <w:ilvl w:val="1"/>
                <w:numId w:val="11"/>
              </w:numPr>
              <w:tabs>
                <w:tab w:val="left" w:pos="-144"/>
                <w:tab w:val="left" w:pos="576"/>
              </w:tabs>
              <w:spacing w:after="120" w:line="240" w:lineRule="auto"/>
              <w:ind w:hanging="288"/>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rsidR="00C161E5" w:rsidRDefault="006A1580">
            <w:pPr>
              <w:pStyle w:val="Standard"/>
              <w:numPr>
                <w:ilvl w:val="1"/>
                <w:numId w:val="11"/>
              </w:numPr>
              <w:tabs>
                <w:tab w:val="left" w:pos="113"/>
                <w:tab w:val="left" w:pos="833"/>
              </w:tabs>
              <w:spacing w:after="120" w:line="240" w:lineRule="auto"/>
              <w:ind w:left="689" w:hanging="545"/>
            </w:pPr>
            <w:r>
              <w:rPr>
                <w:rFonts w:ascii="Arial" w:eastAsia="Arial" w:hAnsi="Arial" w:cs="Arial"/>
                <w:color w:val="000000"/>
                <w:sz w:val="24"/>
                <w:szCs w:val="24"/>
              </w:rPr>
              <w:t>taxation;</w:t>
            </w:r>
          </w:p>
          <w:p w:rsidR="00C161E5" w:rsidRDefault="006A1580">
            <w:pPr>
              <w:pStyle w:val="Standard"/>
              <w:numPr>
                <w:ilvl w:val="1"/>
                <w:numId w:val="11"/>
              </w:numPr>
              <w:tabs>
                <w:tab w:val="left" w:pos="113"/>
                <w:tab w:val="left" w:pos="833"/>
              </w:tabs>
              <w:spacing w:after="120" w:line="240" w:lineRule="auto"/>
              <w:ind w:left="689" w:hanging="545"/>
            </w:pPr>
            <w:r>
              <w:rPr>
                <w:rFonts w:ascii="Arial" w:eastAsia="Arial" w:hAnsi="Arial" w:cs="Arial"/>
                <w:color w:val="000000"/>
                <w:sz w:val="24"/>
                <w:szCs w:val="24"/>
              </w:rPr>
              <w:t>fines and penalties;</w:t>
            </w:r>
          </w:p>
          <w:p w:rsidR="00C161E5" w:rsidRDefault="006A1580">
            <w:pPr>
              <w:pStyle w:val="Standard"/>
              <w:numPr>
                <w:ilvl w:val="1"/>
                <w:numId w:val="11"/>
              </w:numPr>
              <w:tabs>
                <w:tab w:val="left" w:pos="-144"/>
                <w:tab w:val="left" w:pos="576"/>
              </w:tabs>
              <w:spacing w:after="120" w:line="240" w:lineRule="auto"/>
              <w:ind w:hanging="288"/>
            </w:pPr>
            <w:r>
              <w:rPr>
                <w:rFonts w:ascii="Arial" w:eastAsia="Arial" w:hAnsi="Arial" w:cs="Arial"/>
                <w:color w:val="000000"/>
                <w:sz w:val="24"/>
                <w:szCs w:val="24"/>
              </w:rPr>
              <w:t>amounts payable under Call-Off Schedule 16 (Benchmarking) where such Schedule is used; and</w:t>
            </w:r>
          </w:p>
          <w:p w:rsidR="00C161E5" w:rsidRDefault="006A1580">
            <w:pPr>
              <w:pStyle w:val="Standard"/>
              <w:numPr>
                <w:ilvl w:val="1"/>
                <w:numId w:val="11"/>
              </w:numPr>
              <w:tabs>
                <w:tab w:val="left" w:pos="-144"/>
                <w:tab w:val="left" w:pos="576"/>
              </w:tabs>
              <w:spacing w:after="120" w:line="240" w:lineRule="auto"/>
              <w:ind w:hanging="288"/>
            </w:pPr>
            <w:r>
              <w:rPr>
                <w:rFonts w:ascii="Arial" w:eastAsia="Arial" w:hAnsi="Arial" w:cs="Arial"/>
                <w:color w:val="000000"/>
                <w:sz w:val="24"/>
                <w:szCs w:val="24"/>
              </w:rPr>
              <w:t>non-cash items (including depreciation, amortisation, impairments and movements in provisions);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lastRenderedPageBreak/>
              <w:t>"CRTPA"</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Contract Rights of Third Parties Act 1999;</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“Data Protection Impact Assessment”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 assessment by the Controller of the impact of the envisaged Processing on the protection of Personal Data;</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 xml:space="preserve">"Data Protection </w:t>
            </w:r>
            <w:r>
              <w:rPr>
                <w:rFonts w:ascii="Arial" w:eastAsia="Arial" w:hAnsi="Arial" w:cs="Arial"/>
                <w:b/>
                <w:color w:val="000000"/>
                <w:sz w:val="24"/>
                <w:szCs w:val="24"/>
              </w:rPr>
              <w:lastRenderedPageBreak/>
              <w:t>Legislation"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lastRenderedPageBreak/>
              <w:t xml:space="preserve">the GDPR, the LED and any applicable national implementing </w:t>
            </w:r>
            <w:r>
              <w:rPr>
                <w:rFonts w:ascii="Arial" w:eastAsia="Arial" w:hAnsi="Arial" w:cs="Arial"/>
                <w:color w:val="000000"/>
                <w:sz w:val="24"/>
                <w:szCs w:val="24"/>
              </w:rPr>
              <w:lastRenderedPageBreak/>
              <w:t>Laws as amended from time to time (ii) the DPA 2018 to the extent that it relates to Processing of personal data and privacy; (iii) all applicable Law about the Processing of personal data and privacy;</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lastRenderedPageBreak/>
              <w:t>“Data Protection Liability Cap”</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amount specified in the Framework Award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"Data Protection Officer"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has the meaning given to it in the GDPR;</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"Data Subject"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has the meaning given to it in the GDPR;</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"Data Subject Access Request"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"Deductions"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"Default"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"Default Management Charge"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has the meaning given to it in Paragraph 8.1.1 of Framework Schedule 5 (Management Charges and Information);</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"Delay Payments"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"Deliverables"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Goods and/or Services that may be ordered under the Contract including the Documentation;</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"Delivery"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proofErr w:type="gramStart"/>
            <w:r>
              <w:rPr>
                <w:rFonts w:ascii="Arial" w:eastAsia="Arial" w:hAnsi="Arial" w:cs="Arial"/>
                <w:color w:val="000000"/>
                <w:sz w:val="24"/>
                <w:szCs w:val="24"/>
              </w:rPr>
              <w:t>delivery</w:t>
            </w:r>
            <w:proofErr w:type="gramEnd"/>
            <w:r>
              <w:rPr>
                <w:rFonts w:ascii="Arial" w:eastAsia="Arial" w:hAnsi="Arial" w:cs="Arial"/>
                <w:color w:val="000000"/>
                <w:sz w:val="24"/>
                <w:szCs w:val="24"/>
              </w:rPr>
              <w:t xml:space="preserve">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"Disclosing Party"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keepNext/>
              <w:spacing w:after="120" w:line="240" w:lineRule="auto"/>
              <w:ind w:left="142"/>
            </w:pPr>
            <w:r>
              <w:rPr>
                <w:rFonts w:ascii="Arial" w:eastAsia="Arial" w:hAnsi="Arial" w:cs="Arial"/>
                <w:b/>
                <w:color w:val="000000"/>
                <w:sz w:val="24"/>
                <w:szCs w:val="24"/>
              </w:rPr>
              <w:lastRenderedPageBreak/>
              <w:t>"Dispute"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"Dispute Resolution Procedure"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dispute resolution procedure set out in Clause 34 (Resolving disputes);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"Documentation"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576"/>
                <w:tab w:val="left" w:pos="144"/>
              </w:tabs>
              <w:spacing w:after="120" w:line="240" w:lineRule="auto"/>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rsidR="00C161E5" w:rsidRDefault="006A1580">
            <w:pPr>
              <w:pStyle w:val="Standard"/>
              <w:numPr>
                <w:ilvl w:val="0"/>
                <w:numId w:val="27"/>
              </w:numPr>
              <w:tabs>
                <w:tab w:val="left" w:pos="144"/>
                <w:tab w:val="left" w:pos="864"/>
              </w:tabs>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rsidR="00C161E5" w:rsidRDefault="006A1580">
            <w:pPr>
              <w:pStyle w:val="Standard"/>
              <w:numPr>
                <w:ilvl w:val="0"/>
                <w:numId w:val="12"/>
              </w:numPr>
              <w:tabs>
                <w:tab w:val="left" w:pos="144"/>
                <w:tab w:val="left" w:pos="864"/>
              </w:tabs>
            </w:pPr>
            <w:r>
              <w:rPr>
                <w:rFonts w:ascii="Arial" w:eastAsia="Arial" w:hAnsi="Arial" w:cs="Arial"/>
                <w:color w:val="000000"/>
                <w:sz w:val="24"/>
                <w:szCs w:val="24"/>
              </w:rPr>
              <w:t>is required by the Supplier in order to provide the Deliverables; and/or</w:t>
            </w:r>
          </w:p>
          <w:p w:rsidR="00C161E5" w:rsidRDefault="006A1580">
            <w:pPr>
              <w:pStyle w:val="Standard"/>
              <w:numPr>
                <w:ilvl w:val="0"/>
                <w:numId w:val="12"/>
              </w:numPr>
              <w:tabs>
                <w:tab w:val="left" w:pos="144"/>
                <w:tab w:val="left" w:pos="864"/>
              </w:tabs>
              <w:spacing w:after="120" w:line="240" w:lineRule="auto"/>
            </w:pPr>
            <w:r>
              <w:rPr>
                <w:rFonts w:ascii="Arial" w:eastAsia="Arial" w:hAnsi="Arial" w:cs="Arial"/>
                <w:color w:val="000000"/>
                <w:sz w:val="24"/>
                <w:szCs w:val="24"/>
              </w:rPr>
              <w:t>has been or shall be generated for the purpose of providing the Deliverables;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"DOTAS"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401"/>
                <w:tab w:val="left" w:pos="319"/>
              </w:tabs>
              <w:spacing w:after="120" w:line="240" w:lineRule="auto"/>
              <w:ind w:left="175"/>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“DPA 2018”</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576"/>
                <w:tab w:val="left" w:pos="144"/>
              </w:tabs>
              <w:spacing w:after="120" w:line="240" w:lineRule="auto"/>
            </w:pPr>
            <w:r>
              <w:rPr>
                <w:rFonts w:ascii="Arial" w:eastAsia="Arial" w:hAnsi="Arial" w:cs="Arial"/>
                <w:color w:val="000000"/>
                <w:sz w:val="24"/>
                <w:szCs w:val="24"/>
              </w:rPr>
              <w:t>the Data Protection Act 2018;</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"Due Diligence Information"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576"/>
                <w:tab w:val="left" w:pos="144"/>
              </w:tabs>
              <w:spacing w:after="120" w:line="240" w:lineRule="auto"/>
            </w:pPr>
            <w:r>
              <w:rPr>
                <w:rFonts w:ascii="Arial" w:eastAsia="Arial" w:hAnsi="Arial" w:cs="Arial"/>
                <w:color w:val="000000"/>
                <w:sz w:val="24"/>
                <w:szCs w:val="24"/>
              </w:rPr>
              <w:t>any information supplied to the Supplier by or on behalf of the Authority prior to the Start Date;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“Effective Date”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576"/>
                <w:tab w:val="left" w:pos="144"/>
              </w:tabs>
              <w:spacing w:after="120" w:line="240" w:lineRule="auto"/>
            </w:pPr>
            <w:r>
              <w:rPr>
                <w:rFonts w:ascii="Arial" w:eastAsia="Arial" w:hAnsi="Arial" w:cs="Arial"/>
                <w:color w:val="000000"/>
                <w:sz w:val="24"/>
                <w:szCs w:val="24"/>
              </w:rPr>
              <w:t>the date on which the final Party has signed the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"EIR"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Environmental Information Regulations 2004;</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“Electronic Invoice”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"Employment Regulations"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 xml:space="preserve">the Transfer of Undertakings (Protection of Employment) Regulations 2006 (SI 2006/246) as amended or replaced or any </w:t>
            </w:r>
            <w:r>
              <w:rPr>
                <w:rFonts w:ascii="Arial" w:eastAsia="Arial" w:hAnsi="Arial" w:cs="Arial"/>
                <w:color w:val="000000"/>
                <w:sz w:val="24"/>
                <w:szCs w:val="24"/>
              </w:rPr>
              <w:lastRenderedPageBreak/>
              <w:t>other Regulations implementing the European Council Directive 77/187/EEC;</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lastRenderedPageBreak/>
              <w:t>"End Date"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576"/>
                <w:tab w:val="left" w:pos="144"/>
              </w:tabs>
              <w:spacing w:after="120" w:line="240" w:lineRule="auto"/>
              <w:ind w:firstLine="141"/>
            </w:pPr>
            <w:r>
              <w:rPr>
                <w:rFonts w:ascii="Arial" w:eastAsia="Arial" w:hAnsi="Arial" w:cs="Arial"/>
                <w:color w:val="000000"/>
                <w:sz w:val="24"/>
                <w:szCs w:val="24"/>
              </w:rPr>
              <w:t>the earlier of:</w:t>
            </w:r>
          </w:p>
          <w:p w:rsidR="00C161E5" w:rsidRDefault="006A1580">
            <w:pPr>
              <w:pStyle w:val="Standard"/>
              <w:numPr>
                <w:ilvl w:val="0"/>
                <w:numId w:val="28"/>
              </w:numPr>
              <w:tabs>
                <w:tab w:val="left" w:pos="144"/>
                <w:tab w:val="left" w:pos="864"/>
              </w:tabs>
              <w:ind w:right="105"/>
            </w:pPr>
            <w:r>
              <w:rPr>
                <w:rFonts w:ascii="Arial" w:eastAsia="Arial" w:hAnsi="Arial" w:cs="Arial"/>
                <w:color w:val="000000"/>
                <w:sz w:val="24"/>
                <w:szCs w:val="24"/>
              </w:rPr>
              <w:t>the Expiry Date (as extended by any Extension Period exercised by the Relevant Authority under Clause 10.1.2); or</w:t>
            </w:r>
          </w:p>
          <w:p w:rsidR="00C161E5" w:rsidRDefault="006A1580">
            <w:pPr>
              <w:pStyle w:val="Standard"/>
              <w:numPr>
                <w:ilvl w:val="0"/>
                <w:numId w:val="22"/>
              </w:numPr>
              <w:tabs>
                <w:tab w:val="left" w:pos="144"/>
                <w:tab w:val="left" w:pos="864"/>
              </w:tabs>
              <w:spacing w:after="120" w:line="240" w:lineRule="auto"/>
              <w:ind w:right="105"/>
            </w:pPr>
            <w:r>
              <w:rPr>
                <w:rFonts w:ascii="Arial" w:eastAsia="Arial" w:hAnsi="Arial" w:cs="Arial"/>
                <w:color w:val="000000"/>
                <w:sz w:val="24"/>
                <w:szCs w:val="24"/>
              </w:rPr>
              <w:t xml:space="preserve">if a Contract is terminated before the date specified in (a) above, the date of termination of the Contract;  </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"Environmental Policy"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"Equality and Human Rights Commission"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UK Government body named as such as may be renamed or replaced by an equivalent body from time to time;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“Estimated Year 1 Charges”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s>
              <w:spacing w:after="120" w:line="240" w:lineRule="auto"/>
            </w:pPr>
            <w:r>
              <w:rPr>
                <w:rFonts w:ascii="Arial" w:eastAsia="Arial" w:hAnsi="Arial" w:cs="Arial"/>
                <w:color w:val="000000"/>
                <w:sz w:val="24"/>
                <w:szCs w:val="24"/>
              </w:rPr>
              <w:t>the anticipated total Charges payable by the Buyer in the first Contract Year specified in the Order Form;</w:t>
            </w:r>
          </w:p>
        </w:tc>
      </w:tr>
    </w:tbl>
    <w:p w:rsidR="00C161E5" w:rsidRDefault="00C161E5">
      <w:pPr>
        <w:pStyle w:val="Standard"/>
        <w:spacing w:after="0"/>
        <w:rPr>
          <w:rFonts w:ascii="Arial" w:eastAsia="Arial" w:hAnsi="Arial" w:cs="Arial"/>
          <w:color w:val="000000"/>
          <w:sz w:val="24"/>
          <w:szCs w:val="24"/>
        </w:rPr>
      </w:pPr>
    </w:p>
    <w:tbl>
      <w:tblPr>
        <w:tblW w:w="9750" w:type="dxa"/>
        <w:tblLayout w:type="fixed"/>
        <w:tblCellMar>
          <w:left w:w="10" w:type="dxa"/>
          <w:right w:w="10" w:type="dxa"/>
        </w:tblCellMar>
        <w:tblLook w:val="0000" w:firstRow="0" w:lastRow="0" w:firstColumn="0" w:lastColumn="0" w:noHBand="0" w:noVBand="0"/>
      </w:tblPr>
      <w:tblGrid>
        <w:gridCol w:w="2399"/>
        <w:gridCol w:w="7351"/>
      </w:tblGrid>
      <w:tr w:rsidR="00C161E5">
        <w:tc>
          <w:tcPr>
            <w:tcW w:w="2399" w:type="dxa"/>
            <w:tcBorders>
              <w:left w:val="single" w:sz="8" w:space="0" w:color="000000"/>
              <w:bottom w:val="single" w:sz="8" w:space="0" w:color="000000"/>
              <w:right w:val="single" w:sz="8" w:space="0" w:color="000000"/>
            </w:tcBorders>
            <w:tcMar>
              <w:top w:w="0" w:type="dxa"/>
              <w:left w:w="117" w:type="dxa"/>
              <w:bottom w:w="0" w:type="dxa"/>
              <w:right w:w="108" w:type="dxa"/>
            </w:tcMar>
          </w:tcPr>
          <w:p w:rsidR="00C161E5" w:rsidRDefault="006A1580">
            <w:pPr>
              <w:pStyle w:val="Standard"/>
              <w:spacing w:after="120" w:line="240" w:lineRule="auto"/>
              <w:ind w:left="29"/>
            </w:pPr>
            <w:r>
              <w:rPr>
                <w:rFonts w:ascii="Arial" w:eastAsia="Arial" w:hAnsi="Arial" w:cs="Arial"/>
                <w:b/>
                <w:color w:val="000000"/>
                <w:sz w:val="24"/>
                <w:szCs w:val="24"/>
              </w:rPr>
              <w:t>"Estimated Yearly Charges"</w:t>
            </w:r>
          </w:p>
        </w:tc>
        <w:tc>
          <w:tcPr>
            <w:tcW w:w="7350" w:type="dxa"/>
            <w:tcBorders>
              <w:left w:val="single" w:sz="8" w:space="0" w:color="000000"/>
              <w:bottom w:val="single" w:sz="8" w:space="0" w:color="000000"/>
              <w:right w:val="single" w:sz="8" w:space="0" w:color="000000"/>
            </w:tcBorders>
            <w:tcMar>
              <w:top w:w="0" w:type="dxa"/>
              <w:left w:w="117" w:type="dxa"/>
              <w:bottom w:w="0" w:type="dxa"/>
              <w:right w:w="108" w:type="dxa"/>
            </w:tcMar>
          </w:tcPr>
          <w:p w:rsidR="00C161E5" w:rsidRDefault="006A1580">
            <w:pPr>
              <w:pStyle w:val="Standard"/>
              <w:tabs>
                <w:tab w:val="left" w:pos="-179"/>
              </w:tabs>
              <w:spacing w:after="120" w:line="240" w:lineRule="auto"/>
            </w:pPr>
            <w:r>
              <w:rPr>
                <w:rFonts w:ascii="Arial" w:eastAsia="Arial" w:hAnsi="Arial" w:cs="Arial"/>
                <w:color w:val="000000"/>
                <w:sz w:val="24"/>
                <w:szCs w:val="24"/>
              </w:rPr>
              <w:t>means for the purposes of calculating each Party’s annual liability under clause 11.2:</w:t>
            </w:r>
          </w:p>
          <w:p w:rsidR="00C161E5" w:rsidRDefault="006A1580">
            <w:pPr>
              <w:pStyle w:val="Standard"/>
              <w:tabs>
                <w:tab w:val="left" w:pos="-179"/>
              </w:tabs>
              <w:spacing w:after="120" w:line="240" w:lineRule="auto"/>
            </w:pP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in the first Contract Year, the Estimated Year 1 Charges; or</w:t>
            </w:r>
          </w:p>
          <w:p w:rsidR="00C161E5" w:rsidRDefault="00C161E5">
            <w:pPr>
              <w:pStyle w:val="Standard"/>
              <w:tabs>
                <w:tab w:val="left" w:pos="-179"/>
              </w:tabs>
              <w:spacing w:after="120" w:line="240" w:lineRule="auto"/>
              <w:rPr>
                <w:rFonts w:ascii="Arial" w:eastAsia="Arial" w:hAnsi="Arial" w:cs="Arial"/>
                <w:color w:val="000000"/>
                <w:sz w:val="24"/>
                <w:szCs w:val="24"/>
              </w:rPr>
            </w:pPr>
          </w:p>
          <w:p w:rsidR="00C161E5" w:rsidRDefault="006A1580">
            <w:pPr>
              <w:pStyle w:val="Standard"/>
              <w:tabs>
                <w:tab w:val="left" w:pos="-179"/>
              </w:tabs>
              <w:spacing w:after="120" w:line="240" w:lineRule="auto"/>
            </w:pPr>
            <w:r>
              <w:rPr>
                <w:rFonts w:ascii="Arial" w:eastAsia="Arial" w:hAnsi="Arial" w:cs="Arial"/>
                <w:color w:val="000000"/>
                <w:sz w:val="24"/>
                <w:szCs w:val="24"/>
              </w:rPr>
              <w:t>ii) in any subsequent Contract Years, the Charges paid or payable in the previous Call-off Contract Year; or</w:t>
            </w:r>
          </w:p>
          <w:p w:rsidR="00C161E5" w:rsidRDefault="00C161E5">
            <w:pPr>
              <w:pStyle w:val="Standard"/>
              <w:tabs>
                <w:tab w:val="left" w:pos="-179"/>
              </w:tabs>
              <w:spacing w:after="120" w:line="240" w:lineRule="auto"/>
              <w:rPr>
                <w:rFonts w:ascii="Arial" w:eastAsia="Arial" w:hAnsi="Arial" w:cs="Arial"/>
                <w:color w:val="000000"/>
                <w:sz w:val="24"/>
                <w:szCs w:val="24"/>
              </w:rPr>
            </w:pPr>
          </w:p>
          <w:p w:rsidR="00C161E5" w:rsidRDefault="006A1580">
            <w:pPr>
              <w:pStyle w:val="Standard"/>
              <w:tabs>
                <w:tab w:val="left" w:pos="-179"/>
              </w:tabs>
              <w:spacing w:after="120" w:line="240" w:lineRule="auto"/>
            </w:pPr>
            <w:r>
              <w:rPr>
                <w:rFonts w:ascii="Arial" w:eastAsia="Arial" w:hAnsi="Arial" w:cs="Arial"/>
                <w:color w:val="000000"/>
                <w:sz w:val="24"/>
                <w:szCs w:val="24"/>
              </w:rPr>
              <w:t>iii) after the end of the Call-off Contract, the Charges paid or payable in the last Contract Year during the Call-off Contract Period;  </w:t>
            </w:r>
          </w:p>
        </w:tc>
      </w:tr>
      <w:tr w:rsidR="00C161E5">
        <w:tc>
          <w:tcPr>
            <w:tcW w:w="2399"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rsidR="00C161E5" w:rsidRDefault="006A1580">
            <w:pPr>
              <w:pStyle w:val="Standard"/>
              <w:spacing w:after="120" w:line="240" w:lineRule="auto"/>
              <w:ind w:left="29"/>
            </w:pPr>
            <w:r>
              <w:rPr>
                <w:rFonts w:ascii="Arial" w:eastAsia="Arial" w:hAnsi="Arial" w:cs="Arial"/>
                <w:sz w:val="24"/>
                <w:szCs w:val="24"/>
              </w:rPr>
              <w:t>“</w:t>
            </w:r>
            <w:r>
              <w:rPr>
                <w:rFonts w:ascii="Arial" w:eastAsia="Arial" w:hAnsi="Arial" w:cs="Arial"/>
                <w:b/>
                <w:sz w:val="24"/>
                <w:szCs w:val="24"/>
              </w:rPr>
              <w:t>Exempt Buyer</w:t>
            </w:r>
            <w:r>
              <w:rPr>
                <w:rFonts w:ascii="Arial" w:eastAsia="Arial" w:hAnsi="Arial" w:cs="Arial"/>
                <w:sz w:val="24"/>
                <w:szCs w:val="24"/>
              </w:rPr>
              <w:t>”</w:t>
            </w:r>
          </w:p>
        </w:tc>
        <w:tc>
          <w:tcPr>
            <w:tcW w:w="7350"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rsidR="00C161E5" w:rsidRDefault="006A1580">
            <w:pPr>
              <w:pStyle w:val="Standard"/>
            </w:pPr>
            <w:r>
              <w:rPr>
                <w:rFonts w:ascii="Arial" w:eastAsia="Arial" w:hAnsi="Arial" w:cs="Arial"/>
                <w:color w:val="000000"/>
                <w:sz w:val="24"/>
                <w:szCs w:val="24"/>
              </w:rPr>
              <w:t>a public sector purchaser that is:</w:t>
            </w:r>
          </w:p>
          <w:p w:rsidR="00C161E5" w:rsidRDefault="006A1580">
            <w:pPr>
              <w:pStyle w:val="Standard"/>
              <w:numPr>
                <w:ilvl w:val="0"/>
                <w:numId w:val="29"/>
              </w:numPr>
              <w:tabs>
                <w:tab w:val="left" w:pos="209"/>
                <w:tab w:val="left" w:pos="379"/>
              </w:tabs>
              <w:spacing w:after="120" w:line="240" w:lineRule="auto"/>
              <w:ind w:left="388"/>
            </w:pPr>
            <w:r>
              <w:rPr>
                <w:rFonts w:ascii="Arial" w:eastAsia="Arial" w:hAnsi="Arial" w:cs="Arial"/>
                <w:color w:val="000000"/>
                <w:sz w:val="24"/>
                <w:szCs w:val="24"/>
              </w:rPr>
              <w:t>eligible to use the Framework Contract; and</w:t>
            </w:r>
          </w:p>
          <w:p w:rsidR="00C161E5" w:rsidRDefault="006A1580">
            <w:pPr>
              <w:pStyle w:val="Standard"/>
              <w:numPr>
                <w:ilvl w:val="0"/>
                <w:numId w:val="5"/>
              </w:numPr>
              <w:tabs>
                <w:tab w:val="left" w:pos="209"/>
                <w:tab w:val="left" w:pos="379"/>
              </w:tabs>
              <w:spacing w:after="120" w:line="240" w:lineRule="auto"/>
              <w:ind w:left="388"/>
            </w:pPr>
            <w:r>
              <w:rPr>
                <w:rFonts w:ascii="Arial" w:eastAsia="Arial" w:hAnsi="Arial" w:cs="Arial"/>
                <w:color w:val="000000"/>
                <w:sz w:val="24"/>
                <w:szCs w:val="24"/>
              </w:rPr>
              <w:t>is entering into an Exempt Call-off Contract that is not subject to (as applicable) any of:</w:t>
            </w:r>
          </w:p>
          <w:p w:rsidR="00C161E5" w:rsidRDefault="006A1580">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t>the Regulations;</w:t>
            </w:r>
          </w:p>
          <w:p w:rsidR="00C161E5" w:rsidRDefault="006A1580">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t>the Concession Contracts Regulations 2016 (SI 2016/273);</w:t>
            </w:r>
          </w:p>
          <w:p w:rsidR="00C161E5" w:rsidRDefault="006A1580">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t>the Utilities Contracts Regulations 2016 (SI 2016/274);</w:t>
            </w:r>
          </w:p>
          <w:p w:rsidR="00C161E5" w:rsidRDefault="006A1580">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t>the Defence and Security Public Contracts Regulations 2011 (SI 2011/1848);</w:t>
            </w:r>
          </w:p>
          <w:p w:rsidR="00C161E5" w:rsidRDefault="006A1580">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lastRenderedPageBreak/>
              <w:t>the Remedies Directive (2007/66/EC);</w:t>
            </w:r>
          </w:p>
          <w:p w:rsidR="00C161E5" w:rsidRDefault="006A1580">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t>Directive 2014/23/EU of the European Parliament and Council;</w:t>
            </w:r>
          </w:p>
          <w:p w:rsidR="00C161E5" w:rsidRDefault="006A1580">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t>Directive 2014/24/EU of the European Parliament and Council;</w:t>
            </w:r>
          </w:p>
          <w:p w:rsidR="00C161E5" w:rsidRDefault="006A1580">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t>Directive 2014/25/EU of the European Parliament and Council; or</w:t>
            </w:r>
          </w:p>
          <w:p w:rsidR="00C161E5" w:rsidRDefault="006A1580">
            <w:pPr>
              <w:pStyle w:val="Standard"/>
              <w:numPr>
                <w:ilvl w:val="1"/>
                <w:numId w:val="5"/>
              </w:numPr>
              <w:tabs>
                <w:tab w:val="left" w:pos="635"/>
                <w:tab w:val="left" w:pos="805"/>
              </w:tabs>
              <w:spacing w:after="120" w:line="240" w:lineRule="auto"/>
              <w:ind w:left="814"/>
            </w:pPr>
            <w:r>
              <w:rPr>
                <w:rFonts w:ascii="Arial" w:eastAsia="Arial" w:hAnsi="Arial" w:cs="Arial"/>
                <w:color w:val="000000"/>
                <w:sz w:val="24"/>
                <w:szCs w:val="24"/>
              </w:rPr>
              <w:t>Directive 2009/81/EC of the European Parliament and Council;</w:t>
            </w:r>
          </w:p>
        </w:tc>
      </w:tr>
      <w:tr w:rsidR="00C161E5">
        <w:trPr>
          <w:trHeight w:val="1289"/>
        </w:trPr>
        <w:tc>
          <w:tcPr>
            <w:tcW w:w="2399"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rsidR="00C161E5" w:rsidRDefault="006A1580">
            <w:pPr>
              <w:pStyle w:val="Standard"/>
              <w:spacing w:after="120" w:line="240" w:lineRule="auto"/>
              <w:ind w:left="29"/>
            </w:pPr>
            <w:r>
              <w:rPr>
                <w:rFonts w:ascii="Arial" w:eastAsia="Arial" w:hAnsi="Arial" w:cs="Arial"/>
                <w:sz w:val="24"/>
                <w:szCs w:val="24"/>
              </w:rPr>
              <w:lastRenderedPageBreak/>
              <w:t>“</w:t>
            </w:r>
            <w:r>
              <w:rPr>
                <w:rFonts w:ascii="Arial" w:eastAsia="Arial" w:hAnsi="Arial" w:cs="Arial"/>
                <w:b/>
                <w:sz w:val="24"/>
                <w:szCs w:val="24"/>
              </w:rPr>
              <w:t>Exempt Call-off Contract</w:t>
            </w:r>
            <w:r>
              <w:rPr>
                <w:rFonts w:ascii="Arial" w:eastAsia="Arial" w:hAnsi="Arial" w:cs="Arial"/>
                <w:sz w:val="24"/>
                <w:szCs w:val="24"/>
              </w:rPr>
              <w:t>”</w:t>
            </w:r>
          </w:p>
        </w:tc>
        <w:tc>
          <w:tcPr>
            <w:tcW w:w="7350"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rsidR="00C161E5" w:rsidRDefault="006A1580">
            <w:pPr>
              <w:pStyle w:val="Standard"/>
              <w:tabs>
                <w:tab w:val="left" w:pos="-179"/>
              </w:tabs>
              <w:spacing w:after="120" w:line="240" w:lineRule="auto"/>
            </w:pPr>
            <w:r>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C161E5">
        <w:tc>
          <w:tcPr>
            <w:tcW w:w="2399"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rsidR="00C161E5" w:rsidRDefault="006A1580">
            <w:pPr>
              <w:pStyle w:val="Standard"/>
              <w:spacing w:after="120" w:line="240" w:lineRule="auto"/>
              <w:ind w:left="29"/>
            </w:pPr>
            <w:r>
              <w:rPr>
                <w:rFonts w:ascii="Arial" w:eastAsia="Arial" w:hAnsi="Arial" w:cs="Arial"/>
                <w:sz w:val="24"/>
                <w:szCs w:val="24"/>
              </w:rPr>
              <w:t>“</w:t>
            </w:r>
            <w:r>
              <w:rPr>
                <w:rFonts w:ascii="Arial" w:eastAsia="Arial" w:hAnsi="Arial" w:cs="Arial"/>
                <w:b/>
                <w:sz w:val="24"/>
                <w:szCs w:val="24"/>
              </w:rPr>
              <w:t>Exempt Procurement Amendments</w:t>
            </w:r>
            <w:r>
              <w:rPr>
                <w:rFonts w:ascii="Arial" w:eastAsia="Arial" w:hAnsi="Arial" w:cs="Arial"/>
                <w:sz w:val="24"/>
                <w:szCs w:val="24"/>
              </w:rPr>
              <w:t>”</w:t>
            </w:r>
          </w:p>
        </w:tc>
        <w:tc>
          <w:tcPr>
            <w:tcW w:w="7350"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tcPr>
          <w:p w:rsidR="00C161E5" w:rsidRDefault="006A1580">
            <w:pPr>
              <w:pStyle w:val="Standard"/>
            </w:pPr>
            <w:r>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rsidR="00C161E5" w:rsidRDefault="00C161E5">
      <w:pPr>
        <w:pStyle w:val="Standard"/>
        <w:spacing w:after="0"/>
        <w:rPr>
          <w:rFonts w:ascii="Arial" w:eastAsia="Arial" w:hAnsi="Arial" w:cs="Arial"/>
          <w:color w:val="000000"/>
          <w:sz w:val="24"/>
          <w:szCs w:val="24"/>
        </w:rPr>
      </w:pPr>
    </w:p>
    <w:tbl>
      <w:tblPr>
        <w:tblW w:w="9735" w:type="dxa"/>
        <w:tblLayout w:type="fixed"/>
        <w:tblCellMar>
          <w:left w:w="10" w:type="dxa"/>
          <w:right w:w="10" w:type="dxa"/>
        </w:tblCellMar>
        <w:tblLook w:val="0000" w:firstRow="0" w:lastRow="0" w:firstColumn="0" w:lastColumn="0" w:noHBand="0" w:noVBand="0"/>
      </w:tblPr>
      <w:tblGrid>
        <w:gridCol w:w="2403"/>
        <w:gridCol w:w="7332"/>
      </w:tblGrid>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"Existing IPR"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“Exit Day”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shall have the meaning in the European Union (Withdrawal) Act 2018;</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"Expiry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576"/>
                <w:tab w:val="left" w:pos="144"/>
              </w:tabs>
              <w:spacing w:after="120" w:line="240" w:lineRule="auto"/>
            </w:pPr>
            <w:r>
              <w:rPr>
                <w:rFonts w:ascii="Arial" w:eastAsia="Arial" w:hAnsi="Arial" w:cs="Arial"/>
                <w:color w:val="000000"/>
                <w:sz w:val="24"/>
                <w:szCs w:val="24"/>
              </w:rPr>
              <w:t>the Framework Expiry Date or the Call-Off Expiry Date (as the context dictates);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"Extension Period"</w:t>
            </w:r>
          </w:p>
          <w:p w:rsidR="00C161E5" w:rsidRDefault="00C161E5">
            <w:pPr>
              <w:pStyle w:val="Standard"/>
              <w:spacing w:line="240" w:lineRule="auto"/>
              <w:ind w:left="142" w:firstLine="720"/>
              <w:rPr>
                <w:rFonts w:ascii="Arial" w:eastAsia="Arial" w:hAnsi="Arial" w:cs="Arial"/>
                <w:sz w:val="24"/>
                <w:szCs w:val="24"/>
              </w:rPr>
            </w:pP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Framework Optional Extension Period or the Call-Off Optional Extension Period as the context dictates;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sz w:val="24"/>
                <w:szCs w:val="24"/>
              </w:rPr>
              <w:t>“Financial Reports”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ind w:left="164" w:hanging="164"/>
            </w:pPr>
            <w:r>
              <w:rPr>
                <w:rFonts w:ascii="Arial" w:eastAsia="Arial" w:hAnsi="Arial" w:cs="Arial"/>
                <w:sz w:val="24"/>
                <w:szCs w:val="24"/>
              </w:rPr>
              <w:t xml:space="preserve"> a report by the Supplier to the Buyer that:</w:t>
            </w:r>
          </w:p>
          <w:p w:rsidR="00C161E5" w:rsidRDefault="006A1580">
            <w:pPr>
              <w:pStyle w:val="Standard"/>
              <w:ind w:left="282" w:hanging="282"/>
            </w:pPr>
            <w:r>
              <w:rPr>
                <w:rFonts w:ascii="Arial" w:eastAsia="Arial" w:hAnsi="Arial" w:cs="Arial"/>
                <w:sz w:val="24"/>
                <w:szCs w:val="24"/>
              </w:rPr>
              <w:t>(a) provides a true and fair reflection of the Costs and Supplier Profit Margin forecast by the Supplier;</w:t>
            </w:r>
          </w:p>
          <w:p w:rsidR="00C161E5" w:rsidRDefault="006A1580">
            <w:pPr>
              <w:pStyle w:val="Standard"/>
              <w:ind w:left="282" w:hanging="282"/>
            </w:pPr>
            <w:r>
              <w:rPr>
                <w:rFonts w:ascii="Arial" w:eastAsia="Arial" w:hAnsi="Arial" w:cs="Arial"/>
                <w:sz w:val="24"/>
                <w:szCs w:val="24"/>
              </w:rPr>
              <w:t>(b) provides detail a true and fair reflection of the costs and expenses to be incurred by Key Subcontractors (as requested by the Buyer);</w:t>
            </w:r>
          </w:p>
          <w:p w:rsidR="00C161E5" w:rsidRDefault="006A1580">
            <w:pPr>
              <w:pStyle w:val="Standard"/>
              <w:ind w:left="282" w:hanging="282"/>
            </w:pPr>
            <w:r>
              <w:rPr>
                <w:rFonts w:ascii="Arial" w:eastAsia="Arial" w:hAnsi="Arial" w:cs="Arial"/>
                <w:sz w:val="24"/>
                <w:szCs w:val="24"/>
              </w:rPr>
              <w:t xml:space="preserve">(c) is in the same software package (Microsoft Excel or Microsoft Word), layout and format as the blank templates which have been issued by the Buyer to the Supplier on or before the Start </w:t>
            </w:r>
            <w:r>
              <w:rPr>
                <w:rFonts w:ascii="Arial" w:eastAsia="Arial" w:hAnsi="Arial" w:cs="Arial"/>
                <w:sz w:val="24"/>
                <w:szCs w:val="24"/>
              </w:rPr>
              <w:lastRenderedPageBreak/>
              <w:t>Date for the purposes of the Contract; and</w:t>
            </w:r>
          </w:p>
          <w:p w:rsidR="00C161E5" w:rsidRDefault="006A1580">
            <w:pPr>
              <w:pStyle w:val="Standard"/>
              <w:ind w:left="282" w:hanging="282"/>
            </w:pPr>
            <w:r>
              <w:rPr>
                <w:rFonts w:ascii="Arial" w:eastAsia="Arial" w:hAnsi="Arial" w:cs="Arial"/>
                <w:sz w:val="24"/>
                <w:szCs w:val="24"/>
              </w:rPr>
              <w:t>(d) is certified by the Supplier’s Chief Financial Officer or Director of Finance;</w:t>
            </w:r>
          </w:p>
          <w:p w:rsidR="00C161E5" w:rsidRDefault="00C161E5">
            <w:pPr>
              <w:pStyle w:val="Standard"/>
              <w:spacing w:line="240" w:lineRule="auto"/>
              <w:ind w:left="164" w:hanging="164"/>
              <w:rPr>
                <w:rFonts w:ascii="Arial" w:eastAsia="Arial" w:hAnsi="Arial" w:cs="Arial"/>
                <w:sz w:val="24"/>
                <w:szCs w:val="24"/>
              </w:rPr>
            </w:pP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sz w:val="24"/>
                <w:szCs w:val="24"/>
              </w:rPr>
              <w:lastRenderedPageBreak/>
              <w:t>“Financial Representative”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ind w:left="164" w:hanging="24"/>
            </w:pPr>
            <w:r>
              <w:rPr>
                <w:rFonts w:ascii="Arial" w:eastAsia="Arial" w:hAnsi="Arial" w:cs="Arial"/>
                <w:sz w:val="24"/>
                <w:szCs w:val="24"/>
              </w:rPr>
              <w:t>a reasonably skilled and experienced member of the Supplier Staff who has specific responsibility for preparing, maintaining, facilitating access to, discussing and explaining the records and accounts of everything to do with the Contract (as referred to in Clause 6), Financial Reports and Open Book Data;</w:t>
            </w:r>
          </w:p>
          <w:p w:rsidR="00C161E5" w:rsidRDefault="00C161E5">
            <w:pPr>
              <w:pStyle w:val="Standard"/>
              <w:spacing w:line="240" w:lineRule="auto"/>
              <w:ind w:left="164" w:hanging="164"/>
              <w:rPr>
                <w:rFonts w:ascii="Arial" w:eastAsia="Arial" w:hAnsi="Arial" w:cs="Arial"/>
                <w:sz w:val="24"/>
                <w:szCs w:val="24"/>
              </w:rPr>
            </w:pP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sz w:val="24"/>
                <w:szCs w:val="24"/>
              </w:rPr>
              <w:t>“Financial Transparency Objectives”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ind w:left="282" w:hanging="282"/>
            </w:pPr>
            <w:r>
              <w:rPr>
                <w:rFonts w:ascii="Arial" w:eastAsia="Arial" w:hAnsi="Arial" w:cs="Arial"/>
                <w:sz w:val="24"/>
                <w:szCs w:val="24"/>
              </w:rPr>
              <w:t>(a) the Buyer having a clear analysis of the Costs, Overhead recoveries (where relevant), time spent by Supplier Staff in providing the Services and Supplier Profit Margin so that it can understand any payment sought by the Supplier;</w:t>
            </w:r>
          </w:p>
          <w:p w:rsidR="00C161E5" w:rsidRDefault="006A1580">
            <w:pPr>
              <w:pStyle w:val="Standard"/>
              <w:ind w:left="282" w:hanging="282"/>
            </w:pPr>
            <w:r>
              <w:rPr>
                <w:rFonts w:ascii="Arial" w:eastAsia="Arial" w:hAnsi="Arial" w:cs="Arial"/>
                <w:sz w:val="24"/>
                <w:szCs w:val="24"/>
              </w:rPr>
              <w:t>(b) the Parties being able to understand Costs forecasts and to have confidence that these are based on justifiable numbers and appropriate forecasting techniques;</w:t>
            </w:r>
          </w:p>
          <w:p w:rsidR="00C161E5" w:rsidRDefault="006A1580">
            <w:pPr>
              <w:pStyle w:val="Standard"/>
              <w:ind w:left="282" w:hanging="282"/>
            </w:pPr>
            <w:r>
              <w:rPr>
                <w:rFonts w:ascii="Arial" w:eastAsia="Arial" w:hAnsi="Arial" w:cs="Arial"/>
                <w:sz w:val="24"/>
                <w:szCs w:val="24"/>
              </w:rPr>
              <w:t>(c) the Parties being able to understand the quantitative impact of any Variations that affect ongoing Costs and identifying how these could be mitigated and/or reflected in the Charges;</w:t>
            </w:r>
          </w:p>
          <w:p w:rsidR="00C161E5" w:rsidRDefault="006A1580">
            <w:pPr>
              <w:pStyle w:val="Standard"/>
              <w:ind w:left="282" w:hanging="282"/>
            </w:pPr>
            <w:r>
              <w:rPr>
                <w:rFonts w:ascii="Arial" w:eastAsia="Arial" w:hAnsi="Arial" w:cs="Arial"/>
                <w:sz w:val="24"/>
                <w:szCs w:val="24"/>
              </w:rPr>
              <w:t>(d) the Parties being able to review, address issues with and re-forecast progress in relation to the provision of the Services;</w:t>
            </w:r>
          </w:p>
          <w:p w:rsidR="00C161E5" w:rsidRDefault="006A1580">
            <w:pPr>
              <w:pStyle w:val="Standard"/>
              <w:ind w:left="282" w:hanging="282"/>
            </w:pPr>
            <w:r>
              <w:rPr>
                <w:rFonts w:ascii="Arial" w:eastAsia="Arial" w:hAnsi="Arial" w:cs="Arial"/>
                <w:sz w:val="24"/>
                <w:szCs w:val="24"/>
              </w:rPr>
              <w:t>(e) the Parties challenging each other with ideas for efficiency and improvements; and</w:t>
            </w:r>
          </w:p>
          <w:p w:rsidR="00C161E5" w:rsidRDefault="006A1580">
            <w:pPr>
              <w:pStyle w:val="Standard"/>
              <w:ind w:left="282" w:hanging="282"/>
            </w:pPr>
            <w:r>
              <w:rPr>
                <w:rFonts w:ascii="Arial" w:eastAsia="Arial" w:hAnsi="Arial" w:cs="Arial"/>
                <w:sz w:val="24"/>
                <w:szCs w:val="24"/>
              </w:rPr>
              <w:t>(f) enabling the Buyer to demonstrate that it is achieving value for money for the taxpayer relative to current market prices;</w:t>
            </w:r>
          </w:p>
          <w:p w:rsidR="00C161E5" w:rsidRDefault="00C161E5">
            <w:pPr>
              <w:pStyle w:val="Standard"/>
              <w:spacing w:line="240" w:lineRule="auto"/>
              <w:ind w:left="164" w:hanging="164"/>
              <w:rPr>
                <w:rFonts w:ascii="Arial" w:eastAsia="Arial" w:hAnsi="Arial" w:cs="Arial"/>
                <w:sz w:val="24"/>
                <w:szCs w:val="24"/>
              </w:rPr>
            </w:pP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"FOIA"</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"Force Majeure Event"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 xml:space="preserve">any event, occurrence, circumstance, matter or cause affecting the performance by either the Relevant Authority or the Supplier of its obligations arising from acts, events, omissions, happenings or non-happenings beyond the reasonable control of the Affected Party which prevent or materially delay the Affected Party from </w:t>
            </w:r>
            <w:r>
              <w:rPr>
                <w:rFonts w:ascii="Arial" w:eastAsia="Arial" w:hAnsi="Arial" w:cs="Arial"/>
                <w:color w:val="000000"/>
                <w:sz w:val="24"/>
                <w:szCs w:val="24"/>
              </w:rPr>
              <w:lastRenderedPageBreak/>
              <w:t>performing its obligations under a Contract and which are not attributable to any wilful act, neglect or failure to take reasonable preventative action by the Affected Party, including:</w:t>
            </w:r>
          </w:p>
          <w:p w:rsidR="00C161E5" w:rsidRDefault="006A1580">
            <w:pPr>
              <w:pStyle w:val="Standard"/>
              <w:numPr>
                <w:ilvl w:val="1"/>
                <w:numId w:val="4"/>
              </w:numPr>
              <w:tabs>
                <w:tab w:val="left" w:pos="-144"/>
                <w:tab w:val="left" w:pos="576"/>
              </w:tabs>
              <w:spacing w:after="120" w:line="240" w:lineRule="auto"/>
              <w:ind w:hanging="288"/>
            </w:pPr>
            <w:r>
              <w:rPr>
                <w:rFonts w:ascii="Arial" w:eastAsia="Arial" w:hAnsi="Arial" w:cs="Arial"/>
                <w:color w:val="000000"/>
                <w:sz w:val="24"/>
                <w:szCs w:val="24"/>
              </w:rPr>
              <w:t>riots, civil commotion, war or armed conflict;</w:t>
            </w:r>
          </w:p>
          <w:p w:rsidR="00C161E5" w:rsidRDefault="006A1580">
            <w:pPr>
              <w:pStyle w:val="Standard"/>
              <w:numPr>
                <w:ilvl w:val="1"/>
                <w:numId w:val="4"/>
              </w:numPr>
              <w:tabs>
                <w:tab w:val="left" w:pos="-144"/>
                <w:tab w:val="left" w:pos="576"/>
              </w:tabs>
              <w:spacing w:after="120" w:line="240" w:lineRule="auto"/>
              <w:ind w:hanging="288"/>
            </w:pPr>
            <w:r>
              <w:rPr>
                <w:rFonts w:ascii="Arial" w:eastAsia="Arial" w:hAnsi="Arial" w:cs="Arial"/>
                <w:color w:val="000000"/>
                <w:sz w:val="24"/>
                <w:szCs w:val="24"/>
              </w:rPr>
              <w:t>acts of terrorism;</w:t>
            </w:r>
          </w:p>
          <w:p w:rsidR="00C161E5" w:rsidRDefault="006A1580">
            <w:pPr>
              <w:pStyle w:val="Standard"/>
              <w:numPr>
                <w:ilvl w:val="1"/>
                <w:numId w:val="4"/>
              </w:numPr>
              <w:tabs>
                <w:tab w:val="left" w:pos="-144"/>
                <w:tab w:val="left" w:pos="576"/>
              </w:tabs>
              <w:spacing w:after="120" w:line="240" w:lineRule="auto"/>
              <w:ind w:hanging="288"/>
            </w:pPr>
            <w:r>
              <w:rPr>
                <w:rFonts w:ascii="Arial" w:eastAsia="Arial" w:hAnsi="Arial" w:cs="Arial"/>
                <w:color w:val="000000"/>
                <w:sz w:val="24"/>
                <w:szCs w:val="24"/>
              </w:rPr>
              <w:t>acts of a Central Government Body, local government or regulatory bodies;</w:t>
            </w:r>
          </w:p>
          <w:p w:rsidR="00C161E5" w:rsidRDefault="006A1580">
            <w:pPr>
              <w:pStyle w:val="Standard"/>
              <w:numPr>
                <w:ilvl w:val="1"/>
                <w:numId w:val="4"/>
              </w:numPr>
              <w:tabs>
                <w:tab w:val="left" w:pos="0"/>
                <w:tab w:val="left" w:pos="720"/>
              </w:tabs>
              <w:spacing w:after="120" w:line="240" w:lineRule="auto"/>
              <w:ind w:left="576" w:hanging="432"/>
            </w:pPr>
            <w:r>
              <w:rPr>
                <w:rFonts w:ascii="Arial" w:eastAsia="Arial" w:hAnsi="Arial" w:cs="Arial"/>
                <w:color w:val="000000"/>
                <w:sz w:val="24"/>
                <w:szCs w:val="24"/>
              </w:rPr>
              <w:t>fire, flood, storm or earthquake or other natural disaster,</w:t>
            </w:r>
          </w:p>
          <w:p w:rsidR="00C161E5" w:rsidRDefault="006A1580">
            <w:pPr>
              <w:pStyle w:val="Standard"/>
              <w:tabs>
                <w:tab w:val="left" w:pos="-576"/>
                <w:tab w:val="left" w:pos="144"/>
              </w:tabs>
              <w:spacing w:after="120" w:line="240" w:lineRule="auto"/>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lastRenderedPageBreak/>
              <w:t>"Force Majeure Notice"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"Framework Award Form"</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"Framework Contract"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OJEU Notice;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"Framework Contract Period"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244"/>
                <w:tab w:val="left" w:pos="846"/>
              </w:tabs>
              <w:spacing w:after="120" w:line="240" w:lineRule="auto"/>
              <w:ind w:left="423" w:hanging="423"/>
            </w:pPr>
            <w:r>
              <w:rPr>
                <w:rFonts w:ascii="Arial" w:eastAsia="Arial" w:hAnsi="Arial" w:cs="Arial"/>
                <w:color w:val="000000"/>
                <w:sz w:val="24"/>
                <w:szCs w:val="24"/>
              </w:rPr>
              <w:t>the period from the Framework Start Date until the End Date of the Framework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"Framework Expiry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scheduled date of the end of the Framework Contract as stated in the Framework Award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"Framework Incorporated Terms"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contractual terms applicable to the Framework Contract specified in the Framework Award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"Framework Optional Extension Period"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such period or periods beyond which the Framework Contract Period may be extended as specified in the Framework Award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keepNext/>
              <w:spacing w:after="120" w:line="240" w:lineRule="auto"/>
              <w:ind w:left="142"/>
            </w:pPr>
            <w:r>
              <w:rPr>
                <w:rFonts w:ascii="Arial" w:eastAsia="Arial" w:hAnsi="Arial" w:cs="Arial"/>
                <w:b/>
                <w:color w:val="000000"/>
                <w:sz w:val="24"/>
                <w:szCs w:val="24"/>
              </w:rPr>
              <w:t>"Framework Price(s)"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price(s) applicable to the provision of the Deliverables set out in Framework Schedule 3 (Framework Prices);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"Framework Special Terms"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any additional terms and conditions specified in the Framework Award Form incorporated into the Framework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"Framework Start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date of start of the Framework Contract as stated in the Framework Award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"Framework Tender Response"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tender submitted by the Supplier to CCS and annexed to or referred to in Framework Schedule 2 (Framework Tender);</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 xml:space="preserve">"Further </w:t>
            </w:r>
            <w:r>
              <w:rPr>
                <w:rFonts w:ascii="Arial" w:eastAsia="Arial" w:hAnsi="Arial" w:cs="Arial"/>
                <w:b/>
                <w:color w:val="000000"/>
                <w:sz w:val="24"/>
                <w:szCs w:val="24"/>
              </w:rPr>
              <w:lastRenderedPageBreak/>
              <w:t>Competition Procedure"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lastRenderedPageBreak/>
              <w:t xml:space="preserve">the further competition procedure described in Framework </w:t>
            </w:r>
            <w:r>
              <w:rPr>
                <w:rFonts w:ascii="Arial" w:eastAsia="Arial" w:hAnsi="Arial" w:cs="Arial"/>
                <w:color w:val="000000"/>
                <w:sz w:val="24"/>
                <w:szCs w:val="24"/>
              </w:rPr>
              <w:lastRenderedPageBreak/>
              <w:t>Schedule 7 (Call-Off Award Procedure);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lastRenderedPageBreak/>
              <w:t>"GDPR"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General Data Protection Regulation (Regulation (EU) 2016/679);</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"General Anti-Abuse Rule"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numPr>
                <w:ilvl w:val="1"/>
                <w:numId w:val="4"/>
              </w:numPr>
              <w:tabs>
                <w:tab w:val="left" w:pos="-144"/>
                <w:tab w:val="left" w:pos="576"/>
              </w:tabs>
              <w:spacing w:after="120" w:line="240" w:lineRule="auto"/>
              <w:ind w:hanging="288"/>
            </w:pPr>
            <w:r>
              <w:rPr>
                <w:rFonts w:ascii="Arial" w:eastAsia="Arial" w:hAnsi="Arial" w:cs="Arial"/>
                <w:color w:val="000000"/>
                <w:sz w:val="24"/>
                <w:szCs w:val="24"/>
              </w:rPr>
              <w:t>the legislation in Part 5 of the Finance Act 2013 and; and</w:t>
            </w:r>
          </w:p>
          <w:p w:rsidR="00C161E5" w:rsidRDefault="006A1580">
            <w:pPr>
              <w:pStyle w:val="Standard"/>
              <w:numPr>
                <w:ilvl w:val="1"/>
                <w:numId w:val="4"/>
              </w:numPr>
              <w:tabs>
                <w:tab w:val="left" w:pos="-144"/>
                <w:tab w:val="left" w:pos="576"/>
              </w:tabs>
              <w:spacing w:after="120" w:line="240" w:lineRule="auto"/>
              <w:ind w:hanging="288"/>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"General Change in Law"</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 Change in Law where the change is of a general legislative nature (including taxation or duties of any sort affecting the Supplier) or which affects or relates to a Comparable Supply;</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"Goods"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goods made available by the Supplier as specified in Framework Schedule 1 (Specification) and in relation to a Call-Off Contract as specified in the Order Form ;</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"Good Industry Practice"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 xml:space="preserve">standards, </w:t>
            </w:r>
            <w:r>
              <w:rPr>
                <w:rFonts w:ascii="Arial" w:eastAsia="Arial" w:hAnsi="Arial" w:cs="Arial"/>
                <w:sz w:val="24"/>
                <w:szCs w:val="24"/>
              </w:rPr>
              <w:t>practises</w:t>
            </w:r>
            <w:r>
              <w:rPr>
                <w:rFonts w:ascii="Arial" w:eastAsia="Arial" w:hAnsi="Arial" w:cs="Arial"/>
                <w:color w:val="000000"/>
                <w:sz w:val="24"/>
                <w:szCs w:val="24"/>
              </w:rPr>
              <w:t>,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"Government"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"Government Data"</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576"/>
                <w:tab w:val="left" w:pos="144"/>
              </w:tabs>
              <w:spacing w:after="120" w:line="240" w:lineRule="auto"/>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rsidR="00C161E5" w:rsidRDefault="006A1580">
            <w:pPr>
              <w:pStyle w:val="Standard"/>
              <w:numPr>
                <w:ilvl w:val="2"/>
                <w:numId w:val="4"/>
              </w:numPr>
              <w:tabs>
                <w:tab w:val="left" w:pos="216"/>
                <w:tab w:val="left" w:pos="936"/>
              </w:tabs>
              <w:spacing w:after="120" w:line="240" w:lineRule="auto"/>
              <w:ind w:left="792"/>
            </w:pPr>
            <w:r>
              <w:rPr>
                <w:rFonts w:ascii="Arial" w:eastAsia="Arial" w:hAnsi="Arial" w:cs="Arial"/>
                <w:color w:val="000000"/>
                <w:sz w:val="24"/>
                <w:szCs w:val="24"/>
              </w:rPr>
              <w:t>are supplied to the Supplier by or on behalf of the Authority; or</w:t>
            </w:r>
          </w:p>
          <w:p w:rsidR="00C161E5" w:rsidRDefault="006A1580">
            <w:pPr>
              <w:pStyle w:val="Standard"/>
              <w:numPr>
                <w:ilvl w:val="2"/>
                <w:numId w:val="4"/>
              </w:numPr>
              <w:tabs>
                <w:tab w:val="left" w:pos="216"/>
                <w:tab w:val="left" w:pos="936"/>
              </w:tabs>
              <w:spacing w:after="120" w:line="240" w:lineRule="auto"/>
              <w:ind w:left="792"/>
            </w:pPr>
            <w:r>
              <w:rPr>
                <w:rFonts w:ascii="Arial" w:eastAsia="Arial" w:hAnsi="Arial" w:cs="Arial"/>
                <w:color w:val="000000"/>
                <w:sz w:val="24"/>
                <w:szCs w:val="24"/>
              </w:rPr>
              <w:t>the Supplier is required to generate, process, store or transmit pursuant to a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keepNext/>
              <w:spacing w:after="120" w:line="240" w:lineRule="auto"/>
              <w:ind w:left="142"/>
            </w:pPr>
            <w:r>
              <w:rPr>
                <w:rFonts w:ascii="Arial" w:eastAsia="Arial" w:hAnsi="Arial" w:cs="Arial"/>
                <w:b/>
                <w:color w:val="000000"/>
                <w:sz w:val="24"/>
                <w:szCs w:val="24"/>
              </w:rPr>
              <w:t>"Guarantor"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person (if any) who has entered into a guarantee in the form set out in Joint Schedule 8 (Guarantee) in relation to this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"Halifax Abuse Principle"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principle explained in the CJEU Case C-255/02 Halifax and others;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"HMRC"</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Her Majesty’s Revenue and Customs;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"ICT Policy"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lastRenderedPageBreak/>
              <w:t>"Impact Assessment"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 assessment of the impact of a Variation request by the Relevant Authority completed in good faith, including:</w:t>
            </w:r>
          </w:p>
          <w:p w:rsidR="00C161E5" w:rsidRDefault="006A1580">
            <w:pPr>
              <w:pStyle w:val="Standard"/>
              <w:numPr>
                <w:ilvl w:val="0"/>
                <w:numId w:val="30"/>
              </w:numPr>
              <w:tabs>
                <w:tab w:val="left" w:pos="144"/>
                <w:tab w:val="left" w:pos="864"/>
              </w:tabs>
            </w:pPr>
            <w:r>
              <w:rPr>
                <w:rFonts w:ascii="Arial" w:eastAsia="Arial" w:hAnsi="Arial" w:cs="Arial"/>
                <w:color w:val="000000"/>
                <w:sz w:val="24"/>
                <w:szCs w:val="24"/>
              </w:rPr>
              <w:t>details of the impact of the proposed Variation on the Deliverables and the Supplier's ability to meet its other obligations under the Contract;</w:t>
            </w:r>
          </w:p>
          <w:p w:rsidR="00C161E5" w:rsidRDefault="006A1580">
            <w:pPr>
              <w:pStyle w:val="Standard"/>
              <w:numPr>
                <w:ilvl w:val="0"/>
                <w:numId w:val="14"/>
              </w:numPr>
              <w:tabs>
                <w:tab w:val="left" w:pos="144"/>
                <w:tab w:val="left" w:pos="864"/>
              </w:tabs>
            </w:pPr>
            <w:r>
              <w:rPr>
                <w:rFonts w:ascii="Arial" w:eastAsia="Arial" w:hAnsi="Arial" w:cs="Arial"/>
                <w:color w:val="000000"/>
                <w:sz w:val="24"/>
                <w:szCs w:val="24"/>
              </w:rPr>
              <w:t>details of the cost of implementing the proposed Variation;</w:t>
            </w:r>
          </w:p>
          <w:p w:rsidR="00C161E5" w:rsidRDefault="006A1580">
            <w:pPr>
              <w:pStyle w:val="Standard"/>
              <w:numPr>
                <w:ilvl w:val="0"/>
                <w:numId w:val="14"/>
              </w:numPr>
              <w:tabs>
                <w:tab w:val="left" w:pos="144"/>
                <w:tab w:val="left" w:pos="864"/>
              </w:tabs>
            </w:pPr>
            <w:r>
              <w:rPr>
                <w:rFonts w:ascii="Arial" w:eastAsia="Arial" w:hAnsi="Arial" w:cs="Arial"/>
                <w:color w:val="000000"/>
                <w:sz w:val="24"/>
                <w:szCs w:val="24"/>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w:t>
            </w:r>
            <w:r>
              <w:rPr>
                <w:rFonts w:ascii="Arial" w:eastAsia="Arial" w:hAnsi="Arial" w:cs="Arial"/>
                <w:sz w:val="24"/>
                <w:szCs w:val="24"/>
              </w:rPr>
              <w:t>practises</w:t>
            </w:r>
            <w:r>
              <w:rPr>
                <w:rFonts w:ascii="Arial" w:eastAsia="Arial" w:hAnsi="Arial" w:cs="Arial"/>
                <w:color w:val="000000"/>
                <w:sz w:val="24"/>
                <w:szCs w:val="24"/>
              </w:rPr>
              <w:t xml:space="preserve"> of either Party;</w:t>
            </w:r>
          </w:p>
          <w:p w:rsidR="00C161E5" w:rsidRDefault="006A1580">
            <w:pPr>
              <w:pStyle w:val="Standard"/>
              <w:numPr>
                <w:ilvl w:val="0"/>
                <w:numId w:val="14"/>
              </w:numPr>
              <w:tabs>
                <w:tab w:val="left" w:pos="144"/>
                <w:tab w:val="left" w:pos="864"/>
              </w:tabs>
            </w:pPr>
            <w:r>
              <w:rPr>
                <w:rFonts w:ascii="Arial" w:eastAsia="Arial" w:hAnsi="Arial" w:cs="Arial"/>
                <w:color w:val="000000"/>
                <w:sz w:val="24"/>
                <w:szCs w:val="24"/>
              </w:rPr>
              <w:t>a timetable for the implementation, together with any proposals for the testing of the Variation; and</w:t>
            </w:r>
          </w:p>
          <w:p w:rsidR="00C161E5" w:rsidRDefault="006A1580">
            <w:pPr>
              <w:pStyle w:val="Standard"/>
              <w:numPr>
                <w:ilvl w:val="0"/>
                <w:numId w:val="14"/>
              </w:numPr>
              <w:tabs>
                <w:tab w:val="left" w:pos="144"/>
                <w:tab w:val="left" w:pos="864"/>
              </w:tabs>
              <w:spacing w:after="120" w:line="240" w:lineRule="auto"/>
            </w:pPr>
            <w:r>
              <w:rPr>
                <w:rFonts w:ascii="Arial" w:eastAsia="Arial" w:hAnsi="Arial" w:cs="Arial"/>
                <w:color w:val="000000"/>
                <w:sz w:val="24"/>
                <w:szCs w:val="24"/>
              </w:rPr>
              <w:t>such other information as the Relevant Authority may reasonably request in (or in response to) the Variation request;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"Implementation Plan"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"Indemnifier"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 Party from whom an indemnity is sought under this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“Independent Control”</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"Indexation"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adjustment of an amount or sum in accordance with Framework Schedule 3 (Framework Prices) and the relevant Order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"Information"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has the meaning given under section 84 of the Freedom of Information Act 2000;</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"Information Commissioner"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UK’s independent authority which deals with ensuring information relating to rights in the public interest and data privacy for individuals is met, whilst promoting openness by public bodies;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"Initial Period"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initial term of a Contract specified in the Framework Award Form or the Order Form, as the context requires;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"Insolvency Event"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with respect to any person, means:</w:t>
            </w:r>
          </w:p>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 xml:space="preserve">(a) that person suspends, or threatens to suspend, payment of its debts, or is unable to pay its debts as they fall due or admits </w:t>
            </w:r>
            <w:r>
              <w:rPr>
                <w:rFonts w:ascii="Arial" w:eastAsia="Arial" w:hAnsi="Arial" w:cs="Arial"/>
                <w:color w:val="000000"/>
                <w:sz w:val="24"/>
                <w:szCs w:val="24"/>
              </w:rPr>
              <w:lastRenderedPageBreak/>
              <w:t>inability to pay its debts, or:</w:t>
            </w:r>
          </w:p>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(being a company or a LLP) is deemed unable to pay its debts within the meaning of section 123 of the Insolvency Act 1986, or</w:t>
            </w:r>
          </w:p>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(ii) (being a partnership) is deemed unable to pay its debts within the meaning of section 222 of the Insolvency Act 1986;</w:t>
            </w:r>
          </w:p>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(c) another person becomes entitled to appoint a receiver over the assets of that person or a receiver is appointed over the assets of that person;</w:t>
            </w:r>
          </w:p>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(e) that person suspends or ceases, or threatens to suspend or cease, carrying on all or a substantial part of its business;</w:t>
            </w:r>
          </w:p>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(f) where that person is a company, a LLP or a partnership:</w:t>
            </w:r>
          </w:p>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(iii) (being a company or a LLP) the holder of a qualifying floating charge over the assets of that person has become entitled to appoint or has appointed an administrative receiver; or</w:t>
            </w:r>
          </w:p>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 xml:space="preserve">(g) any event occurs, or proceeding is taken, with respect to that person in any jurisdiction to which it is subject that has an effect </w:t>
            </w:r>
            <w:r>
              <w:rPr>
                <w:rFonts w:ascii="Arial" w:eastAsia="Arial" w:hAnsi="Arial" w:cs="Arial"/>
                <w:color w:val="000000"/>
                <w:sz w:val="24"/>
                <w:szCs w:val="24"/>
              </w:rPr>
              <w:lastRenderedPageBreak/>
              <w:t>equivalent or similar to any of the events mentioned above;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keepNext/>
              <w:spacing w:after="120" w:line="240" w:lineRule="auto"/>
              <w:ind w:left="142"/>
            </w:pPr>
            <w:r>
              <w:rPr>
                <w:rFonts w:ascii="Arial" w:eastAsia="Arial" w:hAnsi="Arial" w:cs="Arial"/>
                <w:b/>
                <w:color w:val="000000"/>
                <w:sz w:val="24"/>
                <w:szCs w:val="24"/>
              </w:rPr>
              <w:lastRenderedPageBreak/>
              <w:t>"Installation Works"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"Intellectual Property Rights" or "IPR"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numPr>
                <w:ilvl w:val="0"/>
                <w:numId w:val="31"/>
              </w:numPr>
              <w:tabs>
                <w:tab w:val="left" w:pos="144"/>
                <w:tab w:val="left" w:pos="864"/>
              </w:tabs>
            </w:pPr>
            <w:r>
              <w:rPr>
                <w:rFonts w:ascii="Arial" w:eastAsia="Arial" w:hAnsi="Arial" w:cs="Arial"/>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rsidR="00C161E5" w:rsidRDefault="006A1580">
            <w:pPr>
              <w:pStyle w:val="Standard"/>
              <w:numPr>
                <w:ilvl w:val="0"/>
                <w:numId w:val="6"/>
              </w:numPr>
              <w:tabs>
                <w:tab w:val="left" w:pos="144"/>
                <w:tab w:val="left" w:pos="864"/>
              </w:tabs>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rsidR="00C161E5" w:rsidRDefault="006A1580">
            <w:pPr>
              <w:pStyle w:val="Standard"/>
              <w:numPr>
                <w:ilvl w:val="0"/>
                <w:numId w:val="6"/>
              </w:numPr>
              <w:tabs>
                <w:tab w:val="left" w:pos="144"/>
                <w:tab w:val="left" w:pos="864"/>
              </w:tabs>
              <w:spacing w:after="120" w:line="240" w:lineRule="auto"/>
            </w:pPr>
            <w:r>
              <w:rPr>
                <w:rFonts w:ascii="Arial" w:eastAsia="Arial" w:hAnsi="Arial" w:cs="Arial"/>
                <w:color w:val="000000"/>
                <w:sz w:val="24"/>
                <w:szCs w:val="24"/>
              </w:rPr>
              <w:t>all other rights having equivalent or similar effect in any country or jurisdiction;</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"Invoicing Address"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address to which the Supplier shall invoice the Buyer as specified in the Order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"IPR Claim"</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"IR35"</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 xml:space="preserve">the off-payroll rules requiring individuals who work through their company pay the same tax and National Insurance contributions as an employee which can be found online at: </w:t>
            </w:r>
            <w:hyperlink r:id="rId7" w:history="1">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“Joint Controller Agreement”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“Joint Controllers”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where two or more Controllers jointly determine the purposes and means of Processing;</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"Key Staff"</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individuals (if any) identified as such in the Order Form;</w:t>
            </w:r>
          </w:p>
        </w:tc>
      </w:tr>
      <w:tr w:rsidR="00C161E5">
        <w:trPr>
          <w:trHeight w:val="357"/>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"Key Sub-Contract"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each Sub-Contract with a Key Subcontractor;</w:t>
            </w:r>
          </w:p>
        </w:tc>
      </w:tr>
      <w:tr w:rsidR="00C161E5">
        <w:trPr>
          <w:trHeight w:val="426"/>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"Key Subcontractor"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any Subcontractor:</w:t>
            </w:r>
          </w:p>
          <w:p w:rsidR="00C161E5" w:rsidRDefault="006A1580">
            <w:pPr>
              <w:pStyle w:val="Standard"/>
              <w:numPr>
                <w:ilvl w:val="0"/>
                <w:numId w:val="32"/>
              </w:numPr>
              <w:tabs>
                <w:tab w:val="left" w:pos="144"/>
                <w:tab w:val="left" w:pos="864"/>
              </w:tabs>
            </w:pPr>
            <w:r>
              <w:rPr>
                <w:rFonts w:ascii="Arial" w:eastAsia="Arial" w:hAnsi="Arial" w:cs="Arial"/>
                <w:color w:val="000000"/>
                <w:sz w:val="24"/>
                <w:szCs w:val="24"/>
              </w:rPr>
              <w:t>which is relied upon to deliver any work package within the Deliverables in their entirety; and/or</w:t>
            </w:r>
          </w:p>
          <w:p w:rsidR="00C161E5" w:rsidRDefault="006A1580">
            <w:pPr>
              <w:pStyle w:val="Standard"/>
              <w:numPr>
                <w:ilvl w:val="0"/>
                <w:numId w:val="15"/>
              </w:numPr>
              <w:tabs>
                <w:tab w:val="left" w:pos="144"/>
                <w:tab w:val="left" w:pos="864"/>
              </w:tabs>
            </w:pPr>
            <w:r>
              <w:rPr>
                <w:rFonts w:ascii="Arial" w:eastAsia="Arial" w:hAnsi="Arial" w:cs="Arial"/>
                <w:color w:val="000000"/>
                <w:sz w:val="24"/>
                <w:szCs w:val="24"/>
              </w:rPr>
              <w:t xml:space="preserve">which, in the opinion of CCS or the Buyer performs (or </w:t>
            </w:r>
            <w:r>
              <w:rPr>
                <w:rFonts w:ascii="Arial" w:eastAsia="Arial" w:hAnsi="Arial" w:cs="Arial"/>
                <w:color w:val="000000"/>
                <w:sz w:val="24"/>
                <w:szCs w:val="24"/>
              </w:rPr>
              <w:lastRenderedPageBreak/>
              <w:t>would perform if appointed) a critical role in the provision of all or any part of the Deliverables; and/or</w:t>
            </w:r>
          </w:p>
          <w:p w:rsidR="00C161E5" w:rsidRDefault="006A1580">
            <w:pPr>
              <w:pStyle w:val="Standard"/>
              <w:numPr>
                <w:ilvl w:val="0"/>
                <w:numId w:val="15"/>
              </w:numPr>
              <w:tabs>
                <w:tab w:val="left" w:pos="144"/>
                <w:tab w:val="left" w:pos="864"/>
              </w:tabs>
              <w:spacing w:after="120" w:line="240" w:lineRule="auto"/>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rsidR="00C161E5" w:rsidRDefault="006A1580">
            <w:pPr>
              <w:pStyle w:val="Standard"/>
              <w:tabs>
                <w:tab w:val="left" w:pos="-432"/>
                <w:tab w:val="left" w:pos="288"/>
              </w:tabs>
              <w:spacing w:after="120" w:line="240" w:lineRule="auto"/>
              <w:ind w:left="144"/>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keepNext/>
              <w:spacing w:after="120" w:line="240" w:lineRule="auto"/>
              <w:ind w:left="142"/>
            </w:pPr>
            <w:r>
              <w:rPr>
                <w:rFonts w:ascii="Arial" w:eastAsia="Arial" w:hAnsi="Arial" w:cs="Arial"/>
                <w:b/>
                <w:color w:val="000000"/>
                <w:sz w:val="24"/>
                <w:szCs w:val="24"/>
              </w:rPr>
              <w:lastRenderedPageBreak/>
              <w:t>"Know-How"</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"Law"</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w:t>
            </w:r>
            <w:r>
              <w:rPr>
                <w:rFonts w:ascii="Arial" w:eastAsia="Arial" w:hAnsi="Arial" w:cs="Arial"/>
                <w:sz w:val="24"/>
                <w:szCs w:val="24"/>
              </w:rPr>
              <w:t>judgement</w:t>
            </w:r>
            <w:r>
              <w:rPr>
                <w:rFonts w:ascii="Arial" w:eastAsia="Arial" w:hAnsi="Arial" w:cs="Arial"/>
                <w:color w:val="000000"/>
                <w:sz w:val="24"/>
                <w:szCs w:val="24"/>
              </w:rPr>
              <w:t xml:space="preserve"> of a relevant court of law, or directives or requirements with which the relevant Party is bound to comply;</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“LED”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Law Enforcement Directive (Directive (EU) 2016/680);</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"Losses"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 xml:space="preserve">all losses, liabilities, damages, costs, expenses (including legal fees), disbursements, costs of investigation, litigation, settlement, </w:t>
            </w:r>
            <w:r>
              <w:rPr>
                <w:rFonts w:ascii="Arial" w:eastAsia="Arial" w:hAnsi="Arial" w:cs="Arial"/>
                <w:sz w:val="24"/>
                <w:szCs w:val="24"/>
              </w:rPr>
              <w:t>judgement</w:t>
            </w:r>
            <w:r>
              <w:rPr>
                <w:rFonts w:ascii="Arial" w:eastAsia="Arial" w:hAnsi="Arial" w:cs="Arial"/>
                <w:color w:val="000000"/>
                <w:sz w:val="24"/>
                <w:szCs w:val="24"/>
              </w:rPr>
              <w: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"Lots"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175"/>
              </w:tabs>
              <w:spacing w:after="120" w:line="240" w:lineRule="auto"/>
            </w:pPr>
            <w:r>
              <w:rPr>
                <w:rFonts w:ascii="Arial" w:eastAsia="Arial" w:hAnsi="Arial" w:cs="Arial"/>
                <w:color w:val="000000"/>
                <w:sz w:val="24"/>
                <w:szCs w:val="24"/>
              </w:rPr>
              <w:t>the number of lots specified in Framework Schedule 1 (Specification), if applicable;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"Management Charge"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"Management Information" or “MI”</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management information specified in Framework Schedule 5 (Management Charges and Information);</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“MI Default”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175"/>
              </w:tabs>
              <w:spacing w:after="120" w:line="240" w:lineRule="auto"/>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"MI Failure"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175"/>
              </w:tabs>
              <w:spacing w:after="120" w:line="240" w:lineRule="auto"/>
            </w:pPr>
            <w:r>
              <w:rPr>
                <w:rFonts w:ascii="Arial" w:eastAsia="Arial" w:hAnsi="Arial" w:cs="Arial"/>
                <w:color w:val="000000"/>
                <w:sz w:val="24"/>
                <w:szCs w:val="24"/>
              </w:rPr>
              <w:t>means when an MI report:</w:t>
            </w:r>
          </w:p>
          <w:p w:rsidR="00C161E5" w:rsidRDefault="006A1580">
            <w:pPr>
              <w:pStyle w:val="Standard"/>
              <w:numPr>
                <w:ilvl w:val="0"/>
                <w:numId w:val="33"/>
              </w:numPr>
              <w:tabs>
                <w:tab w:val="left" w:pos="144"/>
                <w:tab w:val="left" w:pos="895"/>
              </w:tabs>
            </w:pPr>
            <w:r>
              <w:rPr>
                <w:rFonts w:ascii="Arial" w:eastAsia="Arial" w:hAnsi="Arial" w:cs="Arial"/>
                <w:color w:val="000000"/>
                <w:sz w:val="24"/>
                <w:szCs w:val="24"/>
              </w:rPr>
              <w:t xml:space="preserve">contains any material errors or material omissions or a missing mandatory field; or  </w:t>
            </w:r>
          </w:p>
          <w:p w:rsidR="00C161E5" w:rsidRDefault="006A1580">
            <w:pPr>
              <w:pStyle w:val="Standard"/>
              <w:numPr>
                <w:ilvl w:val="0"/>
                <w:numId w:val="20"/>
              </w:numPr>
              <w:tabs>
                <w:tab w:val="left" w:pos="144"/>
                <w:tab w:val="left" w:pos="895"/>
              </w:tabs>
            </w:pPr>
            <w:r>
              <w:rPr>
                <w:rFonts w:ascii="Arial" w:eastAsia="Arial" w:hAnsi="Arial" w:cs="Arial"/>
                <w:color w:val="000000"/>
                <w:sz w:val="24"/>
                <w:szCs w:val="24"/>
              </w:rPr>
              <w:t>is submitted using an incorrect MI reporting Template; or</w:t>
            </w:r>
          </w:p>
          <w:p w:rsidR="00C161E5" w:rsidRDefault="006A1580">
            <w:pPr>
              <w:pStyle w:val="Standard"/>
              <w:numPr>
                <w:ilvl w:val="0"/>
                <w:numId w:val="20"/>
              </w:numPr>
              <w:tabs>
                <w:tab w:val="left" w:pos="144"/>
                <w:tab w:val="left" w:pos="895"/>
              </w:tabs>
              <w:spacing w:after="120" w:line="240" w:lineRule="auto"/>
            </w:pPr>
            <w:r>
              <w:rPr>
                <w:rFonts w:ascii="Arial" w:eastAsia="Arial" w:hAnsi="Arial" w:cs="Arial"/>
                <w:color w:val="000000"/>
                <w:sz w:val="24"/>
                <w:szCs w:val="24"/>
              </w:rPr>
              <w:t xml:space="preserve">is not submitted by the reporting date (including where a </w:t>
            </w:r>
            <w:r>
              <w:rPr>
                <w:rFonts w:ascii="Arial" w:eastAsia="Arial" w:hAnsi="Arial" w:cs="Arial"/>
                <w:color w:val="000000"/>
                <w:sz w:val="24"/>
                <w:szCs w:val="24"/>
              </w:rPr>
              <w:lastRenderedPageBreak/>
              <w:t>declaration of no business should have been filed);</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lastRenderedPageBreak/>
              <w:t>"MI Report"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175"/>
              </w:tabs>
              <w:spacing w:after="120" w:line="240" w:lineRule="auto"/>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"MI Reporting Template"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175"/>
              </w:tabs>
              <w:spacing w:after="120" w:line="240" w:lineRule="auto"/>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"Milestone"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 event or task described in the Implementation Plan;</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"Milestone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target date set out against the relevant Milestone in the Implementation Plan by which the Milestone must be Achieved;</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"Month"</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"National Insurance"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"New IPR"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576"/>
                <w:tab w:val="left" w:pos="144"/>
              </w:tabs>
              <w:spacing w:after="120" w:line="240" w:lineRule="auto"/>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rsidR="00C161E5" w:rsidRDefault="006A1580">
            <w:pPr>
              <w:pStyle w:val="Standard"/>
              <w:tabs>
                <w:tab w:val="left" w:pos="-576"/>
                <w:tab w:val="left" w:pos="144"/>
              </w:tabs>
              <w:spacing w:after="120" w:line="240" w:lineRule="auto"/>
            </w:pPr>
            <w:r>
              <w:rPr>
                <w:rFonts w:ascii="Arial" w:eastAsia="Arial" w:hAnsi="Arial" w:cs="Arial"/>
                <w:color w:val="000000"/>
                <w:sz w:val="24"/>
                <w:szCs w:val="24"/>
              </w:rPr>
              <w:t>IPR in or arising as a result of the performance of the Supplier’s obligations under a Contract and all updates and amendments to the same;</w:t>
            </w:r>
          </w:p>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but shall not include the Supplier’s Existing IPR;</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"Occasion of Tax Non–Compliance"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where:</w:t>
            </w:r>
          </w:p>
          <w:p w:rsidR="00C161E5" w:rsidRDefault="006A1580">
            <w:pPr>
              <w:pStyle w:val="Standard"/>
              <w:numPr>
                <w:ilvl w:val="0"/>
                <w:numId w:val="34"/>
              </w:numPr>
              <w:tabs>
                <w:tab w:val="left" w:pos="144"/>
                <w:tab w:val="left" w:pos="864"/>
              </w:tabs>
              <w:spacing w:after="120" w:line="240" w:lineRule="auto"/>
            </w:pPr>
            <w:r>
              <w:rPr>
                <w:rFonts w:ascii="Arial" w:eastAsia="Arial" w:hAnsi="Arial" w:cs="Arial"/>
                <w:color w:val="000000"/>
                <w:sz w:val="24"/>
                <w:szCs w:val="24"/>
              </w:rPr>
              <w:t>any tax return of the Supplier submitted to a Relevant Tax Authority on or after 1 October 2012 which is found on or after 1 April 2013 to be incorrect as a result of:</w:t>
            </w:r>
          </w:p>
          <w:p w:rsidR="00C161E5" w:rsidRDefault="006A1580">
            <w:pPr>
              <w:pStyle w:val="Standard"/>
              <w:tabs>
                <w:tab w:val="left" w:pos="132"/>
                <w:tab w:val="left" w:pos="852"/>
              </w:tabs>
              <w:spacing w:after="120" w:line="240" w:lineRule="auto"/>
              <w:ind w:left="708"/>
            </w:pPr>
            <w:proofErr w:type="spellStart"/>
            <w:r>
              <w:rPr>
                <w:rFonts w:ascii="Arial" w:eastAsia="Arial" w:hAnsi="Arial" w:cs="Arial"/>
                <w:sz w:val="24"/>
                <w:szCs w:val="24"/>
              </w:rPr>
              <w:t>i</w:t>
            </w:r>
            <w:proofErr w:type="spellEnd"/>
            <w:r>
              <w:rPr>
                <w:rFonts w:ascii="Arial" w:eastAsia="Arial" w:hAnsi="Arial" w:cs="Arial"/>
                <w:sz w:val="24"/>
                <w:szCs w:val="24"/>
              </w:rPr>
              <w:t xml:space="preserve">) </w:t>
            </w: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C161E5" w:rsidRDefault="006A1580">
            <w:pPr>
              <w:pStyle w:val="Standard"/>
              <w:tabs>
                <w:tab w:val="left" w:pos="132"/>
                <w:tab w:val="left" w:pos="852"/>
              </w:tabs>
              <w:spacing w:after="120" w:line="240" w:lineRule="auto"/>
              <w:ind w:left="708"/>
            </w:pPr>
            <w:r>
              <w:rPr>
                <w:rFonts w:ascii="Arial" w:eastAsia="Arial" w:hAnsi="Arial" w:cs="Arial"/>
                <w:sz w:val="24"/>
                <w:szCs w:val="24"/>
              </w:rPr>
              <w:t xml:space="preserve">ii) </w:t>
            </w: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rsidR="00C161E5" w:rsidRDefault="006A1580">
            <w:pPr>
              <w:pStyle w:val="Standard"/>
              <w:numPr>
                <w:ilvl w:val="0"/>
                <w:numId w:val="18"/>
              </w:numPr>
              <w:tabs>
                <w:tab w:val="left" w:pos="144"/>
                <w:tab w:val="left" w:pos="864"/>
              </w:tabs>
              <w:spacing w:after="120" w:line="240" w:lineRule="auto"/>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C161E5">
        <w:trPr>
          <w:trHeight w:val="5726"/>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lastRenderedPageBreak/>
              <w:t>"Open Book Data "</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C161E5" w:rsidRDefault="006A1580">
            <w:pPr>
              <w:pStyle w:val="Standard"/>
              <w:numPr>
                <w:ilvl w:val="0"/>
                <w:numId w:val="35"/>
              </w:numPr>
              <w:tabs>
                <w:tab w:val="left" w:pos="144"/>
                <w:tab w:val="left" w:pos="864"/>
              </w:tabs>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rsidR="00C161E5" w:rsidRDefault="006A1580">
            <w:pPr>
              <w:pStyle w:val="Standard"/>
              <w:numPr>
                <w:ilvl w:val="0"/>
                <w:numId w:val="19"/>
              </w:numPr>
              <w:tabs>
                <w:tab w:val="left" w:pos="144"/>
                <w:tab w:val="left" w:pos="864"/>
              </w:tabs>
            </w:pPr>
            <w:r>
              <w:rPr>
                <w:rFonts w:ascii="Arial" w:eastAsia="Arial" w:hAnsi="Arial" w:cs="Arial"/>
                <w:color w:val="000000"/>
                <w:sz w:val="24"/>
                <w:szCs w:val="24"/>
              </w:rPr>
              <w:t>operating expenditure relating to the provision of the Deliverables including an analysis showing:</w:t>
            </w:r>
          </w:p>
          <w:p w:rsidR="00C161E5" w:rsidRDefault="006A1580">
            <w:pPr>
              <w:pStyle w:val="Standard"/>
              <w:numPr>
                <w:ilvl w:val="2"/>
                <w:numId w:val="4"/>
              </w:numPr>
              <w:tabs>
                <w:tab w:val="left" w:pos="216"/>
                <w:tab w:val="left" w:pos="936"/>
              </w:tabs>
              <w:spacing w:after="120" w:line="240" w:lineRule="auto"/>
              <w:ind w:left="792"/>
            </w:pPr>
            <w:r>
              <w:rPr>
                <w:rFonts w:ascii="Arial" w:eastAsia="Arial" w:hAnsi="Arial" w:cs="Arial"/>
                <w:color w:val="000000"/>
                <w:sz w:val="24"/>
                <w:szCs w:val="24"/>
              </w:rPr>
              <w:t>the unit costs and quantity of Goods and any other consumables and bought-in Deliverables;</w:t>
            </w:r>
          </w:p>
          <w:p w:rsidR="00C161E5" w:rsidRDefault="006A1580">
            <w:pPr>
              <w:pStyle w:val="Standard"/>
              <w:numPr>
                <w:ilvl w:val="2"/>
                <w:numId w:val="4"/>
              </w:numPr>
              <w:tabs>
                <w:tab w:val="left" w:pos="216"/>
                <w:tab w:val="left" w:pos="936"/>
              </w:tabs>
              <w:spacing w:after="120" w:line="240" w:lineRule="auto"/>
              <w:ind w:left="792"/>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rsidR="00C161E5" w:rsidRDefault="006A1580">
            <w:pPr>
              <w:pStyle w:val="Standard"/>
              <w:numPr>
                <w:ilvl w:val="2"/>
                <w:numId w:val="4"/>
              </w:numPr>
              <w:tabs>
                <w:tab w:val="left" w:pos="216"/>
                <w:tab w:val="left" w:pos="936"/>
              </w:tabs>
              <w:spacing w:after="120" w:line="240" w:lineRule="auto"/>
              <w:ind w:left="792"/>
            </w:pPr>
            <w:r>
              <w:rPr>
                <w:rFonts w:ascii="Arial" w:eastAsia="Arial" w:hAnsi="Arial" w:cs="Arial"/>
                <w:color w:val="000000"/>
                <w:sz w:val="24"/>
                <w:szCs w:val="24"/>
              </w:rPr>
              <w:t>a list of Costs underpinning those rates for each grade, being the agreed rate less the Supplier Profit Margin; and</w:t>
            </w:r>
          </w:p>
          <w:p w:rsidR="00C161E5" w:rsidRDefault="006A1580">
            <w:pPr>
              <w:pStyle w:val="Standard"/>
              <w:numPr>
                <w:ilvl w:val="2"/>
                <w:numId w:val="4"/>
              </w:numPr>
              <w:tabs>
                <w:tab w:val="left" w:pos="216"/>
                <w:tab w:val="left" w:pos="936"/>
              </w:tabs>
              <w:spacing w:after="120" w:line="240" w:lineRule="auto"/>
              <w:ind w:left="792"/>
            </w:pPr>
            <w:r>
              <w:rPr>
                <w:rFonts w:ascii="Arial" w:eastAsia="Arial" w:hAnsi="Arial" w:cs="Arial"/>
                <w:color w:val="000000"/>
                <w:sz w:val="24"/>
                <w:szCs w:val="24"/>
              </w:rPr>
              <w:t>Reimbursable Expenses, if allowed under the Order Form;</w:t>
            </w:r>
          </w:p>
          <w:p w:rsidR="00C161E5" w:rsidRDefault="006A1580">
            <w:pPr>
              <w:pStyle w:val="Standard"/>
              <w:numPr>
                <w:ilvl w:val="0"/>
                <w:numId w:val="19"/>
              </w:numPr>
              <w:tabs>
                <w:tab w:val="left" w:pos="144"/>
                <w:tab w:val="left" w:pos="864"/>
              </w:tabs>
            </w:pPr>
            <w:r>
              <w:rPr>
                <w:rFonts w:ascii="Arial" w:eastAsia="Arial" w:hAnsi="Arial" w:cs="Arial"/>
                <w:sz w:val="24"/>
                <w:szCs w:val="24"/>
              </w:rPr>
              <w:t>Overheads;</w:t>
            </w:r>
          </w:p>
          <w:p w:rsidR="00C161E5" w:rsidRDefault="006A1580">
            <w:pPr>
              <w:pStyle w:val="Standard"/>
              <w:numPr>
                <w:ilvl w:val="0"/>
                <w:numId w:val="19"/>
              </w:numPr>
              <w:tabs>
                <w:tab w:val="left" w:pos="144"/>
                <w:tab w:val="left" w:pos="864"/>
              </w:tabs>
            </w:pPr>
            <w:r>
              <w:rPr>
                <w:rFonts w:ascii="Arial" w:eastAsia="Arial" w:hAnsi="Arial" w:cs="Arial"/>
                <w:color w:val="000000"/>
                <w:sz w:val="24"/>
                <w:szCs w:val="24"/>
              </w:rPr>
              <w:t>all interest, expenses and any other third party financing costs incurred in relation to the provision of the Deliverables;</w:t>
            </w:r>
          </w:p>
          <w:p w:rsidR="00C161E5" w:rsidRDefault="006A1580">
            <w:pPr>
              <w:pStyle w:val="Standard"/>
              <w:numPr>
                <w:ilvl w:val="0"/>
                <w:numId w:val="19"/>
              </w:numPr>
              <w:tabs>
                <w:tab w:val="left" w:pos="144"/>
                <w:tab w:val="left" w:pos="864"/>
              </w:tabs>
            </w:pPr>
            <w:r>
              <w:rPr>
                <w:rFonts w:ascii="Arial" w:eastAsia="Arial" w:hAnsi="Arial" w:cs="Arial"/>
                <w:sz w:val="24"/>
                <w:szCs w:val="24"/>
              </w:rPr>
              <w:t>the Supplier Profit achieved over the Framework Contract Period and on an annual basis;</w:t>
            </w:r>
          </w:p>
          <w:p w:rsidR="00C161E5" w:rsidRDefault="006A1580">
            <w:pPr>
              <w:pStyle w:val="Standard"/>
              <w:numPr>
                <w:ilvl w:val="0"/>
                <w:numId w:val="19"/>
              </w:numPr>
              <w:tabs>
                <w:tab w:val="left" w:pos="144"/>
                <w:tab w:val="left" w:pos="864"/>
              </w:tabs>
            </w:pPr>
            <w:r>
              <w:rPr>
                <w:rFonts w:ascii="Arial" w:eastAsia="Arial" w:hAnsi="Arial" w:cs="Arial"/>
                <w:sz w:val="24"/>
                <w:szCs w:val="24"/>
              </w:rPr>
              <w:t>confirmation that all methods of Cost apportionment and Overhead allocation are consistent with and not more onerous than such methods applied generally by the Supplier;</w:t>
            </w:r>
          </w:p>
          <w:p w:rsidR="00C161E5" w:rsidRDefault="006A1580">
            <w:pPr>
              <w:pStyle w:val="Standard"/>
              <w:numPr>
                <w:ilvl w:val="0"/>
                <w:numId w:val="19"/>
              </w:numPr>
              <w:tabs>
                <w:tab w:val="left" w:pos="144"/>
                <w:tab w:val="left" w:pos="864"/>
              </w:tabs>
            </w:pPr>
            <w:r>
              <w:rPr>
                <w:rFonts w:ascii="Arial" w:eastAsia="Arial" w:hAnsi="Arial" w:cs="Arial"/>
                <w:sz w:val="24"/>
                <w:szCs w:val="24"/>
              </w:rPr>
              <w:t>an explanation of the type and value of risk and contingencies associated with the provision of the Deliverables, including the amount of money attributed to each risk and/or contingency; and</w:t>
            </w:r>
          </w:p>
          <w:p w:rsidR="00C161E5" w:rsidRDefault="006A1580">
            <w:pPr>
              <w:pStyle w:val="Standard"/>
              <w:numPr>
                <w:ilvl w:val="0"/>
                <w:numId w:val="19"/>
              </w:numPr>
              <w:tabs>
                <w:tab w:val="left" w:pos="144"/>
                <w:tab w:val="left" w:pos="864"/>
              </w:tabs>
              <w:spacing w:after="120" w:line="240" w:lineRule="auto"/>
            </w:pPr>
            <w:r>
              <w:rPr>
                <w:rFonts w:ascii="Arial" w:eastAsia="Arial" w:hAnsi="Arial" w:cs="Arial"/>
                <w:sz w:val="24"/>
                <w:szCs w:val="24"/>
              </w:rPr>
              <w:t>the actual Costs profile for each Service Period;</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"Order"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means an order for the provision of the Deliverables placed by a Buyer with the Supplier under a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"Order Form"</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 completed Order Form Template (or equivalent information issued by the Buyer) used to create a Call-Off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lastRenderedPageBreak/>
              <w:t>"Order Form Template"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template in Framework Schedule 6 (Order Form Template and Call-Off Schedules);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"Other Contracting Authority"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any actual or potential Buyer under the Framework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keepNext/>
              <w:spacing w:after="120" w:line="240" w:lineRule="auto"/>
              <w:ind w:left="142"/>
            </w:pPr>
            <w:r>
              <w:rPr>
                <w:rFonts w:ascii="Arial" w:eastAsia="Arial" w:hAnsi="Arial" w:cs="Arial"/>
                <w:b/>
                <w:color w:val="000000"/>
                <w:sz w:val="24"/>
                <w:szCs w:val="24"/>
              </w:rPr>
              <w:t>"Overhead"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keepNext/>
              <w:spacing w:after="120" w:line="240" w:lineRule="auto"/>
              <w:ind w:left="142"/>
            </w:pPr>
            <w:r>
              <w:rPr>
                <w:rFonts w:ascii="Arial" w:eastAsia="Arial" w:hAnsi="Arial" w:cs="Arial"/>
                <w:b/>
                <w:color w:val="000000"/>
                <w:sz w:val="24"/>
                <w:szCs w:val="24"/>
              </w:rPr>
              <w:t>"Parliament"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takes its natural meaning as interpreted by Law;</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"Party"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proofErr w:type="gramStart"/>
            <w:r>
              <w:rPr>
                <w:rFonts w:ascii="Arial" w:eastAsia="Arial" w:hAnsi="Arial" w:cs="Arial"/>
                <w:color w:val="000000"/>
                <w:sz w:val="24"/>
                <w:szCs w:val="24"/>
              </w:rPr>
              <w:t>in</w:t>
            </w:r>
            <w:proofErr w:type="gramEnd"/>
            <w:r>
              <w:rPr>
                <w:rFonts w:ascii="Arial" w:eastAsia="Arial" w:hAnsi="Arial" w:cs="Arial"/>
                <w:color w:val="000000"/>
                <w:sz w:val="24"/>
                <w:szCs w:val="24"/>
              </w:rPr>
              <w:t xml:space="preserve"> the context of the Framework Contract, CCS or the Supplier, and </w:t>
            </w:r>
            <w:r>
              <w:rPr>
                <w:rFonts w:ascii="Arial" w:eastAsia="Arial" w:hAnsi="Arial" w:cs="Arial"/>
                <w:sz w:val="24"/>
                <w:szCs w:val="24"/>
              </w:rPr>
              <w:t>in the</w:t>
            </w:r>
            <w:r>
              <w:rPr>
                <w:rFonts w:ascii="Arial" w:eastAsia="Arial" w:hAnsi="Arial" w:cs="Arial"/>
                <w:color w:val="000000"/>
                <w:sz w:val="24"/>
                <w:szCs w:val="24"/>
              </w:rPr>
              <w:t xml:space="preserv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"Performance Indicators" or "PIs"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"Personal Data"</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has the meaning given to it in the GDPR;</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“Personal Data Breach”</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has the meaning given to it in the GDPR;</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“Personnel”</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 xml:space="preserve">all directors, officers, employees, agents, consultants and suppliers of a Party and/or of any Subcontractor and/or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a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"Prescribed Person"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8" w:history="1">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“Processing”</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has the meaning given to it in the GDPR;</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“Processor”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has the meaning given to it in the GDPR;</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“Processor Personnel”</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 xml:space="preserve">all directors, officers, employees, agents, consultants and suppliers of the Processor and/or of any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a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"Progress Meeting"</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 meeting between the Buyer Authorised Representative and the Supplier Authorised Representative;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"Progress Meeting Frequency"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frequency at which the Supplier shall conduct a Progress Meeting in accordance with Clause 6.1 as specified in the Order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lastRenderedPageBreak/>
              <w:t>“Progress Report”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 report provided by the Supplier indicating the steps taken to achieve Milestones or delivery dates;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“Progress Report Frequency”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frequency at which the Supplier shall deliver Progress Reports in accordance with Clause 6.1 as specified in the Order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“Prohibited Acts”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numPr>
                <w:ilvl w:val="0"/>
                <w:numId w:val="36"/>
              </w:numPr>
              <w:tabs>
                <w:tab w:val="left" w:pos="144"/>
                <w:tab w:val="left" w:pos="864"/>
              </w:tabs>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rsidR="00C161E5" w:rsidRDefault="006A1580">
            <w:pPr>
              <w:pStyle w:val="Standard"/>
              <w:numPr>
                <w:ilvl w:val="2"/>
                <w:numId w:val="4"/>
              </w:numPr>
              <w:tabs>
                <w:tab w:val="left" w:pos="613"/>
                <w:tab w:val="left" w:pos="783"/>
              </w:tabs>
              <w:spacing w:after="120" w:line="240" w:lineRule="auto"/>
              <w:ind w:left="792"/>
            </w:pPr>
            <w:r>
              <w:rPr>
                <w:rFonts w:ascii="Arial" w:eastAsia="Arial" w:hAnsi="Arial" w:cs="Arial"/>
                <w:color w:val="000000"/>
                <w:sz w:val="24"/>
                <w:szCs w:val="24"/>
              </w:rPr>
              <w:t>induce that person to perform improperly a relevant function or activity; or</w:t>
            </w:r>
          </w:p>
          <w:p w:rsidR="00C161E5" w:rsidRDefault="006A1580">
            <w:pPr>
              <w:pStyle w:val="Standard"/>
              <w:numPr>
                <w:ilvl w:val="2"/>
                <w:numId w:val="4"/>
              </w:numPr>
              <w:tabs>
                <w:tab w:val="left" w:pos="613"/>
                <w:tab w:val="left" w:pos="783"/>
              </w:tabs>
              <w:spacing w:after="120" w:line="240" w:lineRule="auto"/>
              <w:ind w:left="792"/>
            </w:pPr>
            <w:r>
              <w:rPr>
                <w:rFonts w:ascii="Arial" w:eastAsia="Arial" w:hAnsi="Arial" w:cs="Arial"/>
                <w:color w:val="000000"/>
                <w:sz w:val="24"/>
                <w:szCs w:val="24"/>
              </w:rPr>
              <w:t xml:space="preserve">reward that person for improper performance of a </w:t>
            </w:r>
            <w:r>
              <w:rPr>
                <w:rFonts w:ascii="Arial" w:eastAsia="Arial" w:hAnsi="Arial" w:cs="Arial"/>
                <w:sz w:val="24"/>
                <w:szCs w:val="24"/>
              </w:rPr>
              <w:t>relevant function or activity;</w:t>
            </w:r>
          </w:p>
          <w:p w:rsidR="00C161E5" w:rsidRDefault="006A1580">
            <w:pPr>
              <w:pStyle w:val="Standard"/>
              <w:tabs>
                <w:tab w:val="left" w:pos="-576"/>
                <w:tab w:val="left" w:pos="144"/>
              </w:tabs>
              <w:spacing w:after="120" w:line="240" w:lineRule="auto"/>
            </w:pPr>
            <w:r>
              <w:rPr>
                <w:rFonts w:ascii="Arial" w:eastAsia="Arial" w:hAnsi="Arial" w:cs="Arial"/>
                <w:sz w:val="24"/>
                <w:szCs w:val="24"/>
              </w:rPr>
              <w:t>b) to directly or indirectly request, agree to receive or accept any financial or other advantage as an inducement or a reward for improper performance of a relevant function or activity in connection with each Contract; or</w:t>
            </w:r>
          </w:p>
          <w:p w:rsidR="00C161E5" w:rsidRDefault="006A1580">
            <w:pPr>
              <w:pStyle w:val="Standard"/>
              <w:tabs>
                <w:tab w:val="left" w:pos="-576"/>
                <w:tab w:val="left" w:pos="144"/>
              </w:tabs>
              <w:spacing w:after="120" w:line="240" w:lineRule="auto"/>
            </w:pPr>
            <w:r>
              <w:rPr>
                <w:rFonts w:ascii="Arial" w:eastAsia="Arial" w:hAnsi="Arial" w:cs="Arial"/>
                <w:sz w:val="24"/>
                <w:szCs w:val="24"/>
              </w:rPr>
              <w:t>c) committing any offence:</w:t>
            </w:r>
            <w:r>
              <w:rPr>
                <w:rFonts w:ascii="Arial" w:eastAsia="Arial" w:hAnsi="Arial" w:cs="Arial"/>
                <w:sz w:val="24"/>
                <w:szCs w:val="24"/>
              </w:rPr>
              <w:tab/>
            </w:r>
          </w:p>
          <w:p w:rsidR="00C161E5" w:rsidRDefault="006A1580">
            <w:pPr>
              <w:pStyle w:val="Standard"/>
              <w:numPr>
                <w:ilvl w:val="2"/>
                <w:numId w:val="4"/>
              </w:numPr>
              <w:tabs>
                <w:tab w:val="left" w:pos="613"/>
                <w:tab w:val="left" w:pos="783"/>
              </w:tabs>
              <w:spacing w:after="120" w:line="240" w:lineRule="auto"/>
              <w:ind w:left="792"/>
            </w:pPr>
            <w:r>
              <w:rPr>
                <w:rFonts w:ascii="Arial" w:eastAsia="Arial" w:hAnsi="Arial" w:cs="Arial"/>
                <w:color w:val="000000"/>
                <w:sz w:val="24"/>
                <w:szCs w:val="24"/>
              </w:rPr>
              <w:t>under the Bribery Act 2010 (or any legislation repealed or revoked by such Act); or</w:t>
            </w:r>
          </w:p>
          <w:p w:rsidR="00C161E5" w:rsidRDefault="006A1580">
            <w:pPr>
              <w:pStyle w:val="Standard"/>
              <w:numPr>
                <w:ilvl w:val="2"/>
                <w:numId w:val="4"/>
              </w:numPr>
              <w:tabs>
                <w:tab w:val="left" w:pos="613"/>
                <w:tab w:val="left" w:pos="783"/>
              </w:tabs>
              <w:spacing w:after="120" w:line="240" w:lineRule="auto"/>
              <w:ind w:left="792"/>
            </w:pPr>
            <w:r>
              <w:rPr>
                <w:rFonts w:ascii="Arial" w:eastAsia="Arial" w:hAnsi="Arial" w:cs="Arial"/>
                <w:color w:val="000000"/>
                <w:sz w:val="24"/>
                <w:szCs w:val="24"/>
              </w:rPr>
              <w:t>under legislation or common law concerning fraudulent acts; or</w:t>
            </w:r>
          </w:p>
          <w:p w:rsidR="00C161E5" w:rsidRDefault="006A1580">
            <w:pPr>
              <w:pStyle w:val="Standard"/>
              <w:numPr>
                <w:ilvl w:val="2"/>
                <w:numId w:val="4"/>
              </w:numPr>
              <w:tabs>
                <w:tab w:val="left" w:pos="613"/>
                <w:tab w:val="left" w:pos="783"/>
              </w:tabs>
              <w:spacing w:after="120" w:line="240" w:lineRule="auto"/>
              <w:ind w:left="792"/>
            </w:pPr>
            <w:r>
              <w:rPr>
                <w:rFonts w:ascii="Arial" w:eastAsia="Arial" w:hAnsi="Arial" w:cs="Arial"/>
                <w:color w:val="000000"/>
                <w:sz w:val="24"/>
                <w:szCs w:val="24"/>
              </w:rPr>
              <w:t>defrauding, attempting to defraud or conspiring to defraud a Buyer or other public body; or</w:t>
            </w:r>
          </w:p>
          <w:p w:rsidR="00C161E5" w:rsidRDefault="006A1580">
            <w:pPr>
              <w:pStyle w:val="Standard"/>
              <w:tabs>
                <w:tab w:val="left" w:pos="-576"/>
                <w:tab w:val="left" w:pos="144"/>
              </w:tabs>
              <w:spacing w:after="120" w:line="240" w:lineRule="auto"/>
            </w:pPr>
            <w:r>
              <w:rPr>
                <w:rFonts w:ascii="Arial" w:eastAsia="Arial" w:hAnsi="Arial" w:cs="Arial"/>
                <w:sz w:val="24"/>
                <w:szCs w:val="24"/>
              </w:rPr>
              <w:t xml:space="preserve">d) </w:t>
            </w: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“Protective Measures”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 xml:space="preserve">appropriate technical and organisational measures which may include: </w:t>
            </w:r>
            <w:proofErr w:type="spellStart"/>
            <w:r>
              <w:rPr>
                <w:rFonts w:ascii="Arial" w:eastAsia="Arial" w:hAnsi="Arial" w:cs="Arial"/>
                <w:sz w:val="24"/>
                <w:szCs w:val="24"/>
              </w:rPr>
              <w:t>pseudonymisation</w:t>
            </w:r>
            <w:proofErr w:type="spellEnd"/>
            <w:r>
              <w:rPr>
                <w:rFonts w:ascii="Arial" w:eastAsia="Arial" w:hAnsi="Arial" w:cs="Arial"/>
                <w:color w:val="000000"/>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“Recall”</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"Recipient Party"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Party which receives or obtains directly or indirectly Confidential Information;</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 xml:space="preserve">"Rectification </w:t>
            </w:r>
            <w:r>
              <w:rPr>
                <w:rFonts w:ascii="Arial" w:eastAsia="Arial" w:hAnsi="Arial" w:cs="Arial"/>
                <w:b/>
                <w:color w:val="000000"/>
                <w:sz w:val="24"/>
                <w:szCs w:val="24"/>
              </w:rPr>
              <w:lastRenderedPageBreak/>
              <w:t>Plan"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numPr>
                <w:ilvl w:val="0"/>
                <w:numId w:val="37"/>
              </w:numPr>
              <w:tabs>
                <w:tab w:val="left" w:pos="541"/>
                <w:tab w:val="left" w:pos="711"/>
              </w:tabs>
            </w:pPr>
            <w:r>
              <w:rPr>
                <w:rFonts w:ascii="Arial" w:eastAsia="Arial" w:hAnsi="Arial" w:cs="Arial"/>
                <w:color w:val="000000"/>
                <w:sz w:val="24"/>
                <w:szCs w:val="24"/>
              </w:rPr>
              <w:lastRenderedPageBreak/>
              <w:t xml:space="preserve">the Supplier’s plan (or revised plan) to rectify it’s breach using the template in Joint Schedule 10 (Rectification Plan) </w:t>
            </w:r>
            <w:r>
              <w:rPr>
                <w:rFonts w:ascii="Arial" w:eastAsia="Arial" w:hAnsi="Arial" w:cs="Arial"/>
                <w:color w:val="000000"/>
                <w:sz w:val="24"/>
                <w:szCs w:val="24"/>
              </w:rPr>
              <w:lastRenderedPageBreak/>
              <w:t>which shall include:</w:t>
            </w:r>
          </w:p>
          <w:p w:rsidR="00C161E5" w:rsidRDefault="006A1580">
            <w:pPr>
              <w:pStyle w:val="Standard"/>
              <w:numPr>
                <w:ilvl w:val="0"/>
                <w:numId w:val="13"/>
              </w:numPr>
              <w:tabs>
                <w:tab w:val="left" w:pos="541"/>
                <w:tab w:val="left" w:pos="711"/>
              </w:tabs>
            </w:pPr>
            <w:r>
              <w:rPr>
                <w:rFonts w:ascii="Arial" w:eastAsia="Arial" w:hAnsi="Arial" w:cs="Arial"/>
                <w:color w:val="000000"/>
                <w:sz w:val="24"/>
                <w:szCs w:val="24"/>
              </w:rPr>
              <w:t>full details of the Default that has occurred, including a root cause analysis;</w:t>
            </w:r>
          </w:p>
          <w:p w:rsidR="00C161E5" w:rsidRDefault="006A1580">
            <w:pPr>
              <w:pStyle w:val="Standard"/>
              <w:numPr>
                <w:ilvl w:val="0"/>
                <w:numId w:val="13"/>
              </w:numPr>
              <w:tabs>
                <w:tab w:val="left" w:pos="541"/>
                <w:tab w:val="left" w:pos="711"/>
              </w:tabs>
            </w:pPr>
            <w:r>
              <w:rPr>
                <w:rFonts w:ascii="Arial" w:eastAsia="Arial" w:hAnsi="Arial" w:cs="Arial"/>
                <w:color w:val="000000"/>
                <w:sz w:val="24"/>
                <w:szCs w:val="24"/>
              </w:rPr>
              <w:t>the actual or anticipated effect of the Default; and</w:t>
            </w:r>
          </w:p>
          <w:p w:rsidR="00C161E5" w:rsidRDefault="006A1580">
            <w:pPr>
              <w:pStyle w:val="Standard"/>
              <w:numPr>
                <w:ilvl w:val="0"/>
                <w:numId w:val="13"/>
              </w:numPr>
              <w:tabs>
                <w:tab w:val="left" w:pos="541"/>
                <w:tab w:val="left" w:pos="711"/>
              </w:tabs>
              <w:spacing w:after="120" w:line="240" w:lineRule="auto"/>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lastRenderedPageBreak/>
              <w:t>"Rectification Plan Process"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process set out in Clause 10.3.1 to 10.3.4 (Rectification Plan Process);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"Regulations"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Public Contracts Regulations 2015 and/or the Public Contracts (Scotland) Regulations 2015 (as the context requires);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"Reimbursable Expenses"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rsidR="00C161E5" w:rsidRDefault="006A1580">
            <w:pPr>
              <w:pStyle w:val="Standard"/>
              <w:numPr>
                <w:ilvl w:val="0"/>
                <w:numId w:val="38"/>
              </w:numPr>
              <w:tabs>
                <w:tab w:val="left" w:pos="541"/>
                <w:tab w:val="left" w:pos="711"/>
              </w:tabs>
            </w:pPr>
            <w:r>
              <w:rPr>
                <w:rFonts w:ascii="Arial" w:eastAsia="Arial" w:hAnsi="Arial" w:cs="Arial"/>
                <w:color w:val="000000"/>
                <w:sz w:val="24"/>
                <w:szCs w:val="24"/>
              </w:rPr>
              <w:t xml:space="preserve">travel expenses incurred as a result of Supplier Staff travelling to and from their usual place of work, or to and from the premises at which the Services are principally to be performed, unless the Buyer otherwise </w:t>
            </w:r>
            <w:r>
              <w:rPr>
                <w:rFonts w:ascii="Arial" w:eastAsia="Arial" w:hAnsi="Arial" w:cs="Arial"/>
                <w:sz w:val="24"/>
                <w:szCs w:val="24"/>
              </w:rPr>
              <w:t>agreed</w:t>
            </w:r>
            <w:r>
              <w:rPr>
                <w:rFonts w:ascii="Arial" w:eastAsia="Arial" w:hAnsi="Arial" w:cs="Arial"/>
                <w:color w:val="000000"/>
                <w:sz w:val="24"/>
                <w:szCs w:val="24"/>
              </w:rPr>
              <w:t xml:space="preserve"> in advance in writing; and</w:t>
            </w:r>
          </w:p>
          <w:p w:rsidR="00C161E5" w:rsidRDefault="006A1580">
            <w:pPr>
              <w:pStyle w:val="Standard"/>
              <w:numPr>
                <w:ilvl w:val="0"/>
                <w:numId w:val="1"/>
              </w:numPr>
              <w:tabs>
                <w:tab w:val="left" w:pos="541"/>
                <w:tab w:val="left" w:pos="711"/>
              </w:tabs>
              <w:spacing w:after="120" w:line="240" w:lineRule="auto"/>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"Relevant Authority"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Authority which is party to the Contract to which a right or obligation is owed, as the context requires;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"Relevant Authority's Confidential Information"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numPr>
                <w:ilvl w:val="0"/>
                <w:numId w:val="39"/>
              </w:numPr>
              <w:tabs>
                <w:tab w:val="left" w:pos="144"/>
                <w:tab w:val="left" w:pos="864"/>
              </w:tabs>
            </w:pPr>
            <w:r>
              <w:rPr>
                <w:rFonts w:ascii="Arial" w:eastAsia="Arial" w:hAnsi="Arial" w:cs="Arial"/>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
          <w:p w:rsidR="00C161E5" w:rsidRDefault="006A1580">
            <w:pPr>
              <w:pStyle w:val="Standard"/>
              <w:numPr>
                <w:ilvl w:val="0"/>
                <w:numId w:val="2"/>
              </w:numPr>
              <w:tabs>
                <w:tab w:val="left" w:pos="144"/>
                <w:tab w:val="left" w:pos="864"/>
              </w:tabs>
              <w:spacing w:after="120" w:line="240" w:lineRule="auto"/>
            </w:pPr>
            <w:r>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information derived from any of the above;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lastRenderedPageBreak/>
              <w:t>"Relevant   Requirements"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keepNext/>
              <w:spacing w:after="120" w:line="240" w:lineRule="auto"/>
              <w:ind w:left="142"/>
            </w:pPr>
            <w:r>
              <w:rPr>
                <w:rFonts w:ascii="Arial" w:eastAsia="Arial" w:hAnsi="Arial" w:cs="Arial"/>
                <w:b/>
                <w:color w:val="000000"/>
                <w:sz w:val="24"/>
                <w:szCs w:val="24"/>
              </w:rPr>
              <w:t>"Relevant Tax Authority"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HMRC, or, if applicable, the tax authority in the jurisdiction in which the Supplier is established;</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"Reminder Notice"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985"/>
                <w:tab w:val="left" w:pos="2127"/>
              </w:tabs>
              <w:spacing w:after="120" w:line="240" w:lineRule="auto"/>
            </w:pPr>
            <w:r>
              <w:rPr>
                <w:rFonts w:ascii="Arial" w:eastAsia="Arial" w:hAnsi="Arial" w:cs="Arial"/>
                <w:color w:val="000000"/>
                <w:sz w:val="24"/>
                <w:szCs w:val="24"/>
              </w:rPr>
              <w:t>a notice sent in accordance with Clause 10.5 given by the Supplier to the Buyer providing notification that payment has not been received on time;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"Replacement Deliverables"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985"/>
                <w:tab w:val="left" w:pos="2127"/>
              </w:tabs>
              <w:spacing w:after="120" w:line="240" w:lineRule="auto"/>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keepNext/>
              <w:spacing w:after="120" w:line="240" w:lineRule="auto"/>
              <w:ind w:left="142"/>
            </w:pPr>
            <w:r>
              <w:rPr>
                <w:rFonts w:ascii="Arial" w:eastAsia="Arial" w:hAnsi="Arial" w:cs="Arial"/>
                <w:b/>
                <w:color w:val="000000"/>
                <w:sz w:val="24"/>
                <w:szCs w:val="24"/>
              </w:rPr>
              <w:t>"Replacement Subcontractor"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 Subcontractor of the Replacement Supplier to whom Transferring Supplier Employees will transfer on a Service Transfer Date (or any Subcontractor of any such Subcontractor);</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"Replacement Supplier"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"Request For Information"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"Required Insurances"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insurances required by Joint Schedule 3 (Insurance Requirements) or any additional insurances specified in the Order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"Satisfaction Certificate"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"Security Management Plan"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Supplier's security management plan prepared pursuant to Call-Off Schedule 9 (Security) (if applicable);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"Security Policy"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w:t>
            </w:r>
            <w:proofErr w:type="spellStart"/>
            <w:r>
              <w:rPr>
                <w:rFonts w:ascii="Arial" w:eastAsia="Arial" w:hAnsi="Arial" w:cs="Arial"/>
                <w:b/>
                <w:color w:val="000000"/>
                <w:sz w:val="24"/>
                <w:szCs w:val="24"/>
              </w:rPr>
              <w:t>Self Audit</w:t>
            </w:r>
            <w:proofErr w:type="spellEnd"/>
            <w:r>
              <w:rPr>
                <w:rFonts w:ascii="Arial" w:eastAsia="Arial" w:hAnsi="Arial" w:cs="Arial"/>
                <w:b/>
                <w:color w:val="000000"/>
                <w:sz w:val="24"/>
                <w:szCs w:val="24"/>
              </w:rPr>
              <w:t xml:space="preserve"> Certificate"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means the certificate in the form as set out in Framework Schedule 8 (Self Audit Certificate);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"Serious Fraud Office"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UK Government body named as such as may be renamed or replaced by an equivalent body from time to time;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lastRenderedPageBreak/>
              <w:t>“Service Levels”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"Service Period"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has the meaning given to it in the Order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keepNext/>
              <w:spacing w:after="120" w:line="240" w:lineRule="auto"/>
              <w:ind w:left="142"/>
            </w:pPr>
            <w:r>
              <w:rPr>
                <w:rFonts w:ascii="Arial" w:eastAsia="Arial" w:hAnsi="Arial" w:cs="Arial"/>
                <w:b/>
                <w:color w:val="000000"/>
                <w:sz w:val="24"/>
                <w:szCs w:val="24"/>
              </w:rPr>
              <w:t>"Services"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keepNext/>
              <w:spacing w:after="120" w:line="240" w:lineRule="auto"/>
              <w:ind w:left="142"/>
            </w:pPr>
            <w:r>
              <w:rPr>
                <w:rFonts w:ascii="Arial" w:eastAsia="Arial" w:hAnsi="Arial" w:cs="Arial"/>
                <w:b/>
                <w:color w:val="000000"/>
                <w:sz w:val="24"/>
                <w:szCs w:val="24"/>
              </w:rPr>
              <w:t>"Service Transfer"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bookmarkStart w:id="4" w:name="_2et92p0"/>
            <w:bookmarkEnd w:id="4"/>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"Service Transfer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date of a Service Transfer;</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"Sites"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any premises (including the Buyer Premises, the Supplier’s premises or third party premises) from, to or at which:</w:t>
            </w:r>
          </w:p>
          <w:p w:rsidR="00C161E5" w:rsidRDefault="006A1580">
            <w:pPr>
              <w:pStyle w:val="Standard"/>
              <w:numPr>
                <w:ilvl w:val="0"/>
                <w:numId w:val="40"/>
              </w:numPr>
              <w:tabs>
                <w:tab w:val="left" w:pos="144"/>
                <w:tab w:val="left" w:pos="864"/>
              </w:tabs>
            </w:pPr>
            <w:r>
              <w:rPr>
                <w:rFonts w:ascii="Arial" w:eastAsia="Arial" w:hAnsi="Arial" w:cs="Arial"/>
                <w:color w:val="000000"/>
                <w:sz w:val="24"/>
                <w:szCs w:val="24"/>
              </w:rPr>
              <w:t>the Deliverables are (or are to be) provided; or</w:t>
            </w:r>
          </w:p>
          <w:p w:rsidR="00C161E5" w:rsidRDefault="006A1580">
            <w:pPr>
              <w:pStyle w:val="Standard"/>
              <w:numPr>
                <w:ilvl w:val="0"/>
                <w:numId w:val="21"/>
              </w:numPr>
              <w:tabs>
                <w:tab w:val="left" w:pos="144"/>
                <w:tab w:val="left" w:pos="864"/>
              </w:tabs>
              <w:spacing w:after="120" w:line="240" w:lineRule="auto"/>
            </w:pPr>
            <w:r>
              <w:rPr>
                <w:rFonts w:ascii="Arial" w:eastAsia="Arial" w:hAnsi="Arial" w:cs="Arial"/>
                <w:color w:val="000000"/>
                <w:sz w:val="24"/>
                <w:szCs w:val="24"/>
              </w:rPr>
              <w:t>the Supplier manages, organises or otherwise directs the provision or the use of the Deliverables;</w:t>
            </w:r>
          </w:p>
          <w:p w:rsidR="00C161E5" w:rsidRDefault="006A1580">
            <w:pPr>
              <w:pStyle w:val="Standard"/>
              <w:numPr>
                <w:ilvl w:val="0"/>
                <w:numId w:val="21"/>
              </w:numPr>
              <w:tabs>
                <w:tab w:val="left" w:pos="144"/>
                <w:tab w:val="left" w:pos="864"/>
              </w:tabs>
              <w:spacing w:after="120" w:line="240" w:lineRule="auto"/>
              <w:ind w:right="97"/>
            </w:pPr>
            <w:r>
              <w:rPr>
                <w:rFonts w:ascii="Arial" w:eastAsia="Arial" w:hAnsi="Arial" w:cs="Arial"/>
                <w:sz w:val="24"/>
                <w:szCs w:val="24"/>
              </w:rPr>
              <w:t>those premises at which any Supplier Equipment or any part of the Supplier System is located (where any part of the Deliverables provided falls within Call-Off Schedule 6 (ICT Services));</w:t>
            </w:r>
          </w:p>
        </w:tc>
      </w:tr>
      <w:tr w:rsidR="00C161E5">
        <w:trPr>
          <w:trHeight w:val="945"/>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"SME"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C161E5">
        <w:trPr>
          <w:trHeight w:val="945"/>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"Special Terms"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any additional Clauses set out in the Framework Award Form or Order Form which shall form part of the respective Contract;</w:t>
            </w:r>
          </w:p>
        </w:tc>
      </w:tr>
      <w:tr w:rsidR="00C161E5">
        <w:trPr>
          <w:trHeight w:val="945"/>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hanging="142"/>
            </w:pPr>
            <w:r>
              <w:rPr>
                <w:rFonts w:ascii="Arial" w:eastAsia="Arial" w:hAnsi="Arial" w:cs="Arial"/>
                <w:b/>
                <w:color w:val="000000"/>
                <w:sz w:val="24"/>
                <w:szCs w:val="24"/>
              </w:rPr>
              <w:t>"Specific Change in Law"</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C161E5">
        <w:trPr>
          <w:trHeight w:val="945"/>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"Specification"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"Standards"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any:</w:t>
            </w:r>
          </w:p>
          <w:p w:rsidR="00C161E5" w:rsidRDefault="006A1580">
            <w:pPr>
              <w:pStyle w:val="Standard"/>
              <w:numPr>
                <w:ilvl w:val="0"/>
                <w:numId w:val="41"/>
              </w:numPr>
              <w:tabs>
                <w:tab w:val="left" w:pos="144"/>
                <w:tab w:val="left" w:pos="864"/>
              </w:tabs>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w:t>
            </w:r>
            <w:r>
              <w:rPr>
                <w:rFonts w:ascii="Arial" w:eastAsia="Arial" w:hAnsi="Arial" w:cs="Arial"/>
                <w:color w:val="000000"/>
                <w:sz w:val="24"/>
                <w:szCs w:val="24"/>
              </w:rPr>
              <w:lastRenderedPageBreak/>
              <w:t>business sector as the Supplier would reasonably and ordinarily be expected to comply with;</w:t>
            </w:r>
          </w:p>
          <w:p w:rsidR="00C161E5" w:rsidRDefault="006A1580">
            <w:pPr>
              <w:pStyle w:val="Standard"/>
              <w:numPr>
                <w:ilvl w:val="0"/>
                <w:numId w:val="9"/>
              </w:numPr>
              <w:tabs>
                <w:tab w:val="left" w:pos="144"/>
                <w:tab w:val="left" w:pos="864"/>
              </w:tabs>
            </w:pPr>
            <w:r>
              <w:rPr>
                <w:rFonts w:ascii="Arial" w:eastAsia="Arial" w:hAnsi="Arial" w:cs="Arial"/>
                <w:color w:val="000000"/>
                <w:sz w:val="24"/>
                <w:szCs w:val="24"/>
              </w:rPr>
              <w:t>standards detailed in the specification in Schedule 1 (Specification);</w:t>
            </w:r>
          </w:p>
          <w:p w:rsidR="00C161E5" w:rsidRDefault="006A1580">
            <w:pPr>
              <w:pStyle w:val="Standard"/>
              <w:numPr>
                <w:ilvl w:val="0"/>
                <w:numId w:val="9"/>
              </w:numPr>
              <w:tabs>
                <w:tab w:val="left" w:pos="144"/>
                <w:tab w:val="left" w:pos="864"/>
              </w:tabs>
            </w:pPr>
            <w:r>
              <w:rPr>
                <w:rFonts w:ascii="Arial" w:eastAsia="Arial" w:hAnsi="Arial" w:cs="Arial"/>
                <w:color w:val="000000"/>
                <w:sz w:val="24"/>
                <w:szCs w:val="24"/>
              </w:rPr>
              <w:t>standards detailed by the Buyer in the Order Form or agreed between the Parties from time to time;</w:t>
            </w:r>
          </w:p>
          <w:p w:rsidR="00C161E5" w:rsidRDefault="006A1580">
            <w:pPr>
              <w:pStyle w:val="Standard"/>
              <w:numPr>
                <w:ilvl w:val="0"/>
                <w:numId w:val="9"/>
              </w:numPr>
              <w:tabs>
                <w:tab w:val="left" w:pos="144"/>
                <w:tab w:val="left" w:pos="864"/>
              </w:tabs>
              <w:spacing w:after="120" w:line="240" w:lineRule="auto"/>
            </w:pPr>
            <w:r>
              <w:rPr>
                <w:rFonts w:ascii="Arial" w:eastAsia="Arial" w:hAnsi="Arial" w:cs="Arial"/>
                <w:color w:val="000000"/>
                <w:sz w:val="24"/>
                <w:szCs w:val="24"/>
              </w:rPr>
              <w:t>relevant Government codes of practice and guidance applicable from time to time;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lastRenderedPageBreak/>
              <w:t>"Start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keepNext/>
              <w:spacing w:after="120" w:line="240" w:lineRule="auto"/>
              <w:ind w:left="142"/>
            </w:pPr>
            <w:r>
              <w:rPr>
                <w:rFonts w:ascii="Arial" w:eastAsia="Arial" w:hAnsi="Arial" w:cs="Arial"/>
                <w:b/>
                <w:color w:val="000000"/>
                <w:sz w:val="24"/>
                <w:szCs w:val="24"/>
              </w:rPr>
              <w:t>"Statement of Requirements"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"Storage Media"</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part of any device that is capable of storing and retrieving data;</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keepNext/>
              <w:spacing w:after="120" w:line="240" w:lineRule="auto"/>
              <w:ind w:left="142"/>
            </w:pPr>
            <w:r>
              <w:rPr>
                <w:rFonts w:ascii="Arial" w:eastAsia="Arial" w:hAnsi="Arial" w:cs="Arial"/>
                <w:b/>
                <w:color w:val="000000"/>
                <w:sz w:val="24"/>
                <w:szCs w:val="24"/>
              </w:rPr>
              <w:t>"Sub-Contract"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any contract or agreement (or proposed contract or agreement), other than a Call-Off Contract or the Framework Contract, pursuant to which a third party:</w:t>
            </w:r>
          </w:p>
          <w:p w:rsidR="00C161E5" w:rsidRDefault="006A1580">
            <w:pPr>
              <w:pStyle w:val="Standard"/>
              <w:numPr>
                <w:ilvl w:val="0"/>
                <w:numId w:val="42"/>
              </w:numPr>
              <w:tabs>
                <w:tab w:val="left" w:pos="144"/>
                <w:tab w:val="left" w:pos="864"/>
              </w:tabs>
            </w:pPr>
            <w:r>
              <w:rPr>
                <w:rFonts w:ascii="Arial" w:eastAsia="Arial" w:hAnsi="Arial" w:cs="Arial"/>
                <w:color w:val="000000"/>
                <w:sz w:val="24"/>
                <w:szCs w:val="24"/>
              </w:rPr>
              <w:t>provides the Deliverables (or any part of them);</w:t>
            </w:r>
          </w:p>
          <w:p w:rsidR="00C161E5" w:rsidRDefault="006A1580">
            <w:pPr>
              <w:pStyle w:val="Standard"/>
              <w:numPr>
                <w:ilvl w:val="0"/>
                <w:numId w:val="7"/>
              </w:numPr>
              <w:tabs>
                <w:tab w:val="left" w:pos="144"/>
                <w:tab w:val="left" w:pos="864"/>
              </w:tabs>
            </w:pPr>
            <w:r>
              <w:rPr>
                <w:rFonts w:ascii="Arial" w:eastAsia="Arial" w:hAnsi="Arial" w:cs="Arial"/>
                <w:color w:val="000000"/>
                <w:sz w:val="24"/>
                <w:szCs w:val="24"/>
              </w:rPr>
              <w:t>provides facilities or services necessary for the provision of the Deliverables (or any part of them); and/or</w:t>
            </w:r>
          </w:p>
          <w:p w:rsidR="00C161E5" w:rsidRDefault="006A1580">
            <w:pPr>
              <w:pStyle w:val="Standard"/>
              <w:numPr>
                <w:ilvl w:val="0"/>
                <w:numId w:val="7"/>
              </w:numPr>
              <w:tabs>
                <w:tab w:val="left" w:pos="144"/>
                <w:tab w:val="left" w:pos="864"/>
              </w:tabs>
              <w:spacing w:after="120" w:line="240" w:lineRule="auto"/>
            </w:pPr>
            <w:r>
              <w:rPr>
                <w:rFonts w:ascii="Arial" w:eastAsia="Arial" w:hAnsi="Arial" w:cs="Arial"/>
                <w:color w:val="000000"/>
                <w:sz w:val="24"/>
                <w:szCs w:val="24"/>
              </w:rPr>
              <w:t>is responsible for the management, direction or control of the provision of the Deliverables (or any part of them);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"Subcontractor"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any person other than the Supplier, who is a party to a Sub-Contract and the servants or agents of that person;</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w:t>
            </w:r>
            <w:proofErr w:type="spellStart"/>
            <w:r>
              <w:rPr>
                <w:rFonts w:ascii="Arial" w:eastAsia="Arial" w:hAnsi="Arial" w:cs="Arial"/>
                <w:b/>
                <w:color w:val="000000"/>
                <w:sz w:val="24"/>
                <w:szCs w:val="24"/>
              </w:rPr>
              <w:t>Subprocessor</w:t>
            </w:r>
            <w:proofErr w:type="spellEnd"/>
            <w:r>
              <w:rPr>
                <w:rFonts w:ascii="Arial" w:eastAsia="Arial" w:hAnsi="Arial" w:cs="Arial"/>
                <w:b/>
                <w:color w:val="000000"/>
                <w:sz w:val="24"/>
                <w:szCs w:val="24"/>
              </w:rPr>
              <w: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any third Party appointed to process Personal Data on behalf of that Processor related to a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"Supplier"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person, firm or company identified in the Framework Award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"Supplier Assets"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"Supplier Authorised Representative"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representative appointed by the Supplier named in the Framework Award Form, or later defined in a Call-Off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"Supplier's Confidential Information"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numPr>
                <w:ilvl w:val="0"/>
                <w:numId w:val="43"/>
              </w:numPr>
              <w:tabs>
                <w:tab w:val="left" w:pos="144"/>
                <w:tab w:val="left" w:pos="864"/>
              </w:tabs>
            </w:pPr>
            <w:r>
              <w:rPr>
                <w:rFonts w:ascii="Arial" w:eastAsia="Arial" w:hAnsi="Arial" w:cs="Arial"/>
                <w:color w:val="000000"/>
                <w:sz w:val="24"/>
                <w:szCs w:val="24"/>
              </w:rPr>
              <w:t>any information, however it is conveyed, that relates to the business, affairs, developments, IPR of the Supplier (including the Supplier Existing IPR) trade secrets, Know-</w:t>
            </w:r>
            <w:r>
              <w:rPr>
                <w:rFonts w:ascii="Arial" w:eastAsia="Arial" w:hAnsi="Arial" w:cs="Arial"/>
                <w:color w:val="000000"/>
                <w:sz w:val="24"/>
                <w:szCs w:val="24"/>
              </w:rPr>
              <w:lastRenderedPageBreak/>
              <w:t>How, and/or personnel of the Supplier;</w:t>
            </w:r>
          </w:p>
          <w:p w:rsidR="00C161E5" w:rsidRDefault="006A1580">
            <w:pPr>
              <w:pStyle w:val="Standard"/>
              <w:numPr>
                <w:ilvl w:val="0"/>
                <w:numId w:val="17"/>
              </w:numPr>
              <w:tabs>
                <w:tab w:val="left" w:pos="144"/>
                <w:tab w:val="left" w:pos="864"/>
              </w:tabs>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00C161E5" w:rsidRDefault="006A1580">
            <w:pPr>
              <w:pStyle w:val="Standard"/>
              <w:numPr>
                <w:ilvl w:val="0"/>
                <w:numId w:val="17"/>
              </w:numPr>
              <w:tabs>
                <w:tab w:val="left" w:pos="144"/>
                <w:tab w:val="left" w:pos="864"/>
              </w:tabs>
              <w:spacing w:after="120" w:line="240" w:lineRule="auto"/>
            </w:pPr>
            <w:r>
              <w:rPr>
                <w:rFonts w:ascii="Arial" w:eastAsia="Arial" w:hAnsi="Arial" w:cs="Arial"/>
                <w:color w:val="000000"/>
                <w:sz w:val="24"/>
                <w:szCs w:val="24"/>
              </w:rPr>
              <w:t>Information derived from any of (a) and (b) above;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284"/>
              </w:tabs>
              <w:spacing w:before="120" w:after="120" w:line="240" w:lineRule="auto"/>
              <w:ind w:left="142"/>
            </w:pPr>
            <w:r>
              <w:rPr>
                <w:rFonts w:ascii="Arial" w:eastAsia="Arial" w:hAnsi="Arial" w:cs="Arial"/>
                <w:b/>
                <w:color w:val="000000"/>
                <w:sz w:val="24"/>
                <w:szCs w:val="24"/>
              </w:rPr>
              <w:lastRenderedPageBreak/>
              <w:t>"Supplier's Contract Manager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134"/>
              </w:tabs>
              <w:spacing w:before="120" w:after="120" w:line="240" w:lineRule="auto"/>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"Supplier Equipment"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"Supplier Marketing Contact"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shall be the person identified in the Framework Award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"Supplier Non-Performance"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where the Supplier has failed to:</w:t>
            </w:r>
          </w:p>
          <w:p w:rsidR="00C161E5" w:rsidRDefault="006A1580">
            <w:pPr>
              <w:pStyle w:val="Standard"/>
              <w:numPr>
                <w:ilvl w:val="0"/>
                <w:numId w:val="44"/>
              </w:numPr>
              <w:tabs>
                <w:tab w:val="left" w:pos="144"/>
                <w:tab w:val="left" w:pos="864"/>
              </w:tabs>
            </w:pPr>
            <w:r>
              <w:rPr>
                <w:rFonts w:ascii="Arial" w:eastAsia="Arial" w:hAnsi="Arial" w:cs="Arial"/>
                <w:color w:val="000000"/>
                <w:sz w:val="24"/>
                <w:szCs w:val="24"/>
              </w:rPr>
              <w:t>Achieve a Milestone by its Milestone Date;</w:t>
            </w:r>
          </w:p>
          <w:p w:rsidR="00C161E5" w:rsidRDefault="006A1580">
            <w:pPr>
              <w:pStyle w:val="Standard"/>
              <w:numPr>
                <w:ilvl w:val="0"/>
                <w:numId w:val="23"/>
              </w:numPr>
              <w:tabs>
                <w:tab w:val="left" w:pos="144"/>
                <w:tab w:val="left" w:pos="864"/>
              </w:tabs>
            </w:pPr>
            <w:r>
              <w:rPr>
                <w:rFonts w:ascii="Arial" w:eastAsia="Arial" w:hAnsi="Arial" w:cs="Arial"/>
                <w:color w:val="000000"/>
                <w:sz w:val="24"/>
                <w:szCs w:val="24"/>
              </w:rPr>
              <w:t>provide the Goods and/or Services in accordance with the Service Levels ; and/or</w:t>
            </w:r>
          </w:p>
          <w:p w:rsidR="00C161E5" w:rsidRDefault="006A1580">
            <w:pPr>
              <w:pStyle w:val="Standard"/>
              <w:numPr>
                <w:ilvl w:val="0"/>
                <w:numId w:val="23"/>
              </w:numPr>
              <w:tabs>
                <w:tab w:val="left" w:pos="144"/>
                <w:tab w:val="left" w:pos="864"/>
              </w:tabs>
              <w:spacing w:after="120" w:line="240" w:lineRule="auto"/>
            </w:pPr>
            <w:r>
              <w:rPr>
                <w:rFonts w:ascii="Arial" w:eastAsia="Arial" w:hAnsi="Arial" w:cs="Arial"/>
                <w:color w:val="000000"/>
                <w:sz w:val="24"/>
                <w:szCs w:val="24"/>
              </w:rPr>
              <w:t>comply with an obligation under a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"Supplier Profit"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"Supplier Profit Margin"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"Supplier Staff"</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"Supporting Documentation"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 xml:space="preserve">sufficient information in writing to enable the Buyer to reasonably assess whether the Charges, Reimbursable Expenses and other sums due from the Buyer under the Call-Off Contract detailed in </w:t>
            </w:r>
            <w:r>
              <w:rPr>
                <w:rFonts w:ascii="Arial" w:eastAsia="Arial" w:hAnsi="Arial" w:cs="Arial"/>
                <w:color w:val="000000"/>
                <w:sz w:val="24"/>
                <w:szCs w:val="24"/>
              </w:rPr>
              <w:lastRenderedPageBreak/>
              <w:t>the information are properly payable;</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lastRenderedPageBreak/>
              <w:t>"Termination Notice"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"Test Issue"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any variance or non-conformity of the Deliverables from their requirements as set out in a Call-Off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"Test Plan"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 plan:</w:t>
            </w:r>
          </w:p>
          <w:p w:rsidR="00C161E5" w:rsidRDefault="006A1580">
            <w:pPr>
              <w:pStyle w:val="Standard"/>
              <w:numPr>
                <w:ilvl w:val="0"/>
                <w:numId w:val="45"/>
              </w:numPr>
              <w:tabs>
                <w:tab w:val="left" w:pos="144"/>
                <w:tab w:val="left" w:pos="861"/>
              </w:tabs>
            </w:pPr>
            <w:r>
              <w:rPr>
                <w:rFonts w:ascii="Arial" w:eastAsia="Arial" w:hAnsi="Arial" w:cs="Arial"/>
                <w:color w:val="000000"/>
                <w:sz w:val="24"/>
                <w:szCs w:val="24"/>
              </w:rPr>
              <w:t>for the Testing of the Deliverables; and</w:t>
            </w:r>
          </w:p>
          <w:p w:rsidR="00C161E5" w:rsidRDefault="006A1580">
            <w:pPr>
              <w:pStyle w:val="Standard"/>
              <w:numPr>
                <w:ilvl w:val="0"/>
                <w:numId w:val="10"/>
              </w:numPr>
              <w:tabs>
                <w:tab w:val="left" w:pos="144"/>
                <w:tab w:val="left" w:pos="861"/>
              </w:tabs>
              <w:spacing w:after="120" w:line="240" w:lineRule="auto"/>
            </w:pPr>
            <w:r>
              <w:rPr>
                <w:rFonts w:ascii="Arial" w:eastAsia="Arial" w:hAnsi="Arial" w:cs="Arial"/>
                <w:color w:val="000000"/>
                <w:sz w:val="24"/>
                <w:szCs w:val="24"/>
              </w:rPr>
              <w:t>setting out other agreed criteria related to the achievement of Milestones;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"Tests "</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"Third Party IPR"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"Transferring Supplier Employees"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those employees of the Supplier and/or the Supplier’s Subcontractors to whom the Employment Regulations will apply on the Service Transfer Date;</w:t>
            </w:r>
          </w:p>
        </w:tc>
      </w:tr>
      <w:tr w:rsidR="00C161E5">
        <w:trPr>
          <w:trHeight w:val="2259"/>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keepNext/>
              <w:spacing w:after="120" w:line="240" w:lineRule="auto"/>
              <w:ind w:left="142"/>
            </w:pPr>
            <w:r>
              <w:rPr>
                <w:rFonts w:ascii="Arial" w:eastAsia="Arial" w:hAnsi="Arial" w:cs="Arial"/>
                <w:b/>
                <w:color w:val="000000"/>
                <w:sz w:val="24"/>
                <w:szCs w:val="24"/>
              </w:rPr>
              <w:t>"Transparency Information"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keepNext/>
              <w:tabs>
                <w:tab w:val="left" w:pos="-179"/>
                <w:tab w:val="left" w:pos="-9"/>
              </w:tabs>
              <w:spacing w:after="120" w:line="240" w:lineRule="auto"/>
            </w:pPr>
            <w:r>
              <w:rPr>
                <w:rFonts w:ascii="Arial" w:eastAsia="Arial" w:hAnsi="Arial" w:cs="Arial"/>
                <w:color w:val="000000"/>
                <w:sz w:val="24"/>
                <w:szCs w:val="24"/>
              </w:rPr>
              <w:t>the Transparency Reports and the content of a Contract, including any changes to this Contract agreed from time to time, except for –</w:t>
            </w:r>
          </w:p>
          <w:p w:rsidR="00C161E5" w:rsidRDefault="006A1580">
            <w:pPr>
              <w:pStyle w:val="Standard"/>
              <w:keepNext/>
              <w:tabs>
                <w:tab w:val="left" w:pos="541"/>
                <w:tab w:val="left" w:pos="711"/>
              </w:tabs>
              <w:spacing w:after="120" w:line="240" w:lineRule="auto"/>
              <w:ind w:left="720"/>
            </w:pPr>
            <w:bookmarkStart w:id="5" w:name="_tyjcwt"/>
            <w:bookmarkEnd w:id="5"/>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any information which is exempt from disclosure in accordance with the provisions of the FOIA, which shall be determined by the Relevant Author</w:t>
            </w:r>
            <w:r>
              <w:rPr>
                <w:rFonts w:ascii="Arial" w:eastAsia="Arial" w:hAnsi="Arial" w:cs="Arial"/>
                <w:color w:val="222222"/>
                <w:sz w:val="24"/>
                <w:szCs w:val="24"/>
              </w:rPr>
              <w:t>ity; and</w:t>
            </w:r>
          </w:p>
          <w:p w:rsidR="00C161E5" w:rsidRDefault="006A1580">
            <w:pPr>
              <w:pStyle w:val="Standard"/>
              <w:keepNext/>
              <w:tabs>
                <w:tab w:val="left" w:pos="528"/>
                <w:tab w:val="left" w:pos="1414"/>
              </w:tabs>
              <w:spacing w:after="120" w:line="240" w:lineRule="auto"/>
              <w:ind w:left="707"/>
            </w:pPr>
            <w:r>
              <w:rPr>
                <w:rFonts w:ascii="Arial" w:eastAsia="Arial" w:hAnsi="Arial" w:cs="Arial"/>
                <w:color w:val="000000"/>
                <w:sz w:val="24"/>
                <w:szCs w:val="24"/>
              </w:rPr>
              <w:t>(ii)</w:t>
            </w:r>
            <w:r>
              <w:rPr>
                <w:rFonts w:ascii="Arial" w:eastAsia="Arial" w:hAnsi="Arial" w:cs="Arial"/>
                <w:color w:val="000000"/>
                <w:sz w:val="24"/>
                <w:szCs w:val="24"/>
              </w:rPr>
              <w:tab/>
              <w:t>Commercially Sensitive Information;</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"Transparency Reports"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"Variation"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any change to a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"Variation Form"</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form set out in Joint Schedule 2 (Variation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"Variation Procedure"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the procedure set out in Clause 24 (Changing the contract);</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"VAT"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value added tax in accordance with the provisions of the Value Added Tax Act 1994;</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"VCSE"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"Worker"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 xml:space="preserve">any one of the Supplier Staff which the Buyer, in its reasonable </w:t>
            </w:r>
            <w:r>
              <w:rPr>
                <w:rFonts w:ascii="Arial" w:eastAsia="Arial" w:hAnsi="Arial" w:cs="Arial"/>
                <w:color w:val="000000"/>
                <w:sz w:val="24"/>
                <w:szCs w:val="24"/>
              </w:rPr>
              <w:lastRenderedPageBreak/>
              <w:t>opinion, considers is an individual to which Procurement Policy Note 08/15 (Tax Arrangements of Public Appointees) (https://www.gov.uk/government/publications/procurement-policy-note-0815-tax-arrangements-of-appointees) applies in respect of the Deliverables;</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lastRenderedPageBreak/>
              <w:t>"Working Day"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"Work Day"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r>
              <w:rPr>
                <w:rFonts w:ascii="Arial" w:eastAsia="Arial" w:hAnsi="Arial" w:cs="Arial"/>
                <w:color w:val="000000"/>
                <w:sz w:val="24"/>
                <w:szCs w:val="24"/>
              </w:rPr>
              <w:t>8.0 Work Hours, whether or not such hours are worked consecutively and whether or not they are worked on the same day; and</w:t>
            </w:r>
          </w:p>
        </w:tc>
      </w:tr>
      <w:tr w:rsidR="00C161E5">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spacing w:after="120" w:line="240" w:lineRule="auto"/>
              <w:ind w:left="142"/>
            </w:pPr>
            <w:r>
              <w:rPr>
                <w:rFonts w:ascii="Arial" w:eastAsia="Arial" w:hAnsi="Arial" w:cs="Arial"/>
                <w:b/>
                <w:color w:val="000000"/>
                <w:sz w:val="24"/>
                <w:szCs w:val="24"/>
              </w:rPr>
              <w:t>"Work Hours"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C161E5" w:rsidRDefault="006A1580">
            <w:pPr>
              <w:pStyle w:val="Standard"/>
              <w:tabs>
                <w:tab w:val="left" w:pos="-179"/>
                <w:tab w:val="left" w:pos="-9"/>
              </w:tabs>
              <w:spacing w:after="120" w:line="240" w:lineRule="auto"/>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hours spent by the Supplier Staff properly working on the provision of the Deliverables including time spent travelling (other than to and from the Supplier's offices, or to and from the Sites) but excluding lunch breaks.</w:t>
            </w:r>
          </w:p>
        </w:tc>
      </w:tr>
    </w:tbl>
    <w:p w:rsidR="00C161E5" w:rsidRDefault="00C161E5">
      <w:pPr>
        <w:pStyle w:val="Standard"/>
        <w:spacing w:after="0" w:line="240" w:lineRule="auto"/>
      </w:pPr>
    </w:p>
    <w:sectPr w:rsidR="00C161E5">
      <w:headerReference w:type="default" r:id="rId9"/>
      <w:footerReference w:type="default" r:id="rId10"/>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06A" w:rsidRDefault="005D406A">
      <w:r>
        <w:separator/>
      </w:r>
    </w:p>
  </w:endnote>
  <w:endnote w:type="continuationSeparator" w:id="0">
    <w:p w:rsidR="005D406A" w:rsidRDefault="005D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E6" w:rsidRDefault="006A1580">
    <w:pPr>
      <w:pStyle w:val="Standard"/>
      <w:tabs>
        <w:tab w:val="center" w:pos="4513"/>
        <w:tab w:val="right" w:pos="9026"/>
      </w:tabs>
      <w:spacing w:after="0" w:line="240" w:lineRule="auto"/>
    </w:pPr>
    <w:r>
      <w:rPr>
        <w:rFonts w:ascii="Arial" w:eastAsia="Arial" w:hAnsi="Arial" w:cs="Arial"/>
        <w:sz w:val="20"/>
        <w:szCs w:val="20"/>
      </w:rPr>
      <w:t>Framework Ref: RM6187</w:t>
    </w:r>
    <w:r>
      <w:rPr>
        <w:rFonts w:ascii="Arial" w:eastAsia="Arial" w:hAnsi="Arial" w:cs="Arial"/>
        <w:sz w:val="20"/>
        <w:szCs w:val="20"/>
      </w:rPr>
      <w:tab/>
      <w:t xml:space="preserve">                                         </w:t>
    </w:r>
  </w:p>
  <w:p w:rsidR="00B44EE6" w:rsidRDefault="006A1580">
    <w:pPr>
      <w:pStyle w:val="Standard"/>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Model Version: v3.8</w:t>
    </w:r>
  </w:p>
  <w:p w:rsidR="00C503DA" w:rsidRDefault="00C503DA">
    <w:pPr>
      <w:pStyle w:val="Standard"/>
      <w:tabs>
        <w:tab w:val="center" w:pos="4513"/>
        <w:tab w:val="right" w:pos="9026"/>
      </w:tabs>
      <w:spacing w:after="0" w:line="240" w:lineRule="auto"/>
    </w:pPr>
    <w:r>
      <w:rPr>
        <w:rFonts w:ascii="Arial" w:hAnsi="Arial" w:cs="Arial"/>
      </w:rPr>
      <w:t>Unity Programme Delivery Partner SR1032578788</w:t>
    </w:r>
  </w:p>
  <w:p w:rsidR="00B44EE6" w:rsidRDefault="006A1580">
    <w:pPr>
      <w:pStyle w:val="Standard"/>
      <w:tabs>
        <w:tab w:val="center" w:pos="4513"/>
        <w:tab w:val="right" w:pos="9026"/>
      </w:tabs>
      <w:spacing w:after="0" w:line="240" w:lineRule="auto"/>
      <w:jc w:val="right"/>
    </w:pPr>
    <w:r>
      <w:fldChar w:fldCharType="begin"/>
    </w:r>
    <w:r>
      <w:instrText xml:space="preserve"> PAGE </w:instrText>
    </w:r>
    <w:r>
      <w:fldChar w:fldCharType="separate"/>
    </w:r>
    <w:r w:rsidR="00C503DA">
      <w:rPr>
        <w:noProof/>
      </w:rPr>
      <w:t>2</w:t>
    </w:r>
    <w:r>
      <w:fldChar w:fldCharType="end"/>
    </w:r>
    <w:r>
      <w:rPr>
        <w:rFonts w:ascii="Arial" w:eastAsia="Arial" w:hAnsi="Arial" w:cs="Arial"/>
        <w:color w:val="BFBFBF"/>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06A" w:rsidRDefault="005D406A">
      <w:r>
        <w:rPr>
          <w:color w:val="000000"/>
        </w:rPr>
        <w:separator/>
      </w:r>
    </w:p>
  </w:footnote>
  <w:footnote w:type="continuationSeparator" w:id="0">
    <w:p w:rsidR="005D406A" w:rsidRDefault="005D4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E6" w:rsidRDefault="006A1580">
    <w:pPr>
      <w:pStyle w:val="Standard"/>
      <w:tabs>
        <w:tab w:val="center" w:pos="4513"/>
        <w:tab w:val="right" w:pos="9026"/>
      </w:tabs>
      <w:spacing w:after="0" w:line="240" w:lineRule="auto"/>
    </w:pPr>
    <w:r>
      <w:rPr>
        <w:rFonts w:ascii="Arial" w:eastAsia="Arial" w:hAnsi="Arial" w:cs="Arial"/>
        <w:b/>
        <w:color w:val="000000"/>
        <w:sz w:val="20"/>
        <w:szCs w:val="20"/>
      </w:rPr>
      <w:t>Joint Schedule 1 (Definitions)</w:t>
    </w:r>
  </w:p>
  <w:p w:rsidR="00B44EE6" w:rsidRDefault="006A1580">
    <w:pPr>
      <w:pStyle w:val="Standard"/>
      <w:tabs>
        <w:tab w:val="left" w:pos="3800"/>
        <w:tab w:val="center" w:pos="4513"/>
        <w:tab w:val="right" w:pos="9026"/>
      </w:tabs>
      <w:spacing w:after="0" w:line="240" w:lineRule="auto"/>
    </w:pPr>
    <w:r>
      <w:rPr>
        <w:rFonts w:ascii="Arial" w:eastAsia="Arial" w:hAnsi="Arial" w:cs="Arial"/>
        <w:color w:val="000000"/>
        <w:sz w:val="20"/>
        <w:szCs w:val="20"/>
      </w:rPr>
      <w:t>Crown Copyright 2018</w:t>
    </w:r>
    <w:r>
      <w:rPr>
        <w:rFonts w:ascii="Arial" w:eastAsia="Arial" w:hAnsi="Arial" w:cs="Arial"/>
        <w:color w:val="BFBFBF"/>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751D8"/>
    <w:multiLevelType w:val="multilevel"/>
    <w:tmpl w:val="3058E51A"/>
    <w:styleLink w:val="WWNum23"/>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55F243D"/>
    <w:multiLevelType w:val="multilevel"/>
    <w:tmpl w:val="F2E25782"/>
    <w:styleLink w:val="WWNum19"/>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A043716"/>
    <w:multiLevelType w:val="multilevel"/>
    <w:tmpl w:val="07FE1CF2"/>
    <w:styleLink w:val="WWNum16"/>
    <w:lvl w:ilvl="0">
      <w:start w:val="1"/>
      <w:numFmt w:val="decimal"/>
      <w:lvlText w:val="%1."/>
      <w:lvlJc w:val="left"/>
      <w:pPr>
        <w:ind w:left="644" w:hanging="357"/>
      </w:pPr>
      <w:rPr>
        <w:caps w:val="0"/>
        <w:smallCaps w:val="0"/>
        <w:strike w:val="0"/>
        <w:dstrike w:val="0"/>
        <w:color w:val="000000"/>
        <w:position w:val="0"/>
        <w:sz w:val="22"/>
        <w:szCs w:val="22"/>
        <w:u w:val="none"/>
        <w:vertAlign w:val="baseline"/>
      </w:rPr>
    </w:lvl>
    <w:lvl w:ilvl="1">
      <w:start w:val="1"/>
      <w:numFmt w:val="decimal"/>
      <w:lvlText w:val="%1.%2"/>
      <w:lvlJc w:val="left"/>
      <w:pPr>
        <w:ind w:left="928" w:hanging="360"/>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720"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BB0775E"/>
    <w:multiLevelType w:val="multilevel"/>
    <w:tmpl w:val="503C6C84"/>
    <w:styleLink w:val="WWNum6"/>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DA424C1"/>
    <w:multiLevelType w:val="multilevel"/>
    <w:tmpl w:val="5A4A1E44"/>
    <w:styleLink w:val="WWNum2"/>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1BC2D7A"/>
    <w:multiLevelType w:val="multilevel"/>
    <w:tmpl w:val="D1067686"/>
    <w:styleLink w:val="WWNum1"/>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32396165"/>
    <w:multiLevelType w:val="multilevel"/>
    <w:tmpl w:val="6226C8D4"/>
    <w:styleLink w:val="WWNum10"/>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35471298"/>
    <w:multiLevelType w:val="multilevel"/>
    <w:tmpl w:val="F01039B4"/>
    <w:styleLink w:val="WWNum22"/>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364956A5"/>
    <w:multiLevelType w:val="multilevel"/>
    <w:tmpl w:val="95C64CEA"/>
    <w:styleLink w:val="WWNum18"/>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36911E66"/>
    <w:multiLevelType w:val="multilevel"/>
    <w:tmpl w:val="E422A256"/>
    <w:styleLink w:val="WWNum21"/>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3B0B4F38"/>
    <w:multiLevelType w:val="multilevel"/>
    <w:tmpl w:val="C78AB18C"/>
    <w:styleLink w:val="WWNum7"/>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3D9F45CE"/>
    <w:multiLevelType w:val="multilevel"/>
    <w:tmpl w:val="4350D48A"/>
    <w:styleLink w:val="WWNum15"/>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4906417D"/>
    <w:multiLevelType w:val="multilevel"/>
    <w:tmpl w:val="2FD2FAD8"/>
    <w:styleLink w:val="WWNum3"/>
    <w:lvl w:ilvl="0">
      <w:start w:val="1"/>
      <w:numFmt w:val="lowerLetter"/>
      <w:lvlText w:val="%1)"/>
      <w:lvlJc w:val="left"/>
      <w:pPr>
        <w:ind w:left="432" w:hanging="262"/>
      </w:pPr>
      <w:rPr>
        <w:rFonts w:eastAsia="Arial" w:cs="Arial"/>
        <w:sz w:val="24"/>
        <w:szCs w:val="24"/>
      </w:rPr>
    </w:lvl>
    <w:lvl w:ilvl="1">
      <w:start w:val="1"/>
      <w:numFmt w:val="lowerLetter"/>
      <w:lvlText w:val="%2)"/>
      <w:lvlJc w:val="left"/>
      <w:pPr>
        <w:ind w:left="890" w:hanging="360"/>
      </w:pPr>
      <w:rPr>
        <w:b w:val="0"/>
        <w:i w:val="0"/>
        <w:caps w:val="0"/>
        <w:smallCaps w:val="0"/>
        <w:strike w:val="0"/>
        <w:dstrike w:val="0"/>
        <w:color w:val="000000"/>
        <w:position w:val="0"/>
        <w:sz w:val="22"/>
        <w:szCs w:val="22"/>
        <w:u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3" w15:restartNumberingAfterBreak="0">
    <w:nsid w:val="4C2C78F2"/>
    <w:multiLevelType w:val="multilevel"/>
    <w:tmpl w:val="73E46CA2"/>
    <w:styleLink w:val="WWNum24"/>
    <w:lvl w:ilvl="0">
      <w:start w:val="1"/>
      <w:numFmt w:val="lowerLetter"/>
      <w:lvlText w:val="%1)"/>
      <w:lvlJc w:val="left"/>
      <w:pPr>
        <w:ind w:left="432" w:hanging="262"/>
      </w:pPr>
      <w:rPr>
        <w:rFonts w:eastAsia="Arial" w:cs="Arial"/>
        <w:sz w:val="24"/>
        <w:szCs w:val="24"/>
      </w:rPr>
    </w:lvl>
    <w:lvl w:ilvl="1">
      <w:start w:val="1"/>
      <w:numFmt w:val="lowerLetter"/>
      <w:lvlText w:val="%2)"/>
      <w:lvlJc w:val="left"/>
      <w:pPr>
        <w:ind w:left="890" w:hanging="360"/>
      </w:pPr>
      <w:rPr>
        <w:b w:val="0"/>
        <w:i w:val="0"/>
        <w:caps w:val="0"/>
        <w:smallCaps w:val="0"/>
        <w:strike w:val="0"/>
        <w:dstrike w:val="0"/>
        <w:color w:val="000000"/>
        <w:position w:val="0"/>
        <w:sz w:val="22"/>
        <w:szCs w:val="22"/>
        <w:u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4" w15:restartNumberingAfterBreak="0">
    <w:nsid w:val="4DC42E0C"/>
    <w:multiLevelType w:val="multilevel"/>
    <w:tmpl w:val="809A3A3E"/>
    <w:styleLink w:val="WWNum12"/>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4DF74B5C"/>
    <w:multiLevelType w:val="multilevel"/>
    <w:tmpl w:val="76F86D66"/>
    <w:styleLink w:val="WWNum20"/>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59ED1C67"/>
    <w:multiLevelType w:val="multilevel"/>
    <w:tmpl w:val="A9A22DF4"/>
    <w:styleLink w:val="WWNum9"/>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657504EC"/>
    <w:multiLevelType w:val="multilevel"/>
    <w:tmpl w:val="135AC324"/>
    <w:styleLink w:val="WWNum4"/>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sz w:val="24"/>
        <w:szCs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CBB194A"/>
    <w:multiLevelType w:val="multilevel"/>
    <w:tmpl w:val="E384FCE2"/>
    <w:styleLink w:val="WWNum5"/>
    <w:lvl w:ilvl="0">
      <w:start w:val="1"/>
      <w:numFmt w:val="lowerLetter"/>
      <w:lvlText w:val="%1)"/>
      <w:lvlJc w:val="left"/>
      <w:pPr>
        <w:ind w:left="890" w:hanging="360"/>
      </w:pPr>
      <w:rPr>
        <w:rFonts w:ascii="Arial" w:hAnsi="Arial"/>
        <w:sz w:val="24"/>
        <w:szCs w:val="24"/>
      </w:rPr>
    </w:lvl>
    <w:lvl w:ilvl="1">
      <w:start w:val="1"/>
      <w:numFmt w:val="lowerRoman"/>
      <w:lvlText w:val="%2)"/>
      <w:lvlJc w:val="left"/>
      <w:pPr>
        <w:ind w:left="1610" w:hanging="360"/>
      </w:pPr>
      <w:rPr>
        <w:rFonts w:eastAsia="Arial" w:cs="Arial"/>
        <w:sz w:val="24"/>
        <w:szCs w:val="24"/>
      </w:r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9" w15:restartNumberingAfterBreak="0">
    <w:nsid w:val="6EDF3E7F"/>
    <w:multiLevelType w:val="multilevel"/>
    <w:tmpl w:val="A784E804"/>
    <w:styleLink w:val="WWNum14"/>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6F9F67FF"/>
    <w:multiLevelType w:val="multilevel"/>
    <w:tmpl w:val="DDC6A7B2"/>
    <w:styleLink w:val="WWNum13"/>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740545E6"/>
    <w:multiLevelType w:val="multilevel"/>
    <w:tmpl w:val="A238CFE8"/>
    <w:styleLink w:val="WWNum11"/>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sz w:val="24"/>
        <w:szCs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6EE47B8"/>
    <w:multiLevelType w:val="multilevel"/>
    <w:tmpl w:val="337229A0"/>
    <w:styleLink w:val="WWNum17"/>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779428D0"/>
    <w:multiLevelType w:val="multilevel"/>
    <w:tmpl w:val="F3B277BA"/>
    <w:styleLink w:val="WWNum8"/>
    <w:lvl w:ilvl="0">
      <w:start w:val="1"/>
      <w:numFmt w:val="lowerLetter"/>
      <w:lvlText w:val="%1)"/>
      <w:lvlJc w:val="left"/>
      <w:pPr>
        <w:ind w:left="720" w:hanging="360"/>
      </w:pPr>
      <w:rPr>
        <w:rFonts w:eastAsia="Arial" w:cs="Arial"/>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5"/>
  </w:num>
  <w:num w:numId="2">
    <w:abstractNumId w:val="4"/>
  </w:num>
  <w:num w:numId="3">
    <w:abstractNumId w:val="12"/>
  </w:num>
  <w:num w:numId="4">
    <w:abstractNumId w:val="17"/>
  </w:num>
  <w:num w:numId="5">
    <w:abstractNumId w:val="18"/>
  </w:num>
  <w:num w:numId="6">
    <w:abstractNumId w:val="3"/>
  </w:num>
  <w:num w:numId="7">
    <w:abstractNumId w:val="10"/>
  </w:num>
  <w:num w:numId="8">
    <w:abstractNumId w:val="23"/>
  </w:num>
  <w:num w:numId="9">
    <w:abstractNumId w:val="16"/>
  </w:num>
  <w:num w:numId="10">
    <w:abstractNumId w:val="6"/>
  </w:num>
  <w:num w:numId="11">
    <w:abstractNumId w:val="21"/>
  </w:num>
  <w:num w:numId="12">
    <w:abstractNumId w:val="14"/>
  </w:num>
  <w:num w:numId="13">
    <w:abstractNumId w:val="20"/>
  </w:num>
  <w:num w:numId="14">
    <w:abstractNumId w:val="19"/>
  </w:num>
  <w:num w:numId="15">
    <w:abstractNumId w:val="11"/>
  </w:num>
  <w:num w:numId="16">
    <w:abstractNumId w:val="2"/>
  </w:num>
  <w:num w:numId="17">
    <w:abstractNumId w:val="22"/>
  </w:num>
  <w:num w:numId="18">
    <w:abstractNumId w:val="8"/>
  </w:num>
  <w:num w:numId="19">
    <w:abstractNumId w:val="1"/>
  </w:num>
  <w:num w:numId="20">
    <w:abstractNumId w:val="15"/>
  </w:num>
  <w:num w:numId="21">
    <w:abstractNumId w:val="9"/>
  </w:num>
  <w:num w:numId="22">
    <w:abstractNumId w:val="7"/>
  </w:num>
  <w:num w:numId="23">
    <w:abstractNumId w:val="0"/>
  </w:num>
  <w:num w:numId="24">
    <w:abstractNumId w:val="13"/>
  </w:num>
  <w:num w:numId="25">
    <w:abstractNumId w:val="12"/>
    <w:lvlOverride w:ilvl="0">
      <w:startOverride w:val="1"/>
    </w:lvlOverride>
  </w:num>
  <w:num w:numId="26">
    <w:abstractNumId w:val="13"/>
    <w:lvlOverride w:ilvl="0">
      <w:startOverride w:val="1"/>
    </w:lvlOverride>
  </w:num>
  <w:num w:numId="27">
    <w:abstractNumId w:val="14"/>
    <w:lvlOverride w:ilvl="0">
      <w:startOverride w:val="1"/>
    </w:lvlOverride>
  </w:num>
  <w:num w:numId="28">
    <w:abstractNumId w:val="7"/>
    <w:lvlOverride w:ilvl="0">
      <w:startOverride w:val="1"/>
    </w:lvlOverride>
  </w:num>
  <w:num w:numId="29">
    <w:abstractNumId w:val="18"/>
    <w:lvlOverride w:ilvl="0">
      <w:startOverride w:val="1"/>
    </w:lvlOverride>
  </w:num>
  <w:num w:numId="30">
    <w:abstractNumId w:val="19"/>
    <w:lvlOverride w:ilvl="0">
      <w:startOverride w:val="1"/>
    </w:lvlOverride>
  </w:num>
  <w:num w:numId="31">
    <w:abstractNumId w:val="3"/>
    <w:lvlOverride w:ilvl="0">
      <w:startOverride w:val="1"/>
    </w:lvlOverride>
  </w:num>
  <w:num w:numId="32">
    <w:abstractNumId w:val="11"/>
    <w:lvlOverride w:ilvl="0">
      <w:startOverride w:val="1"/>
    </w:lvlOverride>
  </w:num>
  <w:num w:numId="33">
    <w:abstractNumId w:val="15"/>
    <w:lvlOverride w:ilvl="0">
      <w:startOverride w:val="1"/>
    </w:lvlOverride>
  </w:num>
  <w:num w:numId="34">
    <w:abstractNumId w:val="8"/>
    <w:lvlOverride w:ilvl="0">
      <w:startOverride w:val="1"/>
    </w:lvlOverride>
  </w:num>
  <w:num w:numId="35">
    <w:abstractNumId w:val="1"/>
    <w:lvlOverride w:ilvl="0">
      <w:startOverride w:val="1"/>
    </w:lvlOverride>
  </w:num>
  <w:num w:numId="36">
    <w:abstractNumId w:val="23"/>
    <w:lvlOverride w:ilvl="0">
      <w:startOverride w:val="1"/>
    </w:lvlOverride>
  </w:num>
  <w:num w:numId="37">
    <w:abstractNumId w:val="20"/>
    <w:lvlOverride w:ilvl="0">
      <w:startOverride w:val="1"/>
    </w:lvlOverride>
  </w:num>
  <w:num w:numId="38">
    <w:abstractNumId w:val="5"/>
    <w:lvlOverride w:ilvl="0">
      <w:startOverride w:val="1"/>
    </w:lvlOverride>
  </w:num>
  <w:num w:numId="39">
    <w:abstractNumId w:val="4"/>
    <w:lvlOverride w:ilvl="0">
      <w:startOverride w:val="1"/>
    </w:lvlOverride>
  </w:num>
  <w:num w:numId="40">
    <w:abstractNumId w:val="9"/>
    <w:lvlOverride w:ilvl="0">
      <w:startOverride w:val="1"/>
    </w:lvlOverride>
  </w:num>
  <w:num w:numId="41">
    <w:abstractNumId w:val="16"/>
    <w:lvlOverride w:ilvl="0">
      <w:startOverride w:val="1"/>
    </w:lvlOverride>
  </w:num>
  <w:num w:numId="42">
    <w:abstractNumId w:val="10"/>
    <w:lvlOverride w:ilvl="0">
      <w:startOverride w:val="1"/>
    </w:lvlOverride>
  </w:num>
  <w:num w:numId="43">
    <w:abstractNumId w:val="22"/>
    <w:lvlOverride w:ilvl="0">
      <w:startOverride w:val="1"/>
    </w:lvlOverride>
  </w:num>
  <w:num w:numId="44">
    <w:abstractNumId w:val="0"/>
    <w:lvlOverride w:ilvl="0">
      <w:startOverride w:val="1"/>
    </w:lvlOverride>
  </w:num>
  <w:num w:numId="45">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1E5"/>
    <w:rsid w:val="001D73A8"/>
    <w:rsid w:val="0052184F"/>
    <w:rsid w:val="005D406A"/>
    <w:rsid w:val="006A1580"/>
    <w:rsid w:val="00C161E5"/>
    <w:rsid w:val="00C503DA"/>
    <w:rsid w:val="00EA2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01C059-7BAC-4A1E-AC24-06C57823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pPr>
  </w:style>
  <w:style w:type="paragraph" w:styleId="Heading1">
    <w:name w:val="heading 1"/>
    <w:basedOn w:val="Normal"/>
    <w:next w:val="Standard"/>
    <w:pPr>
      <w:keepNext/>
      <w:keepLines/>
      <w:outlineLvl w:val="0"/>
    </w:pPr>
    <w:rPr>
      <w:rFonts w:ascii="Arial" w:eastAsia="Arial" w:hAnsi="Arial" w:cs="Arial"/>
      <w:b/>
      <w:sz w:val="36"/>
      <w:szCs w:val="36"/>
    </w:rPr>
  </w:style>
  <w:style w:type="paragraph" w:styleId="Heading2">
    <w:name w:val="heading 2"/>
    <w:basedOn w:val="Normal"/>
    <w:next w:val="Standard"/>
    <w:pPr>
      <w:keepNext/>
      <w:keepLines/>
      <w:spacing w:before="360" w:after="80"/>
      <w:outlineLvl w:val="1"/>
    </w:pPr>
    <w:rPr>
      <w:b/>
      <w:color w:val="000000"/>
      <w:sz w:val="36"/>
      <w:szCs w:val="36"/>
    </w:rPr>
  </w:style>
  <w:style w:type="paragraph" w:styleId="Heading3">
    <w:name w:val="heading 3"/>
    <w:basedOn w:val="Normal"/>
    <w:next w:val="Standard"/>
    <w:pPr>
      <w:keepNext/>
      <w:keepLines/>
      <w:spacing w:before="280" w:after="80"/>
      <w:outlineLvl w:val="2"/>
    </w:pPr>
    <w:rPr>
      <w:b/>
      <w:color w:val="000000"/>
      <w:sz w:val="28"/>
      <w:szCs w:val="28"/>
    </w:rPr>
  </w:style>
  <w:style w:type="paragraph" w:styleId="Heading4">
    <w:name w:val="heading 4"/>
    <w:basedOn w:val="Normal"/>
    <w:next w:val="Standard"/>
    <w:pPr>
      <w:keepNext/>
      <w:keepLines/>
      <w:spacing w:before="240" w:after="40"/>
      <w:outlineLvl w:val="3"/>
    </w:pPr>
    <w:rPr>
      <w:b/>
      <w:color w:val="000000"/>
      <w:sz w:val="24"/>
      <w:szCs w:val="24"/>
    </w:rPr>
  </w:style>
  <w:style w:type="paragraph" w:styleId="Heading5">
    <w:name w:val="heading 5"/>
    <w:basedOn w:val="Normal"/>
    <w:next w:val="Standard"/>
    <w:pPr>
      <w:keepNext/>
      <w:keepLines/>
      <w:spacing w:before="220" w:after="40"/>
      <w:outlineLvl w:val="4"/>
    </w:pPr>
    <w:rPr>
      <w:b/>
      <w:color w:val="000000"/>
    </w:rPr>
  </w:style>
  <w:style w:type="paragraph" w:styleId="Heading6">
    <w:name w:val="heading 6"/>
    <w:basedOn w:val="Normal"/>
    <w:next w:val="Standard"/>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pPr>
      <w:keepNext/>
      <w:keepLines/>
      <w:spacing w:before="480" w:after="120"/>
    </w:pPr>
    <w:rPr>
      <w:b/>
      <w:color w:val="000000"/>
      <w:sz w:val="72"/>
      <w:szCs w:val="72"/>
    </w:rPr>
  </w:style>
  <w:style w:type="paragraph" w:styleId="Subtitle">
    <w:name w:val="Subtitle"/>
    <w:basedOn w:val="Normal"/>
    <w:next w:val="Standard"/>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w:cs="Arial"/>
      <w:sz w:val="24"/>
      <w:szCs w:val="24"/>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rFonts w:eastAsia="Arial" w:cs="Arial"/>
      <w:sz w:val="24"/>
      <w:szCs w:val="24"/>
      <w:u w:val="none"/>
    </w:rPr>
  </w:style>
  <w:style w:type="character" w:customStyle="1" w:styleId="ListLabel11">
    <w:name w:val="ListLabel 11"/>
    <w:rPr>
      <w:u w:val="none"/>
    </w:rPr>
  </w:style>
  <w:style w:type="character" w:customStyle="1" w:styleId="ListLabel12">
    <w:name w:val="ListLabel 12"/>
    <w:rPr>
      <w:u w:val="none"/>
    </w:rPr>
  </w:style>
  <w:style w:type="character" w:customStyle="1" w:styleId="ListLabel13">
    <w:name w:val="ListLabel 13"/>
    <w:rPr>
      <w:u w:val="none"/>
    </w:rPr>
  </w:style>
  <w:style w:type="character" w:customStyle="1" w:styleId="ListLabel14">
    <w:name w:val="ListLabel 14"/>
    <w:rPr>
      <w:u w:val="none"/>
    </w:rPr>
  </w:style>
  <w:style w:type="character" w:customStyle="1" w:styleId="ListLabel15">
    <w:name w:val="ListLabel 15"/>
    <w:rPr>
      <w:u w:val="none"/>
    </w:rPr>
  </w:style>
  <w:style w:type="character" w:customStyle="1" w:styleId="ListLabel16">
    <w:name w:val="ListLabel 16"/>
    <w:rPr>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rFonts w:eastAsia="Arial" w:cs="Arial"/>
      <w:sz w:val="24"/>
      <w:szCs w:val="24"/>
    </w:rPr>
  </w:style>
  <w:style w:type="character" w:customStyle="1" w:styleId="ListLabel20">
    <w:name w:val="ListLabel 20"/>
    <w:rPr>
      <w:b w:val="0"/>
      <w:i w:val="0"/>
      <w:caps w:val="0"/>
      <w:smallCaps w:val="0"/>
      <w:strike w:val="0"/>
      <w:dstrike w:val="0"/>
      <w:color w:val="000000"/>
      <w:position w:val="0"/>
      <w:sz w:val="22"/>
      <w:szCs w:val="22"/>
      <w:u w:val="none"/>
      <w:vertAlign w:val="baseline"/>
    </w:rPr>
  </w:style>
  <w:style w:type="character" w:customStyle="1" w:styleId="ListLabel21">
    <w:name w:val="ListLabel 21"/>
    <w:rPr>
      <w:sz w:val="22"/>
      <w:szCs w:val="22"/>
    </w:rPr>
  </w:style>
  <w:style w:type="character" w:customStyle="1" w:styleId="ListLabel22">
    <w:name w:val="ListLabel 22"/>
    <w:rPr>
      <w:sz w:val="22"/>
      <w:szCs w:val="22"/>
    </w:rPr>
  </w:style>
  <w:style w:type="character" w:customStyle="1" w:styleId="ListLabel23">
    <w:name w:val="ListLabel 23"/>
    <w:rPr>
      <w:rFonts w:eastAsia="Arial" w:cs="Arial"/>
      <w:b w:val="0"/>
      <w:i w:val="0"/>
      <w:caps w:val="0"/>
      <w:smallCaps w:val="0"/>
      <w:strike w:val="0"/>
      <w:dstrike w:val="0"/>
      <w:color w:val="000000"/>
      <w:position w:val="0"/>
      <w:sz w:val="24"/>
      <w:szCs w:val="24"/>
      <w:u w:val="none"/>
      <w:vertAlign w:val="baseline"/>
    </w:rPr>
  </w:style>
  <w:style w:type="character" w:customStyle="1" w:styleId="ListLabel24">
    <w:name w:val="ListLabel 24"/>
    <w:rPr>
      <w:rFonts w:eastAsia="Arial" w:cs="Arial"/>
      <w:sz w:val="24"/>
      <w:szCs w:val="24"/>
    </w:rPr>
  </w:style>
  <w:style w:type="character" w:customStyle="1" w:styleId="ListLabel25">
    <w:name w:val="ListLabel 25"/>
    <w:rPr>
      <w:rFonts w:ascii="Arial" w:eastAsia="Arial" w:hAnsi="Arial" w:cs="Arial"/>
      <w:sz w:val="24"/>
      <w:szCs w:val="24"/>
    </w:rPr>
  </w:style>
  <w:style w:type="character" w:customStyle="1" w:styleId="ListLabel26">
    <w:name w:val="ListLabel 26"/>
    <w:rPr>
      <w:rFonts w:eastAsia="Arial" w:cs="Arial"/>
      <w:sz w:val="24"/>
      <w:szCs w:val="24"/>
    </w:rPr>
  </w:style>
  <w:style w:type="character" w:customStyle="1" w:styleId="ListLabel27">
    <w:name w:val="ListLabel 27"/>
    <w:rPr>
      <w:rFonts w:eastAsia="Arial" w:cs="Arial"/>
      <w:sz w:val="24"/>
      <w:szCs w:val="24"/>
      <w:u w:val="none"/>
    </w:rPr>
  </w:style>
  <w:style w:type="character" w:customStyle="1" w:styleId="ListLabel28">
    <w:name w:val="ListLabel 28"/>
    <w:rPr>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rFonts w:eastAsia="Arial" w:cs="Arial"/>
      <w:sz w:val="24"/>
      <w:szCs w:val="24"/>
      <w:u w:val="none"/>
    </w:rPr>
  </w:style>
  <w:style w:type="character" w:customStyle="1" w:styleId="ListLabel37">
    <w:name w:val="ListLabel 37"/>
    <w:rPr>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rFonts w:eastAsia="Arial" w:cs="Arial"/>
      <w:sz w:val="24"/>
      <w:szCs w:val="24"/>
      <w:u w:val="none"/>
    </w:rPr>
  </w:style>
  <w:style w:type="character" w:customStyle="1" w:styleId="ListLabel46">
    <w:name w:val="ListLabel 46"/>
    <w:rPr>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rFonts w:eastAsia="Arial" w:cs="Arial"/>
      <w:sz w:val="24"/>
      <w:szCs w:val="24"/>
      <w:u w:val="none"/>
    </w:rPr>
  </w:style>
  <w:style w:type="character" w:customStyle="1" w:styleId="ListLabel55">
    <w:name w:val="ListLabel 55"/>
    <w:rPr>
      <w:u w:val="none"/>
    </w:rPr>
  </w:style>
  <w:style w:type="character" w:customStyle="1" w:styleId="ListLabel56">
    <w:name w:val="ListLabel 56"/>
    <w:rPr>
      <w:u w:val="none"/>
    </w:rPr>
  </w:style>
  <w:style w:type="character" w:customStyle="1" w:styleId="ListLabel57">
    <w:name w:val="ListLabel 57"/>
    <w:rPr>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rFonts w:eastAsia="Arial" w:cs="Arial"/>
      <w:sz w:val="24"/>
      <w:szCs w:val="24"/>
      <w:u w:val="none"/>
    </w:rPr>
  </w:style>
  <w:style w:type="character" w:customStyle="1" w:styleId="ListLabel64">
    <w:name w:val="ListLabel 64"/>
    <w:rPr>
      <w:u w:val="none"/>
    </w:rPr>
  </w:style>
  <w:style w:type="character" w:customStyle="1" w:styleId="ListLabel65">
    <w:name w:val="ListLabel 65"/>
    <w:rPr>
      <w:u w:val="none"/>
    </w:rPr>
  </w:style>
  <w:style w:type="character" w:customStyle="1" w:styleId="ListLabel66">
    <w:name w:val="ListLabel 66"/>
    <w:rPr>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sz w:val="22"/>
      <w:szCs w:val="22"/>
    </w:rPr>
  </w:style>
  <w:style w:type="character" w:customStyle="1" w:styleId="ListLabel73">
    <w:name w:val="ListLabel 73"/>
    <w:rPr>
      <w:rFonts w:eastAsia="Arial" w:cs="Arial"/>
      <w:b w:val="0"/>
      <w:i w:val="0"/>
      <w:caps w:val="0"/>
      <w:smallCaps w:val="0"/>
      <w:strike w:val="0"/>
      <w:dstrike w:val="0"/>
      <w:color w:val="000000"/>
      <w:position w:val="0"/>
      <w:sz w:val="24"/>
      <w:szCs w:val="24"/>
      <w:u w:val="none"/>
      <w:vertAlign w:val="baseline"/>
    </w:rPr>
  </w:style>
  <w:style w:type="character" w:customStyle="1" w:styleId="ListLabel74">
    <w:name w:val="ListLabel 74"/>
    <w:rPr>
      <w:rFonts w:eastAsia="Arial" w:cs="Arial"/>
      <w:sz w:val="24"/>
      <w:szCs w:val="24"/>
    </w:rPr>
  </w:style>
  <w:style w:type="character" w:customStyle="1" w:styleId="ListLabel75">
    <w:name w:val="ListLabel 75"/>
    <w:rPr>
      <w:rFonts w:eastAsia="Arial" w:cs="Arial"/>
      <w:sz w:val="24"/>
      <w:szCs w:val="24"/>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u w:val="none"/>
    </w:rPr>
  </w:style>
  <w:style w:type="character" w:customStyle="1" w:styleId="ListLabel84">
    <w:name w:val="ListLabel 84"/>
    <w:rPr>
      <w:rFonts w:eastAsia="Arial" w:cs="Arial"/>
      <w:sz w:val="24"/>
      <w:szCs w:val="24"/>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u w:val="none"/>
    </w:rPr>
  </w:style>
  <w:style w:type="character" w:customStyle="1" w:styleId="ListLabel93">
    <w:name w:val="ListLabel 93"/>
    <w:rPr>
      <w:rFonts w:eastAsia="Arial" w:cs="Arial"/>
      <w:sz w:val="24"/>
      <w:szCs w:val="24"/>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u w:val="none"/>
    </w:rPr>
  </w:style>
  <w:style w:type="character" w:customStyle="1" w:styleId="ListLabel98">
    <w:name w:val="ListLabel 98"/>
    <w:rPr>
      <w:u w:val="none"/>
    </w:rPr>
  </w:style>
  <w:style w:type="character" w:customStyle="1" w:styleId="ListLabel99">
    <w:name w:val="ListLabel 99"/>
    <w:rPr>
      <w:u w:val="none"/>
    </w:rPr>
  </w:style>
  <w:style w:type="character" w:customStyle="1" w:styleId="ListLabel100">
    <w:name w:val="ListLabel 100"/>
    <w:rPr>
      <w:u w:val="none"/>
    </w:rPr>
  </w:style>
  <w:style w:type="character" w:customStyle="1" w:styleId="ListLabel101">
    <w:name w:val="ListLabel 101"/>
    <w:rPr>
      <w:u w:val="none"/>
    </w:rPr>
  </w:style>
  <w:style w:type="character" w:customStyle="1" w:styleId="ListLabel102">
    <w:name w:val="ListLabel 102"/>
    <w:rPr>
      <w:rFonts w:eastAsia="Arial" w:cs="Arial"/>
      <w:sz w:val="24"/>
      <w:szCs w:val="24"/>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caps w:val="0"/>
      <w:smallCaps w:val="0"/>
      <w:strike w:val="0"/>
      <w:dstrike w:val="0"/>
      <w:color w:val="000000"/>
      <w:position w:val="0"/>
      <w:sz w:val="22"/>
      <w:szCs w:val="22"/>
      <w:u w:val="none"/>
      <w:vertAlign w:val="baseline"/>
    </w:rPr>
  </w:style>
  <w:style w:type="character" w:customStyle="1" w:styleId="ListLabel112">
    <w:name w:val="ListLabel 112"/>
    <w:rPr>
      <w:rFonts w:eastAsia="Arial" w:cs="Arial"/>
      <w:b w:val="0"/>
      <w:i w:val="0"/>
      <w:caps w:val="0"/>
      <w:smallCaps w:val="0"/>
      <w:strike w:val="0"/>
      <w:dstrike w:val="0"/>
      <w:color w:val="000000"/>
      <w:position w:val="0"/>
      <w:sz w:val="24"/>
      <w:szCs w:val="24"/>
      <w:u w:val="none"/>
      <w:vertAlign w:val="baseline"/>
    </w:rPr>
  </w:style>
  <w:style w:type="character" w:customStyle="1" w:styleId="ListLabel113">
    <w:name w:val="ListLabel 113"/>
    <w:rPr>
      <w:rFonts w:eastAsia="Arial" w:cs="Arial"/>
      <w:b w:val="0"/>
      <w:i w:val="0"/>
      <w:caps w:val="0"/>
      <w:smallCaps w:val="0"/>
      <w:strike w:val="0"/>
      <w:dstrike w:val="0"/>
      <w:color w:val="000000"/>
      <w:position w:val="0"/>
      <w:sz w:val="24"/>
      <w:szCs w:val="24"/>
      <w:u w:val="none"/>
      <w:vertAlign w:val="baseline"/>
    </w:rPr>
  </w:style>
  <w:style w:type="character" w:customStyle="1" w:styleId="ListLabel114">
    <w:name w:val="ListLabel 114"/>
    <w:rPr>
      <w:rFonts w:eastAsia="Arial" w:cs="Arial"/>
      <w:b w:val="0"/>
      <w:i w:val="0"/>
      <w:caps w:val="0"/>
      <w:smallCaps w:val="0"/>
      <w:strike w:val="0"/>
      <w:dstrike w:val="0"/>
      <w:color w:val="000000"/>
      <w:position w:val="0"/>
      <w:sz w:val="24"/>
      <w:szCs w:val="24"/>
      <w:u w:val="none"/>
      <w:vertAlign w:val="baseline"/>
    </w:rPr>
  </w:style>
  <w:style w:type="character" w:customStyle="1" w:styleId="ListLabel115">
    <w:name w:val="ListLabel 115"/>
    <w:rPr>
      <w:b w:val="0"/>
      <w:i w:val="0"/>
      <w:caps w:val="0"/>
      <w:smallCaps w:val="0"/>
      <w:strike w:val="0"/>
      <w:dstrike w:val="0"/>
      <w:color w:val="000000"/>
      <w:position w:val="0"/>
      <w:sz w:val="22"/>
      <w:szCs w:val="22"/>
      <w:u w:val="none"/>
      <w:vertAlign w:val="baseline"/>
    </w:rPr>
  </w:style>
  <w:style w:type="character" w:customStyle="1" w:styleId="ListLabel116">
    <w:name w:val="ListLabel 116"/>
    <w:rPr>
      <w:b w:val="0"/>
      <w:i w:val="0"/>
      <w:caps w:val="0"/>
      <w:smallCaps w:val="0"/>
      <w:strike w:val="0"/>
      <w:dstrike w:val="0"/>
      <w:color w:val="000000"/>
      <w:position w:val="0"/>
      <w:sz w:val="22"/>
      <w:szCs w:val="22"/>
      <w:u w:val="none"/>
      <w:vertAlign w:val="baseline"/>
    </w:rPr>
  </w:style>
  <w:style w:type="character" w:customStyle="1" w:styleId="ListLabel117">
    <w:name w:val="ListLabel 117"/>
    <w:rPr>
      <w:rFonts w:eastAsia="Arial" w:cs="Arial"/>
      <w:sz w:val="24"/>
      <w:szCs w:val="24"/>
      <w:u w:val="none"/>
    </w:rPr>
  </w:style>
  <w:style w:type="character" w:customStyle="1" w:styleId="ListLabel118">
    <w:name w:val="ListLabel 118"/>
    <w:rPr>
      <w:u w:val="none"/>
    </w:rPr>
  </w:style>
  <w:style w:type="character" w:customStyle="1" w:styleId="ListLabel119">
    <w:name w:val="ListLabel 119"/>
    <w:rPr>
      <w:u w:val="none"/>
    </w:rPr>
  </w:style>
  <w:style w:type="character" w:customStyle="1" w:styleId="ListLabel120">
    <w:name w:val="ListLabel 120"/>
    <w:rPr>
      <w:u w:val="none"/>
    </w:rPr>
  </w:style>
  <w:style w:type="character" w:customStyle="1" w:styleId="ListLabel121">
    <w:name w:val="ListLabel 121"/>
    <w:rPr>
      <w:u w:val="none"/>
    </w:rPr>
  </w:style>
  <w:style w:type="character" w:customStyle="1" w:styleId="ListLabel122">
    <w:name w:val="ListLabel 122"/>
    <w:rPr>
      <w:u w:val="none"/>
    </w:rPr>
  </w:style>
  <w:style w:type="character" w:customStyle="1" w:styleId="ListLabel123">
    <w:name w:val="ListLabel 123"/>
    <w:rPr>
      <w:u w:val="none"/>
    </w:rPr>
  </w:style>
  <w:style w:type="character" w:customStyle="1" w:styleId="ListLabel124">
    <w:name w:val="ListLabel 124"/>
    <w:rPr>
      <w:u w:val="none"/>
    </w:rPr>
  </w:style>
  <w:style w:type="character" w:customStyle="1" w:styleId="ListLabel125">
    <w:name w:val="ListLabel 125"/>
    <w:rPr>
      <w:u w:val="none"/>
    </w:rPr>
  </w:style>
  <w:style w:type="character" w:customStyle="1" w:styleId="ListLabel126">
    <w:name w:val="ListLabel 126"/>
    <w:rPr>
      <w:rFonts w:eastAsia="Arial" w:cs="Arial"/>
      <w:sz w:val="24"/>
      <w:szCs w:val="24"/>
      <w:u w:val="none"/>
    </w:rPr>
  </w:style>
  <w:style w:type="character" w:customStyle="1" w:styleId="ListLabel127">
    <w:name w:val="ListLabel 127"/>
    <w:rPr>
      <w:u w:val="none"/>
    </w:rPr>
  </w:style>
  <w:style w:type="character" w:customStyle="1" w:styleId="ListLabel128">
    <w:name w:val="ListLabel 128"/>
    <w:rPr>
      <w:u w:val="none"/>
    </w:rPr>
  </w:style>
  <w:style w:type="character" w:customStyle="1" w:styleId="ListLabel129">
    <w:name w:val="ListLabel 129"/>
    <w:rPr>
      <w:u w:val="none"/>
    </w:rPr>
  </w:style>
  <w:style w:type="character" w:customStyle="1" w:styleId="ListLabel130">
    <w:name w:val="ListLabel 130"/>
    <w:rPr>
      <w:u w:val="none"/>
    </w:rPr>
  </w:style>
  <w:style w:type="character" w:customStyle="1" w:styleId="ListLabel131">
    <w:name w:val="ListLabel 131"/>
    <w:rPr>
      <w:u w:val="none"/>
    </w:rPr>
  </w:style>
  <w:style w:type="character" w:customStyle="1" w:styleId="ListLabel132">
    <w:name w:val="ListLabel 132"/>
    <w:rPr>
      <w:u w:val="none"/>
    </w:rPr>
  </w:style>
  <w:style w:type="character" w:customStyle="1" w:styleId="ListLabel133">
    <w:name w:val="ListLabel 133"/>
    <w:rPr>
      <w:u w:val="none"/>
    </w:rPr>
  </w:style>
  <w:style w:type="character" w:customStyle="1" w:styleId="ListLabel134">
    <w:name w:val="ListLabel 134"/>
    <w:rPr>
      <w:u w:val="none"/>
    </w:rPr>
  </w:style>
  <w:style w:type="character" w:customStyle="1" w:styleId="ListLabel135">
    <w:name w:val="ListLabel 135"/>
    <w:rPr>
      <w:rFonts w:eastAsia="Arial" w:cs="Arial"/>
      <w:sz w:val="24"/>
      <w:szCs w:val="24"/>
      <w:u w:val="none"/>
    </w:rPr>
  </w:style>
  <w:style w:type="character" w:customStyle="1" w:styleId="ListLabel136">
    <w:name w:val="ListLabel 136"/>
    <w:rPr>
      <w:u w:val="none"/>
    </w:rPr>
  </w:style>
  <w:style w:type="character" w:customStyle="1" w:styleId="ListLabel137">
    <w:name w:val="ListLabel 137"/>
    <w:rPr>
      <w:u w:val="none"/>
    </w:rPr>
  </w:style>
  <w:style w:type="character" w:customStyle="1" w:styleId="ListLabel138">
    <w:name w:val="ListLabel 138"/>
    <w:rPr>
      <w:u w:val="none"/>
    </w:rPr>
  </w:style>
  <w:style w:type="character" w:customStyle="1" w:styleId="ListLabel139">
    <w:name w:val="ListLabel 139"/>
    <w:rPr>
      <w:u w:val="none"/>
    </w:rPr>
  </w:style>
  <w:style w:type="character" w:customStyle="1" w:styleId="ListLabel140">
    <w:name w:val="ListLabel 140"/>
    <w:rPr>
      <w:u w:val="none"/>
    </w:rPr>
  </w:style>
  <w:style w:type="character" w:customStyle="1" w:styleId="ListLabel141">
    <w:name w:val="ListLabel 141"/>
    <w:rPr>
      <w:u w:val="none"/>
    </w:rPr>
  </w:style>
  <w:style w:type="character" w:customStyle="1" w:styleId="ListLabel142">
    <w:name w:val="ListLabel 142"/>
    <w:rPr>
      <w:u w:val="none"/>
    </w:rPr>
  </w:style>
  <w:style w:type="character" w:customStyle="1" w:styleId="ListLabel143">
    <w:name w:val="ListLabel 143"/>
    <w:rPr>
      <w:u w:val="none"/>
    </w:rPr>
  </w:style>
  <w:style w:type="character" w:customStyle="1" w:styleId="ListLabel144">
    <w:name w:val="ListLabel 144"/>
    <w:rPr>
      <w:rFonts w:eastAsia="Arial" w:cs="Arial"/>
      <w:sz w:val="24"/>
      <w:szCs w:val="24"/>
      <w:u w:val="none"/>
    </w:rPr>
  </w:style>
  <w:style w:type="character" w:customStyle="1" w:styleId="ListLabel145">
    <w:name w:val="ListLabel 145"/>
    <w:rPr>
      <w:u w:val="none"/>
    </w:rPr>
  </w:style>
  <w:style w:type="character" w:customStyle="1" w:styleId="ListLabel146">
    <w:name w:val="ListLabel 146"/>
    <w:rPr>
      <w:u w:val="none"/>
    </w:rPr>
  </w:style>
  <w:style w:type="character" w:customStyle="1" w:styleId="ListLabel147">
    <w:name w:val="ListLabel 147"/>
    <w:rPr>
      <w:u w:val="none"/>
    </w:rPr>
  </w:style>
  <w:style w:type="character" w:customStyle="1" w:styleId="ListLabel148">
    <w:name w:val="ListLabel 148"/>
    <w:rPr>
      <w:u w:val="none"/>
    </w:rPr>
  </w:style>
  <w:style w:type="character" w:customStyle="1" w:styleId="ListLabel149">
    <w:name w:val="ListLabel 149"/>
    <w:rPr>
      <w:u w:val="none"/>
    </w:rPr>
  </w:style>
  <w:style w:type="character" w:customStyle="1" w:styleId="ListLabel150">
    <w:name w:val="ListLabel 150"/>
    <w:rPr>
      <w:u w:val="none"/>
    </w:rPr>
  </w:style>
  <w:style w:type="character" w:customStyle="1" w:styleId="ListLabel151">
    <w:name w:val="ListLabel 151"/>
    <w:rPr>
      <w:u w:val="none"/>
    </w:rPr>
  </w:style>
  <w:style w:type="character" w:customStyle="1" w:styleId="ListLabel152">
    <w:name w:val="ListLabel 152"/>
    <w:rPr>
      <w:u w:val="none"/>
    </w:rPr>
  </w:style>
  <w:style w:type="character" w:customStyle="1" w:styleId="ListLabel153">
    <w:name w:val="ListLabel 153"/>
    <w:rPr>
      <w:rFonts w:eastAsia="Arial" w:cs="Arial"/>
      <w:sz w:val="24"/>
      <w:szCs w:val="24"/>
      <w:u w:val="none"/>
    </w:rPr>
  </w:style>
  <w:style w:type="character" w:customStyle="1" w:styleId="ListLabel154">
    <w:name w:val="ListLabel 154"/>
    <w:rPr>
      <w:u w:val="none"/>
    </w:rPr>
  </w:style>
  <w:style w:type="character" w:customStyle="1" w:styleId="ListLabel155">
    <w:name w:val="ListLabel 155"/>
    <w:rPr>
      <w:u w:val="none"/>
    </w:rPr>
  </w:style>
  <w:style w:type="character" w:customStyle="1" w:styleId="ListLabel156">
    <w:name w:val="ListLabel 156"/>
    <w:rPr>
      <w:u w:val="none"/>
    </w:rPr>
  </w:style>
  <w:style w:type="character" w:customStyle="1" w:styleId="ListLabel157">
    <w:name w:val="ListLabel 157"/>
    <w:rPr>
      <w:u w:val="none"/>
    </w:rPr>
  </w:style>
  <w:style w:type="character" w:customStyle="1" w:styleId="ListLabel158">
    <w:name w:val="ListLabel 158"/>
    <w:rPr>
      <w:u w:val="none"/>
    </w:rPr>
  </w:style>
  <w:style w:type="character" w:customStyle="1" w:styleId="ListLabel159">
    <w:name w:val="ListLabel 159"/>
    <w:rPr>
      <w:u w:val="none"/>
    </w:rPr>
  </w:style>
  <w:style w:type="character" w:customStyle="1" w:styleId="ListLabel160">
    <w:name w:val="ListLabel 160"/>
    <w:rPr>
      <w:u w:val="none"/>
    </w:rPr>
  </w:style>
  <w:style w:type="character" w:customStyle="1" w:styleId="ListLabel161">
    <w:name w:val="ListLabel 161"/>
    <w:rPr>
      <w:u w:val="none"/>
    </w:rPr>
  </w:style>
  <w:style w:type="character" w:customStyle="1" w:styleId="ListLabel162">
    <w:name w:val="ListLabel 162"/>
    <w:rPr>
      <w:rFonts w:eastAsia="Arial" w:cs="Arial"/>
      <w:sz w:val="24"/>
      <w:szCs w:val="24"/>
      <w:u w:val="none"/>
    </w:rPr>
  </w:style>
  <w:style w:type="character" w:customStyle="1" w:styleId="ListLabel163">
    <w:name w:val="ListLabel 163"/>
    <w:rPr>
      <w:u w:val="none"/>
    </w:rPr>
  </w:style>
  <w:style w:type="character" w:customStyle="1" w:styleId="ListLabel164">
    <w:name w:val="ListLabel 164"/>
    <w:rPr>
      <w:u w:val="none"/>
    </w:rPr>
  </w:style>
  <w:style w:type="character" w:customStyle="1" w:styleId="ListLabel165">
    <w:name w:val="ListLabel 165"/>
    <w:rPr>
      <w:u w:val="none"/>
    </w:rPr>
  </w:style>
  <w:style w:type="character" w:customStyle="1" w:styleId="ListLabel166">
    <w:name w:val="ListLabel 166"/>
    <w:rPr>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u w:val="none"/>
    </w:rPr>
  </w:style>
  <w:style w:type="character" w:customStyle="1" w:styleId="ListLabel170">
    <w:name w:val="ListLabel 170"/>
    <w:rPr>
      <w:u w:val="none"/>
    </w:rPr>
  </w:style>
  <w:style w:type="character" w:customStyle="1" w:styleId="ListLabel171">
    <w:name w:val="ListLabel 171"/>
    <w:rPr>
      <w:rFonts w:eastAsia="Arial" w:cs="Arial"/>
      <w:sz w:val="24"/>
      <w:szCs w:val="24"/>
      <w:u w:val="none"/>
    </w:rPr>
  </w:style>
  <w:style w:type="character" w:customStyle="1" w:styleId="ListLabel172">
    <w:name w:val="ListLabel 172"/>
    <w:rPr>
      <w:u w:val="none"/>
    </w:rPr>
  </w:style>
  <w:style w:type="character" w:customStyle="1" w:styleId="ListLabel173">
    <w:name w:val="ListLabel 173"/>
    <w:rPr>
      <w:u w:val="none"/>
    </w:rPr>
  </w:style>
  <w:style w:type="character" w:customStyle="1" w:styleId="ListLabel174">
    <w:name w:val="ListLabel 174"/>
    <w:rPr>
      <w:u w:val="none"/>
    </w:rPr>
  </w:style>
  <w:style w:type="character" w:customStyle="1" w:styleId="ListLabel175">
    <w:name w:val="ListLabel 175"/>
    <w:rPr>
      <w:u w:val="none"/>
    </w:rPr>
  </w:style>
  <w:style w:type="character" w:customStyle="1" w:styleId="ListLabel176">
    <w:name w:val="ListLabel 176"/>
    <w:rPr>
      <w:u w:val="none"/>
    </w:rPr>
  </w:style>
  <w:style w:type="character" w:customStyle="1" w:styleId="ListLabel177">
    <w:name w:val="ListLabel 177"/>
    <w:rPr>
      <w:u w:val="none"/>
    </w:rPr>
  </w:style>
  <w:style w:type="character" w:customStyle="1" w:styleId="ListLabel178">
    <w:name w:val="ListLabel 178"/>
    <w:rPr>
      <w:u w:val="none"/>
    </w:rPr>
  </w:style>
  <w:style w:type="character" w:customStyle="1" w:styleId="ListLabel179">
    <w:name w:val="ListLabel 179"/>
    <w:rPr>
      <w:u w:val="none"/>
    </w:rPr>
  </w:style>
  <w:style w:type="character" w:customStyle="1" w:styleId="ListLabel180">
    <w:name w:val="ListLabel 180"/>
    <w:rPr>
      <w:rFonts w:eastAsia="Arial" w:cs="Arial"/>
      <w:sz w:val="24"/>
      <w:szCs w:val="24"/>
    </w:rPr>
  </w:style>
  <w:style w:type="character" w:customStyle="1" w:styleId="ListLabel181">
    <w:name w:val="ListLabel 181"/>
    <w:rPr>
      <w:b w:val="0"/>
      <w:i w:val="0"/>
      <w:caps w:val="0"/>
      <w:smallCaps w:val="0"/>
      <w:strike w:val="0"/>
      <w:dstrike w:val="0"/>
      <w:color w:val="000000"/>
      <w:position w:val="0"/>
      <w:sz w:val="22"/>
      <w:szCs w:val="22"/>
      <w:u w:val="none"/>
      <w:vertAlign w:val="baseline"/>
    </w:rPr>
  </w:style>
  <w:style w:type="character" w:customStyle="1" w:styleId="ListLabel182">
    <w:name w:val="ListLabel 182"/>
    <w:rPr>
      <w:sz w:val="22"/>
      <w:szCs w:val="22"/>
    </w:rPr>
  </w:style>
  <w:style w:type="character" w:customStyle="1" w:styleId="ListLabel183">
    <w:name w:val="ListLabel 183"/>
    <w:rPr>
      <w:rFonts w:ascii="Arial" w:eastAsia="Arial" w:hAnsi="Arial" w:cs="Arial"/>
      <w:color w:val="0000FF"/>
      <w:sz w:val="24"/>
      <w:szCs w:val="24"/>
      <w:u w:val="single"/>
    </w:rPr>
  </w:style>
  <w:style w:type="character" w:customStyle="1" w:styleId="Internetlink">
    <w:name w:val="Internet link"/>
    <w:rPr>
      <w:color w:val="000080"/>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lowing-the-whistle-list-of-prescribed-people-and-bodies--2/whistleblowing-list-of-prescribed-people-and-bodies" TargetMode="External"/><Relationship Id="rId3" Type="http://schemas.openxmlformats.org/officeDocument/2006/relationships/settings" Target="settings.xml"/><Relationship Id="rId7" Type="http://schemas.openxmlformats.org/officeDocument/2006/relationships/hyperlink" Target="https://www.gov.uk/guidance/ir35-find-out-if-it-appl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9623</Words>
  <Characters>54853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64348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Ian (Commercial)</dc:creator>
  <cp:lastModifiedBy>Anderson, Ian (Commercial)</cp:lastModifiedBy>
  <cp:revision>3</cp:revision>
  <dcterms:created xsi:type="dcterms:W3CDTF">2023-05-03T08:05:00Z</dcterms:created>
  <dcterms:modified xsi:type="dcterms:W3CDTF">2023-05-04T09:16:00Z</dcterms:modified>
</cp:coreProperties>
</file>