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6B08" w14:textId="77777777" w:rsidR="000209F5" w:rsidRDefault="00CE4E7A" w:rsidP="00BE085F">
      <w:pPr>
        <w:spacing w:line="259" w:lineRule="auto"/>
        <w:jc w:val="center"/>
        <w:rPr>
          <w:rFonts w:ascii="Arial" w:eastAsia="Arial" w:hAnsi="Arial" w:cs="Arial"/>
          <w:b/>
          <w:sz w:val="36"/>
          <w:szCs w:val="36"/>
        </w:rPr>
      </w:pPr>
      <w:r>
        <w:rPr>
          <w:rFonts w:ascii="Arial" w:eastAsia="Arial" w:hAnsi="Arial" w:cs="Arial"/>
          <w:b/>
          <w:sz w:val="36"/>
          <w:szCs w:val="36"/>
        </w:rPr>
        <w:t xml:space="preserve">Framework Schedule 6b Order Form Template </w:t>
      </w:r>
      <w:r w:rsidR="000209F5">
        <w:rPr>
          <w:rFonts w:ascii="Arial" w:eastAsia="Arial" w:hAnsi="Arial" w:cs="Arial"/>
          <w:b/>
          <w:sz w:val="36"/>
          <w:szCs w:val="36"/>
        </w:rPr>
        <w:t>Operating Lease Only</w:t>
      </w:r>
    </w:p>
    <w:p w14:paraId="45016CB9" w14:textId="77777777" w:rsidR="000209F5" w:rsidRPr="000209F5" w:rsidRDefault="000209F5" w:rsidP="00BE085F">
      <w:pPr>
        <w:spacing w:line="259" w:lineRule="auto"/>
        <w:jc w:val="center"/>
        <w:rPr>
          <w:rFonts w:ascii="Arial" w:eastAsia="Arial" w:hAnsi="Arial" w:cs="Arial"/>
          <w:b/>
          <w:sz w:val="32"/>
          <w:szCs w:val="32"/>
        </w:rPr>
      </w:pPr>
    </w:p>
    <w:p w14:paraId="00000002" w14:textId="2665670A" w:rsidR="00F33A01" w:rsidRPr="000209F5" w:rsidRDefault="000209F5" w:rsidP="000209F5">
      <w:pPr>
        <w:spacing w:line="259" w:lineRule="auto"/>
        <w:jc w:val="center"/>
        <w:rPr>
          <w:rFonts w:ascii="Arial" w:eastAsia="Arial" w:hAnsi="Arial" w:cs="Arial"/>
          <w:b/>
          <w:sz w:val="32"/>
          <w:szCs w:val="32"/>
        </w:rPr>
      </w:pPr>
      <w:r w:rsidRPr="000209F5">
        <w:rPr>
          <w:rFonts w:ascii="Arial" w:eastAsia="Arial" w:hAnsi="Arial" w:cs="Arial"/>
          <w:b/>
          <w:sz w:val="32"/>
          <w:szCs w:val="32"/>
        </w:rPr>
        <w:t>(</w:t>
      </w:r>
      <w:r w:rsidRPr="000209F5">
        <w:rPr>
          <w:rFonts w:ascii="Arial" w:eastAsia="Arial" w:hAnsi="Arial" w:cs="Arial"/>
          <w:b/>
          <w:i/>
          <w:sz w:val="32"/>
          <w:szCs w:val="32"/>
        </w:rPr>
        <w:t>Leasing and/or Service Requirements under Lots 1 and 2</w:t>
      </w:r>
      <w:r w:rsidRPr="000209F5">
        <w:rPr>
          <w:rFonts w:ascii="Arial" w:eastAsia="Arial" w:hAnsi="Arial" w:cs="Arial"/>
          <w:b/>
          <w:sz w:val="32"/>
          <w:szCs w:val="32"/>
        </w:rPr>
        <w:t>)</w:t>
      </w:r>
    </w:p>
    <w:p w14:paraId="00000003" w14:textId="77777777" w:rsidR="00F33A01" w:rsidRDefault="00F33A01">
      <w:pPr>
        <w:spacing w:line="259" w:lineRule="auto"/>
        <w:rPr>
          <w:rFonts w:ascii="Arial" w:eastAsia="Arial" w:hAnsi="Arial" w:cs="Arial"/>
          <w:b/>
          <w:sz w:val="36"/>
          <w:szCs w:val="36"/>
        </w:rPr>
      </w:pPr>
    </w:p>
    <w:p w14:paraId="00000004" w14:textId="060DCAC0" w:rsidR="00F33A01" w:rsidRPr="00BE085F" w:rsidRDefault="00CE4E7A">
      <w:pPr>
        <w:spacing w:line="259" w:lineRule="auto"/>
        <w:rPr>
          <w:rFonts w:ascii="Arial" w:eastAsia="Arial" w:hAnsi="Arial" w:cs="Arial"/>
          <w:b/>
          <w:color w:val="FF0000"/>
          <w:sz w:val="36"/>
          <w:szCs w:val="36"/>
        </w:rPr>
      </w:pPr>
      <w:r>
        <w:rPr>
          <w:rFonts w:ascii="Arial" w:eastAsia="Arial" w:hAnsi="Arial" w:cs="Arial"/>
          <w:b/>
          <w:sz w:val="36"/>
          <w:szCs w:val="36"/>
        </w:rPr>
        <w:t xml:space="preserve">Order Form </w:t>
      </w:r>
    </w:p>
    <w:p w14:paraId="00000005" w14:textId="77777777" w:rsidR="00F33A01" w:rsidRDefault="00F33A01">
      <w:pPr>
        <w:spacing w:line="259" w:lineRule="auto"/>
        <w:rPr>
          <w:rFonts w:ascii="Arial" w:eastAsia="Arial" w:hAnsi="Arial" w:cs="Arial"/>
        </w:rPr>
      </w:pPr>
    </w:p>
    <w:tbl>
      <w:tblPr>
        <w:tblW w:w="850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3539"/>
        <w:gridCol w:w="4961"/>
      </w:tblGrid>
      <w:tr w:rsidR="00F33A01" w14:paraId="00AFDECA" w14:textId="77777777">
        <w:tc>
          <w:tcPr>
            <w:tcW w:w="3539" w:type="dxa"/>
          </w:tcPr>
          <w:p w14:paraId="00000006" w14:textId="77777777" w:rsidR="00F33A01" w:rsidRDefault="00CE4E7A">
            <w:r>
              <w:rPr>
                <w:rFonts w:ascii="Arial" w:eastAsia="Arial" w:hAnsi="Arial" w:cs="Arial"/>
              </w:rPr>
              <w:t>CALL-OFF REFERENCE:</w:t>
            </w:r>
          </w:p>
        </w:tc>
        <w:tc>
          <w:tcPr>
            <w:tcW w:w="4961" w:type="dxa"/>
          </w:tcPr>
          <w:p w14:paraId="00000007" w14:textId="1C547DF3" w:rsidR="00F33A01" w:rsidRPr="00F10A00" w:rsidRDefault="00F33A01" w:rsidP="00F10A00">
            <w:pPr>
              <w:rPr>
                <w:rFonts w:ascii="Arial" w:hAnsi="Arial" w:cs="Arial"/>
              </w:rPr>
            </w:pPr>
          </w:p>
        </w:tc>
      </w:tr>
      <w:tr w:rsidR="00F33A01" w14:paraId="76028D19" w14:textId="77777777">
        <w:tc>
          <w:tcPr>
            <w:tcW w:w="3539" w:type="dxa"/>
          </w:tcPr>
          <w:p w14:paraId="00000008" w14:textId="77777777" w:rsidR="00F33A01" w:rsidRDefault="00CE4E7A">
            <w:r>
              <w:rPr>
                <w:rFonts w:ascii="Arial" w:eastAsia="Arial" w:hAnsi="Arial" w:cs="Arial"/>
              </w:rPr>
              <w:t>THE BUYER:</w:t>
            </w:r>
          </w:p>
        </w:tc>
        <w:tc>
          <w:tcPr>
            <w:tcW w:w="4961" w:type="dxa"/>
          </w:tcPr>
          <w:p w14:paraId="00000009" w14:textId="2A78433A" w:rsidR="00F33A01" w:rsidRDefault="002B019F">
            <w:r>
              <w:rPr>
                <w:rFonts w:ascii="Arial" w:eastAsia="Arial" w:hAnsi="Arial" w:cs="Arial"/>
                <w:b/>
              </w:rPr>
              <w:t>Department of Energy Security and Net Zero</w:t>
            </w:r>
          </w:p>
        </w:tc>
      </w:tr>
      <w:tr w:rsidR="00F33A01" w14:paraId="5AEBEE3E" w14:textId="77777777">
        <w:tc>
          <w:tcPr>
            <w:tcW w:w="3539" w:type="dxa"/>
          </w:tcPr>
          <w:p w14:paraId="0000000A" w14:textId="77777777" w:rsidR="00F33A01" w:rsidRDefault="00CE4E7A">
            <w:r>
              <w:rPr>
                <w:rFonts w:ascii="Arial" w:eastAsia="Arial" w:hAnsi="Arial" w:cs="Arial"/>
              </w:rPr>
              <w:t>BUYER ADDRESS</w:t>
            </w:r>
          </w:p>
        </w:tc>
        <w:tc>
          <w:tcPr>
            <w:tcW w:w="4961" w:type="dxa"/>
          </w:tcPr>
          <w:p w14:paraId="0000000B" w14:textId="062ACF6E" w:rsidR="00F33A01" w:rsidRDefault="002B019F">
            <w:r>
              <w:rPr>
                <w:rFonts w:ascii="Arial" w:eastAsia="Arial" w:hAnsi="Arial" w:cs="Arial"/>
              </w:rPr>
              <w:t xml:space="preserve">10 Victoria Street, London </w:t>
            </w:r>
            <w:r w:rsidRPr="002B019F">
              <w:rPr>
                <w:rFonts w:ascii="Arial" w:hAnsi="Arial" w:cs="Arial"/>
              </w:rPr>
              <w:t>SW1H 0NB</w:t>
            </w:r>
            <w:r w:rsidR="00CE4E7A" w:rsidRPr="002B019F">
              <w:rPr>
                <w:rFonts w:ascii="Arial" w:eastAsia="Arial" w:hAnsi="Arial" w:cs="Arial"/>
                <w:b/>
              </w:rPr>
              <w:t xml:space="preserve"> </w:t>
            </w:r>
          </w:p>
        </w:tc>
      </w:tr>
      <w:tr w:rsidR="00F33A01" w14:paraId="281FB723" w14:textId="77777777">
        <w:tc>
          <w:tcPr>
            <w:tcW w:w="3539" w:type="dxa"/>
          </w:tcPr>
          <w:p w14:paraId="0000000C" w14:textId="77777777" w:rsidR="00F33A01" w:rsidRDefault="00CE4E7A">
            <w:r>
              <w:rPr>
                <w:rFonts w:ascii="Arial" w:eastAsia="Arial" w:hAnsi="Arial" w:cs="Arial"/>
              </w:rPr>
              <w:t>THE SUPPLIER:</w:t>
            </w:r>
          </w:p>
        </w:tc>
        <w:tc>
          <w:tcPr>
            <w:tcW w:w="4961" w:type="dxa"/>
          </w:tcPr>
          <w:p w14:paraId="0000000D" w14:textId="3127F7DF" w:rsidR="00F33A01" w:rsidRDefault="002B019F">
            <w:r>
              <w:rPr>
                <w:rFonts w:ascii="Arial" w:eastAsia="Arial" w:hAnsi="Arial" w:cs="Arial"/>
              </w:rPr>
              <w:t>Canon (UK) Limited</w:t>
            </w:r>
          </w:p>
        </w:tc>
      </w:tr>
      <w:tr w:rsidR="00F33A01" w14:paraId="63C181CB" w14:textId="77777777">
        <w:tc>
          <w:tcPr>
            <w:tcW w:w="3539" w:type="dxa"/>
          </w:tcPr>
          <w:p w14:paraId="0000000E" w14:textId="77777777" w:rsidR="00F33A01" w:rsidRDefault="00CE4E7A">
            <w:pPr>
              <w:rPr>
                <w:rFonts w:ascii="Arial" w:eastAsia="Arial" w:hAnsi="Arial" w:cs="Arial"/>
              </w:rPr>
            </w:pPr>
            <w:r>
              <w:rPr>
                <w:rFonts w:ascii="Arial" w:eastAsia="Arial" w:hAnsi="Arial" w:cs="Arial"/>
              </w:rPr>
              <w:t>SUPPLIER ADDRESS:</w:t>
            </w:r>
          </w:p>
        </w:tc>
        <w:tc>
          <w:tcPr>
            <w:tcW w:w="4961" w:type="dxa"/>
          </w:tcPr>
          <w:p w14:paraId="0000000F" w14:textId="6F4B682D" w:rsidR="00F33A01" w:rsidRDefault="00F33A01">
            <w:pPr>
              <w:rPr>
                <w:rFonts w:ascii="Arial" w:eastAsia="Arial" w:hAnsi="Arial" w:cs="Arial"/>
                <w:highlight w:val="yellow"/>
              </w:rPr>
            </w:pPr>
          </w:p>
        </w:tc>
      </w:tr>
      <w:tr w:rsidR="00F33A01" w14:paraId="119D3EE9" w14:textId="77777777">
        <w:tc>
          <w:tcPr>
            <w:tcW w:w="3539" w:type="dxa"/>
          </w:tcPr>
          <w:p w14:paraId="00000010" w14:textId="77777777" w:rsidR="00F33A01" w:rsidRDefault="00CE4E7A">
            <w:pPr>
              <w:rPr>
                <w:rFonts w:ascii="Arial" w:eastAsia="Arial" w:hAnsi="Arial" w:cs="Arial"/>
              </w:rPr>
            </w:pPr>
            <w:r>
              <w:rPr>
                <w:rFonts w:ascii="Arial" w:eastAsia="Arial" w:hAnsi="Arial" w:cs="Arial"/>
              </w:rPr>
              <w:t>REGISTRATION NUMBER:</w:t>
            </w:r>
          </w:p>
        </w:tc>
        <w:tc>
          <w:tcPr>
            <w:tcW w:w="4961" w:type="dxa"/>
          </w:tcPr>
          <w:p w14:paraId="00000011" w14:textId="6E2DD30B" w:rsidR="00F33A01" w:rsidRDefault="002B019F">
            <w:pPr>
              <w:rPr>
                <w:rFonts w:ascii="Arial" w:eastAsia="Arial" w:hAnsi="Arial" w:cs="Arial"/>
                <w:highlight w:val="yellow"/>
              </w:rPr>
            </w:pPr>
            <w:r>
              <w:rPr>
                <w:rFonts w:ascii="Arial" w:eastAsia="Arial" w:hAnsi="Arial" w:cs="Arial"/>
              </w:rPr>
              <w:t>1264300</w:t>
            </w:r>
            <w:r w:rsidR="00CE4E7A">
              <w:rPr>
                <w:rFonts w:ascii="Arial" w:eastAsia="Arial" w:hAnsi="Arial" w:cs="Arial"/>
                <w:b/>
              </w:rPr>
              <w:t xml:space="preserve">  </w:t>
            </w:r>
          </w:p>
        </w:tc>
      </w:tr>
      <w:tr w:rsidR="00F33A01" w14:paraId="58833547" w14:textId="77777777">
        <w:tc>
          <w:tcPr>
            <w:tcW w:w="3539" w:type="dxa"/>
          </w:tcPr>
          <w:p w14:paraId="00000012" w14:textId="77777777" w:rsidR="00F33A01" w:rsidRDefault="00CE4E7A">
            <w:pPr>
              <w:rPr>
                <w:rFonts w:ascii="Arial" w:eastAsia="Arial" w:hAnsi="Arial" w:cs="Arial"/>
              </w:rPr>
            </w:pPr>
            <w:r>
              <w:rPr>
                <w:rFonts w:ascii="Arial" w:eastAsia="Arial" w:hAnsi="Arial" w:cs="Arial"/>
              </w:rPr>
              <w:t xml:space="preserve">DUNS NUMBER:       </w:t>
            </w:r>
          </w:p>
        </w:tc>
        <w:tc>
          <w:tcPr>
            <w:tcW w:w="4961" w:type="dxa"/>
          </w:tcPr>
          <w:p w14:paraId="00000013" w14:textId="50D469F4" w:rsidR="00F33A01" w:rsidRPr="002B019F" w:rsidRDefault="00F33A01">
            <w:pPr>
              <w:rPr>
                <w:rFonts w:ascii="Arial" w:eastAsia="Arial" w:hAnsi="Arial" w:cs="Arial"/>
              </w:rPr>
            </w:pPr>
          </w:p>
        </w:tc>
      </w:tr>
    </w:tbl>
    <w:p w14:paraId="00000016" w14:textId="77777777" w:rsidR="00F33A01" w:rsidRDefault="00F33A01"/>
    <w:p w14:paraId="0000001C" w14:textId="722C182E" w:rsidR="00F33A01" w:rsidRDefault="00F33A01">
      <w:pPr>
        <w:spacing w:line="259" w:lineRule="auto"/>
        <w:rPr>
          <w:rFonts w:ascii="Arial" w:eastAsia="Arial" w:hAnsi="Arial" w:cs="Arial"/>
        </w:rPr>
      </w:pPr>
    </w:p>
    <w:p w14:paraId="20A89619" w14:textId="77777777" w:rsidR="0026095B" w:rsidRDefault="0026095B">
      <w:pPr>
        <w:spacing w:line="259" w:lineRule="auto"/>
        <w:rPr>
          <w:rFonts w:ascii="Arial" w:eastAsia="Arial" w:hAnsi="Arial" w:cs="Arial"/>
        </w:rPr>
      </w:pPr>
    </w:p>
    <w:p w14:paraId="0000001D" w14:textId="7D5AE4D4" w:rsidR="00F33A01" w:rsidRPr="00BE085F" w:rsidRDefault="00CE4E7A">
      <w:pPr>
        <w:spacing w:line="259" w:lineRule="auto"/>
        <w:rPr>
          <w:rFonts w:ascii="Arial" w:eastAsia="Arial" w:hAnsi="Arial" w:cs="Arial"/>
          <w:b/>
          <w:color w:val="FF0000"/>
          <w:u w:val="single"/>
        </w:rPr>
      </w:pPr>
      <w:r w:rsidRPr="00BE085F">
        <w:rPr>
          <w:rFonts w:ascii="Arial" w:eastAsia="Arial" w:hAnsi="Arial" w:cs="Arial"/>
          <w:b/>
          <w:u w:val="single"/>
        </w:rPr>
        <w:t>APPLICABLE FRAMEWORK CONTRACT</w:t>
      </w:r>
      <w:r w:rsidR="00BE085F" w:rsidRPr="00BE085F">
        <w:rPr>
          <w:rFonts w:ascii="Arial" w:eastAsia="Arial" w:hAnsi="Arial" w:cs="Arial"/>
          <w:b/>
          <w:u w:val="single"/>
        </w:rPr>
        <w:t xml:space="preserve"> </w:t>
      </w:r>
    </w:p>
    <w:p w14:paraId="0000001E" w14:textId="77777777" w:rsidR="00F33A01" w:rsidRDefault="00F33A01">
      <w:pPr>
        <w:spacing w:line="259" w:lineRule="auto"/>
        <w:rPr>
          <w:rFonts w:ascii="Arial" w:eastAsia="Arial" w:hAnsi="Arial" w:cs="Arial"/>
        </w:rPr>
      </w:pPr>
    </w:p>
    <w:p w14:paraId="0000001F" w14:textId="21BFBBC1" w:rsidR="00F33A01" w:rsidRDefault="00CE4E7A">
      <w:pPr>
        <w:spacing w:line="259" w:lineRule="auto"/>
        <w:jc w:val="both"/>
        <w:rPr>
          <w:rFonts w:ascii="Arial" w:eastAsia="Arial" w:hAnsi="Arial" w:cs="Arial"/>
        </w:rPr>
      </w:pPr>
      <w:r>
        <w:rPr>
          <w:rFonts w:ascii="Arial" w:eastAsia="Arial" w:hAnsi="Arial" w:cs="Arial"/>
        </w:rPr>
        <w:t>This Order Form is for the provision of the Call-Off Deliverables and dated</w:t>
      </w:r>
      <w:r w:rsidR="002B019F">
        <w:rPr>
          <w:rFonts w:ascii="Arial" w:eastAsia="Arial" w:hAnsi="Arial" w:cs="Arial"/>
        </w:rPr>
        <w:t xml:space="preserve"> </w:t>
      </w:r>
      <w:proofErr w:type="gramStart"/>
      <w:r w:rsidR="002B019F">
        <w:rPr>
          <w:rFonts w:ascii="Arial" w:eastAsia="Arial" w:hAnsi="Arial" w:cs="Arial"/>
        </w:rPr>
        <w:t>31/1/2024</w:t>
      </w:r>
      <w:proofErr w:type="gramEnd"/>
      <w:r>
        <w:rPr>
          <w:rFonts w:ascii="Arial" w:eastAsia="Arial" w:hAnsi="Arial" w:cs="Arial"/>
        </w:rPr>
        <w:t xml:space="preserve"> </w:t>
      </w:r>
    </w:p>
    <w:p w14:paraId="61C70929" w14:textId="77777777" w:rsidR="002A2B42" w:rsidRDefault="002A2B42">
      <w:pPr>
        <w:spacing w:line="259" w:lineRule="auto"/>
        <w:jc w:val="both"/>
        <w:rPr>
          <w:rFonts w:ascii="Arial" w:eastAsia="Arial" w:hAnsi="Arial" w:cs="Arial"/>
        </w:rPr>
      </w:pPr>
    </w:p>
    <w:p w14:paraId="00000020" w14:textId="437E5D1D" w:rsidR="00F33A01" w:rsidRDefault="00CE4E7A">
      <w:pPr>
        <w:spacing w:line="259" w:lineRule="auto"/>
        <w:jc w:val="both"/>
        <w:rPr>
          <w:rFonts w:ascii="Arial" w:eastAsia="Arial" w:hAnsi="Arial" w:cs="Arial"/>
        </w:rPr>
      </w:pPr>
      <w:r>
        <w:rPr>
          <w:rFonts w:ascii="Arial" w:eastAsia="Arial" w:hAnsi="Arial" w:cs="Arial"/>
        </w:rPr>
        <w:t>It’s issued under the Framework Contract with the reference number RM6174 for the provision of</w:t>
      </w:r>
      <w:r w:rsidR="002A2B42">
        <w:rPr>
          <w:rFonts w:ascii="Arial" w:eastAsia="Arial" w:hAnsi="Arial" w:cs="Arial"/>
        </w:rPr>
        <w:t xml:space="preserve"> Multifunctional Devices (MFDs), Print and Digital Workflow Software Services and Managed Print Service Provision</w:t>
      </w:r>
      <w:r>
        <w:rPr>
          <w:rFonts w:ascii="Arial" w:eastAsia="Arial" w:hAnsi="Arial" w:cs="Arial"/>
        </w:rPr>
        <w:t xml:space="preserve">.   </w:t>
      </w:r>
    </w:p>
    <w:p w14:paraId="00000021" w14:textId="77777777" w:rsidR="00F33A01" w:rsidRDefault="00F33A01">
      <w:pPr>
        <w:tabs>
          <w:tab w:val="left" w:pos="2257"/>
        </w:tabs>
        <w:spacing w:line="259" w:lineRule="auto"/>
        <w:rPr>
          <w:rFonts w:ascii="Arial" w:eastAsia="Arial" w:hAnsi="Arial" w:cs="Arial"/>
          <w:b/>
        </w:rPr>
      </w:pPr>
    </w:p>
    <w:p w14:paraId="00000022" w14:textId="77777777" w:rsidR="00F33A01" w:rsidRDefault="00CE4E7A">
      <w:pPr>
        <w:tabs>
          <w:tab w:val="left" w:pos="2257"/>
        </w:tabs>
        <w:spacing w:line="259" w:lineRule="auto"/>
        <w:ind w:left="2880" w:hanging="2880"/>
        <w:rPr>
          <w:rFonts w:ascii="Arial" w:eastAsia="Arial" w:hAnsi="Arial" w:cs="Arial"/>
        </w:rPr>
      </w:pPr>
      <w:r>
        <w:rPr>
          <w:rFonts w:ascii="Arial" w:eastAsia="Arial" w:hAnsi="Arial" w:cs="Arial"/>
        </w:rPr>
        <w:t>CALL-OFF LOT(S):</w:t>
      </w:r>
    </w:p>
    <w:p w14:paraId="00000024" w14:textId="77777777" w:rsidR="00F33A01" w:rsidRDefault="00F33A01">
      <w:pPr>
        <w:tabs>
          <w:tab w:val="left" w:pos="2257"/>
        </w:tabs>
        <w:spacing w:line="259" w:lineRule="auto"/>
        <w:ind w:left="2880" w:hanging="2880"/>
        <w:rPr>
          <w:rFonts w:ascii="Arial" w:eastAsia="Arial" w:hAnsi="Arial" w:cs="Arial"/>
          <w:b/>
          <w:i/>
        </w:rPr>
      </w:pPr>
    </w:p>
    <w:tbl>
      <w:tblPr>
        <w:tblW w:w="9214"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1276"/>
        <w:gridCol w:w="6521"/>
        <w:gridCol w:w="1417"/>
      </w:tblGrid>
      <w:tr w:rsidR="00F33A01" w14:paraId="5994852D" w14:textId="77777777">
        <w:tc>
          <w:tcPr>
            <w:tcW w:w="1276" w:type="dxa"/>
          </w:tcPr>
          <w:p w14:paraId="00000025" w14:textId="77777777" w:rsidR="00F33A01" w:rsidRDefault="00CE4E7A">
            <w:pPr>
              <w:tabs>
                <w:tab w:val="left" w:pos="2257"/>
              </w:tabs>
              <w:spacing w:line="259" w:lineRule="auto"/>
              <w:jc w:val="center"/>
              <w:rPr>
                <w:rFonts w:ascii="Arial" w:eastAsia="Arial" w:hAnsi="Arial" w:cs="Arial"/>
                <w:b/>
                <w:i/>
              </w:rPr>
            </w:pPr>
            <w:r>
              <w:rPr>
                <w:rFonts w:ascii="Arial" w:eastAsia="Arial" w:hAnsi="Arial" w:cs="Arial"/>
                <w:b/>
                <w:i/>
              </w:rPr>
              <w:t>Lot Number</w:t>
            </w:r>
          </w:p>
        </w:tc>
        <w:tc>
          <w:tcPr>
            <w:tcW w:w="6521" w:type="dxa"/>
          </w:tcPr>
          <w:p w14:paraId="00000026" w14:textId="77777777" w:rsidR="00F33A01" w:rsidRDefault="00CE4E7A">
            <w:pPr>
              <w:tabs>
                <w:tab w:val="left" w:pos="2257"/>
              </w:tabs>
              <w:spacing w:line="259" w:lineRule="auto"/>
              <w:jc w:val="center"/>
              <w:rPr>
                <w:rFonts w:ascii="Arial" w:eastAsia="Arial" w:hAnsi="Arial" w:cs="Arial"/>
                <w:b/>
                <w:i/>
              </w:rPr>
            </w:pPr>
            <w:r>
              <w:rPr>
                <w:rFonts w:ascii="Arial" w:eastAsia="Arial" w:hAnsi="Arial" w:cs="Arial"/>
                <w:b/>
                <w:i/>
              </w:rPr>
              <w:t>Lot Name</w:t>
            </w:r>
          </w:p>
        </w:tc>
        <w:tc>
          <w:tcPr>
            <w:tcW w:w="1417" w:type="dxa"/>
          </w:tcPr>
          <w:p w14:paraId="00000027" w14:textId="77777777" w:rsidR="00F33A01" w:rsidRDefault="00CE4E7A">
            <w:pPr>
              <w:tabs>
                <w:tab w:val="left" w:pos="2257"/>
              </w:tabs>
              <w:spacing w:line="259" w:lineRule="auto"/>
              <w:jc w:val="center"/>
              <w:rPr>
                <w:rFonts w:ascii="Arial" w:eastAsia="Arial" w:hAnsi="Arial" w:cs="Arial"/>
                <w:b/>
                <w:i/>
              </w:rPr>
            </w:pPr>
            <w:r>
              <w:rPr>
                <w:rFonts w:ascii="Arial" w:eastAsia="Arial" w:hAnsi="Arial" w:cs="Arial"/>
                <w:b/>
                <w:i/>
              </w:rPr>
              <w:t>Relevant (Yes/No)</w:t>
            </w:r>
          </w:p>
        </w:tc>
      </w:tr>
      <w:tr w:rsidR="00F33A01" w14:paraId="31C5E6A4" w14:textId="77777777">
        <w:tc>
          <w:tcPr>
            <w:tcW w:w="1276" w:type="dxa"/>
          </w:tcPr>
          <w:p w14:paraId="00000028" w14:textId="77777777" w:rsidR="00F33A01" w:rsidRDefault="00CE4E7A">
            <w:pPr>
              <w:tabs>
                <w:tab w:val="left" w:pos="2257"/>
              </w:tabs>
              <w:spacing w:line="259" w:lineRule="auto"/>
              <w:jc w:val="center"/>
              <w:rPr>
                <w:rFonts w:ascii="Arial" w:eastAsia="Arial" w:hAnsi="Arial" w:cs="Arial"/>
                <w:i/>
              </w:rPr>
            </w:pPr>
            <w:r>
              <w:rPr>
                <w:rFonts w:ascii="Arial" w:eastAsia="Arial" w:hAnsi="Arial" w:cs="Arial"/>
                <w:i/>
              </w:rPr>
              <w:t>1</w:t>
            </w:r>
          </w:p>
        </w:tc>
        <w:tc>
          <w:tcPr>
            <w:tcW w:w="6521" w:type="dxa"/>
          </w:tcPr>
          <w:p w14:paraId="00000029" w14:textId="77777777" w:rsidR="00F33A01" w:rsidRDefault="00CE4E7A">
            <w:pPr>
              <w:tabs>
                <w:tab w:val="left" w:pos="2257"/>
              </w:tabs>
              <w:spacing w:line="259" w:lineRule="auto"/>
              <w:rPr>
                <w:rFonts w:ascii="Arial" w:eastAsia="Arial" w:hAnsi="Arial" w:cs="Arial"/>
                <w:i/>
              </w:rPr>
            </w:pPr>
            <w:r>
              <w:rPr>
                <w:rFonts w:ascii="Arial" w:eastAsia="Arial" w:hAnsi="Arial" w:cs="Arial"/>
                <w:i/>
              </w:rPr>
              <w:t>Multifunctional Print Devices (MFDs) and Basic Print Management Software</w:t>
            </w:r>
          </w:p>
        </w:tc>
        <w:tc>
          <w:tcPr>
            <w:tcW w:w="1417" w:type="dxa"/>
          </w:tcPr>
          <w:p w14:paraId="0000002A" w14:textId="77777777" w:rsidR="00F33A01" w:rsidRDefault="00F33A01">
            <w:pPr>
              <w:tabs>
                <w:tab w:val="left" w:pos="2257"/>
              </w:tabs>
              <w:spacing w:line="259" w:lineRule="auto"/>
              <w:jc w:val="center"/>
              <w:rPr>
                <w:rFonts w:ascii="Arial" w:eastAsia="Arial" w:hAnsi="Arial" w:cs="Arial"/>
                <w:i/>
              </w:rPr>
            </w:pPr>
          </w:p>
        </w:tc>
      </w:tr>
      <w:tr w:rsidR="00F33A01" w14:paraId="102DEC82" w14:textId="77777777">
        <w:tc>
          <w:tcPr>
            <w:tcW w:w="1276" w:type="dxa"/>
          </w:tcPr>
          <w:p w14:paraId="0000002B" w14:textId="77777777" w:rsidR="00F33A01" w:rsidRDefault="00CE4E7A">
            <w:pPr>
              <w:tabs>
                <w:tab w:val="left" w:pos="2257"/>
              </w:tabs>
              <w:spacing w:line="259" w:lineRule="auto"/>
              <w:jc w:val="center"/>
              <w:rPr>
                <w:rFonts w:ascii="Arial" w:eastAsia="Arial" w:hAnsi="Arial" w:cs="Arial"/>
                <w:i/>
              </w:rPr>
            </w:pPr>
            <w:r>
              <w:rPr>
                <w:rFonts w:ascii="Arial" w:eastAsia="Arial" w:hAnsi="Arial" w:cs="Arial"/>
                <w:i/>
              </w:rPr>
              <w:t>2</w:t>
            </w:r>
          </w:p>
        </w:tc>
        <w:tc>
          <w:tcPr>
            <w:tcW w:w="6521" w:type="dxa"/>
          </w:tcPr>
          <w:p w14:paraId="0000002C" w14:textId="77777777" w:rsidR="00F33A01" w:rsidRDefault="00CE4E7A">
            <w:pPr>
              <w:tabs>
                <w:tab w:val="left" w:pos="2257"/>
              </w:tabs>
              <w:spacing w:line="259" w:lineRule="auto"/>
              <w:rPr>
                <w:rFonts w:ascii="Arial" w:eastAsia="Arial" w:hAnsi="Arial" w:cs="Arial"/>
                <w:i/>
              </w:rPr>
            </w:pPr>
            <w:r>
              <w:rPr>
                <w:rFonts w:ascii="Arial" w:eastAsia="Arial" w:hAnsi="Arial" w:cs="Arial"/>
                <w:i/>
              </w:rPr>
              <w:t xml:space="preserve">Multifunctional Print Devices (MFDs), Print Management and/or Digital Workflow Software and Associated Services </w:t>
            </w:r>
          </w:p>
        </w:tc>
        <w:tc>
          <w:tcPr>
            <w:tcW w:w="1417" w:type="dxa"/>
          </w:tcPr>
          <w:p w14:paraId="0000002D" w14:textId="6A60B7AE" w:rsidR="00F33A01" w:rsidRDefault="002B019F">
            <w:pPr>
              <w:tabs>
                <w:tab w:val="left" w:pos="2257"/>
              </w:tabs>
              <w:spacing w:line="259" w:lineRule="auto"/>
              <w:jc w:val="center"/>
              <w:rPr>
                <w:rFonts w:ascii="Arial" w:eastAsia="Arial" w:hAnsi="Arial" w:cs="Arial"/>
                <w:i/>
              </w:rPr>
            </w:pPr>
            <w:r>
              <w:rPr>
                <w:rFonts w:ascii="Arial" w:eastAsia="Arial" w:hAnsi="Arial" w:cs="Arial"/>
                <w:i/>
              </w:rPr>
              <w:t>Yes</w:t>
            </w:r>
          </w:p>
        </w:tc>
      </w:tr>
    </w:tbl>
    <w:p w14:paraId="00000034" w14:textId="77777777" w:rsidR="00F33A01" w:rsidRDefault="00F33A01"/>
    <w:p w14:paraId="00000035" w14:textId="23888723" w:rsidR="00F33A01" w:rsidRDefault="00CE4E7A">
      <w:pPr>
        <w:keepNext/>
        <w:spacing w:line="259" w:lineRule="auto"/>
        <w:rPr>
          <w:rFonts w:ascii="Arial" w:eastAsia="Arial" w:hAnsi="Arial" w:cs="Arial"/>
          <w:b/>
          <w:u w:val="single"/>
        </w:rPr>
      </w:pPr>
      <w:r w:rsidRPr="00BE085F">
        <w:rPr>
          <w:rFonts w:ascii="Arial" w:eastAsia="Arial" w:hAnsi="Arial" w:cs="Arial"/>
          <w:b/>
          <w:u w:val="single"/>
        </w:rPr>
        <w:t>CALL-OFF INCORPORATED TERMS</w:t>
      </w:r>
    </w:p>
    <w:p w14:paraId="47B511B9" w14:textId="77777777" w:rsidR="00BE085F" w:rsidRPr="00BE085F" w:rsidRDefault="00BE085F">
      <w:pPr>
        <w:keepNext/>
        <w:spacing w:line="259" w:lineRule="auto"/>
        <w:rPr>
          <w:rFonts w:ascii="Arial" w:eastAsia="Arial" w:hAnsi="Arial" w:cs="Arial"/>
          <w:b/>
          <w:u w:val="single"/>
        </w:rPr>
      </w:pPr>
    </w:p>
    <w:p w14:paraId="25C8DB64" w14:textId="77777777" w:rsidR="00BE085F" w:rsidRDefault="00CE4E7A" w:rsidP="002A2B42">
      <w:pPr>
        <w:jc w:val="both"/>
        <w:rPr>
          <w:rFonts w:ascii="Arial" w:eastAsia="Arial" w:hAnsi="Arial" w:cs="Arial"/>
        </w:rPr>
      </w:pPr>
      <w:r>
        <w:rPr>
          <w:rFonts w:ascii="Arial" w:eastAsia="Arial" w:hAnsi="Arial" w:cs="Arial"/>
        </w:rPr>
        <w:t xml:space="preserve">The following documents are incorporated into this Call-Off Contract. </w:t>
      </w:r>
    </w:p>
    <w:p w14:paraId="6BBC3DCE" w14:textId="77777777" w:rsidR="00BE085F" w:rsidRDefault="00BE085F" w:rsidP="002A2B42">
      <w:pPr>
        <w:jc w:val="both"/>
        <w:rPr>
          <w:rFonts w:ascii="Arial" w:eastAsia="Arial" w:hAnsi="Arial" w:cs="Arial"/>
        </w:rPr>
      </w:pPr>
    </w:p>
    <w:p w14:paraId="00000036" w14:textId="2F9BF3BC" w:rsidR="00F33A01" w:rsidRDefault="00CE4E7A" w:rsidP="002A2B42">
      <w:pPr>
        <w:jc w:val="both"/>
        <w:rPr>
          <w:rFonts w:ascii="Arial" w:eastAsia="Arial" w:hAnsi="Arial" w:cs="Arial"/>
        </w:rPr>
      </w:pPr>
      <w:r>
        <w:rPr>
          <w:rFonts w:ascii="Arial" w:eastAsia="Arial" w:hAnsi="Arial" w:cs="Arial"/>
        </w:rPr>
        <w:t xml:space="preserve">Where numbers are </w:t>
      </w:r>
      <w:proofErr w:type="gramStart"/>
      <w:r>
        <w:rPr>
          <w:rFonts w:ascii="Arial" w:eastAsia="Arial" w:hAnsi="Arial" w:cs="Arial"/>
        </w:rPr>
        <w:t>missing</w:t>
      </w:r>
      <w:proofErr w:type="gramEnd"/>
      <w:r>
        <w:rPr>
          <w:rFonts w:ascii="Arial" w:eastAsia="Arial" w:hAnsi="Arial" w:cs="Arial"/>
        </w:rPr>
        <w:t xml:space="preserve"> we are not using those schedules. If the documents conflict, the following order of precedence applies:</w:t>
      </w:r>
    </w:p>
    <w:p w14:paraId="0CE23C5B" w14:textId="77777777" w:rsidR="00BE085F" w:rsidRDefault="00BE085F" w:rsidP="002A2B42">
      <w:pPr>
        <w:jc w:val="both"/>
        <w:rPr>
          <w:rFonts w:ascii="Arial" w:eastAsia="Arial" w:hAnsi="Arial" w:cs="Arial"/>
        </w:rPr>
      </w:pPr>
    </w:p>
    <w:p w14:paraId="00000037" w14:textId="77777777" w:rsidR="00F33A01" w:rsidRDefault="00CE4E7A" w:rsidP="002A2B42">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This Order Form including </w:t>
      </w:r>
      <w:r w:rsidRPr="00160A4E">
        <w:rPr>
          <w:rFonts w:ascii="Arial" w:eastAsia="Arial" w:hAnsi="Arial" w:cs="Arial"/>
          <w:color w:val="000000"/>
        </w:rPr>
        <w:t>the Call-Off Special Terms and</w:t>
      </w:r>
      <w:r>
        <w:rPr>
          <w:rFonts w:ascii="Arial" w:eastAsia="Arial" w:hAnsi="Arial" w:cs="Arial"/>
          <w:color w:val="000000"/>
        </w:rPr>
        <w:t xml:space="preserve"> Call-Off Special Schedules.</w:t>
      </w:r>
    </w:p>
    <w:p w14:paraId="00000038" w14:textId="50E1651E" w:rsidR="00F33A01" w:rsidRDefault="00CE4E7A" w:rsidP="002A2B42">
      <w:pPr>
        <w:numPr>
          <w:ilvl w:val="0"/>
          <w:numId w:val="1"/>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lastRenderedPageBreak/>
        <w:t>Joint Schedule 1</w:t>
      </w:r>
      <w:r w:rsidR="002A2B42">
        <w:rPr>
          <w:rFonts w:ascii="Arial" w:eastAsia="Arial" w:hAnsi="Arial" w:cs="Arial"/>
          <w:color w:val="000000"/>
        </w:rPr>
        <w:t xml:space="preserve"> </w:t>
      </w:r>
      <w:r>
        <w:rPr>
          <w:rFonts w:ascii="Arial" w:eastAsia="Arial" w:hAnsi="Arial" w:cs="Arial"/>
          <w:color w:val="000000"/>
        </w:rPr>
        <w:t xml:space="preserve">(Definitions and Interpretation) </w:t>
      </w:r>
      <w:r>
        <w:rPr>
          <w:rFonts w:ascii="Arial" w:eastAsia="Arial" w:hAnsi="Arial" w:cs="Arial"/>
          <w:b/>
          <w:color w:val="000000"/>
        </w:rPr>
        <w:t xml:space="preserve">RM6174 </w:t>
      </w:r>
    </w:p>
    <w:p w14:paraId="00000039" w14:textId="12AB71F9" w:rsidR="00F33A01" w:rsidRDefault="00CE4E7A" w:rsidP="002A2B42">
      <w:pPr>
        <w:numPr>
          <w:ilvl w:val="0"/>
          <w:numId w:val="1"/>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 xml:space="preserve">Framework Special Terms </w:t>
      </w:r>
    </w:p>
    <w:p w14:paraId="0000003A" w14:textId="77777777" w:rsidR="00F33A01" w:rsidRDefault="00CE4E7A" w:rsidP="002A2B42">
      <w:pPr>
        <w:keepNext/>
        <w:numPr>
          <w:ilvl w:val="0"/>
          <w:numId w:val="1"/>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The following Schedules in equal order of precedence:</w:t>
      </w:r>
    </w:p>
    <w:p w14:paraId="0000003B" w14:textId="77777777" w:rsidR="00F33A01" w:rsidRDefault="00F33A01" w:rsidP="002A2B42">
      <w:pPr>
        <w:keepNext/>
        <w:spacing w:line="259" w:lineRule="auto"/>
        <w:jc w:val="both"/>
        <w:rPr>
          <w:rFonts w:ascii="Arial" w:eastAsia="Arial" w:hAnsi="Arial" w:cs="Arial"/>
        </w:rPr>
      </w:pPr>
    </w:p>
    <w:p w14:paraId="244AAE6B" w14:textId="77777777" w:rsidR="00230D99" w:rsidRDefault="00230D99" w:rsidP="002A2B42">
      <w:pPr>
        <w:pBdr>
          <w:top w:val="nil"/>
          <w:left w:val="nil"/>
          <w:bottom w:val="nil"/>
          <w:right w:val="nil"/>
          <w:between w:val="nil"/>
        </w:pBdr>
        <w:spacing w:line="259" w:lineRule="auto"/>
        <w:ind w:left="720"/>
        <w:jc w:val="both"/>
        <w:rPr>
          <w:rFonts w:ascii="Arial" w:eastAsia="Arial" w:hAnsi="Arial" w:cs="Arial"/>
          <w:color w:val="000000"/>
          <w:highlight w:val="yellow"/>
        </w:rPr>
      </w:pPr>
    </w:p>
    <w:p w14:paraId="0000003D" w14:textId="77777777" w:rsidR="00F33A01" w:rsidRDefault="00F33A01" w:rsidP="002A2B42">
      <w:pPr>
        <w:keepNext/>
        <w:pBdr>
          <w:top w:val="nil"/>
          <w:left w:val="nil"/>
          <w:bottom w:val="nil"/>
          <w:right w:val="nil"/>
          <w:between w:val="nil"/>
        </w:pBdr>
        <w:spacing w:line="259" w:lineRule="auto"/>
        <w:ind w:left="720"/>
        <w:jc w:val="both"/>
        <w:rPr>
          <w:rFonts w:ascii="Arial" w:eastAsia="Arial" w:hAnsi="Arial" w:cs="Arial"/>
          <w:color w:val="000000"/>
        </w:rPr>
      </w:pPr>
    </w:p>
    <w:p w14:paraId="00000041" w14:textId="562519CB" w:rsidR="00F33A01" w:rsidRPr="00E04B1A" w:rsidRDefault="00B63740" w:rsidP="00E04B1A">
      <w:pPr>
        <w:pStyle w:val="ListParagraph"/>
        <w:keepNext/>
        <w:numPr>
          <w:ilvl w:val="0"/>
          <w:numId w:val="13"/>
        </w:numPr>
        <w:pBdr>
          <w:top w:val="nil"/>
          <w:left w:val="nil"/>
          <w:bottom w:val="nil"/>
          <w:right w:val="nil"/>
          <w:between w:val="nil"/>
        </w:pBdr>
        <w:spacing w:line="259" w:lineRule="auto"/>
        <w:rPr>
          <w:rFonts w:ascii="Arial" w:eastAsia="Arial" w:hAnsi="Arial" w:cs="Arial"/>
          <w:color w:val="000000"/>
        </w:rPr>
      </w:pPr>
      <w:sdt>
        <w:sdtPr>
          <w:tag w:val="goog_rdk_0"/>
          <w:id w:val="-95871014"/>
          <w:showingPlcHdr/>
        </w:sdtPr>
        <w:sdtEndPr/>
        <w:sdtContent>
          <w:r w:rsidR="00E04B1A">
            <w:t xml:space="preserve">     </w:t>
          </w:r>
        </w:sdtContent>
      </w:sdt>
      <w:r w:rsidR="00CE4E7A" w:rsidRPr="00E04B1A">
        <w:rPr>
          <w:rFonts w:ascii="Arial" w:eastAsia="Arial" w:hAnsi="Arial" w:cs="Arial"/>
          <w:color w:val="000000"/>
        </w:rPr>
        <w:t xml:space="preserve">Joint Schedules for </w:t>
      </w:r>
      <w:r w:rsidR="00CE4E7A" w:rsidRPr="00E04B1A">
        <w:rPr>
          <w:rFonts w:ascii="Arial" w:eastAsia="Arial" w:hAnsi="Arial" w:cs="Arial"/>
          <w:b/>
          <w:color w:val="000000"/>
        </w:rPr>
        <w:t>RM6174</w:t>
      </w:r>
    </w:p>
    <w:tbl>
      <w:tblPr>
        <w:tblW w:w="5000" w:type="pct"/>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ook w:val="0400" w:firstRow="0" w:lastRow="0" w:firstColumn="0" w:lastColumn="0" w:noHBand="0" w:noVBand="1"/>
      </w:tblPr>
      <w:tblGrid>
        <w:gridCol w:w="1134"/>
        <w:gridCol w:w="1759"/>
        <w:gridCol w:w="6123"/>
      </w:tblGrid>
      <w:tr w:rsidR="002B019F" w:rsidRPr="00160A4E" w14:paraId="47D5642C" w14:textId="77777777" w:rsidTr="002B019F">
        <w:tc>
          <w:tcPr>
            <w:tcW w:w="626" w:type="pct"/>
          </w:tcPr>
          <w:p w14:paraId="10409F6C" w14:textId="53D098E1" w:rsidR="002B019F" w:rsidRPr="00160A4E" w:rsidRDefault="002B019F" w:rsidP="00E04B1A">
            <w:pPr>
              <w:pBdr>
                <w:top w:val="nil"/>
                <w:left w:val="nil"/>
                <w:bottom w:val="nil"/>
                <w:right w:val="nil"/>
                <w:between w:val="nil"/>
              </w:pBdr>
              <w:spacing w:line="276" w:lineRule="auto"/>
              <w:rPr>
                <w:rFonts w:ascii="Arial" w:eastAsia="Arial" w:hAnsi="Arial" w:cs="Arial"/>
                <w:sz w:val="22"/>
                <w:szCs w:val="22"/>
              </w:rPr>
            </w:pPr>
            <w:r w:rsidRPr="00160A4E">
              <w:rPr>
                <w:rFonts w:ascii="Arial" w:eastAsia="Arial" w:hAnsi="Arial" w:cs="Arial"/>
                <w:sz w:val="22"/>
                <w:szCs w:val="22"/>
              </w:rPr>
              <w:t>Joint Schedule 1</w:t>
            </w:r>
          </w:p>
        </w:tc>
        <w:tc>
          <w:tcPr>
            <w:tcW w:w="977" w:type="pct"/>
          </w:tcPr>
          <w:p w14:paraId="1A30BBE4" w14:textId="0485C11D" w:rsidR="002B019F" w:rsidRPr="00160A4E" w:rsidRDefault="002B019F"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(Definitions)</w:t>
            </w:r>
          </w:p>
        </w:tc>
        <w:tc>
          <w:tcPr>
            <w:tcW w:w="3397" w:type="pct"/>
          </w:tcPr>
          <w:p w14:paraId="50ECDAC1" w14:textId="77777777" w:rsidR="002B019F" w:rsidRPr="002B019F" w:rsidRDefault="002B019F" w:rsidP="00E04B1A">
            <w:pPr>
              <w:rPr>
                <w:rFonts w:ascii="Arial" w:eastAsia="Arial" w:hAnsi="Arial" w:cs="Arial"/>
                <w:sz w:val="22"/>
                <w:szCs w:val="22"/>
              </w:rPr>
            </w:pPr>
            <w:r w:rsidRPr="002B019F">
              <w:rPr>
                <w:rFonts w:ascii="Arial" w:eastAsia="Arial" w:hAnsi="Arial" w:cs="Arial"/>
                <w:b/>
                <w:sz w:val="22"/>
                <w:szCs w:val="22"/>
              </w:rPr>
              <w:t xml:space="preserve">Buyer guidance: </w:t>
            </w:r>
            <w:r w:rsidRPr="002B019F">
              <w:rPr>
                <w:rFonts w:ascii="Arial" w:eastAsia="Arial" w:hAnsi="Arial" w:cs="Arial"/>
                <w:sz w:val="22"/>
                <w:szCs w:val="22"/>
              </w:rPr>
              <w:t>This Schedule details all the defined terms stated within the Specification of Requirements for Lots 1, 2, 3 and 4.  Shall be used if required.</w:t>
            </w:r>
          </w:p>
          <w:p w14:paraId="5AA4E282" w14:textId="7DE136C5" w:rsidR="002B019F" w:rsidRPr="002B019F" w:rsidRDefault="00B63740" w:rsidP="00E04B1A">
            <w:pPr>
              <w:rPr>
                <w:rFonts w:ascii="Arial" w:eastAsia="Arial" w:hAnsi="Arial" w:cs="Arial"/>
                <w:b/>
                <w:sz w:val="22"/>
                <w:szCs w:val="22"/>
              </w:rPr>
            </w:pPr>
            <w:hyperlink r:id="rId9" w:history="1">
              <w:r w:rsidR="002B019F" w:rsidRPr="002B019F">
                <w:rPr>
                  <w:rStyle w:val="Hyperlink"/>
                  <w:rFonts w:ascii="Arial" w:eastAsia="Arial" w:hAnsi="Arial" w:cs="Arial"/>
                  <w:b/>
                  <w:sz w:val="22"/>
                  <w:szCs w:val="22"/>
                </w:rPr>
                <w:t>https://assets.crowncommercial.gov.uk/wp-content/uploads/Joint-Schedule-1-Definitions-v3.9-1.docx</w:t>
              </w:r>
            </w:hyperlink>
            <w:r w:rsidR="002B019F" w:rsidRPr="002B019F">
              <w:rPr>
                <w:rFonts w:ascii="Arial" w:eastAsia="Arial" w:hAnsi="Arial" w:cs="Arial"/>
                <w:b/>
                <w:sz w:val="22"/>
                <w:szCs w:val="22"/>
              </w:rPr>
              <w:t xml:space="preserve"> </w:t>
            </w:r>
          </w:p>
        </w:tc>
      </w:tr>
      <w:tr w:rsidR="002B019F" w:rsidRPr="00160A4E" w14:paraId="48B037C9" w14:textId="77777777" w:rsidTr="002B019F">
        <w:tc>
          <w:tcPr>
            <w:tcW w:w="626" w:type="pct"/>
          </w:tcPr>
          <w:p w14:paraId="5C320A74" w14:textId="77777777" w:rsidR="002B019F" w:rsidRPr="00160A4E" w:rsidRDefault="002B019F" w:rsidP="00E04B1A">
            <w:pPr>
              <w:pBdr>
                <w:top w:val="nil"/>
                <w:left w:val="nil"/>
                <w:bottom w:val="nil"/>
                <w:right w:val="nil"/>
                <w:between w:val="nil"/>
              </w:pBdr>
              <w:spacing w:line="276" w:lineRule="auto"/>
              <w:rPr>
                <w:rFonts w:ascii="Arial" w:eastAsia="Arial" w:hAnsi="Arial" w:cs="Arial"/>
                <w:sz w:val="22"/>
                <w:szCs w:val="22"/>
              </w:rPr>
            </w:pPr>
            <w:r w:rsidRPr="00160A4E">
              <w:rPr>
                <w:rFonts w:ascii="Arial" w:eastAsia="Arial" w:hAnsi="Arial" w:cs="Arial"/>
                <w:sz w:val="22"/>
                <w:szCs w:val="22"/>
              </w:rPr>
              <w:t xml:space="preserve">Joint </w:t>
            </w:r>
          </w:p>
          <w:p w14:paraId="06C7DC43" w14:textId="77777777" w:rsidR="002B019F" w:rsidRPr="00160A4E" w:rsidRDefault="002B019F" w:rsidP="00E04B1A">
            <w:pPr>
              <w:pBdr>
                <w:top w:val="nil"/>
                <w:left w:val="nil"/>
                <w:bottom w:val="nil"/>
                <w:right w:val="nil"/>
                <w:between w:val="nil"/>
              </w:pBdr>
              <w:spacing w:line="276" w:lineRule="auto"/>
              <w:rPr>
                <w:rFonts w:ascii="Arial" w:eastAsia="Arial" w:hAnsi="Arial" w:cs="Arial"/>
                <w:sz w:val="22"/>
                <w:szCs w:val="22"/>
              </w:rPr>
            </w:pPr>
            <w:r w:rsidRPr="00160A4E">
              <w:rPr>
                <w:rFonts w:ascii="Arial" w:eastAsia="Arial" w:hAnsi="Arial" w:cs="Arial"/>
                <w:sz w:val="22"/>
                <w:szCs w:val="22"/>
              </w:rPr>
              <w:t xml:space="preserve">Schedule </w:t>
            </w:r>
          </w:p>
          <w:p w14:paraId="00000044" w14:textId="3C599AD5" w:rsidR="002B019F" w:rsidRPr="00160A4E" w:rsidRDefault="002B019F"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2</w:t>
            </w:r>
          </w:p>
        </w:tc>
        <w:tc>
          <w:tcPr>
            <w:tcW w:w="977" w:type="pct"/>
          </w:tcPr>
          <w:p w14:paraId="00000045" w14:textId="0B8674D8" w:rsidR="002B019F" w:rsidRPr="00160A4E" w:rsidRDefault="002B019F"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(Variation Form)</w:t>
            </w:r>
          </w:p>
        </w:tc>
        <w:tc>
          <w:tcPr>
            <w:tcW w:w="3397" w:type="pct"/>
          </w:tcPr>
          <w:p w14:paraId="6C7FEED5" w14:textId="77777777" w:rsidR="002B019F" w:rsidRPr="002B019F" w:rsidRDefault="002B019F" w:rsidP="00E04B1A">
            <w:pPr>
              <w:rPr>
                <w:rFonts w:ascii="Arial" w:eastAsia="Arial" w:hAnsi="Arial" w:cs="Arial"/>
                <w:sz w:val="22"/>
                <w:szCs w:val="22"/>
              </w:rPr>
            </w:pPr>
            <w:r w:rsidRPr="002B019F">
              <w:rPr>
                <w:rFonts w:ascii="Arial" w:eastAsia="Arial" w:hAnsi="Arial" w:cs="Arial"/>
                <w:b/>
                <w:sz w:val="22"/>
                <w:szCs w:val="22"/>
              </w:rPr>
              <w:t>Buyer guidance:</w:t>
            </w:r>
            <w:r w:rsidRPr="002B019F">
              <w:rPr>
                <w:rFonts w:ascii="Arial" w:eastAsia="Arial" w:hAnsi="Arial" w:cs="Arial"/>
                <w:sz w:val="22"/>
                <w:szCs w:val="22"/>
              </w:rPr>
              <w:t xml:space="preserve"> This Schedule is to be used when either the Buyer and/or Supplier wants to change/update the deliverables of the original Call-Off Contract in accordance with Clause 24 (Changing the Contract) of the Core Terms</w:t>
            </w:r>
          </w:p>
          <w:p w14:paraId="00000046" w14:textId="22E700FB" w:rsidR="002B019F" w:rsidRPr="002B019F" w:rsidRDefault="00B63740" w:rsidP="00E04B1A">
            <w:pPr>
              <w:rPr>
                <w:rFonts w:ascii="Arial" w:eastAsia="Arial" w:hAnsi="Arial" w:cs="Arial"/>
                <w:sz w:val="22"/>
                <w:szCs w:val="22"/>
              </w:rPr>
            </w:pPr>
            <w:hyperlink r:id="rId10" w:history="1">
              <w:r w:rsidR="002B019F" w:rsidRPr="002B019F">
                <w:rPr>
                  <w:rStyle w:val="Hyperlink"/>
                  <w:rFonts w:ascii="Arial" w:eastAsia="Arial" w:hAnsi="Arial" w:cs="Arial"/>
                  <w:sz w:val="22"/>
                  <w:szCs w:val="22"/>
                </w:rPr>
                <w:t>https://assets.crowncommercial.gov.uk/wp-content/uploads/Joint-Schedule-2-Variation-Form-v.3.1-1.docx</w:t>
              </w:r>
            </w:hyperlink>
            <w:r w:rsidR="002B019F" w:rsidRPr="002B019F">
              <w:rPr>
                <w:rFonts w:ascii="Arial" w:eastAsia="Arial" w:hAnsi="Arial" w:cs="Arial"/>
                <w:sz w:val="22"/>
                <w:szCs w:val="22"/>
              </w:rPr>
              <w:t xml:space="preserve"> </w:t>
            </w:r>
          </w:p>
        </w:tc>
      </w:tr>
      <w:tr w:rsidR="002B019F" w:rsidRPr="00160A4E" w14:paraId="2B58F249" w14:textId="77777777" w:rsidTr="002B019F">
        <w:tc>
          <w:tcPr>
            <w:tcW w:w="626" w:type="pct"/>
          </w:tcPr>
          <w:p w14:paraId="59CC784B" w14:textId="77777777" w:rsidR="002B019F" w:rsidRPr="00160A4E" w:rsidRDefault="002B019F" w:rsidP="00E04B1A">
            <w:pPr>
              <w:spacing w:line="259" w:lineRule="auto"/>
              <w:rPr>
                <w:rFonts w:ascii="Arial" w:eastAsia="Arial" w:hAnsi="Arial" w:cs="Arial"/>
                <w:sz w:val="22"/>
                <w:szCs w:val="22"/>
              </w:rPr>
            </w:pPr>
            <w:r w:rsidRPr="00160A4E">
              <w:rPr>
                <w:rFonts w:ascii="Arial" w:eastAsia="Arial" w:hAnsi="Arial" w:cs="Arial"/>
                <w:sz w:val="22"/>
                <w:szCs w:val="22"/>
              </w:rPr>
              <w:t xml:space="preserve">Joint </w:t>
            </w:r>
          </w:p>
          <w:p w14:paraId="142FB4EF" w14:textId="77777777" w:rsidR="002B019F" w:rsidRPr="00160A4E" w:rsidRDefault="002B019F" w:rsidP="00E04B1A">
            <w:pPr>
              <w:spacing w:line="259" w:lineRule="auto"/>
              <w:rPr>
                <w:rFonts w:ascii="Arial" w:eastAsia="Arial" w:hAnsi="Arial" w:cs="Arial"/>
                <w:sz w:val="22"/>
                <w:szCs w:val="22"/>
              </w:rPr>
            </w:pPr>
            <w:r w:rsidRPr="00160A4E">
              <w:rPr>
                <w:rFonts w:ascii="Arial" w:eastAsia="Arial" w:hAnsi="Arial" w:cs="Arial"/>
                <w:sz w:val="22"/>
                <w:szCs w:val="22"/>
              </w:rPr>
              <w:t xml:space="preserve">Schedule </w:t>
            </w:r>
          </w:p>
          <w:p w14:paraId="053CE695" w14:textId="77777777" w:rsidR="002B019F" w:rsidRPr="00160A4E" w:rsidRDefault="002B019F" w:rsidP="00E04B1A">
            <w:pPr>
              <w:spacing w:line="259" w:lineRule="auto"/>
              <w:rPr>
                <w:rFonts w:ascii="Arial" w:eastAsia="Arial" w:hAnsi="Arial" w:cs="Arial"/>
                <w:sz w:val="22"/>
                <w:szCs w:val="22"/>
              </w:rPr>
            </w:pPr>
            <w:r w:rsidRPr="00160A4E">
              <w:rPr>
                <w:rFonts w:ascii="Arial" w:eastAsia="Arial" w:hAnsi="Arial" w:cs="Arial"/>
                <w:sz w:val="22"/>
                <w:szCs w:val="22"/>
              </w:rPr>
              <w:t xml:space="preserve">3 </w:t>
            </w:r>
          </w:p>
          <w:p w14:paraId="0000004B" w14:textId="77777777" w:rsidR="002B019F" w:rsidRPr="00160A4E" w:rsidRDefault="002B019F" w:rsidP="00E04B1A">
            <w:pPr>
              <w:pBdr>
                <w:top w:val="nil"/>
                <w:left w:val="nil"/>
                <w:bottom w:val="nil"/>
                <w:right w:val="nil"/>
                <w:between w:val="nil"/>
              </w:pBdr>
              <w:spacing w:after="200" w:line="276" w:lineRule="auto"/>
              <w:rPr>
                <w:rFonts w:ascii="Arial" w:eastAsia="Arial" w:hAnsi="Arial" w:cs="Arial"/>
                <w:sz w:val="22"/>
                <w:szCs w:val="22"/>
              </w:rPr>
            </w:pPr>
          </w:p>
        </w:tc>
        <w:tc>
          <w:tcPr>
            <w:tcW w:w="977" w:type="pct"/>
          </w:tcPr>
          <w:p w14:paraId="0000004C" w14:textId="544746D8" w:rsidR="002B019F" w:rsidRPr="00160A4E" w:rsidRDefault="002B019F"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(Insurance Requirements)</w:t>
            </w:r>
          </w:p>
        </w:tc>
        <w:tc>
          <w:tcPr>
            <w:tcW w:w="3397" w:type="pct"/>
          </w:tcPr>
          <w:p w14:paraId="627A2FD8" w14:textId="77777777" w:rsidR="002B019F" w:rsidRPr="002B019F" w:rsidRDefault="002B019F" w:rsidP="00E04B1A">
            <w:pPr>
              <w:rPr>
                <w:rFonts w:ascii="Arial" w:eastAsia="Arial" w:hAnsi="Arial" w:cs="Arial"/>
                <w:sz w:val="22"/>
                <w:szCs w:val="22"/>
              </w:rPr>
            </w:pPr>
            <w:r w:rsidRPr="002B019F">
              <w:rPr>
                <w:rFonts w:ascii="Arial" w:eastAsia="Arial" w:hAnsi="Arial" w:cs="Arial"/>
                <w:b/>
                <w:sz w:val="22"/>
                <w:szCs w:val="22"/>
              </w:rPr>
              <w:t>Buyer guidance:</w:t>
            </w:r>
            <w:r w:rsidRPr="002B019F">
              <w:rPr>
                <w:rFonts w:ascii="Arial" w:eastAsia="Arial" w:hAnsi="Arial" w:cs="Arial"/>
                <w:sz w:val="22"/>
                <w:szCs w:val="22"/>
              </w:rPr>
              <w:t xml:space="preserve"> This Schedule defines</w:t>
            </w:r>
            <w:r w:rsidRPr="002B019F">
              <w:rPr>
                <w:rFonts w:ascii="Arial" w:eastAsia="Arial" w:hAnsi="Arial" w:cs="Arial"/>
                <w:i/>
                <w:sz w:val="22"/>
                <w:szCs w:val="22"/>
              </w:rPr>
              <w:t xml:space="preserve"> </w:t>
            </w:r>
            <w:r w:rsidRPr="002B019F">
              <w:rPr>
                <w:rFonts w:ascii="Arial" w:eastAsia="Arial" w:hAnsi="Arial" w:cs="Arial"/>
                <w:sz w:val="22"/>
                <w:szCs w:val="22"/>
              </w:rPr>
              <w:t xml:space="preserve">the standard insurance cover required by Suppliers at Framework level.  If Buyers require Suppliers to obtain additional Insurance, this should be detailed in the ‘Additional Insurance’ section found further on in this form. </w:t>
            </w:r>
          </w:p>
          <w:p w14:paraId="0000004D" w14:textId="0658B95F" w:rsidR="002B019F" w:rsidRPr="002B019F" w:rsidRDefault="00B63740" w:rsidP="00E04B1A">
            <w:pPr>
              <w:rPr>
                <w:rFonts w:ascii="Arial" w:eastAsia="Arial" w:hAnsi="Arial" w:cs="Arial"/>
                <w:i/>
                <w:sz w:val="22"/>
                <w:szCs w:val="22"/>
              </w:rPr>
            </w:pPr>
            <w:hyperlink r:id="rId11" w:history="1">
              <w:r w:rsidR="002B019F" w:rsidRPr="002B019F">
                <w:rPr>
                  <w:rStyle w:val="Hyperlink"/>
                  <w:rFonts w:ascii="Arial" w:eastAsia="Arial" w:hAnsi="Arial" w:cs="Arial"/>
                  <w:i/>
                  <w:sz w:val="22"/>
                  <w:szCs w:val="22"/>
                </w:rPr>
                <w:t>https://assets.crowncommercial.gov.uk/wp-content/uploads/Joint-Schedule-3-Insurance-Requirements-V3.1-1.docx</w:t>
              </w:r>
            </w:hyperlink>
            <w:r w:rsidR="002B019F" w:rsidRPr="002B019F">
              <w:rPr>
                <w:rFonts w:ascii="Arial" w:eastAsia="Arial" w:hAnsi="Arial" w:cs="Arial"/>
                <w:i/>
                <w:sz w:val="22"/>
                <w:szCs w:val="22"/>
              </w:rPr>
              <w:t xml:space="preserve"> </w:t>
            </w:r>
          </w:p>
        </w:tc>
      </w:tr>
      <w:tr w:rsidR="002B019F" w:rsidRPr="00160A4E" w14:paraId="0E53B350" w14:textId="77777777" w:rsidTr="002B019F">
        <w:tc>
          <w:tcPr>
            <w:tcW w:w="626" w:type="pct"/>
          </w:tcPr>
          <w:p w14:paraId="02C62F81" w14:textId="77777777" w:rsidR="002B019F" w:rsidRPr="00160A4E" w:rsidRDefault="002B019F" w:rsidP="00E04B1A">
            <w:pPr>
              <w:spacing w:line="259" w:lineRule="auto"/>
              <w:rPr>
                <w:rFonts w:ascii="Arial" w:eastAsia="Arial" w:hAnsi="Arial" w:cs="Arial"/>
                <w:sz w:val="22"/>
                <w:szCs w:val="22"/>
              </w:rPr>
            </w:pPr>
            <w:r w:rsidRPr="00160A4E">
              <w:rPr>
                <w:rFonts w:ascii="Arial" w:eastAsia="Arial" w:hAnsi="Arial" w:cs="Arial"/>
                <w:sz w:val="22"/>
                <w:szCs w:val="22"/>
              </w:rPr>
              <w:t xml:space="preserve">Joint Schedule </w:t>
            </w:r>
          </w:p>
          <w:p w14:paraId="08191B58" w14:textId="77777777" w:rsidR="002B019F" w:rsidRPr="00160A4E" w:rsidRDefault="002B019F" w:rsidP="00E04B1A">
            <w:pPr>
              <w:spacing w:line="259" w:lineRule="auto"/>
              <w:rPr>
                <w:rFonts w:ascii="Arial" w:eastAsia="Arial" w:hAnsi="Arial" w:cs="Arial"/>
                <w:sz w:val="22"/>
                <w:szCs w:val="22"/>
              </w:rPr>
            </w:pPr>
            <w:r w:rsidRPr="00160A4E">
              <w:rPr>
                <w:rFonts w:ascii="Arial" w:eastAsia="Arial" w:hAnsi="Arial" w:cs="Arial"/>
                <w:sz w:val="22"/>
                <w:szCs w:val="22"/>
              </w:rPr>
              <w:t xml:space="preserve">4 </w:t>
            </w:r>
          </w:p>
          <w:p w14:paraId="00000051" w14:textId="77777777" w:rsidR="002B019F" w:rsidRPr="00160A4E" w:rsidRDefault="002B019F" w:rsidP="00E04B1A">
            <w:pPr>
              <w:pBdr>
                <w:top w:val="nil"/>
                <w:left w:val="nil"/>
                <w:bottom w:val="nil"/>
                <w:right w:val="nil"/>
                <w:between w:val="nil"/>
              </w:pBdr>
              <w:spacing w:after="200" w:line="276" w:lineRule="auto"/>
              <w:rPr>
                <w:rFonts w:ascii="Arial" w:eastAsia="Arial" w:hAnsi="Arial" w:cs="Arial"/>
                <w:sz w:val="22"/>
                <w:szCs w:val="22"/>
              </w:rPr>
            </w:pPr>
          </w:p>
        </w:tc>
        <w:tc>
          <w:tcPr>
            <w:tcW w:w="977" w:type="pct"/>
          </w:tcPr>
          <w:p w14:paraId="00000052" w14:textId="53A3562D" w:rsidR="002B019F" w:rsidRPr="00160A4E" w:rsidRDefault="002B019F"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(Commercially Sensitive Information)</w:t>
            </w:r>
          </w:p>
        </w:tc>
        <w:tc>
          <w:tcPr>
            <w:tcW w:w="3397" w:type="pct"/>
          </w:tcPr>
          <w:p w14:paraId="5372D006" w14:textId="3AE86B20" w:rsidR="002B019F" w:rsidRPr="002B019F" w:rsidRDefault="002B019F" w:rsidP="00E04B1A">
            <w:pPr>
              <w:rPr>
                <w:rFonts w:ascii="Arial" w:eastAsia="Arial" w:hAnsi="Arial" w:cs="Arial"/>
                <w:sz w:val="22"/>
                <w:szCs w:val="22"/>
              </w:rPr>
            </w:pPr>
          </w:p>
          <w:p w14:paraId="00000053" w14:textId="45DABCF9" w:rsidR="002B019F" w:rsidRPr="002B019F" w:rsidRDefault="002B019F" w:rsidP="00E04B1A">
            <w:pPr>
              <w:rPr>
                <w:rFonts w:ascii="Arial" w:eastAsia="Arial" w:hAnsi="Arial" w:cs="Arial"/>
                <w:sz w:val="22"/>
                <w:szCs w:val="22"/>
              </w:rPr>
            </w:pPr>
          </w:p>
        </w:tc>
      </w:tr>
      <w:tr w:rsidR="00447001" w:rsidRPr="00160A4E" w14:paraId="4F4AE558" w14:textId="77777777" w:rsidTr="002B019F">
        <w:tc>
          <w:tcPr>
            <w:tcW w:w="626" w:type="pct"/>
          </w:tcPr>
          <w:p w14:paraId="2C22C833" w14:textId="54E10880" w:rsidR="00447001" w:rsidRPr="00160A4E" w:rsidRDefault="00447001" w:rsidP="00E04B1A">
            <w:pPr>
              <w:spacing w:line="259" w:lineRule="auto"/>
              <w:rPr>
                <w:rFonts w:ascii="Arial" w:eastAsia="Arial" w:hAnsi="Arial" w:cs="Arial"/>
                <w:sz w:val="22"/>
                <w:szCs w:val="22"/>
              </w:rPr>
            </w:pPr>
            <w:r>
              <w:rPr>
                <w:rFonts w:ascii="Arial" w:eastAsia="Arial" w:hAnsi="Arial" w:cs="Arial"/>
                <w:sz w:val="22"/>
                <w:szCs w:val="22"/>
              </w:rPr>
              <w:t>Joint Schedule 5</w:t>
            </w:r>
          </w:p>
        </w:tc>
        <w:tc>
          <w:tcPr>
            <w:tcW w:w="977" w:type="pct"/>
          </w:tcPr>
          <w:p w14:paraId="4D671834" w14:textId="1F026ED3" w:rsidR="00447001" w:rsidRPr="00160A4E" w:rsidRDefault="00447001" w:rsidP="00E04B1A">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(Corporate Social Responsibility)</w:t>
            </w:r>
          </w:p>
        </w:tc>
        <w:tc>
          <w:tcPr>
            <w:tcW w:w="3397" w:type="pct"/>
          </w:tcPr>
          <w:p w14:paraId="07186E44" w14:textId="75BFAC81" w:rsidR="00447001" w:rsidRPr="002B019F" w:rsidRDefault="00B63740" w:rsidP="00E04B1A">
            <w:pPr>
              <w:pBdr>
                <w:top w:val="nil"/>
                <w:left w:val="nil"/>
                <w:bottom w:val="nil"/>
                <w:right w:val="nil"/>
                <w:between w:val="nil"/>
              </w:pBdr>
              <w:spacing w:after="200" w:line="276" w:lineRule="auto"/>
              <w:rPr>
                <w:rFonts w:ascii="Arial" w:eastAsia="Arial" w:hAnsi="Arial" w:cs="Arial"/>
                <w:b/>
                <w:sz w:val="22"/>
                <w:szCs w:val="22"/>
              </w:rPr>
            </w:pPr>
            <w:hyperlink r:id="rId12" w:history="1">
              <w:r w:rsidR="00F83DAD" w:rsidRPr="00996A35">
                <w:rPr>
                  <w:rStyle w:val="Hyperlink"/>
                  <w:rFonts w:ascii="Arial" w:eastAsia="Arial" w:hAnsi="Arial" w:cs="Arial"/>
                  <w:b/>
                  <w:sz w:val="22"/>
                  <w:szCs w:val="22"/>
                </w:rPr>
                <w:t>https://assets.crowncommercial.gov.uk/wp-content/uploads/Joint-Schedule-5-Corporate-Social-Responsibility-V3.2.docx</w:t>
              </w:r>
            </w:hyperlink>
            <w:r w:rsidR="00F83DAD">
              <w:rPr>
                <w:rFonts w:ascii="Arial" w:eastAsia="Arial" w:hAnsi="Arial" w:cs="Arial"/>
                <w:b/>
                <w:sz w:val="22"/>
                <w:szCs w:val="22"/>
              </w:rPr>
              <w:t xml:space="preserve"> </w:t>
            </w:r>
          </w:p>
        </w:tc>
      </w:tr>
      <w:tr w:rsidR="002B019F" w:rsidRPr="00160A4E" w14:paraId="163DD57D" w14:textId="77777777" w:rsidTr="002B019F">
        <w:tc>
          <w:tcPr>
            <w:tcW w:w="626" w:type="pct"/>
          </w:tcPr>
          <w:p w14:paraId="0000006C" w14:textId="432625C7" w:rsidR="002B019F" w:rsidRPr="00160A4E" w:rsidRDefault="002B019F" w:rsidP="00E04B1A">
            <w:pPr>
              <w:spacing w:line="259" w:lineRule="auto"/>
              <w:rPr>
                <w:rFonts w:ascii="Arial" w:eastAsia="Arial" w:hAnsi="Arial" w:cs="Arial"/>
                <w:sz w:val="22"/>
                <w:szCs w:val="22"/>
              </w:rPr>
            </w:pPr>
            <w:r w:rsidRPr="00160A4E">
              <w:rPr>
                <w:rFonts w:ascii="Arial" w:eastAsia="Arial" w:hAnsi="Arial" w:cs="Arial"/>
                <w:sz w:val="22"/>
                <w:szCs w:val="22"/>
              </w:rPr>
              <w:t>Joint Schedule 10</w:t>
            </w:r>
            <w:r w:rsidRPr="00160A4E">
              <w:rPr>
                <w:rFonts w:ascii="Arial" w:eastAsia="Arial" w:hAnsi="Arial" w:cs="Arial"/>
                <w:sz w:val="22"/>
                <w:szCs w:val="22"/>
              </w:rPr>
              <w:tab/>
            </w:r>
          </w:p>
        </w:tc>
        <w:tc>
          <w:tcPr>
            <w:tcW w:w="977" w:type="pct"/>
          </w:tcPr>
          <w:p w14:paraId="0000006D" w14:textId="4B7E3D1C" w:rsidR="002B019F" w:rsidRPr="00160A4E" w:rsidRDefault="002B019F"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(Rectification Plan)</w:t>
            </w:r>
          </w:p>
        </w:tc>
        <w:tc>
          <w:tcPr>
            <w:tcW w:w="3397" w:type="pct"/>
          </w:tcPr>
          <w:p w14:paraId="6A671DE6" w14:textId="51495400" w:rsidR="002B019F" w:rsidRPr="002B019F" w:rsidRDefault="002B019F" w:rsidP="00E04B1A">
            <w:pPr>
              <w:pBdr>
                <w:top w:val="nil"/>
                <w:left w:val="nil"/>
                <w:bottom w:val="nil"/>
                <w:right w:val="nil"/>
                <w:between w:val="nil"/>
              </w:pBdr>
              <w:spacing w:after="200" w:line="276" w:lineRule="auto"/>
              <w:rPr>
                <w:rFonts w:ascii="Arial" w:eastAsia="Arial" w:hAnsi="Arial" w:cs="Arial"/>
                <w:i/>
                <w:sz w:val="22"/>
                <w:szCs w:val="22"/>
              </w:rPr>
            </w:pPr>
            <w:r w:rsidRPr="002B019F">
              <w:rPr>
                <w:rFonts w:ascii="Arial" w:eastAsia="Arial" w:hAnsi="Arial" w:cs="Arial"/>
                <w:b/>
                <w:sz w:val="22"/>
                <w:szCs w:val="22"/>
              </w:rPr>
              <w:t>Buyer guidance:</w:t>
            </w:r>
            <w:r w:rsidRPr="002B019F">
              <w:rPr>
                <w:rFonts w:ascii="Arial" w:eastAsia="Arial" w:hAnsi="Arial" w:cs="Arial"/>
                <w:sz w:val="22"/>
                <w:szCs w:val="22"/>
              </w:rPr>
              <w:t xml:space="preserve"> This schedule is used when a </w:t>
            </w:r>
            <w:proofErr w:type="gramStart"/>
            <w:r w:rsidRPr="002B019F">
              <w:rPr>
                <w:rFonts w:ascii="Arial" w:eastAsia="Arial" w:hAnsi="Arial" w:cs="Arial"/>
                <w:sz w:val="22"/>
                <w:szCs w:val="22"/>
              </w:rPr>
              <w:t>supplier breaches</w:t>
            </w:r>
            <w:proofErr w:type="gramEnd"/>
            <w:r w:rsidRPr="002B019F">
              <w:rPr>
                <w:rFonts w:ascii="Arial" w:eastAsia="Arial" w:hAnsi="Arial" w:cs="Arial"/>
                <w:sz w:val="22"/>
                <w:szCs w:val="22"/>
              </w:rPr>
              <w:t xml:space="preserve"> any of their obligations and sets out the steps to be taken by Suppliers to rectify the Defaults.  </w:t>
            </w:r>
            <w:r w:rsidRPr="002B019F">
              <w:rPr>
                <w:rFonts w:ascii="Arial" w:eastAsia="Arial" w:hAnsi="Arial" w:cs="Arial"/>
                <w:i/>
                <w:sz w:val="22"/>
                <w:szCs w:val="22"/>
              </w:rPr>
              <w:t>The definition of Default can be found in Joint Schedule 1 – Definitions</w:t>
            </w:r>
          </w:p>
          <w:p w14:paraId="0000006E" w14:textId="4BF808D4" w:rsidR="002B019F" w:rsidRPr="002B019F" w:rsidRDefault="00B63740" w:rsidP="00E04B1A">
            <w:pPr>
              <w:pBdr>
                <w:top w:val="nil"/>
                <w:left w:val="nil"/>
                <w:bottom w:val="nil"/>
                <w:right w:val="nil"/>
                <w:between w:val="nil"/>
              </w:pBdr>
              <w:spacing w:after="200" w:line="276" w:lineRule="auto"/>
              <w:rPr>
                <w:rFonts w:ascii="Arial" w:eastAsia="Arial" w:hAnsi="Arial" w:cs="Arial"/>
                <w:sz w:val="22"/>
                <w:szCs w:val="22"/>
              </w:rPr>
            </w:pPr>
            <w:hyperlink r:id="rId13" w:history="1">
              <w:r w:rsidR="002B019F" w:rsidRPr="002B019F">
                <w:rPr>
                  <w:rStyle w:val="Hyperlink"/>
                  <w:rFonts w:ascii="Arial" w:eastAsia="Arial" w:hAnsi="Arial" w:cs="Arial"/>
                  <w:sz w:val="22"/>
                  <w:szCs w:val="22"/>
                </w:rPr>
                <w:t>https://assets.crowncommercial.gov.uk/wp-content/uploads/Joint-Schedule-10-Rectification-Plan-v.3.0-1.docx</w:t>
              </w:r>
            </w:hyperlink>
            <w:r w:rsidR="002B019F" w:rsidRPr="002B019F">
              <w:rPr>
                <w:rFonts w:ascii="Arial" w:eastAsia="Arial" w:hAnsi="Arial" w:cs="Arial"/>
                <w:sz w:val="22"/>
                <w:szCs w:val="22"/>
              </w:rPr>
              <w:t xml:space="preserve"> </w:t>
            </w:r>
          </w:p>
        </w:tc>
      </w:tr>
      <w:tr w:rsidR="002B019F" w:rsidRPr="00160A4E" w14:paraId="5D33E311" w14:textId="77777777" w:rsidTr="002B019F">
        <w:tc>
          <w:tcPr>
            <w:tcW w:w="626" w:type="pct"/>
          </w:tcPr>
          <w:p w14:paraId="00000070" w14:textId="7B3DC0FD" w:rsidR="002B019F" w:rsidRPr="00160A4E" w:rsidRDefault="002B019F" w:rsidP="00E04B1A">
            <w:pPr>
              <w:spacing w:line="259" w:lineRule="auto"/>
              <w:rPr>
                <w:rFonts w:ascii="Arial" w:eastAsia="Arial" w:hAnsi="Arial" w:cs="Arial"/>
                <w:sz w:val="22"/>
                <w:szCs w:val="22"/>
              </w:rPr>
            </w:pPr>
            <w:r w:rsidRPr="00160A4E">
              <w:rPr>
                <w:rFonts w:ascii="Arial" w:eastAsia="Arial" w:hAnsi="Arial" w:cs="Arial"/>
                <w:sz w:val="22"/>
                <w:szCs w:val="22"/>
              </w:rPr>
              <w:t xml:space="preserve">Joint Schedule 11 </w:t>
            </w:r>
          </w:p>
        </w:tc>
        <w:tc>
          <w:tcPr>
            <w:tcW w:w="977" w:type="pct"/>
          </w:tcPr>
          <w:p w14:paraId="00000071" w14:textId="24237C52" w:rsidR="002B019F" w:rsidRPr="00160A4E" w:rsidRDefault="002B019F"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(Processing Data)</w:t>
            </w:r>
          </w:p>
        </w:tc>
        <w:tc>
          <w:tcPr>
            <w:tcW w:w="3397" w:type="pct"/>
          </w:tcPr>
          <w:p w14:paraId="5CFAE1E9" w14:textId="77777777" w:rsidR="002B019F" w:rsidRPr="002B019F" w:rsidRDefault="002B019F" w:rsidP="00E04B1A">
            <w:pPr>
              <w:pBdr>
                <w:top w:val="nil"/>
                <w:left w:val="nil"/>
                <w:bottom w:val="nil"/>
                <w:right w:val="nil"/>
                <w:between w:val="nil"/>
              </w:pBdr>
              <w:spacing w:after="200" w:line="276" w:lineRule="auto"/>
              <w:rPr>
                <w:rFonts w:ascii="Arial" w:eastAsia="Arial" w:hAnsi="Arial" w:cs="Arial"/>
                <w:sz w:val="22"/>
                <w:szCs w:val="22"/>
              </w:rPr>
            </w:pPr>
            <w:r w:rsidRPr="002B019F">
              <w:rPr>
                <w:rFonts w:ascii="Arial" w:eastAsia="Arial" w:hAnsi="Arial" w:cs="Arial"/>
                <w:b/>
                <w:sz w:val="22"/>
                <w:szCs w:val="22"/>
              </w:rPr>
              <w:t>Buyer guidance:</w:t>
            </w:r>
            <w:r w:rsidRPr="002B019F">
              <w:rPr>
                <w:rFonts w:ascii="Arial" w:eastAsia="Arial" w:hAnsi="Arial" w:cs="Arial"/>
                <w:sz w:val="22"/>
                <w:szCs w:val="22"/>
              </w:rPr>
              <w:t xml:space="preserve"> Annex 1 of Schedule 11 is to be completed by Buyer’s when Personal Data is processed by Supplier’s.  Annex 2 of this Schedule should be considered when both parties agree to Joint Controller Status </w:t>
            </w:r>
          </w:p>
          <w:p w14:paraId="00000072" w14:textId="64EDB3E8" w:rsidR="002B019F" w:rsidRPr="002B019F" w:rsidRDefault="00B63740" w:rsidP="00E04B1A">
            <w:pPr>
              <w:pBdr>
                <w:top w:val="nil"/>
                <w:left w:val="nil"/>
                <w:bottom w:val="nil"/>
                <w:right w:val="nil"/>
                <w:between w:val="nil"/>
              </w:pBdr>
              <w:spacing w:after="200" w:line="276" w:lineRule="auto"/>
              <w:rPr>
                <w:rFonts w:ascii="Arial" w:eastAsia="Arial" w:hAnsi="Arial" w:cs="Arial"/>
                <w:sz w:val="22"/>
                <w:szCs w:val="22"/>
              </w:rPr>
            </w:pPr>
            <w:hyperlink r:id="rId14" w:history="1">
              <w:r w:rsidR="002B019F" w:rsidRPr="002B019F">
                <w:rPr>
                  <w:rStyle w:val="Hyperlink"/>
                  <w:rFonts w:ascii="Arial" w:eastAsia="Arial" w:hAnsi="Arial" w:cs="Arial"/>
                  <w:sz w:val="22"/>
                  <w:szCs w:val="22"/>
                </w:rPr>
                <w:t>https://assets.crowncommercial.gov.uk/wp-content/uploads/Joint-Schedule-11-Processing-Data-v4.3-1.docx</w:t>
              </w:r>
            </w:hyperlink>
            <w:r w:rsidR="002B019F" w:rsidRPr="002B019F">
              <w:rPr>
                <w:rFonts w:ascii="Arial" w:eastAsia="Arial" w:hAnsi="Arial" w:cs="Arial"/>
                <w:sz w:val="22"/>
                <w:szCs w:val="22"/>
              </w:rPr>
              <w:t xml:space="preserve"> </w:t>
            </w:r>
          </w:p>
        </w:tc>
      </w:tr>
    </w:tbl>
    <w:p w14:paraId="0000008A" w14:textId="77777777" w:rsidR="00F33A01" w:rsidRPr="00160A4E" w:rsidRDefault="00F33A01">
      <w:pPr>
        <w:spacing w:line="259" w:lineRule="auto"/>
        <w:rPr>
          <w:rFonts w:ascii="Arial" w:eastAsia="Arial" w:hAnsi="Arial" w:cs="Arial"/>
          <w:highlight w:val="yellow"/>
        </w:rPr>
      </w:pPr>
    </w:p>
    <w:p w14:paraId="0000008B" w14:textId="77777777" w:rsidR="00F33A01" w:rsidRPr="00160A4E" w:rsidRDefault="00CE4E7A">
      <w:pPr>
        <w:numPr>
          <w:ilvl w:val="0"/>
          <w:numId w:val="2"/>
        </w:numPr>
        <w:pBdr>
          <w:top w:val="nil"/>
          <w:left w:val="nil"/>
          <w:bottom w:val="nil"/>
          <w:right w:val="nil"/>
          <w:between w:val="nil"/>
        </w:pBdr>
        <w:spacing w:after="200" w:line="276" w:lineRule="auto"/>
        <w:rPr>
          <w:rFonts w:ascii="Arial" w:eastAsia="Arial" w:hAnsi="Arial" w:cs="Arial"/>
        </w:rPr>
      </w:pPr>
      <w:r w:rsidRPr="00160A4E">
        <w:rPr>
          <w:rFonts w:ascii="Arial" w:eastAsia="Arial" w:hAnsi="Arial" w:cs="Arial"/>
        </w:rPr>
        <w:t xml:space="preserve">Call-Off Schedules for </w:t>
      </w:r>
      <w:r w:rsidRPr="00160A4E">
        <w:rPr>
          <w:rFonts w:ascii="Arial" w:eastAsia="Arial" w:hAnsi="Arial" w:cs="Arial"/>
          <w:b/>
        </w:rPr>
        <w:t>RM6174</w:t>
      </w:r>
      <w:r w:rsidRPr="00160A4E">
        <w:rPr>
          <w:rFonts w:ascii="Arial" w:eastAsia="Arial" w:hAnsi="Arial" w:cs="Arial"/>
        </w:rPr>
        <w:tab/>
      </w:r>
    </w:p>
    <w:tbl>
      <w:tblPr>
        <w:tblW w:w="4950" w:type="pct"/>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ook w:val="0400" w:firstRow="0" w:lastRow="0" w:firstColumn="0" w:lastColumn="0" w:noHBand="0" w:noVBand="1"/>
      </w:tblPr>
      <w:tblGrid>
        <w:gridCol w:w="1136"/>
        <w:gridCol w:w="1794"/>
        <w:gridCol w:w="5996"/>
      </w:tblGrid>
      <w:tr w:rsidR="00A41448" w:rsidRPr="00160A4E" w14:paraId="088B0649" w14:textId="77777777" w:rsidTr="00A41448">
        <w:tc>
          <w:tcPr>
            <w:tcW w:w="636" w:type="pct"/>
          </w:tcPr>
          <w:p w14:paraId="0000008C" w14:textId="679CE007" w:rsidR="00A41448" w:rsidRPr="00160A4E" w:rsidRDefault="00A41448"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Call-Off Schedule 1</w:t>
            </w:r>
          </w:p>
        </w:tc>
        <w:tc>
          <w:tcPr>
            <w:tcW w:w="1005" w:type="pct"/>
          </w:tcPr>
          <w:p w14:paraId="0000008D" w14:textId="4F66FAC4" w:rsidR="00A41448" w:rsidRPr="00160A4E" w:rsidRDefault="00A41448"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 xml:space="preserve">(Transparency Reports) </w:t>
            </w:r>
          </w:p>
        </w:tc>
        <w:tc>
          <w:tcPr>
            <w:tcW w:w="3359" w:type="pct"/>
          </w:tcPr>
          <w:p w14:paraId="4E097302" w14:textId="77777777" w:rsidR="00A41448" w:rsidRPr="00A41448" w:rsidRDefault="00A41448" w:rsidP="00E04B1A">
            <w:pPr>
              <w:pBdr>
                <w:top w:val="nil"/>
                <w:left w:val="nil"/>
                <w:bottom w:val="nil"/>
                <w:right w:val="nil"/>
                <w:between w:val="nil"/>
              </w:pBdr>
              <w:spacing w:after="200" w:line="276" w:lineRule="auto"/>
              <w:rPr>
                <w:rFonts w:ascii="Arial" w:eastAsia="Arial" w:hAnsi="Arial" w:cs="Arial"/>
                <w:sz w:val="22"/>
                <w:szCs w:val="22"/>
              </w:rPr>
            </w:pPr>
            <w:r w:rsidRPr="00A41448">
              <w:rPr>
                <w:rFonts w:ascii="Arial" w:eastAsia="Arial" w:hAnsi="Arial" w:cs="Arial"/>
                <w:b/>
                <w:sz w:val="22"/>
                <w:szCs w:val="22"/>
              </w:rPr>
              <w:t xml:space="preserve">Buyer guidance: </w:t>
            </w:r>
            <w:r w:rsidRPr="00A41448">
              <w:rPr>
                <w:rFonts w:ascii="Arial" w:eastAsia="Arial" w:hAnsi="Arial" w:cs="Arial"/>
                <w:sz w:val="22"/>
                <w:szCs w:val="22"/>
              </w:rPr>
              <w:t>This Schedule is to be populated by Buyer’s and sets out the reporting requirements which the Supplier will comply with throughout the duration of the Call-Off Contract</w:t>
            </w:r>
          </w:p>
          <w:p w14:paraId="0000008E" w14:textId="375658C0" w:rsidR="00A41448" w:rsidRPr="00A41448" w:rsidRDefault="00B63740" w:rsidP="00E04B1A">
            <w:pPr>
              <w:pBdr>
                <w:top w:val="nil"/>
                <w:left w:val="nil"/>
                <w:bottom w:val="nil"/>
                <w:right w:val="nil"/>
                <w:between w:val="nil"/>
              </w:pBdr>
              <w:spacing w:after="200" w:line="276" w:lineRule="auto"/>
              <w:rPr>
                <w:rFonts w:ascii="Arial" w:eastAsia="Arial" w:hAnsi="Arial" w:cs="Arial"/>
                <w:sz w:val="22"/>
                <w:szCs w:val="22"/>
              </w:rPr>
            </w:pPr>
            <w:hyperlink r:id="rId15" w:history="1">
              <w:r w:rsidR="00A41448" w:rsidRPr="00A41448">
                <w:rPr>
                  <w:rStyle w:val="Hyperlink"/>
                  <w:rFonts w:ascii="Arial" w:eastAsia="Arial" w:hAnsi="Arial" w:cs="Arial"/>
                  <w:sz w:val="22"/>
                  <w:szCs w:val="22"/>
                </w:rPr>
                <w:t>https://assets.crowncommercial.gov.uk/wp-content/uploads/Call-Off-Schedule-1-Transparency-Reports-v3.0-1.docx</w:t>
              </w:r>
            </w:hyperlink>
            <w:r w:rsidR="00A41448" w:rsidRPr="00A41448">
              <w:rPr>
                <w:rFonts w:ascii="Arial" w:eastAsia="Arial" w:hAnsi="Arial" w:cs="Arial"/>
                <w:sz w:val="22"/>
                <w:szCs w:val="22"/>
              </w:rPr>
              <w:t xml:space="preserve"> </w:t>
            </w:r>
          </w:p>
        </w:tc>
      </w:tr>
      <w:tr w:rsidR="00A41448" w:rsidRPr="00160A4E" w14:paraId="587CCCD3" w14:textId="77777777" w:rsidTr="00A41448">
        <w:tc>
          <w:tcPr>
            <w:tcW w:w="636" w:type="pct"/>
          </w:tcPr>
          <w:p w14:paraId="00000090" w14:textId="222B29FB" w:rsidR="00A41448" w:rsidRPr="00160A4E" w:rsidRDefault="00A41448"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Call-Off Schedule 2</w:t>
            </w:r>
          </w:p>
        </w:tc>
        <w:tc>
          <w:tcPr>
            <w:tcW w:w="1005" w:type="pct"/>
          </w:tcPr>
          <w:p w14:paraId="00000091" w14:textId="3D193EB2" w:rsidR="00A41448" w:rsidRPr="00160A4E" w:rsidRDefault="00A41448"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(Staff Transfer)</w:t>
            </w:r>
          </w:p>
        </w:tc>
        <w:tc>
          <w:tcPr>
            <w:tcW w:w="3359" w:type="pct"/>
          </w:tcPr>
          <w:p w14:paraId="33340B55" w14:textId="77777777" w:rsidR="00A41448" w:rsidRPr="00A41448" w:rsidRDefault="00A41448" w:rsidP="00E04B1A">
            <w:pPr>
              <w:rPr>
                <w:rFonts w:ascii="Arial" w:eastAsia="Arial" w:hAnsi="Arial" w:cs="Arial"/>
                <w:sz w:val="22"/>
                <w:szCs w:val="22"/>
              </w:rPr>
            </w:pPr>
            <w:r w:rsidRPr="00A41448">
              <w:rPr>
                <w:rFonts w:ascii="Arial" w:eastAsia="Arial" w:hAnsi="Arial" w:cs="Arial"/>
                <w:b/>
                <w:sz w:val="22"/>
                <w:szCs w:val="22"/>
              </w:rPr>
              <w:t xml:space="preserve">Buyer guidance: </w:t>
            </w:r>
            <w:r w:rsidRPr="00A41448">
              <w:rPr>
                <w:rFonts w:ascii="Arial" w:eastAsia="Arial" w:hAnsi="Arial" w:cs="Arial"/>
                <w:sz w:val="22"/>
                <w:szCs w:val="22"/>
              </w:rPr>
              <w:t xml:space="preserve">This schedule sets out the provisions of Staff transfer.   </w:t>
            </w:r>
          </w:p>
          <w:p w14:paraId="73DA71E6" w14:textId="77777777" w:rsidR="00A41448" w:rsidRPr="00A41448" w:rsidRDefault="00A41448" w:rsidP="00E04B1A">
            <w:pPr>
              <w:rPr>
                <w:rFonts w:ascii="Arial" w:eastAsia="Arial" w:hAnsi="Arial" w:cs="Arial"/>
                <w:sz w:val="22"/>
                <w:szCs w:val="22"/>
              </w:rPr>
            </w:pPr>
            <w:r w:rsidRPr="00A41448">
              <w:rPr>
                <w:rFonts w:ascii="Arial" w:eastAsia="Arial" w:hAnsi="Arial" w:cs="Arial"/>
                <w:sz w:val="22"/>
                <w:szCs w:val="22"/>
              </w:rPr>
              <w:t>Buyers will need to seek their own legal advice prior to completing Call-Off Schedule 2.</w:t>
            </w:r>
          </w:p>
          <w:p w14:paraId="00000093" w14:textId="3350F4EE" w:rsidR="00A41448" w:rsidRPr="00A41448" w:rsidRDefault="00B63740" w:rsidP="00E04B1A">
            <w:pPr>
              <w:rPr>
                <w:rFonts w:ascii="Arial" w:eastAsia="Arial" w:hAnsi="Arial" w:cs="Arial"/>
                <w:sz w:val="22"/>
                <w:szCs w:val="22"/>
              </w:rPr>
            </w:pPr>
            <w:hyperlink r:id="rId16" w:history="1">
              <w:r w:rsidR="00A41448" w:rsidRPr="00A41448">
                <w:rPr>
                  <w:rStyle w:val="Hyperlink"/>
                  <w:rFonts w:ascii="Arial" w:eastAsia="Arial" w:hAnsi="Arial" w:cs="Arial"/>
                  <w:sz w:val="22"/>
                  <w:szCs w:val="22"/>
                </w:rPr>
                <w:t>https://assets.crowncommercial.gov.uk/wp-content/uploads/Call-Off-Schedule-2-Staff-Transfer-v3.3-1.docx</w:t>
              </w:r>
            </w:hyperlink>
            <w:r w:rsidR="00A41448" w:rsidRPr="00A41448">
              <w:rPr>
                <w:rFonts w:ascii="Arial" w:eastAsia="Arial" w:hAnsi="Arial" w:cs="Arial"/>
                <w:sz w:val="22"/>
                <w:szCs w:val="22"/>
              </w:rPr>
              <w:t xml:space="preserve"> </w:t>
            </w:r>
          </w:p>
        </w:tc>
      </w:tr>
      <w:tr w:rsidR="00A41448" w:rsidRPr="00160A4E" w14:paraId="46CA9E3B" w14:textId="77777777" w:rsidTr="00A41448">
        <w:tc>
          <w:tcPr>
            <w:tcW w:w="636" w:type="pct"/>
          </w:tcPr>
          <w:p w14:paraId="00000095" w14:textId="38AE0657" w:rsidR="00A41448" w:rsidRPr="00160A4E" w:rsidRDefault="00A41448"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Call-Off Schedule 5</w:t>
            </w:r>
          </w:p>
        </w:tc>
        <w:tc>
          <w:tcPr>
            <w:tcW w:w="1005" w:type="pct"/>
          </w:tcPr>
          <w:p w14:paraId="00000096" w14:textId="40B26F4D" w:rsidR="00A41448" w:rsidRPr="00160A4E" w:rsidRDefault="00A41448"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(Pricing Details)</w:t>
            </w:r>
          </w:p>
        </w:tc>
        <w:tc>
          <w:tcPr>
            <w:tcW w:w="3359" w:type="pct"/>
          </w:tcPr>
          <w:p w14:paraId="1864B757" w14:textId="77777777" w:rsidR="00A41448" w:rsidRDefault="00A41448" w:rsidP="00E04B1A">
            <w:pPr>
              <w:pBdr>
                <w:top w:val="nil"/>
                <w:left w:val="nil"/>
                <w:bottom w:val="nil"/>
                <w:right w:val="nil"/>
                <w:between w:val="nil"/>
              </w:pBdr>
              <w:spacing w:line="276" w:lineRule="auto"/>
              <w:rPr>
                <w:rFonts w:ascii="Arial" w:eastAsia="Arial" w:hAnsi="Arial" w:cs="Arial"/>
                <w:sz w:val="22"/>
                <w:szCs w:val="22"/>
              </w:rPr>
            </w:pPr>
            <w:r w:rsidRPr="00A41448">
              <w:rPr>
                <w:rFonts w:ascii="Arial" w:eastAsia="Arial" w:hAnsi="Arial" w:cs="Arial"/>
                <w:b/>
                <w:sz w:val="22"/>
                <w:szCs w:val="22"/>
              </w:rPr>
              <w:t xml:space="preserve">Buyer guidance: </w:t>
            </w:r>
            <w:r w:rsidRPr="00A41448">
              <w:rPr>
                <w:rFonts w:ascii="Arial" w:eastAsia="Arial" w:hAnsi="Arial" w:cs="Arial"/>
                <w:sz w:val="22"/>
                <w:szCs w:val="22"/>
              </w:rPr>
              <w:t>This schedule is to be populated by Buyers with the applicable Call-Off Contract Charges.</w:t>
            </w:r>
          </w:p>
          <w:p w14:paraId="28DD8A87" w14:textId="77777777" w:rsidR="00A90AE0" w:rsidRDefault="00A90AE0" w:rsidP="00E04B1A">
            <w:pPr>
              <w:pBdr>
                <w:top w:val="nil"/>
                <w:left w:val="nil"/>
                <w:bottom w:val="nil"/>
                <w:right w:val="nil"/>
                <w:between w:val="nil"/>
              </w:pBdr>
              <w:spacing w:line="276" w:lineRule="auto"/>
              <w:rPr>
                <w:rFonts w:ascii="Arial" w:eastAsia="Arial" w:hAnsi="Arial" w:cs="Arial"/>
                <w:sz w:val="22"/>
                <w:szCs w:val="22"/>
              </w:rPr>
            </w:pPr>
          </w:p>
          <w:p w14:paraId="00000098" w14:textId="1A5FCD93" w:rsidR="00A41448" w:rsidRPr="00A41448" w:rsidRDefault="00702FCE" w:rsidP="00A90AE0">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See </w:t>
            </w:r>
            <w:r w:rsidR="00A90AE0">
              <w:rPr>
                <w:rFonts w:ascii="Arial" w:eastAsia="Arial" w:hAnsi="Arial" w:cs="Arial"/>
                <w:sz w:val="22"/>
                <w:szCs w:val="22"/>
              </w:rPr>
              <w:t xml:space="preserve">schedule 5 </w:t>
            </w:r>
            <w:r w:rsidR="00996364">
              <w:rPr>
                <w:rFonts w:ascii="Arial" w:eastAsia="Arial" w:hAnsi="Arial" w:cs="Arial"/>
                <w:sz w:val="22"/>
                <w:szCs w:val="22"/>
              </w:rPr>
              <w:t>at</w:t>
            </w:r>
            <w:r w:rsidR="00A90AE0">
              <w:rPr>
                <w:rFonts w:ascii="Arial" w:eastAsia="Arial" w:hAnsi="Arial" w:cs="Arial"/>
                <w:sz w:val="22"/>
                <w:szCs w:val="22"/>
              </w:rPr>
              <w:t xml:space="preserve"> the </w:t>
            </w:r>
            <w:r w:rsidR="00996364">
              <w:rPr>
                <w:rFonts w:ascii="Arial" w:eastAsia="Arial" w:hAnsi="Arial" w:cs="Arial"/>
                <w:sz w:val="22"/>
                <w:szCs w:val="22"/>
              </w:rPr>
              <w:t>end</w:t>
            </w:r>
            <w:r w:rsidR="00A90AE0">
              <w:rPr>
                <w:rFonts w:ascii="Arial" w:eastAsia="Arial" w:hAnsi="Arial" w:cs="Arial"/>
                <w:sz w:val="22"/>
                <w:szCs w:val="22"/>
              </w:rPr>
              <w:t xml:space="preserve"> of this document.</w:t>
            </w:r>
            <w:r w:rsidR="00A41448">
              <w:rPr>
                <w:rFonts w:ascii="Arial" w:eastAsia="Arial" w:hAnsi="Arial" w:cs="Arial"/>
                <w:sz w:val="22"/>
                <w:szCs w:val="22"/>
              </w:rPr>
              <w:t xml:space="preserve"> </w:t>
            </w:r>
          </w:p>
        </w:tc>
      </w:tr>
      <w:tr w:rsidR="00A41448" w:rsidRPr="00160A4E" w14:paraId="662526A2" w14:textId="77777777" w:rsidTr="00A41448">
        <w:tc>
          <w:tcPr>
            <w:tcW w:w="636" w:type="pct"/>
          </w:tcPr>
          <w:p w14:paraId="0000009D" w14:textId="79D323A3" w:rsidR="00A41448" w:rsidRPr="00160A4E" w:rsidRDefault="00A41448" w:rsidP="00E04B1A">
            <w:pPr>
              <w:spacing w:line="259" w:lineRule="auto"/>
              <w:rPr>
                <w:rFonts w:ascii="Arial" w:eastAsia="Arial" w:hAnsi="Arial" w:cs="Arial"/>
                <w:sz w:val="22"/>
                <w:szCs w:val="22"/>
              </w:rPr>
            </w:pPr>
            <w:r w:rsidRPr="00160A4E">
              <w:rPr>
                <w:rFonts w:ascii="Arial" w:eastAsia="Arial" w:hAnsi="Arial" w:cs="Arial"/>
                <w:sz w:val="22"/>
                <w:szCs w:val="22"/>
              </w:rPr>
              <w:t>Call-Off Schedule 6</w:t>
            </w:r>
          </w:p>
        </w:tc>
        <w:tc>
          <w:tcPr>
            <w:tcW w:w="1005" w:type="pct"/>
          </w:tcPr>
          <w:p w14:paraId="0000009E" w14:textId="2A3631FB" w:rsidR="00A41448" w:rsidRPr="00160A4E" w:rsidRDefault="00A41448"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(ICT Services) Section</w:t>
            </w:r>
          </w:p>
        </w:tc>
        <w:tc>
          <w:tcPr>
            <w:tcW w:w="3359" w:type="pct"/>
          </w:tcPr>
          <w:p w14:paraId="7C284298" w14:textId="77777777" w:rsidR="00A41448" w:rsidRPr="00A41448" w:rsidRDefault="00A41448" w:rsidP="00E04B1A">
            <w:pPr>
              <w:rPr>
                <w:rFonts w:ascii="Arial" w:eastAsia="Arial" w:hAnsi="Arial" w:cs="Arial"/>
                <w:i/>
                <w:sz w:val="22"/>
                <w:szCs w:val="22"/>
              </w:rPr>
            </w:pPr>
            <w:r w:rsidRPr="00A41448">
              <w:rPr>
                <w:rFonts w:ascii="Arial" w:eastAsia="Arial" w:hAnsi="Arial" w:cs="Arial"/>
                <w:b/>
                <w:sz w:val="22"/>
                <w:szCs w:val="22"/>
              </w:rPr>
              <w:t xml:space="preserve">Buyer guidance: </w:t>
            </w:r>
            <w:r w:rsidRPr="00A41448">
              <w:rPr>
                <w:rFonts w:ascii="Arial" w:eastAsia="Arial" w:hAnsi="Arial" w:cs="Arial"/>
                <w:sz w:val="22"/>
                <w:szCs w:val="22"/>
              </w:rPr>
              <w:t>This Schedule sets out the requirement to which the</w:t>
            </w:r>
            <w:r w:rsidRPr="00A41448">
              <w:rPr>
                <w:rFonts w:ascii="Arial" w:eastAsia="Arial" w:hAnsi="Arial" w:cs="Arial"/>
                <w:i/>
                <w:sz w:val="22"/>
                <w:szCs w:val="22"/>
              </w:rPr>
              <w:t xml:space="preserve"> </w:t>
            </w:r>
            <w:r w:rsidRPr="00A41448">
              <w:rPr>
                <w:rFonts w:ascii="Arial" w:eastAsia="Arial" w:hAnsi="Arial" w:cs="Arial"/>
                <w:sz w:val="22"/>
                <w:szCs w:val="22"/>
              </w:rPr>
              <w:t>Supplier are to comply with the Buyer’s</w:t>
            </w:r>
            <w:r w:rsidRPr="00A41448">
              <w:rPr>
                <w:rFonts w:ascii="Arial" w:eastAsia="Arial" w:hAnsi="Arial" w:cs="Arial"/>
                <w:i/>
                <w:sz w:val="22"/>
                <w:szCs w:val="22"/>
              </w:rPr>
              <w:t xml:space="preserve"> ICT Policy (ensure it is handed over to the Supplier before the Commencement Date)</w:t>
            </w:r>
          </w:p>
          <w:p w14:paraId="2F8FCE4F" w14:textId="77777777" w:rsidR="00A41448" w:rsidRPr="00A41448" w:rsidRDefault="00A41448" w:rsidP="00E04B1A">
            <w:pPr>
              <w:rPr>
                <w:rFonts w:ascii="Arial" w:eastAsia="Arial" w:hAnsi="Arial" w:cs="Arial"/>
                <w:sz w:val="22"/>
                <w:szCs w:val="22"/>
              </w:rPr>
            </w:pPr>
          </w:p>
          <w:p w14:paraId="3AEA87BD" w14:textId="77777777" w:rsidR="00A41448" w:rsidRPr="00A41448" w:rsidRDefault="00A41448" w:rsidP="00E04B1A">
            <w:pPr>
              <w:rPr>
                <w:rFonts w:ascii="Arial" w:eastAsia="Arial" w:hAnsi="Arial" w:cs="Arial"/>
                <w:b/>
                <w:sz w:val="22"/>
                <w:szCs w:val="22"/>
              </w:rPr>
            </w:pPr>
            <w:r w:rsidRPr="00A41448">
              <w:rPr>
                <w:rFonts w:ascii="Arial" w:eastAsia="Arial" w:hAnsi="Arial" w:cs="Arial"/>
                <w:b/>
                <w:sz w:val="22"/>
                <w:szCs w:val="22"/>
              </w:rPr>
              <w:t>and / or</w:t>
            </w:r>
          </w:p>
          <w:p w14:paraId="52662BBC" w14:textId="77777777" w:rsidR="00A41448" w:rsidRPr="00A41448" w:rsidRDefault="00A41448" w:rsidP="00E04B1A">
            <w:pPr>
              <w:rPr>
                <w:rFonts w:ascii="Arial" w:eastAsia="Arial" w:hAnsi="Arial" w:cs="Arial"/>
                <w:sz w:val="22"/>
                <w:szCs w:val="22"/>
              </w:rPr>
            </w:pPr>
          </w:p>
          <w:p w14:paraId="34A8AF7A" w14:textId="77777777" w:rsidR="00A41448" w:rsidRPr="00A41448" w:rsidRDefault="00A41448" w:rsidP="00E04B1A">
            <w:pPr>
              <w:rPr>
                <w:rFonts w:ascii="Arial" w:eastAsia="Arial" w:hAnsi="Arial" w:cs="Arial"/>
                <w:sz w:val="22"/>
                <w:szCs w:val="22"/>
              </w:rPr>
            </w:pPr>
            <w:r w:rsidRPr="00A41448">
              <w:rPr>
                <w:rFonts w:ascii="Arial" w:eastAsia="Arial" w:hAnsi="Arial" w:cs="Arial"/>
                <w:sz w:val="22"/>
                <w:szCs w:val="22"/>
              </w:rPr>
              <w:t>The Buyer requires the supplier is to</w:t>
            </w:r>
            <w:r w:rsidRPr="00A41448">
              <w:rPr>
                <w:rFonts w:ascii="Arial" w:eastAsia="Arial" w:hAnsi="Arial" w:cs="Arial"/>
                <w:i/>
                <w:sz w:val="22"/>
                <w:szCs w:val="22"/>
              </w:rPr>
              <w:t xml:space="preserve"> </w:t>
            </w:r>
            <w:r w:rsidRPr="00A41448">
              <w:rPr>
                <w:rFonts w:ascii="Arial" w:eastAsia="Arial" w:hAnsi="Arial" w:cs="Arial"/>
                <w:sz w:val="22"/>
                <w:szCs w:val="22"/>
              </w:rPr>
              <w:t xml:space="preserve">create and maintain a rolling schedule of planned maintenance to the ICT Environment. </w:t>
            </w:r>
          </w:p>
          <w:p w14:paraId="5EDED59F" w14:textId="6AC77F31" w:rsidR="00A41448" w:rsidRPr="00A41448" w:rsidRDefault="00B63740" w:rsidP="00E04B1A">
            <w:pPr>
              <w:rPr>
                <w:rFonts w:ascii="Arial" w:eastAsia="Arial" w:hAnsi="Arial" w:cs="Arial"/>
                <w:sz w:val="22"/>
                <w:szCs w:val="22"/>
              </w:rPr>
            </w:pPr>
            <w:hyperlink r:id="rId17" w:history="1">
              <w:r w:rsidR="00A90AE0" w:rsidRPr="00996A35">
                <w:rPr>
                  <w:rStyle w:val="Hyperlink"/>
                  <w:rFonts w:ascii="Arial" w:eastAsia="Arial" w:hAnsi="Arial" w:cs="Arial"/>
                  <w:sz w:val="22"/>
                  <w:szCs w:val="22"/>
                </w:rPr>
                <w:t>https://assets.crowncommercial.gov.uk/wp-content/uploads/Call-Off-Schedule-6-ICT-Services-v3.4-1.docx</w:t>
              </w:r>
            </w:hyperlink>
            <w:r w:rsidR="00A41448" w:rsidRPr="00A41448">
              <w:rPr>
                <w:rFonts w:ascii="Arial" w:eastAsia="Arial" w:hAnsi="Arial" w:cs="Arial"/>
                <w:sz w:val="22"/>
                <w:szCs w:val="22"/>
              </w:rPr>
              <w:t xml:space="preserve"> </w:t>
            </w:r>
          </w:p>
          <w:p w14:paraId="000000A4" w14:textId="77777777" w:rsidR="00A41448" w:rsidRPr="00A41448" w:rsidRDefault="00A41448" w:rsidP="00E04B1A">
            <w:pPr>
              <w:rPr>
                <w:rFonts w:ascii="Arial" w:eastAsia="Arial" w:hAnsi="Arial" w:cs="Arial"/>
                <w:sz w:val="22"/>
                <w:szCs w:val="22"/>
              </w:rPr>
            </w:pPr>
          </w:p>
        </w:tc>
      </w:tr>
      <w:tr w:rsidR="005C2449" w:rsidRPr="00160A4E" w14:paraId="262A95D0" w14:textId="77777777" w:rsidTr="00A41448">
        <w:tc>
          <w:tcPr>
            <w:tcW w:w="636" w:type="pct"/>
          </w:tcPr>
          <w:p w14:paraId="2458CEC9" w14:textId="4E405A6A" w:rsidR="005C2449" w:rsidRPr="00160A4E" w:rsidRDefault="005C2449" w:rsidP="00E04B1A">
            <w:pPr>
              <w:spacing w:line="259" w:lineRule="auto"/>
              <w:rPr>
                <w:rFonts w:ascii="Arial" w:eastAsia="Arial" w:hAnsi="Arial" w:cs="Arial"/>
                <w:sz w:val="22"/>
                <w:szCs w:val="22"/>
              </w:rPr>
            </w:pPr>
            <w:r w:rsidRPr="00160A4E">
              <w:rPr>
                <w:rFonts w:ascii="Arial" w:eastAsia="Arial" w:hAnsi="Arial" w:cs="Arial"/>
                <w:sz w:val="22"/>
                <w:szCs w:val="22"/>
              </w:rPr>
              <w:t xml:space="preserve">Call-Off Schedule </w:t>
            </w:r>
            <w:r>
              <w:rPr>
                <w:rFonts w:ascii="Arial" w:eastAsia="Arial" w:hAnsi="Arial" w:cs="Arial"/>
                <w:sz w:val="22"/>
                <w:szCs w:val="22"/>
              </w:rPr>
              <w:t>8</w:t>
            </w:r>
          </w:p>
        </w:tc>
        <w:tc>
          <w:tcPr>
            <w:tcW w:w="1005" w:type="pct"/>
          </w:tcPr>
          <w:p w14:paraId="7E01B35B" w14:textId="0B6C940C" w:rsidR="005C2449" w:rsidRPr="00160A4E" w:rsidRDefault="005C2449" w:rsidP="00E04B1A">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(Business Continuity and Disaster Recovery)</w:t>
            </w:r>
          </w:p>
        </w:tc>
        <w:tc>
          <w:tcPr>
            <w:tcW w:w="3359" w:type="pct"/>
          </w:tcPr>
          <w:p w14:paraId="71ADE4A3" w14:textId="4350A359" w:rsidR="002F7336" w:rsidRDefault="002F7336" w:rsidP="00E04B1A">
            <w:pPr>
              <w:keepNext/>
              <w:keepLines/>
              <w:rPr>
                <w:rFonts w:ascii="Arial" w:eastAsia="Arial" w:hAnsi="Arial" w:cs="Arial"/>
                <w:b/>
                <w:sz w:val="22"/>
                <w:szCs w:val="22"/>
              </w:rPr>
            </w:pPr>
            <w:r w:rsidRPr="002F7336">
              <w:rPr>
                <w:rFonts w:ascii="Arial" w:eastAsia="Arial" w:hAnsi="Arial" w:cs="Arial"/>
                <w:b/>
                <w:sz w:val="22"/>
                <w:szCs w:val="22"/>
              </w:rPr>
              <w:t xml:space="preserve">Buyer guidance: </w:t>
            </w:r>
            <w:r w:rsidRPr="002F7336">
              <w:rPr>
                <w:rFonts w:ascii="Arial" w:eastAsia="Arial" w:hAnsi="Arial" w:cs="Arial"/>
                <w:sz w:val="22"/>
                <w:szCs w:val="22"/>
              </w:rPr>
              <w:t>This schedule is to be considered if Buyer’s require Suppliers to prepare and deliver a Business Continuity and Disaster Recovery Plan in connection with providing the deliverables under this Call-Off Contract</w:t>
            </w:r>
          </w:p>
          <w:p w14:paraId="41FF3761" w14:textId="77777777" w:rsidR="002F7336" w:rsidRDefault="002F7336" w:rsidP="00E04B1A">
            <w:pPr>
              <w:keepNext/>
              <w:keepLines/>
              <w:rPr>
                <w:rFonts w:ascii="Arial" w:eastAsia="Arial" w:hAnsi="Arial" w:cs="Arial"/>
                <w:b/>
                <w:sz w:val="22"/>
                <w:szCs w:val="22"/>
              </w:rPr>
            </w:pPr>
          </w:p>
          <w:p w14:paraId="224AAF0F" w14:textId="4CD3EFFD" w:rsidR="005C2449" w:rsidRPr="00A41448" w:rsidRDefault="00B63740" w:rsidP="00E04B1A">
            <w:pPr>
              <w:keepNext/>
              <w:keepLines/>
              <w:rPr>
                <w:rFonts w:ascii="Arial" w:eastAsia="Arial" w:hAnsi="Arial" w:cs="Arial"/>
                <w:b/>
                <w:sz w:val="22"/>
                <w:szCs w:val="22"/>
              </w:rPr>
            </w:pPr>
            <w:hyperlink r:id="rId18" w:history="1">
              <w:r w:rsidR="002F7336" w:rsidRPr="00996A35">
                <w:rPr>
                  <w:rStyle w:val="Hyperlink"/>
                  <w:rFonts w:ascii="Arial" w:eastAsia="Arial" w:hAnsi="Arial" w:cs="Arial"/>
                  <w:b/>
                  <w:sz w:val="22"/>
                  <w:szCs w:val="22"/>
                </w:rPr>
                <w:t>https://assets.crowncommercial.gov.uk/wp-content/uploads/Call-Off-Schedule-8-Business-Continuity-and-Disaster-Recovery-v.3.2.docx</w:t>
              </w:r>
            </w:hyperlink>
            <w:r w:rsidR="005A3179">
              <w:rPr>
                <w:rFonts w:ascii="Arial" w:eastAsia="Arial" w:hAnsi="Arial" w:cs="Arial"/>
                <w:b/>
                <w:sz w:val="22"/>
                <w:szCs w:val="22"/>
              </w:rPr>
              <w:t xml:space="preserve"> </w:t>
            </w:r>
          </w:p>
        </w:tc>
      </w:tr>
      <w:tr w:rsidR="00A41448" w:rsidRPr="00160A4E" w14:paraId="74BF4C6B" w14:textId="77777777" w:rsidTr="00A41448">
        <w:tc>
          <w:tcPr>
            <w:tcW w:w="636" w:type="pct"/>
          </w:tcPr>
          <w:p w14:paraId="000000B8" w14:textId="2C8C725A" w:rsidR="00A41448" w:rsidRPr="00160A4E" w:rsidRDefault="00A41448" w:rsidP="00E04B1A">
            <w:pPr>
              <w:spacing w:line="259" w:lineRule="auto"/>
              <w:rPr>
                <w:rFonts w:ascii="Arial" w:eastAsia="Arial" w:hAnsi="Arial" w:cs="Arial"/>
                <w:sz w:val="22"/>
                <w:szCs w:val="22"/>
              </w:rPr>
            </w:pPr>
            <w:r w:rsidRPr="00160A4E">
              <w:rPr>
                <w:rFonts w:ascii="Arial" w:eastAsia="Arial" w:hAnsi="Arial" w:cs="Arial"/>
                <w:sz w:val="22"/>
                <w:szCs w:val="22"/>
              </w:rPr>
              <w:lastRenderedPageBreak/>
              <w:t>Call-Off Schedule 9</w:t>
            </w:r>
          </w:p>
        </w:tc>
        <w:tc>
          <w:tcPr>
            <w:tcW w:w="1005" w:type="pct"/>
          </w:tcPr>
          <w:p w14:paraId="000000B9" w14:textId="156493C1" w:rsidR="00A41448" w:rsidRPr="00160A4E" w:rsidRDefault="00A41448"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 xml:space="preserve">(Security) </w:t>
            </w:r>
          </w:p>
        </w:tc>
        <w:tc>
          <w:tcPr>
            <w:tcW w:w="3359" w:type="pct"/>
          </w:tcPr>
          <w:p w14:paraId="61DBCF32" w14:textId="77777777" w:rsidR="00A41448" w:rsidRPr="00A41448" w:rsidRDefault="00A41448" w:rsidP="00E04B1A">
            <w:pPr>
              <w:keepNext/>
              <w:keepLines/>
              <w:rPr>
                <w:rFonts w:ascii="Arial" w:eastAsia="Arial" w:hAnsi="Arial" w:cs="Arial"/>
                <w:sz w:val="22"/>
                <w:szCs w:val="22"/>
              </w:rPr>
            </w:pPr>
            <w:r w:rsidRPr="00A41448">
              <w:rPr>
                <w:rFonts w:ascii="Arial" w:eastAsia="Arial" w:hAnsi="Arial" w:cs="Arial"/>
                <w:b/>
                <w:sz w:val="22"/>
                <w:szCs w:val="22"/>
              </w:rPr>
              <w:t xml:space="preserve">Buyer guidance: </w:t>
            </w:r>
            <w:r w:rsidRPr="00A41448">
              <w:rPr>
                <w:rFonts w:ascii="Arial" w:eastAsia="Arial" w:hAnsi="Arial" w:cs="Arial"/>
                <w:sz w:val="22"/>
                <w:szCs w:val="22"/>
              </w:rPr>
              <w:t>Buyer’s need to consider and select either the short form (Part A of Schedule 9 (Security) or long form terms (Part B of Schedule 9).</w:t>
            </w:r>
          </w:p>
          <w:p w14:paraId="48A8A1C8" w14:textId="77777777" w:rsidR="00A41448" w:rsidRPr="00A41448" w:rsidRDefault="00A41448" w:rsidP="00E04B1A">
            <w:pPr>
              <w:keepNext/>
              <w:keepLines/>
              <w:rPr>
                <w:rFonts w:ascii="Arial" w:eastAsia="Arial" w:hAnsi="Arial" w:cs="Arial"/>
                <w:sz w:val="22"/>
                <w:szCs w:val="22"/>
              </w:rPr>
            </w:pPr>
          </w:p>
          <w:p w14:paraId="592E6159" w14:textId="77777777" w:rsidR="00A41448" w:rsidRPr="00A41448" w:rsidRDefault="00A41448" w:rsidP="00E04B1A">
            <w:pPr>
              <w:keepNext/>
              <w:keepLines/>
              <w:rPr>
                <w:rFonts w:ascii="Arial" w:eastAsia="Arial" w:hAnsi="Arial" w:cs="Arial"/>
                <w:sz w:val="22"/>
                <w:szCs w:val="22"/>
              </w:rPr>
            </w:pPr>
            <w:r w:rsidRPr="00A41448">
              <w:rPr>
                <w:rFonts w:ascii="Arial" w:eastAsia="Arial" w:hAnsi="Arial" w:cs="Arial"/>
                <w:sz w:val="22"/>
                <w:szCs w:val="22"/>
              </w:rPr>
              <w:t>Buyers can also choose to insert their Security Management Plan into Annex 2 of Call-Off Schedule 9 or provide details of where the Security Management Plan can be found.</w:t>
            </w:r>
          </w:p>
          <w:p w14:paraId="000000BD" w14:textId="3B3C6C24" w:rsidR="00A41448" w:rsidRPr="00A41448" w:rsidRDefault="00B63740" w:rsidP="00E04B1A">
            <w:pPr>
              <w:keepNext/>
              <w:keepLines/>
              <w:rPr>
                <w:rFonts w:ascii="Arial" w:eastAsia="Arial" w:hAnsi="Arial" w:cs="Arial"/>
                <w:sz w:val="22"/>
                <w:szCs w:val="22"/>
              </w:rPr>
            </w:pPr>
            <w:hyperlink r:id="rId19" w:history="1">
              <w:r w:rsidR="00A41448" w:rsidRPr="00A41448">
                <w:rPr>
                  <w:rStyle w:val="Hyperlink"/>
                  <w:rFonts w:ascii="Arial" w:eastAsia="Arial" w:hAnsi="Arial" w:cs="Arial"/>
                  <w:sz w:val="22"/>
                  <w:szCs w:val="22"/>
                </w:rPr>
                <w:t>https://assets.crowncommercial.gov.uk/wp-content/uploads/Call-Off-Schedule-9-Security-v3.4-1.docx</w:t>
              </w:r>
            </w:hyperlink>
            <w:r w:rsidR="00A41448" w:rsidRPr="00A41448">
              <w:rPr>
                <w:rFonts w:ascii="Arial" w:eastAsia="Arial" w:hAnsi="Arial" w:cs="Arial"/>
                <w:sz w:val="22"/>
                <w:szCs w:val="22"/>
              </w:rPr>
              <w:t xml:space="preserve"> </w:t>
            </w:r>
          </w:p>
        </w:tc>
      </w:tr>
      <w:tr w:rsidR="00A41448" w:rsidRPr="00160A4E" w14:paraId="69E39988" w14:textId="77777777" w:rsidTr="00A41448">
        <w:tc>
          <w:tcPr>
            <w:tcW w:w="636" w:type="pct"/>
          </w:tcPr>
          <w:p w14:paraId="3AAE3605" w14:textId="77777777" w:rsidR="00A41448" w:rsidRPr="00160A4E" w:rsidRDefault="00A41448" w:rsidP="00E04B1A">
            <w:pPr>
              <w:spacing w:line="259" w:lineRule="auto"/>
              <w:rPr>
                <w:rFonts w:ascii="Arial" w:eastAsia="Arial" w:hAnsi="Arial" w:cs="Arial"/>
                <w:sz w:val="22"/>
                <w:szCs w:val="22"/>
              </w:rPr>
            </w:pPr>
            <w:r w:rsidRPr="00160A4E">
              <w:rPr>
                <w:rFonts w:ascii="Arial" w:eastAsia="Arial" w:hAnsi="Arial" w:cs="Arial"/>
                <w:sz w:val="22"/>
                <w:szCs w:val="22"/>
              </w:rPr>
              <w:t>Call-Off Schedule 10</w:t>
            </w:r>
          </w:p>
          <w:p w14:paraId="000000C6" w14:textId="77777777" w:rsidR="00A41448" w:rsidRPr="00160A4E" w:rsidRDefault="00A41448" w:rsidP="00E04B1A">
            <w:pPr>
              <w:spacing w:line="259" w:lineRule="auto"/>
              <w:rPr>
                <w:rFonts w:ascii="Arial" w:eastAsia="Arial" w:hAnsi="Arial" w:cs="Arial"/>
                <w:sz w:val="22"/>
                <w:szCs w:val="22"/>
              </w:rPr>
            </w:pPr>
          </w:p>
        </w:tc>
        <w:tc>
          <w:tcPr>
            <w:tcW w:w="1005" w:type="pct"/>
          </w:tcPr>
          <w:p w14:paraId="000000C7" w14:textId="6F6A2E94" w:rsidR="00A41448" w:rsidRPr="00160A4E" w:rsidRDefault="00A41448"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 xml:space="preserve">(Exit Management) </w:t>
            </w:r>
          </w:p>
        </w:tc>
        <w:tc>
          <w:tcPr>
            <w:tcW w:w="3359" w:type="pct"/>
          </w:tcPr>
          <w:p w14:paraId="32384A9F" w14:textId="77777777" w:rsidR="00A41448" w:rsidRPr="00A41448" w:rsidRDefault="00A41448" w:rsidP="00E04B1A">
            <w:pPr>
              <w:pBdr>
                <w:top w:val="nil"/>
                <w:left w:val="nil"/>
                <w:bottom w:val="nil"/>
                <w:right w:val="nil"/>
                <w:between w:val="nil"/>
              </w:pBdr>
              <w:spacing w:after="200" w:line="276" w:lineRule="auto"/>
              <w:rPr>
                <w:rFonts w:ascii="Arial" w:eastAsia="Arial" w:hAnsi="Arial" w:cs="Arial"/>
                <w:sz w:val="22"/>
                <w:szCs w:val="22"/>
              </w:rPr>
            </w:pPr>
            <w:r w:rsidRPr="00A41448">
              <w:rPr>
                <w:rFonts w:ascii="Arial" w:eastAsia="Arial" w:hAnsi="Arial" w:cs="Arial"/>
                <w:b/>
                <w:sz w:val="22"/>
                <w:szCs w:val="22"/>
              </w:rPr>
              <w:t>Buyers Guidance:</w:t>
            </w:r>
            <w:r w:rsidRPr="00A41448">
              <w:rPr>
                <w:rFonts w:ascii="Arial" w:eastAsia="Arial" w:hAnsi="Arial" w:cs="Arial"/>
                <w:sz w:val="22"/>
                <w:szCs w:val="22"/>
              </w:rPr>
              <w:t xml:space="preserve"> (Exit Management). Call Off Schedule 10 is likely to be relevant in the context of procuring Services or Goods and Services rather than Goods only.  Supports Buyers and Suppliers in devising and agreeing an exit strategy and Contract end. </w:t>
            </w:r>
          </w:p>
          <w:p w14:paraId="000000C8" w14:textId="00486801" w:rsidR="00A41448" w:rsidRPr="00A41448" w:rsidRDefault="00B63740" w:rsidP="00E04B1A">
            <w:pPr>
              <w:pBdr>
                <w:top w:val="nil"/>
                <w:left w:val="nil"/>
                <w:bottom w:val="nil"/>
                <w:right w:val="nil"/>
                <w:between w:val="nil"/>
              </w:pBdr>
              <w:spacing w:after="200" w:line="276" w:lineRule="auto"/>
              <w:rPr>
                <w:rFonts w:ascii="Arial" w:eastAsia="Arial" w:hAnsi="Arial" w:cs="Arial"/>
                <w:i/>
                <w:sz w:val="22"/>
                <w:szCs w:val="22"/>
              </w:rPr>
            </w:pPr>
            <w:hyperlink r:id="rId20" w:history="1">
              <w:r w:rsidR="00A41448" w:rsidRPr="00EC34B9">
                <w:rPr>
                  <w:rStyle w:val="Hyperlink"/>
                  <w:rFonts w:ascii="Arial" w:eastAsia="Arial" w:hAnsi="Arial" w:cs="Arial"/>
                  <w:i/>
                  <w:sz w:val="22"/>
                  <w:szCs w:val="22"/>
                </w:rPr>
                <w:t>https://assets.crowncommercial.gov.uk/wp-content/uploads/Call-Off-Schedule-10-Exit-Management-v3.2-1.docx</w:t>
              </w:r>
            </w:hyperlink>
            <w:r w:rsidR="00A41448">
              <w:rPr>
                <w:rFonts w:ascii="Arial" w:eastAsia="Arial" w:hAnsi="Arial" w:cs="Arial"/>
                <w:i/>
                <w:sz w:val="22"/>
                <w:szCs w:val="22"/>
              </w:rPr>
              <w:t xml:space="preserve"> </w:t>
            </w:r>
          </w:p>
        </w:tc>
      </w:tr>
      <w:tr w:rsidR="00A41448" w:rsidRPr="00160A4E" w14:paraId="5B85EF90" w14:textId="77777777" w:rsidTr="00A41448">
        <w:tc>
          <w:tcPr>
            <w:tcW w:w="636" w:type="pct"/>
          </w:tcPr>
          <w:p w14:paraId="000000CE" w14:textId="097B9BDD" w:rsidR="00A41448" w:rsidRPr="00160A4E" w:rsidRDefault="00A41448" w:rsidP="00E04B1A">
            <w:pPr>
              <w:spacing w:line="259" w:lineRule="auto"/>
              <w:rPr>
                <w:rFonts w:ascii="Arial" w:eastAsia="Arial" w:hAnsi="Arial" w:cs="Arial"/>
                <w:sz w:val="22"/>
                <w:szCs w:val="22"/>
              </w:rPr>
            </w:pPr>
            <w:r w:rsidRPr="00160A4E">
              <w:rPr>
                <w:rFonts w:ascii="Arial" w:eastAsia="Arial" w:hAnsi="Arial" w:cs="Arial"/>
                <w:sz w:val="22"/>
                <w:szCs w:val="22"/>
              </w:rPr>
              <w:t>Call-Off Schedule 11</w:t>
            </w:r>
            <w:r w:rsidRPr="00160A4E">
              <w:rPr>
                <w:rFonts w:ascii="Arial" w:eastAsia="Arial" w:hAnsi="Arial" w:cs="Arial"/>
                <w:sz w:val="22"/>
                <w:szCs w:val="22"/>
              </w:rPr>
              <w:tab/>
            </w:r>
            <w:r w:rsidRPr="00160A4E">
              <w:rPr>
                <w:rFonts w:ascii="Arial" w:eastAsia="Arial" w:hAnsi="Arial" w:cs="Arial"/>
                <w:sz w:val="22"/>
                <w:szCs w:val="22"/>
              </w:rPr>
              <w:tab/>
            </w:r>
            <w:r w:rsidRPr="00160A4E">
              <w:rPr>
                <w:rFonts w:ascii="Arial" w:eastAsia="Arial" w:hAnsi="Arial" w:cs="Arial"/>
                <w:sz w:val="22"/>
                <w:szCs w:val="22"/>
              </w:rPr>
              <w:tab/>
            </w:r>
          </w:p>
        </w:tc>
        <w:tc>
          <w:tcPr>
            <w:tcW w:w="1005" w:type="pct"/>
          </w:tcPr>
          <w:p w14:paraId="000000CF" w14:textId="1E036507" w:rsidR="00A41448" w:rsidRPr="00160A4E" w:rsidRDefault="00A41448"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(Installation Works)</w:t>
            </w:r>
          </w:p>
        </w:tc>
        <w:tc>
          <w:tcPr>
            <w:tcW w:w="3359" w:type="pct"/>
          </w:tcPr>
          <w:p w14:paraId="657A6444" w14:textId="77777777" w:rsidR="00A41448" w:rsidRPr="00A41448" w:rsidRDefault="00A41448" w:rsidP="00E04B1A">
            <w:pPr>
              <w:keepNext/>
              <w:keepLines/>
              <w:rPr>
                <w:rFonts w:ascii="Arial" w:eastAsia="Arial" w:hAnsi="Arial" w:cs="Arial"/>
                <w:sz w:val="22"/>
                <w:szCs w:val="22"/>
              </w:rPr>
            </w:pPr>
            <w:r w:rsidRPr="00A41448">
              <w:rPr>
                <w:rFonts w:ascii="Arial" w:eastAsia="Arial" w:hAnsi="Arial" w:cs="Arial"/>
                <w:b/>
                <w:sz w:val="22"/>
                <w:szCs w:val="22"/>
              </w:rPr>
              <w:t xml:space="preserve">Buyer Guidance Note: </w:t>
            </w:r>
            <w:r w:rsidRPr="00A41448">
              <w:rPr>
                <w:rFonts w:ascii="Arial" w:eastAsia="Arial" w:hAnsi="Arial" w:cs="Arial"/>
                <w:sz w:val="22"/>
                <w:szCs w:val="22"/>
              </w:rPr>
              <w:t xml:space="preserve">This schedule defines the Installation Works (for definition of Installation Works see Joint Schedule 1 – Definitions) needed by Buyer’s during the Call-Off Contract </w:t>
            </w:r>
            <w:proofErr w:type="gramStart"/>
            <w:r w:rsidRPr="00A41448">
              <w:rPr>
                <w:rFonts w:ascii="Arial" w:eastAsia="Arial" w:hAnsi="Arial" w:cs="Arial"/>
                <w:sz w:val="22"/>
                <w:szCs w:val="22"/>
              </w:rPr>
              <w:t>term</w:t>
            </w:r>
            <w:proofErr w:type="gramEnd"/>
          </w:p>
          <w:p w14:paraId="000000D0" w14:textId="613361BF" w:rsidR="00A41448" w:rsidRPr="00A41448" w:rsidRDefault="00B63740" w:rsidP="00E04B1A">
            <w:pPr>
              <w:keepNext/>
              <w:keepLines/>
              <w:rPr>
                <w:rFonts w:ascii="Arial" w:eastAsia="Arial" w:hAnsi="Arial" w:cs="Arial"/>
                <w:sz w:val="22"/>
                <w:szCs w:val="22"/>
              </w:rPr>
            </w:pPr>
            <w:hyperlink r:id="rId21" w:history="1">
              <w:r w:rsidR="00A41448" w:rsidRPr="00EC34B9">
                <w:rPr>
                  <w:rStyle w:val="Hyperlink"/>
                  <w:rFonts w:ascii="Arial" w:eastAsia="Arial" w:hAnsi="Arial" w:cs="Arial"/>
                  <w:sz w:val="22"/>
                  <w:szCs w:val="22"/>
                </w:rPr>
                <w:t>https://assets.crowncommercial.gov.uk/wp-content/uploads/Call-Off-Schedule-11-Installation-Works-v3.0-1.docx</w:t>
              </w:r>
            </w:hyperlink>
            <w:r w:rsidR="00A41448">
              <w:rPr>
                <w:rFonts w:ascii="Arial" w:eastAsia="Arial" w:hAnsi="Arial" w:cs="Arial"/>
                <w:sz w:val="22"/>
                <w:szCs w:val="22"/>
              </w:rPr>
              <w:t xml:space="preserve"> </w:t>
            </w:r>
          </w:p>
        </w:tc>
      </w:tr>
      <w:tr w:rsidR="00A41448" w:rsidRPr="00160A4E" w14:paraId="337E1B8A" w14:textId="77777777" w:rsidTr="00A41448">
        <w:tc>
          <w:tcPr>
            <w:tcW w:w="636" w:type="pct"/>
          </w:tcPr>
          <w:p w14:paraId="000000FA" w14:textId="474A0B91" w:rsidR="00A41448" w:rsidRPr="00160A4E" w:rsidRDefault="00A41448" w:rsidP="00D06BEF">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Call-Off Schedule 20</w:t>
            </w:r>
          </w:p>
        </w:tc>
        <w:tc>
          <w:tcPr>
            <w:tcW w:w="1005" w:type="pct"/>
          </w:tcPr>
          <w:p w14:paraId="000000FB" w14:textId="7276AEC6" w:rsidR="00A41448" w:rsidRPr="00160A4E" w:rsidRDefault="00A41448" w:rsidP="00D06BEF">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(Call-Off Specification)</w:t>
            </w:r>
          </w:p>
        </w:tc>
        <w:tc>
          <w:tcPr>
            <w:tcW w:w="3359" w:type="pct"/>
          </w:tcPr>
          <w:p w14:paraId="22498459" w14:textId="77777777" w:rsidR="00A41448" w:rsidRDefault="00A41448" w:rsidP="00D06BEF">
            <w:pPr>
              <w:pBdr>
                <w:top w:val="nil"/>
                <w:left w:val="nil"/>
                <w:bottom w:val="nil"/>
                <w:right w:val="nil"/>
                <w:between w:val="nil"/>
              </w:pBdr>
              <w:spacing w:after="200" w:line="276" w:lineRule="auto"/>
              <w:rPr>
                <w:rFonts w:ascii="Arial" w:eastAsia="Arial" w:hAnsi="Arial" w:cs="Arial"/>
                <w:sz w:val="22"/>
                <w:szCs w:val="22"/>
              </w:rPr>
            </w:pPr>
            <w:r w:rsidRPr="00A41448">
              <w:rPr>
                <w:rFonts w:ascii="Arial" w:eastAsia="Arial" w:hAnsi="Arial" w:cs="Arial"/>
                <w:b/>
                <w:sz w:val="22"/>
                <w:szCs w:val="22"/>
              </w:rPr>
              <w:t xml:space="preserve">Buyer Guidance Note: </w:t>
            </w:r>
            <w:r w:rsidRPr="00A41448">
              <w:rPr>
                <w:rFonts w:ascii="Arial" w:eastAsia="Arial" w:hAnsi="Arial" w:cs="Arial"/>
                <w:sz w:val="22"/>
                <w:szCs w:val="22"/>
              </w:rPr>
              <w:t>This schedule is to be populated by Buyers with the Deliverables applicable to this Call-Off Contract Charges.</w:t>
            </w:r>
          </w:p>
          <w:p w14:paraId="000000FC" w14:textId="6F502F5E" w:rsidR="00A41448" w:rsidRPr="00A16D15" w:rsidRDefault="00F45A76" w:rsidP="00D06BEF">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D</w:t>
            </w:r>
            <w:r w:rsidR="008321C8">
              <w:rPr>
                <w:rFonts w:ascii="Arial" w:eastAsia="Arial" w:hAnsi="Arial" w:cs="Arial"/>
                <w:sz w:val="22"/>
                <w:szCs w:val="22"/>
              </w:rPr>
              <w:t>ESNZ contracts with Canon for</w:t>
            </w:r>
            <w:r w:rsidR="00CD1FD2">
              <w:rPr>
                <w:rFonts w:ascii="Arial" w:eastAsia="Arial" w:hAnsi="Arial" w:cs="Arial"/>
                <w:sz w:val="22"/>
                <w:szCs w:val="22"/>
              </w:rPr>
              <w:t>:</w:t>
            </w:r>
            <w:r w:rsidR="008321C8">
              <w:rPr>
                <w:rFonts w:ascii="Arial" w:eastAsia="Arial" w:hAnsi="Arial" w:cs="Arial"/>
                <w:sz w:val="22"/>
                <w:szCs w:val="22"/>
              </w:rPr>
              <w:t xml:space="preserve"> leased Multifunctional Devices </w:t>
            </w:r>
            <w:r w:rsidR="00DD7392">
              <w:rPr>
                <w:rFonts w:ascii="Arial" w:eastAsia="Arial" w:hAnsi="Arial" w:cs="Arial"/>
                <w:sz w:val="22"/>
                <w:szCs w:val="22"/>
              </w:rPr>
              <w:t xml:space="preserve">used for print, copy and scan capabilities, </w:t>
            </w:r>
            <w:r w:rsidR="004C3D74">
              <w:rPr>
                <w:rFonts w:ascii="Arial" w:eastAsia="Arial" w:hAnsi="Arial" w:cs="Arial"/>
                <w:sz w:val="22"/>
                <w:szCs w:val="22"/>
              </w:rPr>
              <w:t>print and digital workflow software services and managed print service provision.</w:t>
            </w:r>
            <w:r w:rsidR="00901A52">
              <w:rPr>
                <w:rFonts w:ascii="Arial" w:eastAsia="Arial" w:hAnsi="Arial" w:cs="Arial"/>
                <w:sz w:val="22"/>
                <w:szCs w:val="22"/>
              </w:rPr>
              <w:t xml:space="preserve"> This contract covers the rental </w:t>
            </w:r>
            <w:proofErr w:type="gramStart"/>
            <w:r w:rsidR="00901A52">
              <w:rPr>
                <w:rFonts w:ascii="Arial" w:eastAsia="Arial" w:hAnsi="Arial" w:cs="Arial"/>
                <w:sz w:val="22"/>
                <w:szCs w:val="22"/>
              </w:rPr>
              <w:t>MFD</w:t>
            </w:r>
            <w:proofErr w:type="gramEnd"/>
            <w:r w:rsidR="00814B58">
              <w:rPr>
                <w:rFonts w:ascii="Arial" w:eastAsia="Arial" w:hAnsi="Arial" w:cs="Arial"/>
                <w:sz w:val="22"/>
                <w:szCs w:val="22"/>
              </w:rPr>
              <w:t xml:space="preserve"> and associated services listed in the pricing schedule</w:t>
            </w:r>
            <w:r w:rsidR="00E951BB">
              <w:rPr>
                <w:rFonts w:ascii="Arial" w:eastAsia="Arial" w:hAnsi="Arial" w:cs="Arial"/>
                <w:sz w:val="22"/>
                <w:szCs w:val="22"/>
              </w:rPr>
              <w:t xml:space="preserve"> (annex 1)</w:t>
            </w:r>
            <w:r w:rsidR="00814B58">
              <w:rPr>
                <w:rFonts w:ascii="Arial" w:eastAsia="Arial" w:hAnsi="Arial" w:cs="Arial"/>
                <w:sz w:val="22"/>
                <w:szCs w:val="22"/>
              </w:rPr>
              <w:t>.</w:t>
            </w:r>
            <w:r w:rsidR="00526DCD">
              <w:rPr>
                <w:rFonts w:ascii="Arial" w:eastAsia="Arial" w:hAnsi="Arial" w:cs="Arial"/>
                <w:sz w:val="22"/>
                <w:szCs w:val="22"/>
              </w:rPr>
              <w:t xml:space="preserve"> The location</w:t>
            </w:r>
            <w:r w:rsidR="00AB6EA4">
              <w:rPr>
                <w:rFonts w:ascii="Arial" w:eastAsia="Arial" w:hAnsi="Arial" w:cs="Arial"/>
                <w:sz w:val="22"/>
                <w:szCs w:val="22"/>
              </w:rPr>
              <w:t xml:space="preserve"> and model</w:t>
            </w:r>
            <w:r w:rsidR="00526DCD">
              <w:rPr>
                <w:rFonts w:ascii="Arial" w:eastAsia="Arial" w:hAnsi="Arial" w:cs="Arial"/>
                <w:sz w:val="22"/>
                <w:szCs w:val="22"/>
              </w:rPr>
              <w:t xml:space="preserve"> of the </w:t>
            </w:r>
            <w:r w:rsidR="00AB6EA4">
              <w:rPr>
                <w:rFonts w:ascii="Arial" w:eastAsia="Arial" w:hAnsi="Arial" w:cs="Arial"/>
                <w:sz w:val="22"/>
                <w:szCs w:val="22"/>
              </w:rPr>
              <w:t xml:space="preserve">MFD </w:t>
            </w:r>
            <w:r w:rsidR="00526DCD">
              <w:rPr>
                <w:rFonts w:ascii="Arial" w:eastAsia="Arial" w:hAnsi="Arial" w:cs="Arial"/>
                <w:sz w:val="22"/>
                <w:szCs w:val="22"/>
              </w:rPr>
              <w:t>devices are stipulated in</w:t>
            </w:r>
            <w:r w:rsidR="00A3507D">
              <w:rPr>
                <w:rFonts w:ascii="Arial" w:eastAsia="Arial" w:hAnsi="Arial" w:cs="Arial"/>
                <w:sz w:val="22"/>
                <w:szCs w:val="22"/>
              </w:rPr>
              <w:t xml:space="preserve"> ‘BEIS 2024 extension pricing appendix</w:t>
            </w:r>
            <w:r w:rsidR="00EE08F0">
              <w:rPr>
                <w:rFonts w:ascii="Arial" w:eastAsia="Arial" w:hAnsi="Arial" w:cs="Arial"/>
                <w:sz w:val="22"/>
                <w:szCs w:val="22"/>
              </w:rPr>
              <w:t>.</w:t>
            </w:r>
            <w:r w:rsidR="00A3507D">
              <w:rPr>
                <w:rFonts w:ascii="Arial" w:eastAsia="Arial" w:hAnsi="Arial" w:cs="Arial"/>
                <w:sz w:val="22"/>
                <w:szCs w:val="22"/>
              </w:rPr>
              <w:t>’</w:t>
            </w:r>
            <w:r w:rsidR="00526DCD">
              <w:rPr>
                <w:rFonts w:ascii="Arial" w:eastAsia="Arial" w:hAnsi="Arial" w:cs="Arial"/>
                <w:sz w:val="22"/>
                <w:szCs w:val="22"/>
              </w:rPr>
              <w:t xml:space="preserve"> </w:t>
            </w:r>
            <w:r w:rsidR="004C3D74">
              <w:rPr>
                <w:rFonts w:ascii="Arial" w:eastAsia="Arial" w:hAnsi="Arial" w:cs="Arial"/>
                <w:sz w:val="22"/>
                <w:szCs w:val="22"/>
              </w:rPr>
              <w:t xml:space="preserve">This contract aims to create continuity of service </w:t>
            </w:r>
            <w:r w:rsidR="00F20AF3">
              <w:rPr>
                <w:rFonts w:ascii="Arial" w:eastAsia="Arial" w:hAnsi="Arial" w:cs="Arial"/>
                <w:sz w:val="22"/>
                <w:szCs w:val="22"/>
              </w:rPr>
              <w:t xml:space="preserve">until January </w:t>
            </w:r>
            <w:r w:rsidR="009F6DF6">
              <w:rPr>
                <w:rFonts w:ascii="Arial" w:eastAsia="Arial" w:hAnsi="Arial" w:cs="Arial"/>
                <w:sz w:val="22"/>
                <w:szCs w:val="22"/>
              </w:rPr>
              <w:t>31</w:t>
            </w:r>
            <w:r w:rsidR="009F6DF6" w:rsidRPr="009F6DF6">
              <w:rPr>
                <w:rFonts w:ascii="Arial" w:eastAsia="Arial" w:hAnsi="Arial" w:cs="Arial"/>
                <w:sz w:val="22"/>
                <w:szCs w:val="22"/>
                <w:vertAlign w:val="superscript"/>
              </w:rPr>
              <w:t>st</w:t>
            </w:r>
            <w:proofErr w:type="gramStart"/>
            <w:r w:rsidR="009F6DF6">
              <w:rPr>
                <w:rFonts w:ascii="Arial" w:eastAsia="Arial" w:hAnsi="Arial" w:cs="Arial"/>
                <w:sz w:val="22"/>
                <w:szCs w:val="22"/>
              </w:rPr>
              <w:t xml:space="preserve"> </w:t>
            </w:r>
            <w:r w:rsidR="00F20AF3">
              <w:rPr>
                <w:rFonts w:ascii="Arial" w:eastAsia="Arial" w:hAnsi="Arial" w:cs="Arial"/>
                <w:sz w:val="22"/>
                <w:szCs w:val="22"/>
              </w:rPr>
              <w:t>2025</w:t>
            </w:r>
            <w:proofErr w:type="gramEnd"/>
            <w:r w:rsidR="00F20AF3">
              <w:rPr>
                <w:rFonts w:ascii="Arial" w:eastAsia="Arial" w:hAnsi="Arial" w:cs="Arial"/>
                <w:sz w:val="22"/>
                <w:szCs w:val="22"/>
              </w:rPr>
              <w:t>.</w:t>
            </w:r>
            <w:r w:rsidR="00D01FF9">
              <w:rPr>
                <w:rFonts w:ascii="Arial" w:eastAsia="Arial" w:hAnsi="Arial" w:cs="Arial"/>
                <w:sz w:val="22"/>
                <w:szCs w:val="22"/>
              </w:rPr>
              <w:t xml:space="preserve"> </w:t>
            </w:r>
            <w:r w:rsidR="00654C1B">
              <w:rPr>
                <w:rFonts w:ascii="Arial" w:eastAsia="Arial" w:hAnsi="Arial" w:cs="Arial"/>
                <w:sz w:val="22"/>
                <w:szCs w:val="22"/>
              </w:rPr>
              <w:t xml:space="preserve">Canon will provide the </w:t>
            </w:r>
            <w:r w:rsidR="00A16D15">
              <w:rPr>
                <w:rFonts w:ascii="Arial" w:eastAsia="Arial" w:hAnsi="Arial" w:cs="Arial"/>
                <w:sz w:val="22"/>
                <w:szCs w:val="22"/>
              </w:rPr>
              <w:t>services stipulated in Annex 1 “</w:t>
            </w:r>
            <w:r w:rsidR="00A3507D">
              <w:rPr>
                <w:rFonts w:ascii="Arial" w:eastAsia="Arial" w:hAnsi="Arial" w:cs="Arial"/>
                <w:sz w:val="22"/>
                <w:szCs w:val="22"/>
              </w:rPr>
              <w:t>BEIS 2024 extension pricing appendix’</w:t>
            </w:r>
            <w:r w:rsidR="00A16D15">
              <w:rPr>
                <w:rFonts w:ascii="Arial" w:eastAsia="Arial" w:hAnsi="Arial" w:cs="Arial"/>
                <w:bCs/>
                <w:sz w:val="22"/>
                <w:szCs w:val="22"/>
              </w:rPr>
              <w:t>”</w:t>
            </w:r>
          </w:p>
        </w:tc>
      </w:tr>
      <w:tr w:rsidR="00A41448" w:rsidRPr="00160A4E" w14:paraId="411E59F7" w14:textId="77777777" w:rsidTr="00A41448">
        <w:tc>
          <w:tcPr>
            <w:tcW w:w="636" w:type="pct"/>
          </w:tcPr>
          <w:p w14:paraId="00000107" w14:textId="17EAAC40" w:rsidR="00A41448" w:rsidRPr="00160A4E" w:rsidRDefault="00A41448" w:rsidP="00D06BEF">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Call-Off Schedule 24</w:t>
            </w:r>
          </w:p>
        </w:tc>
        <w:tc>
          <w:tcPr>
            <w:tcW w:w="1005" w:type="pct"/>
          </w:tcPr>
          <w:p w14:paraId="00000108" w14:textId="20C1F97B" w:rsidR="00A41448" w:rsidRPr="00160A4E" w:rsidRDefault="00A41448" w:rsidP="00D06BEF">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(Operating Lease)</w:t>
            </w:r>
          </w:p>
        </w:tc>
        <w:tc>
          <w:tcPr>
            <w:tcW w:w="3359" w:type="pct"/>
          </w:tcPr>
          <w:p w14:paraId="00000109" w14:textId="4C21E871" w:rsidR="00A41448" w:rsidRPr="00A41448" w:rsidRDefault="00A41448" w:rsidP="00D06BEF">
            <w:pPr>
              <w:pBdr>
                <w:top w:val="nil"/>
                <w:left w:val="nil"/>
                <w:bottom w:val="nil"/>
                <w:right w:val="nil"/>
                <w:between w:val="nil"/>
              </w:pBdr>
              <w:spacing w:after="200" w:line="276" w:lineRule="auto"/>
              <w:rPr>
                <w:rFonts w:ascii="Arial" w:eastAsia="Arial" w:hAnsi="Arial" w:cs="Arial"/>
                <w:b/>
                <w:sz w:val="22"/>
                <w:szCs w:val="22"/>
              </w:rPr>
            </w:pPr>
            <w:r w:rsidRPr="00A41448">
              <w:rPr>
                <w:rFonts w:ascii="Arial" w:eastAsia="Arial" w:hAnsi="Arial" w:cs="Arial"/>
                <w:b/>
                <w:sz w:val="22"/>
                <w:szCs w:val="22"/>
              </w:rPr>
              <w:t xml:space="preserve">Buyer Guidance Note:  </w:t>
            </w:r>
            <w:r w:rsidRPr="00A41448">
              <w:rPr>
                <w:rFonts w:ascii="Arial" w:eastAsia="Arial" w:hAnsi="Arial" w:cs="Arial"/>
                <w:sz w:val="22"/>
                <w:szCs w:val="22"/>
              </w:rPr>
              <w:t>This schedule should be incorporated when an Operating Lease is required.</w:t>
            </w:r>
          </w:p>
        </w:tc>
      </w:tr>
    </w:tbl>
    <w:p w14:paraId="0000010F" w14:textId="77777777" w:rsidR="00F33A01" w:rsidRDefault="00CE4E7A">
      <w:pPr>
        <w:ind w:left="720"/>
        <w:rPr>
          <w:rFonts w:ascii="Arial" w:eastAsia="Arial" w:hAnsi="Arial" w:cs="Arial"/>
        </w:rPr>
      </w:pPr>
      <w:r>
        <w:rPr>
          <w:rFonts w:ascii="Arial" w:eastAsia="Arial" w:hAnsi="Arial" w:cs="Arial"/>
        </w:rPr>
        <w:tab/>
      </w:r>
      <w:r>
        <w:rPr>
          <w:rFonts w:ascii="Arial" w:eastAsia="Arial" w:hAnsi="Arial" w:cs="Arial"/>
        </w:rPr>
        <w:tab/>
      </w:r>
    </w:p>
    <w:p w14:paraId="00000115" w14:textId="77777777" w:rsidR="00F33A01" w:rsidRDefault="00F33A01">
      <w:pPr>
        <w:tabs>
          <w:tab w:val="left" w:pos="2257"/>
        </w:tabs>
        <w:spacing w:line="259" w:lineRule="auto"/>
        <w:rPr>
          <w:rFonts w:ascii="Arial" w:eastAsia="Arial" w:hAnsi="Arial" w:cs="Arial"/>
        </w:rPr>
      </w:pPr>
    </w:p>
    <w:p w14:paraId="00000116" w14:textId="7D03AB75" w:rsidR="00F33A01" w:rsidRDefault="00CE4E7A">
      <w:pPr>
        <w:tabs>
          <w:tab w:val="left" w:pos="2257"/>
        </w:tabs>
        <w:spacing w:line="259" w:lineRule="auto"/>
        <w:rPr>
          <w:rFonts w:ascii="Arial" w:eastAsia="Arial" w:hAnsi="Arial" w:cs="Arial"/>
          <w:b/>
          <w:bCs/>
          <w:u w:val="single"/>
        </w:rPr>
      </w:pPr>
      <w:r w:rsidRPr="00823146">
        <w:rPr>
          <w:rFonts w:ascii="Arial" w:eastAsia="Arial" w:hAnsi="Arial" w:cs="Arial"/>
          <w:b/>
          <w:bCs/>
          <w:u w:val="single"/>
        </w:rPr>
        <w:t>CALL-OFF SPECIAL TERMS</w:t>
      </w:r>
    </w:p>
    <w:p w14:paraId="10D59F51" w14:textId="77777777" w:rsidR="00823146" w:rsidRPr="00823146" w:rsidRDefault="00823146">
      <w:pPr>
        <w:tabs>
          <w:tab w:val="left" w:pos="2257"/>
        </w:tabs>
        <w:spacing w:line="259" w:lineRule="auto"/>
        <w:rPr>
          <w:rFonts w:ascii="Arial" w:eastAsia="Arial" w:hAnsi="Arial" w:cs="Arial"/>
          <w:b/>
          <w:bCs/>
          <w:u w:val="single"/>
        </w:rPr>
      </w:pPr>
    </w:p>
    <w:p w14:paraId="00000117" w14:textId="77777777" w:rsidR="00F33A01" w:rsidRDefault="00CE4E7A">
      <w:pPr>
        <w:tabs>
          <w:tab w:val="left" w:pos="2257"/>
        </w:tabs>
        <w:spacing w:line="259" w:lineRule="auto"/>
        <w:rPr>
          <w:rFonts w:ascii="Arial" w:eastAsia="Arial" w:hAnsi="Arial" w:cs="Arial"/>
        </w:rPr>
      </w:pPr>
      <w:r>
        <w:rPr>
          <w:rFonts w:ascii="Arial" w:eastAsia="Arial" w:hAnsi="Arial" w:cs="Arial"/>
        </w:rPr>
        <w:t>The following Special Terms are incorporated into this Call-Off Contract:</w:t>
      </w:r>
    </w:p>
    <w:p w14:paraId="00000122" w14:textId="77777777" w:rsidR="00F33A01" w:rsidRPr="00304072" w:rsidRDefault="00F33A01">
      <w:pPr>
        <w:rPr>
          <w:rFonts w:ascii="Arial" w:hAnsi="Arial" w:cs="Arial"/>
          <w:b/>
        </w:rPr>
      </w:pPr>
    </w:p>
    <w:p w14:paraId="612104E0" w14:textId="1F812EAC" w:rsidR="00FC23CF" w:rsidRPr="00304072" w:rsidRDefault="006D1DED" w:rsidP="00FC23CF">
      <w:pPr>
        <w:rPr>
          <w:rFonts w:ascii="Arial" w:hAnsi="Arial" w:cs="Arial"/>
        </w:rPr>
      </w:pPr>
      <w:r w:rsidRPr="00304072">
        <w:rPr>
          <w:rFonts w:ascii="Arial" w:eastAsia="Arial" w:hAnsi="Arial" w:cs="Arial"/>
          <w:bCs/>
        </w:rPr>
        <w:t xml:space="preserve">The Buyer </w:t>
      </w:r>
      <w:r w:rsidR="006838D4" w:rsidRPr="00304072">
        <w:rPr>
          <w:rFonts w:ascii="Arial" w:eastAsia="Arial" w:hAnsi="Arial" w:cs="Arial"/>
          <w:bCs/>
        </w:rPr>
        <w:t>reserve</w:t>
      </w:r>
      <w:r w:rsidRPr="00304072">
        <w:rPr>
          <w:rFonts w:ascii="Arial" w:eastAsia="Arial" w:hAnsi="Arial" w:cs="Arial"/>
          <w:bCs/>
        </w:rPr>
        <w:t>s</w:t>
      </w:r>
      <w:r w:rsidR="006838D4" w:rsidRPr="00304072">
        <w:rPr>
          <w:rFonts w:ascii="Arial" w:eastAsia="Arial" w:hAnsi="Arial" w:cs="Arial"/>
          <w:bCs/>
        </w:rPr>
        <w:t xml:space="preserve"> the right to reduce the number of </w:t>
      </w:r>
      <w:r w:rsidR="009C7F84" w:rsidRPr="00304072">
        <w:rPr>
          <w:rFonts w:ascii="Arial" w:eastAsia="Arial" w:hAnsi="Arial" w:cs="Arial"/>
          <w:bCs/>
        </w:rPr>
        <w:t xml:space="preserve">multi-functional devices </w:t>
      </w:r>
      <w:r w:rsidR="00E00699" w:rsidRPr="00304072">
        <w:rPr>
          <w:rFonts w:ascii="Arial" w:eastAsia="Arial" w:hAnsi="Arial" w:cs="Arial"/>
          <w:bCs/>
        </w:rPr>
        <w:t>deployed</w:t>
      </w:r>
      <w:r w:rsidR="009C7F84" w:rsidRPr="00304072">
        <w:rPr>
          <w:rFonts w:ascii="Arial" w:eastAsia="Arial" w:hAnsi="Arial" w:cs="Arial"/>
          <w:bCs/>
        </w:rPr>
        <w:t xml:space="preserve"> </w:t>
      </w:r>
      <w:r w:rsidR="006838D4" w:rsidRPr="00304072">
        <w:rPr>
          <w:rFonts w:ascii="Arial" w:eastAsia="Arial" w:hAnsi="Arial" w:cs="Arial"/>
          <w:bCs/>
        </w:rPr>
        <w:t>throughout the contract period</w:t>
      </w:r>
      <w:r w:rsidR="001F1A3C" w:rsidRPr="00304072">
        <w:rPr>
          <w:rFonts w:ascii="Arial" w:eastAsia="Arial" w:hAnsi="Arial" w:cs="Arial"/>
          <w:bCs/>
        </w:rPr>
        <w:t xml:space="preserve">. </w:t>
      </w:r>
      <w:r w:rsidR="00FC23CF" w:rsidRPr="00304072">
        <w:rPr>
          <w:rFonts w:ascii="Arial" w:eastAsia="Arial" w:hAnsi="Arial" w:cs="Arial"/>
          <w:bCs/>
        </w:rPr>
        <w:t xml:space="preserve"> </w:t>
      </w:r>
      <w:r w:rsidR="00FC23CF" w:rsidRPr="00304072">
        <w:rPr>
          <w:rFonts w:ascii="Arial" w:hAnsi="Arial" w:cs="Arial"/>
        </w:rPr>
        <w:t>The Parties agree to reconcil</w:t>
      </w:r>
      <w:r w:rsidR="00A15917" w:rsidRPr="00304072">
        <w:rPr>
          <w:rFonts w:ascii="Arial" w:hAnsi="Arial" w:cs="Arial"/>
        </w:rPr>
        <w:t>e</w:t>
      </w:r>
      <w:r w:rsidR="00FC23CF" w:rsidRPr="00304072">
        <w:rPr>
          <w:rFonts w:ascii="Arial" w:hAnsi="Arial" w:cs="Arial"/>
        </w:rPr>
        <w:t xml:space="preserve"> the number of multi-functional devices </w:t>
      </w:r>
      <w:r w:rsidR="009B62BA" w:rsidRPr="00304072">
        <w:rPr>
          <w:rFonts w:ascii="Arial" w:hAnsi="Arial" w:cs="Arial"/>
        </w:rPr>
        <w:t xml:space="preserve">deployed </w:t>
      </w:r>
      <w:r w:rsidR="00FC23CF" w:rsidRPr="00304072">
        <w:rPr>
          <w:rFonts w:ascii="Arial" w:hAnsi="Arial" w:cs="Arial"/>
        </w:rPr>
        <w:t>on a quarterly basis</w:t>
      </w:r>
      <w:r w:rsidR="00DF1A99" w:rsidRPr="00304072">
        <w:rPr>
          <w:rFonts w:ascii="Arial" w:hAnsi="Arial" w:cs="Arial"/>
        </w:rPr>
        <w:t>, following which c</w:t>
      </w:r>
      <w:r w:rsidR="00ED0CC7" w:rsidRPr="00304072">
        <w:rPr>
          <w:rFonts w:ascii="Arial" w:hAnsi="Arial" w:cs="Arial"/>
        </w:rPr>
        <w:t>osts will be reduced to reflect the act</w:t>
      </w:r>
      <w:r w:rsidR="009C7F84" w:rsidRPr="00304072">
        <w:rPr>
          <w:rFonts w:ascii="Arial" w:hAnsi="Arial" w:cs="Arial"/>
        </w:rPr>
        <w:t>ual</w:t>
      </w:r>
      <w:r w:rsidR="00ED0CC7" w:rsidRPr="00304072">
        <w:rPr>
          <w:rFonts w:ascii="Arial" w:hAnsi="Arial" w:cs="Arial"/>
        </w:rPr>
        <w:t xml:space="preserve"> number of devices</w:t>
      </w:r>
      <w:r w:rsidR="00A15917" w:rsidRPr="00304072">
        <w:rPr>
          <w:rFonts w:ascii="Arial" w:hAnsi="Arial" w:cs="Arial"/>
        </w:rPr>
        <w:t>.</w:t>
      </w:r>
    </w:p>
    <w:p w14:paraId="29BD3F6D" w14:textId="4AC50294" w:rsidR="00230D99" w:rsidRPr="006838D4" w:rsidRDefault="00230D99" w:rsidP="006838D4">
      <w:pPr>
        <w:rPr>
          <w:rFonts w:ascii="Arial" w:eastAsia="Arial" w:hAnsi="Arial" w:cs="Arial"/>
          <w:bCs/>
        </w:rPr>
      </w:pPr>
    </w:p>
    <w:p w14:paraId="46A8D16C" w14:textId="77777777" w:rsidR="00230D99" w:rsidRDefault="00230D99">
      <w:pPr>
        <w:rPr>
          <w:rFonts w:ascii="Arial" w:eastAsia="Arial" w:hAnsi="Arial" w:cs="Arial"/>
          <w:b/>
        </w:rPr>
      </w:pPr>
    </w:p>
    <w:p w14:paraId="00000123" w14:textId="5576EFDA" w:rsidR="00F33A01" w:rsidRDefault="00CE4E7A">
      <w:pPr>
        <w:rPr>
          <w:rFonts w:ascii="Arial" w:eastAsia="Arial" w:hAnsi="Arial" w:cs="Arial"/>
          <w:b/>
        </w:rPr>
      </w:pPr>
      <w:r>
        <w:rPr>
          <w:rFonts w:ascii="Arial" w:eastAsia="Arial" w:hAnsi="Arial" w:cs="Arial"/>
          <w:b/>
        </w:rPr>
        <w:t>S</w:t>
      </w:r>
      <w:r w:rsidR="00230D99">
        <w:rPr>
          <w:rFonts w:ascii="Arial" w:eastAsia="Arial" w:hAnsi="Arial" w:cs="Arial"/>
          <w:b/>
        </w:rPr>
        <w:t>ECTION</w:t>
      </w:r>
      <w:r>
        <w:rPr>
          <w:rFonts w:ascii="Arial" w:eastAsia="Arial" w:hAnsi="Arial" w:cs="Arial"/>
          <w:b/>
        </w:rPr>
        <w:t xml:space="preserve"> B</w:t>
      </w:r>
    </w:p>
    <w:p w14:paraId="4EDC734F" w14:textId="77777777" w:rsidR="00230D99" w:rsidRDefault="00230D99">
      <w:pPr>
        <w:rPr>
          <w:rFonts w:ascii="Arial" w:eastAsia="Arial" w:hAnsi="Arial" w:cs="Arial"/>
          <w:b/>
        </w:rPr>
      </w:pPr>
    </w:p>
    <w:p w14:paraId="00000124" w14:textId="77777777" w:rsidR="00F33A01" w:rsidRDefault="00CE4E7A">
      <w:pPr>
        <w:rPr>
          <w:rFonts w:ascii="Arial" w:eastAsia="Arial" w:hAnsi="Arial" w:cs="Arial"/>
          <w:b/>
        </w:rPr>
      </w:pPr>
      <w:r>
        <w:rPr>
          <w:rFonts w:ascii="Arial" w:eastAsia="Arial" w:hAnsi="Arial" w:cs="Arial"/>
          <w:b/>
        </w:rPr>
        <w:t xml:space="preserve">1. Call-Off Contract Period </w:t>
      </w:r>
    </w:p>
    <w:tbl>
      <w:tblPr>
        <w:tblW w:w="9016"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4508"/>
        <w:gridCol w:w="4508"/>
      </w:tblGrid>
      <w:tr w:rsidR="00D06BEF" w14:paraId="2B88DD07" w14:textId="77777777" w:rsidTr="00230D99">
        <w:tc>
          <w:tcPr>
            <w:tcW w:w="4508" w:type="dxa"/>
          </w:tcPr>
          <w:p w14:paraId="637424E2" w14:textId="77777777" w:rsidR="00D06BEF" w:rsidRDefault="00D06BEF" w:rsidP="00D06BEF">
            <w:pPr>
              <w:spacing w:line="259" w:lineRule="auto"/>
              <w:rPr>
                <w:rFonts w:ascii="Arial" w:eastAsia="Arial" w:hAnsi="Arial" w:cs="Arial"/>
              </w:rPr>
            </w:pPr>
            <w:r>
              <w:rPr>
                <w:rFonts w:ascii="Arial" w:eastAsia="Arial" w:hAnsi="Arial" w:cs="Arial"/>
              </w:rPr>
              <w:t>CALL-OFF START DATE:</w:t>
            </w:r>
          </w:p>
          <w:p w14:paraId="00AE790B" w14:textId="79B7D1C8" w:rsidR="00D06BEF" w:rsidRDefault="00D06BEF" w:rsidP="00D06BEF">
            <w:pPr>
              <w:spacing w:line="259" w:lineRule="auto"/>
              <w:rPr>
                <w:rFonts w:ascii="Arial" w:eastAsia="Arial" w:hAnsi="Arial" w:cs="Arial"/>
              </w:rPr>
            </w:pPr>
            <w:r>
              <w:rPr>
                <w:rFonts w:ascii="Arial" w:eastAsia="Arial" w:hAnsi="Arial" w:cs="Arial"/>
              </w:rPr>
              <w:t>(The initial contract period excluding extension options)</w:t>
            </w:r>
          </w:p>
        </w:tc>
        <w:tc>
          <w:tcPr>
            <w:tcW w:w="4508" w:type="dxa"/>
          </w:tcPr>
          <w:p w14:paraId="263DCA5B" w14:textId="36C494DB" w:rsidR="00D06BEF" w:rsidRDefault="006838D4" w:rsidP="006838D4">
            <w:pPr>
              <w:rPr>
                <w:b/>
              </w:rPr>
            </w:pPr>
            <w:r>
              <w:rPr>
                <w:rFonts w:ascii="Arial" w:eastAsia="Arial" w:hAnsi="Arial" w:cs="Arial"/>
                <w:b/>
              </w:rPr>
              <w:t>01 February 2024 for one year</w:t>
            </w:r>
          </w:p>
        </w:tc>
      </w:tr>
      <w:tr w:rsidR="00D06BEF" w14:paraId="031AAF47" w14:textId="77777777" w:rsidTr="00230D99">
        <w:tc>
          <w:tcPr>
            <w:tcW w:w="4508" w:type="dxa"/>
          </w:tcPr>
          <w:p w14:paraId="65014ED4" w14:textId="77777777" w:rsidR="00D06BEF" w:rsidRDefault="00D06BEF" w:rsidP="00D06BEF">
            <w:pPr>
              <w:spacing w:line="259" w:lineRule="auto"/>
              <w:rPr>
                <w:rFonts w:ascii="Arial" w:eastAsia="Arial" w:hAnsi="Arial" w:cs="Arial"/>
              </w:rPr>
            </w:pPr>
            <w:r>
              <w:rPr>
                <w:rFonts w:ascii="Arial" w:eastAsia="Arial" w:hAnsi="Arial" w:cs="Arial"/>
              </w:rPr>
              <w:t>CALL-OFF EXTENSION PERIOD OPTIONS:</w:t>
            </w:r>
          </w:p>
          <w:p w14:paraId="17950632" w14:textId="7E39F72D" w:rsidR="00D06BEF" w:rsidRDefault="00D06BEF" w:rsidP="00D06BEF">
            <w:pPr>
              <w:spacing w:line="259" w:lineRule="auto"/>
              <w:rPr>
                <w:rFonts w:ascii="Arial" w:eastAsia="Arial" w:hAnsi="Arial" w:cs="Arial"/>
              </w:rPr>
            </w:pPr>
            <w:r>
              <w:rPr>
                <w:rFonts w:ascii="Arial" w:eastAsia="Arial" w:hAnsi="Arial" w:cs="Arial"/>
              </w:rPr>
              <w:t>(State the options to extend)</w:t>
            </w:r>
          </w:p>
        </w:tc>
        <w:tc>
          <w:tcPr>
            <w:tcW w:w="4508" w:type="dxa"/>
          </w:tcPr>
          <w:p w14:paraId="76CBCA3E" w14:textId="7ADDF9CE" w:rsidR="00D06BEF" w:rsidRDefault="006838D4" w:rsidP="00D06BEF">
            <w:pPr>
              <w:rPr>
                <w:rFonts w:ascii="Arial" w:eastAsia="Arial" w:hAnsi="Arial" w:cs="Arial"/>
                <w:b/>
                <w:highlight w:val="yellow"/>
              </w:rPr>
            </w:pPr>
            <w:r w:rsidRPr="006838D4">
              <w:rPr>
                <w:rFonts w:ascii="Arial" w:eastAsia="Arial" w:hAnsi="Arial" w:cs="Arial"/>
                <w:b/>
              </w:rPr>
              <w:t>N/A</w:t>
            </w:r>
          </w:p>
        </w:tc>
      </w:tr>
      <w:tr w:rsidR="00D06BEF" w14:paraId="56F92BD2" w14:textId="77777777" w:rsidTr="00230D99">
        <w:tc>
          <w:tcPr>
            <w:tcW w:w="4508" w:type="dxa"/>
          </w:tcPr>
          <w:p w14:paraId="4BC9D0D2" w14:textId="77777777" w:rsidR="00D06BEF" w:rsidRDefault="00D06BEF" w:rsidP="00D06BEF">
            <w:pPr>
              <w:rPr>
                <w:rFonts w:ascii="Arial" w:eastAsia="Arial" w:hAnsi="Arial" w:cs="Arial"/>
              </w:rPr>
            </w:pPr>
            <w:r>
              <w:rPr>
                <w:rFonts w:ascii="Arial" w:eastAsia="Arial" w:hAnsi="Arial" w:cs="Arial"/>
              </w:rPr>
              <w:t>CALL-OFF EXPIRY DATE:</w:t>
            </w:r>
          </w:p>
          <w:p w14:paraId="1D6E6D12" w14:textId="77777777" w:rsidR="00D06BEF" w:rsidRDefault="00D06BEF" w:rsidP="00D06BEF">
            <w:pPr>
              <w:rPr>
                <w:b/>
              </w:rPr>
            </w:pPr>
          </w:p>
        </w:tc>
        <w:tc>
          <w:tcPr>
            <w:tcW w:w="4508" w:type="dxa"/>
          </w:tcPr>
          <w:p w14:paraId="3E58FDCA" w14:textId="3329CD6C" w:rsidR="006838D4" w:rsidRDefault="006838D4" w:rsidP="006838D4">
            <w:pPr>
              <w:rPr>
                <w:b/>
              </w:rPr>
            </w:pPr>
            <w:r>
              <w:rPr>
                <w:rFonts w:ascii="Arial" w:eastAsia="Arial" w:hAnsi="Arial" w:cs="Arial"/>
                <w:b/>
              </w:rPr>
              <w:t>31 January 2025</w:t>
            </w:r>
          </w:p>
          <w:p w14:paraId="30F58B99" w14:textId="30C55756" w:rsidR="00D06BEF" w:rsidRDefault="00D06BEF" w:rsidP="00D06BEF">
            <w:pPr>
              <w:rPr>
                <w:b/>
              </w:rPr>
            </w:pPr>
          </w:p>
        </w:tc>
      </w:tr>
      <w:tr w:rsidR="00D06BEF" w14:paraId="5572AF34" w14:textId="77777777" w:rsidTr="00230D99">
        <w:tc>
          <w:tcPr>
            <w:tcW w:w="4508" w:type="dxa"/>
          </w:tcPr>
          <w:p w14:paraId="49235B58" w14:textId="77777777" w:rsidR="00D06BEF" w:rsidRDefault="00D06BEF" w:rsidP="00D06BEF">
            <w:pPr>
              <w:spacing w:line="259" w:lineRule="auto"/>
              <w:rPr>
                <w:rFonts w:ascii="Arial" w:eastAsia="Arial" w:hAnsi="Arial" w:cs="Arial"/>
              </w:rPr>
            </w:pPr>
            <w:r>
              <w:rPr>
                <w:rFonts w:ascii="Arial" w:eastAsia="Arial" w:hAnsi="Arial" w:cs="Arial"/>
              </w:rPr>
              <w:t>MINIMUM WRITTEN NOTICE TO SUPPLIER</w:t>
            </w:r>
          </w:p>
          <w:p w14:paraId="6379BC7C" w14:textId="6C742684" w:rsidR="00D06BEF" w:rsidRDefault="00D06BEF" w:rsidP="00D06BEF">
            <w:pPr>
              <w:spacing w:line="259" w:lineRule="auto"/>
              <w:rPr>
                <w:rFonts w:ascii="Arial" w:eastAsia="Arial" w:hAnsi="Arial" w:cs="Arial"/>
              </w:rPr>
            </w:pPr>
            <w:r>
              <w:rPr>
                <w:rFonts w:ascii="Arial" w:eastAsia="Arial" w:hAnsi="Arial" w:cs="Arial"/>
              </w:rPr>
              <w:t>IN RESPECT OF EXTENSION:</w:t>
            </w:r>
          </w:p>
        </w:tc>
        <w:tc>
          <w:tcPr>
            <w:tcW w:w="4508" w:type="dxa"/>
          </w:tcPr>
          <w:p w14:paraId="5FA198E0" w14:textId="59B1637F" w:rsidR="00D06BEF" w:rsidRPr="00D53CBC" w:rsidRDefault="006838D4" w:rsidP="00D53CBC">
            <w:pPr>
              <w:rPr>
                <w:rFonts w:ascii="Arial" w:eastAsia="Arial" w:hAnsi="Arial" w:cs="Arial"/>
              </w:rPr>
            </w:pPr>
            <w:r>
              <w:rPr>
                <w:rFonts w:ascii="Arial" w:eastAsia="Arial" w:hAnsi="Arial" w:cs="Arial"/>
                <w:b/>
              </w:rPr>
              <w:t>N/A</w:t>
            </w:r>
          </w:p>
        </w:tc>
      </w:tr>
    </w:tbl>
    <w:p w14:paraId="0000013B" w14:textId="77777777" w:rsidR="00F33A01" w:rsidRDefault="00F33A01">
      <w:pPr>
        <w:rPr>
          <w:b/>
        </w:rPr>
      </w:pPr>
    </w:p>
    <w:p w14:paraId="0000013C" w14:textId="77777777" w:rsidR="00F33A01" w:rsidRDefault="00CE4E7A">
      <w:pPr>
        <w:tabs>
          <w:tab w:val="left" w:pos="2257"/>
        </w:tabs>
        <w:spacing w:line="259" w:lineRule="auto"/>
        <w:rPr>
          <w:rFonts w:ascii="Arial" w:eastAsia="Arial" w:hAnsi="Arial" w:cs="Arial"/>
          <w:b/>
        </w:rPr>
      </w:pPr>
      <w:r>
        <w:rPr>
          <w:rFonts w:ascii="Arial" w:eastAsia="Arial" w:hAnsi="Arial" w:cs="Arial"/>
          <w:b/>
        </w:rPr>
        <w:t xml:space="preserve">2. Contract Performance </w:t>
      </w:r>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67"/>
      </w:tblGrid>
      <w:tr w:rsidR="006838D4" w14:paraId="2410DB71" w14:textId="77777777" w:rsidTr="006838D4">
        <w:tc>
          <w:tcPr>
            <w:tcW w:w="9067" w:type="dxa"/>
          </w:tcPr>
          <w:p w14:paraId="369753DF" w14:textId="38156AE4" w:rsidR="006838D4" w:rsidRPr="00C825E8" w:rsidRDefault="006838D4" w:rsidP="00D06BEF">
            <w:pPr>
              <w:tabs>
                <w:tab w:val="left" w:pos="2257"/>
              </w:tabs>
              <w:spacing w:line="259" w:lineRule="auto"/>
              <w:rPr>
                <w:rFonts w:ascii="Arial" w:eastAsia="Arial" w:hAnsi="Arial" w:cs="Arial"/>
              </w:rPr>
            </w:pPr>
            <w:r w:rsidRPr="00C825E8">
              <w:rPr>
                <w:rFonts w:ascii="Arial" w:eastAsia="Arial" w:hAnsi="Arial" w:cs="Arial"/>
              </w:rPr>
              <w:t>STANDARDS AND QUALITY</w:t>
            </w:r>
          </w:p>
          <w:p w14:paraId="66796D33" w14:textId="77777777" w:rsidR="006838D4" w:rsidRPr="00C825E8" w:rsidRDefault="006838D4" w:rsidP="00D06BEF">
            <w:pPr>
              <w:tabs>
                <w:tab w:val="left" w:pos="2257"/>
              </w:tabs>
              <w:spacing w:line="259" w:lineRule="auto"/>
              <w:rPr>
                <w:rFonts w:ascii="Arial" w:eastAsia="Arial" w:hAnsi="Arial" w:cs="Arial"/>
              </w:rPr>
            </w:pPr>
          </w:p>
          <w:p w14:paraId="7FC72D29" w14:textId="77777777" w:rsidR="00087391" w:rsidRDefault="00FF0511" w:rsidP="006838D4">
            <w:pPr>
              <w:tabs>
                <w:tab w:val="left" w:pos="2257"/>
              </w:tabs>
              <w:spacing w:line="259" w:lineRule="auto"/>
              <w:rPr>
                <w:rFonts w:ascii="Arial" w:eastAsia="Arial" w:hAnsi="Arial" w:cs="Arial"/>
              </w:rPr>
            </w:pPr>
            <w:r>
              <w:rPr>
                <w:rFonts w:ascii="Arial" w:eastAsia="Arial" w:hAnsi="Arial" w:cs="Arial"/>
              </w:rPr>
              <w:t xml:space="preserve">The </w:t>
            </w:r>
            <w:r w:rsidR="00087391">
              <w:rPr>
                <w:rFonts w:ascii="Arial" w:eastAsia="Arial" w:hAnsi="Arial" w:cs="Arial"/>
              </w:rPr>
              <w:t>standards that shall apply to this Call-Off Contract are as follow:</w:t>
            </w:r>
          </w:p>
          <w:p w14:paraId="221159F6" w14:textId="77777777" w:rsidR="00087391" w:rsidRDefault="00087391" w:rsidP="006838D4">
            <w:pPr>
              <w:tabs>
                <w:tab w:val="left" w:pos="2257"/>
              </w:tabs>
              <w:spacing w:line="259" w:lineRule="auto"/>
              <w:rPr>
                <w:rFonts w:ascii="Arial" w:eastAsia="Arial" w:hAnsi="Arial" w:cs="Arial"/>
              </w:rPr>
            </w:pPr>
          </w:p>
          <w:p w14:paraId="61956D9C" w14:textId="77777777" w:rsidR="00087391" w:rsidRPr="00447001" w:rsidRDefault="006838D4" w:rsidP="00447001">
            <w:pPr>
              <w:pStyle w:val="ListParagraph"/>
              <w:numPr>
                <w:ilvl w:val="0"/>
                <w:numId w:val="13"/>
              </w:numPr>
              <w:tabs>
                <w:tab w:val="left" w:pos="2257"/>
              </w:tabs>
              <w:spacing w:line="259" w:lineRule="auto"/>
              <w:rPr>
                <w:rFonts w:ascii="Arial" w:eastAsia="Arial" w:hAnsi="Arial" w:cs="Arial"/>
              </w:rPr>
            </w:pPr>
            <w:r w:rsidRPr="00447001">
              <w:rPr>
                <w:rFonts w:ascii="Arial" w:eastAsia="Arial" w:hAnsi="Arial" w:cs="Arial"/>
              </w:rPr>
              <w:t>Cyber Essentials Basic</w:t>
            </w:r>
          </w:p>
          <w:p w14:paraId="0D6CD543" w14:textId="0350A6E2" w:rsidR="00087391" w:rsidRPr="00447001" w:rsidRDefault="006838D4" w:rsidP="00447001">
            <w:pPr>
              <w:pStyle w:val="ListParagraph"/>
              <w:numPr>
                <w:ilvl w:val="0"/>
                <w:numId w:val="13"/>
              </w:numPr>
              <w:tabs>
                <w:tab w:val="left" w:pos="2257"/>
              </w:tabs>
              <w:spacing w:line="259" w:lineRule="auto"/>
              <w:rPr>
                <w:rFonts w:ascii="Arial" w:eastAsia="Arial" w:hAnsi="Arial" w:cs="Arial"/>
              </w:rPr>
            </w:pPr>
            <w:r w:rsidRPr="00447001">
              <w:rPr>
                <w:rFonts w:ascii="Arial" w:eastAsia="Arial" w:hAnsi="Arial" w:cs="Arial"/>
              </w:rPr>
              <w:t>ISO 27001</w:t>
            </w:r>
          </w:p>
          <w:p w14:paraId="6B82860B" w14:textId="7CE5F0D3" w:rsidR="00087391" w:rsidRPr="00447001" w:rsidRDefault="006838D4" w:rsidP="00447001">
            <w:pPr>
              <w:pStyle w:val="ListParagraph"/>
              <w:numPr>
                <w:ilvl w:val="0"/>
                <w:numId w:val="13"/>
              </w:numPr>
              <w:tabs>
                <w:tab w:val="left" w:pos="2257"/>
              </w:tabs>
              <w:spacing w:line="259" w:lineRule="auto"/>
              <w:rPr>
                <w:rFonts w:ascii="Arial" w:eastAsia="Arial" w:hAnsi="Arial" w:cs="Arial"/>
              </w:rPr>
            </w:pPr>
            <w:r w:rsidRPr="00447001">
              <w:rPr>
                <w:rFonts w:ascii="Arial" w:eastAsia="Arial" w:hAnsi="Arial" w:cs="Arial"/>
              </w:rPr>
              <w:t>ISO 9001</w:t>
            </w:r>
          </w:p>
          <w:p w14:paraId="44BD1120" w14:textId="65166F89" w:rsidR="006838D4" w:rsidRPr="00447001" w:rsidRDefault="006838D4" w:rsidP="00447001">
            <w:pPr>
              <w:pStyle w:val="ListParagraph"/>
              <w:numPr>
                <w:ilvl w:val="0"/>
                <w:numId w:val="13"/>
              </w:numPr>
              <w:tabs>
                <w:tab w:val="left" w:pos="2257"/>
              </w:tabs>
              <w:spacing w:line="259" w:lineRule="auto"/>
              <w:rPr>
                <w:rFonts w:ascii="Arial" w:eastAsia="Arial" w:hAnsi="Arial" w:cs="Arial"/>
              </w:rPr>
            </w:pPr>
            <w:r w:rsidRPr="00447001">
              <w:rPr>
                <w:rFonts w:ascii="Arial" w:eastAsia="Arial" w:hAnsi="Arial" w:cs="Arial"/>
              </w:rPr>
              <w:t xml:space="preserve">BS 7858 (Code of Practice), </w:t>
            </w:r>
          </w:p>
          <w:p w14:paraId="74B1D0FF" w14:textId="77777777" w:rsidR="00087391" w:rsidRPr="00447001" w:rsidRDefault="006838D4" w:rsidP="00447001">
            <w:pPr>
              <w:pStyle w:val="ListParagraph"/>
              <w:numPr>
                <w:ilvl w:val="0"/>
                <w:numId w:val="13"/>
              </w:numPr>
              <w:tabs>
                <w:tab w:val="left" w:pos="2257"/>
              </w:tabs>
              <w:spacing w:line="259" w:lineRule="auto"/>
              <w:rPr>
                <w:rFonts w:ascii="Arial" w:eastAsia="Arial" w:hAnsi="Arial" w:cs="Arial"/>
              </w:rPr>
            </w:pPr>
            <w:r w:rsidRPr="00447001">
              <w:rPr>
                <w:rFonts w:ascii="Arial" w:eastAsia="Arial" w:hAnsi="Arial" w:cs="Arial"/>
              </w:rPr>
              <w:t>ISO29412 (Statement of Applicability)</w:t>
            </w:r>
          </w:p>
          <w:p w14:paraId="5B5F198A" w14:textId="731C7B9E" w:rsidR="006838D4" w:rsidRPr="00447001" w:rsidRDefault="006838D4" w:rsidP="00447001">
            <w:pPr>
              <w:pStyle w:val="ListParagraph"/>
              <w:numPr>
                <w:ilvl w:val="0"/>
                <w:numId w:val="13"/>
              </w:numPr>
              <w:tabs>
                <w:tab w:val="left" w:pos="2257"/>
              </w:tabs>
              <w:spacing w:line="259" w:lineRule="auto"/>
              <w:rPr>
                <w:rFonts w:ascii="Arial" w:eastAsia="Arial" w:hAnsi="Arial" w:cs="Arial"/>
              </w:rPr>
            </w:pPr>
            <w:r w:rsidRPr="00447001">
              <w:rPr>
                <w:rFonts w:ascii="Arial" w:eastAsia="Arial" w:hAnsi="Arial" w:cs="Arial"/>
              </w:rPr>
              <w:t>ISO15408</w:t>
            </w:r>
          </w:p>
          <w:p w14:paraId="6A639F11" w14:textId="77777777" w:rsidR="006838D4" w:rsidRPr="00C825E8" w:rsidRDefault="006838D4" w:rsidP="00D06BEF">
            <w:pPr>
              <w:tabs>
                <w:tab w:val="left" w:pos="2257"/>
              </w:tabs>
              <w:spacing w:line="259" w:lineRule="auto"/>
              <w:rPr>
                <w:rFonts w:ascii="Arial" w:eastAsia="Arial" w:hAnsi="Arial" w:cs="Arial"/>
              </w:rPr>
            </w:pPr>
          </w:p>
          <w:p w14:paraId="73693650" w14:textId="77777777" w:rsidR="006838D4" w:rsidRPr="00C825E8" w:rsidRDefault="006838D4" w:rsidP="00D06BEF">
            <w:pPr>
              <w:tabs>
                <w:tab w:val="left" w:pos="2257"/>
              </w:tabs>
              <w:spacing w:line="259" w:lineRule="auto"/>
              <w:rPr>
                <w:rFonts w:ascii="Arial" w:eastAsia="Arial" w:hAnsi="Arial" w:cs="Arial"/>
                <w:b/>
              </w:rPr>
            </w:pPr>
          </w:p>
          <w:p w14:paraId="00000144" w14:textId="520D631A" w:rsidR="006838D4" w:rsidRPr="00C825E8" w:rsidRDefault="006838D4" w:rsidP="00D06BEF">
            <w:pPr>
              <w:tabs>
                <w:tab w:val="left" w:pos="2257"/>
              </w:tabs>
              <w:spacing w:line="259" w:lineRule="auto"/>
              <w:rPr>
                <w:rFonts w:ascii="Arial" w:eastAsia="Arial" w:hAnsi="Arial" w:cs="Arial"/>
              </w:rPr>
            </w:pPr>
            <w:r w:rsidRPr="006838D4">
              <w:rPr>
                <w:rFonts w:ascii="Arial" w:eastAsia="Arial" w:hAnsi="Arial" w:cs="Arial"/>
              </w:rPr>
              <w:t>Quality Plans must be developed by the Supplier</w:t>
            </w:r>
            <w:r w:rsidR="00705AB0">
              <w:rPr>
                <w:rFonts w:ascii="Arial" w:eastAsia="Arial" w:hAnsi="Arial" w:cs="Arial"/>
              </w:rPr>
              <w:t xml:space="preserve"> within</w:t>
            </w:r>
            <w:r w:rsidRPr="006838D4">
              <w:rPr>
                <w:rFonts w:ascii="Arial" w:eastAsia="Arial" w:hAnsi="Arial" w:cs="Arial"/>
              </w:rPr>
              <w:t xml:space="preserve"> </w:t>
            </w:r>
            <w:r w:rsidR="00705AB0" w:rsidRPr="006838D4">
              <w:rPr>
                <w:rFonts w:ascii="Arial" w:eastAsia="Arial" w:hAnsi="Arial" w:cs="Arial"/>
              </w:rPr>
              <w:t xml:space="preserve">30 working days </w:t>
            </w:r>
            <w:r w:rsidR="00FF0511">
              <w:rPr>
                <w:rFonts w:ascii="Arial" w:eastAsia="Arial" w:hAnsi="Arial" w:cs="Arial"/>
              </w:rPr>
              <w:t>of the Call-Off start date</w:t>
            </w:r>
          </w:p>
        </w:tc>
      </w:tr>
    </w:tbl>
    <w:p w14:paraId="00000149" w14:textId="77777777" w:rsidR="00F33A01" w:rsidRDefault="00F33A01">
      <w:pPr>
        <w:tabs>
          <w:tab w:val="left" w:pos="2257"/>
        </w:tabs>
        <w:spacing w:line="259" w:lineRule="auto"/>
        <w:rPr>
          <w:rFonts w:ascii="Arial" w:eastAsia="Arial" w:hAnsi="Arial" w:cs="Arial"/>
        </w:rPr>
      </w:pPr>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67"/>
      </w:tblGrid>
      <w:tr w:rsidR="006838D4" w14:paraId="35BF36EC" w14:textId="77777777" w:rsidTr="006838D4">
        <w:tc>
          <w:tcPr>
            <w:tcW w:w="9067" w:type="dxa"/>
          </w:tcPr>
          <w:p w14:paraId="0000014A" w14:textId="77777777" w:rsidR="006838D4" w:rsidRDefault="006838D4">
            <w:pPr>
              <w:tabs>
                <w:tab w:val="left" w:pos="2257"/>
              </w:tabs>
              <w:spacing w:line="259" w:lineRule="auto"/>
              <w:rPr>
                <w:rFonts w:ascii="Arial" w:eastAsia="Arial" w:hAnsi="Arial" w:cs="Arial"/>
              </w:rPr>
            </w:pPr>
            <w:r>
              <w:rPr>
                <w:rFonts w:ascii="Arial" w:eastAsia="Arial" w:hAnsi="Arial" w:cs="Arial"/>
              </w:rPr>
              <w:t>SERVICE CREDITS</w:t>
            </w:r>
          </w:p>
          <w:p w14:paraId="5D6292FF" w14:textId="77777777" w:rsidR="006838D4" w:rsidRDefault="006838D4">
            <w:pPr>
              <w:tabs>
                <w:tab w:val="left" w:pos="2257"/>
              </w:tabs>
              <w:spacing w:line="259" w:lineRule="auto"/>
              <w:rPr>
                <w:rFonts w:ascii="Arial" w:eastAsia="Arial" w:hAnsi="Arial" w:cs="Arial"/>
              </w:rPr>
            </w:pPr>
          </w:p>
          <w:p w14:paraId="00000156" w14:textId="2AF96319" w:rsidR="006838D4" w:rsidRPr="006838D4" w:rsidRDefault="006838D4" w:rsidP="00CE4E7A">
            <w:pPr>
              <w:pBdr>
                <w:top w:val="nil"/>
                <w:left w:val="nil"/>
                <w:bottom w:val="nil"/>
                <w:right w:val="nil"/>
                <w:between w:val="nil"/>
              </w:pBdr>
              <w:rPr>
                <w:rFonts w:ascii="Arial" w:eastAsia="Arial" w:hAnsi="Arial" w:cs="Arial"/>
                <w:bCs/>
                <w:color w:val="000000"/>
              </w:rPr>
            </w:pPr>
            <w:r>
              <w:rPr>
                <w:rFonts w:ascii="Arial" w:eastAsia="Arial" w:hAnsi="Arial" w:cs="Arial"/>
                <w:b/>
              </w:rPr>
              <w:t xml:space="preserve"> </w:t>
            </w:r>
            <w:r w:rsidRPr="006838D4">
              <w:rPr>
                <w:rFonts w:ascii="Arial" w:eastAsia="Arial" w:hAnsi="Arial" w:cs="Arial"/>
                <w:bCs/>
              </w:rPr>
              <w:t>Not applicable</w:t>
            </w:r>
          </w:p>
          <w:p w14:paraId="00000157" w14:textId="77777777" w:rsidR="006838D4" w:rsidRDefault="006838D4">
            <w:pPr>
              <w:tabs>
                <w:tab w:val="left" w:pos="2257"/>
              </w:tabs>
              <w:spacing w:line="259" w:lineRule="auto"/>
              <w:rPr>
                <w:rFonts w:ascii="Arial" w:eastAsia="Arial" w:hAnsi="Arial" w:cs="Arial"/>
              </w:rPr>
            </w:pPr>
          </w:p>
        </w:tc>
      </w:tr>
    </w:tbl>
    <w:p w14:paraId="00000161" w14:textId="77777777" w:rsidR="00F33A01" w:rsidRDefault="00F33A01">
      <w:pPr>
        <w:tabs>
          <w:tab w:val="left" w:pos="2257"/>
        </w:tabs>
        <w:spacing w:line="259" w:lineRule="auto"/>
        <w:rPr>
          <w:rFonts w:ascii="Arial" w:eastAsia="Arial" w:hAnsi="Arial" w:cs="Arial"/>
        </w:rPr>
      </w:pPr>
    </w:p>
    <w:p w14:paraId="00000162" w14:textId="77777777" w:rsidR="00F33A01" w:rsidRDefault="00CE4E7A">
      <w:pPr>
        <w:tabs>
          <w:tab w:val="left" w:pos="2257"/>
        </w:tabs>
        <w:spacing w:line="259" w:lineRule="auto"/>
        <w:rPr>
          <w:rFonts w:ascii="Arial" w:eastAsia="Arial" w:hAnsi="Arial" w:cs="Arial"/>
          <w:b/>
        </w:rPr>
      </w:pPr>
      <w:r>
        <w:rPr>
          <w:rFonts w:ascii="Arial" w:eastAsia="Arial" w:hAnsi="Arial" w:cs="Arial"/>
          <w:b/>
        </w:rPr>
        <w:t xml:space="preserve">3. Liability and Insurance </w:t>
      </w:r>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67"/>
      </w:tblGrid>
      <w:tr w:rsidR="006838D4" w14:paraId="03AAD068" w14:textId="77777777" w:rsidTr="006838D4">
        <w:tc>
          <w:tcPr>
            <w:tcW w:w="9067" w:type="dxa"/>
          </w:tcPr>
          <w:p w14:paraId="6247C2C9" w14:textId="77777777" w:rsidR="006838D4" w:rsidRDefault="006838D4" w:rsidP="00D06BEF">
            <w:pPr>
              <w:tabs>
                <w:tab w:val="left" w:pos="2257"/>
              </w:tabs>
              <w:spacing w:line="259" w:lineRule="auto"/>
              <w:rPr>
                <w:rFonts w:ascii="Arial" w:eastAsia="Arial" w:hAnsi="Arial" w:cs="Arial"/>
              </w:rPr>
            </w:pPr>
            <w:r>
              <w:rPr>
                <w:rFonts w:ascii="Arial" w:eastAsia="Arial" w:hAnsi="Arial" w:cs="Arial"/>
              </w:rPr>
              <w:t>MAXIMUM LIABILITY</w:t>
            </w:r>
          </w:p>
          <w:p w14:paraId="760883DD" w14:textId="77777777" w:rsidR="006838D4" w:rsidRDefault="006838D4" w:rsidP="00D06BEF">
            <w:pPr>
              <w:spacing w:line="259" w:lineRule="auto"/>
              <w:rPr>
                <w:rFonts w:ascii="Arial" w:eastAsia="Arial" w:hAnsi="Arial" w:cs="Arial"/>
                <w:b/>
              </w:rPr>
            </w:pPr>
          </w:p>
          <w:p w14:paraId="3FB7B63D" w14:textId="77777777" w:rsidR="006838D4" w:rsidRDefault="006838D4" w:rsidP="00D06BEF">
            <w:pPr>
              <w:tabs>
                <w:tab w:val="left" w:pos="2257"/>
              </w:tabs>
              <w:spacing w:line="259" w:lineRule="auto"/>
              <w:rPr>
                <w:rFonts w:ascii="Arial" w:eastAsia="Arial" w:hAnsi="Arial" w:cs="Arial"/>
              </w:rPr>
            </w:pPr>
            <w:r>
              <w:rPr>
                <w:rFonts w:ascii="Arial" w:eastAsia="Arial" w:hAnsi="Arial" w:cs="Arial"/>
              </w:rPr>
              <w:lastRenderedPageBreak/>
              <w:t>The limitation of liability for this Call-Off Contract is stated in Clause 11.2 of the Core Terms.</w:t>
            </w:r>
          </w:p>
          <w:p w14:paraId="05D70CDE" w14:textId="77777777" w:rsidR="006838D4" w:rsidRDefault="006838D4" w:rsidP="00D06BEF">
            <w:pPr>
              <w:tabs>
                <w:tab w:val="left" w:pos="2257"/>
              </w:tabs>
              <w:spacing w:line="259" w:lineRule="auto"/>
              <w:rPr>
                <w:rFonts w:ascii="Arial" w:eastAsia="Arial" w:hAnsi="Arial" w:cs="Arial"/>
              </w:rPr>
            </w:pPr>
          </w:p>
          <w:p w14:paraId="00000167" w14:textId="72361558" w:rsidR="006838D4" w:rsidRDefault="006838D4" w:rsidP="00D06BEF">
            <w:pPr>
              <w:tabs>
                <w:tab w:val="left" w:pos="2257"/>
              </w:tabs>
              <w:spacing w:line="259" w:lineRule="auto"/>
              <w:rPr>
                <w:rFonts w:ascii="Arial" w:eastAsia="Arial" w:hAnsi="Arial" w:cs="Arial"/>
              </w:rPr>
            </w:pPr>
          </w:p>
        </w:tc>
      </w:tr>
    </w:tbl>
    <w:p w14:paraId="0000016A" w14:textId="77777777" w:rsidR="00F33A01" w:rsidRDefault="00F33A01">
      <w:pPr>
        <w:tabs>
          <w:tab w:val="left" w:pos="2257"/>
        </w:tabs>
        <w:spacing w:line="259" w:lineRule="auto"/>
        <w:rPr>
          <w:rFonts w:ascii="Arial" w:eastAsia="Arial" w:hAnsi="Arial" w:cs="Arial"/>
        </w:rPr>
      </w:pPr>
    </w:p>
    <w:p w14:paraId="00000172" w14:textId="77777777" w:rsidR="00F33A01" w:rsidRDefault="00F33A01">
      <w:pPr>
        <w:tabs>
          <w:tab w:val="left" w:pos="2257"/>
        </w:tabs>
        <w:spacing w:line="259" w:lineRule="auto"/>
        <w:rPr>
          <w:rFonts w:ascii="Arial" w:eastAsia="Arial" w:hAnsi="Arial" w:cs="Arial"/>
        </w:rPr>
      </w:pPr>
    </w:p>
    <w:p w14:paraId="00000173" w14:textId="1FA69F04" w:rsidR="00F33A01" w:rsidRDefault="00D53CBC">
      <w:pPr>
        <w:tabs>
          <w:tab w:val="left" w:pos="2257"/>
        </w:tabs>
        <w:spacing w:line="259" w:lineRule="auto"/>
        <w:rPr>
          <w:rFonts w:ascii="Arial" w:eastAsia="Arial" w:hAnsi="Arial" w:cs="Arial"/>
          <w:b/>
        </w:rPr>
      </w:pPr>
      <w:r>
        <w:rPr>
          <w:rFonts w:ascii="Arial" w:eastAsia="Arial" w:hAnsi="Arial" w:cs="Arial"/>
          <w:b/>
        </w:rPr>
        <w:t>4</w:t>
      </w:r>
      <w:r w:rsidR="00CE4E7A">
        <w:rPr>
          <w:rFonts w:ascii="Arial" w:eastAsia="Arial" w:hAnsi="Arial" w:cs="Arial"/>
          <w:b/>
        </w:rPr>
        <w:t xml:space="preserve">. Buyer Information </w:t>
      </w:r>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67"/>
      </w:tblGrid>
      <w:tr w:rsidR="006838D4" w14:paraId="555639D6" w14:textId="77777777" w:rsidTr="006838D4">
        <w:tc>
          <w:tcPr>
            <w:tcW w:w="9067" w:type="dxa"/>
          </w:tcPr>
          <w:p w14:paraId="00000174" w14:textId="77777777" w:rsidR="006838D4" w:rsidRDefault="006838D4">
            <w:pPr>
              <w:tabs>
                <w:tab w:val="left" w:pos="2257"/>
              </w:tabs>
              <w:spacing w:line="259" w:lineRule="auto"/>
              <w:rPr>
                <w:rFonts w:ascii="Arial" w:eastAsia="Arial" w:hAnsi="Arial" w:cs="Arial"/>
              </w:rPr>
            </w:pPr>
            <w:r>
              <w:rPr>
                <w:rFonts w:ascii="Arial" w:eastAsia="Arial" w:hAnsi="Arial" w:cs="Arial"/>
              </w:rPr>
              <w:t xml:space="preserve">BUYER’S INVOICE ADDRESS </w:t>
            </w:r>
          </w:p>
          <w:p w14:paraId="00000175" w14:textId="77777777" w:rsidR="006838D4" w:rsidRDefault="006838D4">
            <w:pPr>
              <w:tabs>
                <w:tab w:val="left" w:pos="2257"/>
              </w:tabs>
              <w:spacing w:line="259" w:lineRule="auto"/>
              <w:rPr>
                <w:rFonts w:ascii="Arial" w:eastAsia="Arial" w:hAnsi="Arial" w:cs="Arial"/>
                <w:b/>
                <w:highlight w:val="yellow"/>
              </w:rPr>
            </w:pPr>
          </w:p>
          <w:p w14:paraId="0000017A" w14:textId="7DB22CE0" w:rsidR="006838D4" w:rsidRDefault="00F10A00">
            <w:pPr>
              <w:tabs>
                <w:tab w:val="left" w:pos="2257"/>
              </w:tabs>
              <w:spacing w:line="259" w:lineRule="auto"/>
              <w:rPr>
                <w:rFonts w:ascii="Arial" w:eastAsia="Arial" w:hAnsi="Arial" w:cs="Arial"/>
              </w:rPr>
            </w:pPr>
            <w:r>
              <w:rPr>
                <w:rFonts w:ascii="Arial" w:eastAsia="Arial" w:hAnsi="Arial" w:cs="Arial"/>
              </w:rPr>
              <w:t xml:space="preserve">10 Victoria Street, London </w:t>
            </w:r>
            <w:r w:rsidRPr="002B019F">
              <w:rPr>
                <w:rFonts w:ascii="Arial" w:hAnsi="Arial" w:cs="Arial"/>
              </w:rPr>
              <w:t>SW1H 0NB</w:t>
            </w:r>
            <w:r w:rsidRPr="002B019F">
              <w:rPr>
                <w:rFonts w:ascii="Arial" w:eastAsia="Arial" w:hAnsi="Arial" w:cs="Arial"/>
                <w:b/>
              </w:rPr>
              <w:t xml:space="preserve"> </w:t>
            </w:r>
          </w:p>
        </w:tc>
      </w:tr>
    </w:tbl>
    <w:p w14:paraId="0000017C" w14:textId="77777777" w:rsidR="00F33A01" w:rsidRDefault="00F33A01">
      <w:pPr>
        <w:tabs>
          <w:tab w:val="left" w:pos="2257"/>
        </w:tabs>
        <w:spacing w:line="259" w:lineRule="auto"/>
        <w:rPr>
          <w:rFonts w:ascii="Arial" w:eastAsia="Arial" w:hAnsi="Arial" w:cs="Arial"/>
        </w:rPr>
      </w:pPr>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67"/>
      </w:tblGrid>
      <w:tr w:rsidR="006838D4" w14:paraId="67F5A17A" w14:textId="77777777" w:rsidTr="00F10A00">
        <w:tc>
          <w:tcPr>
            <w:tcW w:w="9067" w:type="dxa"/>
          </w:tcPr>
          <w:p w14:paraId="0000017D" w14:textId="77777777" w:rsidR="006838D4" w:rsidRDefault="006838D4">
            <w:pPr>
              <w:tabs>
                <w:tab w:val="left" w:pos="2257"/>
              </w:tabs>
              <w:spacing w:line="259" w:lineRule="auto"/>
              <w:rPr>
                <w:rFonts w:ascii="Arial" w:eastAsia="Arial" w:hAnsi="Arial" w:cs="Arial"/>
              </w:rPr>
            </w:pPr>
            <w:r>
              <w:rPr>
                <w:rFonts w:ascii="Arial" w:eastAsia="Arial" w:hAnsi="Arial" w:cs="Arial"/>
              </w:rPr>
              <w:t>BUYER’S AUTHORISED REPRESENTATIVE</w:t>
            </w:r>
          </w:p>
          <w:p w14:paraId="74D6D80C" w14:textId="77777777" w:rsidR="00F10A00" w:rsidRDefault="00F10A00" w:rsidP="00F10A00">
            <w:pPr>
              <w:tabs>
                <w:tab w:val="left" w:pos="2257"/>
              </w:tabs>
              <w:spacing w:line="259" w:lineRule="auto"/>
              <w:rPr>
                <w:rFonts w:ascii="Arial" w:eastAsia="Arial" w:hAnsi="Arial" w:cs="Arial"/>
              </w:rPr>
            </w:pPr>
          </w:p>
          <w:p w14:paraId="00000181" w14:textId="09241820" w:rsidR="006838D4" w:rsidRDefault="006838D4" w:rsidP="00F10A00">
            <w:pPr>
              <w:tabs>
                <w:tab w:val="left" w:pos="2257"/>
              </w:tabs>
              <w:spacing w:line="259" w:lineRule="auto"/>
              <w:rPr>
                <w:rFonts w:ascii="Arial" w:eastAsia="Arial" w:hAnsi="Arial" w:cs="Arial"/>
              </w:rPr>
            </w:pPr>
          </w:p>
        </w:tc>
      </w:tr>
    </w:tbl>
    <w:p w14:paraId="00000183" w14:textId="77777777" w:rsidR="00F33A01" w:rsidRDefault="00F33A01">
      <w:pPr>
        <w:tabs>
          <w:tab w:val="left" w:pos="2257"/>
        </w:tabs>
        <w:spacing w:line="259" w:lineRule="auto"/>
        <w:rPr>
          <w:rFonts w:ascii="Arial" w:eastAsia="Arial" w:hAnsi="Arial" w:cs="Arial"/>
        </w:rPr>
      </w:pPr>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67"/>
      </w:tblGrid>
      <w:tr w:rsidR="006838D4" w14:paraId="5540C43F" w14:textId="77777777" w:rsidTr="00F10A00">
        <w:tc>
          <w:tcPr>
            <w:tcW w:w="9067" w:type="dxa"/>
          </w:tcPr>
          <w:p w14:paraId="00000184" w14:textId="77777777" w:rsidR="006838D4" w:rsidRDefault="006838D4">
            <w:pPr>
              <w:tabs>
                <w:tab w:val="left" w:pos="2257"/>
              </w:tabs>
              <w:spacing w:line="259" w:lineRule="auto"/>
              <w:rPr>
                <w:rFonts w:ascii="Arial" w:eastAsia="Arial" w:hAnsi="Arial" w:cs="Arial"/>
              </w:rPr>
            </w:pPr>
            <w:r>
              <w:rPr>
                <w:rFonts w:ascii="Arial" w:eastAsia="Arial" w:hAnsi="Arial" w:cs="Arial"/>
              </w:rPr>
              <w:t>PAYMENT METHOD</w:t>
            </w:r>
          </w:p>
          <w:p w14:paraId="00000185" w14:textId="77777777" w:rsidR="006838D4" w:rsidRDefault="006838D4">
            <w:pPr>
              <w:tabs>
                <w:tab w:val="left" w:pos="2257"/>
              </w:tabs>
              <w:spacing w:line="259" w:lineRule="auto"/>
              <w:rPr>
                <w:rFonts w:ascii="Arial" w:eastAsia="Arial" w:hAnsi="Arial" w:cs="Arial"/>
                <w:highlight w:val="yellow"/>
              </w:rPr>
            </w:pPr>
          </w:p>
          <w:p w14:paraId="5B20152B" w14:textId="1586AB52" w:rsidR="006838D4" w:rsidRDefault="00F10A00">
            <w:pPr>
              <w:tabs>
                <w:tab w:val="left" w:pos="2257"/>
              </w:tabs>
              <w:spacing w:line="259" w:lineRule="auto"/>
              <w:rPr>
                <w:rFonts w:ascii="Arial" w:eastAsia="Arial" w:hAnsi="Arial" w:cs="Arial"/>
              </w:rPr>
            </w:pPr>
            <w:r w:rsidRPr="00F10A00">
              <w:rPr>
                <w:rFonts w:ascii="Arial" w:eastAsia="Arial" w:hAnsi="Arial" w:cs="Arial"/>
              </w:rPr>
              <w:t>BACS Invoice</w:t>
            </w:r>
            <w:r w:rsidR="004406D6">
              <w:rPr>
                <w:rFonts w:ascii="Arial" w:eastAsia="Arial" w:hAnsi="Arial" w:cs="Arial"/>
              </w:rPr>
              <w:t>, quarterly in arrears</w:t>
            </w:r>
            <w:r w:rsidR="00E94007">
              <w:rPr>
                <w:rFonts w:ascii="Arial" w:eastAsia="Arial" w:hAnsi="Arial" w:cs="Arial"/>
              </w:rPr>
              <w:t xml:space="preserve">. </w:t>
            </w:r>
          </w:p>
          <w:p w14:paraId="00000186" w14:textId="4D6904CD" w:rsidR="005B4875" w:rsidRDefault="005B4875">
            <w:pPr>
              <w:tabs>
                <w:tab w:val="left" w:pos="2257"/>
              </w:tabs>
              <w:spacing w:line="259" w:lineRule="auto"/>
              <w:rPr>
                <w:rFonts w:ascii="Arial" w:eastAsia="Arial" w:hAnsi="Arial" w:cs="Arial"/>
                <w:highlight w:val="yellow"/>
              </w:rPr>
            </w:pPr>
          </w:p>
        </w:tc>
      </w:tr>
    </w:tbl>
    <w:p w14:paraId="00000189" w14:textId="77777777" w:rsidR="00F33A01" w:rsidRDefault="00F33A01">
      <w:pPr>
        <w:tabs>
          <w:tab w:val="left" w:pos="2257"/>
        </w:tabs>
        <w:spacing w:line="259" w:lineRule="auto"/>
        <w:rPr>
          <w:rFonts w:ascii="Arial" w:eastAsia="Arial" w:hAnsi="Arial" w:cs="Arial"/>
        </w:rPr>
      </w:pPr>
    </w:p>
    <w:p w14:paraId="0000018A" w14:textId="6751E5D2" w:rsidR="00F33A01" w:rsidRDefault="00D53CBC">
      <w:pPr>
        <w:tabs>
          <w:tab w:val="left" w:pos="2257"/>
        </w:tabs>
        <w:spacing w:line="259" w:lineRule="auto"/>
        <w:rPr>
          <w:rFonts w:ascii="Arial" w:eastAsia="Arial" w:hAnsi="Arial" w:cs="Arial"/>
          <w:b/>
        </w:rPr>
      </w:pPr>
      <w:r>
        <w:rPr>
          <w:rFonts w:ascii="Arial" w:eastAsia="Arial" w:hAnsi="Arial" w:cs="Arial"/>
          <w:b/>
        </w:rPr>
        <w:t>5</w:t>
      </w:r>
      <w:r w:rsidR="00CE4E7A">
        <w:rPr>
          <w:rFonts w:ascii="Arial" w:eastAsia="Arial" w:hAnsi="Arial" w:cs="Arial"/>
          <w:b/>
        </w:rPr>
        <w:t xml:space="preserve">. Supplier Information </w:t>
      </w:r>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67"/>
      </w:tblGrid>
      <w:tr w:rsidR="006838D4" w14:paraId="30B5998D" w14:textId="77777777" w:rsidTr="00F10A00">
        <w:tc>
          <w:tcPr>
            <w:tcW w:w="9067" w:type="dxa"/>
          </w:tcPr>
          <w:p w14:paraId="0000018B" w14:textId="77777777" w:rsidR="006838D4" w:rsidRDefault="006838D4">
            <w:pPr>
              <w:tabs>
                <w:tab w:val="left" w:pos="2257"/>
              </w:tabs>
              <w:spacing w:line="259" w:lineRule="auto"/>
              <w:rPr>
                <w:rFonts w:ascii="Arial" w:eastAsia="Arial" w:hAnsi="Arial" w:cs="Arial"/>
              </w:rPr>
            </w:pPr>
            <w:r>
              <w:rPr>
                <w:rFonts w:ascii="Arial" w:eastAsia="Arial" w:hAnsi="Arial" w:cs="Arial"/>
              </w:rPr>
              <w:t>SUPPLIER’S AUTHORISED REPRESENTATIVE</w:t>
            </w:r>
          </w:p>
          <w:p w14:paraId="0000018F" w14:textId="1D160920" w:rsidR="006838D4" w:rsidRDefault="006838D4">
            <w:pPr>
              <w:tabs>
                <w:tab w:val="left" w:pos="2257"/>
              </w:tabs>
              <w:spacing w:line="259" w:lineRule="auto"/>
              <w:rPr>
                <w:rFonts w:ascii="Arial" w:eastAsia="Arial" w:hAnsi="Arial" w:cs="Arial"/>
              </w:rPr>
            </w:pPr>
          </w:p>
        </w:tc>
      </w:tr>
    </w:tbl>
    <w:p w14:paraId="00000191" w14:textId="77777777" w:rsidR="00F33A01" w:rsidRDefault="00F33A01">
      <w:pPr>
        <w:tabs>
          <w:tab w:val="left" w:pos="2257"/>
        </w:tabs>
        <w:spacing w:line="259" w:lineRule="auto"/>
        <w:rPr>
          <w:rFonts w:ascii="Arial" w:eastAsia="Arial" w:hAnsi="Arial" w:cs="Arial"/>
        </w:rPr>
      </w:pPr>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67"/>
      </w:tblGrid>
      <w:tr w:rsidR="00F10A00" w14:paraId="41D088F2" w14:textId="77777777" w:rsidTr="00F10A00">
        <w:tc>
          <w:tcPr>
            <w:tcW w:w="9067" w:type="dxa"/>
          </w:tcPr>
          <w:p w14:paraId="00000192" w14:textId="77777777" w:rsidR="00F10A00" w:rsidRDefault="00F10A00">
            <w:pPr>
              <w:tabs>
                <w:tab w:val="left" w:pos="2257"/>
              </w:tabs>
              <w:spacing w:line="259" w:lineRule="auto"/>
              <w:rPr>
                <w:rFonts w:ascii="Arial" w:eastAsia="Arial" w:hAnsi="Arial" w:cs="Arial"/>
              </w:rPr>
            </w:pPr>
            <w:r>
              <w:rPr>
                <w:rFonts w:ascii="Arial" w:eastAsia="Arial" w:hAnsi="Arial" w:cs="Arial"/>
              </w:rPr>
              <w:t xml:space="preserve">SUPPLIER’S CONTRACT MANAGER </w:t>
            </w:r>
          </w:p>
          <w:p w14:paraId="00000197" w14:textId="3F9F3881" w:rsidR="00502701" w:rsidRDefault="00502701" w:rsidP="00502701">
            <w:pPr>
              <w:tabs>
                <w:tab w:val="left" w:pos="2257"/>
              </w:tabs>
              <w:spacing w:line="259" w:lineRule="auto"/>
              <w:rPr>
                <w:rFonts w:ascii="Arial" w:eastAsia="Arial" w:hAnsi="Arial" w:cs="Arial"/>
              </w:rPr>
            </w:pPr>
          </w:p>
        </w:tc>
      </w:tr>
    </w:tbl>
    <w:p w14:paraId="00000199" w14:textId="77777777" w:rsidR="00F33A01" w:rsidRDefault="00CE4E7A">
      <w:pPr>
        <w:spacing w:line="259" w:lineRule="auto"/>
        <w:rPr>
          <w:rFonts w:ascii="Arial" w:eastAsia="Arial" w:hAnsi="Arial" w:cs="Arial"/>
          <w:highlight w:val="cyan"/>
        </w:rPr>
      </w:pPr>
      <w:r>
        <w:rPr>
          <w:rFonts w:ascii="Arial" w:eastAsia="Arial" w:hAnsi="Arial" w:cs="Arial"/>
          <w:highlight w:val="cyan"/>
        </w:rPr>
        <w:t xml:space="preserve"> </w:t>
      </w:r>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67"/>
      </w:tblGrid>
      <w:tr w:rsidR="00F10A00" w14:paraId="59E62F72" w14:textId="77777777" w:rsidTr="00F10A00">
        <w:tc>
          <w:tcPr>
            <w:tcW w:w="9067" w:type="dxa"/>
          </w:tcPr>
          <w:p w14:paraId="0000019A" w14:textId="77777777" w:rsidR="00F10A00" w:rsidRDefault="00F10A00">
            <w:pPr>
              <w:spacing w:line="259" w:lineRule="auto"/>
              <w:rPr>
                <w:rFonts w:ascii="Arial" w:eastAsia="Arial" w:hAnsi="Arial" w:cs="Arial"/>
              </w:rPr>
            </w:pPr>
            <w:r>
              <w:rPr>
                <w:rFonts w:ascii="Arial" w:eastAsia="Arial" w:hAnsi="Arial" w:cs="Arial"/>
              </w:rPr>
              <w:t xml:space="preserve">SUPPLIER REQUIREMENTS </w:t>
            </w:r>
          </w:p>
          <w:p w14:paraId="0000019D" w14:textId="10A32FA3" w:rsidR="00F10A00" w:rsidRDefault="00F10A00" w:rsidP="0013491D">
            <w:pPr>
              <w:spacing w:after="120"/>
              <w:rPr>
                <w:rFonts w:ascii="Arial" w:eastAsia="Arial" w:hAnsi="Arial" w:cs="Arial"/>
                <w:b/>
                <w:highlight w:val="cyan"/>
              </w:rPr>
            </w:pPr>
            <w:r>
              <w:rPr>
                <w:rFonts w:ascii="Arial" w:eastAsia="Arial" w:hAnsi="Arial" w:cs="Arial"/>
                <w:b/>
              </w:rPr>
              <w:t>Supplier's inspection of Sites, Customer Property and Customer Assets</w:t>
            </w:r>
            <w:r w:rsidR="0013491D">
              <w:rPr>
                <w:rFonts w:ascii="Arial" w:eastAsia="Arial" w:hAnsi="Arial" w:cs="Arial"/>
                <w:b/>
              </w:rPr>
              <w:t>.</w:t>
            </w:r>
          </w:p>
        </w:tc>
      </w:tr>
    </w:tbl>
    <w:p w14:paraId="000001A0" w14:textId="77777777" w:rsidR="00F33A01" w:rsidRDefault="00F33A01">
      <w:pPr>
        <w:spacing w:line="259" w:lineRule="auto"/>
        <w:rPr>
          <w:rFonts w:ascii="Arial" w:eastAsia="Arial" w:hAnsi="Arial" w:cs="Arial"/>
          <w:highlight w:val="cyan"/>
        </w:rPr>
      </w:pPr>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67"/>
      </w:tblGrid>
      <w:tr w:rsidR="00F10A00" w14:paraId="6EB7137C" w14:textId="77777777" w:rsidTr="00EC5D47">
        <w:tc>
          <w:tcPr>
            <w:tcW w:w="9067" w:type="dxa"/>
          </w:tcPr>
          <w:p w14:paraId="4B0AFB2B" w14:textId="77777777" w:rsidR="00EC5D47" w:rsidRDefault="00F10A00" w:rsidP="00EC5D47">
            <w:pPr>
              <w:spacing w:line="259" w:lineRule="auto"/>
              <w:rPr>
                <w:rFonts w:ascii="Arial" w:eastAsia="Arial" w:hAnsi="Arial" w:cs="Arial"/>
              </w:rPr>
            </w:pPr>
            <w:r w:rsidRPr="003429CD">
              <w:rPr>
                <w:rFonts w:ascii="Arial" w:eastAsia="Arial" w:hAnsi="Arial" w:cs="Arial"/>
              </w:rPr>
              <w:t>FAILURE OF SUPPLIER EQUIPMENT</w:t>
            </w:r>
          </w:p>
          <w:p w14:paraId="000001A3" w14:textId="18385933" w:rsidR="00F10A00" w:rsidRPr="00EC5D47" w:rsidRDefault="00F10A00" w:rsidP="00EC5D47">
            <w:pPr>
              <w:spacing w:line="259" w:lineRule="auto"/>
              <w:rPr>
                <w:rFonts w:ascii="Arial" w:eastAsia="Arial" w:hAnsi="Arial" w:cs="Arial"/>
              </w:rPr>
            </w:pPr>
            <w:r w:rsidRPr="00EC5D47">
              <w:rPr>
                <w:rFonts w:ascii="Arial" w:eastAsia="Arial" w:hAnsi="Arial" w:cs="Arial"/>
                <w:b/>
                <w:color w:val="000000"/>
              </w:rPr>
              <w:t>Not applied</w:t>
            </w:r>
          </w:p>
          <w:p w14:paraId="000001A4" w14:textId="50949694" w:rsidR="00F10A00" w:rsidRDefault="00F10A00">
            <w:pPr>
              <w:spacing w:after="120"/>
              <w:rPr>
                <w:rFonts w:ascii="Arial" w:eastAsia="Arial" w:hAnsi="Arial" w:cs="Arial"/>
                <w:b/>
                <w:highlight w:val="cyan"/>
              </w:rPr>
            </w:pPr>
          </w:p>
        </w:tc>
      </w:tr>
    </w:tbl>
    <w:p w14:paraId="000001A6" w14:textId="77777777" w:rsidR="00F33A01" w:rsidRDefault="00F33A01">
      <w:pPr>
        <w:tabs>
          <w:tab w:val="left" w:pos="2257"/>
        </w:tabs>
        <w:spacing w:line="259" w:lineRule="auto"/>
        <w:rPr>
          <w:rFonts w:ascii="Arial" w:eastAsia="Arial" w:hAnsi="Arial" w:cs="Arial"/>
          <w:b/>
        </w:rPr>
      </w:pPr>
    </w:p>
    <w:p w14:paraId="000001A7" w14:textId="002B09DA" w:rsidR="00F33A01" w:rsidRDefault="00D53CBC">
      <w:pPr>
        <w:tabs>
          <w:tab w:val="left" w:pos="2257"/>
        </w:tabs>
        <w:spacing w:line="259" w:lineRule="auto"/>
        <w:rPr>
          <w:rFonts w:ascii="Arial" w:eastAsia="Arial" w:hAnsi="Arial" w:cs="Arial"/>
          <w:b/>
        </w:rPr>
      </w:pPr>
      <w:r>
        <w:rPr>
          <w:rFonts w:ascii="Arial" w:eastAsia="Arial" w:hAnsi="Arial" w:cs="Arial"/>
          <w:b/>
        </w:rPr>
        <w:t>6</w:t>
      </w:r>
      <w:r w:rsidR="00CE4E7A">
        <w:rPr>
          <w:rFonts w:ascii="Arial" w:eastAsia="Arial" w:hAnsi="Arial" w:cs="Arial"/>
          <w:b/>
        </w:rPr>
        <w:t>. Other Call-Off Requirements</w:t>
      </w:r>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67"/>
      </w:tblGrid>
      <w:tr w:rsidR="00EC5D47" w14:paraId="00736B8B" w14:textId="77777777" w:rsidTr="00EC5D47">
        <w:tc>
          <w:tcPr>
            <w:tcW w:w="9067" w:type="dxa"/>
          </w:tcPr>
          <w:p w14:paraId="3F87128E" w14:textId="77777777" w:rsidR="00EC5D47" w:rsidRDefault="00EC5D47" w:rsidP="00D06BEF">
            <w:pPr>
              <w:spacing w:line="259" w:lineRule="auto"/>
              <w:rPr>
                <w:rFonts w:ascii="Arial" w:eastAsia="Arial" w:hAnsi="Arial" w:cs="Arial"/>
              </w:rPr>
            </w:pPr>
            <w:r>
              <w:rPr>
                <w:rFonts w:ascii="Arial" w:eastAsia="Arial" w:hAnsi="Arial" w:cs="Arial"/>
              </w:rPr>
              <w:t>TERMINATION WITHOUT CAUSE NOTICE PERIOD</w:t>
            </w:r>
          </w:p>
          <w:p w14:paraId="3BDFA26F" w14:textId="77777777" w:rsidR="00EC5D47" w:rsidRDefault="00EC5D47" w:rsidP="00D06BEF">
            <w:pPr>
              <w:rPr>
                <w:rFonts w:ascii="Arial" w:eastAsia="Arial" w:hAnsi="Arial" w:cs="Arial"/>
                <w:b/>
              </w:rPr>
            </w:pPr>
          </w:p>
          <w:p w14:paraId="413A317D" w14:textId="5A4CEB3A" w:rsidR="00EC5D47" w:rsidRDefault="00EC5D47" w:rsidP="003429CD">
            <w:pPr>
              <w:rPr>
                <w:rFonts w:ascii="Arial" w:eastAsia="Arial" w:hAnsi="Arial" w:cs="Arial"/>
              </w:rPr>
            </w:pPr>
            <w:r>
              <w:rPr>
                <w:rFonts w:ascii="Arial" w:eastAsia="Arial" w:hAnsi="Arial" w:cs="Arial"/>
              </w:rPr>
              <w:t>As per Clause 10.2.2 of the Core Terms, within 30 days</w:t>
            </w:r>
          </w:p>
          <w:p w14:paraId="000001AD" w14:textId="77777777" w:rsidR="00EC5D47" w:rsidRDefault="00EC5D47" w:rsidP="00EC5D47">
            <w:pPr>
              <w:spacing w:after="120" w:line="276" w:lineRule="auto"/>
              <w:rPr>
                <w:rFonts w:ascii="Arial" w:eastAsia="Arial" w:hAnsi="Arial" w:cs="Arial"/>
                <w:b/>
                <w:highlight w:val="cyan"/>
              </w:rPr>
            </w:pPr>
          </w:p>
        </w:tc>
      </w:tr>
    </w:tbl>
    <w:p w14:paraId="000001AF" w14:textId="77777777" w:rsidR="00F33A01" w:rsidRDefault="00F33A01">
      <w:pPr>
        <w:spacing w:line="259" w:lineRule="auto"/>
        <w:rPr>
          <w:rFonts w:ascii="Arial" w:eastAsia="Arial" w:hAnsi="Arial" w:cs="Arial"/>
          <w:highlight w:val="cyan"/>
        </w:rPr>
      </w:pPr>
    </w:p>
    <w:p w14:paraId="000001B7" w14:textId="77777777" w:rsidR="00F33A01" w:rsidRDefault="00F33A01">
      <w:pPr>
        <w:spacing w:line="259" w:lineRule="auto"/>
        <w:rPr>
          <w:rFonts w:ascii="Arial" w:eastAsia="Arial" w:hAnsi="Arial" w:cs="Arial"/>
          <w:highlight w:val="cyan"/>
        </w:rPr>
      </w:pPr>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67"/>
      </w:tblGrid>
      <w:tr w:rsidR="00EC5D47" w14:paraId="57A61D82" w14:textId="77777777" w:rsidTr="00EC5D47">
        <w:tc>
          <w:tcPr>
            <w:tcW w:w="9067" w:type="dxa"/>
          </w:tcPr>
          <w:p w14:paraId="60B751E5" w14:textId="77777777" w:rsidR="00EC5D47" w:rsidRDefault="00EC5D47" w:rsidP="00D06BEF">
            <w:pPr>
              <w:spacing w:line="259" w:lineRule="auto"/>
              <w:rPr>
                <w:rFonts w:ascii="Arial" w:eastAsia="Arial" w:hAnsi="Arial" w:cs="Arial"/>
              </w:rPr>
            </w:pPr>
            <w:r>
              <w:rPr>
                <w:rFonts w:ascii="Arial" w:eastAsia="Arial" w:hAnsi="Arial" w:cs="Arial"/>
              </w:rPr>
              <w:t>TRAINING</w:t>
            </w:r>
          </w:p>
          <w:p w14:paraId="73CDA6DD" w14:textId="2DEA9E56" w:rsidR="00EC5D47" w:rsidRDefault="00EC5D47" w:rsidP="00D06BEF">
            <w:pPr>
              <w:spacing w:after="120"/>
              <w:rPr>
                <w:rFonts w:ascii="Arial" w:eastAsia="Arial" w:hAnsi="Arial" w:cs="Arial"/>
                <w:b/>
              </w:rPr>
            </w:pPr>
            <w:r>
              <w:rPr>
                <w:rFonts w:ascii="Arial" w:eastAsia="Arial" w:hAnsi="Arial" w:cs="Arial"/>
              </w:rPr>
              <w:t>Not applicable</w:t>
            </w:r>
          </w:p>
          <w:p w14:paraId="000001BC" w14:textId="77777777" w:rsidR="00EC5D47" w:rsidRDefault="00EC5D47" w:rsidP="00EC5D47">
            <w:pPr>
              <w:spacing w:after="120"/>
              <w:rPr>
                <w:rFonts w:ascii="Arial" w:eastAsia="Arial" w:hAnsi="Arial" w:cs="Arial"/>
                <w:b/>
                <w:highlight w:val="cyan"/>
              </w:rPr>
            </w:pPr>
          </w:p>
        </w:tc>
      </w:tr>
    </w:tbl>
    <w:p w14:paraId="000001BE" w14:textId="77777777" w:rsidR="00F33A01" w:rsidRDefault="00F33A01">
      <w:pPr>
        <w:jc w:val="both"/>
        <w:rPr>
          <w:rFonts w:ascii="Arial" w:eastAsia="Arial" w:hAnsi="Arial" w:cs="Arial"/>
        </w:rPr>
      </w:pPr>
    </w:p>
    <w:p w14:paraId="4C9D01AF" w14:textId="77777777" w:rsidR="00EC5D47" w:rsidRDefault="00EC5D47">
      <w:pPr>
        <w:jc w:val="both"/>
        <w:rPr>
          <w:rFonts w:ascii="Arial" w:eastAsia="Arial" w:hAnsi="Arial" w:cs="Arial"/>
        </w:rPr>
      </w:pPr>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67"/>
      </w:tblGrid>
      <w:tr w:rsidR="00EC5D47" w14:paraId="1AC6D71A" w14:textId="77777777" w:rsidTr="00EC5D47">
        <w:tc>
          <w:tcPr>
            <w:tcW w:w="9067" w:type="dxa"/>
          </w:tcPr>
          <w:p w14:paraId="2D5920FB" w14:textId="77777777" w:rsidR="00EC5D47" w:rsidRDefault="00EC5D47" w:rsidP="00D06BEF">
            <w:pPr>
              <w:jc w:val="both"/>
              <w:rPr>
                <w:rFonts w:ascii="Arial" w:eastAsia="Arial" w:hAnsi="Arial" w:cs="Arial"/>
              </w:rPr>
            </w:pPr>
            <w:r>
              <w:rPr>
                <w:rFonts w:ascii="Arial" w:eastAsia="Arial" w:hAnsi="Arial" w:cs="Arial"/>
              </w:rPr>
              <w:t>SOCIAL VALUE COMMITMENT</w:t>
            </w:r>
          </w:p>
          <w:p w14:paraId="4F530CAF" w14:textId="77777777" w:rsidR="00EC5D47" w:rsidRDefault="00EC5D47" w:rsidP="00D06BEF">
            <w:pPr>
              <w:jc w:val="both"/>
              <w:rPr>
                <w:rFonts w:ascii="Arial" w:eastAsia="Arial" w:hAnsi="Arial" w:cs="Arial"/>
                <w:highlight w:val="yellow"/>
              </w:rPr>
            </w:pPr>
          </w:p>
          <w:p w14:paraId="401A64B3" w14:textId="55E2A9AB" w:rsidR="00EC5D47" w:rsidRDefault="00EC5D47" w:rsidP="00D06BEF">
            <w:pPr>
              <w:jc w:val="both"/>
              <w:rPr>
                <w:rFonts w:ascii="Arial" w:eastAsia="Arial" w:hAnsi="Arial" w:cs="Arial"/>
              </w:rPr>
            </w:pPr>
            <w:r>
              <w:rPr>
                <w:rFonts w:ascii="Arial" w:eastAsia="Arial" w:hAnsi="Arial" w:cs="Arial"/>
              </w:rPr>
              <w:t xml:space="preserve">Not applicable </w:t>
            </w:r>
          </w:p>
          <w:p w14:paraId="4F95F9AC" w14:textId="77777777" w:rsidR="00EC5D47" w:rsidRDefault="00EC5D47" w:rsidP="00D06BEF">
            <w:pPr>
              <w:jc w:val="both"/>
              <w:rPr>
                <w:rFonts w:ascii="Arial" w:eastAsia="Arial" w:hAnsi="Arial" w:cs="Arial"/>
                <w:b/>
                <w:highlight w:val="yellow"/>
              </w:rPr>
            </w:pPr>
          </w:p>
          <w:p w14:paraId="000001C5" w14:textId="24EDE7CF" w:rsidR="00EC5D47" w:rsidRDefault="00EC5D47" w:rsidP="00D06BEF">
            <w:pPr>
              <w:jc w:val="both"/>
              <w:rPr>
                <w:rFonts w:ascii="Arial" w:eastAsia="Arial" w:hAnsi="Arial" w:cs="Arial"/>
              </w:rPr>
            </w:pPr>
          </w:p>
        </w:tc>
      </w:tr>
    </w:tbl>
    <w:p w14:paraId="000001C8" w14:textId="0BD7DFC8" w:rsidR="00F33A01" w:rsidRPr="003A1BBE" w:rsidRDefault="00B63740">
      <w:pPr>
        <w:tabs>
          <w:tab w:val="left" w:pos="2257"/>
        </w:tabs>
        <w:spacing w:line="259" w:lineRule="auto"/>
        <w:rPr>
          <w:rFonts w:ascii="Arial" w:eastAsia="Arial" w:hAnsi="Arial" w:cs="Arial"/>
        </w:rPr>
      </w:pPr>
      <w:sdt>
        <w:sdtPr>
          <w:tag w:val="goog_rdk_4"/>
          <w:id w:val="-1301527541"/>
        </w:sdtPr>
        <w:sdtEndPr/>
        <w:sdtContent/>
      </w:sdt>
    </w:p>
    <w:tbl>
      <w:tblPr>
        <w:tblW w:w="917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000" w:firstRow="0" w:lastRow="0" w:firstColumn="0" w:lastColumn="0" w:noHBand="0" w:noVBand="0"/>
      </w:tblPr>
      <w:tblGrid>
        <w:gridCol w:w="1526"/>
        <w:gridCol w:w="2980"/>
        <w:gridCol w:w="1556"/>
        <w:gridCol w:w="3108"/>
      </w:tblGrid>
      <w:tr w:rsidR="00F33A01" w14:paraId="7A3A3442" w14:textId="77777777" w:rsidTr="00F33A01">
        <w:trPr>
          <w:trHeight w:val="635"/>
        </w:trPr>
        <w:tc>
          <w:tcPr>
            <w:tcW w:w="4506" w:type="dxa"/>
            <w:gridSpan w:val="2"/>
          </w:tcPr>
          <w:p w14:paraId="000001C9" w14:textId="77777777" w:rsidR="00F33A01" w:rsidRDefault="00CE4E7A">
            <w:pPr>
              <w:keepNext/>
              <w:pBdr>
                <w:top w:val="nil"/>
                <w:left w:val="nil"/>
                <w:bottom w:val="nil"/>
                <w:right w:val="nil"/>
                <w:between w:val="nil"/>
              </w:pBdr>
              <w:spacing w:before="240" w:after="120"/>
              <w:jc w:val="both"/>
              <w:rPr>
                <w:rFonts w:ascii="Arial" w:eastAsia="Arial" w:hAnsi="Arial" w:cs="Arial"/>
                <w:color w:val="000000"/>
              </w:rPr>
            </w:pPr>
            <w:r>
              <w:rPr>
                <w:rFonts w:ascii="Arial" w:eastAsia="Arial" w:hAnsi="Arial" w:cs="Arial"/>
                <w:b/>
                <w:color w:val="000000"/>
              </w:rPr>
              <w:t>For and on behalf of the Supplier:</w:t>
            </w:r>
          </w:p>
        </w:tc>
        <w:tc>
          <w:tcPr>
            <w:tcW w:w="4664" w:type="dxa"/>
            <w:gridSpan w:val="2"/>
          </w:tcPr>
          <w:p w14:paraId="000001CB" w14:textId="77777777" w:rsidR="00F33A01" w:rsidRDefault="00CE4E7A">
            <w:pPr>
              <w:keepNext/>
              <w:pBdr>
                <w:top w:val="nil"/>
                <w:left w:val="nil"/>
                <w:bottom w:val="nil"/>
                <w:right w:val="nil"/>
                <w:between w:val="nil"/>
              </w:pBdr>
              <w:spacing w:before="240" w:after="120" w:line="276" w:lineRule="auto"/>
              <w:jc w:val="both"/>
              <w:rPr>
                <w:rFonts w:ascii="Arial" w:eastAsia="Arial" w:hAnsi="Arial" w:cs="Arial"/>
                <w:b/>
                <w:color w:val="000000"/>
              </w:rPr>
            </w:pPr>
            <w:r>
              <w:rPr>
                <w:rFonts w:ascii="Arial" w:eastAsia="Arial" w:hAnsi="Arial" w:cs="Arial"/>
                <w:b/>
                <w:color w:val="000000"/>
              </w:rPr>
              <w:t>For and on behalf of the Buyer:</w:t>
            </w:r>
          </w:p>
        </w:tc>
      </w:tr>
      <w:tr w:rsidR="00F33A01" w14:paraId="25F3B872" w14:textId="77777777" w:rsidTr="00F33A01">
        <w:trPr>
          <w:trHeight w:val="635"/>
        </w:trPr>
        <w:tc>
          <w:tcPr>
            <w:tcW w:w="1526" w:type="dxa"/>
          </w:tcPr>
          <w:p w14:paraId="000001CD" w14:textId="77777777" w:rsidR="00F33A01" w:rsidRDefault="00CE4E7A">
            <w:pPr>
              <w:keepNext/>
              <w:pBdr>
                <w:top w:val="nil"/>
                <w:left w:val="nil"/>
                <w:bottom w:val="nil"/>
                <w:right w:val="nil"/>
                <w:between w:val="nil"/>
              </w:pBdr>
              <w:spacing w:before="240" w:after="120"/>
              <w:rPr>
                <w:rFonts w:ascii="Arial" w:eastAsia="Arial" w:hAnsi="Arial" w:cs="Arial"/>
                <w:color w:val="000000"/>
              </w:rPr>
            </w:pPr>
            <w:r>
              <w:rPr>
                <w:rFonts w:ascii="Arial" w:eastAsia="Arial" w:hAnsi="Arial" w:cs="Arial"/>
                <w:color w:val="000000"/>
              </w:rPr>
              <w:t>Signature:</w:t>
            </w:r>
          </w:p>
        </w:tc>
        <w:tc>
          <w:tcPr>
            <w:tcW w:w="2980" w:type="dxa"/>
          </w:tcPr>
          <w:p w14:paraId="000001CE" w14:textId="77777777" w:rsidR="00F33A01" w:rsidRDefault="00F33A01">
            <w:pPr>
              <w:keepNext/>
              <w:pBdr>
                <w:top w:val="nil"/>
                <w:left w:val="nil"/>
                <w:bottom w:val="nil"/>
                <w:right w:val="nil"/>
                <w:between w:val="nil"/>
              </w:pBdr>
              <w:spacing w:before="240" w:after="120"/>
              <w:ind w:left="142"/>
              <w:jc w:val="both"/>
              <w:rPr>
                <w:rFonts w:ascii="Arial" w:eastAsia="Arial" w:hAnsi="Arial" w:cs="Arial"/>
                <w:color w:val="000000"/>
              </w:rPr>
            </w:pPr>
          </w:p>
        </w:tc>
        <w:tc>
          <w:tcPr>
            <w:tcW w:w="1556" w:type="dxa"/>
          </w:tcPr>
          <w:p w14:paraId="000001CF" w14:textId="77777777" w:rsidR="00F33A01" w:rsidRDefault="00CE4E7A">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rPr>
              <w:t>Signature:</w:t>
            </w:r>
          </w:p>
        </w:tc>
        <w:tc>
          <w:tcPr>
            <w:tcW w:w="3108" w:type="dxa"/>
          </w:tcPr>
          <w:p w14:paraId="000001D0" w14:textId="77777777" w:rsidR="00F33A01" w:rsidRDefault="00F33A01">
            <w:pPr>
              <w:keepNext/>
              <w:pBdr>
                <w:top w:val="nil"/>
                <w:left w:val="nil"/>
                <w:bottom w:val="nil"/>
                <w:right w:val="nil"/>
                <w:between w:val="nil"/>
              </w:pBdr>
              <w:spacing w:before="240" w:after="120"/>
              <w:ind w:left="142"/>
              <w:jc w:val="both"/>
              <w:rPr>
                <w:rFonts w:ascii="Arial" w:eastAsia="Arial" w:hAnsi="Arial" w:cs="Arial"/>
                <w:color w:val="000000"/>
              </w:rPr>
            </w:pPr>
          </w:p>
        </w:tc>
      </w:tr>
      <w:tr w:rsidR="00F33A01" w14:paraId="11F7B99F" w14:textId="77777777" w:rsidTr="00F33A01">
        <w:trPr>
          <w:trHeight w:val="635"/>
        </w:trPr>
        <w:tc>
          <w:tcPr>
            <w:tcW w:w="1526" w:type="dxa"/>
          </w:tcPr>
          <w:p w14:paraId="000001D1" w14:textId="77777777" w:rsidR="00F33A01" w:rsidRDefault="00CE4E7A">
            <w:pPr>
              <w:keepNext/>
              <w:pBdr>
                <w:top w:val="nil"/>
                <w:left w:val="nil"/>
                <w:bottom w:val="nil"/>
                <w:right w:val="nil"/>
                <w:between w:val="nil"/>
              </w:pBdr>
              <w:spacing w:before="240" w:after="120"/>
              <w:rPr>
                <w:rFonts w:ascii="Arial" w:eastAsia="Arial" w:hAnsi="Arial" w:cs="Arial"/>
                <w:color w:val="000000"/>
              </w:rPr>
            </w:pPr>
            <w:r>
              <w:rPr>
                <w:rFonts w:ascii="Arial" w:eastAsia="Arial" w:hAnsi="Arial" w:cs="Arial"/>
                <w:color w:val="000000"/>
              </w:rPr>
              <w:t>Name:</w:t>
            </w:r>
          </w:p>
        </w:tc>
        <w:tc>
          <w:tcPr>
            <w:tcW w:w="2980" w:type="dxa"/>
          </w:tcPr>
          <w:p w14:paraId="000001D2" w14:textId="289C98A8" w:rsidR="00F33A01" w:rsidRDefault="00F33A01">
            <w:pPr>
              <w:keepNext/>
              <w:pBdr>
                <w:top w:val="nil"/>
                <w:left w:val="nil"/>
                <w:bottom w:val="nil"/>
                <w:right w:val="nil"/>
                <w:between w:val="nil"/>
              </w:pBdr>
              <w:spacing w:before="240" w:after="120"/>
              <w:ind w:left="142"/>
              <w:jc w:val="both"/>
              <w:rPr>
                <w:rFonts w:ascii="Arial" w:eastAsia="Arial" w:hAnsi="Arial" w:cs="Arial"/>
                <w:color w:val="000000"/>
              </w:rPr>
            </w:pPr>
          </w:p>
        </w:tc>
        <w:tc>
          <w:tcPr>
            <w:tcW w:w="1556" w:type="dxa"/>
          </w:tcPr>
          <w:p w14:paraId="000001D3" w14:textId="77777777" w:rsidR="00F33A01" w:rsidRDefault="00CE4E7A">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rPr>
              <w:t>Name:</w:t>
            </w:r>
          </w:p>
        </w:tc>
        <w:tc>
          <w:tcPr>
            <w:tcW w:w="3108" w:type="dxa"/>
          </w:tcPr>
          <w:p w14:paraId="000001D4" w14:textId="1A993189" w:rsidR="00F33A01" w:rsidRDefault="00F33A01">
            <w:pPr>
              <w:keepNext/>
              <w:pBdr>
                <w:top w:val="nil"/>
                <w:left w:val="nil"/>
                <w:bottom w:val="nil"/>
                <w:right w:val="nil"/>
                <w:between w:val="nil"/>
              </w:pBdr>
              <w:spacing w:before="240" w:after="120"/>
              <w:ind w:left="142"/>
              <w:jc w:val="both"/>
              <w:rPr>
                <w:rFonts w:ascii="Arial" w:eastAsia="Arial" w:hAnsi="Arial" w:cs="Arial"/>
                <w:color w:val="000000"/>
              </w:rPr>
            </w:pPr>
          </w:p>
        </w:tc>
      </w:tr>
      <w:tr w:rsidR="00F33A01" w14:paraId="6798B1D2" w14:textId="77777777" w:rsidTr="00F33A01">
        <w:trPr>
          <w:trHeight w:val="635"/>
        </w:trPr>
        <w:tc>
          <w:tcPr>
            <w:tcW w:w="1526" w:type="dxa"/>
          </w:tcPr>
          <w:p w14:paraId="000001D5" w14:textId="77777777" w:rsidR="00F33A01" w:rsidRDefault="00CE4E7A">
            <w:pPr>
              <w:keepNext/>
              <w:pBdr>
                <w:top w:val="nil"/>
                <w:left w:val="nil"/>
                <w:bottom w:val="nil"/>
                <w:right w:val="nil"/>
                <w:between w:val="nil"/>
              </w:pBdr>
              <w:spacing w:before="240" w:after="120"/>
              <w:rPr>
                <w:rFonts w:ascii="Arial" w:eastAsia="Arial" w:hAnsi="Arial" w:cs="Arial"/>
                <w:color w:val="000000"/>
              </w:rPr>
            </w:pPr>
            <w:r>
              <w:rPr>
                <w:rFonts w:ascii="Arial" w:eastAsia="Arial" w:hAnsi="Arial" w:cs="Arial"/>
                <w:color w:val="000000"/>
              </w:rPr>
              <w:t>Role:</w:t>
            </w:r>
          </w:p>
        </w:tc>
        <w:tc>
          <w:tcPr>
            <w:tcW w:w="2980" w:type="dxa"/>
          </w:tcPr>
          <w:p w14:paraId="000001D6" w14:textId="10AF1A9C" w:rsidR="00F33A01" w:rsidRDefault="00F33A01">
            <w:pPr>
              <w:keepNext/>
              <w:pBdr>
                <w:top w:val="nil"/>
                <w:left w:val="nil"/>
                <w:bottom w:val="nil"/>
                <w:right w:val="nil"/>
                <w:between w:val="nil"/>
              </w:pBdr>
              <w:spacing w:before="240" w:after="120"/>
              <w:ind w:left="142"/>
              <w:jc w:val="both"/>
              <w:rPr>
                <w:rFonts w:ascii="Arial" w:eastAsia="Arial" w:hAnsi="Arial" w:cs="Arial"/>
                <w:color w:val="000000"/>
              </w:rPr>
            </w:pPr>
          </w:p>
        </w:tc>
        <w:tc>
          <w:tcPr>
            <w:tcW w:w="1556" w:type="dxa"/>
          </w:tcPr>
          <w:p w14:paraId="000001D7" w14:textId="77777777" w:rsidR="00F33A01" w:rsidRDefault="00CE4E7A">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rPr>
              <w:t>Role:</w:t>
            </w:r>
          </w:p>
        </w:tc>
        <w:tc>
          <w:tcPr>
            <w:tcW w:w="3108" w:type="dxa"/>
          </w:tcPr>
          <w:p w14:paraId="000001D8" w14:textId="020E19B5" w:rsidR="00F33A01" w:rsidRDefault="00F33A01">
            <w:pPr>
              <w:keepNext/>
              <w:pBdr>
                <w:top w:val="nil"/>
                <w:left w:val="nil"/>
                <w:bottom w:val="nil"/>
                <w:right w:val="nil"/>
                <w:between w:val="nil"/>
              </w:pBdr>
              <w:spacing w:before="240" w:after="120"/>
              <w:ind w:left="142"/>
              <w:jc w:val="both"/>
              <w:rPr>
                <w:rFonts w:ascii="Arial" w:eastAsia="Arial" w:hAnsi="Arial" w:cs="Arial"/>
                <w:color w:val="000000"/>
              </w:rPr>
            </w:pPr>
          </w:p>
        </w:tc>
      </w:tr>
      <w:tr w:rsidR="00F33A01" w14:paraId="67EAB3CE" w14:textId="77777777" w:rsidTr="00F33A01">
        <w:trPr>
          <w:trHeight w:val="863"/>
        </w:trPr>
        <w:tc>
          <w:tcPr>
            <w:tcW w:w="1526" w:type="dxa"/>
          </w:tcPr>
          <w:p w14:paraId="000001D9" w14:textId="77777777" w:rsidR="00F33A01" w:rsidRDefault="00CE4E7A">
            <w:pPr>
              <w:keepNext/>
              <w:pBdr>
                <w:top w:val="nil"/>
                <w:left w:val="nil"/>
                <w:bottom w:val="nil"/>
                <w:right w:val="nil"/>
                <w:between w:val="nil"/>
              </w:pBdr>
              <w:spacing w:before="240" w:after="120"/>
              <w:rPr>
                <w:rFonts w:ascii="Arial" w:eastAsia="Arial" w:hAnsi="Arial" w:cs="Arial"/>
                <w:color w:val="000000"/>
              </w:rPr>
            </w:pPr>
            <w:r>
              <w:rPr>
                <w:rFonts w:ascii="Arial" w:eastAsia="Arial" w:hAnsi="Arial" w:cs="Arial"/>
                <w:color w:val="000000"/>
              </w:rPr>
              <w:t>Date:</w:t>
            </w:r>
          </w:p>
        </w:tc>
        <w:tc>
          <w:tcPr>
            <w:tcW w:w="2980" w:type="dxa"/>
          </w:tcPr>
          <w:p w14:paraId="000001DA" w14:textId="77777777" w:rsidR="00F33A01" w:rsidRDefault="00F33A01">
            <w:pPr>
              <w:keepNext/>
              <w:pBdr>
                <w:top w:val="nil"/>
                <w:left w:val="nil"/>
                <w:bottom w:val="nil"/>
                <w:right w:val="nil"/>
                <w:between w:val="nil"/>
              </w:pBdr>
              <w:spacing w:before="240" w:after="120"/>
              <w:ind w:left="142"/>
              <w:jc w:val="both"/>
              <w:rPr>
                <w:rFonts w:ascii="Arial" w:eastAsia="Arial" w:hAnsi="Arial" w:cs="Arial"/>
                <w:color w:val="000000"/>
              </w:rPr>
            </w:pPr>
          </w:p>
        </w:tc>
        <w:tc>
          <w:tcPr>
            <w:tcW w:w="1556" w:type="dxa"/>
          </w:tcPr>
          <w:p w14:paraId="000001DB" w14:textId="77777777" w:rsidR="00F33A01" w:rsidRDefault="00CE4E7A">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rPr>
              <w:t>Date:</w:t>
            </w:r>
          </w:p>
        </w:tc>
        <w:tc>
          <w:tcPr>
            <w:tcW w:w="3108" w:type="dxa"/>
          </w:tcPr>
          <w:p w14:paraId="000001DC" w14:textId="3C7999F7" w:rsidR="00F33A01" w:rsidRDefault="00F33A01">
            <w:pPr>
              <w:keepNext/>
              <w:pBdr>
                <w:top w:val="nil"/>
                <w:left w:val="nil"/>
                <w:bottom w:val="nil"/>
                <w:right w:val="nil"/>
                <w:between w:val="nil"/>
              </w:pBdr>
              <w:spacing w:before="240" w:after="120"/>
              <w:ind w:left="142"/>
              <w:jc w:val="both"/>
              <w:rPr>
                <w:rFonts w:ascii="Arial" w:eastAsia="Arial" w:hAnsi="Arial" w:cs="Arial"/>
                <w:color w:val="000000"/>
              </w:rPr>
            </w:pPr>
          </w:p>
        </w:tc>
      </w:tr>
    </w:tbl>
    <w:p w14:paraId="000001DD" w14:textId="77777777" w:rsidR="00F33A01" w:rsidRDefault="00F33A01">
      <w:pPr>
        <w:rPr>
          <w:rFonts w:ascii="Arial" w:eastAsia="Arial" w:hAnsi="Arial" w:cs="Arial"/>
          <w:color w:val="1F497D"/>
          <w:highlight w:val="yellow"/>
        </w:rPr>
      </w:pPr>
    </w:p>
    <w:p w14:paraId="000001DF" w14:textId="77777777" w:rsidR="00F33A01" w:rsidRDefault="00F33A01">
      <w:pPr>
        <w:rPr>
          <w:rFonts w:ascii="Arial" w:eastAsia="Arial" w:hAnsi="Arial" w:cs="Arial"/>
        </w:rPr>
      </w:pPr>
    </w:p>
    <w:p w14:paraId="000001E1" w14:textId="3252B912" w:rsidR="00F33A01" w:rsidRDefault="004E4546">
      <w:pPr>
        <w:tabs>
          <w:tab w:val="left" w:pos="2257"/>
        </w:tabs>
        <w:spacing w:line="259" w:lineRule="auto"/>
        <w:rPr>
          <w:rFonts w:ascii="Arial" w:eastAsia="Arial" w:hAnsi="Arial" w:cs="Arial"/>
          <w:b/>
        </w:rPr>
      </w:pPr>
      <w:r>
        <w:rPr>
          <w:rFonts w:ascii="Arial" w:eastAsia="Arial" w:hAnsi="Arial" w:cs="Arial"/>
          <w:b/>
        </w:rPr>
        <w:t>Call-Off-Schedule 5 (Pricing Details)</w:t>
      </w:r>
    </w:p>
    <w:p w14:paraId="000001E2" w14:textId="77777777" w:rsidR="00F33A01" w:rsidRDefault="00F33A01">
      <w:pPr>
        <w:tabs>
          <w:tab w:val="left" w:pos="2257"/>
        </w:tabs>
        <w:spacing w:line="259" w:lineRule="auto"/>
        <w:rPr>
          <w:rFonts w:ascii="Arial" w:eastAsia="Arial" w:hAnsi="Arial" w:cs="Arial"/>
          <w:b/>
        </w:rPr>
      </w:pPr>
    </w:p>
    <w:p w14:paraId="0A26D428" w14:textId="77777777" w:rsidR="004E4546" w:rsidRDefault="004E4546" w:rsidP="004E4546">
      <w:pPr>
        <w:rPr>
          <w:rFonts w:ascii="Arial" w:eastAsia="Arial" w:hAnsi="Arial" w:cs="Arial"/>
          <w:b/>
          <w:sz w:val="36"/>
          <w:szCs w:val="36"/>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4E4546" w14:paraId="0552C744" w14:textId="77777777" w:rsidTr="00663301">
        <w:tc>
          <w:tcPr>
            <w:tcW w:w="9029" w:type="dxa"/>
            <w:shd w:val="clear" w:color="auto" w:fill="auto"/>
            <w:tcMar>
              <w:top w:w="100" w:type="dxa"/>
              <w:left w:w="100" w:type="dxa"/>
              <w:bottom w:w="100" w:type="dxa"/>
              <w:right w:w="100" w:type="dxa"/>
            </w:tcMar>
          </w:tcPr>
          <w:p w14:paraId="0EA5AFB7" w14:textId="77777777" w:rsidR="004E4546" w:rsidRDefault="004E4546" w:rsidP="00663301">
            <w:pPr>
              <w:widowControl w:val="0"/>
              <w:rPr>
                <w:rFonts w:ascii="Arial" w:eastAsia="Arial" w:hAnsi="Arial" w:cs="Arial"/>
                <w:color w:val="000000"/>
                <w:highlight w:val="yellow"/>
              </w:rPr>
            </w:pPr>
            <w:r w:rsidRPr="0077443C">
              <w:rPr>
                <w:rFonts w:ascii="Arial" w:eastAsia="Arial" w:hAnsi="Arial"/>
                <w:color w:val="000000"/>
              </w:rPr>
              <w:t>PLEASE RETAIN A COPY OF THIS SCHEDULE AS THIS FORMS PART OF YOUR CALL-OFF CONTRACT</w:t>
            </w:r>
          </w:p>
        </w:tc>
      </w:tr>
    </w:tbl>
    <w:p w14:paraId="53B32FA1" w14:textId="77777777" w:rsidR="004E4546" w:rsidRDefault="004E4546" w:rsidP="004E4546">
      <w:pPr>
        <w:rPr>
          <w:rFonts w:ascii="Arial" w:eastAsia="Arial" w:hAnsi="Arial" w:cs="Arial"/>
          <w:b/>
          <w:smallCaps/>
          <w:sz w:val="36"/>
          <w:szCs w:val="36"/>
        </w:rPr>
      </w:pPr>
    </w:p>
    <w:p w14:paraId="1C37089C" w14:textId="77777777" w:rsidR="004E4546" w:rsidRDefault="004E4546" w:rsidP="004E4546">
      <w:pPr>
        <w:pBdr>
          <w:top w:val="nil"/>
          <w:left w:val="nil"/>
          <w:bottom w:val="nil"/>
          <w:right w:val="nil"/>
          <w:between w:val="nil"/>
        </w:pBdr>
        <w:tabs>
          <w:tab w:val="center" w:pos="4153"/>
          <w:tab w:val="right" w:pos="8306"/>
          <w:tab w:val="left" w:pos="720"/>
          <w:tab w:val="center" w:pos="4513"/>
          <w:tab w:val="right" w:pos="9026"/>
        </w:tabs>
        <w:rPr>
          <w:rFonts w:ascii="Arial" w:eastAsia="Arial" w:hAnsi="Arial" w:cs="Arial"/>
          <w:b/>
          <w:smallCaps/>
          <w:color w:val="000000"/>
          <w:sz w:val="36"/>
          <w:szCs w:val="36"/>
        </w:rPr>
      </w:pPr>
      <w:r>
        <w:rPr>
          <w:rFonts w:ascii="Arial" w:eastAsia="Arial" w:hAnsi="Arial" w:cs="Arial"/>
          <w:b/>
          <w:color w:val="000000"/>
          <w:sz w:val="36"/>
          <w:szCs w:val="36"/>
        </w:rPr>
        <w:t>Call-Off Schedule 5 (Pricing Details)</w:t>
      </w:r>
    </w:p>
    <w:p w14:paraId="06520957" w14:textId="77777777" w:rsidR="004E4546" w:rsidRDefault="004E4546" w:rsidP="004E4546">
      <w:pPr>
        <w:pBdr>
          <w:top w:val="nil"/>
          <w:left w:val="nil"/>
          <w:bottom w:val="nil"/>
          <w:right w:val="nil"/>
          <w:between w:val="nil"/>
        </w:pBdr>
        <w:tabs>
          <w:tab w:val="center" w:pos="4153"/>
          <w:tab w:val="right" w:pos="8306"/>
          <w:tab w:val="left" w:pos="720"/>
          <w:tab w:val="center" w:pos="4513"/>
          <w:tab w:val="right" w:pos="9026"/>
        </w:tabs>
        <w:rPr>
          <w:rFonts w:ascii="Arial" w:eastAsia="Arial" w:hAnsi="Arial" w:cs="Arial"/>
          <w:b/>
          <w:smallCaps/>
          <w:color w:val="000000"/>
        </w:rPr>
      </w:pPr>
    </w:p>
    <w:p w14:paraId="143CF8B8" w14:textId="77777777" w:rsidR="004E4546" w:rsidRDefault="004E4546" w:rsidP="004E4546">
      <w:pPr>
        <w:spacing w:after="200" w:line="276" w:lineRule="auto"/>
        <w:rPr>
          <w:rFonts w:ascii="Arial" w:eastAsia="Arial" w:hAnsi="Arial" w:cs="Arial"/>
        </w:rPr>
      </w:pPr>
    </w:p>
    <w:tbl>
      <w:tblPr>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top w:w="100" w:type="dxa"/>
          <w:left w:w="100" w:type="dxa"/>
          <w:bottom w:w="100" w:type="dxa"/>
          <w:right w:w="100" w:type="dxa"/>
        </w:tblCellMar>
        <w:tblLook w:val="0400" w:firstRow="0" w:lastRow="0" w:firstColumn="0" w:lastColumn="0" w:noHBand="0" w:noVBand="1"/>
      </w:tblPr>
      <w:tblGrid>
        <w:gridCol w:w="4509"/>
        <w:gridCol w:w="4510"/>
      </w:tblGrid>
      <w:tr w:rsidR="004E4546" w14:paraId="3A9062B9" w14:textId="77777777" w:rsidTr="00663301">
        <w:tc>
          <w:tcPr>
            <w:tcW w:w="4509" w:type="dxa"/>
            <w:shd w:val="clear" w:color="auto" w:fill="auto"/>
          </w:tcPr>
          <w:p w14:paraId="021E6178" w14:textId="77777777" w:rsidR="004E4546" w:rsidRDefault="004E4546" w:rsidP="00663301">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All changes to the Charges must use procedures that are equivalent to those in Paragraphs 4 and 5 in Framework Schedule 3 (Framework Prices)</w:t>
            </w:r>
          </w:p>
          <w:p w14:paraId="628DFC07" w14:textId="77777777" w:rsidR="004E4546" w:rsidRDefault="004E4546" w:rsidP="00663301">
            <w:pPr>
              <w:pBdr>
                <w:top w:val="nil"/>
                <w:left w:val="nil"/>
                <w:bottom w:val="nil"/>
                <w:right w:val="nil"/>
                <w:between w:val="nil"/>
              </w:pBdr>
              <w:spacing w:after="200" w:line="276" w:lineRule="auto"/>
              <w:rPr>
                <w:rFonts w:ascii="Arial" w:eastAsia="Arial" w:hAnsi="Arial" w:cs="Arial"/>
                <w:b/>
                <w:color w:val="000000"/>
              </w:rPr>
            </w:pPr>
          </w:p>
        </w:tc>
        <w:tc>
          <w:tcPr>
            <w:tcW w:w="4510" w:type="dxa"/>
            <w:shd w:val="clear" w:color="auto" w:fill="auto"/>
          </w:tcPr>
          <w:p w14:paraId="7C0A84AA" w14:textId="77777777" w:rsidR="004E4546" w:rsidRDefault="004E4546" w:rsidP="00663301">
            <w:pPr>
              <w:spacing w:after="200" w:line="276" w:lineRule="auto"/>
              <w:rPr>
                <w:rFonts w:ascii="Arial" w:eastAsia="Arial" w:hAnsi="Arial" w:cs="Arial"/>
                <w:sz w:val="20"/>
                <w:szCs w:val="20"/>
              </w:rPr>
            </w:pPr>
          </w:p>
        </w:tc>
      </w:tr>
    </w:tbl>
    <w:p w14:paraId="50281B83" w14:textId="77777777" w:rsidR="004E4546" w:rsidRDefault="004E4546" w:rsidP="004E4546">
      <w:pPr>
        <w:spacing w:after="200" w:line="276" w:lineRule="auto"/>
        <w:rPr>
          <w:rFonts w:ascii="Arial" w:eastAsia="Arial" w:hAnsi="Arial" w:cs="Arial"/>
        </w:rPr>
      </w:pPr>
    </w:p>
    <w:p w14:paraId="2DB4554B" w14:textId="71FCEC6C" w:rsidR="004E4546" w:rsidRDefault="004B423A" w:rsidP="004E4546">
      <w:pPr>
        <w:spacing w:after="200" w:line="276" w:lineRule="auto"/>
        <w:rPr>
          <w:rFonts w:ascii="Arial" w:eastAsia="Arial" w:hAnsi="Arial" w:cs="Arial"/>
        </w:rPr>
      </w:pPr>
      <w:r>
        <w:rPr>
          <w:rFonts w:ascii="Arial" w:eastAsia="Arial" w:hAnsi="Arial" w:cs="Arial"/>
        </w:rPr>
        <w:t xml:space="preserve">Summary of </w:t>
      </w:r>
      <w:r w:rsidR="00EE08F0">
        <w:rPr>
          <w:rFonts w:ascii="Arial" w:eastAsia="Arial" w:hAnsi="Arial" w:cs="Arial"/>
        </w:rPr>
        <w:t xml:space="preserve">agreed </w:t>
      </w:r>
      <w:r>
        <w:rPr>
          <w:rFonts w:ascii="Arial" w:eastAsia="Arial" w:hAnsi="Arial" w:cs="Arial"/>
        </w:rPr>
        <w:t>c</w:t>
      </w:r>
      <w:r w:rsidR="004E4546">
        <w:rPr>
          <w:rFonts w:ascii="Arial" w:eastAsia="Arial" w:hAnsi="Arial" w:cs="Arial"/>
        </w:rPr>
        <w:t>harges</w:t>
      </w:r>
      <w:r>
        <w:rPr>
          <w:rFonts w:ascii="Arial" w:eastAsia="Arial" w:hAnsi="Arial" w:cs="Arial"/>
        </w:rPr>
        <w:t xml:space="preserve"> below</w:t>
      </w:r>
      <w:r w:rsidR="00EE08F0">
        <w:rPr>
          <w:rFonts w:ascii="Arial" w:eastAsia="Arial" w:hAnsi="Arial" w:cs="Arial"/>
        </w:rPr>
        <w:t>.</w:t>
      </w:r>
    </w:p>
    <w:p w14:paraId="000001E3" w14:textId="77777777" w:rsidR="00F33A01" w:rsidRDefault="00F33A01">
      <w:pPr>
        <w:rPr>
          <w:b/>
        </w:rPr>
      </w:pPr>
    </w:p>
    <w:p w14:paraId="3126CDCE" w14:textId="77777777" w:rsidR="002813DC" w:rsidRDefault="002813DC">
      <w:pPr>
        <w:rPr>
          <w:b/>
        </w:rPr>
      </w:pPr>
    </w:p>
    <w:p w14:paraId="25C42932" w14:textId="77777777" w:rsidR="002813DC" w:rsidRDefault="002813DC">
      <w:pPr>
        <w:rPr>
          <w:b/>
        </w:rPr>
      </w:pPr>
    </w:p>
    <w:p w14:paraId="0326CAF1" w14:textId="77777777" w:rsidR="002813DC" w:rsidRDefault="002813DC">
      <w:pPr>
        <w:rPr>
          <w:b/>
        </w:rPr>
      </w:pPr>
    </w:p>
    <w:p w14:paraId="0C3B72AC" w14:textId="77777777" w:rsidR="002813DC" w:rsidRDefault="002813DC">
      <w:pPr>
        <w:rPr>
          <w:b/>
        </w:rPr>
      </w:pPr>
    </w:p>
    <w:p w14:paraId="389667F6" w14:textId="77777777" w:rsidR="002813DC" w:rsidRDefault="002813DC">
      <w:pPr>
        <w:rPr>
          <w:b/>
        </w:rPr>
      </w:pPr>
    </w:p>
    <w:p w14:paraId="2B62401B" w14:textId="77777777" w:rsidR="002813DC" w:rsidRDefault="002813DC">
      <w:pPr>
        <w:rPr>
          <w:b/>
        </w:rPr>
      </w:pPr>
    </w:p>
    <w:p w14:paraId="4721D739" w14:textId="77777777" w:rsidR="002813DC" w:rsidRDefault="002813DC">
      <w:pPr>
        <w:rPr>
          <w:b/>
        </w:rPr>
      </w:pPr>
    </w:p>
    <w:p w14:paraId="295BADC1" w14:textId="77777777" w:rsidR="004B423A" w:rsidRDefault="004B423A">
      <w:pPr>
        <w:rPr>
          <w:b/>
        </w:rPr>
      </w:pPr>
    </w:p>
    <w:p w14:paraId="2BFE207A" w14:textId="77777777" w:rsidR="009F0F50" w:rsidRDefault="009F0F50">
      <w:pPr>
        <w:rPr>
          <w:b/>
        </w:rPr>
      </w:pPr>
    </w:p>
    <w:p w14:paraId="1953D613" w14:textId="77777777" w:rsidR="009F0F50" w:rsidRDefault="009F0F50">
      <w:pPr>
        <w:rPr>
          <w:b/>
        </w:rPr>
      </w:pPr>
    </w:p>
    <w:p w14:paraId="3129339A" w14:textId="77777777" w:rsidR="009F0F50" w:rsidRDefault="009F0F50">
      <w:pPr>
        <w:rPr>
          <w:b/>
        </w:rPr>
      </w:pPr>
    </w:p>
    <w:p w14:paraId="591C0618" w14:textId="77777777" w:rsidR="009F0F50" w:rsidRDefault="009F0F50">
      <w:pPr>
        <w:rPr>
          <w:b/>
        </w:rPr>
      </w:pPr>
    </w:p>
    <w:p w14:paraId="5F4AD5AA" w14:textId="77777777" w:rsidR="002813DC" w:rsidRDefault="002813DC">
      <w:pPr>
        <w:rPr>
          <w:b/>
        </w:rPr>
      </w:pPr>
    </w:p>
    <w:p w14:paraId="274F81A2" w14:textId="77777777" w:rsidR="002813DC" w:rsidRDefault="002813DC">
      <w:pPr>
        <w:rPr>
          <w:b/>
        </w:rPr>
      </w:pPr>
    </w:p>
    <w:p w14:paraId="15966607" w14:textId="3BC7618E" w:rsidR="002813DC" w:rsidRDefault="00A16D15">
      <w:pPr>
        <w:rPr>
          <w:b/>
        </w:rPr>
      </w:pPr>
      <w:r>
        <w:rPr>
          <w:b/>
        </w:rPr>
        <w:t>Annex</w:t>
      </w:r>
      <w:r w:rsidR="002813DC">
        <w:rPr>
          <w:b/>
        </w:rPr>
        <w:t xml:space="preserve"> 1 </w:t>
      </w:r>
    </w:p>
    <w:p w14:paraId="2242646A" w14:textId="3C840DBB" w:rsidR="002813DC" w:rsidRDefault="002813DC">
      <w:pPr>
        <w:rPr>
          <w:b/>
        </w:rPr>
      </w:pPr>
    </w:p>
    <w:p w14:paraId="3E987346" w14:textId="40214A25" w:rsidR="002813DC" w:rsidRDefault="002813DC">
      <w:pPr>
        <w:rPr>
          <w:b/>
        </w:rPr>
      </w:pPr>
      <w:r>
        <w:rPr>
          <w:b/>
        </w:rPr>
        <w:t>“BEIS 2024 Extension Pricing Appendix”</w:t>
      </w:r>
      <w:r w:rsidR="00716EFC">
        <w:rPr>
          <w:b/>
        </w:rPr>
        <w:t xml:space="preserve"> </w:t>
      </w:r>
    </w:p>
    <w:p w14:paraId="2425CD9C" w14:textId="77777777" w:rsidR="004E4546" w:rsidRDefault="004E4546">
      <w:pPr>
        <w:rPr>
          <w:b/>
        </w:rPr>
      </w:pPr>
    </w:p>
    <w:p w14:paraId="3C225657" w14:textId="75BFAC28" w:rsidR="004B0C69" w:rsidRPr="004B423A" w:rsidRDefault="006F033F" w:rsidP="004B423A">
      <w:r w:rsidRPr="004B423A">
        <w:t>Summary</w:t>
      </w:r>
    </w:p>
    <w:p w14:paraId="7FAEEC11" w14:textId="0F06E9DE" w:rsidR="00493085" w:rsidRPr="00493085" w:rsidRDefault="00493085" w:rsidP="00493085"/>
    <w:p w14:paraId="37953D8E" w14:textId="52B16EE2" w:rsidR="00493085" w:rsidRPr="00493085" w:rsidRDefault="00493085" w:rsidP="00493085"/>
    <w:p w14:paraId="5AAADFC5" w14:textId="782B7F94" w:rsidR="00493085" w:rsidRPr="00493085" w:rsidRDefault="00493085" w:rsidP="00493085"/>
    <w:p w14:paraId="7F4F5472" w14:textId="7788217F" w:rsidR="00493085" w:rsidRPr="00493085" w:rsidRDefault="00493085" w:rsidP="00493085"/>
    <w:p w14:paraId="1C386E46" w14:textId="018863AD" w:rsidR="00493085" w:rsidRPr="00493085" w:rsidRDefault="00493085" w:rsidP="00493085"/>
    <w:p w14:paraId="467FCC9E" w14:textId="29440496" w:rsidR="00493085" w:rsidRPr="00493085" w:rsidRDefault="00493085" w:rsidP="00493085"/>
    <w:p w14:paraId="4C69408C" w14:textId="2BC59A0F" w:rsidR="00493085" w:rsidRPr="00493085" w:rsidRDefault="00493085" w:rsidP="00493085"/>
    <w:p w14:paraId="6D8DD70D" w14:textId="4F1DDCC1" w:rsidR="00493085" w:rsidRPr="00493085" w:rsidRDefault="00493085" w:rsidP="00493085"/>
    <w:p w14:paraId="4C249489" w14:textId="77777777" w:rsidR="00493085" w:rsidRPr="00493085" w:rsidRDefault="00493085" w:rsidP="00493085"/>
    <w:p w14:paraId="20112A12" w14:textId="51B5EA41" w:rsidR="00493085" w:rsidRDefault="00493085" w:rsidP="00493085"/>
    <w:p w14:paraId="00A71BC6" w14:textId="77777777" w:rsidR="004B423A" w:rsidRDefault="004B423A" w:rsidP="00493085"/>
    <w:p w14:paraId="4AB29DF9" w14:textId="77777777" w:rsidR="004B423A" w:rsidRDefault="004B423A" w:rsidP="00493085"/>
    <w:p w14:paraId="14145F02" w14:textId="77777777" w:rsidR="004B423A" w:rsidRDefault="004B423A" w:rsidP="00493085"/>
    <w:p w14:paraId="0F648BBC" w14:textId="77777777" w:rsidR="004B423A" w:rsidRDefault="004B423A" w:rsidP="00493085"/>
    <w:p w14:paraId="0F23A9D0" w14:textId="77777777" w:rsidR="004B423A" w:rsidRDefault="004B423A" w:rsidP="00493085"/>
    <w:p w14:paraId="4BB1BBBC" w14:textId="77777777" w:rsidR="004B423A" w:rsidRDefault="004B423A" w:rsidP="00493085"/>
    <w:p w14:paraId="3AB18ECD" w14:textId="77777777" w:rsidR="004B423A" w:rsidRDefault="004B423A" w:rsidP="00493085"/>
    <w:p w14:paraId="0DF16115" w14:textId="77777777" w:rsidR="004B423A" w:rsidRDefault="004B423A" w:rsidP="00493085"/>
    <w:p w14:paraId="538374F1" w14:textId="77777777" w:rsidR="004B423A" w:rsidRDefault="004B423A" w:rsidP="00493085"/>
    <w:p w14:paraId="6B472CF0" w14:textId="77777777" w:rsidR="004B423A" w:rsidRDefault="004B423A" w:rsidP="00493085"/>
    <w:p w14:paraId="56134CF1" w14:textId="77777777" w:rsidR="004B423A" w:rsidRDefault="004B423A" w:rsidP="00493085"/>
    <w:p w14:paraId="4C222ED9" w14:textId="77777777" w:rsidR="004B423A" w:rsidRDefault="004B423A" w:rsidP="00493085"/>
    <w:p w14:paraId="0D19A85F" w14:textId="77777777" w:rsidR="004B423A" w:rsidRDefault="004B423A" w:rsidP="00493085"/>
    <w:p w14:paraId="08CFF1FD" w14:textId="77777777" w:rsidR="004B423A" w:rsidRDefault="004B423A" w:rsidP="00493085"/>
    <w:p w14:paraId="3C9F64ED" w14:textId="77777777" w:rsidR="004B423A" w:rsidRDefault="004B423A" w:rsidP="00493085"/>
    <w:p w14:paraId="14370A7C" w14:textId="77777777" w:rsidR="0013491D" w:rsidRDefault="0013491D" w:rsidP="00493085"/>
    <w:p w14:paraId="098D4CC1" w14:textId="77777777" w:rsidR="004B423A" w:rsidRDefault="004B423A" w:rsidP="00493085"/>
    <w:p w14:paraId="2BEBC166" w14:textId="77777777" w:rsidR="004B423A" w:rsidRDefault="004B423A" w:rsidP="00493085"/>
    <w:p w14:paraId="17063C7A" w14:textId="77777777" w:rsidR="00E951BB" w:rsidRDefault="00E951BB" w:rsidP="00493085"/>
    <w:p w14:paraId="00B77099" w14:textId="77777777" w:rsidR="00E951BB" w:rsidRDefault="00E951BB" w:rsidP="00493085"/>
    <w:p w14:paraId="4BB21FBF" w14:textId="77777777" w:rsidR="00E951BB" w:rsidRDefault="00E951BB" w:rsidP="00493085"/>
    <w:p w14:paraId="69DC8723" w14:textId="77777777" w:rsidR="00996364" w:rsidRPr="00493085" w:rsidRDefault="00996364" w:rsidP="00493085"/>
    <w:p w14:paraId="5499CB6E" w14:textId="1FDFA85F" w:rsidR="00493085" w:rsidRPr="004B423A" w:rsidRDefault="006F033F" w:rsidP="004B423A">
      <w:r w:rsidRPr="004B423A">
        <w:t>Device rental</w:t>
      </w:r>
    </w:p>
    <w:p w14:paraId="401B9F96" w14:textId="0E53C047" w:rsidR="00493085" w:rsidRDefault="00493085" w:rsidP="00493085">
      <w:pPr>
        <w:tabs>
          <w:tab w:val="left" w:pos="1044"/>
        </w:tabs>
        <w:rPr>
          <w:noProof/>
        </w:rPr>
      </w:pPr>
      <w:r>
        <w:tab/>
      </w:r>
    </w:p>
    <w:p w14:paraId="25283707" w14:textId="252B6FBB" w:rsidR="005F4EC1" w:rsidRDefault="005F4EC1" w:rsidP="005F4EC1">
      <w:pPr>
        <w:rPr>
          <w:noProof/>
        </w:rPr>
      </w:pPr>
    </w:p>
    <w:p w14:paraId="5669DCA1" w14:textId="1FA0B0CC" w:rsidR="005F4EC1" w:rsidRPr="005F4EC1" w:rsidRDefault="005F4EC1" w:rsidP="005F4EC1">
      <w:pPr>
        <w:tabs>
          <w:tab w:val="left" w:pos="936"/>
        </w:tabs>
      </w:pPr>
      <w:r>
        <w:lastRenderedPageBreak/>
        <w:tab/>
      </w:r>
    </w:p>
    <w:sectPr w:rsidR="005F4EC1" w:rsidRPr="005F4EC1">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1321" w14:textId="77777777" w:rsidR="00805B6D" w:rsidRDefault="00805B6D" w:rsidP="0020315D">
      <w:r>
        <w:separator/>
      </w:r>
    </w:p>
  </w:endnote>
  <w:endnote w:type="continuationSeparator" w:id="0">
    <w:p w14:paraId="6499CE99" w14:textId="77777777" w:rsidR="00805B6D" w:rsidRDefault="00805B6D" w:rsidP="0020315D">
      <w:r>
        <w:continuationSeparator/>
      </w:r>
    </w:p>
  </w:endnote>
  <w:endnote w:type="continuationNotice" w:id="1">
    <w:p w14:paraId="033421C3" w14:textId="77777777" w:rsidR="00805B6D" w:rsidRDefault="00805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2FEC" w14:textId="77777777" w:rsidR="0020315D" w:rsidRDefault="00203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D661" w14:textId="77777777" w:rsidR="0020315D" w:rsidRPr="00623ED5" w:rsidRDefault="0020315D" w:rsidP="0020315D">
    <w:pPr>
      <w:tabs>
        <w:tab w:val="center" w:pos="4513"/>
        <w:tab w:val="right" w:pos="9026"/>
      </w:tabs>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6174</w:t>
    </w:r>
    <w:r w:rsidRPr="00623ED5">
      <w:rPr>
        <w:rFonts w:ascii="Arial" w:hAnsi="Arial" w:cs="Arial"/>
        <w:sz w:val="20"/>
        <w:szCs w:val="20"/>
      </w:rPr>
      <w:tab/>
      <w:t xml:space="preserve">                                           </w:t>
    </w:r>
  </w:p>
  <w:p w14:paraId="0A59F972" w14:textId="77777777" w:rsidR="0020315D" w:rsidRDefault="0020315D" w:rsidP="0020315D">
    <w:pPr>
      <w:pStyle w:val="Footer"/>
    </w:pPr>
    <w:r w:rsidRPr="00623ED5">
      <w:rPr>
        <w:rFonts w:ascii="Arial" w:hAnsi="Arial" w:cs="Arial"/>
        <w:sz w:val="20"/>
        <w:szCs w:val="20"/>
      </w:rPr>
      <w:t>Project Version: v1.0</w:t>
    </w:r>
  </w:p>
  <w:p w14:paraId="0B5428F9" w14:textId="77777777" w:rsidR="0020315D" w:rsidRDefault="002031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89FF" w14:textId="77777777" w:rsidR="0020315D" w:rsidRDefault="00203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65F3" w14:textId="77777777" w:rsidR="00805B6D" w:rsidRDefault="00805B6D" w:rsidP="0020315D">
      <w:r>
        <w:separator/>
      </w:r>
    </w:p>
  </w:footnote>
  <w:footnote w:type="continuationSeparator" w:id="0">
    <w:p w14:paraId="13002C37" w14:textId="77777777" w:rsidR="00805B6D" w:rsidRDefault="00805B6D" w:rsidP="0020315D">
      <w:r>
        <w:continuationSeparator/>
      </w:r>
    </w:p>
  </w:footnote>
  <w:footnote w:type="continuationNotice" w:id="1">
    <w:p w14:paraId="6DCAEB6A" w14:textId="77777777" w:rsidR="00805B6D" w:rsidRDefault="00805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9676" w14:textId="77777777" w:rsidR="0020315D" w:rsidRDefault="00203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C559" w14:textId="77777777" w:rsidR="0020315D" w:rsidRPr="00623ED5" w:rsidRDefault="0020315D" w:rsidP="0020315D">
    <w:pPr>
      <w:pStyle w:val="Header"/>
      <w:rPr>
        <w:rFonts w:ascii="Arial" w:hAnsi="Arial" w:cs="Arial"/>
        <w:sz w:val="20"/>
      </w:rPr>
    </w:pPr>
    <w:r w:rsidRPr="00623ED5">
      <w:rPr>
        <w:rFonts w:ascii="Arial" w:hAnsi="Arial" w:cs="Arial"/>
        <w:b/>
        <w:sz w:val="20"/>
      </w:rPr>
      <w:t>Framework Schedule 6 (Order Form Template and Call-Off Schedules)</w:t>
    </w:r>
  </w:p>
  <w:p w14:paraId="6DBA9E41" w14:textId="77777777" w:rsidR="0020315D" w:rsidRPr="00623ED5" w:rsidRDefault="0020315D" w:rsidP="0020315D">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rPr>
      <w:t xml:space="preserve"> </w:t>
    </w:r>
    <w:r>
      <w:rPr>
        <w:rFonts w:ascii="Arial" w:hAnsi="Arial" w:cs="Arial"/>
        <w:sz w:val="20"/>
        <w:szCs w:val="16"/>
      </w:rPr>
      <w:t>2020</w:t>
    </w:r>
  </w:p>
  <w:p w14:paraId="5ABC417E" w14:textId="77777777" w:rsidR="0020315D" w:rsidRDefault="00203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64DC" w14:textId="77777777" w:rsidR="0020315D" w:rsidRDefault="00203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E49"/>
    <w:multiLevelType w:val="multilevel"/>
    <w:tmpl w:val="0E508B6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F58C5"/>
    <w:multiLevelType w:val="hybridMultilevel"/>
    <w:tmpl w:val="EF2C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26258B"/>
    <w:multiLevelType w:val="hybridMultilevel"/>
    <w:tmpl w:val="85908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D0E4F"/>
    <w:multiLevelType w:val="hybridMultilevel"/>
    <w:tmpl w:val="189A3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552F6"/>
    <w:multiLevelType w:val="hybridMultilevel"/>
    <w:tmpl w:val="6C1CD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D13359"/>
    <w:multiLevelType w:val="hybridMultilevel"/>
    <w:tmpl w:val="3DA41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787C79"/>
    <w:multiLevelType w:val="hybridMultilevel"/>
    <w:tmpl w:val="E74CE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07F29"/>
    <w:multiLevelType w:val="hybridMultilevel"/>
    <w:tmpl w:val="366E7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FA0CC4"/>
    <w:multiLevelType w:val="hybridMultilevel"/>
    <w:tmpl w:val="C9462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C21D40"/>
    <w:multiLevelType w:val="hybridMultilevel"/>
    <w:tmpl w:val="C694D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EE6341"/>
    <w:multiLevelType w:val="hybridMultilevel"/>
    <w:tmpl w:val="E5A22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40C30C6"/>
    <w:multiLevelType w:val="hybridMultilevel"/>
    <w:tmpl w:val="C7E64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B81C4F"/>
    <w:multiLevelType w:val="hybridMultilevel"/>
    <w:tmpl w:val="9044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F3EC3"/>
    <w:multiLevelType w:val="hybridMultilevel"/>
    <w:tmpl w:val="E6F00D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3C964F0"/>
    <w:multiLevelType w:val="hybridMultilevel"/>
    <w:tmpl w:val="09B8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A4303C"/>
    <w:multiLevelType w:val="multilevel"/>
    <w:tmpl w:val="3F8417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78D71ED2"/>
    <w:multiLevelType w:val="multilevel"/>
    <w:tmpl w:val="4C888FCC"/>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E555BDD"/>
    <w:multiLevelType w:val="hybridMultilevel"/>
    <w:tmpl w:val="106E9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8589134">
    <w:abstractNumId w:val="0"/>
  </w:num>
  <w:num w:numId="2" w16cid:durableId="822964000">
    <w:abstractNumId w:val="15"/>
  </w:num>
  <w:num w:numId="3" w16cid:durableId="1947233048">
    <w:abstractNumId w:val="16"/>
  </w:num>
  <w:num w:numId="4" w16cid:durableId="7339678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51162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4231598">
    <w:abstractNumId w:val="6"/>
  </w:num>
  <w:num w:numId="7" w16cid:durableId="1224213821">
    <w:abstractNumId w:val="13"/>
  </w:num>
  <w:num w:numId="8" w16cid:durableId="1811822954">
    <w:abstractNumId w:val="2"/>
  </w:num>
  <w:num w:numId="9" w16cid:durableId="445929950">
    <w:abstractNumId w:val="10"/>
  </w:num>
  <w:num w:numId="10" w16cid:durableId="1544176810">
    <w:abstractNumId w:val="8"/>
  </w:num>
  <w:num w:numId="11" w16cid:durableId="1484733705">
    <w:abstractNumId w:val="5"/>
  </w:num>
  <w:num w:numId="12" w16cid:durableId="731080840">
    <w:abstractNumId w:val="14"/>
  </w:num>
  <w:num w:numId="13" w16cid:durableId="97023128">
    <w:abstractNumId w:val="11"/>
  </w:num>
  <w:num w:numId="14" w16cid:durableId="1194882090">
    <w:abstractNumId w:val="1"/>
  </w:num>
  <w:num w:numId="15" w16cid:durableId="1569531193">
    <w:abstractNumId w:val="4"/>
  </w:num>
  <w:num w:numId="16" w16cid:durableId="2085375205">
    <w:abstractNumId w:val="17"/>
  </w:num>
  <w:num w:numId="17" w16cid:durableId="821505531">
    <w:abstractNumId w:val="7"/>
  </w:num>
  <w:num w:numId="18" w16cid:durableId="1381049636">
    <w:abstractNumId w:val="3"/>
  </w:num>
  <w:num w:numId="19" w16cid:durableId="721444884">
    <w:abstractNumId w:val="9"/>
  </w:num>
  <w:num w:numId="20" w16cid:durableId="4206137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01"/>
    <w:rsid w:val="0000605B"/>
    <w:rsid w:val="0000670F"/>
    <w:rsid w:val="000179B5"/>
    <w:rsid w:val="000209F5"/>
    <w:rsid w:val="00084039"/>
    <w:rsid w:val="00087391"/>
    <w:rsid w:val="00090927"/>
    <w:rsid w:val="00097FBF"/>
    <w:rsid w:val="000E0A40"/>
    <w:rsid w:val="000E1421"/>
    <w:rsid w:val="000E35E9"/>
    <w:rsid w:val="0010761B"/>
    <w:rsid w:val="00122F28"/>
    <w:rsid w:val="00126EDC"/>
    <w:rsid w:val="0013491D"/>
    <w:rsid w:val="00160A4E"/>
    <w:rsid w:val="001974F7"/>
    <w:rsid w:val="001E1B78"/>
    <w:rsid w:val="001F1A3C"/>
    <w:rsid w:val="002003DF"/>
    <w:rsid w:val="0020315D"/>
    <w:rsid w:val="00230D99"/>
    <w:rsid w:val="0023248A"/>
    <w:rsid w:val="0026095B"/>
    <w:rsid w:val="0027025E"/>
    <w:rsid w:val="002813DC"/>
    <w:rsid w:val="00291E4A"/>
    <w:rsid w:val="002A0415"/>
    <w:rsid w:val="002A2B42"/>
    <w:rsid w:val="002B019F"/>
    <w:rsid w:val="002D3AC5"/>
    <w:rsid w:val="002E140D"/>
    <w:rsid w:val="002F7336"/>
    <w:rsid w:val="00304072"/>
    <w:rsid w:val="003429CD"/>
    <w:rsid w:val="0035072A"/>
    <w:rsid w:val="00353C66"/>
    <w:rsid w:val="0036546F"/>
    <w:rsid w:val="00385CDC"/>
    <w:rsid w:val="003A1BBE"/>
    <w:rsid w:val="003A291C"/>
    <w:rsid w:val="003C5D30"/>
    <w:rsid w:val="003C7036"/>
    <w:rsid w:val="003D3467"/>
    <w:rsid w:val="003E0AD7"/>
    <w:rsid w:val="003E255C"/>
    <w:rsid w:val="003F5ECD"/>
    <w:rsid w:val="004406D6"/>
    <w:rsid w:val="00447001"/>
    <w:rsid w:val="004553EE"/>
    <w:rsid w:val="00493085"/>
    <w:rsid w:val="004B0C69"/>
    <w:rsid w:val="004B423A"/>
    <w:rsid w:val="004C3D74"/>
    <w:rsid w:val="004D2E3D"/>
    <w:rsid w:val="004E4546"/>
    <w:rsid w:val="004F0536"/>
    <w:rsid w:val="00502701"/>
    <w:rsid w:val="00512B45"/>
    <w:rsid w:val="00526DCD"/>
    <w:rsid w:val="00565B73"/>
    <w:rsid w:val="00573200"/>
    <w:rsid w:val="00584B01"/>
    <w:rsid w:val="005A3179"/>
    <w:rsid w:val="005B4875"/>
    <w:rsid w:val="005B728C"/>
    <w:rsid w:val="005B74E7"/>
    <w:rsid w:val="005C1A7A"/>
    <w:rsid w:val="005C2449"/>
    <w:rsid w:val="005E3303"/>
    <w:rsid w:val="005F4D90"/>
    <w:rsid w:val="005F4EC1"/>
    <w:rsid w:val="006171B6"/>
    <w:rsid w:val="006231A1"/>
    <w:rsid w:val="00654C1B"/>
    <w:rsid w:val="006674C3"/>
    <w:rsid w:val="00682E2A"/>
    <w:rsid w:val="006838D4"/>
    <w:rsid w:val="006C06AA"/>
    <w:rsid w:val="006D1DED"/>
    <w:rsid w:val="006F033F"/>
    <w:rsid w:val="00702FCE"/>
    <w:rsid w:val="00705AB0"/>
    <w:rsid w:val="00716EFC"/>
    <w:rsid w:val="00741332"/>
    <w:rsid w:val="00746A02"/>
    <w:rsid w:val="00783308"/>
    <w:rsid w:val="00786A46"/>
    <w:rsid w:val="007A4CE3"/>
    <w:rsid w:val="007A6222"/>
    <w:rsid w:val="007D38F1"/>
    <w:rsid w:val="007F0283"/>
    <w:rsid w:val="007F713A"/>
    <w:rsid w:val="00805B6D"/>
    <w:rsid w:val="008074EE"/>
    <w:rsid w:val="00814B58"/>
    <w:rsid w:val="00823146"/>
    <w:rsid w:val="00831301"/>
    <w:rsid w:val="008321C8"/>
    <w:rsid w:val="00850909"/>
    <w:rsid w:val="008649CD"/>
    <w:rsid w:val="0087231D"/>
    <w:rsid w:val="00882604"/>
    <w:rsid w:val="00883CAB"/>
    <w:rsid w:val="008A2D0B"/>
    <w:rsid w:val="008C0EEE"/>
    <w:rsid w:val="008D1BAC"/>
    <w:rsid w:val="008F4A6C"/>
    <w:rsid w:val="00901A52"/>
    <w:rsid w:val="00996364"/>
    <w:rsid w:val="009A2C28"/>
    <w:rsid w:val="009A6A2A"/>
    <w:rsid w:val="009B2868"/>
    <w:rsid w:val="009B378B"/>
    <w:rsid w:val="009B6031"/>
    <w:rsid w:val="009B62BA"/>
    <w:rsid w:val="009C7F84"/>
    <w:rsid w:val="009F0F50"/>
    <w:rsid w:val="009F6DF6"/>
    <w:rsid w:val="00A15917"/>
    <w:rsid w:val="00A16D15"/>
    <w:rsid w:val="00A3507D"/>
    <w:rsid w:val="00A41448"/>
    <w:rsid w:val="00A44930"/>
    <w:rsid w:val="00A52499"/>
    <w:rsid w:val="00A60B44"/>
    <w:rsid w:val="00A70A3D"/>
    <w:rsid w:val="00A83657"/>
    <w:rsid w:val="00A844CE"/>
    <w:rsid w:val="00A90AE0"/>
    <w:rsid w:val="00AB6EA4"/>
    <w:rsid w:val="00AC3857"/>
    <w:rsid w:val="00AD4555"/>
    <w:rsid w:val="00AF3E65"/>
    <w:rsid w:val="00B63740"/>
    <w:rsid w:val="00B906B2"/>
    <w:rsid w:val="00BD277A"/>
    <w:rsid w:val="00BE085F"/>
    <w:rsid w:val="00C1568B"/>
    <w:rsid w:val="00C313C6"/>
    <w:rsid w:val="00C33455"/>
    <w:rsid w:val="00C33C75"/>
    <w:rsid w:val="00C363B2"/>
    <w:rsid w:val="00C6213F"/>
    <w:rsid w:val="00C825E8"/>
    <w:rsid w:val="00CA5171"/>
    <w:rsid w:val="00CC41BA"/>
    <w:rsid w:val="00CD1FD2"/>
    <w:rsid w:val="00CE4E7A"/>
    <w:rsid w:val="00CF4AF0"/>
    <w:rsid w:val="00D001E1"/>
    <w:rsid w:val="00D01FF9"/>
    <w:rsid w:val="00D06BEF"/>
    <w:rsid w:val="00D10D7B"/>
    <w:rsid w:val="00D16B80"/>
    <w:rsid w:val="00D2614D"/>
    <w:rsid w:val="00D41D21"/>
    <w:rsid w:val="00D53C36"/>
    <w:rsid w:val="00D53CBC"/>
    <w:rsid w:val="00D77089"/>
    <w:rsid w:val="00D83051"/>
    <w:rsid w:val="00DB4063"/>
    <w:rsid w:val="00DC78E4"/>
    <w:rsid w:val="00DD7392"/>
    <w:rsid w:val="00DF1A99"/>
    <w:rsid w:val="00E00699"/>
    <w:rsid w:val="00E0406D"/>
    <w:rsid w:val="00E04B1A"/>
    <w:rsid w:val="00E27931"/>
    <w:rsid w:val="00E67F5C"/>
    <w:rsid w:val="00E779BD"/>
    <w:rsid w:val="00E94007"/>
    <w:rsid w:val="00E951BB"/>
    <w:rsid w:val="00EC5D47"/>
    <w:rsid w:val="00EC667C"/>
    <w:rsid w:val="00ED0CC7"/>
    <w:rsid w:val="00EE08F0"/>
    <w:rsid w:val="00EE4DE5"/>
    <w:rsid w:val="00F068F5"/>
    <w:rsid w:val="00F10A00"/>
    <w:rsid w:val="00F20AF3"/>
    <w:rsid w:val="00F33A01"/>
    <w:rsid w:val="00F443A1"/>
    <w:rsid w:val="00F45A76"/>
    <w:rsid w:val="00F60836"/>
    <w:rsid w:val="00F83DAD"/>
    <w:rsid w:val="00F931BC"/>
    <w:rsid w:val="00FC23CF"/>
    <w:rsid w:val="00FF0511"/>
    <w:rsid w:val="00FF6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37B1E"/>
  <w15:docId w15:val="{921802D5-2DEF-42CF-80EF-C52CFC69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78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B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B4237"/>
    <w:rPr>
      <w:sz w:val="16"/>
      <w:szCs w:val="16"/>
    </w:rPr>
  </w:style>
  <w:style w:type="paragraph" w:styleId="CommentText">
    <w:name w:val="annotation text"/>
    <w:basedOn w:val="Normal"/>
    <w:link w:val="CommentTextChar"/>
    <w:unhideWhenUsed/>
    <w:rsid w:val="00AB4237"/>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AB4237"/>
    <w:rPr>
      <w:rFonts w:ascii="Calibri" w:eastAsia="Calibri" w:hAnsi="Calibri" w:cs="Times New Roman"/>
      <w:sz w:val="20"/>
      <w:szCs w:val="20"/>
    </w:rPr>
  </w:style>
  <w:style w:type="character" w:styleId="Emphasis">
    <w:name w:val="Emphasis"/>
    <w:basedOn w:val="DefaultParagraphFont"/>
    <w:rsid w:val="00AB4237"/>
    <w:rPr>
      <w:i/>
      <w:iCs/>
    </w:rPr>
  </w:style>
  <w:style w:type="paragraph" w:styleId="ListParagraph">
    <w:name w:val="List Paragraph"/>
    <w:basedOn w:val="Normal"/>
    <w:qFormat/>
    <w:rsid w:val="00AB4237"/>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8397C"/>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8397C"/>
    <w:rPr>
      <w:rFonts w:ascii="Calibri" w:eastAsia="Calibri" w:hAnsi="Calibri" w:cs="Times New Roman"/>
      <w:b/>
      <w:bCs/>
      <w:sz w:val="20"/>
      <w:szCs w:val="20"/>
    </w:rPr>
  </w:style>
  <w:style w:type="paragraph" w:styleId="NormalWeb">
    <w:name w:val="Normal (Web)"/>
    <w:basedOn w:val="Normal"/>
    <w:uiPriority w:val="99"/>
    <w:unhideWhenUsed/>
    <w:rsid w:val="0008586E"/>
    <w:pPr>
      <w:spacing w:before="100" w:beforeAutospacing="1" w:after="100" w:afterAutospacing="1"/>
    </w:pPr>
  </w:style>
  <w:style w:type="paragraph" w:customStyle="1" w:styleId="GPSL1CLAUSEHEADING">
    <w:name w:val="GPS L1 CLAUSE HEADING"/>
    <w:basedOn w:val="Normal"/>
    <w:next w:val="Normal"/>
    <w:qFormat/>
    <w:rsid w:val="00D32369"/>
    <w:pPr>
      <w:numPr>
        <w:numId w:val="3"/>
      </w:numPr>
      <w:tabs>
        <w:tab w:val="left" w:pos="0"/>
      </w:tabs>
      <w:adjustRightInd w:val="0"/>
      <w:spacing w:before="240" w:after="240"/>
      <w:jc w:val="both"/>
      <w:outlineLvl w:val="1"/>
    </w:pPr>
    <w:rPr>
      <w:rFonts w:ascii="Cambria" w:eastAsia="@STZhongsong" w:hAnsi="Cambria" w:cs="Trebuchet MS"/>
      <w:b/>
      <w:caps/>
      <w:sz w:val="22"/>
      <w:szCs w:val="22"/>
      <w:lang w:eastAsia="zh-CN"/>
    </w:rPr>
  </w:style>
  <w:style w:type="paragraph" w:customStyle="1" w:styleId="GPSL2numberedclause">
    <w:name w:val="GPS L2 numbered clause"/>
    <w:basedOn w:val="Normal"/>
    <w:link w:val="GPSL2numberedclauseChar1"/>
    <w:qFormat/>
    <w:rsid w:val="00D32369"/>
    <w:pPr>
      <w:numPr>
        <w:ilvl w:val="1"/>
        <w:numId w:val="3"/>
      </w:numPr>
      <w:tabs>
        <w:tab w:val="left" w:pos="1134"/>
      </w:tabs>
      <w:adjustRightInd w:val="0"/>
      <w:spacing w:before="120" w:after="120"/>
      <w:jc w:val="both"/>
    </w:pPr>
    <w:rPr>
      <w:rFonts w:ascii="Cambria Math" w:eastAsia="Arial" w:hAnsi="Cambria Math" w:cs="Trebuchet MS"/>
      <w:sz w:val="22"/>
      <w:szCs w:val="22"/>
      <w:lang w:eastAsia="zh-CN"/>
    </w:rPr>
  </w:style>
  <w:style w:type="paragraph" w:customStyle="1" w:styleId="GPSL3numberedclause">
    <w:name w:val="GPS L3 numbered clause"/>
    <w:basedOn w:val="GPSL2numberedclause"/>
    <w:qFormat/>
    <w:rsid w:val="00D32369"/>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qFormat/>
    <w:rsid w:val="00D32369"/>
    <w:pPr>
      <w:numPr>
        <w:ilvl w:val="3"/>
      </w:numPr>
      <w:tabs>
        <w:tab w:val="clear" w:pos="2127"/>
      </w:tabs>
    </w:pPr>
    <w:rPr>
      <w:szCs w:val="20"/>
    </w:rPr>
  </w:style>
  <w:style w:type="character" w:customStyle="1" w:styleId="GPSL2numberedclauseChar1">
    <w:name w:val="GPS L2 numbered clause Char1"/>
    <w:link w:val="GPSL2numberedclause"/>
    <w:rsid w:val="00D32369"/>
    <w:rPr>
      <w:rFonts w:ascii="Cambria Math" w:eastAsia="Arial" w:hAnsi="Cambria Math" w:cs="Trebuchet MS"/>
      <w:sz w:val="22"/>
      <w:szCs w:val="22"/>
      <w:lang w:eastAsia="zh-CN"/>
    </w:rPr>
  </w:style>
  <w:style w:type="paragraph" w:customStyle="1" w:styleId="GPSL5numberedclause">
    <w:name w:val="GPS L5 numbered clause"/>
    <w:basedOn w:val="GPSL4numberedclause"/>
    <w:qFormat/>
    <w:rsid w:val="00D32369"/>
    <w:pPr>
      <w:numPr>
        <w:ilvl w:val="4"/>
      </w:numPr>
      <w:tabs>
        <w:tab w:val="left" w:pos="3402"/>
      </w:tabs>
      <w:ind w:left="3402" w:hanging="567"/>
    </w:pPr>
  </w:style>
  <w:style w:type="paragraph" w:customStyle="1" w:styleId="GPSL6numbered">
    <w:name w:val="GPS L6 numbered"/>
    <w:basedOn w:val="GPSL5numberedclause"/>
    <w:qFormat/>
    <w:rsid w:val="00D32369"/>
    <w:pPr>
      <w:numPr>
        <w:ilvl w:val="5"/>
      </w:numPr>
      <w:tabs>
        <w:tab w:val="left" w:pos="4253"/>
      </w:tabs>
      <w:ind w:left="4253" w:hanging="709"/>
    </w:pPr>
  </w:style>
  <w:style w:type="paragraph" w:customStyle="1" w:styleId="11table">
    <w:name w:val="1.1 table"/>
    <w:basedOn w:val="Normal"/>
    <w:link w:val="11tableChar"/>
    <w:qFormat/>
    <w:rsid w:val="009B1C18"/>
    <w:pPr>
      <w:tabs>
        <w:tab w:val="num" w:pos="1440"/>
      </w:tabs>
      <w:adjustRightInd w:val="0"/>
      <w:ind w:left="1440" w:hanging="720"/>
    </w:pPr>
    <w:rPr>
      <w:rFonts w:ascii="Calibri" w:eastAsia="STZhongsong" w:hAnsi="Calibri"/>
      <w:b/>
      <w:sz w:val="22"/>
      <w:szCs w:val="22"/>
      <w:lang w:eastAsia="zh-CN"/>
    </w:rPr>
  </w:style>
  <w:style w:type="character" w:customStyle="1" w:styleId="11tableChar">
    <w:name w:val="1.1 table Char"/>
    <w:link w:val="11table"/>
    <w:rsid w:val="009B1C18"/>
    <w:rPr>
      <w:rFonts w:ascii="Calibri" w:eastAsia="STZhongsong" w:hAnsi="Calibri"/>
      <w:b/>
      <w:sz w:val="22"/>
      <w:szCs w:val="22"/>
      <w:lang w:eastAsia="zh-CN"/>
    </w:rPr>
  </w:style>
  <w:style w:type="paragraph" w:customStyle="1" w:styleId="MarginText">
    <w:name w:val="Margin Text"/>
    <w:basedOn w:val="Normal"/>
    <w:link w:val="MarginTextChar"/>
    <w:rsid w:val="009B1C18"/>
    <w:pPr>
      <w:keepNext/>
      <w:adjustRightInd w:val="0"/>
      <w:spacing w:before="240" w:after="120"/>
      <w:ind w:left="142"/>
      <w:jc w:val="both"/>
    </w:pPr>
    <w:rPr>
      <w:rFonts w:ascii="Arial" w:eastAsia="STZhongsong" w:hAnsi="Arial"/>
      <w:sz w:val="18"/>
      <w:szCs w:val="18"/>
      <w:lang w:eastAsia="zh-CN"/>
    </w:rPr>
  </w:style>
  <w:style w:type="character" w:customStyle="1" w:styleId="MarginTextChar">
    <w:name w:val="Margin Text Char"/>
    <w:link w:val="MarginText"/>
    <w:rsid w:val="009B1C18"/>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9B1C18"/>
    <w:pPr>
      <w:autoSpaceDN w:val="0"/>
      <w:textAlignment w:val="baseline"/>
    </w:pPr>
    <w:rPr>
      <w:rFonts w:ascii="Calibri" w:eastAsia="Calibri" w:hAnsi="Calibri"/>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GPSL1SCHEDULEHeading">
    <w:name w:val="GPS L1 SCHEDULE Heading"/>
    <w:basedOn w:val="GPSL1CLAUSEHEADING"/>
    <w:qFormat/>
    <w:rsid w:val="009B1C18"/>
    <w:pPr>
      <w:numPr>
        <w:numId w:val="0"/>
      </w:numPr>
      <w:tabs>
        <w:tab w:val="clear" w:pos="0"/>
        <w:tab w:val="left" w:pos="142"/>
        <w:tab w:val="num" w:pos="720"/>
      </w:tabs>
      <w:spacing w:before="120"/>
      <w:ind w:left="720" w:hanging="720"/>
      <w:outlineLvl w:val="9"/>
    </w:pPr>
    <w:rPr>
      <w:rFonts w:ascii="Calibri" w:eastAsia="STZhongsong" w:hAnsi="Calibri" w:cs="Arial"/>
    </w:rPr>
  </w:style>
  <w:style w:type="paragraph" w:customStyle="1" w:styleId="ORDERFORML1PraraNo">
    <w:name w:val="ORDER FORM L1 Prara No"/>
    <w:basedOn w:val="MarginText"/>
    <w:qFormat/>
    <w:rsid w:val="00B715CB"/>
    <w:pPr>
      <w:keepNext w:val="0"/>
      <w:tabs>
        <w:tab w:val="num" w:pos="720"/>
      </w:tabs>
      <w:spacing w:before="0" w:after="0"/>
      <w:ind w:left="426" w:hanging="426"/>
    </w:pPr>
    <w:rPr>
      <w:rFonts w:ascii="Cambria Math" w:eastAsia="@STZhongsong" w:hAnsi="Cambria Math" w:cs="Arial"/>
      <w:b/>
      <w:caps/>
      <w:sz w:val="22"/>
      <w:szCs w:val="22"/>
    </w:rPr>
  </w:style>
  <w:style w:type="paragraph" w:customStyle="1" w:styleId="ORDERFORML2Title">
    <w:name w:val="ORDER FORM L2 Title"/>
    <w:basedOn w:val="MarginText"/>
    <w:link w:val="ORDERFORML2TitleChar"/>
    <w:qFormat/>
    <w:rsid w:val="00B715CB"/>
    <w:pPr>
      <w:keepNext w:val="0"/>
      <w:tabs>
        <w:tab w:val="num" w:pos="1440"/>
      </w:tabs>
      <w:spacing w:before="0"/>
      <w:ind w:left="993" w:hanging="567"/>
    </w:pPr>
    <w:rPr>
      <w:rFonts w:ascii="Trebuchet MS" w:eastAsia="@STZhongsong" w:hAnsi="Trebuchet MS" w:cs="Arial"/>
      <w:b/>
      <w:sz w:val="22"/>
      <w:szCs w:val="22"/>
    </w:rPr>
  </w:style>
  <w:style w:type="character" w:customStyle="1" w:styleId="ORDERFORML2TitleChar">
    <w:name w:val="ORDER FORM L2 Title Char"/>
    <w:link w:val="ORDERFORML2Title"/>
    <w:rsid w:val="00B715CB"/>
    <w:rPr>
      <w:rFonts w:ascii="Trebuchet MS" w:eastAsia="@STZhongsong" w:hAnsi="Trebuchet MS" w:cs="Arial"/>
      <w:b/>
      <w:sz w:val="22"/>
      <w:szCs w:val="22"/>
      <w:lang w:eastAsia="zh-CN"/>
    </w:rPr>
  </w:style>
  <w:style w:type="paragraph" w:styleId="BalloonText">
    <w:name w:val="Balloon Text"/>
    <w:basedOn w:val="Normal"/>
    <w:link w:val="BalloonTextChar"/>
    <w:semiHidden/>
    <w:unhideWhenUsed/>
    <w:rsid w:val="00555E45"/>
    <w:pPr>
      <w:overflowPunct w:val="0"/>
      <w:autoSpaceDE w:val="0"/>
      <w:autoSpaceDN w:val="0"/>
      <w:adjustRightInd w:val="0"/>
      <w:ind w:left="1418"/>
      <w:jc w:val="both"/>
      <w:textAlignment w:val="baseline"/>
    </w:pPr>
    <w:rPr>
      <w:rFonts w:ascii="Arial Bold" w:eastAsia="Arial" w:hAnsi="Arial Bold" w:cs="Arial"/>
      <w:sz w:val="16"/>
      <w:szCs w:val="16"/>
      <w:lang w:eastAsia="en-US"/>
    </w:rPr>
  </w:style>
  <w:style w:type="character" w:customStyle="1" w:styleId="BalloonTextChar">
    <w:name w:val="Balloon Text Char"/>
    <w:basedOn w:val="DefaultParagraphFont"/>
    <w:link w:val="BalloonText"/>
    <w:semiHidden/>
    <w:rsid w:val="00555E45"/>
    <w:rPr>
      <w:rFonts w:ascii="Arial Bold" w:eastAsia="Arial" w:hAnsi="Arial Bold" w:cs="Arial"/>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rPr>
      <w:rFonts w:ascii="Calibri" w:eastAsia="Calibri" w:hAnsi="Calibri" w:cs="Calibri"/>
      <w:sz w:val="20"/>
      <w:szCs w:val="20"/>
    </w:rPr>
    <w:tblPr>
      <w:tblStyleRowBandSize w:val="1"/>
      <w:tblStyleColBandSize w:val="1"/>
    </w:tblPr>
  </w:style>
  <w:style w:type="table" w:customStyle="1" w:styleId="a1">
    <w:basedOn w:val="TableNormal"/>
    <w:rPr>
      <w:rFonts w:ascii="Calibri" w:eastAsia="Calibri" w:hAnsi="Calibri" w:cs="Calibri"/>
      <w:sz w:val="20"/>
      <w:szCs w:val="20"/>
    </w:rPr>
    <w:tblPr>
      <w:tblStyleRowBandSize w:val="1"/>
      <w:tblStyleColBandSize w:val="1"/>
    </w:tblPr>
  </w:style>
  <w:style w:type="table" w:customStyle="1" w:styleId="a2">
    <w:basedOn w:val="TableNormal"/>
    <w:rPr>
      <w:rFonts w:ascii="Calibri" w:eastAsia="Calibri" w:hAnsi="Calibri" w:cs="Calibri"/>
      <w:sz w:val="20"/>
      <w:szCs w:val="20"/>
    </w:rPr>
    <w:tblPr>
      <w:tblStyleRowBandSize w:val="1"/>
      <w:tblStyleColBandSize w:val="1"/>
    </w:tblPr>
  </w:style>
  <w:style w:type="table" w:customStyle="1" w:styleId="a3">
    <w:basedOn w:val="TableNormal"/>
    <w:rPr>
      <w:rFonts w:ascii="Calibri" w:eastAsia="Calibri" w:hAnsi="Calibri" w:cs="Calibri"/>
      <w:sz w:val="20"/>
      <w:szCs w:val="20"/>
    </w:rPr>
    <w:tblPr>
      <w:tblStyleRowBandSize w:val="1"/>
      <w:tblStyleColBandSize w:val="1"/>
    </w:tblPr>
  </w:style>
  <w:style w:type="table" w:customStyle="1" w:styleId="a4">
    <w:basedOn w:val="TableNormal"/>
    <w:rPr>
      <w:rFonts w:ascii="Calibri" w:eastAsia="Calibri" w:hAnsi="Calibri" w:cs="Calibri"/>
      <w:sz w:val="20"/>
      <w:szCs w:val="20"/>
    </w:rPr>
    <w:tblPr>
      <w:tblStyleRowBandSize w:val="1"/>
      <w:tblStyleColBandSize w:val="1"/>
    </w:tblPr>
  </w:style>
  <w:style w:type="table" w:customStyle="1" w:styleId="a5">
    <w:basedOn w:val="TableNormal"/>
    <w:rPr>
      <w:rFonts w:ascii="Calibri" w:eastAsia="Calibri" w:hAnsi="Calibri" w:cs="Calibri"/>
      <w:sz w:val="20"/>
      <w:szCs w:val="20"/>
    </w:rPr>
    <w:tblPr>
      <w:tblStyleRowBandSize w:val="1"/>
      <w:tblStyleColBandSize w:val="1"/>
    </w:tblPr>
  </w:style>
  <w:style w:type="table" w:customStyle="1" w:styleId="a6">
    <w:basedOn w:val="TableNormal"/>
    <w:rPr>
      <w:rFonts w:ascii="Calibri" w:eastAsia="Calibri" w:hAnsi="Calibri" w:cs="Calibri"/>
      <w:sz w:val="20"/>
      <w:szCs w:val="20"/>
    </w:rPr>
    <w:tblPr>
      <w:tblStyleRowBandSize w:val="1"/>
      <w:tblStyleColBandSize w:val="1"/>
    </w:tblPr>
  </w:style>
  <w:style w:type="table" w:customStyle="1" w:styleId="a7">
    <w:basedOn w:val="TableNormal"/>
    <w:rPr>
      <w:rFonts w:ascii="Calibri" w:eastAsia="Calibri" w:hAnsi="Calibri" w:cs="Calibri"/>
      <w:sz w:val="20"/>
      <w:szCs w:val="20"/>
    </w:rPr>
    <w:tblPr>
      <w:tblStyleRowBandSize w:val="1"/>
      <w:tblStyleColBandSize w:val="1"/>
    </w:tblPr>
  </w:style>
  <w:style w:type="table" w:customStyle="1" w:styleId="a8">
    <w:basedOn w:val="TableNormal"/>
    <w:rPr>
      <w:rFonts w:ascii="Calibri" w:eastAsia="Calibri" w:hAnsi="Calibri" w:cs="Calibri"/>
      <w:sz w:val="20"/>
      <w:szCs w:val="20"/>
    </w:rPr>
    <w:tblPr>
      <w:tblStyleRowBandSize w:val="1"/>
      <w:tblStyleColBandSize w:val="1"/>
    </w:tblPr>
  </w:style>
  <w:style w:type="table" w:customStyle="1" w:styleId="a9">
    <w:basedOn w:val="TableNormal"/>
    <w:rPr>
      <w:rFonts w:ascii="Calibri" w:eastAsia="Calibri" w:hAnsi="Calibri" w:cs="Calibri"/>
      <w:sz w:val="20"/>
      <w:szCs w:val="20"/>
    </w:rPr>
    <w:tblPr>
      <w:tblStyleRowBandSize w:val="1"/>
      <w:tblStyleColBandSize w:val="1"/>
    </w:tblPr>
  </w:style>
  <w:style w:type="table" w:customStyle="1" w:styleId="aa">
    <w:basedOn w:val="TableNormal"/>
    <w:rPr>
      <w:rFonts w:ascii="Calibri" w:eastAsia="Calibri" w:hAnsi="Calibri" w:cs="Calibri"/>
      <w:sz w:val="20"/>
      <w:szCs w:val="20"/>
    </w:rPr>
    <w:tblPr>
      <w:tblStyleRowBandSize w:val="1"/>
      <w:tblStyleColBandSize w:val="1"/>
    </w:tblPr>
  </w:style>
  <w:style w:type="table" w:customStyle="1" w:styleId="ab">
    <w:basedOn w:val="TableNormal"/>
    <w:rPr>
      <w:rFonts w:ascii="Calibri" w:eastAsia="Calibri" w:hAnsi="Calibri" w:cs="Calibri"/>
      <w:sz w:val="20"/>
      <w:szCs w:val="20"/>
    </w:rPr>
    <w:tblPr>
      <w:tblStyleRowBandSize w:val="1"/>
      <w:tblStyleColBandSize w:val="1"/>
    </w:tblPr>
  </w:style>
  <w:style w:type="table" w:customStyle="1" w:styleId="ac">
    <w:basedOn w:val="TableNormal"/>
    <w:rPr>
      <w:rFonts w:ascii="Calibri" w:eastAsia="Calibri" w:hAnsi="Calibri" w:cs="Calibri"/>
      <w:sz w:val="20"/>
      <w:szCs w:val="20"/>
    </w:rPr>
    <w:tblPr>
      <w:tblStyleRowBandSize w:val="1"/>
      <w:tblStyleColBandSize w:val="1"/>
    </w:tblPr>
  </w:style>
  <w:style w:type="table" w:customStyle="1" w:styleId="ad">
    <w:basedOn w:val="TableNormal"/>
    <w:rPr>
      <w:rFonts w:ascii="Calibri" w:eastAsia="Calibri" w:hAnsi="Calibri" w:cs="Calibri"/>
      <w:sz w:val="20"/>
      <w:szCs w:val="20"/>
    </w:rPr>
    <w:tblPr>
      <w:tblStyleRowBandSize w:val="1"/>
      <w:tblStyleColBandSize w:val="1"/>
    </w:tblPr>
  </w:style>
  <w:style w:type="table" w:customStyle="1" w:styleId="ae">
    <w:basedOn w:val="TableNormal"/>
    <w:rPr>
      <w:rFonts w:ascii="Calibri" w:eastAsia="Calibri" w:hAnsi="Calibri" w:cs="Calibri"/>
      <w:sz w:val="20"/>
      <w:szCs w:val="20"/>
    </w:rPr>
    <w:tblPr>
      <w:tblStyleRowBandSize w:val="1"/>
      <w:tblStyleColBandSize w:val="1"/>
    </w:tblPr>
  </w:style>
  <w:style w:type="table" w:customStyle="1" w:styleId="af">
    <w:basedOn w:val="TableNormal"/>
    <w:rPr>
      <w:rFonts w:ascii="Calibri" w:eastAsia="Calibri" w:hAnsi="Calibri" w:cs="Calibri"/>
      <w:sz w:val="20"/>
      <w:szCs w:val="20"/>
    </w:rPr>
    <w:tblPr>
      <w:tblStyleRowBandSize w:val="1"/>
      <w:tblStyleColBandSize w:val="1"/>
    </w:tblPr>
  </w:style>
  <w:style w:type="table" w:customStyle="1" w:styleId="af0">
    <w:basedOn w:val="TableNormal"/>
    <w:rPr>
      <w:rFonts w:ascii="Calibri" w:eastAsia="Calibri" w:hAnsi="Calibri" w:cs="Calibri"/>
      <w:sz w:val="20"/>
      <w:szCs w:val="20"/>
    </w:rPr>
    <w:tblPr>
      <w:tblStyleRowBandSize w:val="1"/>
      <w:tblStyleColBandSize w:val="1"/>
    </w:tblPr>
  </w:style>
  <w:style w:type="table" w:customStyle="1" w:styleId="af1">
    <w:basedOn w:val="TableNormal"/>
    <w:rPr>
      <w:rFonts w:ascii="Calibri" w:eastAsia="Calibri" w:hAnsi="Calibri" w:cs="Calibri"/>
      <w:sz w:val="20"/>
      <w:szCs w:val="20"/>
    </w:rPr>
    <w:tblPr>
      <w:tblStyleRowBandSize w:val="1"/>
      <w:tblStyleColBandSize w:val="1"/>
    </w:tblPr>
  </w:style>
  <w:style w:type="table" w:customStyle="1" w:styleId="af2">
    <w:basedOn w:val="TableNormal"/>
    <w:rPr>
      <w:rFonts w:ascii="Calibri" w:eastAsia="Calibri" w:hAnsi="Calibri" w:cs="Calibri"/>
      <w:sz w:val="20"/>
      <w:szCs w:val="20"/>
    </w:rPr>
    <w:tblPr>
      <w:tblStyleRowBandSize w:val="1"/>
      <w:tblStyleColBandSize w:val="1"/>
    </w:tblPr>
  </w:style>
  <w:style w:type="table" w:customStyle="1" w:styleId="af3">
    <w:basedOn w:val="TableNormal"/>
    <w:rPr>
      <w:rFonts w:ascii="Calibri" w:eastAsia="Calibri" w:hAnsi="Calibri" w:cs="Calibri"/>
      <w:sz w:val="20"/>
      <w:szCs w:val="20"/>
    </w:rPr>
    <w:tblPr>
      <w:tblStyleRowBandSize w:val="1"/>
      <w:tblStyleColBandSize w:val="1"/>
    </w:tbl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Header">
    <w:name w:val="header"/>
    <w:basedOn w:val="Normal"/>
    <w:link w:val="HeaderChar"/>
    <w:uiPriority w:val="99"/>
    <w:unhideWhenUsed/>
    <w:rsid w:val="0020315D"/>
    <w:pPr>
      <w:tabs>
        <w:tab w:val="center" w:pos="4513"/>
        <w:tab w:val="right" w:pos="9026"/>
      </w:tabs>
    </w:pPr>
  </w:style>
  <w:style w:type="character" w:customStyle="1" w:styleId="HeaderChar">
    <w:name w:val="Header Char"/>
    <w:basedOn w:val="DefaultParagraphFont"/>
    <w:link w:val="Header"/>
    <w:uiPriority w:val="99"/>
    <w:rsid w:val="0020315D"/>
  </w:style>
  <w:style w:type="paragraph" w:styleId="Footer">
    <w:name w:val="footer"/>
    <w:basedOn w:val="Normal"/>
    <w:link w:val="FooterChar"/>
    <w:uiPriority w:val="99"/>
    <w:unhideWhenUsed/>
    <w:rsid w:val="0020315D"/>
    <w:pPr>
      <w:tabs>
        <w:tab w:val="center" w:pos="4513"/>
        <w:tab w:val="right" w:pos="9026"/>
      </w:tabs>
    </w:pPr>
  </w:style>
  <w:style w:type="character" w:customStyle="1" w:styleId="FooterChar">
    <w:name w:val="Footer Char"/>
    <w:basedOn w:val="DefaultParagraphFont"/>
    <w:link w:val="Footer"/>
    <w:uiPriority w:val="99"/>
    <w:rsid w:val="0020315D"/>
  </w:style>
  <w:style w:type="character" w:styleId="Hyperlink">
    <w:name w:val="Hyperlink"/>
    <w:basedOn w:val="DefaultParagraphFont"/>
    <w:uiPriority w:val="99"/>
    <w:unhideWhenUsed/>
    <w:rsid w:val="002B019F"/>
    <w:rPr>
      <w:color w:val="0563C1" w:themeColor="hyperlink"/>
      <w:u w:val="single"/>
    </w:rPr>
  </w:style>
  <w:style w:type="character" w:styleId="UnresolvedMention">
    <w:name w:val="Unresolved Mention"/>
    <w:basedOn w:val="DefaultParagraphFont"/>
    <w:uiPriority w:val="99"/>
    <w:semiHidden/>
    <w:unhideWhenUsed/>
    <w:rsid w:val="002B019F"/>
    <w:rPr>
      <w:color w:val="605E5C"/>
      <w:shd w:val="clear" w:color="auto" w:fill="E1DFDD"/>
    </w:rPr>
  </w:style>
  <w:style w:type="character" w:customStyle="1" w:styleId="maintitle">
    <w:name w:val="maintitle"/>
    <w:basedOn w:val="DefaultParagraphFont"/>
    <w:rsid w:val="00F10A00"/>
  </w:style>
  <w:style w:type="paragraph" w:styleId="Revision">
    <w:name w:val="Revision"/>
    <w:hidden/>
    <w:uiPriority w:val="99"/>
    <w:semiHidden/>
    <w:rsid w:val="00502701"/>
  </w:style>
  <w:style w:type="character" w:styleId="Mention">
    <w:name w:val="Mention"/>
    <w:basedOn w:val="DefaultParagraphFont"/>
    <w:uiPriority w:val="99"/>
    <w:unhideWhenUsed/>
    <w:rsid w:val="00502701"/>
    <w:rPr>
      <w:color w:val="2B579A"/>
      <w:shd w:val="clear" w:color="auto" w:fill="E1DFDD"/>
    </w:rPr>
  </w:style>
  <w:style w:type="character" w:styleId="FollowedHyperlink">
    <w:name w:val="FollowedHyperlink"/>
    <w:basedOn w:val="DefaultParagraphFont"/>
    <w:uiPriority w:val="99"/>
    <w:semiHidden/>
    <w:unhideWhenUsed/>
    <w:rsid w:val="009B37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5623">
      <w:bodyDiv w:val="1"/>
      <w:marLeft w:val="0"/>
      <w:marRight w:val="0"/>
      <w:marTop w:val="0"/>
      <w:marBottom w:val="0"/>
      <w:divBdr>
        <w:top w:val="none" w:sz="0" w:space="0" w:color="auto"/>
        <w:left w:val="none" w:sz="0" w:space="0" w:color="auto"/>
        <w:bottom w:val="none" w:sz="0" w:space="0" w:color="auto"/>
        <w:right w:val="none" w:sz="0" w:space="0" w:color="auto"/>
      </w:divBdr>
    </w:div>
    <w:div w:id="316611665">
      <w:bodyDiv w:val="1"/>
      <w:marLeft w:val="0"/>
      <w:marRight w:val="0"/>
      <w:marTop w:val="0"/>
      <w:marBottom w:val="0"/>
      <w:divBdr>
        <w:top w:val="none" w:sz="0" w:space="0" w:color="auto"/>
        <w:left w:val="none" w:sz="0" w:space="0" w:color="auto"/>
        <w:bottom w:val="none" w:sz="0" w:space="0" w:color="auto"/>
        <w:right w:val="none" w:sz="0" w:space="0" w:color="auto"/>
      </w:divBdr>
    </w:div>
    <w:div w:id="429813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crowncommercial.gov.uk/wp-content/uploads/Joint-Schedule-10-Rectification-Plan-v.3.0-1.docx" TargetMode="External"/><Relationship Id="rId18" Type="http://schemas.openxmlformats.org/officeDocument/2006/relationships/hyperlink" Target="https://assets.crowncommercial.gov.uk/wp-content/uploads/Call-Off-Schedule-8-Business-Continuity-and-Disaster-Recovery-v.3.2.docx"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assets.crowncommercial.gov.uk/wp-content/uploads/Call-Off-Schedule-11-Installation-Works-v3.0-1.docx" TargetMode="External"/><Relationship Id="rId7" Type="http://schemas.openxmlformats.org/officeDocument/2006/relationships/footnotes" Target="footnotes.xml"/><Relationship Id="rId12" Type="http://schemas.openxmlformats.org/officeDocument/2006/relationships/hyperlink" Target="https://assets.crowncommercial.gov.uk/wp-content/uploads/Joint-Schedule-5-Corporate-Social-Responsibility-V3.2.docx" TargetMode="External"/><Relationship Id="rId17" Type="http://schemas.openxmlformats.org/officeDocument/2006/relationships/hyperlink" Target="https://assets.crowncommercial.gov.uk/wp-content/uploads/Call-Off-Schedule-6-ICT-Services-v3.4-1.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ssets.crowncommercial.gov.uk/wp-content/uploads/Call-Off-Schedule-2-Staff-Transfer-v3.3-1.docx" TargetMode="External"/><Relationship Id="rId20" Type="http://schemas.openxmlformats.org/officeDocument/2006/relationships/hyperlink" Target="https://assets.crowncommercial.gov.uk/wp-content/uploads/Call-Off-Schedule-10-Exit-Management-v3.2-1.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crowncommercial.gov.uk/wp-content/uploads/Joint-Schedule-3-Insurance-Requirements-V3.1-1.doc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ssets.crowncommercial.gov.uk/wp-content/uploads/Call-Off-Schedule-1-Transparency-Reports-v3.0-1.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assets.crowncommercial.gov.uk/wp-content/uploads/Joint-Schedule-2-Variation-Form-v.3.1-1.docx" TargetMode="External"/><Relationship Id="rId19" Type="http://schemas.openxmlformats.org/officeDocument/2006/relationships/hyperlink" Target="https://assets.crowncommercial.gov.uk/wp-content/uploads/Call-Off-Schedule-9-Security-v3.4-1.docx" TargetMode="External"/><Relationship Id="rId4" Type="http://schemas.openxmlformats.org/officeDocument/2006/relationships/styles" Target="styles.xml"/><Relationship Id="rId9" Type="http://schemas.openxmlformats.org/officeDocument/2006/relationships/hyperlink" Target="https://assets.crowncommercial.gov.uk/wp-content/uploads/Joint-Schedule-1-Definitions-v3.9-1.docx" TargetMode="External"/><Relationship Id="rId14" Type="http://schemas.openxmlformats.org/officeDocument/2006/relationships/hyperlink" Target="https://assets.crowncommercial.gov.uk/wp-content/uploads/Joint-Schedule-11-Processing-Data-v4.3-1.doc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NfAiKgpePw/HGxe8W2UVkz5yBw==">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</go:docsCustomData>
</go:gDocsCustomXmlDataStorage>
</file>

<file path=customXml/itemProps1.xml><?xml version="1.0" encoding="utf-8"?>
<ds:datastoreItem xmlns:ds="http://schemas.openxmlformats.org/officeDocument/2006/customXml" ds:itemID="{4F62C289-DC76-40EE-B076-E835453376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Links>
    <vt:vector size="84" baseType="variant">
      <vt:variant>
        <vt:i4>393218</vt:i4>
      </vt:variant>
      <vt:variant>
        <vt:i4>36</vt:i4>
      </vt:variant>
      <vt:variant>
        <vt:i4>0</vt:i4>
      </vt:variant>
      <vt:variant>
        <vt:i4>5</vt:i4>
      </vt:variant>
      <vt:variant>
        <vt:lpwstr>https://assets.crowncommercial.gov.uk/wp-content/uploads/Call-Off-Schedule-11-Installation-Works-v3.0-1.docx</vt:lpwstr>
      </vt:variant>
      <vt:variant>
        <vt:lpwstr/>
      </vt:variant>
      <vt:variant>
        <vt:i4>6094943</vt:i4>
      </vt:variant>
      <vt:variant>
        <vt:i4>33</vt:i4>
      </vt:variant>
      <vt:variant>
        <vt:i4>0</vt:i4>
      </vt:variant>
      <vt:variant>
        <vt:i4>5</vt:i4>
      </vt:variant>
      <vt:variant>
        <vt:lpwstr>https://assets.crowncommercial.gov.uk/wp-content/uploads/Call-Off-Schedule-10-Exit-Management-v3.2-1.docx</vt:lpwstr>
      </vt:variant>
      <vt:variant>
        <vt:lpwstr/>
      </vt:variant>
      <vt:variant>
        <vt:i4>196631</vt:i4>
      </vt:variant>
      <vt:variant>
        <vt:i4>30</vt:i4>
      </vt:variant>
      <vt:variant>
        <vt:i4>0</vt:i4>
      </vt:variant>
      <vt:variant>
        <vt:i4>5</vt:i4>
      </vt:variant>
      <vt:variant>
        <vt:lpwstr>https://assets.crowncommercial.gov.uk/wp-content/uploads/Call-Off-Schedule-9-Security-v3.4-1.docx</vt:lpwstr>
      </vt:variant>
      <vt:variant>
        <vt:lpwstr/>
      </vt:variant>
      <vt:variant>
        <vt:i4>196693</vt:i4>
      </vt:variant>
      <vt:variant>
        <vt:i4>27</vt:i4>
      </vt:variant>
      <vt:variant>
        <vt:i4>0</vt:i4>
      </vt:variant>
      <vt:variant>
        <vt:i4>5</vt:i4>
      </vt:variant>
      <vt:variant>
        <vt:lpwstr>https://assets.crowncommercial.gov.uk/wp-content/uploads/Call-Off-Schedule-8-Business-Continuity-and-Disaster-Recovery-v.3.2.docx</vt:lpwstr>
      </vt:variant>
      <vt:variant>
        <vt:lpwstr/>
      </vt:variant>
      <vt:variant>
        <vt:i4>655450</vt:i4>
      </vt:variant>
      <vt:variant>
        <vt:i4>24</vt:i4>
      </vt:variant>
      <vt:variant>
        <vt:i4>0</vt:i4>
      </vt:variant>
      <vt:variant>
        <vt:i4>5</vt:i4>
      </vt:variant>
      <vt:variant>
        <vt:lpwstr>https://assets.crowncommercial.gov.uk/wp-content/uploads/Call-Off-Schedule-6-ICT-Services-v3.4-1.docx</vt:lpwstr>
      </vt:variant>
      <vt:variant>
        <vt:lpwstr/>
      </vt:variant>
      <vt:variant>
        <vt:i4>7208992</vt:i4>
      </vt:variant>
      <vt:variant>
        <vt:i4>21</vt:i4>
      </vt:variant>
      <vt:variant>
        <vt:i4>0</vt:i4>
      </vt:variant>
      <vt:variant>
        <vt:i4>5</vt:i4>
      </vt:variant>
      <vt:variant>
        <vt:lpwstr>https://assets.crowncommercial.gov.uk/wp-content/uploads/Call-Off-Schedule-2-Staff-Transfer-v3.3-1.docx</vt:lpwstr>
      </vt:variant>
      <vt:variant>
        <vt:lpwstr/>
      </vt:variant>
      <vt:variant>
        <vt:i4>4915229</vt:i4>
      </vt:variant>
      <vt:variant>
        <vt:i4>18</vt:i4>
      </vt:variant>
      <vt:variant>
        <vt:i4>0</vt:i4>
      </vt:variant>
      <vt:variant>
        <vt:i4>5</vt:i4>
      </vt:variant>
      <vt:variant>
        <vt:lpwstr>https://assets.crowncommercial.gov.uk/wp-content/uploads/Call-Off-Schedule-1-Transparency-Reports-v3.0-1.docx</vt:lpwstr>
      </vt:variant>
      <vt:variant>
        <vt:lpwstr/>
      </vt:variant>
      <vt:variant>
        <vt:i4>3211378</vt:i4>
      </vt:variant>
      <vt:variant>
        <vt:i4>15</vt:i4>
      </vt:variant>
      <vt:variant>
        <vt:i4>0</vt:i4>
      </vt:variant>
      <vt:variant>
        <vt:i4>5</vt:i4>
      </vt:variant>
      <vt:variant>
        <vt:lpwstr>https://assets.crowncommercial.gov.uk/wp-content/uploads/Joint-Schedule-11-Processing-Data-v4.3-1.docx</vt:lpwstr>
      </vt:variant>
      <vt:variant>
        <vt:lpwstr/>
      </vt:variant>
      <vt:variant>
        <vt:i4>6881393</vt:i4>
      </vt:variant>
      <vt:variant>
        <vt:i4>12</vt:i4>
      </vt:variant>
      <vt:variant>
        <vt:i4>0</vt:i4>
      </vt:variant>
      <vt:variant>
        <vt:i4>5</vt:i4>
      </vt:variant>
      <vt:variant>
        <vt:lpwstr>https://assets.crowncommercial.gov.uk/wp-content/uploads/Joint-Schedule-10-Rectification-Plan-v.3.0-1.docx</vt:lpwstr>
      </vt:variant>
      <vt:variant>
        <vt:lpwstr/>
      </vt:variant>
      <vt:variant>
        <vt:i4>3735663</vt:i4>
      </vt:variant>
      <vt:variant>
        <vt:i4>9</vt:i4>
      </vt:variant>
      <vt:variant>
        <vt:i4>0</vt:i4>
      </vt:variant>
      <vt:variant>
        <vt:i4>5</vt:i4>
      </vt:variant>
      <vt:variant>
        <vt:lpwstr>https://assets.crowncommercial.gov.uk/wp-content/uploads/Joint-Schedule-5-Corporate-Social-Responsibility-V3.2.docx</vt:lpwstr>
      </vt:variant>
      <vt:variant>
        <vt:lpwstr/>
      </vt:variant>
      <vt:variant>
        <vt:i4>4259929</vt:i4>
      </vt:variant>
      <vt:variant>
        <vt:i4>6</vt:i4>
      </vt:variant>
      <vt:variant>
        <vt:i4>0</vt:i4>
      </vt:variant>
      <vt:variant>
        <vt:i4>5</vt:i4>
      </vt:variant>
      <vt:variant>
        <vt:lpwstr>https://assets.crowncommercial.gov.uk/wp-content/uploads/Joint-Schedule-3-Insurance-Requirements-V3.1-1.docx</vt:lpwstr>
      </vt:variant>
      <vt:variant>
        <vt:lpwstr/>
      </vt:variant>
      <vt:variant>
        <vt:i4>5570571</vt:i4>
      </vt:variant>
      <vt:variant>
        <vt:i4>3</vt:i4>
      </vt:variant>
      <vt:variant>
        <vt:i4>0</vt:i4>
      </vt:variant>
      <vt:variant>
        <vt:i4>5</vt:i4>
      </vt:variant>
      <vt:variant>
        <vt:lpwstr>https://assets.crowncommercial.gov.uk/wp-content/uploads/Joint-Schedule-2-Variation-Form-v.3.1-1.docx</vt:lpwstr>
      </vt:variant>
      <vt:variant>
        <vt:lpwstr/>
      </vt:variant>
      <vt:variant>
        <vt:i4>5767183</vt:i4>
      </vt:variant>
      <vt:variant>
        <vt:i4>0</vt:i4>
      </vt:variant>
      <vt:variant>
        <vt:i4>0</vt:i4>
      </vt:variant>
      <vt:variant>
        <vt:i4>5</vt:i4>
      </vt:variant>
      <vt:variant>
        <vt:lpwstr>https://assets.crowncommercial.gov.uk/wp-content/uploads/Joint-Schedule-1-Definitions-v3.9-1.docx</vt:lpwstr>
      </vt:variant>
      <vt:variant>
        <vt:lpwstr/>
      </vt:variant>
      <vt:variant>
        <vt:i4>7143439</vt:i4>
      </vt:variant>
      <vt:variant>
        <vt:i4>0</vt:i4>
      </vt:variant>
      <vt:variant>
        <vt:i4>0</vt:i4>
      </vt:variant>
      <vt:variant>
        <vt:i4>5</vt:i4>
      </vt:variant>
      <vt:variant>
        <vt:lpwstr>mailto:Hannah.Wilson2@beis.gov.uk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Reeder, William (Energy Security)</cp:lastModifiedBy>
  <cp:revision>3</cp:revision>
  <dcterms:created xsi:type="dcterms:W3CDTF">2024-02-07T12:10:00Z</dcterms:created>
  <dcterms:modified xsi:type="dcterms:W3CDTF">2024-02-07T12:12:00Z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2024-01-18T11:49:58Z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221408c2-7f10-4c77-9d8b-e451929027a3</vt:lpwstr>
  </property>
  <property fmtid="{D5CDD505-2E9C-101B-9397-08002B2CF9AE}" pid="8" name="MSIP_Label_ba62f585-b40f-4ab9-bafe-39150f03d124_ContentBits">
    <vt:lpwstr>0</vt:lpwstr>
  </property>
  <property fmtid="{D5CDD505-2E9C-101B-9397-08002B2CF9AE}" pid="9" name="MSIP_Label_f5dc6714-9f23-4030-b547-8c94b19e0b7a_Enabled">
    <vt:lpwstr>true</vt:lpwstr>
  </property>
  <property fmtid="{D5CDD505-2E9C-101B-9397-08002B2CF9AE}" pid="10" name="MSIP_Label_f5dc6714-9f23-4030-b547-8c94b19e0b7a_SetDate">
    <vt:lpwstr>2024-01-22T14:37:20Z</vt:lpwstr>
  </property>
  <property fmtid="{D5CDD505-2E9C-101B-9397-08002B2CF9AE}" pid="11" name="MSIP_Label_f5dc6714-9f23-4030-b547-8c94b19e0b7a_Method">
    <vt:lpwstr>Standard</vt:lpwstr>
  </property>
  <property fmtid="{D5CDD505-2E9C-101B-9397-08002B2CF9AE}" pid="12" name="MSIP_Label_f5dc6714-9f23-4030-b547-8c94b19e0b7a_Name">
    <vt:lpwstr>Internal Information (R3)</vt:lpwstr>
  </property>
  <property fmtid="{D5CDD505-2E9C-101B-9397-08002B2CF9AE}" pid="13" name="MSIP_Label_f5dc6714-9f23-4030-b547-8c94b19e0b7a_SiteId">
    <vt:lpwstr>acbd4e6b-e845-4677-853c-a8d24faf3655</vt:lpwstr>
  </property>
  <property fmtid="{D5CDD505-2E9C-101B-9397-08002B2CF9AE}" pid="14" name="MSIP_Label_f5dc6714-9f23-4030-b547-8c94b19e0b7a_ActionId">
    <vt:lpwstr>8e433037-ca10-4840-8f67-80cbb1932235</vt:lpwstr>
  </property>
  <property fmtid="{D5CDD505-2E9C-101B-9397-08002B2CF9AE}" pid="15" name="MSIP_Label_f5dc6714-9f23-4030-b547-8c94b19e0b7a_ContentBits">
    <vt:lpwstr>0</vt:lpwstr>
  </property>
</Properties>
</file>