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1"/>
        <w:rPr>
          <w:rFonts w:ascii="Calibri" w:hAnsi="Calibri" w:cs="Calibri"/>
          <w:sz w:val="32"/>
          <w:szCs w:val="32"/>
        </w:rPr>
      </w:pPr>
    </w:p>
    <w:p w14:paraId="5EA87523" w14:textId="77777777" w:rsidR="00893A3F" w:rsidRDefault="00893A3F" w:rsidP="008F2B68">
      <w:pPr>
        <w:pStyle w:val="Norma1"/>
        <w:rPr>
          <w:rFonts w:ascii="Calibri" w:hAnsi="Calibri" w:cs="Calibri"/>
          <w:b/>
          <w:sz w:val="32"/>
          <w:szCs w:val="32"/>
        </w:rPr>
      </w:pPr>
    </w:p>
    <w:p w14:paraId="5EA87524" w14:textId="20CAAA73" w:rsidR="00FE0B21" w:rsidRDefault="000239BD" w:rsidP="00FE0B21">
      <w:pPr>
        <w:pStyle w:val="Norma1"/>
        <w:rPr>
          <w:rFonts w:cs="Arial"/>
          <w:b/>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2C64AF">
        <w:rPr>
          <w:rFonts w:cs="Arial"/>
          <w:b/>
          <w:sz w:val="36"/>
          <w:szCs w:val="36"/>
        </w:rPr>
        <w:t xml:space="preserve"> </w:t>
      </w:r>
      <w:r w:rsidR="005F285F" w:rsidRPr="001F409F">
        <w:rPr>
          <w:rFonts w:cs="Arial"/>
          <w:b/>
          <w:sz w:val="36"/>
          <w:szCs w:val="36"/>
        </w:rPr>
        <w:t>To provide updated projections of</w:t>
      </w:r>
      <w:r w:rsidR="005F285F">
        <w:rPr>
          <w:rFonts w:cs="Arial"/>
          <w:b/>
          <w:sz w:val="36"/>
          <w:szCs w:val="36"/>
        </w:rPr>
        <w:t xml:space="preserve"> </w:t>
      </w:r>
      <w:r w:rsidR="001A548B">
        <w:rPr>
          <w:rFonts w:cs="Arial"/>
          <w:b/>
          <w:sz w:val="36"/>
          <w:szCs w:val="36"/>
        </w:rPr>
        <w:t>flood risks for the UK</w:t>
      </w:r>
      <w:r w:rsidR="005E1AA9">
        <w:rPr>
          <w:rFonts w:cs="Arial"/>
          <w:b/>
          <w:sz w:val="36"/>
          <w:szCs w:val="36"/>
        </w:rPr>
        <w:t xml:space="preserve"> </w:t>
      </w:r>
    </w:p>
    <w:p w14:paraId="5EA87525" w14:textId="77777777" w:rsidR="00CB7AD6" w:rsidRPr="00CB7AD6" w:rsidRDefault="00CB7AD6" w:rsidP="00FE0B21">
      <w:pPr>
        <w:pStyle w:val="Norma1"/>
        <w:rPr>
          <w:rFonts w:cs="Arial"/>
          <w:b/>
          <w:sz w:val="36"/>
          <w:szCs w:val="36"/>
        </w:rPr>
      </w:pPr>
    </w:p>
    <w:p w14:paraId="4AFA6017" w14:textId="77777777" w:rsidR="00DD521A" w:rsidRDefault="00DD521A" w:rsidP="008F2B68">
      <w:pPr>
        <w:pStyle w:val="Norma1"/>
        <w:rPr>
          <w:rFonts w:cs="Arial"/>
          <w:sz w:val="36"/>
          <w:szCs w:val="36"/>
        </w:rPr>
      </w:pPr>
    </w:p>
    <w:p w14:paraId="02451D23" w14:textId="77777777" w:rsidR="00DD521A" w:rsidRDefault="00DD521A" w:rsidP="008F2B68">
      <w:pPr>
        <w:pStyle w:val="Norma1"/>
        <w:rPr>
          <w:rFonts w:cs="Arial"/>
          <w:sz w:val="36"/>
          <w:szCs w:val="36"/>
        </w:rPr>
      </w:pPr>
    </w:p>
    <w:p w14:paraId="5EA87526" w14:textId="36E7AC99" w:rsidR="00E53204" w:rsidRPr="00DD521A" w:rsidRDefault="00C53C6B" w:rsidP="008F2B68">
      <w:pPr>
        <w:pStyle w:val="Norma1"/>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w:t>
      </w:r>
      <w:r w:rsidR="007A1FDB">
        <w:rPr>
          <w:rFonts w:cs="Arial"/>
          <w:color w:val="FF0000"/>
          <w:sz w:val="36"/>
          <w:szCs w:val="36"/>
        </w:rPr>
        <w:t xml:space="preserve"> AR/0718</w:t>
      </w:r>
    </w:p>
    <w:p w14:paraId="5EA87527" w14:textId="77777777" w:rsidR="00444762" w:rsidRPr="002856D6" w:rsidRDefault="00444762" w:rsidP="008F2B68">
      <w:pPr>
        <w:pStyle w:val="Norma1"/>
        <w:rPr>
          <w:rFonts w:cs="Arial"/>
          <w:szCs w:val="28"/>
        </w:rPr>
      </w:pPr>
    </w:p>
    <w:p w14:paraId="5EA87528" w14:textId="77777777" w:rsidR="00D95762" w:rsidRDefault="00D95762" w:rsidP="008F2B68">
      <w:pPr>
        <w:pStyle w:val="Norma1"/>
        <w:rPr>
          <w:rFonts w:ascii="Calibri" w:hAnsi="Calibri" w:cs="Calibri"/>
          <w:b/>
          <w:color w:val="FF0000"/>
          <w:sz w:val="26"/>
          <w:szCs w:val="26"/>
        </w:rPr>
      </w:pPr>
    </w:p>
    <w:p w14:paraId="5EA87529" w14:textId="77777777" w:rsidR="00D95762" w:rsidRDefault="00D95762" w:rsidP="008F2B68">
      <w:pPr>
        <w:pStyle w:val="Norma1"/>
        <w:rPr>
          <w:rFonts w:ascii="Calibri" w:hAnsi="Calibri" w:cs="Calibri"/>
          <w:b/>
          <w:color w:val="FF0000"/>
          <w:sz w:val="26"/>
          <w:szCs w:val="26"/>
        </w:rPr>
      </w:pPr>
    </w:p>
    <w:p w14:paraId="5EA8752A" w14:textId="77777777" w:rsidR="00327C8C" w:rsidRDefault="00327C8C" w:rsidP="00220F36">
      <w:pPr>
        <w:pStyle w:val="Norma1"/>
        <w:rPr>
          <w:rFonts w:ascii="Calibri" w:hAnsi="Calibri" w:cs="Calibri"/>
          <w:b/>
          <w:sz w:val="28"/>
          <w:szCs w:val="28"/>
        </w:rPr>
      </w:pPr>
    </w:p>
    <w:p w14:paraId="5EA8752B" w14:textId="77777777" w:rsidR="00121E96" w:rsidRPr="00121E96" w:rsidRDefault="00121E96" w:rsidP="00CA7099">
      <w:pPr>
        <w:pStyle w:val="Norma1"/>
        <w:rPr>
          <w:rFonts w:cs="Arial"/>
          <w:sz w:val="24"/>
          <w:szCs w:val="24"/>
        </w:rPr>
      </w:pPr>
    </w:p>
    <w:p w14:paraId="5EA87533" w14:textId="77777777" w:rsidR="00781BF5" w:rsidRPr="006C479E" w:rsidRDefault="00781BF5" w:rsidP="006C479E">
      <w:pPr>
        <w:pStyle w:val="Norma1"/>
        <w:ind w:left="720"/>
        <w:rPr>
          <w:rFonts w:ascii="Calibri" w:hAnsi="Calibri" w:cs="Calibri"/>
        </w:rPr>
      </w:pPr>
      <w:bookmarkStart w:id="0" w:name="SectionOne"/>
    </w:p>
    <w:p w14:paraId="5EA87534" w14:textId="77777777" w:rsidR="003E5C19" w:rsidRPr="00CA7099" w:rsidRDefault="00091732" w:rsidP="00CA7099">
      <w:pPr>
        <w:pStyle w:val="Norma1"/>
        <w:ind w:left="1080"/>
        <w:rPr>
          <w:rFonts w:cs="Calibri"/>
          <w:b/>
          <w:sz w:val="28"/>
          <w:szCs w:val="28"/>
        </w:rPr>
      </w:pPr>
      <w:bookmarkStart w:id="1" w:name="_Evaluation_of_Responses"/>
      <w:bookmarkEnd w:id="1"/>
      <w:r w:rsidRPr="00CA7099">
        <w:rPr>
          <w:rFonts w:cs="Calibri"/>
          <w:b/>
          <w:sz w:val="28"/>
          <w:szCs w:val="28"/>
        </w:rPr>
        <w:br w:type="page"/>
      </w:r>
      <w:bookmarkEnd w:id="0"/>
    </w:p>
    <w:p w14:paraId="5EA87535" w14:textId="77777777" w:rsidR="001D5D04" w:rsidRDefault="001D5D04" w:rsidP="007B3C23">
      <w:pPr>
        <w:pStyle w:val="Norma1"/>
        <w:jc w:val="both"/>
        <w:rPr>
          <w:rFonts w:ascii="Calibri" w:hAnsi="Calibri" w:cs="Calibri"/>
          <w:b/>
          <w:sz w:val="28"/>
          <w:szCs w:val="28"/>
        </w:rPr>
      </w:pPr>
    </w:p>
    <w:p w14:paraId="5EA87536" w14:textId="77777777" w:rsidR="003E5C19" w:rsidRDefault="00C06839" w:rsidP="007B3C23">
      <w:pPr>
        <w:pStyle w:val="Norma1"/>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F60037" w:rsidRDefault="00F60037" w:rsidP="003E5C19">
                            <w:pPr>
                              <w:pStyle w:val="Norma1"/>
                              <w:jc w:val="center"/>
                              <w:rPr>
                                <w:b/>
                                <w:sz w:val="28"/>
                                <w:szCs w:val="28"/>
                              </w:rPr>
                            </w:pPr>
                          </w:p>
                          <w:p w14:paraId="5EA87636" w14:textId="77777777" w:rsidR="00F60037" w:rsidRDefault="00F60037" w:rsidP="003E5C19">
                            <w:pPr>
                              <w:pStyle w:val="Norma1"/>
                              <w:jc w:val="center"/>
                              <w:rPr>
                                <w:b/>
                                <w:sz w:val="28"/>
                                <w:szCs w:val="28"/>
                              </w:rPr>
                            </w:pPr>
                          </w:p>
                          <w:p w14:paraId="5EA87637" w14:textId="77777777" w:rsidR="00F60037" w:rsidRPr="003E5C19" w:rsidRDefault="00F60037" w:rsidP="003E5C19">
                            <w:pPr>
                              <w:pStyle w:val="Norma1"/>
                              <w:jc w:val="center"/>
                              <w:rPr>
                                <w:rFonts w:cs="Arial"/>
                                <w:b/>
                                <w:sz w:val="36"/>
                                <w:szCs w:val="36"/>
                              </w:rPr>
                            </w:pPr>
                            <w:r w:rsidRPr="003E5C19">
                              <w:rPr>
                                <w:b/>
                                <w:sz w:val="36"/>
                                <w:szCs w:val="36"/>
                              </w:rPr>
                              <w:t>Specification of Requirements</w:t>
                            </w:r>
                          </w:p>
                          <w:p w14:paraId="5EA87638" w14:textId="77777777" w:rsidR="00F60037" w:rsidRDefault="00F60037">
                            <w:pPr>
                              <w:pStyle w:val="Norma1"/>
                            </w:pPr>
                          </w:p>
                          <w:p w14:paraId="5EA87639" w14:textId="77777777" w:rsidR="00F60037" w:rsidRDefault="00F60037">
                            <w:pPr>
                              <w:pStyle w:val="Norma1"/>
                            </w:pPr>
                          </w:p>
                          <w:p w14:paraId="5EA8763A" w14:textId="5F452B70" w:rsidR="00F60037" w:rsidRPr="005C4A3B" w:rsidRDefault="00F60037" w:rsidP="00405192">
                            <w:pPr>
                              <w:pStyle w:val="Norma1"/>
                              <w:rPr>
                                <w:rFonts w:cs="Arial"/>
                                <w:color w:val="000000" w:themeColor="text1"/>
                                <w:sz w:val="24"/>
                                <w:szCs w:val="24"/>
                              </w:rPr>
                            </w:pPr>
                            <w:r w:rsidRPr="005C4A3B">
                              <w:rPr>
                                <w:rFonts w:cs="Arial"/>
                                <w:sz w:val="24"/>
                                <w:szCs w:val="24"/>
                              </w:rPr>
                              <w:t xml:space="preserve">Invitation to Tender for </w:t>
                            </w:r>
                            <w:r w:rsidR="00DF0A81">
                              <w:rPr>
                                <w:rFonts w:cs="Arial"/>
                                <w:color w:val="000000" w:themeColor="text1"/>
                                <w:sz w:val="24"/>
                                <w:szCs w:val="24"/>
                              </w:rPr>
                              <w:t xml:space="preserve">research: </w:t>
                            </w:r>
                            <w:r w:rsidR="002F76F5" w:rsidRPr="002F76F5">
                              <w:rPr>
                                <w:rFonts w:cs="Arial"/>
                                <w:color w:val="000000" w:themeColor="text1"/>
                                <w:sz w:val="24"/>
                                <w:szCs w:val="24"/>
                              </w:rPr>
                              <w:t>Identifying adaptation thresholds for the UK in the context of varying flood risk</w:t>
                            </w:r>
                          </w:p>
                          <w:p w14:paraId="5EA8763B" w14:textId="3A4AFB21" w:rsidR="00F60037" w:rsidRPr="005C4A3B" w:rsidRDefault="00F60037" w:rsidP="00405192">
                            <w:pPr>
                              <w:pStyle w:val="Norma1"/>
                              <w:rPr>
                                <w:rFonts w:cs="Arial"/>
                                <w:sz w:val="24"/>
                                <w:szCs w:val="24"/>
                              </w:rPr>
                            </w:pPr>
                            <w:r w:rsidRPr="005C4A3B">
                              <w:rPr>
                                <w:rFonts w:cs="Arial"/>
                                <w:sz w:val="24"/>
                                <w:szCs w:val="24"/>
                              </w:rPr>
                              <w:t xml:space="preserve">Tender Reference Number: </w:t>
                            </w:r>
                            <w:r w:rsidR="007A1FDB">
                              <w:rPr>
                                <w:rFonts w:cs="Arial"/>
                                <w:color w:val="FF0000"/>
                                <w:sz w:val="24"/>
                                <w:szCs w:val="24"/>
                              </w:rPr>
                              <w:t>AR/0718</w:t>
                            </w:r>
                            <w:bookmarkStart w:id="2" w:name="_GoBack"/>
                            <w:bookmarkEnd w:id="2"/>
                          </w:p>
                          <w:p w14:paraId="5EA8763D" w14:textId="7BA03E3A" w:rsidR="00F60037" w:rsidRPr="005C4A3B" w:rsidRDefault="00F60037" w:rsidP="00790CE1">
                            <w:pPr>
                              <w:pStyle w:val="Norma1"/>
                              <w:rPr>
                                <w:rFonts w:cs="Arial"/>
                                <w:color w:val="000000" w:themeColor="text1"/>
                                <w:sz w:val="24"/>
                                <w:szCs w:val="24"/>
                              </w:rPr>
                            </w:pPr>
                            <w:r w:rsidRPr="005C4A3B">
                              <w:rPr>
                                <w:rFonts w:cs="Arial"/>
                                <w:sz w:val="24"/>
                                <w:szCs w:val="24"/>
                              </w:rPr>
                              <w:t xml:space="preserve">Deadline for Tender Responses: </w:t>
                            </w:r>
                            <w:r w:rsidR="002F76F5">
                              <w:rPr>
                                <w:rFonts w:cs="Arial"/>
                                <w:color w:val="000000" w:themeColor="text1"/>
                                <w:sz w:val="24"/>
                                <w:szCs w:val="24"/>
                              </w:rPr>
                              <w:t>17</w:t>
                            </w:r>
                            <w:r w:rsidR="002F76F5" w:rsidRPr="00DF0A81">
                              <w:rPr>
                                <w:rFonts w:cs="Arial"/>
                                <w:color w:val="000000" w:themeColor="text1"/>
                                <w:sz w:val="24"/>
                                <w:szCs w:val="24"/>
                                <w:vertAlign w:val="superscript"/>
                              </w:rPr>
                              <w:t>th</w:t>
                            </w:r>
                            <w:r w:rsidR="002F76F5" w:rsidRPr="00DF0A81">
                              <w:rPr>
                                <w:rFonts w:cs="Arial"/>
                                <w:color w:val="000000" w:themeColor="text1"/>
                                <w:sz w:val="24"/>
                                <w:szCs w:val="24"/>
                              </w:rPr>
                              <w:t xml:space="preserve"> </w:t>
                            </w:r>
                            <w:r w:rsidR="00CE3B51">
                              <w:rPr>
                                <w:rFonts w:cs="Arial"/>
                                <w:color w:val="000000" w:themeColor="text1"/>
                                <w:sz w:val="24"/>
                                <w:szCs w:val="24"/>
                              </w:rPr>
                              <w:t>September</w:t>
                            </w:r>
                            <w:r w:rsidR="002F76F5">
                              <w:rPr>
                                <w:rFonts w:cs="Arial"/>
                                <w:color w:val="000000" w:themeColor="text1"/>
                                <w:sz w:val="24"/>
                                <w:szCs w:val="24"/>
                              </w:rPr>
                              <w:t xml:space="preserve"> </w:t>
                            </w:r>
                            <w:r w:rsidR="00DF0A81">
                              <w:rPr>
                                <w:rFonts w:cs="Arial"/>
                                <w:color w:val="000000" w:themeColor="text1"/>
                                <w:sz w:val="24"/>
                                <w:szCs w:val="24"/>
                              </w:rPr>
                              <w:t>2018</w:t>
                            </w:r>
                          </w:p>
                          <w:p w14:paraId="5EA8763E" w14:textId="77777777" w:rsidR="00F60037" w:rsidRDefault="00F60037" w:rsidP="00790CE1">
                            <w:pPr>
                              <w:pStyle w:val="Norma1"/>
                              <w:rPr>
                                <w:rFonts w:cs="Arial"/>
                              </w:rPr>
                            </w:pPr>
                          </w:p>
                          <w:p w14:paraId="5EA8763F" w14:textId="77777777" w:rsidR="00F60037" w:rsidRPr="0000739E" w:rsidRDefault="00F60037" w:rsidP="00790CE1">
                            <w:pPr>
                              <w:pStyle w:val="Norma1"/>
                              <w:rPr>
                                <w:rFonts w:cs="Arial"/>
                              </w:rPr>
                            </w:pPr>
                          </w:p>
                          <w:p w14:paraId="5EA87640" w14:textId="77777777" w:rsidR="00F60037" w:rsidRDefault="00F60037">
                            <w:pPr>
                              <w:pStyle w:val="Norma1"/>
                            </w:pPr>
                          </w:p>
                          <w:p w14:paraId="5EA87641" w14:textId="77777777" w:rsidR="00F60037" w:rsidRDefault="00F60037">
                            <w:pPr>
                              <w:pStyle w:val="Norma1"/>
                            </w:pPr>
                          </w:p>
                          <w:p w14:paraId="5EA87642" w14:textId="77777777" w:rsidR="00F60037" w:rsidRDefault="00F60037">
                            <w:pPr>
                              <w:pStyle w:val="Norma1"/>
                            </w:pPr>
                          </w:p>
                          <w:p w14:paraId="5EA87643" w14:textId="77777777" w:rsidR="00F60037" w:rsidRDefault="00F60037">
                            <w:pPr>
                              <w:pStyle w:val="Norma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F60037" w:rsidRDefault="00F60037" w:rsidP="003E5C19">
                      <w:pPr>
                        <w:pStyle w:val="Norma1"/>
                        <w:jc w:val="center"/>
                        <w:rPr>
                          <w:b/>
                          <w:sz w:val="28"/>
                          <w:szCs w:val="28"/>
                        </w:rPr>
                      </w:pPr>
                    </w:p>
                    <w:p w14:paraId="5EA87636" w14:textId="77777777" w:rsidR="00F60037" w:rsidRDefault="00F60037" w:rsidP="003E5C19">
                      <w:pPr>
                        <w:pStyle w:val="Norma1"/>
                        <w:jc w:val="center"/>
                        <w:rPr>
                          <w:b/>
                          <w:sz w:val="28"/>
                          <w:szCs w:val="28"/>
                        </w:rPr>
                      </w:pPr>
                    </w:p>
                    <w:p w14:paraId="5EA87637" w14:textId="77777777" w:rsidR="00F60037" w:rsidRPr="003E5C19" w:rsidRDefault="00F60037" w:rsidP="003E5C19">
                      <w:pPr>
                        <w:pStyle w:val="Norma1"/>
                        <w:jc w:val="center"/>
                        <w:rPr>
                          <w:rFonts w:cs="Arial"/>
                          <w:b/>
                          <w:sz w:val="36"/>
                          <w:szCs w:val="36"/>
                        </w:rPr>
                      </w:pPr>
                      <w:r w:rsidRPr="003E5C19">
                        <w:rPr>
                          <w:b/>
                          <w:sz w:val="36"/>
                          <w:szCs w:val="36"/>
                        </w:rPr>
                        <w:t>Specification of Requirements</w:t>
                      </w:r>
                    </w:p>
                    <w:p w14:paraId="5EA87638" w14:textId="77777777" w:rsidR="00F60037" w:rsidRDefault="00F60037">
                      <w:pPr>
                        <w:pStyle w:val="Norma1"/>
                      </w:pPr>
                    </w:p>
                    <w:p w14:paraId="5EA87639" w14:textId="77777777" w:rsidR="00F60037" w:rsidRDefault="00F60037">
                      <w:pPr>
                        <w:pStyle w:val="Norma1"/>
                      </w:pPr>
                    </w:p>
                    <w:p w14:paraId="5EA8763A" w14:textId="5F452B70" w:rsidR="00F60037" w:rsidRPr="005C4A3B" w:rsidRDefault="00F60037" w:rsidP="00405192">
                      <w:pPr>
                        <w:pStyle w:val="Norma1"/>
                        <w:rPr>
                          <w:rFonts w:cs="Arial"/>
                          <w:color w:val="000000" w:themeColor="text1"/>
                          <w:sz w:val="24"/>
                          <w:szCs w:val="24"/>
                        </w:rPr>
                      </w:pPr>
                      <w:r w:rsidRPr="005C4A3B">
                        <w:rPr>
                          <w:rFonts w:cs="Arial"/>
                          <w:sz w:val="24"/>
                          <w:szCs w:val="24"/>
                        </w:rPr>
                        <w:t xml:space="preserve">Invitation to Tender for </w:t>
                      </w:r>
                      <w:r w:rsidR="00DF0A81">
                        <w:rPr>
                          <w:rFonts w:cs="Arial"/>
                          <w:color w:val="000000" w:themeColor="text1"/>
                          <w:sz w:val="24"/>
                          <w:szCs w:val="24"/>
                        </w:rPr>
                        <w:t xml:space="preserve">research: </w:t>
                      </w:r>
                      <w:r w:rsidR="002F76F5" w:rsidRPr="002F76F5">
                        <w:rPr>
                          <w:rFonts w:cs="Arial"/>
                          <w:color w:val="000000" w:themeColor="text1"/>
                          <w:sz w:val="24"/>
                          <w:szCs w:val="24"/>
                        </w:rPr>
                        <w:t>Identifying adaptation thresholds for the UK in the context of varying flood risk</w:t>
                      </w:r>
                    </w:p>
                    <w:p w14:paraId="5EA8763B" w14:textId="3A4AFB21" w:rsidR="00F60037" w:rsidRPr="005C4A3B" w:rsidRDefault="00F60037" w:rsidP="00405192">
                      <w:pPr>
                        <w:pStyle w:val="Norma1"/>
                        <w:rPr>
                          <w:rFonts w:cs="Arial"/>
                          <w:sz w:val="24"/>
                          <w:szCs w:val="24"/>
                        </w:rPr>
                      </w:pPr>
                      <w:r w:rsidRPr="005C4A3B">
                        <w:rPr>
                          <w:rFonts w:cs="Arial"/>
                          <w:sz w:val="24"/>
                          <w:szCs w:val="24"/>
                        </w:rPr>
                        <w:t xml:space="preserve">Tender Reference Number: </w:t>
                      </w:r>
                      <w:r w:rsidR="007A1FDB">
                        <w:rPr>
                          <w:rFonts w:cs="Arial"/>
                          <w:color w:val="FF0000"/>
                          <w:sz w:val="24"/>
                          <w:szCs w:val="24"/>
                        </w:rPr>
                        <w:t>AR/0718</w:t>
                      </w:r>
                      <w:bookmarkStart w:id="3" w:name="_GoBack"/>
                      <w:bookmarkEnd w:id="3"/>
                    </w:p>
                    <w:p w14:paraId="5EA8763D" w14:textId="7BA03E3A" w:rsidR="00F60037" w:rsidRPr="005C4A3B" w:rsidRDefault="00F60037" w:rsidP="00790CE1">
                      <w:pPr>
                        <w:pStyle w:val="Norma1"/>
                        <w:rPr>
                          <w:rFonts w:cs="Arial"/>
                          <w:color w:val="000000" w:themeColor="text1"/>
                          <w:sz w:val="24"/>
                          <w:szCs w:val="24"/>
                        </w:rPr>
                      </w:pPr>
                      <w:r w:rsidRPr="005C4A3B">
                        <w:rPr>
                          <w:rFonts w:cs="Arial"/>
                          <w:sz w:val="24"/>
                          <w:szCs w:val="24"/>
                        </w:rPr>
                        <w:t xml:space="preserve">Deadline for Tender Responses: </w:t>
                      </w:r>
                      <w:r w:rsidR="002F76F5">
                        <w:rPr>
                          <w:rFonts w:cs="Arial"/>
                          <w:color w:val="000000" w:themeColor="text1"/>
                          <w:sz w:val="24"/>
                          <w:szCs w:val="24"/>
                        </w:rPr>
                        <w:t>17</w:t>
                      </w:r>
                      <w:r w:rsidR="002F76F5" w:rsidRPr="00DF0A81">
                        <w:rPr>
                          <w:rFonts w:cs="Arial"/>
                          <w:color w:val="000000" w:themeColor="text1"/>
                          <w:sz w:val="24"/>
                          <w:szCs w:val="24"/>
                          <w:vertAlign w:val="superscript"/>
                        </w:rPr>
                        <w:t>th</w:t>
                      </w:r>
                      <w:r w:rsidR="002F76F5" w:rsidRPr="00DF0A81">
                        <w:rPr>
                          <w:rFonts w:cs="Arial"/>
                          <w:color w:val="000000" w:themeColor="text1"/>
                          <w:sz w:val="24"/>
                          <w:szCs w:val="24"/>
                        </w:rPr>
                        <w:t xml:space="preserve"> </w:t>
                      </w:r>
                      <w:r w:rsidR="00CE3B51">
                        <w:rPr>
                          <w:rFonts w:cs="Arial"/>
                          <w:color w:val="000000" w:themeColor="text1"/>
                          <w:sz w:val="24"/>
                          <w:szCs w:val="24"/>
                        </w:rPr>
                        <w:t>September</w:t>
                      </w:r>
                      <w:r w:rsidR="002F76F5">
                        <w:rPr>
                          <w:rFonts w:cs="Arial"/>
                          <w:color w:val="000000" w:themeColor="text1"/>
                          <w:sz w:val="24"/>
                          <w:szCs w:val="24"/>
                        </w:rPr>
                        <w:t xml:space="preserve"> </w:t>
                      </w:r>
                      <w:r w:rsidR="00DF0A81">
                        <w:rPr>
                          <w:rFonts w:cs="Arial"/>
                          <w:color w:val="000000" w:themeColor="text1"/>
                          <w:sz w:val="24"/>
                          <w:szCs w:val="24"/>
                        </w:rPr>
                        <w:t>2018</w:t>
                      </w:r>
                    </w:p>
                    <w:p w14:paraId="5EA8763E" w14:textId="77777777" w:rsidR="00F60037" w:rsidRDefault="00F60037" w:rsidP="00790CE1">
                      <w:pPr>
                        <w:pStyle w:val="Norma1"/>
                        <w:rPr>
                          <w:rFonts w:cs="Arial"/>
                        </w:rPr>
                      </w:pPr>
                    </w:p>
                    <w:p w14:paraId="5EA8763F" w14:textId="77777777" w:rsidR="00F60037" w:rsidRPr="0000739E" w:rsidRDefault="00F60037" w:rsidP="00790CE1">
                      <w:pPr>
                        <w:pStyle w:val="Norma1"/>
                        <w:rPr>
                          <w:rFonts w:cs="Arial"/>
                        </w:rPr>
                      </w:pPr>
                    </w:p>
                    <w:p w14:paraId="5EA87640" w14:textId="77777777" w:rsidR="00F60037" w:rsidRDefault="00F60037">
                      <w:pPr>
                        <w:pStyle w:val="Norma1"/>
                      </w:pPr>
                    </w:p>
                    <w:p w14:paraId="5EA87641" w14:textId="77777777" w:rsidR="00F60037" w:rsidRDefault="00F60037">
                      <w:pPr>
                        <w:pStyle w:val="Norma1"/>
                      </w:pPr>
                    </w:p>
                    <w:p w14:paraId="5EA87642" w14:textId="77777777" w:rsidR="00F60037" w:rsidRDefault="00F60037">
                      <w:pPr>
                        <w:pStyle w:val="Norma1"/>
                      </w:pPr>
                    </w:p>
                    <w:p w14:paraId="5EA87643" w14:textId="77777777" w:rsidR="00F60037" w:rsidRDefault="00F60037">
                      <w:pPr>
                        <w:pStyle w:val="Norma1"/>
                      </w:pPr>
                    </w:p>
                  </w:txbxContent>
                </v:textbox>
              </v:shape>
            </w:pict>
          </mc:Fallback>
        </mc:AlternateContent>
      </w:r>
    </w:p>
    <w:p w14:paraId="5EA87537" w14:textId="77777777" w:rsidR="003E5C19" w:rsidRDefault="003E5C19" w:rsidP="007B3C23">
      <w:pPr>
        <w:pStyle w:val="Norma1"/>
        <w:jc w:val="both"/>
        <w:rPr>
          <w:rFonts w:ascii="Calibri" w:hAnsi="Calibri" w:cs="Calibri"/>
          <w:b/>
          <w:sz w:val="28"/>
          <w:szCs w:val="28"/>
        </w:rPr>
      </w:pPr>
    </w:p>
    <w:p w14:paraId="5EA87538" w14:textId="77777777" w:rsidR="003E5C19" w:rsidRDefault="003E5C19" w:rsidP="007B3C23">
      <w:pPr>
        <w:pStyle w:val="Norma1"/>
        <w:jc w:val="both"/>
        <w:rPr>
          <w:rFonts w:ascii="Calibri" w:hAnsi="Calibri" w:cs="Calibri"/>
          <w:b/>
          <w:sz w:val="28"/>
          <w:szCs w:val="28"/>
        </w:rPr>
      </w:pPr>
    </w:p>
    <w:p w14:paraId="5EA87539" w14:textId="77777777" w:rsidR="009954ED" w:rsidRPr="007B3C23" w:rsidRDefault="009954ED" w:rsidP="007B3C23">
      <w:pPr>
        <w:pStyle w:val="Norma1"/>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1"/>
        <w:rPr>
          <w:sz w:val="24"/>
          <w:szCs w:val="24"/>
          <w:lang w:val="en-US" w:eastAsia="ja-JP"/>
        </w:rPr>
      </w:pPr>
    </w:p>
    <w:p w14:paraId="7D7E5A54" w14:textId="77777777" w:rsidR="00C62E6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C62E6E" w:rsidRPr="009D4A98">
        <w:rPr>
          <w:rFonts w:cs="Arial"/>
          <w:noProof/>
        </w:rPr>
        <w:t>1.</w:t>
      </w:r>
      <w:r w:rsidR="00C62E6E">
        <w:rPr>
          <w:rFonts w:asciiTheme="minorHAnsi" w:eastAsiaTheme="minorEastAsia" w:hAnsiTheme="minorHAnsi" w:cstheme="minorBidi"/>
          <w:noProof/>
        </w:rPr>
        <w:tab/>
      </w:r>
      <w:r w:rsidR="00C62E6E" w:rsidRPr="009D4A98">
        <w:rPr>
          <w:rFonts w:cs="Arial"/>
          <w:noProof/>
        </w:rPr>
        <w:t>Introduction and summary of requirements / Preamble</w:t>
      </w:r>
      <w:r w:rsidR="00C62E6E">
        <w:rPr>
          <w:noProof/>
        </w:rPr>
        <w:tab/>
      </w:r>
      <w:r w:rsidR="00C62E6E">
        <w:rPr>
          <w:noProof/>
        </w:rPr>
        <w:fldChar w:fldCharType="begin"/>
      </w:r>
      <w:r w:rsidR="00C62E6E">
        <w:rPr>
          <w:noProof/>
        </w:rPr>
        <w:instrText xml:space="preserve"> PAGEREF _Toc496603071 \h </w:instrText>
      </w:r>
      <w:r w:rsidR="00C62E6E">
        <w:rPr>
          <w:noProof/>
        </w:rPr>
      </w:r>
      <w:r w:rsidR="00C62E6E">
        <w:rPr>
          <w:noProof/>
        </w:rPr>
        <w:fldChar w:fldCharType="separate"/>
      </w:r>
      <w:r w:rsidR="00C62E6E">
        <w:rPr>
          <w:noProof/>
        </w:rPr>
        <w:t>3</w:t>
      </w:r>
      <w:r w:rsidR="00C62E6E">
        <w:rPr>
          <w:noProof/>
        </w:rPr>
        <w:fldChar w:fldCharType="end"/>
      </w:r>
    </w:p>
    <w:p w14:paraId="735C48DD" w14:textId="77777777" w:rsidR="00C62E6E" w:rsidRDefault="00C62E6E">
      <w:pPr>
        <w:pStyle w:val="TOC1"/>
        <w:rPr>
          <w:rFonts w:asciiTheme="minorHAnsi" w:eastAsiaTheme="minorEastAsia" w:hAnsiTheme="minorHAnsi" w:cstheme="minorBidi"/>
          <w:noProof/>
        </w:rPr>
      </w:pPr>
      <w:r w:rsidRPr="009D4A98">
        <w:rPr>
          <w:rFonts w:cs="Arial"/>
          <w:noProof/>
        </w:rPr>
        <w:t>2.</w:t>
      </w:r>
      <w:r>
        <w:rPr>
          <w:rFonts w:asciiTheme="minorHAnsi" w:eastAsiaTheme="minorEastAsia" w:hAnsiTheme="minorHAnsi" w:cstheme="minorBidi"/>
          <w:noProof/>
        </w:rPr>
        <w:tab/>
      </w:r>
      <w:r w:rsidRPr="009D4A98">
        <w:rPr>
          <w:rFonts w:cs="Arial"/>
          <w:noProof/>
        </w:rPr>
        <w:t>Background</w:t>
      </w:r>
      <w:r>
        <w:rPr>
          <w:noProof/>
        </w:rPr>
        <w:tab/>
      </w:r>
      <w:r>
        <w:rPr>
          <w:noProof/>
        </w:rPr>
        <w:fldChar w:fldCharType="begin"/>
      </w:r>
      <w:r>
        <w:rPr>
          <w:noProof/>
        </w:rPr>
        <w:instrText xml:space="preserve"> PAGEREF _Toc496603072 \h </w:instrText>
      </w:r>
      <w:r>
        <w:rPr>
          <w:noProof/>
        </w:rPr>
      </w:r>
      <w:r>
        <w:rPr>
          <w:noProof/>
        </w:rPr>
        <w:fldChar w:fldCharType="separate"/>
      </w:r>
      <w:r>
        <w:rPr>
          <w:noProof/>
        </w:rPr>
        <w:t>3</w:t>
      </w:r>
      <w:r>
        <w:rPr>
          <w:noProof/>
        </w:rPr>
        <w:fldChar w:fldCharType="end"/>
      </w:r>
    </w:p>
    <w:p w14:paraId="36644C55" w14:textId="77777777" w:rsidR="00C62E6E" w:rsidRDefault="00C62E6E">
      <w:pPr>
        <w:pStyle w:val="TOC1"/>
        <w:rPr>
          <w:rFonts w:asciiTheme="minorHAnsi" w:eastAsiaTheme="minorEastAsia" w:hAnsiTheme="minorHAnsi" w:cstheme="minorBidi"/>
          <w:noProof/>
        </w:rPr>
      </w:pPr>
      <w:r w:rsidRPr="009D4A98">
        <w:rPr>
          <w:rFonts w:cs="Arial"/>
          <w:noProof/>
        </w:rPr>
        <w:t>3.</w:t>
      </w:r>
      <w:r>
        <w:rPr>
          <w:rFonts w:asciiTheme="minorHAnsi" w:eastAsiaTheme="minorEastAsia" w:hAnsiTheme="minorHAnsi" w:cstheme="minorBidi"/>
          <w:noProof/>
        </w:rPr>
        <w:tab/>
      </w:r>
      <w:r w:rsidRPr="009D4A98">
        <w:rPr>
          <w:rFonts w:cs="Arial"/>
          <w:noProof/>
        </w:rPr>
        <w:t>Aims and Objectives</w:t>
      </w:r>
      <w:r>
        <w:rPr>
          <w:noProof/>
        </w:rPr>
        <w:tab/>
      </w:r>
      <w:r>
        <w:rPr>
          <w:noProof/>
        </w:rPr>
        <w:fldChar w:fldCharType="begin"/>
      </w:r>
      <w:r>
        <w:rPr>
          <w:noProof/>
        </w:rPr>
        <w:instrText xml:space="preserve"> PAGEREF _Toc496603073 \h </w:instrText>
      </w:r>
      <w:r>
        <w:rPr>
          <w:noProof/>
        </w:rPr>
      </w:r>
      <w:r>
        <w:rPr>
          <w:noProof/>
        </w:rPr>
        <w:fldChar w:fldCharType="separate"/>
      </w:r>
      <w:r>
        <w:rPr>
          <w:noProof/>
        </w:rPr>
        <w:t>4</w:t>
      </w:r>
      <w:r>
        <w:rPr>
          <w:noProof/>
        </w:rPr>
        <w:fldChar w:fldCharType="end"/>
      </w:r>
    </w:p>
    <w:p w14:paraId="40D13112" w14:textId="77777777" w:rsidR="00C62E6E" w:rsidRDefault="00C62E6E">
      <w:pPr>
        <w:pStyle w:val="TOC1"/>
        <w:rPr>
          <w:rFonts w:asciiTheme="minorHAnsi" w:eastAsiaTheme="minorEastAsia" w:hAnsiTheme="minorHAnsi" w:cstheme="minorBidi"/>
          <w:noProof/>
        </w:rPr>
      </w:pPr>
      <w:r w:rsidRPr="009D4A98">
        <w:rPr>
          <w:rFonts w:cs="Arial"/>
          <w:noProof/>
        </w:rPr>
        <w:t>4</w:t>
      </w:r>
      <w:r>
        <w:rPr>
          <w:rFonts w:asciiTheme="minorHAnsi" w:eastAsiaTheme="minorEastAsia" w:hAnsiTheme="minorHAnsi" w:cstheme="minorBidi"/>
          <w:noProof/>
        </w:rPr>
        <w:tab/>
      </w:r>
      <w:r w:rsidRPr="009D4A98">
        <w:rPr>
          <w:rFonts w:cs="Arial"/>
          <w:noProof/>
        </w:rPr>
        <w:t>Methodology</w:t>
      </w:r>
      <w:r>
        <w:rPr>
          <w:noProof/>
        </w:rPr>
        <w:tab/>
      </w:r>
      <w:r>
        <w:rPr>
          <w:noProof/>
        </w:rPr>
        <w:fldChar w:fldCharType="begin"/>
      </w:r>
      <w:r>
        <w:rPr>
          <w:noProof/>
        </w:rPr>
        <w:instrText xml:space="preserve"> PAGEREF _Toc496603074 \h </w:instrText>
      </w:r>
      <w:r>
        <w:rPr>
          <w:noProof/>
        </w:rPr>
      </w:r>
      <w:r>
        <w:rPr>
          <w:noProof/>
        </w:rPr>
        <w:fldChar w:fldCharType="separate"/>
      </w:r>
      <w:r>
        <w:rPr>
          <w:noProof/>
        </w:rPr>
        <w:t>4</w:t>
      </w:r>
      <w:r>
        <w:rPr>
          <w:noProof/>
        </w:rPr>
        <w:fldChar w:fldCharType="end"/>
      </w:r>
    </w:p>
    <w:p w14:paraId="3454515D" w14:textId="77777777" w:rsidR="00C62E6E" w:rsidRDefault="00C62E6E">
      <w:pPr>
        <w:pStyle w:val="TOC1"/>
        <w:rPr>
          <w:rFonts w:asciiTheme="minorHAnsi" w:eastAsiaTheme="minorEastAsia" w:hAnsiTheme="minorHAnsi" w:cstheme="minorBidi"/>
          <w:noProof/>
        </w:rPr>
      </w:pPr>
      <w:r w:rsidRPr="009D4A98">
        <w:rPr>
          <w:rFonts w:cs="Arial"/>
          <w:noProof/>
        </w:rPr>
        <w:t>5</w:t>
      </w:r>
      <w:r>
        <w:rPr>
          <w:rFonts w:asciiTheme="minorHAnsi" w:eastAsiaTheme="minorEastAsia" w:hAnsiTheme="minorHAnsi" w:cstheme="minorBidi"/>
          <w:noProof/>
        </w:rPr>
        <w:tab/>
      </w:r>
      <w:r w:rsidRPr="009D4A98">
        <w:rPr>
          <w:rFonts w:cs="Arial"/>
          <w:noProof/>
        </w:rPr>
        <w:t>Outputs Required</w:t>
      </w:r>
      <w:r>
        <w:rPr>
          <w:noProof/>
        </w:rPr>
        <w:tab/>
      </w:r>
      <w:r>
        <w:rPr>
          <w:noProof/>
        </w:rPr>
        <w:fldChar w:fldCharType="begin"/>
      </w:r>
      <w:r>
        <w:rPr>
          <w:noProof/>
        </w:rPr>
        <w:instrText xml:space="preserve"> PAGEREF _Toc496603075 \h </w:instrText>
      </w:r>
      <w:r>
        <w:rPr>
          <w:noProof/>
        </w:rPr>
      </w:r>
      <w:r>
        <w:rPr>
          <w:noProof/>
        </w:rPr>
        <w:fldChar w:fldCharType="separate"/>
      </w:r>
      <w:r>
        <w:rPr>
          <w:noProof/>
        </w:rPr>
        <w:t>6</w:t>
      </w:r>
      <w:r>
        <w:rPr>
          <w:noProof/>
        </w:rPr>
        <w:fldChar w:fldCharType="end"/>
      </w:r>
    </w:p>
    <w:p w14:paraId="21C21DC0" w14:textId="77777777" w:rsidR="00C62E6E" w:rsidRDefault="00C62E6E">
      <w:pPr>
        <w:pStyle w:val="TOC1"/>
        <w:rPr>
          <w:rFonts w:asciiTheme="minorHAnsi" w:eastAsiaTheme="minorEastAsia" w:hAnsiTheme="minorHAnsi" w:cstheme="minorBidi"/>
          <w:noProof/>
        </w:rPr>
      </w:pPr>
      <w:r w:rsidRPr="009D4A98">
        <w:rPr>
          <w:rFonts w:cs="Arial"/>
          <w:noProof/>
        </w:rPr>
        <w:t>6</w:t>
      </w:r>
      <w:r>
        <w:rPr>
          <w:rFonts w:asciiTheme="minorHAnsi" w:eastAsiaTheme="minorEastAsia" w:hAnsiTheme="minorHAnsi" w:cstheme="minorBidi"/>
          <w:noProof/>
        </w:rPr>
        <w:tab/>
      </w:r>
      <w:r w:rsidRPr="009D4A98">
        <w:rPr>
          <w:rFonts w:cs="Arial"/>
          <w:noProof/>
        </w:rPr>
        <w:t>Ownership and Publication</w:t>
      </w:r>
      <w:r>
        <w:rPr>
          <w:noProof/>
        </w:rPr>
        <w:tab/>
      </w:r>
      <w:r>
        <w:rPr>
          <w:noProof/>
        </w:rPr>
        <w:fldChar w:fldCharType="begin"/>
      </w:r>
      <w:r>
        <w:rPr>
          <w:noProof/>
        </w:rPr>
        <w:instrText xml:space="preserve"> PAGEREF _Toc496603076 \h </w:instrText>
      </w:r>
      <w:r>
        <w:rPr>
          <w:noProof/>
        </w:rPr>
      </w:r>
      <w:r>
        <w:rPr>
          <w:noProof/>
        </w:rPr>
        <w:fldChar w:fldCharType="separate"/>
      </w:r>
      <w:r>
        <w:rPr>
          <w:noProof/>
        </w:rPr>
        <w:t>6</w:t>
      </w:r>
      <w:r>
        <w:rPr>
          <w:noProof/>
        </w:rPr>
        <w:fldChar w:fldCharType="end"/>
      </w:r>
    </w:p>
    <w:p w14:paraId="2EFC14BC" w14:textId="77777777" w:rsidR="00C62E6E" w:rsidRDefault="00C62E6E">
      <w:pPr>
        <w:pStyle w:val="TOC1"/>
        <w:rPr>
          <w:rFonts w:asciiTheme="minorHAnsi" w:eastAsiaTheme="minorEastAsia" w:hAnsiTheme="minorHAnsi" w:cstheme="minorBidi"/>
          <w:noProof/>
        </w:rPr>
      </w:pPr>
      <w:r w:rsidRPr="009D4A98">
        <w:rPr>
          <w:rFonts w:cs="Arial"/>
          <w:noProof/>
        </w:rPr>
        <w:t>7</w:t>
      </w:r>
      <w:r>
        <w:rPr>
          <w:rFonts w:asciiTheme="minorHAnsi" w:eastAsiaTheme="minorEastAsia" w:hAnsiTheme="minorHAnsi" w:cstheme="minorBidi"/>
          <w:noProof/>
        </w:rPr>
        <w:tab/>
      </w:r>
      <w:r w:rsidRPr="009D4A98">
        <w:rPr>
          <w:rFonts w:cs="Arial"/>
          <w:noProof/>
        </w:rPr>
        <w:t>Quality Assurance</w:t>
      </w:r>
      <w:r>
        <w:rPr>
          <w:noProof/>
        </w:rPr>
        <w:tab/>
      </w:r>
      <w:r>
        <w:rPr>
          <w:noProof/>
        </w:rPr>
        <w:fldChar w:fldCharType="begin"/>
      </w:r>
      <w:r>
        <w:rPr>
          <w:noProof/>
        </w:rPr>
        <w:instrText xml:space="preserve"> PAGEREF _Toc496603077 \h </w:instrText>
      </w:r>
      <w:r>
        <w:rPr>
          <w:noProof/>
        </w:rPr>
      </w:r>
      <w:r>
        <w:rPr>
          <w:noProof/>
        </w:rPr>
        <w:fldChar w:fldCharType="separate"/>
      </w:r>
      <w:r>
        <w:rPr>
          <w:noProof/>
        </w:rPr>
        <w:t>6</w:t>
      </w:r>
      <w:r>
        <w:rPr>
          <w:noProof/>
        </w:rPr>
        <w:fldChar w:fldCharType="end"/>
      </w:r>
    </w:p>
    <w:p w14:paraId="17B43CCD" w14:textId="77777777" w:rsidR="00C62E6E" w:rsidRDefault="00C62E6E">
      <w:pPr>
        <w:pStyle w:val="TOC1"/>
        <w:rPr>
          <w:rFonts w:asciiTheme="minorHAnsi" w:eastAsiaTheme="minorEastAsia" w:hAnsiTheme="minorHAnsi" w:cstheme="minorBidi"/>
          <w:noProof/>
        </w:rPr>
      </w:pPr>
      <w:r w:rsidRPr="009D4A98">
        <w:rPr>
          <w:rFonts w:cs="Arial"/>
          <w:noProof/>
        </w:rPr>
        <w:t>8</w:t>
      </w:r>
      <w:r>
        <w:rPr>
          <w:rFonts w:asciiTheme="minorHAnsi" w:eastAsiaTheme="minorEastAsia" w:hAnsiTheme="minorHAnsi" w:cstheme="minorBidi"/>
          <w:noProof/>
        </w:rPr>
        <w:tab/>
      </w:r>
      <w:r w:rsidRPr="009D4A98">
        <w:rPr>
          <w:rFonts w:cs="Arial"/>
          <w:noProof/>
        </w:rPr>
        <w:t>Timetable</w:t>
      </w:r>
      <w:r>
        <w:rPr>
          <w:noProof/>
        </w:rPr>
        <w:tab/>
      </w:r>
      <w:r>
        <w:rPr>
          <w:noProof/>
        </w:rPr>
        <w:fldChar w:fldCharType="begin"/>
      </w:r>
      <w:r>
        <w:rPr>
          <w:noProof/>
        </w:rPr>
        <w:instrText xml:space="preserve"> PAGEREF _Toc496603078 \h </w:instrText>
      </w:r>
      <w:r>
        <w:rPr>
          <w:noProof/>
        </w:rPr>
      </w:r>
      <w:r>
        <w:rPr>
          <w:noProof/>
        </w:rPr>
        <w:fldChar w:fldCharType="separate"/>
      </w:r>
      <w:r>
        <w:rPr>
          <w:noProof/>
        </w:rPr>
        <w:t>6</w:t>
      </w:r>
      <w:r>
        <w:rPr>
          <w:noProof/>
        </w:rPr>
        <w:fldChar w:fldCharType="end"/>
      </w:r>
    </w:p>
    <w:p w14:paraId="788D4967" w14:textId="77777777" w:rsidR="00C62E6E" w:rsidRDefault="00C62E6E">
      <w:pPr>
        <w:pStyle w:val="TOC1"/>
        <w:rPr>
          <w:rFonts w:asciiTheme="minorHAnsi" w:eastAsiaTheme="minorEastAsia" w:hAnsiTheme="minorHAnsi" w:cstheme="minorBidi"/>
          <w:noProof/>
        </w:rPr>
      </w:pPr>
      <w:r w:rsidRPr="009D4A98">
        <w:rPr>
          <w:rFonts w:cs="Arial"/>
          <w:noProof/>
        </w:rPr>
        <w:t>9</w:t>
      </w:r>
      <w:r>
        <w:rPr>
          <w:rFonts w:asciiTheme="minorHAnsi" w:eastAsiaTheme="minorEastAsia" w:hAnsiTheme="minorHAnsi" w:cstheme="minorBidi"/>
          <w:noProof/>
        </w:rPr>
        <w:tab/>
      </w:r>
      <w:r w:rsidRPr="009D4A98">
        <w:rPr>
          <w:rFonts w:cs="Arial"/>
          <w:noProof/>
        </w:rPr>
        <w:t>Challenges</w:t>
      </w:r>
      <w:r>
        <w:rPr>
          <w:noProof/>
        </w:rPr>
        <w:tab/>
      </w:r>
      <w:r>
        <w:rPr>
          <w:noProof/>
        </w:rPr>
        <w:fldChar w:fldCharType="begin"/>
      </w:r>
      <w:r>
        <w:rPr>
          <w:noProof/>
        </w:rPr>
        <w:instrText xml:space="preserve"> PAGEREF _Toc496603079 \h </w:instrText>
      </w:r>
      <w:r>
        <w:rPr>
          <w:noProof/>
        </w:rPr>
      </w:r>
      <w:r>
        <w:rPr>
          <w:noProof/>
        </w:rPr>
        <w:fldChar w:fldCharType="separate"/>
      </w:r>
      <w:r>
        <w:rPr>
          <w:noProof/>
        </w:rPr>
        <w:t>7</w:t>
      </w:r>
      <w:r>
        <w:rPr>
          <w:noProof/>
        </w:rPr>
        <w:fldChar w:fldCharType="end"/>
      </w:r>
    </w:p>
    <w:p w14:paraId="5F45F8D1" w14:textId="77777777" w:rsidR="00C62E6E" w:rsidRDefault="00C62E6E">
      <w:pPr>
        <w:pStyle w:val="TOC1"/>
        <w:rPr>
          <w:rFonts w:asciiTheme="minorHAnsi" w:eastAsiaTheme="minorEastAsia" w:hAnsiTheme="minorHAnsi" w:cstheme="minorBidi"/>
          <w:noProof/>
        </w:rPr>
      </w:pPr>
      <w:r w:rsidRPr="009D4A98">
        <w:rPr>
          <w:rFonts w:cs="Arial"/>
          <w:noProof/>
        </w:rPr>
        <w:t>10</w:t>
      </w:r>
      <w:r>
        <w:rPr>
          <w:rFonts w:asciiTheme="minorHAnsi" w:eastAsiaTheme="minorEastAsia" w:hAnsiTheme="minorHAnsi" w:cstheme="minorBidi"/>
          <w:noProof/>
        </w:rPr>
        <w:tab/>
      </w:r>
      <w:r w:rsidRPr="009D4A98">
        <w:rPr>
          <w:rFonts w:cs="Arial"/>
          <w:noProof/>
        </w:rPr>
        <w:t>Ethics</w:t>
      </w:r>
      <w:r>
        <w:rPr>
          <w:noProof/>
        </w:rPr>
        <w:tab/>
      </w:r>
      <w:r>
        <w:rPr>
          <w:noProof/>
        </w:rPr>
        <w:fldChar w:fldCharType="begin"/>
      </w:r>
      <w:r>
        <w:rPr>
          <w:noProof/>
        </w:rPr>
        <w:instrText xml:space="preserve"> PAGEREF _Toc496603080 \h </w:instrText>
      </w:r>
      <w:r>
        <w:rPr>
          <w:noProof/>
        </w:rPr>
      </w:r>
      <w:r>
        <w:rPr>
          <w:noProof/>
        </w:rPr>
        <w:fldChar w:fldCharType="separate"/>
      </w:r>
      <w:r>
        <w:rPr>
          <w:noProof/>
        </w:rPr>
        <w:t>7</w:t>
      </w:r>
      <w:r>
        <w:rPr>
          <w:noProof/>
        </w:rPr>
        <w:fldChar w:fldCharType="end"/>
      </w:r>
    </w:p>
    <w:p w14:paraId="1A674245" w14:textId="77777777" w:rsidR="00C62E6E" w:rsidRDefault="00C62E6E">
      <w:pPr>
        <w:pStyle w:val="TOC1"/>
        <w:rPr>
          <w:rFonts w:asciiTheme="minorHAnsi" w:eastAsiaTheme="minorEastAsia" w:hAnsiTheme="minorHAnsi" w:cstheme="minorBidi"/>
          <w:noProof/>
        </w:rPr>
      </w:pPr>
      <w:r w:rsidRPr="009D4A98">
        <w:rPr>
          <w:rFonts w:cs="Arial"/>
          <w:noProof/>
        </w:rPr>
        <w:t>11</w:t>
      </w:r>
      <w:r>
        <w:rPr>
          <w:rFonts w:asciiTheme="minorHAnsi" w:eastAsiaTheme="minorEastAsia" w:hAnsiTheme="minorHAnsi" w:cstheme="minorBidi"/>
          <w:noProof/>
        </w:rPr>
        <w:tab/>
      </w:r>
      <w:r w:rsidRPr="009D4A98">
        <w:rPr>
          <w:rFonts w:cs="Arial"/>
          <w:noProof/>
        </w:rPr>
        <w:t>Working Arrangements</w:t>
      </w:r>
      <w:r>
        <w:rPr>
          <w:noProof/>
        </w:rPr>
        <w:tab/>
      </w:r>
      <w:r>
        <w:rPr>
          <w:noProof/>
        </w:rPr>
        <w:fldChar w:fldCharType="begin"/>
      </w:r>
      <w:r>
        <w:rPr>
          <w:noProof/>
        </w:rPr>
        <w:instrText xml:space="preserve"> PAGEREF _Toc496603081 \h </w:instrText>
      </w:r>
      <w:r>
        <w:rPr>
          <w:noProof/>
        </w:rPr>
      </w:r>
      <w:r>
        <w:rPr>
          <w:noProof/>
        </w:rPr>
        <w:fldChar w:fldCharType="separate"/>
      </w:r>
      <w:r>
        <w:rPr>
          <w:noProof/>
        </w:rPr>
        <w:t>7</w:t>
      </w:r>
      <w:r>
        <w:rPr>
          <w:noProof/>
        </w:rPr>
        <w:fldChar w:fldCharType="end"/>
      </w:r>
    </w:p>
    <w:p w14:paraId="06660A77" w14:textId="77777777" w:rsidR="00C62E6E" w:rsidRDefault="00C62E6E">
      <w:pPr>
        <w:pStyle w:val="TOC1"/>
        <w:rPr>
          <w:rFonts w:asciiTheme="minorHAnsi" w:eastAsiaTheme="minorEastAsia" w:hAnsiTheme="minorHAnsi" w:cstheme="minorBidi"/>
          <w:noProof/>
        </w:rPr>
      </w:pPr>
      <w:r w:rsidRPr="009D4A98">
        <w:rPr>
          <w:rFonts w:cs="Arial"/>
          <w:noProof/>
        </w:rPr>
        <w:t>12</w:t>
      </w:r>
      <w:r>
        <w:rPr>
          <w:rFonts w:asciiTheme="minorHAnsi" w:eastAsiaTheme="minorEastAsia" w:hAnsiTheme="minorHAnsi" w:cstheme="minorBidi"/>
          <w:noProof/>
        </w:rPr>
        <w:tab/>
      </w:r>
      <w:r w:rsidRPr="009D4A98">
        <w:rPr>
          <w:rFonts w:cs="Arial"/>
          <w:noProof/>
        </w:rPr>
        <w:t>Skills and experience</w:t>
      </w:r>
      <w:r>
        <w:rPr>
          <w:noProof/>
        </w:rPr>
        <w:tab/>
      </w:r>
      <w:r>
        <w:rPr>
          <w:noProof/>
        </w:rPr>
        <w:fldChar w:fldCharType="begin"/>
      </w:r>
      <w:r>
        <w:rPr>
          <w:noProof/>
        </w:rPr>
        <w:instrText xml:space="preserve"> PAGEREF _Toc496603082 \h </w:instrText>
      </w:r>
      <w:r>
        <w:rPr>
          <w:noProof/>
        </w:rPr>
      </w:r>
      <w:r>
        <w:rPr>
          <w:noProof/>
        </w:rPr>
        <w:fldChar w:fldCharType="separate"/>
      </w:r>
      <w:r>
        <w:rPr>
          <w:noProof/>
        </w:rPr>
        <w:t>8</w:t>
      </w:r>
      <w:r>
        <w:rPr>
          <w:noProof/>
        </w:rPr>
        <w:fldChar w:fldCharType="end"/>
      </w:r>
    </w:p>
    <w:p w14:paraId="13AC2FF4" w14:textId="77777777" w:rsidR="00C62E6E" w:rsidRDefault="00C62E6E">
      <w:pPr>
        <w:pStyle w:val="TOC1"/>
        <w:rPr>
          <w:rFonts w:asciiTheme="minorHAnsi" w:eastAsiaTheme="minorEastAsia" w:hAnsiTheme="minorHAnsi" w:cstheme="minorBidi"/>
          <w:noProof/>
        </w:rPr>
      </w:pPr>
      <w:r w:rsidRPr="009D4A98">
        <w:rPr>
          <w:rFonts w:cs="Arial"/>
          <w:noProof/>
        </w:rPr>
        <w:t>13</w:t>
      </w:r>
      <w:r>
        <w:rPr>
          <w:rFonts w:asciiTheme="minorHAnsi" w:eastAsiaTheme="minorEastAsia" w:hAnsiTheme="minorHAnsi" w:cstheme="minorBidi"/>
          <w:noProof/>
        </w:rPr>
        <w:tab/>
      </w:r>
      <w:r w:rsidRPr="009D4A98">
        <w:rPr>
          <w:rFonts w:cs="Arial"/>
          <w:noProof/>
        </w:rPr>
        <w:t>Consortium Bids</w:t>
      </w:r>
      <w:r>
        <w:rPr>
          <w:noProof/>
        </w:rPr>
        <w:tab/>
      </w:r>
      <w:r>
        <w:rPr>
          <w:noProof/>
        </w:rPr>
        <w:fldChar w:fldCharType="begin"/>
      </w:r>
      <w:r>
        <w:rPr>
          <w:noProof/>
        </w:rPr>
        <w:instrText xml:space="preserve"> PAGEREF _Toc496603083 \h </w:instrText>
      </w:r>
      <w:r>
        <w:rPr>
          <w:noProof/>
        </w:rPr>
      </w:r>
      <w:r>
        <w:rPr>
          <w:noProof/>
        </w:rPr>
        <w:fldChar w:fldCharType="separate"/>
      </w:r>
      <w:r>
        <w:rPr>
          <w:noProof/>
        </w:rPr>
        <w:t>8</w:t>
      </w:r>
      <w:r>
        <w:rPr>
          <w:noProof/>
        </w:rPr>
        <w:fldChar w:fldCharType="end"/>
      </w:r>
    </w:p>
    <w:p w14:paraId="4FB86A5F" w14:textId="77777777" w:rsidR="00C62E6E" w:rsidRDefault="00C62E6E">
      <w:pPr>
        <w:pStyle w:val="TOC1"/>
        <w:rPr>
          <w:rFonts w:asciiTheme="minorHAnsi" w:eastAsiaTheme="minorEastAsia" w:hAnsiTheme="minorHAnsi" w:cstheme="minorBidi"/>
          <w:noProof/>
        </w:rPr>
      </w:pPr>
      <w:r w:rsidRPr="009D4A98">
        <w:rPr>
          <w:rFonts w:cs="Arial"/>
          <w:noProof/>
        </w:rPr>
        <w:t>14</w:t>
      </w:r>
      <w:r>
        <w:rPr>
          <w:rFonts w:asciiTheme="minorHAnsi" w:eastAsiaTheme="minorEastAsia" w:hAnsiTheme="minorHAnsi" w:cstheme="minorBidi"/>
          <w:noProof/>
        </w:rPr>
        <w:tab/>
      </w:r>
      <w:r w:rsidRPr="009D4A98">
        <w:rPr>
          <w:rFonts w:cs="Arial"/>
          <w:noProof/>
        </w:rPr>
        <w:t>Budget</w:t>
      </w:r>
      <w:r>
        <w:rPr>
          <w:noProof/>
        </w:rPr>
        <w:tab/>
      </w:r>
      <w:r>
        <w:rPr>
          <w:noProof/>
        </w:rPr>
        <w:fldChar w:fldCharType="begin"/>
      </w:r>
      <w:r>
        <w:rPr>
          <w:noProof/>
        </w:rPr>
        <w:instrText xml:space="preserve"> PAGEREF _Toc496603084 \h </w:instrText>
      </w:r>
      <w:r>
        <w:rPr>
          <w:noProof/>
        </w:rPr>
      </w:r>
      <w:r>
        <w:rPr>
          <w:noProof/>
        </w:rPr>
        <w:fldChar w:fldCharType="separate"/>
      </w:r>
      <w:r>
        <w:rPr>
          <w:noProof/>
        </w:rPr>
        <w:t>8</w:t>
      </w:r>
      <w:r>
        <w:rPr>
          <w:noProof/>
        </w:rPr>
        <w:fldChar w:fldCharType="end"/>
      </w:r>
    </w:p>
    <w:p w14:paraId="70D5AA55" w14:textId="77777777" w:rsidR="00C62E6E" w:rsidRDefault="00C62E6E">
      <w:pPr>
        <w:pStyle w:val="TOC1"/>
        <w:rPr>
          <w:rFonts w:asciiTheme="minorHAnsi" w:eastAsiaTheme="minorEastAsia" w:hAnsiTheme="minorHAnsi" w:cstheme="minorBidi"/>
          <w:noProof/>
        </w:rPr>
      </w:pPr>
      <w:r w:rsidRPr="009D4A98">
        <w:rPr>
          <w:rFonts w:cs="Arial"/>
          <w:noProof/>
        </w:rPr>
        <w:t>15</w:t>
      </w:r>
      <w:r>
        <w:rPr>
          <w:rFonts w:asciiTheme="minorHAnsi" w:eastAsiaTheme="minorEastAsia" w:hAnsiTheme="minorHAnsi" w:cstheme="minorBidi"/>
          <w:noProof/>
        </w:rPr>
        <w:tab/>
      </w:r>
      <w:r w:rsidRPr="009D4A98">
        <w:rPr>
          <w:rFonts w:cs="Arial"/>
          <w:noProof/>
        </w:rPr>
        <w:t>Evaluation of Tenders</w:t>
      </w:r>
      <w:r>
        <w:rPr>
          <w:noProof/>
        </w:rPr>
        <w:tab/>
      </w:r>
      <w:r>
        <w:rPr>
          <w:noProof/>
        </w:rPr>
        <w:fldChar w:fldCharType="begin"/>
      </w:r>
      <w:r>
        <w:rPr>
          <w:noProof/>
        </w:rPr>
        <w:instrText xml:space="preserve"> PAGEREF _Toc496603085 \h </w:instrText>
      </w:r>
      <w:r>
        <w:rPr>
          <w:noProof/>
        </w:rPr>
      </w:r>
      <w:r>
        <w:rPr>
          <w:noProof/>
        </w:rPr>
        <w:fldChar w:fldCharType="separate"/>
      </w:r>
      <w:r>
        <w:rPr>
          <w:noProof/>
        </w:rPr>
        <w:t>9</w:t>
      </w:r>
      <w:r>
        <w:rPr>
          <w:noProof/>
        </w:rPr>
        <w:fldChar w:fldCharType="end"/>
      </w:r>
    </w:p>
    <w:p w14:paraId="4FF46754"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Criterion</w:t>
      </w:r>
      <w:r>
        <w:rPr>
          <w:noProof/>
        </w:rPr>
        <w:tab/>
      </w:r>
      <w:r>
        <w:rPr>
          <w:noProof/>
        </w:rPr>
        <w:fldChar w:fldCharType="begin"/>
      </w:r>
      <w:r>
        <w:rPr>
          <w:noProof/>
        </w:rPr>
        <w:instrText xml:space="preserve"> PAGEREF _Toc496603086 \h </w:instrText>
      </w:r>
      <w:r>
        <w:rPr>
          <w:noProof/>
        </w:rPr>
      </w:r>
      <w:r>
        <w:rPr>
          <w:noProof/>
        </w:rPr>
        <w:fldChar w:fldCharType="separate"/>
      </w:r>
      <w:r>
        <w:rPr>
          <w:noProof/>
        </w:rPr>
        <w:t>9</w:t>
      </w:r>
      <w:r>
        <w:rPr>
          <w:noProof/>
        </w:rPr>
        <w:fldChar w:fldCharType="end"/>
      </w:r>
    </w:p>
    <w:p w14:paraId="6E2CE372"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Description</w:t>
      </w:r>
      <w:r>
        <w:rPr>
          <w:noProof/>
        </w:rPr>
        <w:tab/>
      </w:r>
      <w:r>
        <w:rPr>
          <w:noProof/>
        </w:rPr>
        <w:fldChar w:fldCharType="begin"/>
      </w:r>
      <w:r>
        <w:rPr>
          <w:noProof/>
        </w:rPr>
        <w:instrText xml:space="preserve"> PAGEREF _Toc496603087 \h </w:instrText>
      </w:r>
      <w:r>
        <w:rPr>
          <w:noProof/>
        </w:rPr>
      </w:r>
      <w:r>
        <w:rPr>
          <w:noProof/>
        </w:rPr>
        <w:fldChar w:fldCharType="separate"/>
      </w:r>
      <w:r>
        <w:rPr>
          <w:noProof/>
        </w:rPr>
        <w:t>9</w:t>
      </w:r>
      <w:r>
        <w:rPr>
          <w:noProof/>
        </w:rPr>
        <w:fldChar w:fldCharType="end"/>
      </w:r>
    </w:p>
    <w:p w14:paraId="4B1E75C3"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Weighting</w:t>
      </w:r>
      <w:r>
        <w:rPr>
          <w:noProof/>
        </w:rPr>
        <w:tab/>
      </w:r>
      <w:r>
        <w:rPr>
          <w:noProof/>
        </w:rPr>
        <w:fldChar w:fldCharType="begin"/>
      </w:r>
      <w:r>
        <w:rPr>
          <w:noProof/>
        </w:rPr>
        <w:instrText xml:space="preserve"> PAGEREF _Toc496603088 \h </w:instrText>
      </w:r>
      <w:r>
        <w:rPr>
          <w:noProof/>
        </w:rPr>
      </w:r>
      <w:r>
        <w:rPr>
          <w:noProof/>
        </w:rPr>
        <w:fldChar w:fldCharType="separate"/>
      </w:r>
      <w:r>
        <w:rPr>
          <w:noProof/>
        </w:rPr>
        <w:t>9</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1"/>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4" w:name="_Ref357535594"/>
      <w:bookmarkStart w:id="5" w:name="_Ref373505096"/>
      <w:bookmarkStart w:id="6" w:name="_Toc381969506"/>
      <w:bookmarkStart w:id="7" w:name="_Toc405888455"/>
      <w:bookmarkStart w:id="8" w:name="_Toc496603071"/>
      <w:bookmarkStart w:id="9" w:name="SectionTwo"/>
      <w:r w:rsidR="00DC49C2" w:rsidRPr="00C4141B">
        <w:rPr>
          <w:rFonts w:ascii="Arial" w:hAnsi="Arial" w:cs="Arial"/>
          <w:sz w:val="24"/>
          <w:szCs w:val="24"/>
        </w:rPr>
        <w:lastRenderedPageBreak/>
        <w:t>Introduction</w:t>
      </w:r>
      <w:bookmarkEnd w:id="4"/>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5"/>
      <w:bookmarkEnd w:id="6"/>
      <w:bookmarkEnd w:id="7"/>
      <w:r w:rsidR="00DD521A">
        <w:rPr>
          <w:rFonts w:ascii="Arial" w:hAnsi="Arial" w:cs="Arial"/>
          <w:sz w:val="24"/>
          <w:szCs w:val="24"/>
        </w:rPr>
        <w:t xml:space="preserve"> / Preamble</w:t>
      </w:r>
      <w:bookmarkEnd w:id="8"/>
    </w:p>
    <w:p w14:paraId="2B4F7458" w14:textId="77777777" w:rsidR="00DD521A" w:rsidRDefault="00DD521A" w:rsidP="00DD521A">
      <w:pPr>
        <w:pStyle w:val="Norma1"/>
      </w:pPr>
    </w:p>
    <w:p w14:paraId="3E268E76" w14:textId="77777777" w:rsidR="004453B5" w:rsidRDefault="004453B5" w:rsidP="004453B5">
      <w:pPr>
        <w:rPr>
          <w:rFonts w:ascii="Arial" w:hAnsi="Arial" w:cs="Arial"/>
          <w:sz w:val="22"/>
          <w:szCs w:val="22"/>
        </w:rPr>
      </w:pPr>
      <w:r w:rsidRPr="002133A0">
        <w:rPr>
          <w:rFonts w:ascii="Arial" w:hAnsi="Arial" w:cs="Arial"/>
          <w:sz w:val="22"/>
          <w:szCs w:val="22"/>
        </w:rPr>
        <w:t xml:space="preserve">The Adaptation Sub-Committee (ASC) of the Committee on Climate Change (CCC) is the </w:t>
      </w:r>
      <w:r>
        <w:rPr>
          <w:rFonts w:ascii="Arial" w:hAnsi="Arial" w:cs="Arial"/>
          <w:sz w:val="22"/>
          <w:szCs w:val="22"/>
        </w:rPr>
        <w:t>g</w:t>
      </w:r>
      <w:r w:rsidRPr="002133A0">
        <w:rPr>
          <w:rFonts w:ascii="Arial" w:hAnsi="Arial" w:cs="Arial"/>
          <w:sz w:val="22"/>
          <w:szCs w:val="22"/>
        </w:rPr>
        <w:t>overnment’s statutory advise</w:t>
      </w:r>
      <w:r>
        <w:rPr>
          <w:rFonts w:ascii="Arial" w:hAnsi="Arial" w:cs="Arial"/>
          <w:sz w:val="22"/>
          <w:szCs w:val="22"/>
        </w:rPr>
        <w:t>r</w:t>
      </w:r>
      <w:r w:rsidRPr="002133A0">
        <w:rPr>
          <w:rFonts w:ascii="Arial" w:hAnsi="Arial" w:cs="Arial"/>
          <w:sz w:val="22"/>
          <w:szCs w:val="22"/>
        </w:rPr>
        <w:t xml:space="preserve"> on preparing for climate change. </w:t>
      </w:r>
      <w:r>
        <w:rPr>
          <w:rFonts w:ascii="Arial" w:hAnsi="Arial" w:cs="Arial"/>
          <w:sz w:val="22"/>
          <w:szCs w:val="22"/>
        </w:rPr>
        <w:t xml:space="preserve">Under the Climate Change Act (2008) the ASC has two main roles. </w:t>
      </w:r>
    </w:p>
    <w:p w14:paraId="68340754" w14:textId="77777777" w:rsidR="004453B5" w:rsidRDefault="004453B5" w:rsidP="004453B5">
      <w:pPr>
        <w:rPr>
          <w:rFonts w:ascii="Arial" w:hAnsi="Arial" w:cs="Arial"/>
          <w:sz w:val="22"/>
          <w:szCs w:val="22"/>
        </w:rPr>
      </w:pPr>
    </w:p>
    <w:p w14:paraId="2F09FFC7" w14:textId="77777777" w:rsidR="004453B5" w:rsidRPr="00832D8A" w:rsidRDefault="004453B5" w:rsidP="004453B5">
      <w:pPr>
        <w:pStyle w:val="Norma1"/>
        <w:numPr>
          <w:ilvl w:val="0"/>
          <w:numId w:val="38"/>
        </w:numPr>
        <w:rPr>
          <w:rFonts w:eastAsia="Calibri" w:cs="Arial"/>
        </w:rPr>
      </w:pPr>
      <w:r w:rsidRPr="00832D8A">
        <w:rPr>
          <w:rFonts w:eastAsia="Calibri" w:cs="Arial"/>
        </w:rPr>
        <w:t>To provide independent, expert advice on the UK climate change risk assessment</w:t>
      </w:r>
      <w:r>
        <w:rPr>
          <w:rFonts w:eastAsia="Calibri" w:cs="Arial"/>
        </w:rPr>
        <w:t xml:space="preserve"> (CCRA).</w:t>
      </w:r>
      <w:r w:rsidRPr="00832D8A">
        <w:rPr>
          <w:rFonts w:eastAsia="Calibri" w:cs="Arial"/>
        </w:rPr>
        <w:br/>
        <w:t xml:space="preserve"> </w:t>
      </w:r>
    </w:p>
    <w:p w14:paraId="2DA63C1A" w14:textId="77777777" w:rsidR="004453B5" w:rsidRPr="00832D8A" w:rsidRDefault="004453B5" w:rsidP="004453B5">
      <w:pPr>
        <w:pStyle w:val="Norma1"/>
        <w:numPr>
          <w:ilvl w:val="0"/>
          <w:numId w:val="38"/>
        </w:numPr>
        <w:rPr>
          <w:rFonts w:eastAsia="MS Mincho" w:cs="Arial"/>
          <w:lang w:eastAsia="en-US"/>
        </w:rPr>
      </w:pPr>
      <w:r w:rsidRPr="00832D8A">
        <w:rPr>
          <w:rFonts w:eastAsia="Calibri" w:cs="Arial"/>
        </w:rPr>
        <w:t>To report to Parliament on progress with implementation</w:t>
      </w:r>
      <w:r>
        <w:rPr>
          <w:rFonts w:eastAsia="MS Mincho" w:cs="Arial"/>
          <w:lang w:eastAsia="en-US"/>
        </w:rPr>
        <w:t xml:space="preserve"> of the National Adaptation Programme (England only).</w:t>
      </w:r>
    </w:p>
    <w:p w14:paraId="5D5C7DDF" w14:textId="77777777" w:rsidR="004453B5" w:rsidRDefault="004453B5" w:rsidP="004453B5">
      <w:pPr>
        <w:pStyle w:val="Norma1"/>
      </w:pPr>
    </w:p>
    <w:p w14:paraId="4055B857" w14:textId="77777777" w:rsidR="004453B5" w:rsidRDefault="004453B5" w:rsidP="004453B5">
      <w:pPr>
        <w:pStyle w:val="Norma1"/>
      </w:pPr>
      <w:r>
        <w:t xml:space="preserve">To do this the </w:t>
      </w:r>
      <w:r w:rsidRPr="00B5763D">
        <w:t>ASC conduct</w:t>
      </w:r>
      <w:r>
        <w:t>s</w:t>
      </w:r>
      <w:r w:rsidRPr="00B5763D">
        <w:t xml:space="preserve"> independent analysis into climate change science, economics and policy, and engage</w:t>
      </w:r>
      <w:r>
        <w:t>s</w:t>
      </w:r>
      <w:r w:rsidRPr="00B5763D">
        <w:t xml:space="preserve"> with a wide range of organisations and individuals to share evidence and analysis. The CCC and ASC’s past reports are available </w:t>
      </w:r>
      <w:r>
        <w:t>at</w:t>
      </w:r>
      <w:r w:rsidRPr="00B5763D">
        <w:t xml:space="preserve"> </w:t>
      </w:r>
      <w:hyperlink r:id="rId11" w:history="1">
        <w:r w:rsidRPr="00B5763D">
          <w:rPr>
            <w:rStyle w:val="Hyperlink"/>
            <w:color w:val="auto"/>
            <w:u w:val="none"/>
          </w:rPr>
          <w:t>http://www.theccc.org.uk/publications/</w:t>
        </w:r>
      </w:hyperlink>
      <w:r w:rsidRPr="00B5763D">
        <w:t xml:space="preserve">. </w:t>
      </w:r>
    </w:p>
    <w:p w14:paraId="37E468EC" w14:textId="77777777" w:rsidR="001D1DE3" w:rsidRDefault="001D1DE3" w:rsidP="005731BE">
      <w:pPr>
        <w:rPr>
          <w:rFonts w:ascii="Arial" w:hAnsi="Arial" w:cs="Arial"/>
          <w:sz w:val="22"/>
          <w:szCs w:val="22"/>
        </w:rPr>
      </w:pPr>
    </w:p>
    <w:p w14:paraId="78AA0E37" w14:textId="19F9D260" w:rsidR="00144BC8" w:rsidRDefault="003B16FA" w:rsidP="005731BE">
      <w:pPr>
        <w:rPr>
          <w:rFonts w:ascii="Arial" w:hAnsi="Arial" w:cs="Arial"/>
          <w:sz w:val="22"/>
          <w:szCs w:val="22"/>
        </w:rPr>
      </w:pPr>
      <w:r>
        <w:rPr>
          <w:rFonts w:ascii="Arial" w:hAnsi="Arial" w:cs="Arial"/>
          <w:sz w:val="22"/>
          <w:szCs w:val="22"/>
        </w:rPr>
        <w:t xml:space="preserve">To inform the ASC’s </w:t>
      </w:r>
      <w:r w:rsidR="00832D8A">
        <w:rPr>
          <w:rFonts w:ascii="Arial" w:hAnsi="Arial" w:cs="Arial"/>
          <w:sz w:val="22"/>
          <w:szCs w:val="22"/>
        </w:rPr>
        <w:t>E</w:t>
      </w:r>
      <w:r>
        <w:rPr>
          <w:rFonts w:ascii="Arial" w:hAnsi="Arial" w:cs="Arial"/>
          <w:sz w:val="22"/>
          <w:szCs w:val="22"/>
        </w:rPr>
        <w:t xml:space="preserve">vidence </w:t>
      </w:r>
      <w:r w:rsidR="00832D8A">
        <w:rPr>
          <w:rFonts w:ascii="Arial" w:hAnsi="Arial" w:cs="Arial"/>
          <w:sz w:val="22"/>
          <w:szCs w:val="22"/>
        </w:rPr>
        <w:t>R</w:t>
      </w:r>
      <w:r>
        <w:rPr>
          <w:rFonts w:ascii="Arial" w:hAnsi="Arial" w:cs="Arial"/>
          <w:sz w:val="22"/>
          <w:szCs w:val="22"/>
        </w:rPr>
        <w:t>eport</w:t>
      </w:r>
      <w:r w:rsidR="003B7085">
        <w:rPr>
          <w:rFonts w:ascii="Arial" w:hAnsi="Arial" w:cs="Arial"/>
          <w:sz w:val="22"/>
          <w:szCs w:val="22"/>
        </w:rPr>
        <w:t xml:space="preserve"> for the </w:t>
      </w:r>
      <w:r w:rsidR="005E1AA9">
        <w:rPr>
          <w:rFonts w:ascii="Arial" w:hAnsi="Arial" w:cs="Arial"/>
          <w:sz w:val="22"/>
          <w:szCs w:val="22"/>
        </w:rPr>
        <w:t xml:space="preserve">upcoming </w:t>
      </w:r>
      <w:r w:rsidR="003B7085">
        <w:rPr>
          <w:rFonts w:ascii="Arial" w:hAnsi="Arial" w:cs="Arial"/>
          <w:sz w:val="22"/>
          <w:szCs w:val="22"/>
        </w:rPr>
        <w:t xml:space="preserve">third UK CCRA, the ASC is commissioning a range of research projects </w:t>
      </w:r>
      <w:r w:rsidR="0003754C">
        <w:rPr>
          <w:rFonts w:ascii="Arial" w:hAnsi="Arial" w:cs="Arial"/>
          <w:sz w:val="22"/>
          <w:szCs w:val="22"/>
        </w:rPr>
        <w:t xml:space="preserve">that </w:t>
      </w:r>
      <w:r w:rsidR="003B7085">
        <w:rPr>
          <w:rFonts w:ascii="Arial" w:hAnsi="Arial" w:cs="Arial"/>
          <w:sz w:val="22"/>
          <w:szCs w:val="22"/>
        </w:rPr>
        <w:t xml:space="preserve">aim to improve the science and impact of the CCRA. </w:t>
      </w:r>
    </w:p>
    <w:p w14:paraId="20086320" w14:textId="77777777" w:rsidR="005E1AA9" w:rsidRDefault="005E1AA9" w:rsidP="005731BE">
      <w:pPr>
        <w:rPr>
          <w:rFonts w:ascii="Arial" w:hAnsi="Arial" w:cs="Arial"/>
          <w:sz w:val="22"/>
          <w:szCs w:val="22"/>
        </w:rPr>
      </w:pPr>
    </w:p>
    <w:p w14:paraId="7359D248" w14:textId="775D2508" w:rsidR="003B7085" w:rsidRPr="005731BE" w:rsidRDefault="00DF0A81" w:rsidP="005731BE">
      <w:pPr>
        <w:rPr>
          <w:rFonts w:ascii="Arial" w:hAnsi="Arial" w:cs="Arial"/>
          <w:sz w:val="22"/>
          <w:szCs w:val="22"/>
        </w:rPr>
      </w:pPr>
      <w:r>
        <w:rPr>
          <w:rFonts w:ascii="Arial" w:hAnsi="Arial" w:cs="Arial"/>
          <w:sz w:val="22"/>
          <w:szCs w:val="22"/>
        </w:rPr>
        <w:t xml:space="preserve">This project aims to improve our understanding of </w:t>
      </w:r>
      <w:r w:rsidR="002B09AA">
        <w:rPr>
          <w:rFonts w:ascii="Arial" w:hAnsi="Arial" w:cs="Arial"/>
          <w:sz w:val="22"/>
          <w:szCs w:val="22"/>
        </w:rPr>
        <w:t xml:space="preserve">future flood risks and </w:t>
      </w:r>
      <w:r>
        <w:rPr>
          <w:rFonts w:ascii="Arial" w:hAnsi="Arial" w:cs="Arial"/>
          <w:sz w:val="22"/>
          <w:szCs w:val="22"/>
        </w:rPr>
        <w:t xml:space="preserve">the </w:t>
      </w:r>
      <w:r w:rsidR="0003754C">
        <w:rPr>
          <w:rFonts w:ascii="Arial" w:hAnsi="Arial" w:cs="Arial"/>
          <w:sz w:val="22"/>
          <w:szCs w:val="22"/>
        </w:rPr>
        <w:t xml:space="preserve">adaptation </w:t>
      </w:r>
      <w:r>
        <w:rPr>
          <w:rFonts w:ascii="Arial" w:hAnsi="Arial" w:cs="Arial"/>
          <w:sz w:val="22"/>
          <w:szCs w:val="22"/>
        </w:rPr>
        <w:t xml:space="preserve">challenges that will face the UK </w:t>
      </w:r>
      <w:r w:rsidR="002B09AA">
        <w:rPr>
          <w:rFonts w:ascii="Arial" w:hAnsi="Arial" w:cs="Arial"/>
          <w:sz w:val="22"/>
          <w:szCs w:val="22"/>
        </w:rPr>
        <w:t>because of those risks</w:t>
      </w:r>
      <w:r w:rsidR="003B7085">
        <w:rPr>
          <w:rFonts w:ascii="Arial" w:hAnsi="Arial" w:cs="Arial"/>
          <w:sz w:val="22"/>
          <w:szCs w:val="22"/>
        </w:rPr>
        <w:t xml:space="preserve">. </w:t>
      </w:r>
    </w:p>
    <w:p w14:paraId="5EA87557" w14:textId="77777777" w:rsidR="00622E6B" w:rsidRPr="002133A0" w:rsidRDefault="00622E6B" w:rsidP="00622E6B">
      <w:pPr>
        <w:pStyle w:val="Norma1"/>
        <w:rPr>
          <w:rFonts w:cs="Arial"/>
        </w:rPr>
      </w:pPr>
    </w:p>
    <w:p w14:paraId="5EA87558" w14:textId="77777777" w:rsidR="001F4630" w:rsidRDefault="001F4630" w:rsidP="007248E4">
      <w:pPr>
        <w:pStyle w:val="Heading1"/>
        <w:numPr>
          <w:ilvl w:val="0"/>
          <w:numId w:val="1"/>
        </w:numPr>
        <w:rPr>
          <w:rFonts w:ascii="Arial" w:hAnsi="Arial" w:cs="Arial"/>
          <w:sz w:val="24"/>
          <w:szCs w:val="24"/>
        </w:rPr>
      </w:pPr>
      <w:bookmarkStart w:id="10" w:name="_Ref357535668"/>
      <w:bookmarkStart w:id="11" w:name="_Toc381969507"/>
      <w:bookmarkStart w:id="12" w:name="_Toc405888456"/>
      <w:bookmarkStart w:id="13" w:name="_Toc496603072"/>
      <w:r w:rsidRPr="00C4141B">
        <w:rPr>
          <w:rFonts w:ascii="Arial" w:hAnsi="Arial" w:cs="Arial"/>
          <w:sz w:val="24"/>
          <w:szCs w:val="24"/>
        </w:rPr>
        <w:t>Background</w:t>
      </w:r>
      <w:bookmarkEnd w:id="10"/>
      <w:bookmarkEnd w:id="11"/>
      <w:bookmarkEnd w:id="12"/>
      <w:bookmarkEnd w:id="13"/>
    </w:p>
    <w:p w14:paraId="1A3B8E93" w14:textId="77777777" w:rsidR="00DD521A" w:rsidRDefault="00DD521A" w:rsidP="00DD521A">
      <w:pPr>
        <w:pStyle w:val="Norma1"/>
      </w:pPr>
    </w:p>
    <w:p w14:paraId="6E0E7D84" w14:textId="03CA98D7" w:rsidR="004453B5" w:rsidRDefault="00EB6D93" w:rsidP="004453B5">
      <w:pPr>
        <w:rPr>
          <w:rFonts w:ascii="Arial" w:hAnsi="Arial" w:cs="Arial"/>
          <w:sz w:val="22"/>
          <w:szCs w:val="22"/>
        </w:rPr>
      </w:pPr>
      <w:r>
        <w:rPr>
          <w:rFonts w:ascii="Arial" w:hAnsi="Arial" w:cs="Arial"/>
          <w:sz w:val="22"/>
          <w:szCs w:val="22"/>
        </w:rPr>
        <w:t xml:space="preserve">The </w:t>
      </w:r>
      <w:hyperlink r:id="rId12" w:history="1">
        <w:r w:rsidRPr="00B062D8">
          <w:rPr>
            <w:rStyle w:val="Hyperlink"/>
            <w:rFonts w:ascii="Arial" w:hAnsi="Arial" w:cs="Arial"/>
            <w:sz w:val="22"/>
            <w:szCs w:val="22"/>
          </w:rPr>
          <w:t>second CCRA</w:t>
        </w:r>
      </w:hyperlink>
      <w:r>
        <w:rPr>
          <w:rFonts w:ascii="Arial" w:hAnsi="Arial" w:cs="Arial"/>
          <w:sz w:val="22"/>
          <w:szCs w:val="22"/>
        </w:rPr>
        <w:t xml:space="preserve"> (CCRA2) was published in 2017 and was supported by a comprehensive </w:t>
      </w:r>
      <w:hyperlink r:id="rId13" w:history="1">
        <w:r w:rsidRPr="00B062D8">
          <w:rPr>
            <w:rStyle w:val="Hyperlink"/>
            <w:rFonts w:ascii="Arial" w:hAnsi="Arial" w:cs="Arial"/>
            <w:sz w:val="22"/>
            <w:szCs w:val="22"/>
          </w:rPr>
          <w:t>Evidence Report</w:t>
        </w:r>
      </w:hyperlink>
      <w:r w:rsidRPr="002133A0">
        <w:rPr>
          <w:rFonts w:ascii="Arial" w:hAnsi="Arial" w:cs="Arial"/>
          <w:sz w:val="22"/>
          <w:szCs w:val="22"/>
        </w:rPr>
        <w:t xml:space="preserve"> </w:t>
      </w:r>
      <w:r w:rsidRPr="00291F60">
        <w:rPr>
          <w:rFonts w:ascii="Arial" w:hAnsi="Arial" w:cs="Arial"/>
          <w:sz w:val="22"/>
          <w:szCs w:val="22"/>
        </w:rPr>
        <w:t>from the Adaptation Sub-Committee (ASC).</w:t>
      </w:r>
      <w:r>
        <w:rPr>
          <w:rFonts w:ascii="Arial" w:hAnsi="Arial" w:cs="Arial"/>
          <w:sz w:val="22"/>
          <w:szCs w:val="22"/>
        </w:rPr>
        <w:t xml:space="preserve"> </w:t>
      </w:r>
      <w:r w:rsidRPr="00291F60">
        <w:rPr>
          <w:rFonts w:ascii="Arial" w:hAnsi="Arial" w:cs="Arial"/>
          <w:sz w:val="22"/>
          <w:szCs w:val="22"/>
        </w:rPr>
        <w:t xml:space="preserve">Defra and the devolved administrations are in the process of drafting updated national adaptation programmes in response to the risks and opportunities set out in the report. </w:t>
      </w:r>
    </w:p>
    <w:p w14:paraId="3CF22504" w14:textId="77777777" w:rsidR="004453B5" w:rsidRDefault="004453B5" w:rsidP="004453B5">
      <w:pPr>
        <w:rPr>
          <w:rFonts w:ascii="Arial" w:hAnsi="Arial" w:cs="Arial"/>
          <w:sz w:val="22"/>
          <w:szCs w:val="22"/>
        </w:rPr>
      </w:pPr>
    </w:p>
    <w:p w14:paraId="665339A1" w14:textId="0BD4AA32" w:rsidR="00075B02" w:rsidRDefault="004453B5" w:rsidP="00075B02">
      <w:pPr>
        <w:spacing w:after="120"/>
        <w:rPr>
          <w:rFonts w:ascii="Arial" w:hAnsi="Arial" w:cs="Arial"/>
          <w:sz w:val="22"/>
          <w:szCs w:val="22"/>
        </w:rPr>
      </w:pPr>
      <w:r>
        <w:rPr>
          <w:rFonts w:ascii="Arial" w:hAnsi="Arial" w:cs="Arial"/>
          <w:sz w:val="22"/>
          <w:szCs w:val="22"/>
        </w:rPr>
        <w:t>T</w:t>
      </w:r>
      <w:r w:rsidRPr="00291F60">
        <w:rPr>
          <w:rFonts w:ascii="Arial" w:hAnsi="Arial" w:cs="Arial"/>
          <w:sz w:val="22"/>
          <w:szCs w:val="22"/>
        </w:rPr>
        <w:t xml:space="preserve">he </w:t>
      </w:r>
      <w:r>
        <w:rPr>
          <w:rFonts w:ascii="Arial" w:hAnsi="Arial" w:cs="Arial"/>
          <w:sz w:val="22"/>
          <w:szCs w:val="22"/>
        </w:rPr>
        <w:t>third CCRA</w:t>
      </w:r>
      <w:r w:rsidRPr="00291F60">
        <w:rPr>
          <w:rFonts w:ascii="Arial" w:hAnsi="Arial" w:cs="Arial"/>
          <w:sz w:val="22"/>
          <w:szCs w:val="22"/>
        </w:rPr>
        <w:t xml:space="preserve"> </w:t>
      </w:r>
      <w:r>
        <w:rPr>
          <w:rFonts w:ascii="Arial" w:hAnsi="Arial" w:cs="Arial"/>
          <w:sz w:val="22"/>
          <w:szCs w:val="22"/>
        </w:rPr>
        <w:t xml:space="preserve">will be published by the government in January 2022, and Defra have asked the ASC to produce an accompanying </w:t>
      </w:r>
      <w:r w:rsidRPr="00291F60">
        <w:rPr>
          <w:rFonts w:ascii="Arial" w:hAnsi="Arial" w:cs="Arial"/>
          <w:sz w:val="22"/>
          <w:szCs w:val="22"/>
        </w:rPr>
        <w:t xml:space="preserve">Evidence Report </w:t>
      </w:r>
      <w:r>
        <w:rPr>
          <w:rFonts w:ascii="Arial" w:hAnsi="Arial" w:cs="Arial"/>
          <w:sz w:val="22"/>
          <w:szCs w:val="22"/>
        </w:rPr>
        <w:t xml:space="preserve">by summer 2021.To inform this Evidence Report </w:t>
      </w:r>
      <w:r w:rsidRPr="00075B02">
        <w:rPr>
          <w:rFonts w:ascii="Arial" w:hAnsi="Arial" w:cs="Arial"/>
          <w:sz w:val="22"/>
          <w:szCs w:val="22"/>
        </w:rPr>
        <w:t xml:space="preserve">the ASC are commissioning </w:t>
      </w:r>
      <w:r>
        <w:rPr>
          <w:rFonts w:ascii="Arial" w:hAnsi="Arial" w:cs="Arial"/>
          <w:sz w:val="22"/>
          <w:szCs w:val="22"/>
        </w:rPr>
        <w:t xml:space="preserve">six research </w:t>
      </w:r>
      <w:r w:rsidRPr="00075B02">
        <w:rPr>
          <w:rFonts w:ascii="Arial" w:hAnsi="Arial" w:cs="Arial"/>
          <w:sz w:val="22"/>
          <w:szCs w:val="22"/>
        </w:rPr>
        <w:t xml:space="preserve">projects, funded by </w:t>
      </w:r>
      <w:r>
        <w:rPr>
          <w:rFonts w:ascii="Arial" w:hAnsi="Arial" w:cs="Arial"/>
          <w:sz w:val="22"/>
          <w:szCs w:val="22"/>
        </w:rPr>
        <w:t xml:space="preserve">Defra, the devolved administrations and </w:t>
      </w:r>
      <w:r w:rsidRPr="00075B02">
        <w:rPr>
          <w:rFonts w:ascii="Arial" w:hAnsi="Arial" w:cs="Arial"/>
          <w:sz w:val="22"/>
          <w:szCs w:val="22"/>
        </w:rPr>
        <w:t xml:space="preserve">the research councils. </w:t>
      </w:r>
      <w:r>
        <w:rPr>
          <w:rFonts w:ascii="Arial" w:hAnsi="Arial" w:cs="Arial"/>
          <w:sz w:val="22"/>
          <w:szCs w:val="22"/>
        </w:rPr>
        <w:t>The ASC</w:t>
      </w:r>
      <w:r w:rsidRPr="00075B02">
        <w:rPr>
          <w:rFonts w:ascii="Arial" w:hAnsi="Arial" w:cs="Arial"/>
          <w:sz w:val="22"/>
          <w:szCs w:val="22"/>
        </w:rPr>
        <w:t xml:space="preserve"> has been engaging with relevant stakeholders (e.g. researchers, funders, academies) with a view of </w:t>
      </w:r>
      <w:r>
        <w:rPr>
          <w:rFonts w:ascii="Arial" w:hAnsi="Arial" w:cs="Arial"/>
          <w:sz w:val="22"/>
          <w:szCs w:val="22"/>
        </w:rPr>
        <w:t>addressing</w:t>
      </w:r>
      <w:r w:rsidRPr="00075B02">
        <w:rPr>
          <w:rFonts w:ascii="Arial" w:hAnsi="Arial" w:cs="Arial"/>
          <w:sz w:val="22"/>
          <w:szCs w:val="22"/>
        </w:rPr>
        <w:t xml:space="preserve"> key evidence gaps from the CCRA2 report on a variety of timescales. </w:t>
      </w:r>
      <w:r w:rsidR="001A548B" w:rsidRPr="00075B02">
        <w:rPr>
          <w:rFonts w:ascii="Arial" w:hAnsi="Arial" w:cs="Arial"/>
          <w:sz w:val="22"/>
          <w:szCs w:val="22"/>
        </w:rPr>
        <w:t>The scientific literature is also bein</w:t>
      </w:r>
      <w:r w:rsidR="001A548B">
        <w:rPr>
          <w:rFonts w:ascii="Arial" w:hAnsi="Arial" w:cs="Arial"/>
          <w:sz w:val="22"/>
          <w:szCs w:val="22"/>
        </w:rPr>
        <w:t>g</w:t>
      </w:r>
      <w:r w:rsidR="001A548B" w:rsidRPr="00075B02">
        <w:rPr>
          <w:rFonts w:ascii="Arial" w:hAnsi="Arial" w:cs="Arial"/>
          <w:sz w:val="22"/>
          <w:szCs w:val="22"/>
        </w:rPr>
        <w:t xml:space="preserve"> reviewed to identify work that may already exist in these areas.</w:t>
      </w:r>
    </w:p>
    <w:p w14:paraId="223F3D77" w14:textId="175A0E03" w:rsidR="008D5E0F" w:rsidRDefault="008D5E0F" w:rsidP="00075B02">
      <w:pPr>
        <w:spacing w:after="120"/>
        <w:rPr>
          <w:rFonts w:ascii="Arial" w:hAnsi="Arial" w:cs="Arial"/>
          <w:sz w:val="22"/>
          <w:szCs w:val="22"/>
        </w:rPr>
      </w:pPr>
      <w:r>
        <w:rPr>
          <w:rFonts w:ascii="Arial" w:hAnsi="Arial" w:cs="Arial"/>
          <w:sz w:val="22"/>
          <w:szCs w:val="22"/>
        </w:rPr>
        <w:t xml:space="preserve">For CCRA2, the ASC commissioned a </w:t>
      </w:r>
      <w:r w:rsidR="00070939">
        <w:rPr>
          <w:rFonts w:ascii="Arial" w:hAnsi="Arial" w:cs="Arial"/>
          <w:sz w:val="22"/>
          <w:szCs w:val="22"/>
        </w:rPr>
        <w:t xml:space="preserve">research </w:t>
      </w:r>
      <w:r>
        <w:rPr>
          <w:rFonts w:ascii="Arial" w:hAnsi="Arial" w:cs="Arial"/>
          <w:sz w:val="22"/>
          <w:szCs w:val="22"/>
        </w:rPr>
        <w:t xml:space="preserve">project developing projections of future flood risk </w:t>
      </w:r>
      <w:r w:rsidR="009D4C57">
        <w:rPr>
          <w:rFonts w:ascii="Arial" w:hAnsi="Arial" w:cs="Arial"/>
          <w:sz w:val="22"/>
          <w:szCs w:val="22"/>
        </w:rPr>
        <w:t xml:space="preserve">across the UK </w:t>
      </w:r>
      <w:r w:rsidR="00070939">
        <w:rPr>
          <w:rFonts w:ascii="Arial" w:hAnsi="Arial" w:cs="Arial"/>
          <w:sz w:val="22"/>
          <w:szCs w:val="22"/>
        </w:rPr>
        <w:t>based on</w:t>
      </w:r>
      <w:r>
        <w:rPr>
          <w:rFonts w:ascii="Arial" w:hAnsi="Arial" w:cs="Arial"/>
          <w:sz w:val="22"/>
          <w:szCs w:val="22"/>
        </w:rPr>
        <w:t xml:space="preserve"> a small set of climate</w:t>
      </w:r>
      <w:r w:rsidR="00A50B22">
        <w:rPr>
          <w:rFonts w:ascii="Arial" w:hAnsi="Arial" w:cs="Arial"/>
          <w:sz w:val="22"/>
          <w:szCs w:val="22"/>
        </w:rPr>
        <w:t xml:space="preserve"> and population</w:t>
      </w:r>
      <w:r>
        <w:rPr>
          <w:rFonts w:ascii="Arial" w:hAnsi="Arial" w:cs="Arial"/>
          <w:sz w:val="22"/>
          <w:szCs w:val="22"/>
        </w:rPr>
        <w:t xml:space="preserve"> scenarios i.e. </w:t>
      </w:r>
      <w:r w:rsidRPr="008D5E0F">
        <w:rPr>
          <w:rFonts w:ascii="Arial" w:hAnsi="Arial" w:cs="Arial"/>
          <w:sz w:val="22"/>
          <w:szCs w:val="22"/>
        </w:rPr>
        <w:t>2°C, 4°C and H++</w:t>
      </w:r>
      <w:r w:rsidR="00A50B22">
        <w:rPr>
          <w:rFonts w:ascii="Arial" w:hAnsi="Arial" w:cs="Arial"/>
          <w:sz w:val="22"/>
          <w:szCs w:val="22"/>
        </w:rPr>
        <w:t xml:space="preserve"> scenarios for climate and low, medium and high growth scenarios for population</w:t>
      </w:r>
      <w:r>
        <w:rPr>
          <w:rFonts w:ascii="Arial" w:hAnsi="Arial" w:cs="Arial"/>
          <w:sz w:val="22"/>
          <w:szCs w:val="22"/>
        </w:rPr>
        <w:t>.</w:t>
      </w:r>
      <w:r w:rsidR="00A50B22">
        <w:rPr>
          <w:rFonts w:ascii="Arial" w:hAnsi="Arial" w:cs="Arial"/>
          <w:sz w:val="22"/>
          <w:szCs w:val="22"/>
        </w:rPr>
        <w:t xml:space="preserve"> That project identified some significant increases in future flood risk</w:t>
      </w:r>
      <w:r w:rsidR="00070939">
        <w:rPr>
          <w:rFonts w:ascii="Arial" w:hAnsi="Arial" w:cs="Arial"/>
          <w:sz w:val="22"/>
          <w:szCs w:val="22"/>
        </w:rPr>
        <w:t xml:space="preserve"> over the 21</w:t>
      </w:r>
      <w:r w:rsidR="00070939" w:rsidRPr="004323BF">
        <w:rPr>
          <w:rFonts w:ascii="Arial" w:hAnsi="Arial" w:cs="Arial"/>
          <w:sz w:val="22"/>
          <w:szCs w:val="22"/>
          <w:vertAlign w:val="superscript"/>
        </w:rPr>
        <w:t>st</w:t>
      </w:r>
      <w:r w:rsidR="00070939">
        <w:rPr>
          <w:rFonts w:ascii="Arial" w:hAnsi="Arial" w:cs="Arial"/>
          <w:sz w:val="22"/>
          <w:szCs w:val="22"/>
        </w:rPr>
        <w:t xml:space="preserve"> Century</w:t>
      </w:r>
      <w:r w:rsidR="00A50B22">
        <w:rPr>
          <w:rFonts w:ascii="Arial" w:hAnsi="Arial" w:cs="Arial"/>
          <w:sz w:val="22"/>
          <w:szCs w:val="22"/>
        </w:rPr>
        <w:t xml:space="preserve"> and also analysed the potential for a suite of adaptation options to mitigate those risks</w:t>
      </w:r>
      <w:r w:rsidR="00070939">
        <w:rPr>
          <w:rFonts w:ascii="Arial" w:hAnsi="Arial" w:cs="Arial"/>
          <w:sz w:val="22"/>
          <w:szCs w:val="22"/>
        </w:rPr>
        <w:t>.</w:t>
      </w:r>
    </w:p>
    <w:p w14:paraId="5FE1A2A0" w14:textId="1DD30503" w:rsidR="00070939" w:rsidRDefault="00070939" w:rsidP="00075B02">
      <w:pPr>
        <w:spacing w:after="120"/>
        <w:rPr>
          <w:rFonts w:ascii="Arial" w:hAnsi="Arial" w:cs="Arial"/>
          <w:sz w:val="22"/>
          <w:szCs w:val="22"/>
        </w:rPr>
      </w:pPr>
      <w:r>
        <w:rPr>
          <w:rFonts w:ascii="Arial" w:hAnsi="Arial" w:cs="Arial"/>
          <w:sz w:val="22"/>
          <w:szCs w:val="22"/>
        </w:rPr>
        <w:t xml:space="preserve">With CCRA3 there is </w:t>
      </w:r>
      <w:r w:rsidR="004323BF">
        <w:rPr>
          <w:rFonts w:ascii="Arial" w:hAnsi="Arial" w:cs="Arial"/>
          <w:sz w:val="22"/>
          <w:szCs w:val="22"/>
        </w:rPr>
        <w:t xml:space="preserve">a </w:t>
      </w:r>
      <w:r>
        <w:rPr>
          <w:rFonts w:ascii="Arial" w:hAnsi="Arial" w:cs="Arial"/>
          <w:sz w:val="22"/>
          <w:szCs w:val="22"/>
        </w:rPr>
        <w:t xml:space="preserve">desire to </w:t>
      </w:r>
      <w:r w:rsidR="009D4C57">
        <w:rPr>
          <w:rFonts w:ascii="Arial" w:hAnsi="Arial" w:cs="Arial"/>
          <w:sz w:val="22"/>
          <w:szCs w:val="22"/>
        </w:rPr>
        <w:t>update the projections to take into account the most recent flood risk policies in England, Scotland, Wales and Northern Ireland; to make use of new climate information in the latest UK climate projections (UKCP18)</w:t>
      </w:r>
      <w:r w:rsidR="005E1AA9">
        <w:rPr>
          <w:rFonts w:ascii="Arial" w:hAnsi="Arial" w:cs="Arial"/>
          <w:sz w:val="22"/>
          <w:szCs w:val="22"/>
        </w:rPr>
        <w:t>;</w:t>
      </w:r>
      <w:r w:rsidR="009D4C57">
        <w:rPr>
          <w:rFonts w:ascii="Arial" w:hAnsi="Arial" w:cs="Arial"/>
          <w:sz w:val="22"/>
          <w:szCs w:val="22"/>
        </w:rPr>
        <w:t xml:space="preserve"> and to </w:t>
      </w:r>
      <w:r w:rsidR="005E1AA9">
        <w:rPr>
          <w:rFonts w:ascii="Arial" w:hAnsi="Arial" w:cs="Arial"/>
          <w:sz w:val="22"/>
          <w:szCs w:val="22"/>
        </w:rPr>
        <w:t>extend the previous</w:t>
      </w:r>
      <w:r>
        <w:rPr>
          <w:rFonts w:ascii="Arial" w:hAnsi="Arial" w:cs="Arial"/>
          <w:sz w:val="22"/>
          <w:szCs w:val="22"/>
        </w:rPr>
        <w:t xml:space="preserve"> analysis </w:t>
      </w:r>
      <w:r w:rsidR="009D4C57">
        <w:rPr>
          <w:rFonts w:ascii="Arial" w:hAnsi="Arial" w:cs="Arial"/>
          <w:sz w:val="22"/>
          <w:szCs w:val="22"/>
        </w:rPr>
        <w:t xml:space="preserve">in the following </w:t>
      </w:r>
      <w:r>
        <w:rPr>
          <w:rFonts w:ascii="Arial" w:hAnsi="Arial" w:cs="Arial"/>
          <w:sz w:val="22"/>
          <w:szCs w:val="22"/>
        </w:rPr>
        <w:t>two novel ways:</w:t>
      </w:r>
    </w:p>
    <w:p w14:paraId="416C0A4F" w14:textId="7D1FEA3E" w:rsidR="008F5908" w:rsidRDefault="008F5908" w:rsidP="00DD0ABA">
      <w:pPr>
        <w:pStyle w:val="ListParagraph"/>
        <w:numPr>
          <w:ilvl w:val="0"/>
          <w:numId w:val="45"/>
        </w:numPr>
        <w:spacing w:after="120"/>
        <w:rPr>
          <w:rFonts w:ascii="Arial" w:hAnsi="Arial" w:cs="Arial"/>
        </w:rPr>
      </w:pPr>
      <w:r>
        <w:rPr>
          <w:rFonts w:ascii="Arial" w:hAnsi="Arial" w:cs="Arial"/>
        </w:rPr>
        <w:t>The analysis should have a greater spatial element – flood risk should be assessed at higher spatial resolution and</w:t>
      </w:r>
      <w:r w:rsidR="009D4C57">
        <w:rPr>
          <w:rFonts w:ascii="Arial" w:hAnsi="Arial" w:cs="Arial"/>
        </w:rPr>
        <w:t xml:space="preserve"> the results presented</w:t>
      </w:r>
      <w:r>
        <w:rPr>
          <w:rFonts w:ascii="Arial" w:hAnsi="Arial" w:cs="Arial"/>
        </w:rPr>
        <w:t xml:space="preserve"> for different types of locations e.g. </w:t>
      </w:r>
      <w:r w:rsidRPr="00DD0ABA">
        <w:rPr>
          <w:rFonts w:ascii="Arial" w:hAnsi="Arial" w:cs="Arial"/>
        </w:rPr>
        <w:t>cities, coastal communities or rural locations</w:t>
      </w:r>
      <w:r>
        <w:rPr>
          <w:rFonts w:ascii="Arial" w:hAnsi="Arial" w:cs="Arial"/>
        </w:rPr>
        <w:t>; and</w:t>
      </w:r>
    </w:p>
    <w:p w14:paraId="4BD2D986" w14:textId="0841B0D4" w:rsidR="00070939" w:rsidRPr="00A06878" w:rsidRDefault="0081749F" w:rsidP="00A06878">
      <w:pPr>
        <w:pStyle w:val="ListParagraph"/>
        <w:numPr>
          <w:ilvl w:val="0"/>
          <w:numId w:val="45"/>
        </w:numPr>
        <w:spacing w:after="120"/>
        <w:rPr>
          <w:rFonts w:ascii="Arial" w:hAnsi="Arial" w:cs="Arial"/>
        </w:rPr>
      </w:pPr>
      <w:r>
        <w:rPr>
          <w:rFonts w:ascii="Arial" w:hAnsi="Arial" w:cs="Arial"/>
        </w:rPr>
        <w:lastRenderedPageBreak/>
        <w:t xml:space="preserve">The project should assess </w:t>
      </w:r>
      <w:r w:rsidR="00013C18">
        <w:rPr>
          <w:rFonts w:ascii="Arial" w:hAnsi="Arial" w:cs="Arial"/>
        </w:rPr>
        <w:t xml:space="preserve">and present </w:t>
      </w:r>
      <w:r>
        <w:rPr>
          <w:rFonts w:ascii="Arial" w:hAnsi="Arial" w:cs="Arial"/>
        </w:rPr>
        <w:t>the effectiveness of place-specific adaptation strategies in these different areas, and present under what scenarios of climate, soci</w:t>
      </w:r>
      <w:r w:rsidR="00013C18">
        <w:rPr>
          <w:rFonts w:ascii="Arial" w:hAnsi="Arial" w:cs="Arial"/>
        </w:rPr>
        <w:t>oeconomic change and adaptation,</w:t>
      </w:r>
      <w:r>
        <w:rPr>
          <w:rFonts w:ascii="Arial" w:hAnsi="Arial" w:cs="Arial"/>
        </w:rPr>
        <w:t xml:space="preserve"> limits to adaptation might occur. </w:t>
      </w:r>
    </w:p>
    <w:p w14:paraId="529AF1D2" w14:textId="565FBFA5" w:rsidR="00087BB8" w:rsidRPr="00087BB8" w:rsidRDefault="004323BF" w:rsidP="00087BB8">
      <w:pPr>
        <w:rPr>
          <w:rFonts w:ascii="Arial" w:hAnsi="Arial" w:cs="Arial"/>
        </w:rPr>
      </w:pPr>
      <w:r>
        <w:rPr>
          <w:rFonts w:ascii="Arial" w:hAnsi="Arial" w:cs="Arial"/>
          <w:sz w:val="22"/>
          <w:szCs w:val="22"/>
        </w:rPr>
        <w:t>This new work will have significant value for CCRA3 a</w:t>
      </w:r>
      <w:r w:rsidR="00851AB2">
        <w:rPr>
          <w:rFonts w:ascii="Arial" w:hAnsi="Arial" w:cs="Arial"/>
          <w:sz w:val="22"/>
          <w:szCs w:val="22"/>
        </w:rPr>
        <w:t xml:space="preserve">s it will not only assess risks but also how effective </w:t>
      </w:r>
      <w:r w:rsidR="00013D7A">
        <w:rPr>
          <w:rFonts w:ascii="Arial" w:hAnsi="Arial" w:cs="Arial"/>
          <w:sz w:val="22"/>
          <w:szCs w:val="22"/>
        </w:rPr>
        <w:t xml:space="preserve">adaptation </w:t>
      </w:r>
      <w:r w:rsidR="00851AB2">
        <w:rPr>
          <w:rFonts w:ascii="Arial" w:hAnsi="Arial" w:cs="Arial"/>
          <w:sz w:val="22"/>
          <w:szCs w:val="22"/>
        </w:rPr>
        <w:t>responses to those risks may be</w:t>
      </w:r>
      <w:r w:rsidR="00CE3B51">
        <w:rPr>
          <w:rFonts w:ascii="Arial" w:hAnsi="Arial" w:cs="Arial"/>
          <w:sz w:val="22"/>
          <w:szCs w:val="22"/>
        </w:rPr>
        <w:t xml:space="preserve"> in different </w:t>
      </w:r>
      <w:r w:rsidR="005E1AA9">
        <w:rPr>
          <w:rFonts w:ascii="Arial" w:hAnsi="Arial" w:cs="Arial"/>
          <w:sz w:val="22"/>
          <w:szCs w:val="22"/>
        </w:rPr>
        <w:t xml:space="preserve">types of </w:t>
      </w:r>
      <w:r w:rsidR="00CE3B51">
        <w:rPr>
          <w:rFonts w:ascii="Arial" w:hAnsi="Arial" w:cs="Arial"/>
          <w:sz w:val="22"/>
          <w:szCs w:val="22"/>
        </w:rPr>
        <w:t>places</w:t>
      </w:r>
      <w:r w:rsidR="005E1AA9">
        <w:rPr>
          <w:rFonts w:ascii="Arial" w:hAnsi="Arial" w:cs="Arial"/>
          <w:sz w:val="22"/>
          <w:szCs w:val="22"/>
        </w:rPr>
        <w:t xml:space="preserve"> around the UK</w:t>
      </w:r>
      <w:r>
        <w:rPr>
          <w:rFonts w:ascii="Arial" w:hAnsi="Arial" w:cs="Arial"/>
          <w:sz w:val="22"/>
          <w:szCs w:val="22"/>
        </w:rPr>
        <w:t>.</w:t>
      </w:r>
    </w:p>
    <w:p w14:paraId="1E70999D" w14:textId="77777777" w:rsidR="00F66DC9" w:rsidRDefault="00F66DC9" w:rsidP="00087BB8">
      <w:pPr>
        <w:jc w:val="both"/>
        <w:rPr>
          <w:rFonts w:ascii="Arial" w:hAnsi="Arial" w:cs="Arial"/>
          <w:sz w:val="22"/>
          <w:szCs w:val="22"/>
        </w:rPr>
      </w:pPr>
    </w:p>
    <w:p w14:paraId="5EA8755A" w14:textId="77777777" w:rsidR="00FE1227" w:rsidRDefault="00016416" w:rsidP="007248E4">
      <w:pPr>
        <w:pStyle w:val="Heading1"/>
        <w:numPr>
          <w:ilvl w:val="0"/>
          <w:numId w:val="1"/>
        </w:numPr>
        <w:jc w:val="both"/>
        <w:rPr>
          <w:rFonts w:ascii="Arial" w:hAnsi="Arial" w:cs="Arial"/>
          <w:sz w:val="24"/>
          <w:szCs w:val="24"/>
        </w:rPr>
      </w:pPr>
      <w:bookmarkStart w:id="14" w:name="_Ref357535689"/>
      <w:bookmarkStart w:id="15" w:name="_Toc381969508"/>
      <w:bookmarkStart w:id="16" w:name="_Toc405888457"/>
      <w:bookmarkStart w:id="17" w:name="_Toc496603073"/>
      <w:r w:rsidRPr="007963DA">
        <w:rPr>
          <w:rFonts w:ascii="Arial" w:hAnsi="Arial" w:cs="Arial"/>
          <w:sz w:val="24"/>
          <w:szCs w:val="24"/>
        </w:rPr>
        <w:t>Aims and Objectives</w:t>
      </w:r>
      <w:bookmarkEnd w:id="14"/>
      <w:bookmarkEnd w:id="15"/>
      <w:bookmarkEnd w:id="16"/>
      <w:bookmarkEnd w:id="17"/>
    </w:p>
    <w:p w14:paraId="2CCDCE03" w14:textId="77777777" w:rsidR="00C1623B" w:rsidRDefault="00C1623B" w:rsidP="00C1623B">
      <w:pPr>
        <w:pStyle w:val="Norma1"/>
      </w:pPr>
    </w:p>
    <w:p w14:paraId="77A26992" w14:textId="43BEB839" w:rsidR="001D62B9" w:rsidRDefault="008A1A15" w:rsidP="00CF38AF">
      <w:pPr>
        <w:jc w:val="both"/>
        <w:rPr>
          <w:rFonts w:ascii="Arial" w:eastAsia="MS Mincho" w:hAnsi="Arial" w:cs="Arial"/>
          <w:sz w:val="22"/>
          <w:szCs w:val="22"/>
          <w:lang w:eastAsia="en-US"/>
        </w:rPr>
      </w:pPr>
      <w:r>
        <w:rPr>
          <w:rFonts w:ascii="Arial" w:eastAsia="MS Mincho" w:hAnsi="Arial" w:cs="Arial"/>
          <w:sz w:val="22"/>
          <w:szCs w:val="22"/>
          <w:lang w:eastAsia="en-US"/>
        </w:rPr>
        <w:t>The a</w:t>
      </w:r>
      <w:r w:rsidR="001D62B9" w:rsidRPr="00CF38AF">
        <w:rPr>
          <w:rFonts w:ascii="Arial" w:eastAsia="MS Mincho" w:hAnsi="Arial" w:cs="Arial"/>
          <w:sz w:val="22"/>
          <w:szCs w:val="22"/>
          <w:lang w:eastAsia="en-US"/>
        </w:rPr>
        <w:t xml:space="preserve">ims of this project are to: </w:t>
      </w:r>
    </w:p>
    <w:p w14:paraId="2D386C03" w14:textId="22341671" w:rsidR="00013D7A" w:rsidRDefault="00564A18" w:rsidP="00DD0ABA">
      <w:pPr>
        <w:pStyle w:val="ListParagraph"/>
        <w:numPr>
          <w:ilvl w:val="0"/>
          <w:numId w:val="40"/>
        </w:numPr>
        <w:jc w:val="both"/>
        <w:rPr>
          <w:rFonts w:ascii="Arial" w:hAnsi="Arial" w:cs="Arial"/>
        </w:rPr>
      </w:pPr>
      <w:r w:rsidRPr="00DD0ABA">
        <w:rPr>
          <w:rFonts w:ascii="Arial" w:hAnsi="Arial" w:cs="Arial"/>
        </w:rPr>
        <w:t xml:space="preserve">Quantify </w:t>
      </w:r>
      <w:r w:rsidR="00DF0A81" w:rsidRPr="00DD0ABA">
        <w:rPr>
          <w:rFonts w:ascii="Arial" w:hAnsi="Arial" w:cs="Arial"/>
        </w:rPr>
        <w:t xml:space="preserve">future flood risk </w:t>
      </w:r>
      <w:r w:rsidR="00013D7A">
        <w:rPr>
          <w:rFonts w:ascii="Arial" w:hAnsi="Arial" w:cs="Arial"/>
        </w:rPr>
        <w:t>over the 21</w:t>
      </w:r>
      <w:r w:rsidR="00013D7A" w:rsidRPr="00013D7A">
        <w:rPr>
          <w:rFonts w:ascii="Arial" w:hAnsi="Arial" w:cs="Arial"/>
          <w:vertAlign w:val="superscript"/>
        </w:rPr>
        <w:t>st</w:t>
      </w:r>
      <w:r w:rsidR="00013D7A">
        <w:rPr>
          <w:rFonts w:ascii="Arial" w:hAnsi="Arial" w:cs="Arial"/>
        </w:rPr>
        <w:t xml:space="preserve"> Century </w:t>
      </w:r>
      <w:r w:rsidR="00166F48">
        <w:rPr>
          <w:rFonts w:ascii="Arial" w:hAnsi="Arial" w:cs="Arial"/>
        </w:rPr>
        <w:t xml:space="preserve">(and beyond if possible) </w:t>
      </w:r>
      <w:r w:rsidR="00013D7A">
        <w:rPr>
          <w:rFonts w:ascii="Arial" w:hAnsi="Arial" w:cs="Arial"/>
        </w:rPr>
        <w:t>for</w:t>
      </w:r>
      <w:r w:rsidR="00DF0A81" w:rsidRPr="00DD0ABA">
        <w:rPr>
          <w:rFonts w:ascii="Arial" w:hAnsi="Arial" w:cs="Arial"/>
        </w:rPr>
        <w:t xml:space="preserve"> the </w:t>
      </w:r>
      <w:r w:rsidR="00851AB2">
        <w:rPr>
          <w:rFonts w:ascii="Arial" w:hAnsi="Arial" w:cs="Arial"/>
        </w:rPr>
        <w:t>UK</w:t>
      </w:r>
      <w:r w:rsidR="00013C18">
        <w:rPr>
          <w:rFonts w:ascii="Arial" w:hAnsi="Arial" w:cs="Arial"/>
        </w:rPr>
        <w:t xml:space="preserve"> as a whole</w:t>
      </w:r>
      <w:r w:rsidR="00013D7A">
        <w:rPr>
          <w:rFonts w:ascii="Arial" w:hAnsi="Arial" w:cs="Arial"/>
        </w:rPr>
        <w:t>, for England, Wales, Scotland and Northern Ireland</w:t>
      </w:r>
      <w:r w:rsidR="005E4CF0">
        <w:rPr>
          <w:rFonts w:ascii="Arial" w:hAnsi="Arial" w:cs="Arial"/>
        </w:rPr>
        <w:t xml:space="preserve">, </w:t>
      </w:r>
      <w:r w:rsidR="00013C18">
        <w:rPr>
          <w:rFonts w:ascii="Arial" w:hAnsi="Arial" w:cs="Arial"/>
        </w:rPr>
        <w:t>and for different places within each country (</w:t>
      </w:r>
      <w:r w:rsidR="0035557D">
        <w:rPr>
          <w:rFonts w:ascii="Arial" w:hAnsi="Arial" w:cs="Arial"/>
        </w:rPr>
        <w:t xml:space="preserve">e.g. </w:t>
      </w:r>
      <w:r w:rsidR="00013C18">
        <w:rPr>
          <w:rFonts w:ascii="Arial" w:hAnsi="Arial" w:cs="Arial"/>
        </w:rPr>
        <w:t xml:space="preserve">coast, cities, rural communities), </w:t>
      </w:r>
      <w:r w:rsidR="005E4CF0">
        <w:rPr>
          <w:rFonts w:ascii="Arial" w:hAnsi="Arial" w:cs="Arial"/>
        </w:rPr>
        <w:t>for a range of climate and socioeconomic scenarios</w:t>
      </w:r>
      <w:r w:rsidR="00013C18">
        <w:rPr>
          <w:rFonts w:ascii="Arial" w:hAnsi="Arial" w:cs="Arial"/>
        </w:rPr>
        <w:t>, on the basis of</w:t>
      </w:r>
      <w:r w:rsidR="005E1AA9">
        <w:rPr>
          <w:rFonts w:ascii="Arial" w:hAnsi="Arial" w:cs="Arial"/>
        </w:rPr>
        <w:t xml:space="preserve"> the current level of adaptation</w:t>
      </w:r>
      <w:r w:rsidR="00013D7A">
        <w:rPr>
          <w:rFonts w:ascii="Arial" w:hAnsi="Arial" w:cs="Arial"/>
        </w:rPr>
        <w:t>;</w:t>
      </w:r>
    </w:p>
    <w:p w14:paraId="0B2A76B7" w14:textId="3F8374D3" w:rsidR="00564A18" w:rsidRPr="00DD0ABA" w:rsidRDefault="00564A18" w:rsidP="00DD0ABA">
      <w:pPr>
        <w:pStyle w:val="ListParagraph"/>
        <w:numPr>
          <w:ilvl w:val="0"/>
          <w:numId w:val="40"/>
        </w:numPr>
        <w:jc w:val="both"/>
        <w:rPr>
          <w:rFonts w:ascii="Arial" w:hAnsi="Arial" w:cs="Arial"/>
        </w:rPr>
      </w:pPr>
      <w:r w:rsidRPr="00DD0ABA">
        <w:rPr>
          <w:rFonts w:ascii="Arial" w:hAnsi="Arial" w:cs="Arial"/>
        </w:rPr>
        <w:t>Identify</w:t>
      </w:r>
      <w:r w:rsidR="00DF0A81" w:rsidRPr="00DD0ABA">
        <w:rPr>
          <w:rFonts w:ascii="Arial" w:hAnsi="Arial" w:cs="Arial"/>
        </w:rPr>
        <w:t xml:space="preserve"> the </w:t>
      </w:r>
      <w:r w:rsidR="00013D7A">
        <w:rPr>
          <w:rFonts w:ascii="Arial" w:hAnsi="Arial" w:cs="Arial"/>
        </w:rPr>
        <w:t>most effective and efficient ways to manage</w:t>
      </w:r>
      <w:r w:rsidR="00013C18">
        <w:rPr>
          <w:rFonts w:ascii="Arial" w:hAnsi="Arial" w:cs="Arial"/>
        </w:rPr>
        <w:t xml:space="preserve"> the residual</w:t>
      </w:r>
      <w:r w:rsidR="00013D7A">
        <w:rPr>
          <w:rFonts w:ascii="Arial" w:hAnsi="Arial" w:cs="Arial"/>
        </w:rPr>
        <w:t xml:space="preserve"> </w:t>
      </w:r>
      <w:r w:rsidR="005E4CF0">
        <w:rPr>
          <w:rFonts w:ascii="Arial" w:hAnsi="Arial" w:cs="Arial"/>
        </w:rPr>
        <w:t xml:space="preserve">flood </w:t>
      </w:r>
      <w:r w:rsidR="00013D7A">
        <w:rPr>
          <w:rFonts w:ascii="Arial" w:hAnsi="Arial" w:cs="Arial"/>
        </w:rPr>
        <w:t xml:space="preserve">risks </w:t>
      </w:r>
      <w:r w:rsidR="00013C18">
        <w:rPr>
          <w:rFonts w:ascii="Arial" w:hAnsi="Arial" w:cs="Arial"/>
        </w:rPr>
        <w:t xml:space="preserve">under each scenario above </w:t>
      </w:r>
      <w:r w:rsidR="005E1AA9">
        <w:rPr>
          <w:rFonts w:ascii="Arial" w:hAnsi="Arial" w:cs="Arial"/>
        </w:rPr>
        <w:t xml:space="preserve">in different places, </w:t>
      </w:r>
      <w:r w:rsidR="00013D7A">
        <w:rPr>
          <w:rFonts w:ascii="Arial" w:hAnsi="Arial" w:cs="Arial"/>
        </w:rPr>
        <w:t>via a</w:t>
      </w:r>
      <w:r w:rsidR="00DF0A81" w:rsidRPr="00DD0ABA">
        <w:rPr>
          <w:rFonts w:ascii="Arial" w:hAnsi="Arial" w:cs="Arial"/>
        </w:rPr>
        <w:t xml:space="preserve"> mix of adaptation options</w:t>
      </w:r>
      <w:r w:rsidR="00013D7A">
        <w:rPr>
          <w:rFonts w:ascii="Arial" w:hAnsi="Arial" w:cs="Arial"/>
        </w:rPr>
        <w:t xml:space="preserve">. </w:t>
      </w:r>
    </w:p>
    <w:p w14:paraId="7A4CA297" w14:textId="3D006D13" w:rsidR="009B50B8" w:rsidRPr="005F285F" w:rsidRDefault="00564A18" w:rsidP="005F285F">
      <w:pPr>
        <w:pStyle w:val="ListParagraph"/>
        <w:numPr>
          <w:ilvl w:val="0"/>
          <w:numId w:val="40"/>
        </w:numPr>
        <w:jc w:val="both"/>
        <w:rPr>
          <w:rFonts w:ascii="Arial" w:hAnsi="Arial" w:cs="Arial"/>
        </w:rPr>
      </w:pPr>
      <w:r w:rsidRPr="00DD0ABA">
        <w:rPr>
          <w:rFonts w:ascii="Arial" w:hAnsi="Arial" w:cs="Arial"/>
        </w:rPr>
        <w:t>Examine</w:t>
      </w:r>
      <w:r w:rsidR="00DF0A81" w:rsidRPr="00DD0ABA">
        <w:rPr>
          <w:rFonts w:ascii="Arial" w:hAnsi="Arial" w:cs="Arial"/>
        </w:rPr>
        <w:t xml:space="preserve"> what level of </w:t>
      </w:r>
      <w:r w:rsidR="00851AB2">
        <w:rPr>
          <w:rFonts w:ascii="Arial" w:hAnsi="Arial" w:cs="Arial"/>
        </w:rPr>
        <w:t>flood risk</w:t>
      </w:r>
      <w:r w:rsidR="00DF0A81" w:rsidRPr="00DD0ABA">
        <w:rPr>
          <w:rFonts w:ascii="Arial" w:hAnsi="Arial" w:cs="Arial"/>
        </w:rPr>
        <w:t xml:space="preserve"> change </w:t>
      </w:r>
      <w:r w:rsidR="009B50B8">
        <w:rPr>
          <w:rFonts w:ascii="Arial" w:hAnsi="Arial" w:cs="Arial"/>
        </w:rPr>
        <w:t>may</w:t>
      </w:r>
      <w:r w:rsidR="00DF0A81" w:rsidRPr="00DD0ABA">
        <w:rPr>
          <w:rFonts w:ascii="Arial" w:hAnsi="Arial" w:cs="Arial"/>
        </w:rPr>
        <w:t xml:space="preserve"> result in major infrastructure, cities, coastal communities or rural locations, for example, no longer being able to cope with new flood risk levels, even with all of the adaptation options available.</w:t>
      </w:r>
    </w:p>
    <w:p w14:paraId="5EA8755C" w14:textId="4CA38439" w:rsidR="00C4141B" w:rsidRDefault="00E85ED1" w:rsidP="007248E4">
      <w:pPr>
        <w:pStyle w:val="Heading1"/>
        <w:numPr>
          <w:ilvl w:val="0"/>
          <w:numId w:val="3"/>
        </w:numPr>
        <w:rPr>
          <w:rFonts w:ascii="Arial" w:hAnsi="Arial" w:cs="Arial"/>
          <w:sz w:val="24"/>
          <w:szCs w:val="24"/>
        </w:rPr>
      </w:pPr>
      <w:bookmarkStart w:id="18" w:name="_Toc381969509"/>
      <w:bookmarkStart w:id="19" w:name="_Toc405888458"/>
      <w:bookmarkStart w:id="20" w:name="_Toc496603074"/>
      <w:r w:rsidRPr="00E85ED1">
        <w:rPr>
          <w:rFonts w:ascii="Arial" w:hAnsi="Arial" w:cs="Arial"/>
          <w:sz w:val="24"/>
          <w:szCs w:val="24"/>
        </w:rPr>
        <w:t>Method</w:t>
      </w:r>
      <w:bookmarkEnd w:id="18"/>
      <w:bookmarkEnd w:id="19"/>
      <w:bookmarkEnd w:id="20"/>
    </w:p>
    <w:p w14:paraId="5A1BB8BA" w14:textId="77777777" w:rsidR="00DD521A" w:rsidRDefault="00DD521A" w:rsidP="00DD521A">
      <w:pPr>
        <w:pStyle w:val="Norma1"/>
      </w:pPr>
    </w:p>
    <w:p w14:paraId="4904CC57" w14:textId="1AECAA91" w:rsidR="00B94DAC" w:rsidRDefault="00F33A8D" w:rsidP="00DD521A">
      <w:pPr>
        <w:pStyle w:val="Norma1"/>
      </w:pPr>
      <w:r>
        <w:rPr>
          <w:b/>
        </w:rPr>
        <w:t>Current and f</w:t>
      </w:r>
      <w:r w:rsidR="00B20457" w:rsidRPr="008A56A2">
        <w:rPr>
          <w:b/>
        </w:rPr>
        <w:t>uture flood risk:</w:t>
      </w:r>
      <w:r w:rsidR="005E1AA9">
        <w:t xml:space="preserve"> bids</w:t>
      </w:r>
      <w:r w:rsidR="00B20457">
        <w:t xml:space="preserve"> must present the method to be used for calculating future flood risk</w:t>
      </w:r>
      <w:r w:rsidR="008D132F">
        <w:t>.</w:t>
      </w:r>
      <w:r w:rsidR="00A06878">
        <w:t xml:space="preserve"> </w:t>
      </w:r>
      <w:r w:rsidR="005E1AA9">
        <w:t xml:space="preserve">This must start from a description of current flood risk and results should be presented </w:t>
      </w:r>
      <w:r>
        <w:t xml:space="preserve">in the report </w:t>
      </w:r>
      <w:r w:rsidR="005E1AA9">
        <w:t>for flood risk for the present day. Future r</w:t>
      </w:r>
      <w:r w:rsidR="00A06878">
        <w:t>isk must be assessed for at least a 2</w:t>
      </w:r>
      <w:r w:rsidR="00A06878">
        <w:rPr>
          <w:rFonts w:cs="Arial"/>
        </w:rPr>
        <w:t xml:space="preserve">°C and a 4°C </w:t>
      </w:r>
      <w:r w:rsidR="008D1934">
        <w:rPr>
          <w:rFonts w:cs="Arial"/>
        </w:rPr>
        <w:t>global mean surface temperature rise relative to pre-industrial</w:t>
      </w:r>
      <w:r w:rsidR="00A06878">
        <w:rPr>
          <w:rFonts w:cs="Arial"/>
        </w:rPr>
        <w:t xml:space="preserve"> and should make use of the UKCP18 dataset.</w:t>
      </w:r>
    </w:p>
    <w:p w14:paraId="5B29609F" w14:textId="77777777" w:rsidR="00A06878" w:rsidRDefault="00A06878" w:rsidP="00DD521A">
      <w:pPr>
        <w:pStyle w:val="Norma1"/>
      </w:pPr>
    </w:p>
    <w:p w14:paraId="508C8814" w14:textId="42DE3532" w:rsidR="008D132F" w:rsidRDefault="008D132F" w:rsidP="008D132F">
      <w:pPr>
        <w:jc w:val="both"/>
        <w:rPr>
          <w:rFonts w:ascii="Arial" w:hAnsi="Arial" w:cs="Arial"/>
          <w:sz w:val="22"/>
          <w:szCs w:val="22"/>
        </w:rPr>
      </w:pPr>
      <w:r w:rsidRPr="00127CC5">
        <w:rPr>
          <w:rFonts w:ascii="Arial" w:hAnsi="Arial" w:cs="Arial"/>
          <w:sz w:val="22"/>
          <w:szCs w:val="22"/>
        </w:rPr>
        <w:t>Bid</w:t>
      </w:r>
      <w:r>
        <w:rPr>
          <w:rFonts w:ascii="Arial" w:hAnsi="Arial" w:cs="Arial"/>
          <w:sz w:val="22"/>
          <w:szCs w:val="22"/>
        </w:rPr>
        <w:t>s</w:t>
      </w:r>
      <w:r w:rsidRPr="00127CC5">
        <w:rPr>
          <w:rFonts w:ascii="Arial" w:hAnsi="Arial" w:cs="Arial"/>
          <w:sz w:val="22"/>
          <w:szCs w:val="22"/>
        </w:rPr>
        <w:t xml:space="preserve"> should specify what metrics will be used to measure</w:t>
      </w:r>
      <w:r w:rsidR="005E1AA9">
        <w:rPr>
          <w:rFonts w:ascii="Arial" w:hAnsi="Arial" w:cs="Arial"/>
          <w:sz w:val="22"/>
          <w:szCs w:val="22"/>
        </w:rPr>
        <w:t xml:space="preserve"> and present</w:t>
      </w:r>
      <w:r w:rsidRPr="00127CC5">
        <w:rPr>
          <w:rFonts w:ascii="Arial" w:hAnsi="Arial" w:cs="Arial"/>
          <w:sz w:val="22"/>
          <w:szCs w:val="22"/>
        </w:rPr>
        <w:t xml:space="preserve"> future flood risk, what level of spatial disaggregation will be used and what adaptation responses will be investigated.</w:t>
      </w:r>
      <w:r>
        <w:rPr>
          <w:rFonts w:ascii="Arial" w:hAnsi="Arial" w:cs="Arial"/>
          <w:sz w:val="22"/>
          <w:szCs w:val="22"/>
        </w:rPr>
        <w:t xml:space="preserve"> More details on the requirements for these aspects are below.</w:t>
      </w:r>
      <w:r w:rsidR="008D1934">
        <w:rPr>
          <w:rFonts w:ascii="Arial" w:hAnsi="Arial" w:cs="Arial"/>
          <w:sz w:val="22"/>
          <w:szCs w:val="22"/>
        </w:rPr>
        <w:t xml:space="preserve"> As a minimum, d</w:t>
      </w:r>
      <w:r w:rsidR="008D1934" w:rsidRPr="008D1934">
        <w:rPr>
          <w:rFonts w:ascii="Arial" w:hAnsi="Arial" w:cs="Arial"/>
          <w:sz w:val="22"/>
          <w:szCs w:val="22"/>
        </w:rPr>
        <w:t>irect economic damages and numbers of people/properties at risk</w:t>
      </w:r>
      <w:r w:rsidR="008D1934">
        <w:rPr>
          <w:rFonts w:ascii="Arial" w:hAnsi="Arial" w:cs="Arial"/>
          <w:sz w:val="22"/>
          <w:szCs w:val="22"/>
        </w:rPr>
        <w:t xml:space="preserve"> must be included as flood risk metrics though additional metrics will also have significant value.</w:t>
      </w:r>
    </w:p>
    <w:p w14:paraId="5EA5E970" w14:textId="77777777" w:rsidR="00B94DAC" w:rsidRDefault="00B94DAC" w:rsidP="00DD521A">
      <w:pPr>
        <w:pStyle w:val="Norma1"/>
      </w:pPr>
    </w:p>
    <w:p w14:paraId="4399447E" w14:textId="599C0BB0" w:rsidR="008D132F" w:rsidRDefault="008D132F" w:rsidP="008D132F">
      <w:pPr>
        <w:pStyle w:val="Norma1"/>
      </w:pPr>
      <w:r w:rsidRPr="005A7FC7">
        <w:rPr>
          <w:b/>
        </w:rPr>
        <w:t>Sources of flooding:</w:t>
      </w:r>
      <w:r>
        <w:t xml:space="preserve"> it should be stated what type of flood risks will be</w:t>
      </w:r>
      <w:r w:rsidR="008D1934">
        <w:t xml:space="preserve"> modelled</w:t>
      </w:r>
      <w:r>
        <w:t xml:space="preserve"> and how these will be disaggregated in the final dataset. </w:t>
      </w:r>
      <w:r w:rsidR="008D1934">
        <w:t xml:space="preserve">We consider the analysis </w:t>
      </w:r>
      <w:r w:rsidR="005E1AA9">
        <w:t xml:space="preserve">of </w:t>
      </w:r>
      <w:r w:rsidR="008D1934">
        <w:t xml:space="preserve">river, coastal and surface water flooding as essential and other sources (e.g. groundwater) as more challenging but desirable. </w:t>
      </w:r>
      <w:r>
        <w:t xml:space="preserve">Results should be presented </w:t>
      </w:r>
      <w:r w:rsidR="005E1AA9">
        <w:t xml:space="preserve">for each type of flooding as well as all types together, </w:t>
      </w:r>
      <w:r>
        <w:t xml:space="preserve">over a range risk bands that are </w:t>
      </w:r>
      <w:r w:rsidR="005E1AA9">
        <w:t xml:space="preserve">consistent with </w:t>
      </w:r>
      <w:r>
        <w:t>those used to assess present day risk e.g. the Flood Map for Planning, Risk of Flooding from Rivers a</w:t>
      </w:r>
      <w:r w:rsidR="005E1AA9">
        <w:t>nd Sea, risk bands used by the devolved a</w:t>
      </w:r>
      <w:r>
        <w:t>dministrations.</w:t>
      </w:r>
    </w:p>
    <w:p w14:paraId="69E57D79" w14:textId="77777777" w:rsidR="008D132F" w:rsidRDefault="008D132F" w:rsidP="008D132F">
      <w:pPr>
        <w:pStyle w:val="Norma1"/>
      </w:pPr>
    </w:p>
    <w:p w14:paraId="7D290A70" w14:textId="527942D1" w:rsidR="00013C18" w:rsidRDefault="008D132F" w:rsidP="00DD521A">
      <w:pPr>
        <w:pStyle w:val="Norma1"/>
      </w:pPr>
      <w:r w:rsidRPr="008D132F">
        <w:rPr>
          <w:b/>
        </w:rPr>
        <w:t>Spatial resolution:</w:t>
      </w:r>
      <w:r w:rsidR="00B20457">
        <w:t xml:space="preserve"> </w:t>
      </w:r>
      <w:r>
        <w:t xml:space="preserve">flooding risks </w:t>
      </w:r>
      <w:r w:rsidR="00B20457">
        <w:t>should be modelled</w:t>
      </w:r>
      <w:r>
        <w:t xml:space="preserve"> and presented</w:t>
      </w:r>
      <w:r w:rsidR="00B20457">
        <w:t xml:space="preserve"> at a range of spatial scales: </w:t>
      </w:r>
      <w:r w:rsidR="008A56A2">
        <w:t xml:space="preserve">1) the </w:t>
      </w:r>
      <w:r w:rsidR="00B20457">
        <w:t>UK</w:t>
      </w:r>
      <w:r w:rsidR="008A56A2">
        <w:t xml:space="preserve"> as a whole</w:t>
      </w:r>
      <w:r w:rsidR="00B20457">
        <w:t xml:space="preserve">; </w:t>
      </w:r>
      <w:r w:rsidR="008A56A2">
        <w:t xml:space="preserve">2) </w:t>
      </w:r>
      <w:r w:rsidR="00B20457">
        <w:t xml:space="preserve">England, Wales, Scotland and Northern Ireland; and </w:t>
      </w:r>
      <w:r w:rsidR="008A56A2">
        <w:t xml:space="preserve">3) </w:t>
      </w:r>
      <w:r w:rsidR="00B20457">
        <w:t xml:space="preserve">at higher spatial resolution to allow a regional analysis and analysis of different categories of </w:t>
      </w:r>
      <w:r w:rsidR="005E1AA9">
        <w:t xml:space="preserve">spatial </w:t>
      </w:r>
      <w:r w:rsidR="00B20457">
        <w:t>area (e.g. cities, coasts</w:t>
      </w:r>
      <w:r w:rsidR="005A7FC7">
        <w:t>, rural areas</w:t>
      </w:r>
      <w:r w:rsidR="00B20457">
        <w:t xml:space="preserve">). </w:t>
      </w:r>
      <w:r>
        <w:t>Bids must outline how they will approach this.</w:t>
      </w:r>
    </w:p>
    <w:p w14:paraId="78790822" w14:textId="77777777" w:rsidR="00013C18" w:rsidRDefault="00013C18" w:rsidP="00DD521A">
      <w:pPr>
        <w:pStyle w:val="Norma1"/>
      </w:pPr>
    </w:p>
    <w:p w14:paraId="1144B2A1" w14:textId="11052AA3" w:rsidR="00243CB0" w:rsidRDefault="005A7FC7" w:rsidP="00243CB0">
      <w:pPr>
        <w:pStyle w:val="Norma1"/>
      </w:pPr>
      <w:r w:rsidRPr="005A7FC7">
        <w:rPr>
          <w:b/>
        </w:rPr>
        <w:t>Risk thresholds:</w:t>
      </w:r>
      <w:r>
        <w:t xml:space="preserve"> a</w:t>
      </w:r>
      <w:r w:rsidR="00243CB0">
        <w:t>ssessments of climate change impacts have</w:t>
      </w:r>
      <w:r w:rsidR="004453B5">
        <w:t>,</w:t>
      </w:r>
      <w:r w:rsidR="00243CB0">
        <w:t xml:space="preserve"> in the past</w:t>
      </w:r>
      <w:r w:rsidR="004453B5">
        <w:t>,</w:t>
      </w:r>
      <w:r w:rsidR="00243CB0">
        <w:t xml:space="preserve"> approached assessments of flood risk by examining the impacts from a small number of distinct climate change scenarios (e.g. the 2°C, 4°C and H++ scenarios utilised in the CCRA2 Evidence Report). However, such distinct scenarios do not allow for the identification of </w:t>
      </w:r>
      <w:r w:rsidR="00DC1AD9">
        <w:t xml:space="preserve">limits to </w:t>
      </w:r>
      <w:r w:rsidR="00DC1AD9">
        <w:lastRenderedPageBreak/>
        <w:t xml:space="preserve">adaptation </w:t>
      </w:r>
      <w:r w:rsidR="005E1AA9">
        <w:t xml:space="preserve">if they lie </w:t>
      </w:r>
      <w:r w:rsidR="00243CB0">
        <w:t xml:space="preserve">in between these arbitrary points where particular assets or communities may face new threats that seriously question their </w:t>
      </w:r>
      <w:r w:rsidR="004453B5">
        <w:t>ability to adapt to those changes</w:t>
      </w:r>
      <w:r w:rsidR="00243CB0">
        <w:t xml:space="preserve">. Therefore, the approach for </w:t>
      </w:r>
      <w:r w:rsidR="005E4CF0">
        <w:t>this p</w:t>
      </w:r>
      <w:r w:rsidR="00243CB0">
        <w:t xml:space="preserve">roject will require the compilation </w:t>
      </w:r>
      <w:r w:rsidR="008A1A15">
        <w:t xml:space="preserve">of </w:t>
      </w:r>
      <w:r w:rsidR="00243CB0">
        <w:t xml:space="preserve">a more ‘continuous’ </w:t>
      </w:r>
      <w:r w:rsidR="00CE3B51">
        <w:t xml:space="preserve">series of </w:t>
      </w:r>
      <w:r w:rsidR="00243CB0">
        <w:t xml:space="preserve">climate change scenarios that can be used to understand the points at which different assets or communities reach certain </w:t>
      </w:r>
      <w:r w:rsidR="00DC1AD9">
        <w:t xml:space="preserve">limits to </w:t>
      </w:r>
      <w:r w:rsidR="004453B5">
        <w:t>adaptation</w:t>
      </w:r>
      <w:r w:rsidR="00243CB0">
        <w:t>.</w:t>
      </w:r>
      <w:r w:rsidR="005E4CF0">
        <w:t xml:space="preserve"> These climate scenarios should use the new UKCP18 dataset as a basis but additional datasets may also be used.</w:t>
      </w:r>
    </w:p>
    <w:p w14:paraId="44D4FA77" w14:textId="77777777" w:rsidR="00013C18" w:rsidRDefault="00013C18" w:rsidP="00013C18">
      <w:pPr>
        <w:jc w:val="both"/>
        <w:rPr>
          <w:rFonts w:ascii="Arial" w:hAnsi="Arial" w:cs="Arial"/>
          <w:sz w:val="22"/>
          <w:szCs w:val="22"/>
        </w:rPr>
      </w:pPr>
    </w:p>
    <w:p w14:paraId="5E91005E" w14:textId="00DDCAA9" w:rsidR="00013C18" w:rsidRDefault="00A06878" w:rsidP="00013C18">
      <w:pPr>
        <w:pStyle w:val="Norma1"/>
      </w:pPr>
      <w:r w:rsidRPr="00A06878">
        <w:rPr>
          <w:rFonts w:cs="Arial"/>
          <w:b/>
        </w:rPr>
        <w:t>Socioeconomic drivers:</w:t>
      </w:r>
      <w:r>
        <w:rPr>
          <w:rFonts w:cs="Arial"/>
        </w:rPr>
        <w:t xml:space="preserve"> t</w:t>
      </w:r>
      <w:r w:rsidR="00013C18">
        <w:rPr>
          <w:rFonts w:cs="Arial"/>
        </w:rPr>
        <w:t>he socioeconomic dimensions driving the project analysis must, in the first instance, be taken from another project commissioned by the ASC entitled “</w:t>
      </w:r>
      <w:r w:rsidR="00013C18" w:rsidRPr="009B50B8">
        <w:rPr>
          <w:rFonts w:cs="Arial"/>
        </w:rPr>
        <w:t>A consistent set of socioeconomic dimensions for the CCRA3 Evidence Report research projects</w:t>
      </w:r>
      <w:r w:rsidR="00013C18">
        <w:rPr>
          <w:rFonts w:cs="Arial"/>
        </w:rPr>
        <w:t xml:space="preserve">”. </w:t>
      </w:r>
      <w:r w:rsidR="008D1934">
        <w:rPr>
          <w:rFonts w:cs="Arial"/>
        </w:rPr>
        <w:t xml:space="preserve">The bidder </w:t>
      </w:r>
      <w:r w:rsidR="005E1AA9">
        <w:rPr>
          <w:rFonts w:cs="Arial"/>
        </w:rPr>
        <w:t>should specify in their bid</w:t>
      </w:r>
      <w:r w:rsidR="008D1934">
        <w:rPr>
          <w:rFonts w:cs="Arial"/>
        </w:rPr>
        <w:t xml:space="preserve"> the list and spatial/temporal resolution of socio-economic variables that they require for future scenarios</w:t>
      </w:r>
      <w:r w:rsidR="00013C18">
        <w:rPr>
          <w:rFonts w:cs="Arial"/>
        </w:rPr>
        <w:t>.</w:t>
      </w:r>
    </w:p>
    <w:p w14:paraId="07A4ED78" w14:textId="77777777" w:rsidR="00243CB0" w:rsidRDefault="00243CB0" w:rsidP="00243CB0">
      <w:pPr>
        <w:pStyle w:val="Norma1"/>
      </w:pPr>
    </w:p>
    <w:p w14:paraId="493C11CD" w14:textId="559770F9" w:rsidR="00A06878" w:rsidRDefault="002B09AA" w:rsidP="00243CB0">
      <w:pPr>
        <w:pStyle w:val="Norma1"/>
      </w:pPr>
      <w:r w:rsidRPr="00A06878">
        <w:rPr>
          <w:b/>
        </w:rPr>
        <w:t xml:space="preserve">Adaptation </w:t>
      </w:r>
      <w:r w:rsidR="00B94DAC">
        <w:rPr>
          <w:b/>
        </w:rPr>
        <w:t>scenarios</w:t>
      </w:r>
      <w:r w:rsidRPr="00A06878">
        <w:rPr>
          <w:b/>
        </w:rPr>
        <w:t>:</w:t>
      </w:r>
      <w:r>
        <w:t xml:space="preserve"> </w:t>
      </w:r>
      <w:r w:rsidR="005E1AA9">
        <w:t>In assessing the ‘baseline’ level of future flood risk, there should be an assumption of a continuation of the current level of adaptation across all four countries of the UK. Bids should specify a way of defining what this is and how it would be projected into the future. A</w:t>
      </w:r>
      <w:r w:rsidR="00BD593D">
        <w:t xml:space="preserve">fter defining the </w:t>
      </w:r>
      <w:r w:rsidR="004453B5">
        <w:t xml:space="preserve">flood </w:t>
      </w:r>
      <w:r w:rsidR="00BD593D">
        <w:t xml:space="preserve">risk, the second </w:t>
      </w:r>
      <w:r w:rsidR="00A06878">
        <w:t xml:space="preserve">major </w:t>
      </w:r>
      <w:r w:rsidR="00BD593D">
        <w:t xml:space="preserve">step is to identify the potential of different adaptation options to mitigate those flood risks </w:t>
      </w:r>
      <w:r w:rsidR="00A06878">
        <w:t xml:space="preserve">to a </w:t>
      </w:r>
      <w:r w:rsidR="00F33A8D">
        <w:t>‘</w:t>
      </w:r>
      <w:r w:rsidR="00A06878">
        <w:t>suitable</w:t>
      </w:r>
      <w:r w:rsidR="00F33A8D">
        <w:t>’</w:t>
      </w:r>
      <w:r w:rsidR="00A06878">
        <w:t xml:space="preserve"> level</w:t>
      </w:r>
      <w:r w:rsidR="00F33A8D">
        <w:t xml:space="preserve"> in cases where the current level of action is insufficient</w:t>
      </w:r>
      <w:r w:rsidR="00A06878">
        <w:t>.</w:t>
      </w:r>
      <w:r w:rsidR="00A06878" w:rsidRPr="00A06878">
        <w:t xml:space="preserve"> </w:t>
      </w:r>
      <w:r w:rsidR="00F33A8D">
        <w:t>Bids should set out how the project intends to define ‘suitable’ risk, e.g. keeping risk at the sam</w:t>
      </w:r>
      <w:r w:rsidR="00D474D9">
        <w:t xml:space="preserve">e level as today, </w:t>
      </w:r>
      <w:r w:rsidR="00F33A8D">
        <w:t>not allowing the risk to grow by more than x% above today’s levels</w:t>
      </w:r>
      <w:r w:rsidR="00D474D9">
        <w:t xml:space="preserve">, </w:t>
      </w:r>
      <w:r w:rsidR="00D474D9">
        <w:rPr>
          <w:rFonts w:cs="Arial"/>
          <w:bCs/>
          <w:iCs/>
          <w:szCs w:val="24"/>
        </w:rPr>
        <w:t>the National Infrastructure Commission</w:t>
      </w:r>
      <w:r w:rsidR="00D474D9" w:rsidRPr="000A305F">
        <w:rPr>
          <w:rFonts w:cs="Arial"/>
          <w:bCs/>
          <w:iCs/>
          <w:szCs w:val="24"/>
        </w:rPr>
        <w:t xml:space="preserve"> </w:t>
      </w:r>
      <w:r w:rsidR="00D474D9">
        <w:rPr>
          <w:rFonts w:cs="Arial"/>
          <w:bCs/>
          <w:iCs/>
          <w:szCs w:val="24"/>
        </w:rPr>
        <w:t>proposal</w:t>
      </w:r>
      <w:r w:rsidR="00D474D9" w:rsidRPr="000A305F">
        <w:rPr>
          <w:rFonts w:cs="Arial"/>
          <w:bCs/>
          <w:iCs/>
          <w:szCs w:val="24"/>
        </w:rPr>
        <w:t xml:space="preserve"> of minimum levels of protection, a fixed level of funding (</w:t>
      </w:r>
      <w:r w:rsidR="00D474D9">
        <w:rPr>
          <w:rFonts w:cs="Arial"/>
          <w:bCs/>
          <w:iCs/>
          <w:szCs w:val="24"/>
        </w:rPr>
        <w:t>e.g. based on LTIS) or</w:t>
      </w:r>
      <w:r w:rsidR="00D474D9" w:rsidRPr="000A305F">
        <w:rPr>
          <w:rFonts w:cs="Arial"/>
          <w:bCs/>
          <w:iCs/>
          <w:szCs w:val="24"/>
        </w:rPr>
        <w:t xml:space="preserve"> possibly based on </w:t>
      </w:r>
      <w:r w:rsidR="00D474D9">
        <w:rPr>
          <w:rFonts w:cs="Arial"/>
          <w:bCs/>
          <w:iCs/>
          <w:szCs w:val="24"/>
        </w:rPr>
        <w:t>a theory</w:t>
      </w:r>
      <w:r w:rsidR="00D474D9" w:rsidRPr="000A305F">
        <w:rPr>
          <w:rFonts w:cs="Arial"/>
          <w:bCs/>
          <w:iCs/>
          <w:szCs w:val="24"/>
        </w:rPr>
        <w:t xml:space="preserve"> of climate justice</w:t>
      </w:r>
      <w:r w:rsidR="00F33A8D">
        <w:t xml:space="preserve">. </w:t>
      </w:r>
      <w:r w:rsidR="00A06878">
        <w:t xml:space="preserve">Such adaptation strategies include, but are not limited to: improving flood defences, implementing managed </w:t>
      </w:r>
      <w:r w:rsidR="008D1934">
        <w:t>realignment schemes</w:t>
      </w:r>
      <w:r w:rsidR="00A06878">
        <w:t>, improving catchment management, delivering more sustainable drainage systems (</w:t>
      </w:r>
      <w:proofErr w:type="spellStart"/>
      <w:r w:rsidR="00A06878">
        <w:t>SuDS</w:t>
      </w:r>
      <w:proofErr w:type="spellEnd"/>
      <w:r w:rsidR="00A06878">
        <w:t xml:space="preserve">), </w:t>
      </w:r>
      <w:proofErr w:type="gramStart"/>
      <w:r w:rsidR="00A06878">
        <w:t>adapting</w:t>
      </w:r>
      <w:proofErr w:type="gramEnd"/>
      <w:r w:rsidR="00A06878">
        <w:t xml:space="preserve"> spatial planning strategies, revising building codes, installing property level protection or influencing people’s behaviour.</w:t>
      </w:r>
      <w:r w:rsidR="00DC1AD9">
        <w:t xml:space="preserve"> Comparison to a baseline scenario should be performed.</w:t>
      </w:r>
    </w:p>
    <w:p w14:paraId="79DEEB44" w14:textId="77777777" w:rsidR="00A06878" w:rsidRDefault="00A06878" w:rsidP="00243CB0">
      <w:pPr>
        <w:pStyle w:val="Norma1"/>
      </w:pPr>
    </w:p>
    <w:p w14:paraId="4E4745ED" w14:textId="171AAE8E" w:rsidR="00BD593D" w:rsidRDefault="00A06878" w:rsidP="00243CB0">
      <w:pPr>
        <w:pStyle w:val="Norma1"/>
      </w:pPr>
      <w:r>
        <w:t>The bid should outline where</w:t>
      </w:r>
      <w:r w:rsidR="00BD593D">
        <w:t xml:space="preserve"> the limits of the effectiveness of the chosen adaptation options</w:t>
      </w:r>
      <w:r w:rsidR="00F33A8D">
        <w:t xml:space="preserve"> lie relative to the</w:t>
      </w:r>
      <w:r>
        <w:t xml:space="preserve"> baseline adaptation scenario</w:t>
      </w:r>
      <w:r w:rsidR="00BD593D">
        <w:t xml:space="preserve">. The aim of this analysis is not to prescribe an optimum adaptation </w:t>
      </w:r>
      <w:r w:rsidR="004453B5">
        <w:t>pathway but to provide an</w:t>
      </w:r>
      <w:r w:rsidR="00BD593D">
        <w:t xml:space="preserve"> assessment of the potential of the options that are available.</w:t>
      </w:r>
    </w:p>
    <w:p w14:paraId="5D36CDC3" w14:textId="77777777" w:rsidR="00243CB0" w:rsidRDefault="00243CB0" w:rsidP="00243CB0">
      <w:pPr>
        <w:pStyle w:val="Norma1"/>
      </w:pPr>
    </w:p>
    <w:p w14:paraId="479FEEA7" w14:textId="0BBE8AEA" w:rsidR="00243CB0" w:rsidRDefault="00243CB0" w:rsidP="00243CB0">
      <w:pPr>
        <w:pStyle w:val="Norma1"/>
      </w:pPr>
      <w:r>
        <w:t>The identification of the</w:t>
      </w:r>
      <w:r w:rsidR="004453B5">
        <w:t xml:space="preserve"> </w:t>
      </w:r>
      <w:r w:rsidR="008A56A2">
        <w:t xml:space="preserve">effectiveness of </w:t>
      </w:r>
      <w:r w:rsidR="00A06878">
        <w:t xml:space="preserve">adaptation </w:t>
      </w:r>
      <w:r w:rsidR="008A56A2">
        <w:t>option</w:t>
      </w:r>
      <w:r w:rsidR="00A06878">
        <w:t>s</w:t>
      </w:r>
      <w:r>
        <w:t xml:space="preserve"> requires a robust method that accounts for physical and societal factors, </w:t>
      </w:r>
      <w:r w:rsidR="00A06878">
        <w:t>some of which</w:t>
      </w:r>
      <w:r>
        <w:t xml:space="preserve"> </w:t>
      </w:r>
      <w:r w:rsidR="004453B5">
        <w:t>may be</w:t>
      </w:r>
      <w:r>
        <w:t xml:space="preserve"> specific to different areas of the UK. </w:t>
      </w:r>
      <w:r w:rsidR="00A06878">
        <w:t>Ideally, this would also include an analysis and presentation of cost effectiveness of the adaptation strategies – if proposed, the bid should outline a method for this analysis.</w:t>
      </w:r>
    </w:p>
    <w:p w14:paraId="7B0E73E4" w14:textId="77777777" w:rsidR="00D91AB3" w:rsidRDefault="00D91AB3" w:rsidP="00243CB0">
      <w:pPr>
        <w:pStyle w:val="Norma1"/>
      </w:pPr>
    </w:p>
    <w:p w14:paraId="7480DBA0" w14:textId="01F9BD4A" w:rsidR="00D91AB3" w:rsidRDefault="00514C5C" w:rsidP="00243CB0">
      <w:pPr>
        <w:pStyle w:val="Norma1"/>
      </w:pPr>
      <w:r w:rsidRPr="005F285F">
        <w:rPr>
          <w:b/>
        </w:rPr>
        <w:t>CCRA3 context:</w:t>
      </w:r>
      <w:r>
        <w:t xml:space="preserve"> </w:t>
      </w:r>
      <w:r w:rsidR="00D91AB3">
        <w:t xml:space="preserve">This project should be undertaken in close collaboration </w:t>
      </w:r>
      <w:r w:rsidR="00F33A8D">
        <w:t>with four</w:t>
      </w:r>
      <w:r w:rsidR="00D91AB3">
        <w:t xml:space="preserve"> other projects that will be commissioned simultaneously with this one, specifically:</w:t>
      </w:r>
    </w:p>
    <w:p w14:paraId="5465FDF0" w14:textId="77777777" w:rsidR="00D91AB3" w:rsidRDefault="00D91AB3" w:rsidP="00243CB0">
      <w:pPr>
        <w:pStyle w:val="Norma1"/>
      </w:pPr>
    </w:p>
    <w:p w14:paraId="72C40417" w14:textId="77777777" w:rsidR="003E7562" w:rsidRDefault="003E7562" w:rsidP="003E7562">
      <w:pPr>
        <w:pStyle w:val="Norma1"/>
        <w:numPr>
          <w:ilvl w:val="0"/>
          <w:numId w:val="42"/>
        </w:numPr>
      </w:pPr>
      <w:r w:rsidRPr="003E7562">
        <w:t xml:space="preserve">Climate driven </w:t>
      </w:r>
      <w:r w:rsidRPr="003E7562">
        <w:rPr>
          <w:i/>
        </w:rPr>
        <w:t>threshold effects</w:t>
      </w:r>
      <w:r w:rsidRPr="003E7562">
        <w:t xml:space="preserve"> in the natural environment </w:t>
      </w:r>
    </w:p>
    <w:p w14:paraId="22E46B5E" w14:textId="64DDCDE8" w:rsidR="00D91AB3" w:rsidRDefault="003E7562" w:rsidP="003E7562">
      <w:pPr>
        <w:pStyle w:val="Norma1"/>
        <w:numPr>
          <w:ilvl w:val="0"/>
          <w:numId w:val="42"/>
        </w:numPr>
      </w:pPr>
      <w:r w:rsidRPr="003E7562">
        <w:t xml:space="preserve">To understand how </w:t>
      </w:r>
      <w:r w:rsidRPr="003E7562">
        <w:rPr>
          <w:i/>
        </w:rPr>
        <w:t>behaviour change</w:t>
      </w:r>
      <w:r w:rsidRPr="003E7562">
        <w:t xml:space="preserve"> can influence climate change risks and opportunities </w:t>
      </w:r>
    </w:p>
    <w:p w14:paraId="48EFABAF" w14:textId="2D9A4539" w:rsidR="003E7562" w:rsidRPr="00F33A8D" w:rsidRDefault="003E7562" w:rsidP="003E7562">
      <w:pPr>
        <w:pStyle w:val="Norma1"/>
        <w:numPr>
          <w:ilvl w:val="0"/>
          <w:numId w:val="42"/>
        </w:numPr>
      </w:pPr>
      <w:r w:rsidRPr="009B50B8">
        <w:rPr>
          <w:rFonts w:cs="Arial"/>
        </w:rPr>
        <w:t xml:space="preserve">A consistent set of </w:t>
      </w:r>
      <w:r w:rsidRPr="003E7562">
        <w:rPr>
          <w:rFonts w:cs="Arial"/>
          <w:i/>
        </w:rPr>
        <w:t>socioeconomic dimensions</w:t>
      </w:r>
      <w:r w:rsidRPr="009B50B8">
        <w:rPr>
          <w:rFonts w:cs="Arial"/>
        </w:rPr>
        <w:t xml:space="preserve"> for the CCRA3 Evidence Report research projects</w:t>
      </w:r>
    </w:p>
    <w:p w14:paraId="64DF66FE" w14:textId="188DE303" w:rsidR="00F33A8D" w:rsidRPr="00F33A8D" w:rsidRDefault="00F33A8D" w:rsidP="003E7562">
      <w:pPr>
        <w:pStyle w:val="Norma1"/>
        <w:numPr>
          <w:ilvl w:val="0"/>
          <w:numId w:val="42"/>
        </w:numPr>
        <w:rPr>
          <w:i/>
        </w:rPr>
      </w:pPr>
      <w:r w:rsidRPr="00F33A8D">
        <w:rPr>
          <w:i/>
        </w:rPr>
        <w:t xml:space="preserve">Interacting risks </w:t>
      </w:r>
    </w:p>
    <w:p w14:paraId="10378B6D" w14:textId="77777777" w:rsidR="00DD0ABA" w:rsidRDefault="00DD0ABA" w:rsidP="00DD0ABA">
      <w:pPr>
        <w:pStyle w:val="Norma1"/>
        <w:ind w:left="720"/>
      </w:pPr>
    </w:p>
    <w:p w14:paraId="607BED1B" w14:textId="4B879C60" w:rsidR="00DD0ABA" w:rsidRDefault="00F33A8D" w:rsidP="00DD0ABA">
      <w:pPr>
        <w:pStyle w:val="Norma1"/>
      </w:pPr>
      <w:r>
        <w:t>T</w:t>
      </w:r>
      <w:r w:rsidR="00DD0ABA">
        <w:t xml:space="preserve">he flooding project should utilise the socioeconomic </w:t>
      </w:r>
      <w:r w:rsidR="004453B5">
        <w:t>dimension</w:t>
      </w:r>
      <w:r w:rsidR="00DD0ABA">
        <w:t xml:space="preserve">s </w:t>
      </w:r>
      <w:r>
        <w:t xml:space="preserve">provided through the socioeconomic dimensions project </w:t>
      </w:r>
      <w:r w:rsidR="00DD0ABA">
        <w:t>to ensure consistency with the other CCRA3 projects</w:t>
      </w:r>
      <w:r w:rsidR="00CE3B51">
        <w:t>, should coordinate assumptions on behavioural adaptations with the behaviour change project</w:t>
      </w:r>
      <w:r w:rsidR="00DD0ABA">
        <w:t xml:space="preserve"> and it should not overlap in scope </w:t>
      </w:r>
      <w:r>
        <w:t xml:space="preserve">or have conflicting assumptions </w:t>
      </w:r>
      <w:r w:rsidR="00DD0ABA">
        <w:t xml:space="preserve">with the adaptation thresholds </w:t>
      </w:r>
      <w:r>
        <w:t xml:space="preserve">and interacting risks </w:t>
      </w:r>
      <w:r w:rsidR="00DD0ABA">
        <w:t>project.</w:t>
      </w:r>
      <w:r w:rsidR="006B04EB">
        <w:t xml:space="preserve"> This coordination should be done in </w:t>
      </w:r>
      <w:r w:rsidR="006B04EB">
        <w:lastRenderedPageBreak/>
        <w:t>collaboration with the ASC.</w:t>
      </w:r>
    </w:p>
    <w:p w14:paraId="5EA8755E" w14:textId="77777777" w:rsidR="0034658D" w:rsidRDefault="0034658D" w:rsidP="007248E4">
      <w:pPr>
        <w:pStyle w:val="Heading1"/>
        <w:numPr>
          <w:ilvl w:val="0"/>
          <w:numId w:val="3"/>
        </w:numPr>
        <w:rPr>
          <w:rFonts w:ascii="Arial" w:hAnsi="Arial" w:cs="Arial"/>
          <w:sz w:val="24"/>
          <w:szCs w:val="24"/>
        </w:rPr>
      </w:pPr>
      <w:bookmarkStart w:id="21" w:name="_Ref357541705"/>
      <w:bookmarkStart w:id="22" w:name="_Toc381969510"/>
      <w:bookmarkStart w:id="23" w:name="_Toc405888459"/>
      <w:bookmarkStart w:id="24" w:name="_Toc496603075"/>
      <w:r w:rsidRPr="002D32D5">
        <w:rPr>
          <w:rFonts w:ascii="Arial" w:hAnsi="Arial" w:cs="Arial"/>
          <w:sz w:val="24"/>
          <w:szCs w:val="24"/>
        </w:rPr>
        <w:t xml:space="preserve">Outputs </w:t>
      </w:r>
      <w:r w:rsidR="00104197" w:rsidRPr="002D32D5">
        <w:rPr>
          <w:rFonts w:ascii="Arial" w:hAnsi="Arial" w:cs="Arial"/>
          <w:sz w:val="24"/>
          <w:szCs w:val="24"/>
        </w:rPr>
        <w:t>Required</w:t>
      </w:r>
      <w:bookmarkEnd w:id="21"/>
      <w:bookmarkEnd w:id="22"/>
      <w:bookmarkEnd w:id="23"/>
      <w:bookmarkEnd w:id="24"/>
    </w:p>
    <w:p w14:paraId="51CC5E7F" w14:textId="77777777" w:rsidR="00DD0ABA" w:rsidRDefault="00DD0ABA" w:rsidP="00D828F3">
      <w:pPr>
        <w:pStyle w:val="BodyText"/>
        <w:rPr>
          <w:rFonts w:ascii="Arial" w:eastAsia="MS Mincho" w:hAnsi="Arial" w:cs="Arial"/>
          <w:sz w:val="22"/>
          <w:szCs w:val="22"/>
        </w:rPr>
      </w:pPr>
    </w:p>
    <w:p w14:paraId="0A1DB4FD" w14:textId="1803AF1D" w:rsidR="00D828F3" w:rsidRPr="00D828F3" w:rsidRDefault="00F77A9D" w:rsidP="00D828F3">
      <w:pPr>
        <w:pStyle w:val="BodyText"/>
        <w:rPr>
          <w:rFonts w:ascii="Arial" w:eastAsia="MS Mincho" w:hAnsi="Arial" w:cs="Arial"/>
          <w:sz w:val="22"/>
          <w:szCs w:val="22"/>
        </w:rPr>
      </w:pPr>
      <w:r>
        <w:rPr>
          <w:rFonts w:ascii="Arial" w:eastAsia="MS Mincho" w:hAnsi="Arial" w:cs="Arial"/>
          <w:sz w:val="22"/>
          <w:szCs w:val="22"/>
        </w:rPr>
        <w:t xml:space="preserve">There are </w:t>
      </w:r>
      <w:r w:rsidR="003F63B9">
        <w:rPr>
          <w:rFonts w:ascii="Arial" w:eastAsia="MS Mincho" w:hAnsi="Arial" w:cs="Arial"/>
          <w:sz w:val="22"/>
          <w:szCs w:val="22"/>
        </w:rPr>
        <w:t>3</w:t>
      </w:r>
      <w:r w:rsidR="00D828F3" w:rsidRPr="00D828F3">
        <w:rPr>
          <w:rFonts w:ascii="Arial" w:eastAsia="MS Mincho" w:hAnsi="Arial" w:cs="Arial"/>
          <w:sz w:val="22"/>
          <w:szCs w:val="22"/>
        </w:rPr>
        <w:t xml:space="preserve"> key deliverables from this project:</w:t>
      </w:r>
    </w:p>
    <w:p w14:paraId="0400ADDE" w14:textId="77777777" w:rsidR="00564A18" w:rsidRDefault="00564A18" w:rsidP="00564A18">
      <w:pPr>
        <w:pStyle w:val="BodyText"/>
        <w:rPr>
          <w:rFonts w:ascii="Arial" w:eastAsia="MS Mincho" w:hAnsi="Arial" w:cs="Arial"/>
          <w:sz w:val="22"/>
          <w:szCs w:val="22"/>
        </w:rPr>
      </w:pPr>
    </w:p>
    <w:p w14:paraId="2530FCAC" w14:textId="0236BE4C" w:rsidR="004453B5" w:rsidRPr="004453B5" w:rsidRDefault="00564A18" w:rsidP="000A305F">
      <w:pPr>
        <w:pStyle w:val="BodyText"/>
        <w:numPr>
          <w:ilvl w:val="0"/>
          <w:numId w:val="41"/>
        </w:numPr>
        <w:rPr>
          <w:rFonts w:ascii="Arial" w:eastAsia="MS Mincho" w:hAnsi="Arial" w:cs="Arial"/>
          <w:sz w:val="22"/>
          <w:szCs w:val="22"/>
        </w:rPr>
      </w:pPr>
      <w:r w:rsidRPr="00564A18">
        <w:rPr>
          <w:rFonts w:ascii="Arial" w:eastAsia="MS Mincho" w:hAnsi="Arial" w:cs="Arial"/>
          <w:sz w:val="22"/>
          <w:szCs w:val="22"/>
        </w:rPr>
        <w:t>A UK-wide, spatial assessment of future flood risk for a range of climate scenarios</w:t>
      </w:r>
      <w:r w:rsidR="00DD0ABA">
        <w:rPr>
          <w:rFonts w:ascii="Arial" w:eastAsia="MS Mincho" w:hAnsi="Arial" w:cs="Arial"/>
          <w:sz w:val="22"/>
          <w:szCs w:val="22"/>
        </w:rPr>
        <w:t xml:space="preserve"> </w:t>
      </w:r>
      <w:r w:rsidRPr="00564A18">
        <w:rPr>
          <w:rFonts w:ascii="Arial" w:eastAsia="MS Mincho" w:hAnsi="Arial" w:cs="Arial"/>
          <w:sz w:val="22"/>
          <w:szCs w:val="22"/>
        </w:rPr>
        <w:t>determined by relatively small global temperature graduations</w:t>
      </w:r>
      <w:r w:rsidR="00DD0ABA">
        <w:rPr>
          <w:rFonts w:ascii="Arial" w:eastAsia="MS Mincho" w:hAnsi="Arial" w:cs="Arial"/>
          <w:sz w:val="22"/>
          <w:szCs w:val="22"/>
        </w:rPr>
        <w:t xml:space="preserve"> (this range must include </w:t>
      </w:r>
      <w:r w:rsidR="00CE3B51">
        <w:rPr>
          <w:rFonts w:ascii="Arial" w:eastAsia="MS Mincho" w:hAnsi="Arial" w:cs="Arial"/>
          <w:sz w:val="22"/>
          <w:szCs w:val="22"/>
        </w:rPr>
        <w:t xml:space="preserve">a presentation of the risks for </w:t>
      </w:r>
      <w:r w:rsidR="004453B5">
        <w:rPr>
          <w:rFonts w:ascii="Arial" w:eastAsia="MS Mincho" w:hAnsi="Arial" w:cs="Arial"/>
          <w:sz w:val="22"/>
          <w:szCs w:val="22"/>
        </w:rPr>
        <w:t xml:space="preserve">the </w:t>
      </w:r>
      <w:r w:rsidR="00DD0ABA">
        <w:rPr>
          <w:rFonts w:ascii="Arial" w:eastAsia="MS Mincho" w:hAnsi="Arial" w:cs="Arial"/>
          <w:sz w:val="22"/>
          <w:szCs w:val="22"/>
        </w:rPr>
        <w:t>2°C and</w:t>
      </w:r>
      <w:r w:rsidR="00DD0ABA" w:rsidRPr="00DD0ABA">
        <w:rPr>
          <w:rFonts w:ascii="Arial" w:eastAsia="MS Mincho" w:hAnsi="Arial" w:cs="Arial"/>
          <w:sz w:val="22"/>
          <w:szCs w:val="22"/>
        </w:rPr>
        <w:t xml:space="preserve"> 4°C</w:t>
      </w:r>
      <w:r w:rsidR="005E4CF0">
        <w:rPr>
          <w:rFonts w:ascii="Arial" w:eastAsia="MS Mincho" w:hAnsi="Arial" w:cs="Arial"/>
          <w:sz w:val="22"/>
          <w:szCs w:val="22"/>
        </w:rPr>
        <w:t xml:space="preserve"> scenarios</w:t>
      </w:r>
      <w:r w:rsidR="00DD0ABA">
        <w:rPr>
          <w:rFonts w:ascii="Arial" w:eastAsia="MS Mincho" w:hAnsi="Arial" w:cs="Arial"/>
          <w:sz w:val="22"/>
          <w:szCs w:val="22"/>
        </w:rPr>
        <w:t>, however)</w:t>
      </w:r>
      <w:r w:rsidR="000A305F">
        <w:rPr>
          <w:rFonts w:ascii="Arial" w:eastAsia="MS Mincho" w:hAnsi="Arial" w:cs="Arial"/>
          <w:sz w:val="22"/>
          <w:szCs w:val="22"/>
        </w:rPr>
        <w:t xml:space="preserve">. This should be provided as </w:t>
      </w:r>
      <w:r w:rsidR="000A305F" w:rsidRPr="000A305F">
        <w:rPr>
          <w:rFonts w:ascii="Arial" w:eastAsia="MS Mincho" w:hAnsi="Arial" w:cs="Arial"/>
          <w:sz w:val="22"/>
          <w:szCs w:val="22"/>
        </w:rPr>
        <w:t>an ArcGIS compatible Geodatabase. Text and/or spreadsheet files of the lower spatial r</w:t>
      </w:r>
      <w:r w:rsidR="00A06878">
        <w:rPr>
          <w:rFonts w:ascii="Arial" w:eastAsia="MS Mincho" w:hAnsi="Arial" w:cs="Arial"/>
          <w:sz w:val="22"/>
          <w:szCs w:val="22"/>
        </w:rPr>
        <w:t>esolution data is also required;</w:t>
      </w:r>
    </w:p>
    <w:p w14:paraId="2CE9D621" w14:textId="02477C6A" w:rsidR="00564A18" w:rsidRPr="00564A18" w:rsidRDefault="00DD0ABA" w:rsidP="00BD593D">
      <w:pPr>
        <w:pStyle w:val="BodyText"/>
        <w:numPr>
          <w:ilvl w:val="0"/>
          <w:numId w:val="41"/>
        </w:numPr>
        <w:rPr>
          <w:rFonts w:ascii="Arial" w:eastAsia="MS Mincho" w:hAnsi="Arial" w:cs="Arial"/>
          <w:sz w:val="22"/>
          <w:szCs w:val="22"/>
        </w:rPr>
      </w:pPr>
      <w:r>
        <w:rPr>
          <w:rFonts w:ascii="Arial" w:eastAsia="MS Mincho" w:hAnsi="Arial" w:cs="Arial"/>
          <w:sz w:val="22"/>
          <w:szCs w:val="22"/>
        </w:rPr>
        <w:t>An assessment</w:t>
      </w:r>
      <w:r w:rsidRPr="00564A18">
        <w:rPr>
          <w:rFonts w:ascii="Arial" w:eastAsia="MS Mincho" w:hAnsi="Arial" w:cs="Arial"/>
          <w:sz w:val="22"/>
          <w:szCs w:val="22"/>
        </w:rPr>
        <w:t xml:space="preserve"> </w:t>
      </w:r>
      <w:r w:rsidR="00564A18" w:rsidRPr="00564A18">
        <w:rPr>
          <w:rFonts w:ascii="Arial" w:eastAsia="MS Mincho" w:hAnsi="Arial" w:cs="Arial"/>
          <w:sz w:val="22"/>
          <w:szCs w:val="22"/>
        </w:rPr>
        <w:t xml:space="preserve">of </w:t>
      </w:r>
      <w:r w:rsidR="008A56A2">
        <w:rPr>
          <w:rFonts w:ascii="Arial" w:eastAsia="MS Mincho" w:hAnsi="Arial" w:cs="Arial"/>
          <w:sz w:val="22"/>
          <w:szCs w:val="22"/>
        </w:rPr>
        <w:t xml:space="preserve">the effectiveness of </w:t>
      </w:r>
      <w:r w:rsidR="005E4CF0">
        <w:rPr>
          <w:rFonts w:ascii="Arial" w:eastAsia="MS Mincho" w:hAnsi="Arial" w:cs="Arial"/>
          <w:sz w:val="22"/>
          <w:szCs w:val="22"/>
        </w:rPr>
        <w:t xml:space="preserve">a range of </w:t>
      </w:r>
      <w:r w:rsidR="00564A18" w:rsidRPr="00564A18">
        <w:rPr>
          <w:rFonts w:ascii="Arial" w:eastAsia="MS Mincho" w:hAnsi="Arial" w:cs="Arial"/>
          <w:sz w:val="22"/>
          <w:szCs w:val="22"/>
        </w:rPr>
        <w:t xml:space="preserve">appropriate, spatially sensitive adaptation </w:t>
      </w:r>
      <w:r w:rsidR="008A56A2">
        <w:rPr>
          <w:rFonts w:ascii="Arial" w:eastAsia="MS Mincho" w:hAnsi="Arial" w:cs="Arial"/>
          <w:sz w:val="22"/>
          <w:szCs w:val="22"/>
        </w:rPr>
        <w:t>option</w:t>
      </w:r>
      <w:r w:rsidR="00564A18" w:rsidRPr="00564A18">
        <w:rPr>
          <w:rFonts w:ascii="Arial" w:eastAsia="MS Mincho" w:hAnsi="Arial" w:cs="Arial"/>
          <w:sz w:val="22"/>
          <w:szCs w:val="22"/>
        </w:rPr>
        <w:t>s</w:t>
      </w:r>
      <w:r w:rsidR="00BD593D">
        <w:rPr>
          <w:rFonts w:ascii="Arial" w:eastAsia="MS Mincho" w:hAnsi="Arial" w:cs="Arial"/>
          <w:sz w:val="22"/>
          <w:szCs w:val="22"/>
        </w:rPr>
        <w:t xml:space="preserve"> related to </w:t>
      </w:r>
      <w:r w:rsidR="00BD593D" w:rsidRPr="00BD593D">
        <w:rPr>
          <w:rFonts w:ascii="Arial" w:eastAsia="MS Mincho" w:hAnsi="Arial" w:cs="Arial"/>
          <w:sz w:val="22"/>
          <w:szCs w:val="22"/>
        </w:rPr>
        <w:t>the flood risk analysis</w:t>
      </w:r>
      <w:r w:rsidR="00564A18" w:rsidRPr="00564A18">
        <w:rPr>
          <w:rFonts w:ascii="Arial" w:eastAsia="MS Mincho" w:hAnsi="Arial" w:cs="Arial"/>
          <w:sz w:val="22"/>
          <w:szCs w:val="22"/>
        </w:rPr>
        <w:t xml:space="preserve"> for infrastructure and communities of different sizes in different places</w:t>
      </w:r>
      <w:r w:rsidR="00564A18">
        <w:rPr>
          <w:rFonts w:ascii="Arial" w:eastAsia="MS Mincho" w:hAnsi="Arial" w:cs="Arial"/>
          <w:sz w:val="22"/>
          <w:szCs w:val="22"/>
        </w:rPr>
        <w:t>; and</w:t>
      </w:r>
    </w:p>
    <w:p w14:paraId="19D02F9E" w14:textId="0F7DD7D8" w:rsidR="00D828F3" w:rsidRDefault="00564A18" w:rsidP="0003754C">
      <w:pPr>
        <w:pStyle w:val="BodyText"/>
        <w:numPr>
          <w:ilvl w:val="0"/>
          <w:numId w:val="41"/>
        </w:numPr>
        <w:rPr>
          <w:rFonts w:ascii="Arial" w:eastAsia="MS Mincho" w:hAnsi="Arial" w:cs="Arial"/>
          <w:sz w:val="22"/>
          <w:szCs w:val="22"/>
        </w:rPr>
      </w:pPr>
      <w:r w:rsidRPr="00564A18">
        <w:rPr>
          <w:rFonts w:ascii="Arial" w:eastAsia="MS Mincho" w:hAnsi="Arial" w:cs="Arial"/>
          <w:sz w:val="22"/>
          <w:szCs w:val="22"/>
        </w:rPr>
        <w:t>An</w:t>
      </w:r>
      <w:r w:rsidR="003F63B9">
        <w:rPr>
          <w:rFonts w:ascii="Arial" w:eastAsia="MS Mincho" w:hAnsi="Arial" w:cs="Arial"/>
          <w:sz w:val="22"/>
          <w:szCs w:val="22"/>
        </w:rPr>
        <w:t xml:space="preserve"> an</w:t>
      </w:r>
      <w:r w:rsidRPr="00564A18">
        <w:rPr>
          <w:rFonts w:ascii="Arial" w:eastAsia="MS Mincho" w:hAnsi="Arial" w:cs="Arial"/>
          <w:sz w:val="22"/>
          <w:szCs w:val="22"/>
        </w:rPr>
        <w:t>alysis of the combinations of adaptation options that would manage the risk in specific scenarios, and where the limits to adaptation are</w:t>
      </w:r>
      <w:r w:rsidR="00CE3B51">
        <w:rPr>
          <w:rFonts w:ascii="Arial" w:eastAsia="MS Mincho" w:hAnsi="Arial" w:cs="Arial"/>
          <w:sz w:val="22"/>
          <w:szCs w:val="22"/>
        </w:rPr>
        <w:t xml:space="preserve"> for different places</w:t>
      </w:r>
      <w:r w:rsidRPr="00564A18">
        <w:rPr>
          <w:rFonts w:ascii="Arial" w:eastAsia="MS Mincho" w:hAnsi="Arial" w:cs="Arial"/>
          <w:sz w:val="22"/>
          <w:szCs w:val="22"/>
        </w:rPr>
        <w:t>.</w:t>
      </w:r>
    </w:p>
    <w:p w14:paraId="0056CBF6" w14:textId="77777777" w:rsidR="004F061E" w:rsidRDefault="004F061E" w:rsidP="00F33A8D">
      <w:pPr>
        <w:rPr>
          <w:rFonts w:ascii="Arial" w:hAnsi="Arial" w:cs="Arial"/>
        </w:rPr>
      </w:pPr>
    </w:p>
    <w:p w14:paraId="78797F0F" w14:textId="597CC6C2" w:rsidR="004F061E" w:rsidRPr="00F33A8D" w:rsidRDefault="004F061E" w:rsidP="00F33A8D">
      <w:pPr>
        <w:rPr>
          <w:rFonts w:ascii="Arial" w:hAnsi="Arial" w:cs="Arial"/>
        </w:rPr>
      </w:pPr>
      <w:r w:rsidRPr="00F33A8D">
        <w:rPr>
          <w:rFonts w:ascii="Arial" w:hAnsi="Arial" w:cs="Arial"/>
          <w:sz w:val="22"/>
        </w:rPr>
        <w:t>The consultants should also provide editable graphical representations, such as infographics, maps or charts that describe the results, with visuals optimised for use on social media. The ASC want access to the editable versions and to the text included, for example to allow for translated versions to be prepared</w:t>
      </w:r>
      <w:r>
        <w:rPr>
          <w:rFonts w:ascii="Arial" w:hAnsi="Arial" w:cs="Arial"/>
          <w:sz w:val="22"/>
        </w:rPr>
        <w:t>.</w:t>
      </w:r>
    </w:p>
    <w:p w14:paraId="15115440" w14:textId="77777777" w:rsidR="00DD521A" w:rsidRDefault="00DD521A" w:rsidP="00DD521A">
      <w:pPr>
        <w:pStyle w:val="Norma1"/>
      </w:pPr>
    </w:p>
    <w:p w14:paraId="5EA87560" w14:textId="77777777" w:rsidR="00936F29" w:rsidRDefault="00F042F9" w:rsidP="007248E4">
      <w:pPr>
        <w:pStyle w:val="Heading1"/>
        <w:numPr>
          <w:ilvl w:val="0"/>
          <w:numId w:val="3"/>
        </w:numPr>
        <w:rPr>
          <w:rFonts w:ascii="Arial" w:hAnsi="Arial" w:cs="Arial"/>
          <w:sz w:val="24"/>
          <w:szCs w:val="24"/>
        </w:rPr>
      </w:pPr>
      <w:bookmarkStart w:id="25" w:name="_Toc381969511"/>
      <w:bookmarkStart w:id="26" w:name="_Toc405888460"/>
      <w:bookmarkStart w:id="27" w:name="_Toc496603076"/>
      <w:bookmarkStart w:id="28" w:name="_Ref373505205"/>
      <w:bookmarkStart w:id="29" w:name="_Ref357541720"/>
      <w:r>
        <w:rPr>
          <w:rFonts w:ascii="Arial" w:hAnsi="Arial" w:cs="Arial"/>
          <w:sz w:val="24"/>
          <w:szCs w:val="24"/>
        </w:rPr>
        <w:t>O</w:t>
      </w:r>
      <w:r w:rsidR="006700D3" w:rsidRPr="002D32D5">
        <w:rPr>
          <w:rFonts w:ascii="Arial" w:hAnsi="Arial" w:cs="Arial"/>
          <w:sz w:val="24"/>
          <w:szCs w:val="24"/>
        </w:rPr>
        <w:t>wnership and Publication</w:t>
      </w:r>
      <w:bookmarkEnd w:id="25"/>
      <w:bookmarkEnd w:id="26"/>
      <w:bookmarkEnd w:id="27"/>
    </w:p>
    <w:p w14:paraId="7DD79DA8" w14:textId="77777777" w:rsidR="00DD521A" w:rsidRDefault="00DD521A" w:rsidP="00DD521A">
      <w:pPr>
        <w:pStyle w:val="Norma1"/>
      </w:pPr>
    </w:p>
    <w:p w14:paraId="1E9321E7" w14:textId="52B905BA" w:rsidR="004B2557" w:rsidRDefault="004B2557" w:rsidP="004B2557">
      <w:pPr>
        <w:pStyle w:val="Norma1"/>
        <w:rPr>
          <w:rFonts w:cs="Arial"/>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466D5E3E" w14:textId="77777777" w:rsidR="00F33A8D" w:rsidRDefault="00F33A8D" w:rsidP="004B2557">
      <w:pPr>
        <w:pStyle w:val="Norma1"/>
        <w:rPr>
          <w:rFonts w:cs="Arial"/>
        </w:rPr>
      </w:pPr>
    </w:p>
    <w:p w14:paraId="6CC551C7" w14:textId="4B07FC39" w:rsidR="00F33A8D" w:rsidRPr="00F33A8D" w:rsidRDefault="00F33A8D" w:rsidP="004B2557">
      <w:pPr>
        <w:pStyle w:val="Norma1"/>
        <w:rPr>
          <w:rFonts w:cs="Arial"/>
          <w:color w:val="000000" w:themeColor="text1"/>
        </w:rPr>
      </w:pPr>
      <w:r w:rsidRPr="00F33A8D">
        <w:rPr>
          <w:rFonts w:cs="Arial"/>
        </w:rPr>
        <w:t>All research publications arising from the contract must include a statement on how the supporting data and any other relevant research materials can be accessed</w:t>
      </w:r>
      <w:r>
        <w:rPr>
          <w:rFonts w:cs="Arial"/>
        </w:rPr>
        <w:t xml:space="preserve">. </w:t>
      </w:r>
    </w:p>
    <w:p w14:paraId="53C8200E" w14:textId="77777777" w:rsidR="00DD521A" w:rsidRPr="00DD521A" w:rsidRDefault="00DD521A" w:rsidP="00DD521A">
      <w:pPr>
        <w:pStyle w:val="Norma1"/>
      </w:pPr>
    </w:p>
    <w:p w14:paraId="5EA87562" w14:textId="77777777" w:rsidR="006700D3" w:rsidRDefault="00936F29" w:rsidP="007248E4">
      <w:pPr>
        <w:pStyle w:val="Heading1"/>
        <w:numPr>
          <w:ilvl w:val="0"/>
          <w:numId w:val="3"/>
        </w:numPr>
        <w:rPr>
          <w:rFonts w:ascii="Arial" w:hAnsi="Arial" w:cs="Arial"/>
          <w:sz w:val="24"/>
          <w:szCs w:val="24"/>
        </w:rPr>
      </w:pPr>
      <w:bookmarkStart w:id="30" w:name="_Toc496603077"/>
      <w:r>
        <w:rPr>
          <w:rFonts w:ascii="Arial" w:hAnsi="Arial" w:cs="Arial"/>
          <w:sz w:val="24"/>
          <w:szCs w:val="24"/>
        </w:rPr>
        <w:t>Quality Assurance</w:t>
      </w:r>
      <w:bookmarkEnd w:id="30"/>
      <w:r w:rsidR="00AB7905" w:rsidRPr="002D32D5">
        <w:rPr>
          <w:rFonts w:ascii="Arial" w:hAnsi="Arial" w:cs="Arial"/>
          <w:sz w:val="24"/>
          <w:szCs w:val="24"/>
        </w:rPr>
        <w:t xml:space="preserve"> </w:t>
      </w:r>
      <w:bookmarkEnd w:id="28"/>
    </w:p>
    <w:p w14:paraId="7C05295D" w14:textId="77777777" w:rsidR="00DD521A" w:rsidRDefault="00DD521A" w:rsidP="00DD521A">
      <w:pPr>
        <w:pStyle w:val="Norma1"/>
      </w:pPr>
    </w:p>
    <w:p w14:paraId="51D353C3" w14:textId="77777777" w:rsidR="00F36AD1" w:rsidRPr="00F36AD1" w:rsidRDefault="00F36AD1" w:rsidP="00F36AD1">
      <w:pPr>
        <w:pStyle w:val="Norma1"/>
        <w:tabs>
          <w:tab w:val="left" w:pos="0"/>
        </w:tabs>
        <w:jc w:val="both"/>
        <w:rPr>
          <w:rFonts w:cs="Arial"/>
        </w:rPr>
      </w:pPr>
      <w:r w:rsidRPr="00F36AD1">
        <w:rPr>
          <w:rFonts w:cs="Arial"/>
        </w:rPr>
        <w:t xml:space="preserve">All research tasks and modelling must be quality assured and documented. Contractors should: </w:t>
      </w:r>
    </w:p>
    <w:p w14:paraId="334146F1" w14:textId="77777777" w:rsidR="00F36AD1" w:rsidRPr="00F36AD1" w:rsidRDefault="00F36AD1" w:rsidP="00F36AD1">
      <w:pPr>
        <w:pStyle w:val="Norma1"/>
        <w:tabs>
          <w:tab w:val="left" w:pos="0"/>
        </w:tabs>
        <w:jc w:val="both"/>
        <w:rPr>
          <w:rFonts w:cs="Arial"/>
        </w:rPr>
      </w:pPr>
    </w:p>
    <w:p w14:paraId="6A4B62FD" w14:textId="1F3D8477" w:rsidR="00F36AD1" w:rsidRPr="00F36AD1" w:rsidRDefault="00F36AD1" w:rsidP="00F36AD1">
      <w:pPr>
        <w:pStyle w:val="Norma1"/>
        <w:widowControl/>
        <w:numPr>
          <w:ilvl w:val="0"/>
          <w:numId w:val="21"/>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9218323" w14:textId="6BD0F62E" w:rsidR="00F36AD1" w:rsidRPr="00F36AD1" w:rsidRDefault="00F36AD1" w:rsidP="00F36AD1">
      <w:pPr>
        <w:pStyle w:val="Norma1"/>
        <w:widowControl/>
        <w:numPr>
          <w:ilvl w:val="0"/>
          <w:numId w:val="21"/>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45B0BFE3" w14:textId="5BC89E90" w:rsidR="00F36AD1" w:rsidRPr="00F36AD1" w:rsidRDefault="00F36AD1" w:rsidP="00F36AD1">
      <w:pPr>
        <w:pStyle w:val="Norma1"/>
        <w:widowControl/>
        <w:numPr>
          <w:ilvl w:val="0"/>
          <w:numId w:val="21"/>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28BE5011" w14:textId="77777777" w:rsidR="00F36AD1" w:rsidRPr="00F36AD1" w:rsidRDefault="00F36AD1" w:rsidP="00F36AD1">
      <w:pPr>
        <w:pStyle w:val="Norma1"/>
        <w:spacing w:after="200" w:line="276" w:lineRule="auto"/>
        <w:jc w:val="both"/>
        <w:rPr>
          <w:rFonts w:cs="Arial"/>
        </w:rPr>
      </w:pPr>
      <w:r w:rsidRPr="00F36AD1">
        <w:rPr>
          <w:rFonts w:cs="Arial"/>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28126588" w14:textId="77777777" w:rsidR="00F36AD1" w:rsidRPr="00F36AD1" w:rsidRDefault="00F36AD1" w:rsidP="00F36AD1">
      <w:pPr>
        <w:pStyle w:val="Norma1"/>
        <w:spacing w:after="200" w:line="276" w:lineRule="auto"/>
        <w:jc w:val="both"/>
        <w:rPr>
          <w:rFonts w:cs="Arial"/>
        </w:rPr>
      </w:pPr>
      <w:r w:rsidRPr="00F36AD1">
        <w:rPr>
          <w:rFonts w:cs="Arial"/>
        </w:rPr>
        <w:t xml:space="preserve">The successful bidder will be responsible for any work supplied by sub-contractors and should </w:t>
      </w:r>
      <w:r w:rsidRPr="00F36AD1">
        <w:rPr>
          <w:rFonts w:cs="Arial"/>
        </w:rPr>
        <w:lastRenderedPageBreak/>
        <w:t>therefore provide assurance that all work in the contract is undertaken in accordance with the quality assurance expectation agreed at the beginning of the project.</w:t>
      </w:r>
    </w:p>
    <w:p w14:paraId="64CDE593" w14:textId="5E889EC6" w:rsidR="00F36AD1" w:rsidRPr="00F36AD1" w:rsidRDefault="00F36AD1" w:rsidP="00F36AD1">
      <w:pPr>
        <w:pStyle w:val="Norma1"/>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0E19A2B9" w14:textId="1DBBA3BD" w:rsidR="004B2557" w:rsidRPr="00F36AD1" w:rsidRDefault="00F36AD1" w:rsidP="00F36AD1">
      <w:pPr>
        <w:pStyle w:val="Norma1"/>
        <w:spacing w:after="200" w:line="276" w:lineRule="auto"/>
        <w:jc w:val="both"/>
        <w:rPr>
          <w:rFonts w:cs="Arial"/>
        </w:rPr>
      </w:pPr>
      <w:r w:rsidRPr="00F36AD1">
        <w:rPr>
          <w:rFonts w:cs="Arial"/>
        </w:rPr>
        <w:t>The consultant must demonstrate their ability to produce deliverables of quality, in particular following best practice regarding economic analys</w:t>
      </w:r>
      <w:r>
        <w:rPr>
          <w:rFonts w:cs="Arial"/>
        </w:rPr>
        <w:t>is and presentation of results.</w:t>
      </w:r>
    </w:p>
    <w:p w14:paraId="5EA87564" w14:textId="77777777" w:rsidR="0038006D" w:rsidRPr="003D6551" w:rsidRDefault="0038006D" w:rsidP="007248E4">
      <w:pPr>
        <w:pStyle w:val="Heading1"/>
        <w:numPr>
          <w:ilvl w:val="0"/>
          <w:numId w:val="3"/>
        </w:numPr>
        <w:rPr>
          <w:rFonts w:ascii="Arial" w:hAnsi="Arial" w:cs="Arial"/>
          <w:sz w:val="24"/>
          <w:szCs w:val="24"/>
        </w:rPr>
      </w:pPr>
      <w:bookmarkStart w:id="31" w:name="_Ref373505215"/>
      <w:bookmarkStart w:id="32" w:name="_Toc381969513"/>
      <w:bookmarkStart w:id="33" w:name="_Toc405888462"/>
      <w:bookmarkStart w:id="34" w:name="_Toc496603078"/>
      <w:r w:rsidRPr="003D6551">
        <w:rPr>
          <w:rFonts w:ascii="Arial" w:hAnsi="Arial" w:cs="Arial"/>
          <w:sz w:val="24"/>
          <w:szCs w:val="24"/>
        </w:rPr>
        <w:t>Timetable</w:t>
      </w:r>
      <w:bookmarkEnd w:id="29"/>
      <w:bookmarkEnd w:id="31"/>
      <w:bookmarkEnd w:id="32"/>
      <w:bookmarkEnd w:id="33"/>
      <w:bookmarkEnd w:id="34"/>
    </w:p>
    <w:p w14:paraId="0F755DEB" w14:textId="77777777" w:rsidR="00DD521A" w:rsidRDefault="00DD521A" w:rsidP="00DD521A">
      <w:pPr>
        <w:pStyle w:val="Norma1"/>
      </w:pPr>
    </w:p>
    <w:p w14:paraId="2AA4DE06" w14:textId="1677E98D" w:rsidR="004B2557" w:rsidRPr="002133A0" w:rsidRDefault="004B2557" w:rsidP="004B2557">
      <w:pPr>
        <w:spacing w:line="264" w:lineRule="auto"/>
        <w:rPr>
          <w:rFonts w:ascii="Arial" w:hAnsi="Arial" w:cs="Arial"/>
          <w:sz w:val="22"/>
          <w:szCs w:val="22"/>
        </w:rPr>
      </w:pPr>
      <w:r w:rsidRPr="002133A0">
        <w:rPr>
          <w:rFonts w:ascii="Arial" w:hAnsi="Arial" w:cs="Arial"/>
          <w:sz w:val="22"/>
          <w:szCs w:val="22"/>
        </w:rPr>
        <w:t>An indicative timeline for deliverables is presented below. The contractors can propose modifications to the timeline to better suit their analysis if appropriate, though the final submission date must remain the same. Any proposed modific</w:t>
      </w:r>
      <w:r w:rsidR="00C62E6E">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11E6596F" w14:textId="77777777" w:rsidR="004B2557" w:rsidRDefault="004B2557" w:rsidP="004B2557">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CE3B51" w14:paraId="520C45CA" w14:textId="77777777" w:rsidTr="00BD3178">
        <w:trPr>
          <w:trHeight w:val="273"/>
          <w:tblHeader/>
        </w:trPr>
        <w:tc>
          <w:tcPr>
            <w:tcW w:w="1545" w:type="dxa"/>
            <w:tcBorders>
              <w:bottom w:val="single" w:sz="12" w:space="0" w:color="000000"/>
            </w:tcBorders>
            <w:shd w:val="solid" w:color="808080" w:fill="FFFFFF"/>
          </w:tcPr>
          <w:p w14:paraId="4D01B537" w14:textId="77777777" w:rsidR="004B2557" w:rsidRPr="00874A2A" w:rsidRDefault="004B2557" w:rsidP="00E90E9D">
            <w:pPr>
              <w:keepNext/>
              <w:keepLines/>
              <w:spacing w:after="120"/>
              <w:jc w:val="both"/>
              <w:rPr>
                <w:rFonts w:ascii="Arial" w:hAnsi="Arial" w:cs="Arial"/>
                <w:b/>
                <w:bCs/>
                <w:color w:val="FFFFFF"/>
                <w:sz w:val="22"/>
                <w:szCs w:val="22"/>
              </w:rPr>
            </w:pPr>
            <w:r w:rsidRPr="00874A2A">
              <w:rPr>
                <w:rFonts w:ascii="Arial" w:hAnsi="Arial" w:cs="Arial"/>
                <w:b/>
                <w:bCs/>
                <w:color w:val="FFFFFF"/>
                <w:sz w:val="22"/>
                <w:szCs w:val="22"/>
              </w:rPr>
              <w:t>Phase</w:t>
            </w:r>
          </w:p>
        </w:tc>
        <w:tc>
          <w:tcPr>
            <w:tcW w:w="4252" w:type="dxa"/>
            <w:tcBorders>
              <w:bottom w:val="single" w:sz="12" w:space="0" w:color="000000"/>
            </w:tcBorders>
            <w:shd w:val="solid" w:color="808080" w:fill="FFFFFF"/>
          </w:tcPr>
          <w:p w14:paraId="5591DA2B" w14:textId="77777777" w:rsidR="004B2557" w:rsidRPr="00874A2A" w:rsidRDefault="004B2557" w:rsidP="00E90E9D">
            <w:pPr>
              <w:keepNext/>
              <w:keepLines/>
              <w:spacing w:after="120"/>
              <w:jc w:val="both"/>
              <w:rPr>
                <w:rFonts w:ascii="Arial" w:hAnsi="Arial" w:cs="Arial"/>
                <w:b/>
                <w:bCs/>
                <w:color w:val="FFFFFF"/>
                <w:sz w:val="22"/>
                <w:szCs w:val="22"/>
              </w:rPr>
            </w:pPr>
            <w:r w:rsidRPr="00874A2A">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576B7FA2" w14:textId="77777777" w:rsidR="004B2557" w:rsidRPr="00874A2A" w:rsidRDefault="004B2557" w:rsidP="00E90E9D">
            <w:pPr>
              <w:keepNext/>
              <w:keepLines/>
              <w:spacing w:after="120"/>
              <w:jc w:val="both"/>
              <w:rPr>
                <w:rFonts w:ascii="Arial" w:hAnsi="Arial" w:cs="Arial"/>
                <w:b/>
                <w:bCs/>
                <w:color w:val="FFFFFF"/>
                <w:sz w:val="22"/>
                <w:szCs w:val="22"/>
              </w:rPr>
            </w:pPr>
            <w:r w:rsidRPr="00874A2A">
              <w:rPr>
                <w:rFonts w:ascii="Arial" w:hAnsi="Arial" w:cs="Arial"/>
                <w:b/>
                <w:bCs/>
                <w:color w:val="FFFFFF"/>
                <w:sz w:val="22"/>
                <w:szCs w:val="22"/>
              </w:rPr>
              <w:t>Date</w:t>
            </w:r>
          </w:p>
        </w:tc>
      </w:tr>
      <w:tr w:rsidR="004B2557" w:rsidRPr="00CE3B51" w14:paraId="2BCB5789" w14:textId="77777777" w:rsidTr="00954CA3">
        <w:tc>
          <w:tcPr>
            <w:tcW w:w="1545" w:type="dxa"/>
            <w:shd w:val="clear" w:color="auto" w:fill="auto"/>
          </w:tcPr>
          <w:p w14:paraId="3BDE2B5A" w14:textId="77777777" w:rsidR="004B2557" w:rsidRPr="00874A2A" w:rsidRDefault="004B2557" w:rsidP="00E90E9D">
            <w:pPr>
              <w:keepNext/>
              <w:keepLines/>
              <w:spacing w:after="120" w:line="276" w:lineRule="auto"/>
              <w:jc w:val="both"/>
              <w:rPr>
                <w:rFonts w:ascii="Arial" w:hAnsi="Arial" w:cs="Arial"/>
                <w:sz w:val="22"/>
                <w:szCs w:val="22"/>
              </w:rPr>
            </w:pPr>
            <w:r w:rsidRPr="00874A2A">
              <w:rPr>
                <w:rFonts w:ascii="Arial" w:hAnsi="Arial" w:cs="Arial"/>
                <w:sz w:val="22"/>
                <w:szCs w:val="22"/>
              </w:rPr>
              <w:t>Bidding</w:t>
            </w:r>
          </w:p>
        </w:tc>
        <w:tc>
          <w:tcPr>
            <w:tcW w:w="4252" w:type="dxa"/>
            <w:shd w:val="clear" w:color="auto" w:fill="auto"/>
          </w:tcPr>
          <w:p w14:paraId="5531F4C9" w14:textId="77777777" w:rsidR="004B2557" w:rsidRPr="00874A2A" w:rsidRDefault="004B2557" w:rsidP="00E90E9D">
            <w:pPr>
              <w:keepNext/>
              <w:keepLines/>
              <w:spacing w:after="120" w:line="276" w:lineRule="auto"/>
              <w:jc w:val="both"/>
              <w:rPr>
                <w:rFonts w:ascii="Arial" w:hAnsi="Arial" w:cs="Arial"/>
                <w:sz w:val="22"/>
                <w:szCs w:val="22"/>
              </w:rPr>
            </w:pPr>
            <w:r w:rsidRPr="00874A2A">
              <w:rPr>
                <w:rFonts w:ascii="Arial" w:hAnsi="Arial" w:cs="Arial"/>
                <w:sz w:val="22"/>
                <w:szCs w:val="22"/>
              </w:rPr>
              <w:t>Bids received</w:t>
            </w:r>
          </w:p>
        </w:tc>
        <w:tc>
          <w:tcPr>
            <w:tcW w:w="2675" w:type="dxa"/>
            <w:shd w:val="clear" w:color="auto" w:fill="auto"/>
          </w:tcPr>
          <w:p w14:paraId="78889BBB" w14:textId="68049A5B" w:rsidR="004B2557" w:rsidRPr="00874A2A" w:rsidRDefault="00D76CC4" w:rsidP="00E90E9D">
            <w:pPr>
              <w:keepNext/>
              <w:keepLines/>
              <w:spacing w:after="120" w:line="276" w:lineRule="auto"/>
              <w:jc w:val="both"/>
              <w:rPr>
                <w:rFonts w:ascii="Arial" w:hAnsi="Arial" w:cs="Arial"/>
                <w:sz w:val="22"/>
                <w:szCs w:val="22"/>
              </w:rPr>
            </w:pPr>
            <w:r w:rsidRPr="00CE3B51">
              <w:rPr>
                <w:rFonts w:ascii="Arial" w:hAnsi="Arial" w:cs="Arial"/>
                <w:sz w:val="22"/>
                <w:szCs w:val="22"/>
              </w:rPr>
              <w:t>17</w:t>
            </w:r>
            <w:r w:rsidRPr="00CE3B51">
              <w:rPr>
                <w:rFonts w:ascii="Arial" w:hAnsi="Arial" w:cs="Arial"/>
                <w:sz w:val="22"/>
                <w:szCs w:val="22"/>
                <w:vertAlign w:val="superscript"/>
              </w:rPr>
              <w:t>th</w:t>
            </w:r>
            <w:r w:rsidRPr="00CE3B51">
              <w:rPr>
                <w:rFonts w:ascii="Arial" w:hAnsi="Arial" w:cs="Arial"/>
                <w:sz w:val="22"/>
                <w:szCs w:val="22"/>
              </w:rPr>
              <w:t xml:space="preserve"> September 2018</w:t>
            </w:r>
          </w:p>
        </w:tc>
      </w:tr>
      <w:tr w:rsidR="004B2557" w:rsidRPr="00CE3B51" w14:paraId="05DD2149" w14:textId="77777777" w:rsidTr="00954CA3">
        <w:tc>
          <w:tcPr>
            <w:tcW w:w="1545" w:type="dxa"/>
            <w:shd w:val="clear" w:color="auto" w:fill="auto"/>
          </w:tcPr>
          <w:p w14:paraId="32E9ED53" w14:textId="77777777" w:rsidR="004B2557" w:rsidRPr="00874A2A" w:rsidRDefault="004B2557" w:rsidP="00E90E9D">
            <w:pPr>
              <w:keepNext/>
              <w:keepLines/>
              <w:spacing w:after="120" w:line="276" w:lineRule="auto"/>
              <w:jc w:val="both"/>
              <w:rPr>
                <w:rFonts w:ascii="Arial" w:hAnsi="Arial" w:cs="Arial"/>
                <w:sz w:val="22"/>
                <w:szCs w:val="22"/>
              </w:rPr>
            </w:pPr>
          </w:p>
        </w:tc>
        <w:tc>
          <w:tcPr>
            <w:tcW w:w="4252" w:type="dxa"/>
            <w:shd w:val="clear" w:color="auto" w:fill="auto"/>
          </w:tcPr>
          <w:p w14:paraId="534258BA" w14:textId="77777777" w:rsidR="004B2557" w:rsidRPr="00874A2A" w:rsidRDefault="004B2557" w:rsidP="00E90E9D">
            <w:pPr>
              <w:keepNext/>
              <w:keepLines/>
              <w:spacing w:after="120" w:line="276" w:lineRule="auto"/>
              <w:jc w:val="both"/>
              <w:rPr>
                <w:rFonts w:ascii="Arial" w:hAnsi="Arial" w:cs="Arial"/>
                <w:sz w:val="22"/>
                <w:szCs w:val="22"/>
              </w:rPr>
            </w:pPr>
            <w:r w:rsidRPr="00874A2A">
              <w:rPr>
                <w:rFonts w:ascii="Arial" w:hAnsi="Arial" w:cs="Arial"/>
                <w:sz w:val="22"/>
                <w:szCs w:val="22"/>
              </w:rPr>
              <w:t>Interviews conducted</w:t>
            </w:r>
          </w:p>
        </w:tc>
        <w:tc>
          <w:tcPr>
            <w:tcW w:w="2675" w:type="dxa"/>
            <w:shd w:val="clear" w:color="auto" w:fill="auto"/>
          </w:tcPr>
          <w:p w14:paraId="3352ADAA" w14:textId="636E13CC" w:rsidR="004B2557" w:rsidRPr="00874A2A" w:rsidRDefault="00D76CC4" w:rsidP="00E90E9D">
            <w:pPr>
              <w:keepNext/>
              <w:keepLines/>
              <w:spacing w:after="120" w:line="276" w:lineRule="auto"/>
              <w:jc w:val="both"/>
              <w:rPr>
                <w:rFonts w:ascii="Arial" w:hAnsi="Arial" w:cs="Arial"/>
                <w:sz w:val="22"/>
                <w:szCs w:val="22"/>
              </w:rPr>
            </w:pPr>
            <w:r w:rsidRPr="00CE3B51">
              <w:rPr>
                <w:rFonts w:ascii="Arial" w:hAnsi="Arial" w:cs="Arial"/>
                <w:sz w:val="22"/>
                <w:szCs w:val="22"/>
              </w:rPr>
              <w:t>w/c 1</w:t>
            </w:r>
            <w:r w:rsidRPr="00CE3B51">
              <w:rPr>
                <w:rFonts w:ascii="Arial" w:hAnsi="Arial" w:cs="Arial"/>
                <w:sz w:val="22"/>
                <w:szCs w:val="22"/>
                <w:vertAlign w:val="superscript"/>
              </w:rPr>
              <w:t>st</w:t>
            </w:r>
            <w:r w:rsidRPr="00CE3B51">
              <w:rPr>
                <w:rFonts w:ascii="Arial" w:hAnsi="Arial" w:cs="Arial"/>
                <w:sz w:val="22"/>
                <w:szCs w:val="22"/>
              </w:rPr>
              <w:t xml:space="preserve">  October 2018</w:t>
            </w:r>
          </w:p>
        </w:tc>
      </w:tr>
      <w:tr w:rsidR="00D76CC4" w:rsidRPr="00CE3B51" w14:paraId="35983DF7" w14:textId="77777777" w:rsidTr="00954CA3">
        <w:tc>
          <w:tcPr>
            <w:tcW w:w="1545" w:type="dxa"/>
            <w:shd w:val="clear" w:color="auto" w:fill="auto"/>
          </w:tcPr>
          <w:p w14:paraId="0F52AEC9" w14:textId="77777777" w:rsidR="00D76CC4" w:rsidRPr="00874A2A" w:rsidRDefault="00D76CC4" w:rsidP="00D76CC4">
            <w:pPr>
              <w:keepNext/>
              <w:keepLines/>
              <w:spacing w:after="120" w:line="276" w:lineRule="auto"/>
              <w:jc w:val="both"/>
              <w:rPr>
                <w:rFonts w:ascii="Arial" w:hAnsi="Arial" w:cs="Arial"/>
                <w:sz w:val="22"/>
                <w:szCs w:val="22"/>
              </w:rPr>
            </w:pPr>
          </w:p>
        </w:tc>
        <w:tc>
          <w:tcPr>
            <w:tcW w:w="4252" w:type="dxa"/>
            <w:shd w:val="clear" w:color="auto" w:fill="auto"/>
          </w:tcPr>
          <w:p w14:paraId="72081083" w14:textId="77777777" w:rsidR="00D76CC4" w:rsidRPr="00874A2A" w:rsidRDefault="00D76CC4" w:rsidP="00D76CC4">
            <w:pPr>
              <w:keepNext/>
              <w:keepLines/>
              <w:spacing w:after="120" w:line="276" w:lineRule="auto"/>
              <w:jc w:val="both"/>
              <w:rPr>
                <w:rFonts w:ascii="Arial" w:hAnsi="Arial" w:cs="Arial"/>
                <w:sz w:val="22"/>
                <w:szCs w:val="22"/>
              </w:rPr>
            </w:pPr>
            <w:r w:rsidRPr="00874A2A">
              <w:rPr>
                <w:rFonts w:ascii="Arial" w:hAnsi="Arial" w:cs="Arial"/>
                <w:sz w:val="22"/>
                <w:szCs w:val="22"/>
              </w:rPr>
              <w:t>Contract awarded</w:t>
            </w:r>
          </w:p>
        </w:tc>
        <w:tc>
          <w:tcPr>
            <w:tcW w:w="2675" w:type="dxa"/>
            <w:shd w:val="clear" w:color="auto" w:fill="auto"/>
          </w:tcPr>
          <w:p w14:paraId="3A6E53F9" w14:textId="0C8C6CC6" w:rsidR="00D76CC4" w:rsidRPr="00874A2A" w:rsidRDefault="00D76CC4" w:rsidP="00D76CC4">
            <w:pPr>
              <w:keepNext/>
              <w:keepLines/>
              <w:spacing w:after="120" w:line="276" w:lineRule="auto"/>
              <w:jc w:val="both"/>
              <w:rPr>
                <w:rFonts w:ascii="Arial" w:hAnsi="Arial" w:cs="Arial"/>
                <w:sz w:val="22"/>
                <w:szCs w:val="22"/>
              </w:rPr>
            </w:pPr>
            <w:r w:rsidRPr="00CE3B51">
              <w:rPr>
                <w:rFonts w:ascii="Arial" w:hAnsi="Arial" w:cs="Arial"/>
                <w:sz w:val="22"/>
                <w:szCs w:val="22"/>
              </w:rPr>
              <w:t>5</w:t>
            </w:r>
            <w:r w:rsidRPr="00CE3B51">
              <w:rPr>
                <w:rFonts w:ascii="Arial" w:hAnsi="Arial" w:cs="Arial"/>
                <w:sz w:val="22"/>
                <w:szCs w:val="22"/>
                <w:vertAlign w:val="superscript"/>
              </w:rPr>
              <w:t>th</w:t>
            </w:r>
            <w:r w:rsidRPr="00CE3B51">
              <w:rPr>
                <w:rFonts w:ascii="Arial" w:hAnsi="Arial" w:cs="Arial"/>
                <w:sz w:val="22"/>
                <w:szCs w:val="22"/>
              </w:rPr>
              <w:t xml:space="preserve"> October 2018</w:t>
            </w:r>
          </w:p>
        </w:tc>
      </w:tr>
      <w:tr w:rsidR="00D76CC4" w:rsidRPr="00CE3B51" w14:paraId="5D85C299" w14:textId="77777777" w:rsidTr="00954CA3">
        <w:tc>
          <w:tcPr>
            <w:tcW w:w="1545" w:type="dxa"/>
            <w:shd w:val="clear" w:color="auto" w:fill="auto"/>
          </w:tcPr>
          <w:p w14:paraId="62BF1CB2" w14:textId="77777777" w:rsidR="00D76CC4" w:rsidRPr="00874A2A" w:rsidRDefault="00D76CC4" w:rsidP="00D76CC4">
            <w:pPr>
              <w:keepNext/>
              <w:keepLines/>
              <w:spacing w:after="120" w:line="276" w:lineRule="auto"/>
              <w:jc w:val="both"/>
              <w:rPr>
                <w:rFonts w:ascii="Arial" w:hAnsi="Arial" w:cs="Arial"/>
                <w:sz w:val="22"/>
                <w:szCs w:val="22"/>
              </w:rPr>
            </w:pPr>
          </w:p>
        </w:tc>
        <w:tc>
          <w:tcPr>
            <w:tcW w:w="4252" w:type="dxa"/>
            <w:shd w:val="clear" w:color="auto" w:fill="auto"/>
          </w:tcPr>
          <w:p w14:paraId="58BCB6FF" w14:textId="6F874C48" w:rsidR="00D76CC4" w:rsidRPr="00874A2A" w:rsidRDefault="00D76CC4" w:rsidP="00D76CC4">
            <w:pPr>
              <w:keepNext/>
              <w:keepLines/>
              <w:spacing w:after="120" w:line="276" w:lineRule="auto"/>
              <w:jc w:val="both"/>
              <w:rPr>
                <w:rFonts w:ascii="Arial" w:hAnsi="Arial" w:cs="Arial"/>
                <w:sz w:val="22"/>
                <w:szCs w:val="22"/>
              </w:rPr>
            </w:pPr>
            <w:r w:rsidRPr="00874A2A">
              <w:rPr>
                <w:rFonts w:ascii="Arial" w:hAnsi="Arial" w:cs="Arial"/>
                <w:sz w:val="22"/>
                <w:szCs w:val="22"/>
              </w:rPr>
              <w:t>Kick-off meeting</w:t>
            </w:r>
          </w:p>
        </w:tc>
        <w:tc>
          <w:tcPr>
            <w:tcW w:w="2675" w:type="dxa"/>
            <w:shd w:val="clear" w:color="auto" w:fill="auto"/>
          </w:tcPr>
          <w:p w14:paraId="5AC548C6" w14:textId="34866B28" w:rsidR="00D76CC4" w:rsidRPr="00CE3B51" w:rsidRDefault="00D76CC4" w:rsidP="00D76CC4">
            <w:pPr>
              <w:keepNext/>
              <w:keepLines/>
              <w:spacing w:after="120" w:line="276" w:lineRule="auto"/>
              <w:jc w:val="both"/>
              <w:rPr>
                <w:rFonts w:ascii="Arial" w:hAnsi="Arial" w:cs="Arial"/>
                <w:sz w:val="22"/>
                <w:szCs w:val="22"/>
              </w:rPr>
            </w:pPr>
            <w:r w:rsidRPr="00CE3B51">
              <w:rPr>
                <w:rFonts w:ascii="Arial" w:hAnsi="Arial" w:cs="Arial"/>
                <w:sz w:val="22"/>
                <w:szCs w:val="22"/>
              </w:rPr>
              <w:t>w/c 8</w:t>
            </w:r>
            <w:r w:rsidRPr="00CE3B51">
              <w:rPr>
                <w:rFonts w:ascii="Arial" w:hAnsi="Arial" w:cs="Arial"/>
                <w:sz w:val="22"/>
                <w:szCs w:val="22"/>
                <w:vertAlign w:val="superscript"/>
              </w:rPr>
              <w:t>th</w:t>
            </w:r>
            <w:r w:rsidRPr="00CE3B51">
              <w:rPr>
                <w:rFonts w:ascii="Arial" w:hAnsi="Arial" w:cs="Arial"/>
                <w:sz w:val="22"/>
                <w:szCs w:val="22"/>
              </w:rPr>
              <w:t xml:space="preserve">  October 2018</w:t>
            </w:r>
          </w:p>
        </w:tc>
      </w:tr>
      <w:tr w:rsidR="00807B62" w:rsidRPr="00CE3B51" w14:paraId="37E9E9E5" w14:textId="77777777" w:rsidTr="004F5DE1">
        <w:trPr>
          <w:trHeight w:val="406"/>
        </w:trPr>
        <w:tc>
          <w:tcPr>
            <w:tcW w:w="1545" w:type="dxa"/>
            <w:shd w:val="clear" w:color="auto" w:fill="auto"/>
          </w:tcPr>
          <w:p w14:paraId="5357A063" w14:textId="77777777" w:rsidR="00807B62" w:rsidRPr="00CE3B51" w:rsidRDefault="00807B62" w:rsidP="004F5DE1">
            <w:pPr>
              <w:keepNext/>
              <w:keepLines/>
              <w:spacing w:after="120" w:line="276" w:lineRule="auto"/>
              <w:rPr>
                <w:rFonts w:ascii="Arial" w:hAnsi="Arial" w:cs="Arial"/>
                <w:sz w:val="22"/>
                <w:szCs w:val="22"/>
              </w:rPr>
            </w:pPr>
            <w:r w:rsidRPr="00CE3B51">
              <w:rPr>
                <w:rFonts w:ascii="Arial" w:hAnsi="Arial" w:cs="Arial"/>
                <w:sz w:val="22"/>
                <w:szCs w:val="22"/>
              </w:rPr>
              <w:t>Project development</w:t>
            </w:r>
          </w:p>
        </w:tc>
        <w:tc>
          <w:tcPr>
            <w:tcW w:w="4252" w:type="dxa"/>
            <w:tcBorders>
              <w:bottom w:val="single" w:sz="4" w:space="0" w:color="auto"/>
            </w:tcBorders>
            <w:shd w:val="clear" w:color="auto" w:fill="auto"/>
          </w:tcPr>
          <w:p w14:paraId="63B0C8C2" w14:textId="77777777" w:rsidR="00807B62" w:rsidRPr="00CE3B51" w:rsidRDefault="00807B62" w:rsidP="004F5DE1">
            <w:pPr>
              <w:keepNext/>
              <w:keepLines/>
              <w:spacing w:after="120" w:line="276" w:lineRule="auto"/>
              <w:jc w:val="both"/>
              <w:rPr>
                <w:rFonts w:ascii="Arial" w:hAnsi="Arial" w:cs="Arial"/>
                <w:sz w:val="22"/>
                <w:szCs w:val="22"/>
              </w:rPr>
            </w:pPr>
            <w:r w:rsidRPr="00CE3B51">
              <w:rPr>
                <w:rFonts w:ascii="Arial" w:hAnsi="Arial" w:cs="Arial"/>
                <w:sz w:val="22"/>
                <w:szCs w:val="22"/>
              </w:rPr>
              <w:t>Method development - Draft Method Document</w:t>
            </w:r>
          </w:p>
        </w:tc>
        <w:tc>
          <w:tcPr>
            <w:tcW w:w="2675" w:type="dxa"/>
            <w:tcBorders>
              <w:bottom w:val="single" w:sz="4" w:space="0" w:color="auto"/>
            </w:tcBorders>
            <w:shd w:val="clear" w:color="auto" w:fill="auto"/>
          </w:tcPr>
          <w:p w14:paraId="1012AFAB" w14:textId="77777777" w:rsidR="00807B62" w:rsidRPr="00CE3B51" w:rsidRDefault="00807B62" w:rsidP="004F5DE1">
            <w:pPr>
              <w:keepNext/>
              <w:keepLines/>
              <w:spacing w:after="120" w:line="276" w:lineRule="auto"/>
              <w:jc w:val="both"/>
              <w:rPr>
                <w:rFonts w:ascii="Arial" w:hAnsi="Arial" w:cs="Arial"/>
                <w:sz w:val="22"/>
                <w:szCs w:val="22"/>
              </w:rPr>
            </w:pPr>
            <w:r w:rsidRPr="00CE3B51">
              <w:rPr>
                <w:rFonts w:ascii="Arial" w:hAnsi="Arial" w:cs="Arial"/>
                <w:sz w:val="22"/>
                <w:szCs w:val="22"/>
              </w:rPr>
              <w:t>w/c 29</w:t>
            </w:r>
            <w:r w:rsidRPr="00CE3B51">
              <w:rPr>
                <w:rFonts w:ascii="Arial" w:hAnsi="Arial" w:cs="Arial"/>
                <w:sz w:val="22"/>
                <w:szCs w:val="22"/>
                <w:vertAlign w:val="superscript"/>
              </w:rPr>
              <w:t>th</w:t>
            </w:r>
            <w:r w:rsidRPr="00CE3B51">
              <w:rPr>
                <w:rFonts w:ascii="Arial" w:hAnsi="Arial" w:cs="Arial"/>
                <w:sz w:val="22"/>
                <w:szCs w:val="22"/>
              </w:rPr>
              <w:t xml:space="preserve"> October 2018</w:t>
            </w:r>
          </w:p>
        </w:tc>
      </w:tr>
      <w:tr w:rsidR="00807B62" w:rsidRPr="00CE3B51" w14:paraId="7D5624D7" w14:textId="77777777" w:rsidTr="004F5DE1">
        <w:trPr>
          <w:trHeight w:val="406"/>
        </w:trPr>
        <w:tc>
          <w:tcPr>
            <w:tcW w:w="1545" w:type="dxa"/>
            <w:shd w:val="clear" w:color="auto" w:fill="auto"/>
          </w:tcPr>
          <w:p w14:paraId="23BEC791" w14:textId="77777777" w:rsidR="00807B62" w:rsidRPr="00CE3B51" w:rsidRDefault="00807B62" w:rsidP="004F5DE1">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68FAC331" w14:textId="77777777" w:rsidR="00807B62" w:rsidRPr="00CE3B51" w:rsidRDefault="00807B62" w:rsidP="004F5DE1">
            <w:pPr>
              <w:keepNext/>
              <w:keepLines/>
              <w:spacing w:after="120" w:line="276" w:lineRule="auto"/>
              <w:jc w:val="both"/>
              <w:rPr>
                <w:rFonts w:ascii="Arial" w:hAnsi="Arial" w:cs="Arial"/>
                <w:sz w:val="22"/>
                <w:szCs w:val="22"/>
              </w:rPr>
            </w:pPr>
            <w:r w:rsidRPr="00CE3B51">
              <w:rPr>
                <w:rFonts w:ascii="Arial" w:hAnsi="Arial" w:cs="Arial"/>
                <w:sz w:val="22"/>
                <w:szCs w:val="22"/>
              </w:rPr>
              <w:t>Method development - Final Method Document</w:t>
            </w:r>
          </w:p>
        </w:tc>
        <w:tc>
          <w:tcPr>
            <w:tcW w:w="2675" w:type="dxa"/>
            <w:tcBorders>
              <w:bottom w:val="single" w:sz="4" w:space="0" w:color="auto"/>
            </w:tcBorders>
            <w:shd w:val="clear" w:color="auto" w:fill="auto"/>
          </w:tcPr>
          <w:p w14:paraId="771F0D82" w14:textId="77777777" w:rsidR="00807B62" w:rsidRPr="00CE3B51" w:rsidRDefault="00807B62" w:rsidP="004F5DE1">
            <w:pPr>
              <w:keepNext/>
              <w:keepLines/>
              <w:spacing w:after="120" w:line="276" w:lineRule="auto"/>
              <w:jc w:val="both"/>
              <w:rPr>
                <w:rFonts w:ascii="Arial" w:hAnsi="Arial" w:cs="Arial"/>
                <w:sz w:val="22"/>
                <w:szCs w:val="22"/>
              </w:rPr>
            </w:pPr>
            <w:r w:rsidRPr="00CE3B51">
              <w:rPr>
                <w:rFonts w:ascii="Arial" w:hAnsi="Arial" w:cs="Arial"/>
                <w:sz w:val="22"/>
                <w:szCs w:val="22"/>
              </w:rPr>
              <w:t>w/c 19</w:t>
            </w:r>
            <w:r w:rsidRPr="00CE3B51">
              <w:rPr>
                <w:rFonts w:ascii="Arial" w:hAnsi="Arial" w:cs="Arial"/>
                <w:sz w:val="22"/>
                <w:szCs w:val="22"/>
                <w:vertAlign w:val="superscript"/>
              </w:rPr>
              <w:t>th</w:t>
            </w:r>
            <w:r w:rsidRPr="00CE3B51">
              <w:rPr>
                <w:rFonts w:ascii="Arial" w:hAnsi="Arial" w:cs="Arial"/>
                <w:sz w:val="22"/>
                <w:szCs w:val="22"/>
              </w:rPr>
              <w:t xml:space="preserve"> November 2018</w:t>
            </w:r>
          </w:p>
        </w:tc>
      </w:tr>
      <w:tr w:rsidR="00807B62" w:rsidRPr="00CE3B51" w14:paraId="4673FBB7" w14:textId="77777777" w:rsidTr="004F5DE1">
        <w:trPr>
          <w:trHeight w:val="406"/>
        </w:trPr>
        <w:tc>
          <w:tcPr>
            <w:tcW w:w="1545" w:type="dxa"/>
            <w:shd w:val="clear" w:color="auto" w:fill="auto"/>
          </w:tcPr>
          <w:p w14:paraId="6CD04C9B" w14:textId="77777777" w:rsidR="00807B62" w:rsidRPr="00CE3B51" w:rsidRDefault="00807B62" w:rsidP="004F5DE1">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0E17C3EF" w14:textId="77777777" w:rsidR="00807B62" w:rsidRPr="00CE3B51" w:rsidRDefault="00807B62" w:rsidP="004F5DE1">
            <w:pPr>
              <w:keepNext/>
              <w:keepLines/>
              <w:spacing w:after="120" w:line="276" w:lineRule="auto"/>
              <w:jc w:val="both"/>
              <w:rPr>
                <w:rFonts w:ascii="Arial" w:hAnsi="Arial" w:cs="Arial"/>
                <w:sz w:val="22"/>
                <w:szCs w:val="22"/>
              </w:rPr>
            </w:pPr>
            <w:r w:rsidRPr="00CE3B51">
              <w:rPr>
                <w:rFonts w:ascii="Arial" w:hAnsi="Arial" w:cs="Arial"/>
                <w:sz w:val="22"/>
                <w:szCs w:val="22"/>
              </w:rPr>
              <w:t>Analysis undertaken</w:t>
            </w:r>
          </w:p>
        </w:tc>
        <w:tc>
          <w:tcPr>
            <w:tcW w:w="2675" w:type="dxa"/>
            <w:tcBorders>
              <w:bottom w:val="single" w:sz="4" w:space="0" w:color="auto"/>
            </w:tcBorders>
            <w:shd w:val="clear" w:color="auto" w:fill="auto"/>
          </w:tcPr>
          <w:p w14:paraId="40C45169" w14:textId="77777777" w:rsidR="00807B62" w:rsidRPr="00CE3B51" w:rsidRDefault="00807B62" w:rsidP="004F5DE1">
            <w:pPr>
              <w:keepNext/>
              <w:keepLines/>
              <w:spacing w:after="120" w:line="276" w:lineRule="auto"/>
              <w:jc w:val="both"/>
              <w:rPr>
                <w:rFonts w:ascii="Arial" w:hAnsi="Arial" w:cs="Arial"/>
                <w:sz w:val="22"/>
                <w:szCs w:val="22"/>
              </w:rPr>
            </w:pPr>
            <w:r w:rsidRPr="00CE3B51">
              <w:rPr>
                <w:rFonts w:ascii="Arial" w:hAnsi="Arial" w:cs="Arial"/>
                <w:sz w:val="22"/>
                <w:szCs w:val="22"/>
              </w:rPr>
              <w:t>November 2018 to October 2019</w:t>
            </w:r>
          </w:p>
        </w:tc>
      </w:tr>
      <w:tr w:rsidR="00D76CC4" w:rsidRPr="00CE3B51" w14:paraId="08D9779D" w14:textId="77777777" w:rsidTr="00954CA3">
        <w:tc>
          <w:tcPr>
            <w:tcW w:w="1545" w:type="dxa"/>
            <w:shd w:val="clear" w:color="auto" w:fill="auto"/>
          </w:tcPr>
          <w:p w14:paraId="7A89C28D" w14:textId="77777777" w:rsidR="00D76CC4" w:rsidRPr="00874A2A" w:rsidRDefault="00D76CC4" w:rsidP="00D76CC4">
            <w:pPr>
              <w:keepNext/>
              <w:keepLines/>
              <w:spacing w:after="120" w:line="276" w:lineRule="auto"/>
              <w:jc w:val="both"/>
              <w:rPr>
                <w:rFonts w:ascii="Arial" w:hAnsi="Arial" w:cs="Arial"/>
                <w:sz w:val="22"/>
                <w:szCs w:val="22"/>
              </w:rPr>
            </w:pPr>
            <w:r w:rsidRPr="00874A2A">
              <w:rPr>
                <w:rFonts w:ascii="Arial" w:hAnsi="Arial" w:cs="Arial"/>
                <w:sz w:val="22"/>
                <w:szCs w:val="22"/>
              </w:rPr>
              <w:t>Reporting</w:t>
            </w:r>
          </w:p>
        </w:tc>
        <w:tc>
          <w:tcPr>
            <w:tcW w:w="4252" w:type="dxa"/>
            <w:tcBorders>
              <w:top w:val="single" w:sz="4" w:space="0" w:color="auto"/>
              <w:bottom w:val="single" w:sz="4" w:space="0" w:color="auto"/>
            </w:tcBorders>
            <w:shd w:val="clear" w:color="auto" w:fill="auto"/>
          </w:tcPr>
          <w:p w14:paraId="11F9A2C5" w14:textId="0C63E5E9" w:rsidR="00D76CC4" w:rsidRPr="00874A2A" w:rsidRDefault="00CE3B51" w:rsidP="00F33A8D">
            <w:pPr>
              <w:keepNext/>
              <w:keepLines/>
              <w:spacing w:after="120" w:line="276" w:lineRule="auto"/>
              <w:rPr>
                <w:rFonts w:ascii="Arial" w:hAnsi="Arial" w:cs="Arial"/>
                <w:sz w:val="22"/>
                <w:szCs w:val="22"/>
              </w:rPr>
            </w:pPr>
            <w:r>
              <w:rPr>
                <w:rFonts w:ascii="Arial" w:hAnsi="Arial" w:cs="Arial"/>
                <w:sz w:val="22"/>
                <w:szCs w:val="22"/>
              </w:rPr>
              <w:t>First d</w:t>
            </w:r>
            <w:r w:rsidR="00D76CC4" w:rsidRPr="00874A2A">
              <w:rPr>
                <w:rFonts w:ascii="Arial" w:hAnsi="Arial" w:cs="Arial"/>
                <w:sz w:val="22"/>
                <w:szCs w:val="22"/>
              </w:rPr>
              <w:t>raft report to ASC</w:t>
            </w:r>
            <w:r>
              <w:rPr>
                <w:rFonts w:ascii="Arial" w:hAnsi="Arial" w:cs="Arial"/>
                <w:sz w:val="22"/>
                <w:szCs w:val="22"/>
              </w:rPr>
              <w:t xml:space="preserve"> for comments</w:t>
            </w:r>
          </w:p>
        </w:tc>
        <w:tc>
          <w:tcPr>
            <w:tcW w:w="2675" w:type="dxa"/>
            <w:tcBorders>
              <w:top w:val="single" w:sz="4" w:space="0" w:color="auto"/>
              <w:bottom w:val="single" w:sz="4" w:space="0" w:color="auto"/>
            </w:tcBorders>
            <w:shd w:val="clear" w:color="auto" w:fill="auto"/>
          </w:tcPr>
          <w:p w14:paraId="30E629AC" w14:textId="040DDF73" w:rsidR="00D76CC4" w:rsidRPr="00874A2A" w:rsidRDefault="00CE3B51" w:rsidP="00D76CC4">
            <w:pPr>
              <w:keepNext/>
              <w:keepLines/>
              <w:spacing w:after="120"/>
              <w:rPr>
                <w:rFonts w:ascii="Arial" w:hAnsi="Arial" w:cs="Arial"/>
                <w:sz w:val="22"/>
                <w:szCs w:val="22"/>
              </w:rPr>
            </w:pPr>
            <w:r>
              <w:rPr>
                <w:rFonts w:ascii="Arial" w:hAnsi="Arial" w:cs="Arial"/>
                <w:sz w:val="22"/>
                <w:szCs w:val="22"/>
              </w:rPr>
              <w:t>26</w:t>
            </w:r>
            <w:r w:rsidRPr="00874A2A">
              <w:rPr>
                <w:rFonts w:ascii="Arial" w:hAnsi="Arial" w:cs="Arial"/>
                <w:sz w:val="22"/>
                <w:szCs w:val="22"/>
                <w:vertAlign w:val="superscript"/>
              </w:rPr>
              <w:t>th</w:t>
            </w:r>
            <w:r>
              <w:rPr>
                <w:rFonts w:ascii="Arial" w:hAnsi="Arial" w:cs="Arial"/>
                <w:sz w:val="22"/>
                <w:szCs w:val="22"/>
              </w:rPr>
              <w:t xml:space="preserve"> October</w:t>
            </w:r>
            <w:r w:rsidR="00807B62" w:rsidRPr="00874A2A">
              <w:rPr>
                <w:rFonts w:ascii="Arial" w:hAnsi="Arial" w:cs="Arial"/>
                <w:sz w:val="22"/>
                <w:szCs w:val="22"/>
              </w:rPr>
              <w:t xml:space="preserve"> 2019</w:t>
            </w:r>
          </w:p>
        </w:tc>
      </w:tr>
      <w:tr w:rsidR="00CE3B51" w:rsidRPr="00CE3B51" w14:paraId="40B7FF86" w14:textId="77777777" w:rsidTr="00954CA3">
        <w:tc>
          <w:tcPr>
            <w:tcW w:w="1545" w:type="dxa"/>
            <w:shd w:val="clear" w:color="auto" w:fill="auto"/>
          </w:tcPr>
          <w:p w14:paraId="55EE1C1B" w14:textId="77777777" w:rsidR="00CE3B51" w:rsidRPr="00CE3B51" w:rsidRDefault="00CE3B51" w:rsidP="00D76CC4">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AB910C0" w14:textId="17EBDE29" w:rsidR="00CE3B51" w:rsidRPr="00CE3B51" w:rsidRDefault="00CE3B51" w:rsidP="00D76CC4">
            <w:pPr>
              <w:keepNext/>
              <w:keepLines/>
              <w:spacing w:after="120" w:line="276" w:lineRule="auto"/>
              <w:rPr>
                <w:rFonts w:ascii="Arial" w:hAnsi="Arial" w:cs="Arial"/>
                <w:sz w:val="22"/>
                <w:szCs w:val="22"/>
              </w:rPr>
            </w:pPr>
            <w:r>
              <w:rPr>
                <w:rFonts w:ascii="Arial" w:hAnsi="Arial" w:cs="Arial"/>
                <w:sz w:val="22"/>
                <w:szCs w:val="22"/>
              </w:rPr>
              <w:t>Second draft report to ASC, chapter authors, steering group and peer reviewers for comments</w:t>
            </w:r>
          </w:p>
        </w:tc>
        <w:tc>
          <w:tcPr>
            <w:tcW w:w="2675" w:type="dxa"/>
            <w:tcBorders>
              <w:top w:val="single" w:sz="4" w:space="0" w:color="auto"/>
              <w:bottom w:val="single" w:sz="4" w:space="0" w:color="auto"/>
            </w:tcBorders>
            <w:shd w:val="clear" w:color="auto" w:fill="auto"/>
          </w:tcPr>
          <w:p w14:paraId="18C46088" w14:textId="4C6539CD" w:rsidR="00CE3B51" w:rsidRPr="00CE3B51" w:rsidRDefault="00CE3B51" w:rsidP="00D76CC4">
            <w:pPr>
              <w:keepNext/>
              <w:keepLines/>
              <w:spacing w:after="120"/>
              <w:rPr>
                <w:rFonts w:ascii="Arial" w:hAnsi="Arial" w:cs="Arial"/>
                <w:sz w:val="22"/>
                <w:szCs w:val="22"/>
              </w:rPr>
            </w:pPr>
            <w:r>
              <w:rPr>
                <w:rFonts w:ascii="Arial" w:hAnsi="Arial" w:cs="Arial"/>
                <w:sz w:val="22"/>
                <w:szCs w:val="22"/>
              </w:rPr>
              <w:t>26</w:t>
            </w:r>
            <w:r w:rsidRPr="00874A2A">
              <w:rPr>
                <w:rFonts w:ascii="Arial" w:hAnsi="Arial" w:cs="Arial"/>
                <w:sz w:val="22"/>
                <w:szCs w:val="22"/>
                <w:vertAlign w:val="superscript"/>
              </w:rPr>
              <w:t>th</w:t>
            </w:r>
            <w:r>
              <w:rPr>
                <w:rFonts w:ascii="Arial" w:hAnsi="Arial" w:cs="Arial"/>
                <w:sz w:val="22"/>
                <w:szCs w:val="22"/>
              </w:rPr>
              <w:t xml:space="preserve"> November 2019</w:t>
            </w:r>
          </w:p>
        </w:tc>
      </w:tr>
      <w:tr w:rsidR="00CE3B51" w:rsidRPr="00CE3B51" w14:paraId="39EBC465" w14:textId="77777777" w:rsidTr="00954CA3">
        <w:tc>
          <w:tcPr>
            <w:tcW w:w="1545" w:type="dxa"/>
            <w:shd w:val="clear" w:color="auto" w:fill="auto"/>
          </w:tcPr>
          <w:p w14:paraId="64847F79" w14:textId="77777777" w:rsidR="00CE3B51" w:rsidRPr="00CE3B51" w:rsidRDefault="00CE3B51" w:rsidP="00D76CC4">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4A1B28D6" w14:textId="6F77CEE5" w:rsidR="00CE3B51" w:rsidRPr="00417A97" w:rsidRDefault="00417A97" w:rsidP="00D76CC4">
            <w:pPr>
              <w:keepNext/>
              <w:keepLines/>
              <w:spacing w:after="120" w:line="276" w:lineRule="auto"/>
              <w:rPr>
                <w:rFonts w:ascii="Arial" w:hAnsi="Arial" w:cs="Arial"/>
                <w:sz w:val="22"/>
                <w:szCs w:val="22"/>
              </w:rPr>
            </w:pPr>
            <w:r>
              <w:rPr>
                <w:rFonts w:ascii="Arial" w:hAnsi="Arial" w:cs="Arial"/>
                <w:sz w:val="22"/>
                <w:szCs w:val="22"/>
              </w:rPr>
              <w:t xml:space="preserve">Final draft report for ASC </w:t>
            </w:r>
            <w:r w:rsidR="00F33A8D">
              <w:rPr>
                <w:rFonts w:ascii="Arial" w:hAnsi="Arial" w:cs="Arial"/>
                <w:sz w:val="22"/>
                <w:szCs w:val="22"/>
              </w:rPr>
              <w:t xml:space="preserve">final comments and </w:t>
            </w:r>
            <w:r>
              <w:rPr>
                <w:rFonts w:ascii="Arial" w:hAnsi="Arial" w:cs="Arial"/>
                <w:sz w:val="22"/>
                <w:szCs w:val="22"/>
              </w:rPr>
              <w:t>sign off</w:t>
            </w:r>
          </w:p>
        </w:tc>
        <w:tc>
          <w:tcPr>
            <w:tcW w:w="2675" w:type="dxa"/>
            <w:tcBorders>
              <w:top w:val="single" w:sz="4" w:space="0" w:color="auto"/>
              <w:bottom w:val="single" w:sz="4" w:space="0" w:color="auto"/>
            </w:tcBorders>
            <w:shd w:val="clear" w:color="auto" w:fill="auto"/>
          </w:tcPr>
          <w:p w14:paraId="0EFA7874" w14:textId="27B340C9" w:rsidR="00CE3B51" w:rsidRPr="00417A97" w:rsidRDefault="00417A97" w:rsidP="00D76CC4">
            <w:pPr>
              <w:keepNext/>
              <w:keepLines/>
              <w:spacing w:after="120"/>
              <w:rPr>
                <w:rFonts w:ascii="Arial" w:hAnsi="Arial" w:cs="Arial"/>
                <w:sz w:val="22"/>
                <w:szCs w:val="22"/>
              </w:rPr>
            </w:pPr>
            <w:r>
              <w:rPr>
                <w:rFonts w:ascii="Arial" w:hAnsi="Arial" w:cs="Arial"/>
                <w:sz w:val="22"/>
                <w:szCs w:val="22"/>
              </w:rPr>
              <w:t>4</w:t>
            </w:r>
            <w:r w:rsidRPr="00874A2A">
              <w:rPr>
                <w:rFonts w:ascii="Arial" w:hAnsi="Arial" w:cs="Arial"/>
                <w:sz w:val="22"/>
                <w:szCs w:val="22"/>
                <w:vertAlign w:val="superscript"/>
              </w:rPr>
              <w:t>th</w:t>
            </w:r>
            <w:r>
              <w:rPr>
                <w:rFonts w:ascii="Arial" w:hAnsi="Arial" w:cs="Arial"/>
                <w:sz w:val="22"/>
                <w:szCs w:val="22"/>
              </w:rPr>
              <w:t xml:space="preserve"> January 2020</w:t>
            </w:r>
          </w:p>
        </w:tc>
      </w:tr>
      <w:tr w:rsidR="00D76CC4" w:rsidRPr="00CE3B51" w14:paraId="3D7497EF" w14:textId="77777777" w:rsidTr="00954CA3">
        <w:tc>
          <w:tcPr>
            <w:tcW w:w="1545" w:type="dxa"/>
            <w:shd w:val="clear" w:color="auto" w:fill="auto"/>
          </w:tcPr>
          <w:p w14:paraId="19CE8A7E" w14:textId="77777777" w:rsidR="00D76CC4" w:rsidRPr="00874A2A" w:rsidRDefault="00D76CC4" w:rsidP="00D76CC4">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3A3D00D" w14:textId="697D5D8F" w:rsidR="00D76CC4" w:rsidRPr="00CE3B51" w:rsidRDefault="00D76CC4" w:rsidP="00D76CC4">
            <w:pPr>
              <w:keepNext/>
              <w:keepLines/>
              <w:spacing w:after="120" w:line="276" w:lineRule="auto"/>
              <w:rPr>
                <w:rFonts w:ascii="Arial" w:hAnsi="Arial" w:cs="Arial"/>
                <w:sz w:val="22"/>
                <w:szCs w:val="22"/>
              </w:rPr>
            </w:pPr>
            <w:r w:rsidRPr="00874A2A">
              <w:rPr>
                <w:rFonts w:ascii="Arial" w:hAnsi="Arial" w:cs="Arial"/>
                <w:sz w:val="22"/>
                <w:szCs w:val="22"/>
              </w:rPr>
              <w:t>Final report submitted</w:t>
            </w:r>
          </w:p>
        </w:tc>
        <w:tc>
          <w:tcPr>
            <w:tcW w:w="2675" w:type="dxa"/>
            <w:tcBorders>
              <w:top w:val="single" w:sz="4" w:space="0" w:color="auto"/>
              <w:bottom w:val="single" w:sz="4" w:space="0" w:color="auto"/>
            </w:tcBorders>
            <w:shd w:val="clear" w:color="auto" w:fill="auto"/>
          </w:tcPr>
          <w:p w14:paraId="5E71591D" w14:textId="028BD5B4" w:rsidR="00D76CC4" w:rsidRPr="00417A97" w:rsidRDefault="00807B62" w:rsidP="00D76CC4">
            <w:pPr>
              <w:keepNext/>
              <w:keepLines/>
              <w:spacing w:after="120"/>
              <w:rPr>
                <w:rFonts w:ascii="Arial" w:hAnsi="Arial" w:cs="Arial"/>
                <w:sz w:val="22"/>
                <w:szCs w:val="22"/>
              </w:rPr>
            </w:pPr>
            <w:r w:rsidRPr="00417A97">
              <w:rPr>
                <w:rFonts w:ascii="Arial" w:hAnsi="Arial" w:cs="Arial"/>
                <w:sz w:val="22"/>
                <w:szCs w:val="22"/>
              </w:rPr>
              <w:t>21</w:t>
            </w:r>
            <w:r w:rsidRPr="00417A97">
              <w:rPr>
                <w:rFonts w:ascii="Arial" w:hAnsi="Arial" w:cs="Arial"/>
                <w:sz w:val="22"/>
                <w:szCs w:val="22"/>
                <w:vertAlign w:val="superscript"/>
              </w:rPr>
              <w:t>st</w:t>
            </w:r>
            <w:r w:rsidRPr="00417A97">
              <w:rPr>
                <w:rFonts w:ascii="Arial" w:hAnsi="Arial" w:cs="Arial"/>
                <w:sz w:val="22"/>
                <w:szCs w:val="22"/>
              </w:rPr>
              <w:t xml:space="preserve"> January 2020</w:t>
            </w:r>
          </w:p>
        </w:tc>
      </w:tr>
    </w:tbl>
    <w:p w14:paraId="7A7FAE36" w14:textId="6CE42CE5" w:rsidR="00D828F3" w:rsidRDefault="0049581D" w:rsidP="00D828F3">
      <w:pPr>
        <w:pStyle w:val="Heading1"/>
        <w:rPr>
          <w:rFonts w:ascii="Arial" w:hAnsi="Arial" w:cs="Arial"/>
          <w:b w:val="0"/>
          <w:bCs w:val="0"/>
          <w:kern w:val="0"/>
          <w:sz w:val="22"/>
          <w:szCs w:val="22"/>
        </w:rPr>
      </w:pPr>
      <w:bookmarkStart w:id="35" w:name="_Toc520708793"/>
      <w:bookmarkStart w:id="36" w:name="_Ref357541731"/>
      <w:bookmarkStart w:id="37" w:name="_Toc381969514"/>
      <w:bookmarkStart w:id="38" w:name="_Toc405888463"/>
      <w:bookmarkStart w:id="39" w:name="_Toc496603079"/>
      <w:r w:rsidRPr="00D828F3">
        <w:rPr>
          <w:rFonts w:ascii="Arial" w:hAnsi="Arial" w:cs="Arial"/>
          <w:b w:val="0"/>
          <w:bCs w:val="0"/>
          <w:kern w:val="0"/>
          <w:sz w:val="22"/>
          <w:szCs w:val="22"/>
        </w:rPr>
        <w:t>In order to ensure smooth and rapid progress the project plan should allow for regular interactions and meetings where necessary between the contractors and the ASC project team. We would ask bidders to set out when would be appropriate to meet during the project (after the initial kick-off meeting), given the timetable above.</w:t>
      </w:r>
      <w:r>
        <w:rPr>
          <w:rFonts w:ascii="Arial" w:hAnsi="Arial" w:cs="Arial"/>
          <w:b w:val="0"/>
          <w:bCs w:val="0"/>
          <w:kern w:val="0"/>
          <w:sz w:val="22"/>
          <w:szCs w:val="22"/>
        </w:rPr>
        <w:t xml:space="preserve"> We would expect this to include at least five face-to face meetings between the contractor and the ASC secretariat, and at least five face-to-face meetings with CCRA authors and other project teams.</w:t>
      </w:r>
      <w:bookmarkEnd w:id="35"/>
    </w:p>
    <w:p w14:paraId="4F83AAC7" w14:textId="184298A1" w:rsidR="00922218" w:rsidRPr="00922218" w:rsidRDefault="00922218" w:rsidP="00922218">
      <w:pPr>
        <w:pStyle w:val="Norma"/>
        <w:rPr>
          <w:rFonts w:ascii="Arial" w:hAnsi="Arial" w:cs="Arial"/>
          <w:sz w:val="22"/>
          <w:szCs w:val="22"/>
        </w:rPr>
      </w:pPr>
      <w:r w:rsidRPr="00922218">
        <w:rPr>
          <w:rFonts w:ascii="Arial" w:hAnsi="Arial" w:cs="Arial"/>
          <w:sz w:val="22"/>
          <w:szCs w:val="22"/>
        </w:rPr>
        <w:t xml:space="preserve">In addition, the ASC will put together a stakeholder group of representatives of the funding organisations and wider customers of the CCRA (government departments, agencies and adaptation practitioners). Bids should price in attendance of the project team and taking </w:t>
      </w:r>
      <w:r w:rsidRPr="00922218">
        <w:rPr>
          <w:rFonts w:ascii="Arial" w:hAnsi="Arial" w:cs="Arial"/>
          <w:sz w:val="22"/>
          <w:szCs w:val="22"/>
        </w:rPr>
        <w:lastRenderedPageBreak/>
        <w:t>minutes at three meetings of this group; one to discuss the method; one to show the interim results, and one other to be agreed.  The ASC will lead on chairing the meetings and putting agendas together.</w:t>
      </w:r>
    </w:p>
    <w:p w14:paraId="5EA87566" w14:textId="77777777" w:rsidR="002F59AC" w:rsidRDefault="004C7039" w:rsidP="007248E4">
      <w:pPr>
        <w:pStyle w:val="Heading1"/>
        <w:numPr>
          <w:ilvl w:val="0"/>
          <w:numId w:val="3"/>
        </w:numPr>
        <w:rPr>
          <w:rFonts w:ascii="Arial" w:hAnsi="Arial" w:cs="Arial"/>
          <w:sz w:val="24"/>
          <w:szCs w:val="24"/>
        </w:rPr>
      </w:pPr>
      <w:r w:rsidRPr="002D32D5">
        <w:rPr>
          <w:rFonts w:ascii="Arial" w:hAnsi="Arial" w:cs="Arial"/>
          <w:sz w:val="24"/>
          <w:szCs w:val="24"/>
        </w:rPr>
        <w:t>C</w:t>
      </w:r>
      <w:r w:rsidR="002F59AC" w:rsidRPr="002D32D5">
        <w:rPr>
          <w:rFonts w:ascii="Arial" w:hAnsi="Arial" w:cs="Arial"/>
          <w:sz w:val="24"/>
          <w:szCs w:val="24"/>
        </w:rPr>
        <w:t>hallenges</w:t>
      </w:r>
      <w:bookmarkEnd w:id="36"/>
      <w:bookmarkEnd w:id="37"/>
      <w:bookmarkEnd w:id="38"/>
      <w:bookmarkEnd w:id="39"/>
    </w:p>
    <w:p w14:paraId="284AE220" w14:textId="77777777" w:rsidR="00DD521A" w:rsidRPr="002133A0" w:rsidRDefault="00DD521A" w:rsidP="00DD521A">
      <w:pPr>
        <w:pStyle w:val="Norma1"/>
        <w:rPr>
          <w:rFonts w:cs="Arial"/>
        </w:rPr>
      </w:pPr>
    </w:p>
    <w:p w14:paraId="0ED713B6" w14:textId="77777777" w:rsidR="00FD139A" w:rsidRPr="002133A0" w:rsidRDefault="00FD139A" w:rsidP="00FD139A">
      <w:pPr>
        <w:pStyle w:val="Norma1"/>
        <w:rPr>
          <w:rFonts w:cs="Arial"/>
        </w:rPr>
      </w:pPr>
      <w:r w:rsidRPr="002133A0">
        <w:rPr>
          <w:rFonts w:cs="Arial"/>
        </w:rPr>
        <w:t>The specific challenges that the ASC envisage with this project include:</w:t>
      </w:r>
    </w:p>
    <w:p w14:paraId="56BB8F58" w14:textId="77777777" w:rsidR="00A65C86" w:rsidRDefault="00A65C86" w:rsidP="009C22F5">
      <w:pPr>
        <w:pStyle w:val="Norma1"/>
        <w:ind w:left="720"/>
        <w:jc w:val="both"/>
        <w:rPr>
          <w:rFonts w:cs="Arial"/>
          <w:bCs/>
          <w:iCs/>
          <w:szCs w:val="24"/>
        </w:rPr>
      </w:pPr>
    </w:p>
    <w:p w14:paraId="7F02A39B" w14:textId="77777777" w:rsidR="00A65C86" w:rsidRDefault="00A65C86" w:rsidP="00851AB2">
      <w:pPr>
        <w:pStyle w:val="Norma1"/>
        <w:numPr>
          <w:ilvl w:val="0"/>
          <w:numId w:val="43"/>
        </w:numPr>
        <w:jc w:val="both"/>
        <w:rPr>
          <w:rFonts w:cs="Arial"/>
          <w:bCs/>
          <w:iCs/>
          <w:szCs w:val="24"/>
        </w:rPr>
      </w:pPr>
      <w:r>
        <w:rPr>
          <w:rFonts w:cs="Arial"/>
          <w:bCs/>
          <w:iCs/>
          <w:szCs w:val="24"/>
        </w:rPr>
        <w:t>Future flood risk needs to be quantified. This is non-trivial and a clear description of how this will be calculated should be outlined.</w:t>
      </w:r>
    </w:p>
    <w:p w14:paraId="2087FDC1" w14:textId="2059B702" w:rsidR="00A65C86" w:rsidRDefault="00A65C86" w:rsidP="00851AB2">
      <w:pPr>
        <w:pStyle w:val="Norma1"/>
        <w:numPr>
          <w:ilvl w:val="0"/>
          <w:numId w:val="43"/>
        </w:numPr>
        <w:jc w:val="both"/>
        <w:rPr>
          <w:rFonts w:cs="Arial"/>
          <w:bCs/>
          <w:iCs/>
          <w:szCs w:val="24"/>
        </w:rPr>
      </w:pPr>
      <w:r>
        <w:rPr>
          <w:rFonts w:cs="Arial"/>
          <w:bCs/>
          <w:iCs/>
          <w:szCs w:val="24"/>
        </w:rPr>
        <w:t xml:space="preserve">The range of climate change and socio-economic </w:t>
      </w:r>
      <w:r w:rsidR="003F63B9">
        <w:rPr>
          <w:rFonts w:cs="Arial"/>
          <w:bCs/>
          <w:iCs/>
          <w:szCs w:val="24"/>
        </w:rPr>
        <w:t>dimension</w:t>
      </w:r>
      <w:r>
        <w:rPr>
          <w:rFonts w:cs="Arial"/>
          <w:bCs/>
          <w:iCs/>
          <w:szCs w:val="24"/>
        </w:rPr>
        <w:t>s to be employed should be outlined and justified.</w:t>
      </w:r>
    </w:p>
    <w:p w14:paraId="69036583" w14:textId="4D2071F3" w:rsidR="009F1C68" w:rsidRDefault="00A65C86" w:rsidP="00136F2E">
      <w:pPr>
        <w:pStyle w:val="Norma1"/>
        <w:numPr>
          <w:ilvl w:val="0"/>
          <w:numId w:val="43"/>
        </w:numPr>
        <w:jc w:val="both"/>
        <w:rPr>
          <w:rFonts w:cs="Arial"/>
          <w:bCs/>
          <w:iCs/>
          <w:szCs w:val="24"/>
        </w:rPr>
      </w:pPr>
      <w:r>
        <w:rPr>
          <w:rFonts w:cs="Arial"/>
          <w:bCs/>
          <w:iCs/>
          <w:szCs w:val="24"/>
        </w:rPr>
        <w:t>Robust assumptions need to be made regarding</w:t>
      </w:r>
      <w:r w:rsidR="00136F2E">
        <w:rPr>
          <w:rFonts w:cs="Arial"/>
          <w:bCs/>
          <w:iCs/>
          <w:szCs w:val="24"/>
        </w:rPr>
        <w:t xml:space="preserve"> </w:t>
      </w:r>
      <w:r w:rsidR="00136F2E" w:rsidRPr="00136F2E">
        <w:rPr>
          <w:rFonts w:cs="Arial"/>
          <w:bCs/>
          <w:iCs/>
          <w:szCs w:val="24"/>
        </w:rPr>
        <w:t>the current and predicted resilience of major infrastructure</w:t>
      </w:r>
      <w:r w:rsidR="00136F2E">
        <w:rPr>
          <w:rFonts w:cs="Arial"/>
          <w:bCs/>
          <w:iCs/>
          <w:szCs w:val="24"/>
        </w:rPr>
        <w:t xml:space="preserve"> as well as</w:t>
      </w:r>
      <w:r>
        <w:rPr>
          <w:rFonts w:cs="Arial"/>
          <w:bCs/>
          <w:iCs/>
          <w:szCs w:val="24"/>
        </w:rPr>
        <w:t xml:space="preserve"> the </w:t>
      </w:r>
      <w:r w:rsidR="009F1C68">
        <w:rPr>
          <w:rFonts w:cs="Arial"/>
          <w:bCs/>
          <w:iCs/>
          <w:szCs w:val="24"/>
        </w:rPr>
        <w:t>adaptation strategies that can be implemented and their potential impact on exposure.</w:t>
      </w:r>
    </w:p>
    <w:p w14:paraId="1156A417" w14:textId="5B8D0030" w:rsidR="005E4CF0" w:rsidRDefault="005E4CF0" w:rsidP="000A305F">
      <w:pPr>
        <w:pStyle w:val="Norma1"/>
        <w:numPr>
          <w:ilvl w:val="0"/>
          <w:numId w:val="43"/>
        </w:numPr>
        <w:jc w:val="both"/>
        <w:rPr>
          <w:rFonts w:cs="Arial"/>
          <w:bCs/>
          <w:iCs/>
          <w:szCs w:val="24"/>
        </w:rPr>
      </w:pPr>
      <w:r>
        <w:rPr>
          <w:rFonts w:cs="Arial"/>
          <w:bCs/>
          <w:iCs/>
          <w:szCs w:val="24"/>
        </w:rPr>
        <w:t>The method used to identify the “</w:t>
      </w:r>
      <w:r w:rsidR="00F33A8D">
        <w:rPr>
          <w:rFonts w:cs="Arial"/>
          <w:bCs/>
          <w:iCs/>
          <w:szCs w:val="24"/>
        </w:rPr>
        <w:t>limits</w:t>
      </w:r>
      <w:r>
        <w:rPr>
          <w:rFonts w:cs="Arial"/>
          <w:bCs/>
          <w:iCs/>
          <w:szCs w:val="24"/>
        </w:rPr>
        <w:t xml:space="preserve">” </w:t>
      </w:r>
      <w:r w:rsidR="003E7562">
        <w:rPr>
          <w:rFonts w:cs="Arial"/>
          <w:bCs/>
          <w:iCs/>
          <w:szCs w:val="24"/>
        </w:rPr>
        <w:t xml:space="preserve">in terms of </w:t>
      </w:r>
      <w:r w:rsidR="003F63B9">
        <w:rPr>
          <w:rFonts w:cs="Arial"/>
          <w:bCs/>
          <w:iCs/>
          <w:szCs w:val="24"/>
        </w:rPr>
        <w:t xml:space="preserve">risk and adaptation potential </w:t>
      </w:r>
      <w:r>
        <w:rPr>
          <w:rFonts w:cs="Arial"/>
          <w:bCs/>
          <w:iCs/>
          <w:szCs w:val="24"/>
        </w:rPr>
        <w:t>is, again, non-trivial and needs to defined and justified within the bid.</w:t>
      </w:r>
      <w:r w:rsidR="000A305F">
        <w:rPr>
          <w:rFonts w:cs="Arial"/>
          <w:bCs/>
          <w:iCs/>
          <w:szCs w:val="24"/>
        </w:rPr>
        <w:t xml:space="preserve"> The basis of these</w:t>
      </w:r>
      <w:r w:rsidR="00F33A8D">
        <w:rPr>
          <w:rFonts w:cs="Arial"/>
          <w:bCs/>
          <w:iCs/>
          <w:szCs w:val="24"/>
        </w:rPr>
        <w:t xml:space="preserve"> “limits</w:t>
      </w:r>
      <w:r w:rsidR="00646428">
        <w:rPr>
          <w:rFonts w:cs="Arial"/>
          <w:bCs/>
          <w:iCs/>
          <w:szCs w:val="24"/>
        </w:rPr>
        <w:t>”</w:t>
      </w:r>
      <w:r w:rsidR="000A305F">
        <w:rPr>
          <w:rFonts w:cs="Arial"/>
          <w:bCs/>
          <w:iCs/>
          <w:szCs w:val="24"/>
        </w:rPr>
        <w:t xml:space="preserve"> should be discussed in the bid and could be based on, f</w:t>
      </w:r>
      <w:r w:rsidR="000A305F" w:rsidRPr="000A305F">
        <w:rPr>
          <w:rFonts w:cs="Arial"/>
          <w:bCs/>
          <w:iCs/>
          <w:szCs w:val="24"/>
        </w:rPr>
        <w:t xml:space="preserve">or example, the NIC </w:t>
      </w:r>
      <w:r w:rsidR="000A305F">
        <w:rPr>
          <w:rFonts w:cs="Arial"/>
          <w:bCs/>
          <w:iCs/>
          <w:szCs w:val="24"/>
        </w:rPr>
        <w:t>proposal</w:t>
      </w:r>
      <w:r w:rsidR="000A305F" w:rsidRPr="000A305F">
        <w:rPr>
          <w:rFonts w:cs="Arial"/>
          <w:bCs/>
          <w:iCs/>
          <w:szCs w:val="24"/>
        </w:rPr>
        <w:t xml:space="preserve"> of minimum levels of protection, a fixed level of funding (</w:t>
      </w:r>
      <w:r w:rsidR="000A305F">
        <w:rPr>
          <w:rFonts w:cs="Arial"/>
          <w:bCs/>
          <w:iCs/>
          <w:szCs w:val="24"/>
        </w:rPr>
        <w:t>e.g. based on LTIS) or</w:t>
      </w:r>
      <w:r w:rsidR="000A305F" w:rsidRPr="000A305F">
        <w:rPr>
          <w:rFonts w:cs="Arial"/>
          <w:bCs/>
          <w:iCs/>
          <w:szCs w:val="24"/>
        </w:rPr>
        <w:t xml:space="preserve"> possibly based on </w:t>
      </w:r>
      <w:r w:rsidR="000A305F">
        <w:rPr>
          <w:rFonts w:cs="Arial"/>
          <w:bCs/>
          <w:iCs/>
          <w:szCs w:val="24"/>
        </w:rPr>
        <w:t>a theory</w:t>
      </w:r>
      <w:r w:rsidR="000A305F" w:rsidRPr="000A305F">
        <w:rPr>
          <w:rFonts w:cs="Arial"/>
          <w:bCs/>
          <w:iCs/>
          <w:szCs w:val="24"/>
        </w:rPr>
        <w:t xml:space="preserve"> of climate justice</w:t>
      </w:r>
      <w:r w:rsidR="000A305F">
        <w:rPr>
          <w:rFonts w:cs="Arial"/>
          <w:bCs/>
          <w:iCs/>
          <w:szCs w:val="24"/>
        </w:rPr>
        <w:t>.</w:t>
      </w:r>
    </w:p>
    <w:p w14:paraId="39ED81C5" w14:textId="7FAFCBCB" w:rsidR="00D91AB3" w:rsidRDefault="00D91AB3" w:rsidP="00851AB2">
      <w:pPr>
        <w:pStyle w:val="Norma1"/>
        <w:numPr>
          <w:ilvl w:val="0"/>
          <w:numId w:val="43"/>
        </w:numPr>
        <w:jc w:val="both"/>
        <w:rPr>
          <w:rFonts w:cs="Arial"/>
          <w:bCs/>
          <w:iCs/>
          <w:szCs w:val="24"/>
        </w:rPr>
      </w:pPr>
      <w:r>
        <w:rPr>
          <w:rFonts w:cs="Arial"/>
          <w:bCs/>
          <w:iCs/>
          <w:szCs w:val="24"/>
        </w:rPr>
        <w:t xml:space="preserve">This project needs to carefully </w:t>
      </w:r>
      <w:proofErr w:type="gramStart"/>
      <w:r>
        <w:rPr>
          <w:rFonts w:cs="Arial"/>
          <w:bCs/>
          <w:iCs/>
          <w:szCs w:val="24"/>
        </w:rPr>
        <w:t>managed</w:t>
      </w:r>
      <w:proofErr w:type="gramEnd"/>
      <w:r>
        <w:rPr>
          <w:rFonts w:cs="Arial"/>
          <w:bCs/>
          <w:iCs/>
          <w:szCs w:val="24"/>
        </w:rPr>
        <w:t xml:space="preserve"> to incorporate findings from the “Socio-economic </w:t>
      </w:r>
      <w:r w:rsidR="003F63B9">
        <w:rPr>
          <w:rFonts w:cs="Arial"/>
          <w:bCs/>
          <w:iCs/>
          <w:szCs w:val="24"/>
        </w:rPr>
        <w:t>dimension</w:t>
      </w:r>
      <w:r>
        <w:rPr>
          <w:rFonts w:cs="Arial"/>
          <w:bCs/>
          <w:iCs/>
          <w:szCs w:val="24"/>
        </w:rPr>
        <w:t xml:space="preserve">s” project and to align with the workflow of the “Adaptation thresholds” </w:t>
      </w:r>
      <w:r w:rsidR="00D474D9">
        <w:rPr>
          <w:rFonts w:cs="Arial"/>
          <w:bCs/>
          <w:iCs/>
          <w:szCs w:val="24"/>
        </w:rPr>
        <w:t xml:space="preserve">and ‘interacting risks’ </w:t>
      </w:r>
      <w:r>
        <w:rPr>
          <w:rFonts w:cs="Arial"/>
          <w:bCs/>
          <w:iCs/>
          <w:szCs w:val="24"/>
        </w:rPr>
        <w:t>project</w:t>
      </w:r>
      <w:r w:rsidR="00D474D9">
        <w:rPr>
          <w:rFonts w:cs="Arial"/>
          <w:bCs/>
          <w:iCs/>
          <w:szCs w:val="24"/>
        </w:rPr>
        <w:t>s</w:t>
      </w:r>
      <w:r>
        <w:rPr>
          <w:rFonts w:cs="Arial"/>
          <w:bCs/>
          <w:iCs/>
          <w:szCs w:val="24"/>
        </w:rPr>
        <w:t>.</w:t>
      </w:r>
    </w:p>
    <w:p w14:paraId="3310BEE2" w14:textId="2BFE045E" w:rsidR="009C22F5" w:rsidRDefault="009C22F5" w:rsidP="009C22F5">
      <w:pPr>
        <w:pStyle w:val="Norma1"/>
        <w:ind w:left="720"/>
        <w:jc w:val="both"/>
        <w:rPr>
          <w:rFonts w:cs="Arial"/>
          <w:bCs/>
          <w:iCs/>
          <w:szCs w:val="24"/>
        </w:rPr>
      </w:pPr>
    </w:p>
    <w:p w14:paraId="1F30D6EF" w14:textId="73E28FB0" w:rsidR="00D14531" w:rsidRPr="003646EA" w:rsidRDefault="00D14531" w:rsidP="007963DA">
      <w:pPr>
        <w:pStyle w:val="Norma1"/>
        <w:jc w:val="both"/>
        <w:rPr>
          <w:rFonts w:cs="Arial"/>
          <w:bCs/>
          <w:iCs/>
          <w:szCs w:val="24"/>
        </w:rPr>
      </w:pPr>
      <w:r>
        <w:rPr>
          <w:rFonts w:cs="Arial"/>
          <w:bCs/>
          <w:iCs/>
          <w:szCs w:val="24"/>
        </w:rPr>
        <w:t>Bids should also set out other risks and challenges</w:t>
      </w:r>
      <w:r w:rsidR="00D474D9">
        <w:rPr>
          <w:rFonts w:cs="Arial"/>
          <w:bCs/>
          <w:iCs/>
          <w:szCs w:val="24"/>
        </w:rPr>
        <w:t xml:space="preserve"> and strategies to mitigate these in</w:t>
      </w:r>
      <w:r>
        <w:rPr>
          <w:rFonts w:cs="Arial"/>
          <w:bCs/>
          <w:iCs/>
          <w:szCs w:val="24"/>
        </w:rPr>
        <w:t xml:space="preserve"> successfully undertaking this work.</w:t>
      </w:r>
    </w:p>
    <w:p w14:paraId="5EA87568" w14:textId="4ACB39F2" w:rsidR="008F4BEB" w:rsidRPr="002D32D5" w:rsidRDefault="008F4BEB" w:rsidP="007248E4">
      <w:pPr>
        <w:pStyle w:val="Heading1"/>
        <w:numPr>
          <w:ilvl w:val="0"/>
          <w:numId w:val="3"/>
        </w:numPr>
        <w:rPr>
          <w:rFonts w:ascii="Arial" w:hAnsi="Arial" w:cs="Arial"/>
          <w:sz w:val="24"/>
          <w:szCs w:val="24"/>
        </w:rPr>
      </w:pPr>
      <w:bookmarkStart w:id="40" w:name="_Toc381969515"/>
      <w:bookmarkStart w:id="41" w:name="_Toc405888464"/>
      <w:bookmarkStart w:id="42" w:name="_Toc496603080"/>
      <w:bookmarkStart w:id="43" w:name="_Toc271272913"/>
      <w:r w:rsidRPr="002D32D5">
        <w:rPr>
          <w:rFonts w:ascii="Arial" w:hAnsi="Arial" w:cs="Arial"/>
          <w:sz w:val="24"/>
          <w:szCs w:val="24"/>
        </w:rPr>
        <w:t>Ethics</w:t>
      </w:r>
      <w:bookmarkEnd w:id="40"/>
      <w:bookmarkEnd w:id="41"/>
      <w:bookmarkEnd w:id="42"/>
    </w:p>
    <w:p w14:paraId="5EA87569" w14:textId="77777777" w:rsidR="002D32D5" w:rsidRDefault="002D32D5" w:rsidP="008F4BEB">
      <w:pPr>
        <w:pStyle w:val="ListParagraph"/>
        <w:spacing w:after="0" w:line="240" w:lineRule="auto"/>
        <w:ind w:left="0"/>
        <w:contextualSpacing w:val="0"/>
      </w:pPr>
    </w:p>
    <w:p w14:paraId="5EA8756A" w14:textId="77777777" w:rsidR="005C0467" w:rsidRPr="002133A0" w:rsidRDefault="008F4BEB" w:rsidP="00293D12">
      <w:pPr>
        <w:pStyle w:val="ListParagraph"/>
        <w:spacing w:after="0" w:line="240" w:lineRule="auto"/>
        <w:ind w:left="360"/>
        <w:contextualSpacing w:val="0"/>
        <w:jc w:val="both"/>
        <w:rPr>
          <w:rFonts w:ascii="Arial" w:hAnsi="Arial" w:cs="Arial"/>
          <w:szCs w:val="24"/>
        </w:rPr>
      </w:pPr>
      <w:r w:rsidRPr="002133A0">
        <w:rPr>
          <w:rFonts w:ascii="Arial" w:hAnsi="Arial" w:cs="Arial"/>
          <w:szCs w:val="24"/>
        </w:rPr>
        <w:t>All applicants will need to identify and propose arrangements for initial scrutiny and on-going monitoring of ethical issues.</w:t>
      </w:r>
      <w:r w:rsidR="00BF74E5" w:rsidRPr="002133A0">
        <w:rPr>
          <w:rFonts w:ascii="Arial" w:hAnsi="Arial" w:cs="Arial"/>
          <w:szCs w:val="24"/>
        </w:rPr>
        <w:t xml:space="preserve"> </w:t>
      </w:r>
      <w:r w:rsidR="005C0467" w:rsidRPr="002133A0">
        <w:rPr>
          <w:rFonts w:ascii="Arial" w:hAnsi="Arial" w:cs="Arial"/>
          <w:szCs w:val="24"/>
        </w:rPr>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2D32D5">
      <w:pPr>
        <w:pStyle w:val="ListParagraph"/>
        <w:spacing w:after="0" w:line="240" w:lineRule="auto"/>
        <w:ind w:left="0"/>
        <w:contextualSpacing w:val="0"/>
        <w:jc w:val="both"/>
        <w:rPr>
          <w:rFonts w:ascii="Arial" w:hAnsi="Arial" w:cs="Arial"/>
          <w:szCs w:val="24"/>
        </w:rPr>
      </w:pPr>
    </w:p>
    <w:p w14:paraId="5EA8756C" w14:textId="77777777" w:rsidR="00D75586" w:rsidRPr="000F78E0" w:rsidRDefault="00BF74E5" w:rsidP="00293D12">
      <w:pPr>
        <w:pStyle w:val="ListParagraph"/>
        <w:spacing w:after="0" w:line="240" w:lineRule="auto"/>
        <w:ind w:left="360"/>
        <w:contextualSpacing w:val="0"/>
        <w:jc w:val="both"/>
        <w:rPr>
          <w:rFonts w:ascii="Arial" w:hAnsi="Arial" w:cs="Arial"/>
        </w:rPr>
      </w:pPr>
      <w:r w:rsidRPr="000F78E0">
        <w:rPr>
          <w:rFonts w:ascii="Arial" w:hAnsi="Arial" w:cs="Arial"/>
        </w:rPr>
        <w:t>We expect contractors to adhere to the</w:t>
      </w:r>
      <w:r w:rsidR="00D75586" w:rsidRPr="000F78E0">
        <w:rPr>
          <w:rFonts w:ascii="Arial" w:hAnsi="Arial" w:cs="Arial"/>
        </w:rPr>
        <w:t xml:space="preserve"> following</w:t>
      </w:r>
      <w:r w:rsidRPr="000F78E0">
        <w:rPr>
          <w:rFonts w:ascii="Arial" w:hAnsi="Arial" w:cs="Arial"/>
        </w:rPr>
        <w:t xml:space="preserve"> GSR</w:t>
      </w:r>
      <w:r w:rsidR="00D75586" w:rsidRPr="000F78E0">
        <w:rPr>
          <w:rFonts w:ascii="Arial" w:hAnsi="Arial" w:cs="Arial"/>
        </w:rPr>
        <w:t xml:space="preserve"> Principals:</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2" w14:textId="77777777" w:rsidR="00D75586" w:rsidRPr="000F78E0" w:rsidRDefault="00D75586" w:rsidP="002D32D5">
      <w:pPr>
        <w:pStyle w:val="ListParagraph"/>
        <w:spacing w:after="0" w:line="240" w:lineRule="auto"/>
        <w:ind w:left="0"/>
        <w:contextualSpacing w:val="0"/>
        <w:jc w:val="both"/>
        <w:rPr>
          <w:rFonts w:ascii="Arial" w:hAnsi="Arial" w:cs="Arial"/>
        </w:rPr>
      </w:pPr>
    </w:p>
    <w:p w14:paraId="5EA87573" w14:textId="77777777" w:rsidR="00E070AD" w:rsidRPr="002D32D5" w:rsidRDefault="00E070AD" w:rsidP="007248E4">
      <w:pPr>
        <w:pStyle w:val="Heading1"/>
        <w:numPr>
          <w:ilvl w:val="0"/>
          <w:numId w:val="3"/>
        </w:numPr>
        <w:rPr>
          <w:rFonts w:ascii="Arial" w:hAnsi="Arial" w:cs="Arial"/>
          <w:sz w:val="24"/>
          <w:szCs w:val="24"/>
        </w:rPr>
      </w:pPr>
      <w:bookmarkStart w:id="44" w:name="_Ref338852517"/>
      <w:bookmarkStart w:id="45" w:name="_Toc381969516"/>
      <w:bookmarkStart w:id="46" w:name="_Toc405888465"/>
      <w:bookmarkStart w:id="47" w:name="_Toc496603081"/>
      <w:bookmarkEnd w:id="43"/>
      <w:r w:rsidRPr="002D32D5">
        <w:rPr>
          <w:rFonts w:ascii="Arial" w:hAnsi="Arial" w:cs="Arial"/>
          <w:sz w:val="24"/>
          <w:szCs w:val="24"/>
        </w:rPr>
        <w:t>Working Arrangements</w:t>
      </w:r>
      <w:bookmarkEnd w:id="44"/>
      <w:bookmarkEnd w:id="45"/>
      <w:bookmarkEnd w:id="46"/>
      <w:bookmarkEnd w:id="47"/>
    </w:p>
    <w:p w14:paraId="5EA87574" w14:textId="77777777" w:rsidR="00AA62E8" w:rsidRPr="000F78E0" w:rsidRDefault="00AA62E8" w:rsidP="005A7FBC">
      <w:pPr>
        <w:pStyle w:val="Norma1"/>
        <w:jc w:val="both"/>
        <w:rPr>
          <w:rFonts w:cs="Arial"/>
          <w:b/>
          <w:bCs/>
          <w:iCs/>
        </w:rPr>
      </w:pPr>
    </w:p>
    <w:p w14:paraId="5EA87578" w14:textId="3889F2B5" w:rsidR="00AA62E8" w:rsidRPr="008B0B0B" w:rsidRDefault="00AA62E8" w:rsidP="008B0B0B">
      <w:pPr>
        <w:pStyle w:val="Norma1"/>
        <w:ind w:left="360"/>
        <w:jc w:val="both"/>
        <w:rPr>
          <w:rFonts w:cs="Arial"/>
          <w:bCs/>
        </w:rPr>
      </w:pPr>
      <w:r w:rsidRPr="000F78E0">
        <w:rPr>
          <w:rFonts w:cs="Arial"/>
          <w:bCs/>
        </w:rPr>
        <w:t>The successful contractor will be expected to identify one named point of contract through</w:t>
      </w:r>
      <w:r w:rsidR="005A7FBC" w:rsidRPr="000F78E0">
        <w:rPr>
          <w:rFonts w:cs="Arial"/>
          <w:bCs/>
        </w:rPr>
        <w:t xml:space="preserve"> </w:t>
      </w:r>
      <w:r w:rsidRPr="000F78E0">
        <w:rPr>
          <w:rFonts w:cs="Arial"/>
          <w:bCs/>
        </w:rPr>
        <w:t>whom all e</w:t>
      </w:r>
      <w:r w:rsidR="004C4D20">
        <w:rPr>
          <w:rFonts w:cs="Arial"/>
          <w:bCs/>
        </w:rPr>
        <w:t>nquiries can be filtered. A</w:t>
      </w:r>
      <w:r w:rsidR="00D14531">
        <w:rPr>
          <w:rFonts w:cs="Arial"/>
          <w:bCs/>
        </w:rPr>
        <w:t>n</w:t>
      </w:r>
      <w:r w:rsidR="004C4D20">
        <w:rPr>
          <w:rFonts w:cs="Arial"/>
          <w:bCs/>
        </w:rPr>
        <w:t xml:space="preserve"> ASC</w:t>
      </w:r>
      <w:r w:rsidRPr="000F78E0">
        <w:rPr>
          <w:rFonts w:cs="Arial"/>
          <w:bCs/>
        </w:rPr>
        <w:t xml:space="preserve"> project manager will be assigned to the project and will be the central point of contact. </w:t>
      </w:r>
    </w:p>
    <w:p w14:paraId="5EA87579" w14:textId="77777777" w:rsidR="003C1CE8" w:rsidRPr="002D32D5" w:rsidRDefault="007A7010" w:rsidP="007248E4">
      <w:pPr>
        <w:pStyle w:val="Heading1"/>
        <w:numPr>
          <w:ilvl w:val="0"/>
          <w:numId w:val="3"/>
        </w:numPr>
        <w:rPr>
          <w:rFonts w:ascii="Arial" w:hAnsi="Arial" w:cs="Arial"/>
          <w:sz w:val="24"/>
          <w:szCs w:val="24"/>
        </w:rPr>
      </w:pPr>
      <w:bookmarkStart w:id="48" w:name="_Toc496603082"/>
      <w:r>
        <w:rPr>
          <w:rFonts w:ascii="Arial" w:hAnsi="Arial" w:cs="Arial"/>
          <w:sz w:val="24"/>
          <w:szCs w:val="24"/>
        </w:rPr>
        <w:t>Skills and experience</w:t>
      </w:r>
      <w:bookmarkEnd w:id="48"/>
    </w:p>
    <w:p w14:paraId="5EA8757A" w14:textId="77777777" w:rsidR="00427AFA" w:rsidRPr="000F78E0" w:rsidRDefault="00427AFA" w:rsidP="00B960BC">
      <w:pPr>
        <w:pStyle w:val="Norma1"/>
        <w:ind w:left="360"/>
        <w:jc w:val="both"/>
        <w:rPr>
          <w:rFonts w:cs="Arial"/>
        </w:rPr>
      </w:pPr>
    </w:p>
    <w:p w14:paraId="5EA8757B" w14:textId="17814D9C" w:rsidR="00FA702B" w:rsidRPr="000F78E0" w:rsidRDefault="008B0B0B" w:rsidP="00E72DB1">
      <w:pPr>
        <w:pStyle w:val="PTablebodyCharCharChar"/>
        <w:tabs>
          <w:tab w:val="clear" w:pos="7823"/>
          <w:tab w:val="right" w:pos="709"/>
        </w:tabs>
        <w:spacing w:after="0"/>
        <w:ind w:left="360"/>
        <w:rPr>
          <w:rFonts w:cs="Arial"/>
          <w:sz w:val="22"/>
          <w:szCs w:val="22"/>
          <w:highlight w:val="yellow"/>
        </w:rPr>
      </w:pPr>
      <w:r>
        <w:rPr>
          <w:rFonts w:ascii="Arial" w:hAnsi="Arial" w:cs="Arial"/>
          <w:sz w:val="22"/>
          <w:szCs w:val="22"/>
        </w:rPr>
        <w:lastRenderedPageBreak/>
        <w:t>The ASC</w:t>
      </w:r>
      <w:r w:rsidR="004B3AD5" w:rsidRPr="000F78E0">
        <w:rPr>
          <w:rFonts w:ascii="Arial" w:hAnsi="Arial" w:cs="Arial"/>
          <w:sz w:val="22"/>
          <w:szCs w:val="22"/>
        </w:rPr>
        <w:t xml:space="preserve"> </w:t>
      </w:r>
      <w:r w:rsidR="007A7010" w:rsidRPr="000F78E0">
        <w:rPr>
          <w:rFonts w:ascii="Arial" w:hAnsi="Arial" w:cs="Arial"/>
          <w:sz w:val="22"/>
          <w:szCs w:val="22"/>
        </w:rPr>
        <w:t xml:space="preserve">would like you to demonstrate that you have </w:t>
      </w:r>
      <w:r w:rsidR="009F7CC0" w:rsidRPr="000F78E0">
        <w:rPr>
          <w:rFonts w:ascii="Arial" w:hAnsi="Arial" w:cs="Arial"/>
          <w:sz w:val="22"/>
          <w:szCs w:val="22"/>
        </w:rPr>
        <w:t>the experience and capabilities to undertake the project</w:t>
      </w:r>
      <w:r w:rsidR="007A7010" w:rsidRPr="000F78E0">
        <w:rPr>
          <w:rFonts w:ascii="Arial" w:hAnsi="Arial" w:cs="Arial"/>
          <w:sz w:val="22"/>
          <w:szCs w:val="22"/>
        </w:rPr>
        <w:t xml:space="preserve">. Your tender response should include a summary of </w:t>
      </w:r>
      <w:r w:rsidR="009F7CC0" w:rsidRPr="000F78E0">
        <w:rPr>
          <w:rFonts w:ascii="Arial" w:hAnsi="Arial" w:cs="Arial"/>
          <w:sz w:val="22"/>
          <w:szCs w:val="22"/>
        </w:rPr>
        <w:t>each proposed team member</w:t>
      </w:r>
      <w:r w:rsidR="00C62E6E">
        <w:rPr>
          <w:rFonts w:ascii="Arial" w:hAnsi="Arial" w:cs="Arial"/>
          <w:sz w:val="22"/>
          <w:szCs w:val="22"/>
        </w:rPr>
        <w:t>’</w:t>
      </w:r>
      <w:r w:rsidR="009F7CC0" w:rsidRPr="000F78E0">
        <w:rPr>
          <w:rFonts w:ascii="Arial" w:hAnsi="Arial" w:cs="Arial"/>
          <w:sz w:val="22"/>
          <w:szCs w:val="22"/>
        </w:rPr>
        <w:t>s experience</w:t>
      </w:r>
      <w:r w:rsidR="007A7010" w:rsidRPr="000F78E0">
        <w:rPr>
          <w:rFonts w:ascii="Arial" w:hAnsi="Arial" w:cs="Arial"/>
          <w:sz w:val="22"/>
          <w:szCs w:val="22"/>
        </w:rPr>
        <w:t xml:space="preserve"> </w:t>
      </w:r>
      <w:r w:rsidR="009F7CC0" w:rsidRPr="000F78E0">
        <w:rPr>
          <w:rFonts w:ascii="Arial" w:hAnsi="Arial" w:cs="Arial"/>
          <w:sz w:val="22"/>
          <w:szCs w:val="22"/>
        </w:rPr>
        <w:t>and capabilities</w:t>
      </w:r>
      <w:r w:rsidR="007A7010" w:rsidRPr="000F78E0">
        <w:rPr>
          <w:rFonts w:ascii="Arial" w:hAnsi="Arial" w:cs="Arial"/>
          <w:sz w:val="22"/>
          <w:szCs w:val="22"/>
        </w:rPr>
        <w:t>.</w:t>
      </w:r>
      <w:r w:rsidR="00816371" w:rsidRPr="000F78E0">
        <w:rPr>
          <w:rFonts w:cs="Arial"/>
          <w:sz w:val="22"/>
          <w:szCs w:val="22"/>
          <w:highlight w:val="yellow"/>
        </w:rPr>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5EA8757D" w14:textId="77777777" w:rsidR="003C1CE8" w:rsidRPr="000F78E0" w:rsidRDefault="003C1CE8" w:rsidP="00E72DB1">
      <w:pPr>
        <w:pStyle w:val="PTablebodyCharCharChar"/>
        <w:tabs>
          <w:tab w:val="clear" w:pos="7823"/>
          <w:tab w:val="right" w:pos="709"/>
        </w:tabs>
        <w:spacing w:after="0"/>
        <w:ind w:left="360"/>
        <w:rPr>
          <w:rFonts w:ascii="Arial" w:hAnsi="Arial" w:cs="Arial"/>
          <w:sz w:val="22"/>
          <w:szCs w:val="22"/>
        </w:rPr>
      </w:pPr>
      <w:r w:rsidRPr="000F78E0">
        <w:rPr>
          <w:rFonts w:ascii="Arial" w:hAnsi="Arial" w:cs="Arial"/>
          <w:sz w:val="22"/>
          <w:szCs w:val="22"/>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B960BC">
      <w:pPr>
        <w:pStyle w:val="PTablebodyCharCharChar"/>
        <w:spacing w:after="0"/>
        <w:ind w:left="0"/>
        <w:rPr>
          <w:rFonts w:ascii="Arial" w:hAnsi="Arial" w:cs="Arial"/>
          <w:sz w:val="22"/>
          <w:szCs w:val="22"/>
        </w:rPr>
      </w:pPr>
    </w:p>
    <w:p w14:paraId="5EA8757F" w14:textId="77777777" w:rsidR="00D64BB0" w:rsidRPr="000F78E0" w:rsidRDefault="003C1CE8" w:rsidP="00E72DB1">
      <w:pPr>
        <w:pStyle w:val="Norma1"/>
        <w:ind w:left="360"/>
        <w:jc w:val="both"/>
        <w:rPr>
          <w:rFonts w:cs="Arial"/>
        </w:rPr>
      </w:pPr>
      <w:r w:rsidRPr="000F78E0">
        <w:rPr>
          <w:rFonts w:cs="Arial"/>
        </w:rPr>
        <w:t>Contractors should identify the individual(s) who will be responsible for managing the project.</w:t>
      </w:r>
      <w:bookmarkStart w:id="49" w:name="_Ref338852499"/>
    </w:p>
    <w:p w14:paraId="5EA87580" w14:textId="77777777" w:rsidR="00986070" w:rsidRPr="000F78E0" w:rsidRDefault="00986070" w:rsidP="00D64BB0">
      <w:pPr>
        <w:pStyle w:val="Norma1"/>
        <w:jc w:val="both"/>
        <w:rPr>
          <w:rFonts w:ascii="Calibri" w:hAnsi="Calibri" w:cs="Calibri"/>
        </w:rPr>
      </w:pPr>
    </w:p>
    <w:p w14:paraId="5EA87581" w14:textId="77777777" w:rsidR="003043AD" w:rsidRPr="002D32D5" w:rsidRDefault="00D64BB0" w:rsidP="007248E4">
      <w:pPr>
        <w:pStyle w:val="Heading1"/>
        <w:numPr>
          <w:ilvl w:val="0"/>
          <w:numId w:val="3"/>
        </w:numPr>
        <w:rPr>
          <w:rFonts w:ascii="Arial" w:hAnsi="Arial" w:cs="Arial"/>
          <w:sz w:val="24"/>
          <w:szCs w:val="24"/>
        </w:rPr>
      </w:pPr>
      <w:bookmarkStart w:id="50" w:name="_Ref373505239"/>
      <w:bookmarkStart w:id="51" w:name="_Toc381969518"/>
      <w:bookmarkStart w:id="52" w:name="_Toc405888467"/>
      <w:bookmarkStart w:id="53" w:name="_Toc496603083"/>
      <w:r w:rsidRPr="002D32D5">
        <w:rPr>
          <w:rFonts w:ascii="Arial" w:hAnsi="Arial" w:cs="Arial"/>
          <w:sz w:val="24"/>
          <w:szCs w:val="24"/>
        </w:rPr>
        <w:t>C</w:t>
      </w:r>
      <w:r w:rsidR="00A64B82" w:rsidRPr="002D32D5">
        <w:rPr>
          <w:rFonts w:ascii="Arial" w:hAnsi="Arial" w:cs="Arial"/>
          <w:sz w:val="24"/>
          <w:szCs w:val="24"/>
        </w:rPr>
        <w:t>onsortium Bids</w:t>
      </w:r>
      <w:bookmarkEnd w:id="50"/>
      <w:bookmarkEnd w:id="51"/>
      <w:bookmarkEnd w:id="52"/>
      <w:bookmarkEnd w:id="53"/>
    </w:p>
    <w:p w14:paraId="5EA87582" w14:textId="77777777" w:rsidR="00D64BB0" w:rsidRPr="000F78E0" w:rsidRDefault="00D64BB0" w:rsidP="00E4650D">
      <w:pPr>
        <w:pStyle w:val="Norma1"/>
        <w:jc w:val="both"/>
        <w:rPr>
          <w:rFonts w:cs="Arial"/>
        </w:rPr>
      </w:pPr>
    </w:p>
    <w:p w14:paraId="5EA87583" w14:textId="77777777" w:rsidR="00D65A99"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5EA87584" w14:textId="77777777" w:rsidR="003043AD" w:rsidRPr="000F78E0" w:rsidRDefault="003043AD" w:rsidP="00E4650D">
      <w:pPr>
        <w:pStyle w:val="FootnoteText"/>
        <w:ind w:left="567"/>
        <w:jc w:val="both"/>
        <w:rPr>
          <w:rFonts w:ascii="Arial" w:hAnsi="Arial" w:cs="Arial"/>
          <w:sz w:val="22"/>
          <w:szCs w:val="22"/>
          <w:lang w:eastAsia="en-GB"/>
        </w:rPr>
      </w:pPr>
    </w:p>
    <w:p w14:paraId="5EA87585" w14:textId="77777777" w:rsidR="003043AD" w:rsidRPr="000F78E0" w:rsidRDefault="003043AD" w:rsidP="00E72DB1">
      <w:pPr>
        <w:pStyle w:val="FootnoteText"/>
        <w:ind w:left="360"/>
        <w:jc w:val="both"/>
        <w:rPr>
          <w:rFonts w:ascii="Arial" w:hAnsi="Arial" w:cs="Arial"/>
          <w:sz w:val="22"/>
          <w:szCs w:val="22"/>
          <w:lang w:eastAsia="en-GB"/>
        </w:rPr>
      </w:pPr>
      <w:r w:rsidRPr="000F78E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0F78E0" w:rsidRDefault="003043AD" w:rsidP="00E4650D">
      <w:pPr>
        <w:pStyle w:val="FootnoteText"/>
        <w:ind w:left="567"/>
        <w:jc w:val="both"/>
        <w:rPr>
          <w:rFonts w:ascii="Arial" w:hAnsi="Arial" w:cs="Arial"/>
          <w:sz w:val="22"/>
          <w:szCs w:val="22"/>
          <w:lang w:eastAsia="en-GB"/>
        </w:rPr>
      </w:pPr>
    </w:p>
    <w:p w14:paraId="5EA87587" w14:textId="79EB2CDE" w:rsidR="00AD130E" w:rsidRPr="000F78E0" w:rsidRDefault="00AD130E" w:rsidP="00E72DB1">
      <w:pPr>
        <w:pStyle w:val="NoSpacing"/>
        <w:ind w:left="360"/>
        <w:jc w:val="both"/>
        <w:rPr>
          <w:rFonts w:ascii="Arial" w:hAnsi="Arial" w:cs="Arial"/>
        </w:rPr>
      </w:pPr>
      <w:r w:rsidRPr="000F78E0">
        <w:rPr>
          <w:rFonts w:ascii="Arial" w:hAnsi="Arial" w:cs="Arial"/>
        </w:rPr>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0F78E0" w:rsidRDefault="00AD130E" w:rsidP="00E4650D">
      <w:pPr>
        <w:pStyle w:val="NoSpacing"/>
        <w:jc w:val="both"/>
        <w:rPr>
          <w:rFonts w:ascii="Arial" w:hAnsi="Arial" w:cs="Arial"/>
        </w:rPr>
      </w:pPr>
    </w:p>
    <w:p w14:paraId="5EA87589" w14:textId="40024243" w:rsidR="00AD130E" w:rsidRPr="000F78E0" w:rsidRDefault="0097210C" w:rsidP="00E72DB1">
      <w:pPr>
        <w:pStyle w:val="NoSpacing"/>
        <w:ind w:left="360"/>
        <w:jc w:val="both"/>
        <w:rPr>
          <w:rFonts w:ascii="Arial" w:hAnsi="Arial" w:cs="Arial"/>
        </w:rPr>
      </w:pPr>
      <w:r w:rsidRPr="000F78E0">
        <w:rPr>
          <w:rFonts w:ascii="Arial" w:hAnsi="Arial" w:cs="Arial"/>
        </w:rPr>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A" w14:textId="77777777" w:rsidR="004A2B75" w:rsidRPr="000F78E0" w:rsidRDefault="004A2B75" w:rsidP="00053592">
      <w:pPr>
        <w:pStyle w:val="FootnoteText"/>
        <w:rPr>
          <w:rFonts w:cs="Calibri"/>
          <w:sz w:val="22"/>
          <w:szCs w:val="22"/>
          <w:lang w:eastAsia="en-GB"/>
        </w:rPr>
      </w:pPr>
    </w:p>
    <w:p w14:paraId="5EA8758B" w14:textId="77777777" w:rsidR="00F0291F" w:rsidRPr="002D32D5" w:rsidRDefault="00F0291F" w:rsidP="007248E4">
      <w:pPr>
        <w:pStyle w:val="Heading1"/>
        <w:numPr>
          <w:ilvl w:val="0"/>
          <w:numId w:val="3"/>
        </w:numPr>
        <w:rPr>
          <w:rFonts w:ascii="Arial" w:hAnsi="Arial" w:cs="Arial"/>
          <w:sz w:val="24"/>
          <w:szCs w:val="24"/>
        </w:rPr>
      </w:pPr>
      <w:bookmarkStart w:id="54" w:name="_Ref357541811"/>
      <w:bookmarkStart w:id="55" w:name="_Toc381969519"/>
      <w:bookmarkStart w:id="56" w:name="_Toc405888468"/>
      <w:bookmarkStart w:id="57" w:name="_Toc496603084"/>
      <w:bookmarkStart w:id="58" w:name="_Toc246831559"/>
      <w:bookmarkStart w:id="59" w:name="_Toc271272917"/>
      <w:bookmarkStart w:id="60" w:name="_Ref338852577"/>
      <w:bookmarkEnd w:id="49"/>
      <w:r w:rsidRPr="002D32D5">
        <w:rPr>
          <w:rFonts w:ascii="Arial" w:hAnsi="Arial" w:cs="Arial"/>
          <w:sz w:val="24"/>
          <w:szCs w:val="24"/>
        </w:rPr>
        <w:t>Budget</w:t>
      </w:r>
      <w:bookmarkEnd w:id="54"/>
      <w:bookmarkEnd w:id="55"/>
      <w:bookmarkEnd w:id="56"/>
      <w:bookmarkEnd w:id="57"/>
      <w:r w:rsidRPr="002D32D5">
        <w:rPr>
          <w:rFonts w:ascii="Arial" w:hAnsi="Arial" w:cs="Arial"/>
          <w:sz w:val="24"/>
          <w:szCs w:val="24"/>
        </w:rPr>
        <w:t xml:space="preserve"> </w:t>
      </w:r>
    </w:p>
    <w:p w14:paraId="5EA8758C" w14:textId="77777777" w:rsidR="004335BC" w:rsidRPr="000F78E0" w:rsidRDefault="004335BC" w:rsidP="004335BC">
      <w:pPr>
        <w:pStyle w:val="Norma1"/>
        <w:rPr>
          <w:rFonts w:ascii="Calibri" w:hAnsi="Calibri" w:cs="Calibri"/>
          <w:b/>
          <w:bCs/>
          <w:iCs/>
        </w:rPr>
      </w:pPr>
    </w:p>
    <w:p w14:paraId="14EFE20D" w14:textId="77777777" w:rsidR="0076749D" w:rsidRDefault="003C1CE8" w:rsidP="004759E5">
      <w:pPr>
        <w:pStyle w:val="Paragraph"/>
        <w:ind w:hanging="360"/>
        <w:rPr>
          <w:b/>
          <w:sz w:val="22"/>
          <w:szCs w:val="22"/>
        </w:rPr>
      </w:pPr>
      <w:r w:rsidRPr="00D474D9">
        <w:rPr>
          <w:sz w:val="22"/>
          <w:szCs w:val="22"/>
        </w:rPr>
        <w:t xml:space="preserve">The budget for this project is </w:t>
      </w:r>
      <w:r w:rsidR="003F50A3" w:rsidRPr="00D474D9">
        <w:rPr>
          <w:b/>
          <w:color w:val="000000" w:themeColor="text1"/>
          <w:sz w:val="22"/>
          <w:szCs w:val="22"/>
        </w:rPr>
        <w:t xml:space="preserve">up to </w:t>
      </w:r>
      <w:r w:rsidR="0076749D">
        <w:rPr>
          <w:b/>
          <w:color w:val="000000" w:themeColor="text1"/>
          <w:sz w:val="22"/>
          <w:szCs w:val="22"/>
        </w:rPr>
        <w:t>£120,000 excluding VAT (</w:t>
      </w:r>
      <w:r w:rsidR="003F50A3" w:rsidRPr="00D474D9">
        <w:rPr>
          <w:b/>
          <w:color w:val="000000" w:themeColor="text1"/>
          <w:sz w:val="22"/>
          <w:szCs w:val="22"/>
        </w:rPr>
        <w:t>£</w:t>
      </w:r>
      <w:r w:rsidR="004F061E" w:rsidRPr="00D474D9">
        <w:rPr>
          <w:b/>
          <w:color w:val="000000" w:themeColor="text1"/>
          <w:sz w:val="22"/>
          <w:szCs w:val="22"/>
        </w:rPr>
        <w:t>15</w:t>
      </w:r>
      <w:r w:rsidR="00243CB0" w:rsidRPr="00D474D9">
        <w:rPr>
          <w:b/>
          <w:color w:val="000000" w:themeColor="text1"/>
          <w:sz w:val="22"/>
          <w:szCs w:val="22"/>
        </w:rPr>
        <w:t>0,000</w:t>
      </w:r>
      <w:r w:rsidR="00685B87" w:rsidRPr="00D474D9">
        <w:rPr>
          <w:b/>
          <w:color w:val="000000" w:themeColor="text1"/>
          <w:sz w:val="22"/>
          <w:szCs w:val="22"/>
        </w:rPr>
        <w:t xml:space="preserve"> </w:t>
      </w:r>
      <w:r w:rsidR="00B5763D" w:rsidRPr="00D474D9">
        <w:rPr>
          <w:b/>
          <w:sz w:val="22"/>
          <w:szCs w:val="22"/>
        </w:rPr>
        <w:t>in</w:t>
      </w:r>
      <w:r w:rsidR="00685B87" w:rsidRPr="00D474D9">
        <w:rPr>
          <w:b/>
          <w:sz w:val="22"/>
          <w:szCs w:val="22"/>
        </w:rPr>
        <w:t>cluding VAT</w:t>
      </w:r>
      <w:r w:rsidR="0076749D">
        <w:rPr>
          <w:b/>
          <w:sz w:val="22"/>
          <w:szCs w:val="22"/>
        </w:rPr>
        <w:t>),</w:t>
      </w:r>
    </w:p>
    <w:p w14:paraId="5EA8758D" w14:textId="2C75DBE8" w:rsidR="003C1CE8" w:rsidRPr="0076749D" w:rsidRDefault="00D474D9" w:rsidP="0076749D">
      <w:pPr>
        <w:pStyle w:val="Paragraph"/>
        <w:ind w:hanging="360"/>
        <w:rPr>
          <w:b/>
          <w:sz w:val="22"/>
          <w:szCs w:val="22"/>
        </w:rPr>
      </w:pPr>
      <w:proofErr w:type="gramStart"/>
      <w:r w:rsidRPr="00D474D9">
        <w:rPr>
          <w:b/>
          <w:sz w:val="22"/>
          <w:szCs w:val="22"/>
        </w:rPr>
        <w:t>with</w:t>
      </w:r>
      <w:proofErr w:type="gramEnd"/>
      <w:r w:rsidRPr="00D474D9">
        <w:rPr>
          <w:b/>
          <w:sz w:val="22"/>
          <w:szCs w:val="22"/>
        </w:rPr>
        <w:t xml:space="preserve"> 4</w:t>
      </w:r>
      <w:r>
        <w:rPr>
          <w:b/>
          <w:sz w:val="22"/>
          <w:szCs w:val="22"/>
        </w:rPr>
        <w:t>0% falling in the</w:t>
      </w:r>
      <w:r w:rsidR="0076749D">
        <w:rPr>
          <w:b/>
          <w:sz w:val="22"/>
          <w:szCs w:val="22"/>
        </w:rPr>
        <w:t xml:space="preserve"> </w:t>
      </w:r>
      <w:r w:rsidRPr="00D474D9">
        <w:rPr>
          <w:b/>
          <w:sz w:val="22"/>
          <w:szCs w:val="22"/>
        </w:rPr>
        <w:t>18/19 financial year and 60% falling in the 19/20 financial year</w:t>
      </w:r>
      <w:r w:rsidR="004759E5" w:rsidRPr="00D474D9">
        <w:rPr>
          <w:b/>
          <w:sz w:val="22"/>
          <w:szCs w:val="22"/>
        </w:rPr>
        <w:t>.</w:t>
      </w:r>
    </w:p>
    <w:p w14:paraId="5EA8758E" w14:textId="77777777" w:rsidR="00B00EA2" w:rsidRPr="000F78E0" w:rsidRDefault="00B00EA2" w:rsidP="00E4650D">
      <w:pPr>
        <w:pStyle w:val="ListParagraph"/>
        <w:spacing w:line="240" w:lineRule="auto"/>
        <w:ind w:left="0"/>
        <w:jc w:val="both"/>
        <w:rPr>
          <w:rFonts w:ascii="Arial" w:hAnsi="Arial" w:cs="Arial"/>
        </w:rPr>
      </w:pPr>
    </w:p>
    <w:p w14:paraId="5EA8758F" w14:textId="57E50345" w:rsidR="0089058C" w:rsidRPr="000F78E0" w:rsidRDefault="003C1CE8" w:rsidP="00E72DB1">
      <w:pPr>
        <w:pStyle w:val="ListParagraph"/>
        <w:spacing w:line="240" w:lineRule="auto"/>
        <w:ind w:left="360"/>
        <w:jc w:val="both"/>
        <w:rPr>
          <w:rFonts w:ascii="Arial" w:hAnsi="Arial" w:cs="Arial"/>
        </w:rPr>
      </w:pPr>
      <w:r w:rsidRPr="000F78E0">
        <w:rPr>
          <w:rFonts w:ascii="Arial" w:hAnsi="Arial" w:cs="Arial"/>
        </w:rPr>
        <w:t xml:space="preserve">Contractors should provide a full and detailed breakdown of costs (including options where appropriate). This </w:t>
      </w:r>
      <w:r w:rsidR="00417A97">
        <w:rPr>
          <w:rFonts w:ascii="Arial" w:hAnsi="Arial" w:cs="Arial"/>
        </w:rPr>
        <w:t>must</w:t>
      </w:r>
      <w:r w:rsidRPr="000F78E0">
        <w:rPr>
          <w:rFonts w:ascii="Arial" w:hAnsi="Arial" w:cs="Arial"/>
        </w:rPr>
        <w:t xml:space="preserve"> include </w:t>
      </w:r>
      <w:r w:rsidR="00D474D9">
        <w:rPr>
          <w:rFonts w:ascii="Arial" w:hAnsi="Arial" w:cs="Arial"/>
        </w:rPr>
        <w:t xml:space="preserve">costs allocated by </w:t>
      </w:r>
      <w:r w:rsidRPr="000F78E0">
        <w:rPr>
          <w:rFonts w:ascii="Arial" w:hAnsi="Arial" w:cs="Arial"/>
        </w:rPr>
        <w:t xml:space="preserve">staff (and day rate) </w:t>
      </w:r>
      <w:r w:rsidR="00D474D9">
        <w:rPr>
          <w:rFonts w:ascii="Arial" w:hAnsi="Arial" w:cs="Arial"/>
        </w:rPr>
        <w:t>and allocated by</w:t>
      </w:r>
      <w:r w:rsidRPr="000F78E0">
        <w:rPr>
          <w:rFonts w:ascii="Arial" w:hAnsi="Arial" w:cs="Arial"/>
        </w:rPr>
        <w:t xml:space="preserve"> specific tasks</w:t>
      </w:r>
      <w:r w:rsidR="00417A97">
        <w:rPr>
          <w:rFonts w:ascii="Arial" w:hAnsi="Arial" w:cs="Arial"/>
        </w:rPr>
        <w:t xml:space="preserve"> (deliverables)</w:t>
      </w:r>
      <w:r w:rsidRPr="000F78E0">
        <w:rPr>
          <w:rFonts w:ascii="Arial" w:hAnsi="Arial" w:cs="Arial"/>
        </w:rPr>
        <w:t xml:space="preserve">. </w:t>
      </w:r>
      <w:bookmarkEnd w:id="58"/>
      <w:bookmarkEnd w:id="59"/>
      <w:bookmarkEnd w:id="60"/>
      <w:r w:rsidR="005E51C4">
        <w:rPr>
          <w:rFonts w:ascii="Arial" w:hAnsi="Arial" w:cs="Arial"/>
        </w:rPr>
        <w:t>Please include the number of days in the unpriced bid.</w:t>
      </w:r>
    </w:p>
    <w:p w14:paraId="5EA87590" w14:textId="77777777" w:rsidR="00272E19" w:rsidRPr="000F78E0" w:rsidRDefault="00272E19" w:rsidP="00E4650D">
      <w:pPr>
        <w:pStyle w:val="ListParagraph"/>
        <w:spacing w:line="240" w:lineRule="auto"/>
        <w:ind w:left="0"/>
        <w:jc w:val="both"/>
        <w:rPr>
          <w:rFonts w:ascii="Arial" w:hAnsi="Arial" w:cs="Arial"/>
        </w:rPr>
      </w:pPr>
    </w:p>
    <w:p w14:paraId="5EA87591" w14:textId="3D0A577D" w:rsidR="00220792" w:rsidRPr="000F78E0" w:rsidRDefault="00220792" w:rsidP="00E72DB1">
      <w:pPr>
        <w:pStyle w:val="ListParagraph"/>
        <w:spacing w:line="240" w:lineRule="auto"/>
        <w:ind w:left="360"/>
        <w:jc w:val="both"/>
        <w:rPr>
          <w:rFonts w:ascii="Arial" w:hAnsi="Arial" w:cs="Arial"/>
          <w:b/>
          <w:color w:val="FF0000"/>
        </w:rPr>
      </w:pPr>
      <w:r w:rsidRPr="000F78E0">
        <w:rPr>
          <w:rFonts w:ascii="Arial" w:hAnsi="Arial" w:cs="Arial"/>
        </w:rPr>
        <w:t>Cost will be a criterion against wh</w:t>
      </w:r>
      <w:r w:rsidR="006A7480">
        <w:rPr>
          <w:rFonts w:ascii="Arial" w:hAnsi="Arial" w:cs="Arial"/>
        </w:rPr>
        <w:t>ich bids which will be ass</w:t>
      </w:r>
      <w:r w:rsidR="00BB4C3F">
        <w:rPr>
          <w:rFonts w:ascii="Arial" w:hAnsi="Arial" w:cs="Arial"/>
        </w:rPr>
        <w:t>ess</w:t>
      </w:r>
      <w:r w:rsidR="00C20EAE" w:rsidRPr="000F78E0">
        <w:rPr>
          <w:rFonts w:ascii="Arial" w:hAnsi="Arial" w:cs="Arial"/>
        </w:rPr>
        <w:t>ed</w:t>
      </w:r>
      <w:r w:rsidR="002133A0" w:rsidRPr="00CF718E">
        <w:rPr>
          <w:rFonts w:ascii="Arial" w:hAnsi="Arial" w:cs="Arial"/>
        </w:rPr>
        <w:t>.</w:t>
      </w:r>
    </w:p>
    <w:p w14:paraId="5EA87592" w14:textId="77777777" w:rsidR="00220792" w:rsidRPr="000F78E0" w:rsidRDefault="00220792" w:rsidP="00E4650D">
      <w:pPr>
        <w:pStyle w:val="ListParagraph"/>
        <w:spacing w:line="240" w:lineRule="auto"/>
        <w:ind w:left="0"/>
        <w:jc w:val="both"/>
        <w:rPr>
          <w:rFonts w:ascii="Arial" w:hAnsi="Arial" w:cs="Arial"/>
        </w:rPr>
      </w:pPr>
    </w:p>
    <w:p w14:paraId="5EA87593" w14:textId="50A2B491" w:rsidR="00272E19" w:rsidRPr="000F78E0" w:rsidRDefault="00272E19" w:rsidP="00E72DB1">
      <w:pPr>
        <w:pStyle w:val="ListParagraph"/>
        <w:spacing w:after="0" w:line="240" w:lineRule="auto"/>
        <w:ind w:left="360"/>
        <w:jc w:val="both"/>
        <w:rPr>
          <w:rFonts w:ascii="Arial" w:hAnsi="Arial" w:cs="Arial"/>
        </w:rPr>
      </w:pPr>
      <w:r w:rsidRPr="000F78E0">
        <w:rPr>
          <w:rFonts w:ascii="Arial" w:hAnsi="Arial" w:cs="Arial"/>
        </w:rPr>
        <w:t xml:space="preserve">Payments will be linked to delivery of key milestones. The indicative milestones and phasing of payments </w:t>
      </w:r>
      <w:r w:rsidR="00DC39C6" w:rsidRPr="000F78E0">
        <w:rPr>
          <w:rFonts w:ascii="Arial" w:hAnsi="Arial" w:cs="Arial"/>
        </w:rPr>
        <w:t>can be adjusted and agreed with the contractor</w:t>
      </w:r>
      <w:r w:rsidR="007A11CB" w:rsidRPr="000F78E0">
        <w:rPr>
          <w:rFonts w:ascii="Arial" w:hAnsi="Arial" w:cs="Arial"/>
        </w:rPr>
        <w:t xml:space="preserve"> and Project Manager. </w:t>
      </w:r>
      <w:r w:rsidR="00E41E71" w:rsidRPr="000F78E0">
        <w:rPr>
          <w:rFonts w:ascii="Arial" w:hAnsi="Arial" w:cs="Arial"/>
        </w:rPr>
        <w:t>P</w:t>
      </w:r>
      <w:r w:rsidR="00DC39C6" w:rsidRPr="000F78E0">
        <w:rPr>
          <w:rFonts w:ascii="Arial" w:hAnsi="Arial" w:cs="Arial"/>
        </w:rPr>
        <w:t>lease advise in your tender response how this breakdown reflects your usual payment processes</w:t>
      </w:r>
      <w:r w:rsidR="00796CF2">
        <w:rPr>
          <w:rFonts w:ascii="Arial" w:hAnsi="Arial" w:cs="Arial"/>
        </w:rPr>
        <w:t>.</w:t>
      </w:r>
    </w:p>
    <w:p w14:paraId="5EA87594" w14:textId="77777777" w:rsidR="00DC39C6" w:rsidRPr="000F78E0" w:rsidRDefault="00DC39C6" w:rsidP="00DC39C6">
      <w:pPr>
        <w:pStyle w:val="ListParagraph"/>
        <w:spacing w:after="0" w:line="240" w:lineRule="auto"/>
        <w:ind w:left="0"/>
        <w:jc w:val="both"/>
        <w:rPr>
          <w:rFonts w:ascii="Arial" w:hAnsi="Arial" w:cs="Arial"/>
        </w:rPr>
      </w:pPr>
    </w:p>
    <w:p w14:paraId="5EA87595" w14:textId="77777777" w:rsidR="008261E0" w:rsidRPr="000F78E0" w:rsidRDefault="003C06AA" w:rsidP="00E72DB1">
      <w:pPr>
        <w:pStyle w:val="Norma1"/>
        <w:ind w:left="360"/>
        <w:jc w:val="both"/>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w:t>
      </w:r>
      <w:r w:rsidRPr="000F78E0">
        <w:rPr>
          <w:rFonts w:eastAsia="MS Mincho" w:cs="Arial"/>
          <w:lang w:eastAsia="en-US"/>
        </w:rPr>
        <w:lastRenderedPageBreak/>
        <w:t xml:space="preserve">applicable to the prime contractor must also be replicated with sub-contractors. </w:t>
      </w:r>
    </w:p>
    <w:p w14:paraId="5EA87596" w14:textId="77777777" w:rsidR="00532695" w:rsidRPr="000F78E0" w:rsidRDefault="00532695" w:rsidP="00E4650D">
      <w:pPr>
        <w:pStyle w:val="Norma1"/>
        <w:jc w:val="both"/>
        <w:rPr>
          <w:rFonts w:eastAsia="MS Mincho" w:cs="Arial"/>
          <w:lang w:eastAsia="en-US"/>
        </w:rPr>
      </w:pPr>
    </w:p>
    <w:p w14:paraId="5EA87597" w14:textId="56E6681C" w:rsidR="00443DE6" w:rsidRPr="000F78E0" w:rsidRDefault="00796CF2" w:rsidP="00E72DB1">
      <w:pPr>
        <w:pStyle w:val="Norma1"/>
        <w:ind w:left="360"/>
        <w:jc w:val="both"/>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8" w14:textId="77777777" w:rsidR="003C06AA" w:rsidRPr="002D4038" w:rsidRDefault="003C06AA" w:rsidP="003C1CE8">
      <w:pPr>
        <w:pStyle w:val="Norma1"/>
        <w:jc w:val="both"/>
        <w:rPr>
          <w:rFonts w:ascii="Calibri" w:hAnsi="Calibri" w:cs="Calibri"/>
          <w:highlight w:val="yellow"/>
        </w:rPr>
      </w:pPr>
    </w:p>
    <w:p w14:paraId="5EA87599" w14:textId="77777777" w:rsidR="003C1CE8" w:rsidRPr="002D32D5" w:rsidRDefault="005C6FBA" w:rsidP="007248E4">
      <w:pPr>
        <w:pStyle w:val="Heading1"/>
        <w:numPr>
          <w:ilvl w:val="0"/>
          <w:numId w:val="3"/>
        </w:numPr>
        <w:rPr>
          <w:rFonts w:ascii="Arial" w:hAnsi="Arial" w:cs="Arial"/>
          <w:sz w:val="24"/>
          <w:szCs w:val="24"/>
        </w:rPr>
      </w:pPr>
      <w:bookmarkStart w:id="61" w:name="_Ref357541836"/>
      <w:bookmarkStart w:id="62" w:name="_Toc381969520"/>
      <w:bookmarkStart w:id="63" w:name="_Toc405888469"/>
      <w:bookmarkStart w:id="64" w:name="_Toc496603085"/>
      <w:r w:rsidRPr="002D32D5">
        <w:rPr>
          <w:rFonts w:ascii="Arial" w:hAnsi="Arial" w:cs="Arial"/>
          <w:sz w:val="24"/>
          <w:szCs w:val="24"/>
        </w:rPr>
        <w:t>Evaluation of Tenders</w:t>
      </w:r>
      <w:bookmarkEnd w:id="61"/>
      <w:bookmarkEnd w:id="62"/>
      <w:bookmarkEnd w:id="63"/>
      <w:bookmarkEnd w:id="64"/>
    </w:p>
    <w:p w14:paraId="5EA8759A" w14:textId="77777777" w:rsidR="003C1CE8" w:rsidRPr="00E4650D" w:rsidRDefault="003C1CE8" w:rsidP="00E4650D">
      <w:pPr>
        <w:pStyle w:val="Norma1"/>
        <w:jc w:val="both"/>
        <w:rPr>
          <w:rFonts w:cs="Arial"/>
          <w:sz w:val="24"/>
          <w:szCs w:val="24"/>
        </w:rPr>
      </w:pPr>
    </w:p>
    <w:p w14:paraId="5EA8759B" w14:textId="39C9C798" w:rsidR="005C788B" w:rsidRPr="000F78E0" w:rsidRDefault="003C1CE8" w:rsidP="00E72DB1">
      <w:pPr>
        <w:pStyle w:val="Norma1"/>
        <w:ind w:left="360"/>
        <w:jc w:val="both"/>
        <w:rPr>
          <w:rFonts w:cs="Arial"/>
        </w:rPr>
      </w:pPr>
      <w:r w:rsidRPr="000F78E0">
        <w:rPr>
          <w:rFonts w:cs="Arial"/>
        </w:rPr>
        <w:t>Contractors are invited to submit full tenders of no more than</w:t>
      </w:r>
      <w:r w:rsidRPr="000F78E0">
        <w:rPr>
          <w:rFonts w:cs="Arial"/>
          <w:color w:val="0000FF"/>
        </w:rPr>
        <w:t xml:space="preserve"> </w:t>
      </w:r>
      <w:r w:rsidR="00D474D9">
        <w:rPr>
          <w:rFonts w:cs="Arial"/>
          <w:color w:val="000000" w:themeColor="text1"/>
        </w:rPr>
        <w:t>30</w:t>
      </w:r>
      <w:r w:rsidR="00832B02" w:rsidRPr="000F78E0">
        <w:rPr>
          <w:rFonts w:cs="Arial"/>
          <w:color w:val="FF0000"/>
        </w:rPr>
        <w:t xml:space="preserve"> </w:t>
      </w:r>
      <w:r w:rsidRPr="000F78E0">
        <w:rPr>
          <w:rFonts w:cs="Arial"/>
        </w:rPr>
        <w:t>pages</w:t>
      </w:r>
      <w:r w:rsidR="008036AA" w:rsidRPr="000F78E0">
        <w:rPr>
          <w:rFonts w:cs="Arial"/>
        </w:rPr>
        <w:t>, excluding declarations</w:t>
      </w:r>
      <w:r w:rsidRPr="000F78E0">
        <w:rPr>
          <w:rFonts w:cs="Arial"/>
        </w:rPr>
        <w:t>.</w:t>
      </w:r>
      <w:r w:rsidR="00E4650D" w:rsidRPr="000F78E0">
        <w:rPr>
          <w:rFonts w:cs="Arial"/>
        </w:rPr>
        <w:t xml:space="preserve"> </w:t>
      </w:r>
      <w:r w:rsidR="003C54D5" w:rsidRPr="000F78E0">
        <w:rPr>
          <w:rFonts w:cs="Arial"/>
        </w:rPr>
        <w:t>Tenders will be evaluated by at least three</w:t>
      </w:r>
      <w:r w:rsidR="00D474D9">
        <w:rPr>
          <w:rFonts w:cs="Arial"/>
        </w:rPr>
        <w:t xml:space="preserve"> </w:t>
      </w:r>
      <w:proofErr w:type="spellStart"/>
      <w:r w:rsidR="00D474D9">
        <w:rPr>
          <w:rFonts w:cs="Arial"/>
        </w:rPr>
        <w:t>sifters</w:t>
      </w:r>
      <w:proofErr w:type="spellEnd"/>
      <w:r w:rsidR="005C788B" w:rsidRPr="000F78E0">
        <w:rPr>
          <w:rFonts w:cs="Arial"/>
        </w:rPr>
        <w:t>.</w:t>
      </w:r>
    </w:p>
    <w:p w14:paraId="5EA8759C" w14:textId="77777777" w:rsidR="00E4650D" w:rsidRPr="000F78E0" w:rsidRDefault="00E4650D" w:rsidP="00E4650D">
      <w:pPr>
        <w:pStyle w:val="Norma1"/>
        <w:jc w:val="both"/>
        <w:rPr>
          <w:rFonts w:cs="Arial"/>
        </w:rPr>
      </w:pPr>
    </w:p>
    <w:p w14:paraId="5EA8759F" w14:textId="01609AEE" w:rsidR="00002825" w:rsidRPr="000F78E0" w:rsidRDefault="001A33AF" w:rsidP="00804221">
      <w:pPr>
        <w:pStyle w:val="NoSpacing"/>
        <w:ind w:left="360"/>
        <w:rPr>
          <w:rFonts w:ascii="Arial" w:hAnsi="Arial" w:cs="Arial"/>
        </w:rPr>
      </w:pPr>
      <w:r>
        <w:rPr>
          <w:rFonts w:ascii="Arial" w:hAnsi="Arial" w:cs="Arial"/>
        </w:rPr>
        <w:t>The ASC</w:t>
      </w:r>
      <w:r w:rsidR="003C54D5" w:rsidRPr="000F78E0">
        <w:rPr>
          <w:rFonts w:ascii="Arial" w:hAnsi="Arial" w:cs="Arial"/>
        </w:rPr>
        <w:t xml:space="preserve"> will select the bidder that </w:t>
      </w:r>
      <w:r w:rsidR="007C2B17" w:rsidRPr="000F78E0">
        <w:rPr>
          <w:rFonts w:ascii="Arial" w:hAnsi="Arial" w:cs="Arial"/>
        </w:rPr>
        <w:t>scores highest against the</w:t>
      </w:r>
      <w:r w:rsidR="003C54D5" w:rsidRPr="000F78E0">
        <w:rPr>
          <w:rFonts w:ascii="Arial" w:hAnsi="Arial" w:cs="Arial"/>
        </w:rPr>
        <w:t xml:space="preserve"> crit</w:t>
      </w:r>
      <w:r w:rsidR="00804221" w:rsidRPr="000F78E0">
        <w:rPr>
          <w:rFonts w:ascii="Arial" w:hAnsi="Arial" w:cs="Arial"/>
        </w:rPr>
        <w:t>eria and weighting listed below, s</w:t>
      </w:r>
      <w:r w:rsidR="00002825" w:rsidRPr="000F78E0">
        <w:rPr>
          <w:rFonts w:ascii="Arial" w:hAnsi="Arial" w:cs="Arial"/>
        </w:rPr>
        <w:t xml:space="preserve">ee </w:t>
      </w:r>
      <w:r w:rsidR="00EE50B0" w:rsidRPr="000F78E0">
        <w:rPr>
          <w:rFonts w:ascii="Arial" w:hAnsi="Arial" w:cs="Arial"/>
        </w:rPr>
        <w:t>the ITT</w:t>
      </w:r>
      <w:r w:rsidR="00002825" w:rsidRPr="000F78E0">
        <w:rPr>
          <w:rFonts w:ascii="Arial" w:hAnsi="Arial" w:cs="Arial"/>
        </w:rPr>
        <w:t xml:space="preserve"> for further information</w:t>
      </w:r>
      <w:r w:rsidR="00804221" w:rsidRPr="000F78E0">
        <w:rPr>
          <w:rFonts w:ascii="Arial" w:hAnsi="Arial" w:cs="Arial"/>
        </w:rPr>
        <w:t>.</w:t>
      </w:r>
    </w:p>
    <w:p w14:paraId="5EA875A0" w14:textId="77777777" w:rsidR="001623B7" w:rsidRDefault="001623B7" w:rsidP="001623B7">
      <w:pPr>
        <w:pStyle w:val="Norma1"/>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1"/>
        <w:spacing w:line="276" w:lineRule="auto"/>
        <w:rPr>
          <w:rFonts w:cs="Arial"/>
          <w:b/>
        </w:rPr>
      </w:pPr>
    </w:p>
    <w:p w14:paraId="5EA875A2" w14:textId="77777777" w:rsidR="001623B7" w:rsidRDefault="001623B7" w:rsidP="00941465">
      <w:pPr>
        <w:pStyle w:val="Norma1"/>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1"/>
        <w:spacing w:line="276" w:lineRule="auto"/>
        <w:rPr>
          <w:rFonts w:cs="Arial"/>
          <w:b/>
        </w:rPr>
      </w:pPr>
    </w:p>
    <w:p w14:paraId="5EA875A9" w14:textId="77777777" w:rsidR="001623B7" w:rsidRPr="00C6546D" w:rsidRDefault="001623B7" w:rsidP="001623B7">
      <w:pPr>
        <w:pStyle w:val="Norma1"/>
        <w:ind w:left="1197"/>
        <w:rPr>
          <w:rFonts w:cs="Arial"/>
          <w:color w:val="FF0000"/>
        </w:rPr>
      </w:pPr>
    </w:p>
    <w:tbl>
      <w:tblPr>
        <w:tblStyle w:val="NormalTable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807B62" w:rsidRPr="00C6546D" w14:paraId="06A49BC0" w14:textId="77777777" w:rsidTr="004F5DE1">
        <w:tc>
          <w:tcPr>
            <w:tcW w:w="1133" w:type="dxa"/>
          </w:tcPr>
          <w:p w14:paraId="0B7CE26B" w14:textId="77777777" w:rsidR="00807B62" w:rsidRPr="00F7796D" w:rsidRDefault="00807B62" w:rsidP="004F5DE1">
            <w:pPr>
              <w:pStyle w:val="Heading4"/>
              <w:rPr>
                <w:rFonts w:ascii="Arial" w:hAnsi="Arial" w:cs="Arial"/>
              </w:rPr>
            </w:pPr>
            <w:r w:rsidRPr="00F7796D">
              <w:rPr>
                <w:rFonts w:ascii="Arial" w:hAnsi="Arial" w:cs="Arial"/>
              </w:rPr>
              <w:t>Criterion</w:t>
            </w:r>
          </w:p>
        </w:tc>
        <w:tc>
          <w:tcPr>
            <w:tcW w:w="5638" w:type="dxa"/>
            <w:shd w:val="clear" w:color="auto" w:fill="auto"/>
          </w:tcPr>
          <w:p w14:paraId="5106CCC1" w14:textId="77777777" w:rsidR="00807B62" w:rsidRPr="00F7796D" w:rsidRDefault="00807B62" w:rsidP="004F5DE1">
            <w:pPr>
              <w:pStyle w:val="Heading4"/>
              <w:rPr>
                <w:rFonts w:ascii="Arial" w:hAnsi="Arial" w:cs="Arial"/>
              </w:rPr>
            </w:pPr>
            <w:r w:rsidRPr="00F7796D">
              <w:rPr>
                <w:rFonts w:ascii="Arial" w:hAnsi="Arial" w:cs="Arial"/>
              </w:rPr>
              <w:t>Description</w:t>
            </w:r>
          </w:p>
        </w:tc>
        <w:tc>
          <w:tcPr>
            <w:tcW w:w="2693" w:type="dxa"/>
            <w:shd w:val="clear" w:color="auto" w:fill="auto"/>
          </w:tcPr>
          <w:p w14:paraId="0CE9F690" w14:textId="77777777" w:rsidR="00807B62" w:rsidRPr="00F7796D" w:rsidRDefault="00807B62" w:rsidP="004F5DE1">
            <w:pPr>
              <w:pStyle w:val="Heading4"/>
              <w:rPr>
                <w:rFonts w:ascii="Arial" w:hAnsi="Arial" w:cs="Arial"/>
              </w:rPr>
            </w:pPr>
            <w:r w:rsidRPr="00F7796D">
              <w:rPr>
                <w:rFonts w:ascii="Arial" w:hAnsi="Arial" w:cs="Arial"/>
              </w:rPr>
              <w:t>Weighting</w:t>
            </w:r>
          </w:p>
        </w:tc>
      </w:tr>
      <w:tr w:rsidR="00807B62" w:rsidRPr="00C6546D" w14:paraId="61861309" w14:textId="77777777" w:rsidTr="004F5DE1">
        <w:tc>
          <w:tcPr>
            <w:tcW w:w="1133" w:type="dxa"/>
          </w:tcPr>
          <w:p w14:paraId="73F7D962" w14:textId="77777777" w:rsidR="00807B62" w:rsidRPr="00F7796D" w:rsidRDefault="00807B62" w:rsidP="004F5DE1">
            <w:pPr>
              <w:pStyle w:val="Norma1"/>
              <w:rPr>
                <w:rFonts w:cs="Arial"/>
              </w:rPr>
            </w:pPr>
            <w:r>
              <w:rPr>
                <w:rFonts w:cs="Arial"/>
              </w:rPr>
              <w:t>1</w:t>
            </w:r>
          </w:p>
        </w:tc>
        <w:tc>
          <w:tcPr>
            <w:tcW w:w="5638" w:type="dxa"/>
            <w:shd w:val="clear" w:color="auto" w:fill="auto"/>
          </w:tcPr>
          <w:p w14:paraId="065B6D21" w14:textId="77777777" w:rsidR="00807B62" w:rsidRPr="00F7796D" w:rsidRDefault="00807B62" w:rsidP="004F5DE1">
            <w:pPr>
              <w:pStyle w:val="Norma1"/>
              <w:rPr>
                <w:rFonts w:cs="Arial"/>
              </w:rPr>
            </w:pPr>
            <w:r w:rsidRPr="00334AEE">
              <w:rPr>
                <w:rFonts w:ascii="Calibri" w:hAnsi="Calibri"/>
                <w:b/>
              </w:rPr>
              <w:t>RELEVANT EXPERIENCE</w:t>
            </w:r>
            <w:r>
              <w:rPr>
                <w:rFonts w:ascii="Calibri" w:hAnsi="Calibri"/>
                <w:b/>
              </w:rPr>
              <w:t xml:space="preserve"> / DEMONSTRATION OF CAPABILITY OF THE PROPOSED PROJECT TEAM</w:t>
            </w:r>
          </w:p>
        </w:tc>
        <w:tc>
          <w:tcPr>
            <w:tcW w:w="2693" w:type="dxa"/>
            <w:shd w:val="clear" w:color="auto" w:fill="auto"/>
          </w:tcPr>
          <w:p w14:paraId="7C764D72" w14:textId="77777777" w:rsidR="00807B62" w:rsidRPr="00F7796D" w:rsidRDefault="00807B62" w:rsidP="004F5DE1">
            <w:pPr>
              <w:pStyle w:val="Norma1"/>
              <w:rPr>
                <w:rFonts w:cs="Arial"/>
              </w:rPr>
            </w:pPr>
            <w:r>
              <w:rPr>
                <w:rFonts w:cs="Arial"/>
              </w:rPr>
              <w:t>30%</w:t>
            </w:r>
          </w:p>
        </w:tc>
      </w:tr>
      <w:tr w:rsidR="00807B62" w:rsidRPr="00C6546D" w14:paraId="2F17D29C" w14:textId="77777777" w:rsidTr="004F5DE1">
        <w:tc>
          <w:tcPr>
            <w:tcW w:w="1133" w:type="dxa"/>
          </w:tcPr>
          <w:p w14:paraId="6F952D96" w14:textId="77777777" w:rsidR="00807B62" w:rsidRPr="00F7796D" w:rsidRDefault="00807B62" w:rsidP="004F5DE1">
            <w:pPr>
              <w:pStyle w:val="Norma1"/>
              <w:rPr>
                <w:rFonts w:cs="Arial"/>
              </w:rPr>
            </w:pPr>
            <w:r>
              <w:rPr>
                <w:rFonts w:cs="Arial"/>
              </w:rPr>
              <w:t>2</w:t>
            </w:r>
          </w:p>
        </w:tc>
        <w:tc>
          <w:tcPr>
            <w:tcW w:w="5638" w:type="dxa"/>
            <w:shd w:val="clear" w:color="auto" w:fill="auto"/>
          </w:tcPr>
          <w:p w14:paraId="4902D438" w14:textId="77777777" w:rsidR="00807B62" w:rsidRPr="00F7796D" w:rsidRDefault="00807B62" w:rsidP="004F5DE1">
            <w:pPr>
              <w:pStyle w:val="Norma1"/>
              <w:rPr>
                <w:rFonts w:cs="Arial"/>
              </w:rPr>
            </w:pPr>
            <w:r w:rsidRPr="00334AEE">
              <w:rPr>
                <w:rFonts w:ascii="Calibri" w:hAnsi="Calibri"/>
                <w:b/>
              </w:rPr>
              <w:t>QUALITY ASSURING THE SERVICES YOU PROVIDE</w:t>
            </w:r>
          </w:p>
        </w:tc>
        <w:tc>
          <w:tcPr>
            <w:tcW w:w="2693" w:type="dxa"/>
            <w:shd w:val="clear" w:color="auto" w:fill="auto"/>
          </w:tcPr>
          <w:p w14:paraId="0C944495" w14:textId="77777777" w:rsidR="00807B62" w:rsidRPr="00F7796D" w:rsidRDefault="00807B62" w:rsidP="004F5DE1">
            <w:pPr>
              <w:pStyle w:val="Norma1"/>
              <w:rPr>
                <w:rFonts w:cs="Arial"/>
              </w:rPr>
            </w:pPr>
            <w:r>
              <w:rPr>
                <w:rFonts w:cs="Arial"/>
              </w:rPr>
              <w:t>5%</w:t>
            </w:r>
          </w:p>
        </w:tc>
      </w:tr>
      <w:tr w:rsidR="00807B62" w:rsidRPr="00C6546D" w14:paraId="5AF21B85" w14:textId="77777777" w:rsidTr="004F5DE1">
        <w:tc>
          <w:tcPr>
            <w:tcW w:w="1133" w:type="dxa"/>
          </w:tcPr>
          <w:p w14:paraId="3FF77347" w14:textId="77777777" w:rsidR="00807B62" w:rsidRPr="00F7796D" w:rsidRDefault="00807B62" w:rsidP="004F5DE1">
            <w:pPr>
              <w:pStyle w:val="Norma1"/>
              <w:rPr>
                <w:rFonts w:cs="Arial"/>
              </w:rPr>
            </w:pPr>
            <w:r>
              <w:rPr>
                <w:rFonts w:cs="Arial"/>
              </w:rPr>
              <w:t>3</w:t>
            </w:r>
          </w:p>
        </w:tc>
        <w:tc>
          <w:tcPr>
            <w:tcW w:w="5638" w:type="dxa"/>
            <w:shd w:val="clear" w:color="auto" w:fill="auto"/>
          </w:tcPr>
          <w:p w14:paraId="130E4502" w14:textId="77777777" w:rsidR="00807B62" w:rsidRPr="00F7796D" w:rsidRDefault="00807B62" w:rsidP="004F5DE1">
            <w:pPr>
              <w:pStyle w:val="Norma1"/>
              <w:rPr>
                <w:rFonts w:cs="Arial"/>
              </w:rPr>
            </w:pPr>
            <w:r w:rsidRPr="00334AEE">
              <w:rPr>
                <w:rFonts w:ascii="Calibri" w:hAnsi="Calibri"/>
                <w:b/>
              </w:rPr>
              <w:t>MANAGEMENT STRUCTURE</w:t>
            </w:r>
            <w:r>
              <w:rPr>
                <w:rFonts w:ascii="Calibri" w:hAnsi="Calibri"/>
                <w:b/>
              </w:rPr>
              <w:t xml:space="preserve"> AND MANAGING RELATIONSHIP WITH THE CCC</w:t>
            </w:r>
          </w:p>
        </w:tc>
        <w:tc>
          <w:tcPr>
            <w:tcW w:w="2693" w:type="dxa"/>
            <w:shd w:val="clear" w:color="auto" w:fill="auto"/>
          </w:tcPr>
          <w:p w14:paraId="257A2BE1" w14:textId="77777777" w:rsidR="00807B62" w:rsidRPr="00F7796D" w:rsidRDefault="00807B62" w:rsidP="004F5DE1">
            <w:pPr>
              <w:pStyle w:val="Norma1"/>
              <w:rPr>
                <w:rFonts w:cs="Arial"/>
              </w:rPr>
            </w:pPr>
            <w:r>
              <w:rPr>
                <w:rFonts w:cs="Arial"/>
              </w:rPr>
              <w:t>10%</w:t>
            </w:r>
          </w:p>
        </w:tc>
      </w:tr>
      <w:tr w:rsidR="00807B62" w:rsidRPr="00C6546D" w14:paraId="478D1CD7" w14:textId="77777777" w:rsidTr="004F5DE1">
        <w:tc>
          <w:tcPr>
            <w:tcW w:w="1133" w:type="dxa"/>
          </w:tcPr>
          <w:p w14:paraId="1516B3C8" w14:textId="77777777" w:rsidR="00807B62" w:rsidRPr="00F7796D" w:rsidRDefault="00807B62" w:rsidP="004F5DE1">
            <w:pPr>
              <w:pStyle w:val="Norma1"/>
              <w:rPr>
                <w:rFonts w:cs="Arial"/>
              </w:rPr>
            </w:pPr>
            <w:r>
              <w:rPr>
                <w:rFonts w:cs="Arial"/>
              </w:rPr>
              <w:t>4</w:t>
            </w:r>
          </w:p>
        </w:tc>
        <w:tc>
          <w:tcPr>
            <w:tcW w:w="5638" w:type="dxa"/>
            <w:shd w:val="clear" w:color="auto" w:fill="auto"/>
          </w:tcPr>
          <w:p w14:paraId="22FBB9CD" w14:textId="77777777" w:rsidR="00807B62" w:rsidRPr="00F7796D" w:rsidRDefault="00807B62" w:rsidP="004F5DE1">
            <w:pPr>
              <w:pStyle w:val="Norma1"/>
              <w:rPr>
                <w:rFonts w:cs="Arial"/>
              </w:rPr>
            </w:pPr>
            <w:r w:rsidRPr="00334AEE">
              <w:rPr>
                <w:rFonts w:ascii="Calibri" w:hAnsi="Calibri"/>
                <w:b/>
              </w:rPr>
              <w:t>METHOD</w:t>
            </w:r>
          </w:p>
        </w:tc>
        <w:tc>
          <w:tcPr>
            <w:tcW w:w="2693" w:type="dxa"/>
            <w:shd w:val="clear" w:color="auto" w:fill="auto"/>
          </w:tcPr>
          <w:p w14:paraId="2E13C584" w14:textId="77777777" w:rsidR="00807B62" w:rsidRPr="00F7796D" w:rsidRDefault="00807B62" w:rsidP="004F5DE1">
            <w:pPr>
              <w:pStyle w:val="Norma1"/>
              <w:rPr>
                <w:rFonts w:cs="Arial"/>
              </w:rPr>
            </w:pPr>
            <w:r>
              <w:rPr>
                <w:rFonts w:cs="Arial"/>
              </w:rPr>
              <w:t>35%</w:t>
            </w:r>
          </w:p>
        </w:tc>
      </w:tr>
      <w:tr w:rsidR="00807B62" w:rsidRPr="00C6546D" w14:paraId="0AD3F451" w14:textId="77777777" w:rsidTr="004F5DE1">
        <w:tc>
          <w:tcPr>
            <w:tcW w:w="1133" w:type="dxa"/>
          </w:tcPr>
          <w:p w14:paraId="0B982D50" w14:textId="77777777" w:rsidR="00807B62" w:rsidRPr="00F7796D" w:rsidRDefault="00807B62" w:rsidP="004F5DE1">
            <w:pPr>
              <w:pStyle w:val="Norma1"/>
              <w:rPr>
                <w:rFonts w:cs="Arial"/>
              </w:rPr>
            </w:pPr>
            <w:r>
              <w:rPr>
                <w:rFonts w:cs="Arial"/>
              </w:rPr>
              <w:t>5</w:t>
            </w:r>
          </w:p>
        </w:tc>
        <w:tc>
          <w:tcPr>
            <w:tcW w:w="5638" w:type="dxa"/>
            <w:shd w:val="clear" w:color="auto" w:fill="auto"/>
          </w:tcPr>
          <w:p w14:paraId="680F1B4B" w14:textId="77777777" w:rsidR="00807B62" w:rsidRPr="00F7796D" w:rsidRDefault="00807B62" w:rsidP="004F5DE1">
            <w:pPr>
              <w:pStyle w:val="Norma1"/>
              <w:rPr>
                <w:rFonts w:cs="Arial"/>
              </w:rPr>
            </w:pPr>
            <w:r w:rsidRPr="00334AEE">
              <w:rPr>
                <w:rFonts w:ascii="Calibri" w:hAnsi="Calibri"/>
                <w:b/>
              </w:rPr>
              <w:t>UNDERSTANDING OF REQUIREMENTS</w:t>
            </w:r>
          </w:p>
        </w:tc>
        <w:tc>
          <w:tcPr>
            <w:tcW w:w="2693" w:type="dxa"/>
            <w:shd w:val="clear" w:color="auto" w:fill="auto"/>
          </w:tcPr>
          <w:p w14:paraId="26970628" w14:textId="77777777" w:rsidR="00807B62" w:rsidRPr="00F7796D" w:rsidRDefault="00807B62" w:rsidP="004F5DE1">
            <w:pPr>
              <w:pStyle w:val="Norma1"/>
              <w:rPr>
                <w:rFonts w:cs="Arial"/>
              </w:rPr>
            </w:pPr>
            <w:r>
              <w:rPr>
                <w:rFonts w:cs="Arial"/>
              </w:rPr>
              <w:t>10%</w:t>
            </w:r>
          </w:p>
        </w:tc>
      </w:tr>
      <w:tr w:rsidR="00807B62" w:rsidRPr="00C6546D" w14:paraId="6BF309B6" w14:textId="77777777" w:rsidTr="004F5DE1">
        <w:tc>
          <w:tcPr>
            <w:tcW w:w="1133" w:type="dxa"/>
          </w:tcPr>
          <w:p w14:paraId="00507B5B" w14:textId="77777777" w:rsidR="00807B62" w:rsidRPr="00F7796D" w:rsidRDefault="00807B62" w:rsidP="004F5DE1">
            <w:pPr>
              <w:pStyle w:val="Norma1"/>
              <w:rPr>
                <w:rFonts w:cs="Arial"/>
              </w:rPr>
            </w:pPr>
            <w:r>
              <w:rPr>
                <w:rFonts w:cs="Arial"/>
              </w:rPr>
              <w:t>6</w:t>
            </w:r>
          </w:p>
        </w:tc>
        <w:tc>
          <w:tcPr>
            <w:tcW w:w="5638" w:type="dxa"/>
            <w:shd w:val="clear" w:color="auto" w:fill="auto"/>
          </w:tcPr>
          <w:p w14:paraId="2A9900D1" w14:textId="77777777" w:rsidR="00807B62" w:rsidRPr="00F7796D" w:rsidRDefault="00807B62" w:rsidP="004F5DE1">
            <w:pPr>
              <w:pStyle w:val="Norma1"/>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4AC11297" w14:textId="77777777" w:rsidR="00807B62" w:rsidRPr="00F7796D" w:rsidRDefault="00807B62" w:rsidP="004F5DE1">
            <w:pPr>
              <w:pStyle w:val="Norma1"/>
              <w:rPr>
                <w:rFonts w:cs="Arial"/>
              </w:rPr>
            </w:pPr>
            <w:r>
              <w:rPr>
                <w:rFonts w:cs="Arial"/>
              </w:rPr>
              <w:t>10%</w:t>
            </w:r>
          </w:p>
        </w:tc>
      </w:tr>
      <w:tr w:rsidR="00807B62" w:rsidRPr="00C6546D" w14:paraId="523D89A1" w14:textId="77777777" w:rsidTr="004F5DE1">
        <w:tc>
          <w:tcPr>
            <w:tcW w:w="1133" w:type="dxa"/>
          </w:tcPr>
          <w:p w14:paraId="65C889AB" w14:textId="77777777" w:rsidR="00807B62" w:rsidRPr="00F7796D" w:rsidRDefault="00807B62" w:rsidP="004F5DE1">
            <w:pPr>
              <w:pStyle w:val="Norma1"/>
              <w:rPr>
                <w:rFonts w:cs="Arial"/>
              </w:rPr>
            </w:pPr>
          </w:p>
        </w:tc>
        <w:tc>
          <w:tcPr>
            <w:tcW w:w="5638" w:type="dxa"/>
            <w:shd w:val="clear" w:color="auto" w:fill="auto"/>
          </w:tcPr>
          <w:p w14:paraId="59565D61" w14:textId="77777777" w:rsidR="00807B62" w:rsidRPr="00F7796D" w:rsidRDefault="00807B62" w:rsidP="004F5DE1">
            <w:pPr>
              <w:pStyle w:val="Norma1"/>
              <w:rPr>
                <w:rFonts w:cs="Arial"/>
              </w:rPr>
            </w:pPr>
          </w:p>
        </w:tc>
        <w:tc>
          <w:tcPr>
            <w:tcW w:w="2693" w:type="dxa"/>
            <w:shd w:val="clear" w:color="auto" w:fill="auto"/>
          </w:tcPr>
          <w:p w14:paraId="61494088" w14:textId="77777777" w:rsidR="00807B62" w:rsidRPr="00F7796D" w:rsidRDefault="00807B62" w:rsidP="004F5DE1">
            <w:pPr>
              <w:pStyle w:val="Norma1"/>
              <w:rPr>
                <w:rFonts w:cs="Arial"/>
              </w:rPr>
            </w:pPr>
          </w:p>
        </w:tc>
      </w:tr>
      <w:tr w:rsidR="00807B62" w:rsidRPr="00C6546D" w14:paraId="7BD302C2" w14:textId="77777777" w:rsidTr="004F5DE1">
        <w:tc>
          <w:tcPr>
            <w:tcW w:w="6771" w:type="dxa"/>
            <w:gridSpan w:val="2"/>
          </w:tcPr>
          <w:p w14:paraId="1DD5D8BB" w14:textId="77777777" w:rsidR="00807B62" w:rsidRPr="00F7796D" w:rsidRDefault="00807B62" w:rsidP="004F5DE1">
            <w:pPr>
              <w:pStyle w:val="Norma1"/>
              <w:rPr>
                <w:rFonts w:cs="Arial"/>
              </w:rPr>
            </w:pPr>
          </w:p>
        </w:tc>
        <w:tc>
          <w:tcPr>
            <w:tcW w:w="2693" w:type="dxa"/>
            <w:shd w:val="clear" w:color="auto" w:fill="auto"/>
          </w:tcPr>
          <w:p w14:paraId="2FE83F59" w14:textId="77777777" w:rsidR="00807B62" w:rsidRPr="00F7796D" w:rsidRDefault="00807B62" w:rsidP="004F5DE1">
            <w:pPr>
              <w:pStyle w:val="Norma1"/>
              <w:rPr>
                <w:rFonts w:cs="Arial"/>
              </w:rPr>
            </w:pPr>
            <w:r w:rsidRPr="00F7796D">
              <w:rPr>
                <w:rFonts w:cs="Arial"/>
              </w:rPr>
              <w:t>100%</w:t>
            </w:r>
          </w:p>
        </w:tc>
      </w:tr>
    </w:tbl>
    <w:p w14:paraId="5EA875CD" w14:textId="77777777" w:rsidR="001623B7" w:rsidRDefault="001623B7" w:rsidP="001623B7">
      <w:pPr>
        <w:pStyle w:val="Norma1"/>
      </w:pPr>
    </w:p>
    <w:p w14:paraId="405ED9CC" w14:textId="77777777" w:rsidR="0089389E" w:rsidRDefault="0089389E" w:rsidP="00F129F3">
      <w:pPr>
        <w:pStyle w:val="Norma1"/>
        <w:jc w:val="both"/>
        <w:rPr>
          <w:rFonts w:cs="Arial"/>
          <w:b/>
          <w:bCs/>
          <w:sz w:val="24"/>
          <w:szCs w:val="24"/>
        </w:rPr>
      </w:pPr>
    </w:p>
    <w:p w14:paraId="5EA875CE" w14:textId="316D46F5" w:rsidR="00F129F3" w:rsidRPr="00E4650D" w:rsidRDefault="00F129F3" w:rsidP="00F129F3">
      <w:pPr>
        <w:pStyle w:val="Norma1"/>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1"/>
        <w:jc w:val="both"/>
        <w:rPr>
          <w:rFonts w:cs="Arial"/>
          <w:b/>
          <w:bCs/>
        </w:rPr>
      </w:pPr>
    </w:p>
    <w:p w14:paraId="5EA875D0" w14:textId="77777777" w:rsidR="00F129F3" w:rsidRPr="000F78E0" w:rsidRDefault="00F129F3" w:rsidP="00F129F3">
      <w:pPr>
        <w:pStyle w:val="Norma1"/>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0F78E0" w:rsidRDefault="00F129F3" w:rsidP="00F129F3">
      <w:pPr>
        <w:pStyle w:val="Norma1"/>
        <w:jc w:val="both"/>
        <w:rPr>
          <w:rFonts w:cs="Arial"/>
          <w:bCs/>
        </w:rPr>
      </w:pPr>
    </w:p>
    <w:p w14:paraId="5EA875D2" w14:textId="77777777" w:rsidR="00F129F3" w:rsidRPr="000F78E0" w:rsidRDefault="00F129F3" w:rsidP="00F129F3">
      <w:pPr>
        <w:pStyle w:val="Norma1"/>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0F78E0" w:rsidRDefault="0089389E" w:rsidP="00F129F3">
      <w:pPr>
        <w:pStyle w:val="Norma1"/>
        <w:jc w:val="both"/>
        <w:rPr>
          <w:rFonts w:cs="Arial"/>
        </w:rPr>
      </w:pPr>
    </w:p>
    <w:p w14:paraId="5EA875D3" w14:textId="77777777" w:rsidR="00F129F3" w:rsidRPr="000F78E0" w:rsidRDefault="00F129F3" w:rsidP="00F129F3">
      <w:pPr>
        <w:pStyle w:val="Norma1"/>
        <w:spacing w:line="276" w:lineRule="auto"/>
        <w:rPr>
          <w:rFonts w:ascii="Calibri" w:hAnsi="Calibri" w:cs="Calibri"/>
          <w:color w:val="0000FF"/>
        </w:rPr>
      </w:pPr>
    </w:p>
    <w:tbl>
      <w:tblPr>
        <w:tblStyle w:val="Normal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914FB8">
            <w:pPr>
              <w:pStyle w:val="Norma1"/>
              <w:keepNext/>
              <w:keepLines/>
              <w:spacing w:line="276" w:lineRule="auto"/>
              <w:jc w:val="both"/>
              <w:rPr>
                <w:rFonts w:cs="Arial"/>
                <w:b/>
              </w:rPr>
            </w:pPr>
            <w:r w:rsidRPr="000F78E0">
              <w:rPr>
                <w:rFonts w:cs="Arial"/>
                <w:b/>
              </w:rPr>
              <w:lastRenderedPageBreak/>
              <w:t>Score</w:t>
            </w:r>
          </w:p>
        </w:tc>
        <w:tc>
          <w:tcPr>
            <w:tcW w:w="7939" w:type="dxa"/>
          </w:tcPr>
          <w:p w14:paraId="5EA875D5" w14:textId="77777777" w:rsidR="00F129F3" w:rsidRPr="000F78E0" w:rsidRDefault="00F129F3" w:rsidP="00914FB8">
            <w:pPr>
              <w:pStyle w:val="Norma1"/>
              <w:keepNext/>
              <w:keepLines/>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914FB8">
            <w:pPr>
              <w:pStyle w:val="Norma1"/>
              <w:keepNext/>
              <w:keepLines/>
              <w:spacing w:line="276" w:lineRule="auto"/>
              <w:jc w:val="both"/>
              <w:rPr>
                <w:rFonts w:cs="Arial"/>
              </w:rPr>
            </w:pPr>
            <w:r w:rsidRPr="000F78E0">
              <w:rPr>
                <w:rFonts w:cs="Arial"/>
              </w:rPr>
              <w:t>1</w:t>
            </w:r>
          </w:p>
        </w:tc>
        <w:tc>
          <w:tcPr>
            <w:tcW w:w="7939" w:type="dxa"/>
          </w:tcPr>
          <w:p w14:paraId="5EA875D8" w14:textId="77777777" w:rsidR="00F129F3" w:rsidRPr="000F78E0" w:rsidRDefault="00F129F3" w:rsidP="00914FB8">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914FB8">
            <w:pPr>
              <w:pStyle w:val="Norma1"/>
              <w:keepNext/>
              <w:keepLines/>
              <w:spacing w:line="276" w:lineRule="auto"/>
              <w:jc w:val="both"/>
              <w:rPr>
                <w:rFonts w:cs="Arial"/>
              </w:rPr>
            </w:pPr>
            <w:r w:rsidRPr="000F78E0">
              <w:rPr>
                <w:rFonts w:cs="Arial"/>
              </w:rPr>
              <w:t>2</w:t>
            </w:r>
          </w:p>
        </w:tc>
        <w:tc>
          <w:tcPr>
            <w:tcW w:w="7939" w:type="dxa"/>
          </w:tcPr>
          <w:p w14:paraId="5EA875DB" w14:textId="77777777" w:rsidR="00F129F3" w:rsidRPr="000F78E0" w:rsidRDefault="00F129F3" w:rsidP="00914FB8">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914FB8">
            <w:pPr>
              <w:pStyle w:val="Norma1"/>
              <w:keepNext/>
              <w:keepLines/>
              <w:spacing w:line="276" w:lineRule="auto"/>
              <w:jc w:val="both"/>
              <w:rPr>
                <w:rFonts w:cs="Arial"/>
              </w:rPr>
            </w:pPr>
            <w:r w:rsidRPr="000F78E0">
              <w:rPr>
                <w:rFonts w:cs="Arial"/>
              </w:rPr>
              <w:t>3</w:t>
            </w:r>
          </w:p>
        </w:tc>
        <w:tc>
          <w:tcPr>
            <w:tcW w:w="7939" w:type="dxa"/>
          </w:tcPr>
          <w:p w14:paraId="5EA875DE" w14:textId="77777777" w:rsidR="00F129F3" w:rsidRPr="000F78E0" w:rsidRDefault="00F129F3" w:rsidP="00914FB8">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914FB8">
            <w:pPr>
              <w:pStyle w:val="Norma1"/>
              <w:keepNext/>
              <w:keepLines/>
              <w:spacing w:line="276" w:lineRule="auto"/>
              <w:jc w:val="both"/>
              <w:rPr>
                <w:rFonts w:cs="Arial"/>
              </w:rPr>
            </w:pPr>
            <w:r w:rsidRPr="000F78E0">
              <w:rPr>
                <w:rFonts w:cs="Arial"/>
              </w:rPr>
              <w:t>4</w:t>
            </w:r>
          </w:p>
        </w:tc>
        <w:tc>
          <w:tcPr>
            <w:tcW w:w="7939" w:type="dxa"/>
          </w:tcPr>
          <w:p w14:paraId="5EA875E1" w14:textId="77777777" w:rsidR="00F129F3" w:rsidRPr="000F78E0" w:rsidRDefault="00F129F3" w:rsidP="00914FB8">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914FB8">
            <w:pPr>
              <w:pStyle w:val="Norma1"/>
              <w:keepNext/>
              <w:keepLines/>
              <w:spacing w:line="276" w:lineRule="auto"/>
              <w:jc w:val="both"/>
              <w:rPr>
                <w:rFonts w:cs="Arial"/>
              </w:rPr>
            </w:pPr>
            <w:r w:rsidRPr="000F78E0">
              <w:rPr>
                <w:rFonts w:cs="Arial"/>
              </w:rPr>
              <w:t>5</w:t>
            </w:r>
          </w:p>
        </w:tc>
        <w:tc>
          <w:tcPr>
            <w:tcW w:w="7939" w:type="dxa"/>
          </w:tcPr>
          <w:p w14:paraId="5EA875E4" w14:textId="77777777" w:rsidR="00F129F3" w:rsidRPr="000F78E0" w:rsidRDefault="00F129F3" w:rsidP="00914FB8">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5EA87614" w14:textId="77777777" w:rsidR="001623B7" w:rsidRPr="000F78E0" w:rsidRDefault="001623B7" w:rsidP="001623B7">
      <w:pPr>
        <w:pStyle w:val="Norma1"/>
        <w:widowControl/>
        <w:overflowPunct/>
        <w:autoSpaceDE/>
        <w:autoSpaceDN/>
        <w:adjustRightInd/>
        <w:jc w:val="both"/>
        <w:textAlignment w:val="auto"/>
        <w:rPr>
          <w:rFonts w:cs="Arial"/>
        </w:rPr>
      </w:pPr>
      <w:bookmarkStart w:id="65" w:name="nine01"/>
      <w:bookmarkEnd w:id="65"/>
    </w:p>
    <w:p w14:paraId="5EA87615" w14:textId="77777777" w:rsidR="004A2B75" w:rsidRPr="000F78E0" w:rsidRDefault="004A2B75" w:rsidP="00E4650D">
      <w:pPr>
        <w:pStyle w:val="Norma1"/>
        <w:jc w:val="both"/>
        <w:rPr>
          <w:rFonts w:cs="Arial"/>
          <w:b/>
        </w:rPr>
      </w:pPr>
    </w:p>
    <w:p w14:paraId="5EA87616" w14:textId="4848036A" w:rsidR="00BD1875" w:rsidRPr="00E4650D" w:rsidRDefault="00BD1875" w:rsidP="00E4650D">
      <w:pPr>
        <w:pStyle w:val="Norma1"/>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1"/>
        <w:jc w:val="both"/>
        <w:rPr>
          <w:rFonts w:cs="Arial"/>
          <w:sz w:val="24"/>
          <w:szCs w:val="24"/>
        </w:rPr>
      </w:pPr>
    </w:p>
    <w:p w14:paraId="5EA87618" w14:textId="6E218984" w:rsidR="00D648EC" w:rsidRPr="000F78E0" w:rsidRDefault="007B668D" w:rsidP="00E4650D">
      <w:pPr>
        <w:pStyle w:val="Norma1"/>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charge for each level of your staff. </w:t>
      </w:r>
    </w:p>
    <w:p w14:paraId="5EA8761A" w14:textId="77777777" w:rsidR="003B5CAF" w:rsidRPr="002D4038" w:rsidRDefault="003B5CAF" w:rsidP="003C1CE8">
      <w:pPr>
        <w:pStyle w:val="Norma1"/>
        <w:jc w:val="both"/>
        <w:rPr>
          <w:rFonts w:ascii="Calibri" w:hAnsi="Calibri" w:cs="Calibri"/>
          <w:b/>
        </w:rPr>
      </w:pPr>
    </w:p>
    <w:p w14:paraId="5EA8761B" w14:textId="0DB7CE41" w:rsidR="000B02C5" w:rsidRPr="008A0415" w:rsidRDefault="000B02C5" w:rsidP="008A0415">
      <w:pPr>
        <w:pStyle w:val="Norma1"/>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1"/>
        <w:jc w:val="both"/>
        <w:rPr>
          <w:rFonts w:cs="Arial"/>
          <w:b/>
          <w:sz w:val="24"/>
          <w:szCs w:val="24"/>
        </w:rPr>
      </w:pPr>
    </w:p>
    <w:p w14:paraId="5EA8761D" w14:textId="4BB87FDC" w:rsidR="002E198B" w:rsidRPr="000F78E0" w:rsidRDefault="0097210C" w:rsidP="008A0415">
      <w:pPr>
        <w:pStyle w:val="Norma1"/>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1"/>
        <w:jc w:val="both"/>
        <w:rPr>
          <w:rFonts w:cs="Arial"/>
          <w:szCs w:val="24"/>
        </w:rPr>
      </w:pPr>
    </w:p>
    <w:p w14:paraId="3DADA445" w14:textId="61DB7D1A" w:rsidR="00802C0A" w:rsidRPr="000F78E0" w:rsidRDefault="00802C0A" w:rsidP="00802C0A">
      <w:pPr>
        <w:pStyle w:val="Norma1"/>
        <w:jc w:val="both"/>
        <w:rPr>
          <w:rFonts w:cs="Arial"/>
          <w:szCs w:val="24"/>
        </w:rPr>
      </w:pPr>
      <w:r w:rsidRPr="000F78E0">
        <w:rPr>
          <w:rFonts w:cs="Arial"/>
          <w:szCs w:val="24"/>
        </w:rPr>
        <w:t xml:space="preserve">Should interviews go ahead, </w:t>
      </w:r>
      <w:r w:rsidR="00796CF2">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sidR="000239BD">
        <w:rPr>
          <w:rFonts w:cs="Arial"/>
          <w:color w:val="000000" w:themeColor="text1"/>
          <w:szCs w:val="24"/>
        </w:rPr>
        <w:t xml:space="preserve"> the week commencing </w:t>
      </w:r>
      <w:r w:rsidR="00001C77" w:rsidRPr="00010E2E">
        <w:rPr>
          <w:rFonts w:cs="Arial"/>
        </w:rPr>
        <w:t xml:space="preserve">w/c </w:t>
      </w:r>
      <w:r w:rsidR="00001C77">
        <w:rPr>
          <w:rFonts w:cs="Arial"/>
        </w:rPr>
        <w:t>1</w:t>
      </w:r>
      <w:r w:rsidR="00001C77" w:rsidRPr="00EB32D6">
        <w:rPr>
          <w:rFonts w:cs="Arial"/>
          <w:vertAlign w:val="superscript"/>
        </w:rPr>
        <w:t>st</w:t>
      </w:r>
      <w:r w:rsidR="00001C77">
        <w:rPr>
          <w:rFonts w:cs="Arial"/>
        </w:rPr>
        <w:t xml:space="preserve"> October</w:t>
      </w:r>
      <w:r w:rsidR="00001C77" w:rsidRPr="00010E2E">
        <w:rPr>
          <w:rFonts w:cs="Arial"/>
        </w:rPr>
        <w:t xml:space="preserve"> 2018</w:t>
      </w:r>
      <w:r w:rsidR="008B0B0B" w:rsidRPr="001A33AF">
        <w:rPr>
          <w:rFonts w:cs="Arial"/>
          <w:color w:val="000000" w:themeColor="text1"/>
          <w:szCs w:val="24"/>
        </w:rPr>
        <w:t>.</w:t>
      </w:r>
      <w:r w:rsidR="008B0B0B">
        <w:rPr>
          <w:rFonts w:cs="Arial"/>
          <w:szCs w:val="24"/>
        </w:rPr>
        <w:t xml:space="preserve"> If this date changes, the ASC</w:t>
      </w:r>
      <w:r w:rsidRPr="000F78E0">
        <w:rPr>
          <w:rFonts w:cs="Arial"/>
          <w:szCs w:val="24"/>
        </w:rPr>
        <w:t xml:space="preserve"> will notify applicants. </w:t>
      </w:r>
    </w:p>
    <w:p w14:paraId="1D18D5ED" w14:textId="77777777" w:rsidR="00802C0A" w:rsidRPr="000F78E0" w:rsidRDefault="00802C0A" w:rsidP="008A0415">
      <w:pPr>
        <w:pStyle w:val="Norma1"/>
        <w:jc w:val="both"/>
        <w:rPr>
          <w:rFonts w:cs="Arial"/>
          <w:szCs w:val="24"/>
        </w:rPr>
      </w:pPr>
    </w:p>
    <w:p w14:paraId="5EA87621" w14:textId="6B5C7EB7" w:rsidR="006C44C2" w:rsidRPr="000F78E0" w:rsidRDefault="006C44C2" w:rsidP="008A0415">
      <w:pPr>
        <w:pStyle w:val="Norma1"/>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1"/>
        <w:jc w:val="both"/>
        <w:rPr>
          <w:rFonts w:cs="Arial"/>
          <w:szCs w:val="24"/>
        </w:rPr>
      </w:pPr>
    </w:p>
    <w:p w14:paraId="5EA87623" w14:textId="77777777" w:rsidR="00A54FFC" w:rsidRPr="000F78E0" w:rsidRDefault="00222DF8" w:rsidP="008A0415">
      <w:pPr>
        <w:pStyle w:val="Norma1"/>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1"/>
        <w:jc w:val="both"/>
        <w:rPr>
          <w:rFonts w:cs="Arial"/>
          <w:szCs w:val="24"/>
        </w:rPr>
      </w:pPr>
    </w:p>
    <w:p w14:paraId="5EA87626" w14:textId="5F7057CC" w:rsidR="00480D1F" w:rsidRPr="008A0415" w:rsidRDefault="00480D1F" w:rsidP="008A0415">
      <w:pPr>
        <w:pStyle w:val="Norma1"/>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1"/>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1"/>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9"/>
    </w:p>
    <w:p w14:paraId="5EA87629" w14:textId="77777777" w:rsidR="00A10F62" w:rsidRPr="000F78E0" w:rsidRDefault="00A10F62" w:rsidP="008A0415">
      <w:pPr>
        <w:pStyle w:val="Norma1"/>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0F889" w14:textId="77777777" w:rsidR="004F5DE1" w:rsidRDefault="004F5DE1" w:rsidP="00EB43D8">
      <w:pPr>
        <w:pStyle w:val="Norma1"/>
      </w:pPr>
      <w:r>
        <w:separator/>
      </w:r>
    </w:p>
  </w:endnote>
  <w:endnote w:type="continuationSeparator" w:id="0">
    <w:p w14:paraId="598838E0" w14:textId="77777777" w:rsidR="004F5DE1" w:rsidRDefault="004F5DE1" w:rsidP="00EB43D8">
      <w:pPr>
        <w:pStyle w:val="Norma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F60037" w:rsidRDefault="00F60037" w:rsidP="00602CDD">
    <w:pPr>
      <w:pStyle w:val="Footer"/>
      <w:pBdr>
        <w:top w:val="single" w:sz="4" w:space="1" w:color="D9D9D9"/>
      </w:pBdr>
      <w:jc w:val="right"/>
    </w:pPr>
    <w:r>
      <w:fldChar w:fldCharType="begin"/>
    </w:r>
    <w:r>
      <w:instrText xml:space="preserve"> PAGE   \* MERGEFORMAT </w:instrText>
    </w:r>
    <w:r>
      <w:fldChar w:fldCharType="separate"/>
    </w:r>
    <w:r w:rsidR="007A1FDB">
      <w:rPr>
        <w:noProof/>
      </w:rPr>
      <w:t>11</w:t>
    </w:r>
    <w:r>
      <w:rPr>
        <w:noProof/>
      </w:rPr>
      <w:fldChar w:fldCharType="end"/>
    </w:r>
    <w:r>
      <w:t xml:space="preserve"> | </w:t>
    </w:r>
    <w:r w:rsidRPr="00602CDD">
      <w:rPr>
        <w:color w:val="808080"/>
        <w:spacing w:val="60"/>
      </w:rPr>
      <w:t>Page</w:t>
    </w:r>
  </w:p>
  <w:p w14:paraId="5EA87631" w14:textId="77777777" w:rsidR="00F60037" w:rsidRDefault="00F60037"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8CEAD" w14:textId="77777777" w:rsidR="004F5DE1" w:rsidRDefault="004F5DE1" w:rsidP="00EB43D8">
      <w:pPr>
        <w:pStyle w:val="Norma1"/>
      </w:pPr>
      <w:r>
        <w:separator/>
      </w:r>
    </w:p>
  </w:footnote>
  <w:footnote w:type="continuationSeparator" w:id="0">
    <w:p w14:paraId="76E4C0A3" w14:textId="77777777" w:rsidR="004F5DE1" w:rsidRDefault="004F5DE1" w:rsidP="00EB43D8">
      <w:pPr>
        <w:pStyle w:val="Norma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F60037" w:rsidRDefault="00F60037"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882"/>
    <w:multiLevelType w:val="hybridMultilevel"/>
    <w:tmpl w:val="8DA47598"/>
    <w:lvl w:ilvl="0" w:tplc="05E216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F2360"/>
    <w:multiLevelType w:val="hybridMultilevel"/>
    <w:tmpl w:val="CA8E67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06193D"/>
    <w:multiLevelType w:val="hybridMultilevel"/>
    <w:tmpl w:val="D9F4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22454"/>
    <w:multiLevelType w:val="hybridMultilevel"/>
    <w:tmpl w:val="D812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E4295"/>
    <w:multiLevelType w:val="hybridMultilevel"/>
    <w:tmpl w:val="9A7AAADC"/>
    <w:lvl w:ilvl="0" w:tplc="321E122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36BD6"/>
    <w:multiLevelType w:val="hybridMultilevel"/>
    <w:tmpl w:val="5C5C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B619E"/>
    <w:multiLevelType w:val="hybridMultilevel"/>
    <w:tmpl w:val="7BE8D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03140"/>
    <w:multiLevelType w:val="hybridMultilevel"/>
    <w:tmpl w:val="4030C164"/>
    <w:lvl w:ilvl="0" w:tplc="6CAEE2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A02DB"/>
    <w:multiLevelType w:val="hybridMultilevel"/>
    <w:tmpl w:val="7D7C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DA0184"/>
    <w:multiLevelType w:val="hybridMultilevel"/>
    <w:tmpl w:val="C7BA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5D0327"/>
    <w:multiLevelType w:val="hybridMultilevel"/>
    <w:tmpl w:val="B194F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F6208"/>
    <w:multiLevelType w:val="hybridMultilevel"/>
    <w:tmpl w:val="374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01967"/>
    <w:multiLevelType w:val="hybridMultilevel"/>
    <w:tmpl w:val="7FAEB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535D7B"/>
    <w:multiLevelType w:val="hybridMultilevel"/>
    <w:tmpl w:val="0812E7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9115B6"/>
    <w:multiLevelType w:val="hybridMultilevel"/>
    <w:tmpl w:val="1D32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423AB4"/>
    <w:multiLevelType w:val="hybridMultilevel"/>
    <w:tmpl w:val="BAB6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C45E8C"/>
    <w:multiLevelType w:val="hybridMultilevel"/>
    <w:tmpl w:val="51466C56"/>
    <w:lvl w:ilvl="0" w:tplc="EFAADF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6E23F1"/>
    <w:multiLevelType w:val="hybridMultilevel"/>
    <w:tmpl w:val="6DB2D30A"/>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931398"/>
    <w:multiLevelType w:val="hybridMultilevel"/>
    <w:tmpl w:val="B45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C62854"/>
    <w:multiLevelType w:val="hybridMultilevel"/>
    <w:tmpl w:val="9CB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C6E9C"/>
    <w:multiLevelType w:val="hybridMultilevel"/>
    <w:tmpl w:val="88DE1A82"/>
    <w:lvl w:ilvl="0" w:tplc="03B0B8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B55965"/>
    <w:multiLevelType w:val="hybridMultilevel"/>
    <w:tmpl w:val="D1B49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806BBE"/>
    <w:multiLevelType w:val="hybridMultilevel"/>
    <w:tmpl w:val="6EC6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780C54"/>
    <w:multiLevelType w:val="hybridMultilevel"/>
    <w:tmpl w:val="123E4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94028"/>
    <w:multiLevelType w:val="hybridMultilevel"/>
    <w:tmpl w:val="6FAA3098"/>
    <w:lvl w:ilvl="0" w:tplc="321E122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284D7F"/>
    <w:multiLevelType w:val="hybridMultilevel"/>
    <w:tmpl w:val="675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60694"/>
    <w:multiLevelType w:val="hybridMultilevel"/>
    <w:tmpl w:val="B0008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C34CD"/>
    <w:multiLevelType w:val="hybridMultilevel"/>
    <w:tmpl w:val="CC66F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E679B"/>
    <w:multiLevelType w:val="hybridMultilevel"/>
    <w:tmpl w:val="CA34D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CE6F3A"/>
    <w:multiLevelType w:val="hybridMultilevel"/>
    <w:tmpl w:val="B9E63B08"/>
    <w:lvl w:ilvl="0" w:tplc="321E122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921F39"/>
    <w:multiLevelType w:val="hybridMultilevel"/>
    <w:tmpl w:val="206C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8714F"/>
    <w:multiLevelType w:val="hybridMultilevel"/>
    <w:tmpl w:val="6B7E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FE7AA9"/>
    <w:multiLevelType w:val="hybridMultilevel"/>
    <w:tmpl w:val="125A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40" w15:restartNumberingAfterBreak="0">
    <w:nsid w:val="759D654F"/>
    <w:multiLevelType w:val="hybridMultilevel"/>
    <w:tmpl w:val="AE464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743E24"/>
    <w:multiLevelType w:val="hybridMultilevel"/>
    <w:tmpl w:val="77D83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95A61"/>
    <w:multiLevelType w:val="hybridMultilevel"/>
    <w:tmpl w:val="B0D0965A"/>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F1CD3"/>
    <w:multiLevelType w:val="hybridMultilevel"/>
    <w:tmpl w:val="ED78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D82989"/>
    <w:multiLevelType w:val="hybridMultilevel"/>
    <w:tmpl w:val="5A9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1"/>
  </w:num>
  <w:num w:numId="4">
    <w:abstractNumId w:val="44"/>
  </w:num>
  <w:num w:numId="5">
    <w:abstractNumId w:val="27"/>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2"/>
  </w:num>
  <w:num w:numId="9">
    <w:abstractNumId w:val="26"/>
  </w:num>
  <w:num w:numId="10">
    <w:abstractNumId w:val="8"/>
  </w:num>
  <w:num w:numId="11">
    <w:abstractNumId w:val="28"/>
  </w:num>
  <w:num w:numId="12">
    <w:abstractNumId w:val="38"/>
  </w:num>
  <w:num w:numId="13">
    <w:abstractNumId w:val="43"/>
  </w:num>
  <w:num w:numId="14">
    <w:abstractNumId w:val="3"/>
  </w:num>
  <w:num w:numId="15">
    <w:abstractNumId w:val="22"/>
  </w:num>
  <w:num w:numId="16">
    <w:abstractNumId w:val="13"/>
  </w:num>
  <w:num w:numId="17">
    <w:abstractNumId w:val="1"/>
  </w:num>
  <w:num w:numId="18">
    <w:abstractNumId w:val="42"/>
  </w:num>
  <w:num w:numId="19">
    <w:abstractNumId w:val="0"/>
  </w:num>
  <w:num w:numId="20">
    <w:abstractNumId w:val="6"/>
  </w:num>
  <w:num w:numId="21">
    <w:abstractNumId w:val="17"/>
  </w:num>
  <w:num w:numId="22">
    <w:abstractNumId w:val="10"/>
  </w:num>
  <w:num w:numId="23">
    <w:abstractNumId w:val="11"/>
  </w:num>
  <w:num w:numId="24">
    <w:abstractNumId w:val="2"/>
  </w:num>
  <w:num w:numId="25">
    <w:abstractNumId w:val="23"/>
  </w:num>
  <w:num w:numId="26">
    <w:abstractNumId w:val="5"/>
  </w:num>
  <w:num w:numId="27">
    <w:abstractNumId w:val="4"/>
  </w:num>
  <w:num w:numId="28">
    <w:abstractNumId w:val="18"/>
  </w:num>
  <w:num w:numId="29">
    <w:abstractNumId w:val="24"/>
  </w:num>
  <w:num w:numId="30">
    <w:abstractNumId w:val="14"/>
  </w:num>
  <w:num w:numId="31">
    <w:abstractNumId w:val="35"/>
  </w:num>
  <w:num w:numId="32">
    <w:abstractNumId w:val="29"/>
  </w:num>
  <w:num w:numId="33">
    <w:abstractNumId w:val="31"/>
  </w:num>
  <w:num w:numId="34">
    <w:abstractNumId w:val="34"/>
  </w:num>
  <w:num w:numId="35">
    <w:abstractNumId w:val="36"/>
  </w:num>
  <w:num w:numId="36">
    <w:abstractNumId w:val="7"/>
  </w:num>
  <w:num w:numId="37">
    <w:abstractNumId w:val="30"/>
  </w:num>
  <w:num w:numId="38">
    <w:abstractNumId w:val="39"/>
  </w:num>
  <w:num w:numId="39">
    <w:abstractNumId w:val="37"/>
  </w:num>
  <w:num w:numId="40">
    <w:abstractNumId w:val="41"/>
  </w:num>
  <w:num w:numId="41">
    <w:abstractNumId w:val="9"/>
  </w:num>
  <w:num w:numId="42">
    <w:abstractNumId w:val="15"/>
  </w:num>
  <w:num w:numId="43">
    <w:abstractNumId w:val="40"/>
  </w:num>
  <w:num w:numId="44">
    <w:abstractNumId w:val="20"/>
  </w:num>
  <w:num w:numId="45">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740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1C77"/>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3C18"/>
    <w:rsid w:val="00013D7A"/>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9BF"/>
    <w:rsid w:val="00025795"/>
    <w:rsid w:val="00025B72"/>
    <w:rsid w:val="000260AD"/>
    <w:rsid w:val="00026111"/>
    <w:rsid w:val="0002645F"/>
    <w:rsid w:val="00026F2A"/>
    <w:rsid w:val="000276FD"/>
    <w:rsid w:val="00030381"/>
    <w:rsid w:val="00030A13"/>
    <w:rsid w:val="00031104"/>
    <w:rsid w:val="00031ABF"/>
    <w:rsid w:val="00034286"/>
    <w:rsid w:val="00034A03"/>
    <w:rsid w:val="00034DF2"/>
    <w:rsid w:val="00034DFB"/>
    <w:rsid w:val="000357F1"/>
    <w:rsid w:val="00036F81"/>
    <w:rsid w:val="0003754C"/>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2DD8"/>
    <w:rsid w:val="000633AD"/>
    <w:rsid w:val="000636FF"/>
    <w:rsid w:val="00063D19"/>
    <w:rsid w:val="00063D8E"/>
    <w:rsid w:val="0006577F"/>
    <w:rsid w:val="00066573"/>
    <w:rsid w:val="00066C5A"/>
    <w:rsid w:val="00066F76"/>
    <w:rsid w:val="000679BA"/>
    <w:rsid w:val="00067E4E"/>
    <w:rsid w:val="0007017D"/>
    <w:rsid w:val="00070939"/>
    <w:rsid w:val="00070C13"/>
    <w:rsid w:val="000718B4"/>
    <w:rsid w:val="00071C5B"/>
    <w:rsid w:val="00073317"/>
    <w:rsid w:val="0007394B"/>
    <w:rsid w:val="00073F40"/>
    <w:rsid w:val="0007408F"/>
    <w:rsid w:val="0007416C"/>
    <w:rsid w:val="000744BD"/>
    <w:rsid w:val="00074692"/>
    <w:rsid w:val="00075B02"/>
    <w:rsid w:val="00075D2C"/>
    <w:rsid w:val="00075F1B"/>
    <w:rsid w:val="000768E3"/>
    <w:rsid w:val="000771F7"/>
    <w:rsid w:val="00077D40"/>
    <w:rsid w:val="00077DFE"/>
    <w:rsid w:val="000806CD"/>
    <w:rsid w:val="00080725"/>
    <w:rsid w:val="0008124C"/>
    <w:rsid w:val="00081EB9"/>
    <w:rsid w:val="000822D5"/>
    <w:rsid w:val="0008262D"/>
    <w:rsid w:val="00082E6D"/>
    <w:rsid w:val="00083573"/>
    <w:rsid w:val="00083C0D"/>
    <w:rsid w:val="000850B3"/>
    <w:rsid w:val="000851D0"/>
    <w:rsid w:val="0008720B"/>
    <w:rsid w:val="00087BB8"/>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05F"/>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6C2"/>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30E3"/>
    <w:rsid w:val="000D3B47"/>
    <w:rsid w:val="000D56BC"/>
    <w:rsid w:val="000D59A2"/>
    <w:rsid w:val="000D6953"/>
    <w:rsid w:val="000D6992"/>
    <w:rsid w:val="000D6AE5"/>
    <w:rsid w:val="000D7FE1"/>
    <w:rsid w:val="000E01D1"/>
    <w:rsid w:val="000E1064"/>
    <w:rsid w:val="000E15A8"/>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8F2"/>
    <w:rsid w:val="00103E3B"/>
    <w:rsid w:val="00104197"/>
    <w:rsid w:val="00105CAD"/>
    <w:rsid w:val="001060C6"/>
    <w:rsid w:val="0011055B"/>
    <w:rsid w:val="00110E9E"/>
    <w:rsid w:val="00111E58"/>
    <w:rsid w:val="00111EBB"/>
    <w:rsid w:val="00111FE9"/>
    <w:rsid w:val="001120A5"/>
    <w:rsid w:val="00112508"/>
    <w:rsid w:val="00113696"/>
    <w:rsid w:val="00114EC5"/>
    <w:rsid w:val="0011511A"/>
    <w:rsid w:val="00115570"/>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27CC5"/>
    <w:rsid w:val="00130F60"/>
    <w:rsid w:val="00131E76"/>
    <w:rsid w:val="001335BE"/>
    <w:rsid w:val="001336CC"/>
    <w:rsid w:val="0013378E"/>
    <w:rsid w:val="001337CC"/>
    <w:rsid w:val="00133C30"/>
    <w:rsid w:val="00134531"/>
    <w:rsid w:val="001354A1"/>
    <w:rsid w:val="001359BC"/>
    <w:rsid w:val="00136EDE"/>
    <w:rsid w:val="00136F2E"/>
    <w:rsid w:val="001371DB"/>
    <w:rsid w:val="0013746E"/>
    <w:rsid w:val="001379EE"/>
    <w:rsid w:val="0014013A"/>
    <w:rsid w:val="00140970"/>
    <w:rsid w:val="00140A8F"/>
    <w:rsid w:val="00140F21"/>
    <w:rsid w:val="00141232"/>
    <w:rsid w:val="001413BC"/>
    <w:rsid w:val="00141B0C"/>
    <w:rsid w:val="0014215A"/>
    <w:rsid w:val="001427FC"/>
    <w:rsid w:val="00142EF4"/>
    <w:rsid w:val="0014308C"/>
    <w:rsid w:val="0014325E"/>
    <w:rsid w:val="001433A3"/>
    <w:rsid w:val="00143977"/>
    <w:rsid w:val="00144BC8"/>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0BD1"/>
    <w:rsid w:val="001610E5"/>
    <w:rsid w:val="00162217"/>
    <w:rsid w:val="001622D1"/>
    <w:rsid w:val="001623B7"/>
    <w:rsid w:val="001648CA"/>
    <w:rsid w:val="001651C5"/>
    <w:rsid w:val="00165B5B"/>
    <w:rsid w:val="00165F5A"/>
    <w:rsid w:val="00166064"/>
    <w:rsid w:val="00166F48"/>
    <w:rsid w:val="00166FD4"/>
    <w:rsid w:val="00167E2F"/>
    <w:rsid w:val="00167EA2"/>
    <w:rsid w:val="00170B81"/>
    <w:rsid w:val="00171F7F"/>
    <w:rsid w:val="00172803"/>
    <w:rsid w:val="00172956"/>
    <w:rsid w:val="00172A29"/>
    <w:rsid w:val="00174855"/>
    <w:rsid w:val="00176556"/>
    <w:rsid w:val="00177003"/>
    <w:rsid w:val="0018093D"/>
    <w:rsid w:val="00180A58"/>
    <w:rsid w:val="00182296"/>
    <w:rsid w:val="001825DA"/>
    <w:rsid w:val="00182895"/>
    <w:rsid w:val="0018341F"/>
    <w:rsid w:val="00183D41"/>
    <w:rsid w:val="00183E6B"/>
    <w:rsid w:val="00186D9B"/>
    <w:rsid w:val="00187A2E"/>
    <w:rsid w:val="0019065C"/>
    <w:rsid w:val="001911B4"/>
    <w:rsid w:val="001914C9"/>
    <w:rsid w:val="00192A40"/>
    <w:rsid w:val="00192C0C"/>
    <w:rsid w:val="00192CDD"/>
    <w:rsid w:val="001946EB"/>
    <w:rsid w:val="001978FC"/>
    <w:rsid w:val="001A1F4F"/>
    <w:rsid w:val="001A1FA4"/>
    <w:rsid w:val="001A33AF"/>
    <w:rsid w:val="001A380A"/>
    <w:rsid w:val="001A4227"/>
    <w:rsid w:val="001A548B"/>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1DE3"/>
    <w:rsid w:val="001D26F4"/>
    <w:rsid w:val="001D28C6"/>
    <w:rsid w:val="001D2E3F"/>
    <w:rsid w:val="001D4DDF"/>
    <w:rsid w:val="001D5D04"/>
    <w:rsid w:val="001D5D56"/>
    <w:rsid w:val="001D62B9"/>
    <w:rsid w:val="001D6493"/>
    <w:rsid w:val="001D7041"/>
    <w:rsid w:val="001E014D"/>
    <w:rsid w:val="001E0589"/>
    <w:rsid w:val="001E07A7"/>
    <w:rsid w:val="001E0B6F"/>
    <w:rsid w:val="001E15AD"/>
    <w:rsid w:val="001E219F"/>
    <w:rsid w:val="001E3BA2"/>
    <w:rsid w:val="001E3D66"/>
    <w:rsid w:val="001E47FA"/>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4BF"/>
    <w:rsid w:val="00201D1D"/>
    <w:rsid w:val="00203272"/>
    <w:rsid w:val="0020384C"/>
    <w:rsid w:val="00204E68"/>
    <w:rsid w:val="002061A0"/>
    <w:rsid w:val="00206644"/>
    <w:rsid w:val="00206939"/>
    <w:rsid w:val="0020695E"/>
    <w:rsid w:val="00206992"/>
    <w:rsid w:val="00206FE9"/>
    <w:rsid w:val="002073BA"/>
    <w:rsid w:val="002109B5"/>
    <w:rsid w:val="00210D71"/>
    <w:rsid w:val="00211193"/>
    <w:rsid w:val="00211562"/>
    <w:rsid w:val="00212DA5"/>
    <w:rsid w:val="002133A0"/>
    <w:rsid w:val="002134AD"/>
    <w:rsid w:val="00213F1A"/>
    <w:rsid w:val="002152CC"/>
    <w:rsid w:val="0021679F"/>
    <w:rsid w:val="0021724C"/>
    <w:rsid w:val="002174A1"/>
    <w:rsid w:val="002203AF"/>
    <w:rsid w:val="00220792"/>
    <w:rsid w:val="002208AE"/>
    <w:rsid w:val="00220F36"/>
    <w:rsid w:val="002212F8"/>
    <w:rsid w:val="00221A0D"/>
    <w:rsid w:val="00221B09"/>
    <w:rsid w:val="00222DF8"/>
    <w:rsid w:val="00223703"/>
    <w:rsid w:val="002240C8"/>
    <w:rsid w:val="0022531F"/>
    <w:rsid w:val="00225A9F"/>
    <w:rsid w:val="002275B7"/>
    <w:rsid w:val="00227600"/>
    <w:rsid w:val="002311ED"/>
    <w:rsid w:val="00231C14"/>
    <w:rsid w:val="002352C0"/>
    <w:rsid w:val="002352D3"/>
    <w:rsid w:val="0023606D"/>
    <w:rsid w:val="00237EE2"/>
    <w:rsid w:val="00240136"/>
    <w:rsid w:val="002403A0"/>
    <w:rsid w:val="002411A0"/>
    <w:rsid w:val="00242001"/>
    <w:rsid w:val="002437E8"/>
    <w:rsid w:val="00243CB0"/>
    <w:rsid w:val="002445CE"/>
    <w:rsid w:val="00244FDA"/>
    <w:rsid w:val="00245373"/>
    <w:rsid w:val="002459FA"/>
    <w:rsid w:val="0024686C"/>
    <w:rsid w:val="00247920"/>
    <w:rsid w:val="0025019A"/>
    <w:rsid w:val="0025083B"/>
    <w:rsid w:val="0025111D"/>
    <w:rsid w:val="00252244"/>
    <w:rsid w:val="00252C4B"/>
    <w:rsid w:val="00253106"/>
    <w:rsid w:val="002540A3"/>
    <w:rsid w:val="00255013"/>
    <w:rsid w:val="00255185"/>
    <w:rsid w:val="00255317"/>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0FFE"/>
    <w:rsid w:val="00291659"/>
    <w:rsid w:val="002916A5"/>
    <w:rsid w:val="002918F3"/>
    <w:rsid w:val="00291F60"/>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3D65"/>
    <w:rsid w:val="002A406B"/>
    <w:rsid w:val="002A4E55"/>
    <w:rsid w:val="002A5504"/>
    <w:rsid w:val="002A5C78"/>
    <w:rsid w:val="002A638F"/>
    <w:rsid w:val="002A76E7"/>
    <w:rsid w:val="002A7790"/>
    <w:rsid w:val="002B09AA"/>
    <w:rsid w:val="002B1525"/>
    <w:rsid w:val="002B2189"/>
    <w:rsid w:val="002B22AC"/>
    <w:rsid w:val="002B27E6"/>
    <w:rsid w:val="002B2EEE"/>
    <w:rsid w:val="002B4895"/>
    <w:rsid w:val="002B550C"/>
    <w:rsid w:val="002B5F61"/>
    <w:rsid w:val="002B622B"/>
    <w:rsid w:val="002B7281"/>
    <w:rsid w:val="002B769F"/>
    <w:rsid w:val="002C06A2"/>
    <w:rsid w:val="002C168E"/>
    <w:rsid w:val="002C1C15"/>
    <w:rsid w:val="002C2145"/>
    <w:rsid w:val="002C3787"/>
    <w:rsid w:val="002C3B69"/>
    <w:rsid w:val="002C466D"/>
    <w:rsid w:val="002C47F3"/>
    <w:rsid w:val="002C5064"/>
    <w:rsid w:val="002C533F"/>
    <w:rsid w:val="002C53C0"/>
    <w:rsid w:val="002C54D9"/>
    <w:rsid w:val="002C5AF6"/>
    <w:rsid w:val="002C64AF"/>
    <w:rsid w:val="002C6CEC"/>
    <w:rsid w:val="002C79DE"/>
    <w:rsid w:val="002D0602"/>
    <w:rsid w:val="002D09B9"/>
    <w:rsid w:val="002D17C1"/>
    <w:rsid w:val="002D2073"/>
    <w:rsid w:val="002D233F"/>
    <w:rsid w:val="002D32D5"/>
    <w:rsid w:val="002D34FA"/>
    <w:rsid w:val="002D3ECE"/>
    <w:rsid w:val="002D4038"/>
    <w:rsid w:val="002D42C1"/>
    <w:rsid w:val="002D5B89"/>
    <w:rsid w:val="002D6DE8"/>
    <w:rsid w:val="002D743D"/>
    <w:rsid w:val="002D7BBA"/>
    <w:rsid w:val="002E14D0"/>
    <w:rsid w:val="002E16AA"/>
    <w:rsid w:val="002E198B"/>
    <w:rsid w:val="002E41ED"/>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2F76F5"/>
    <w:rsid w:val="00300BCD"/>
    <w:rsid w:val="00300E8D"/>
    <w:rsid w:val="00302045"/>
    <w:rsid w:val="003023AD"/>
    <w:rsid w:val="00302827"/>
    <w:rsid w:val="0030367D"/>
    <w:rsid w:val="003043AD"/>
    <w:rsid w:val="0030463B"/>
    <w:rsid w:val="00305BAD"/>
    <w:rsid w:val="003075E1"/>
    <w:rsid w:val="003100B6"/>
    <w:rsid w:val="003110E9"/>
    <w:rsid w:val="00312155"/>
    <w:rsid w:val="00314744"/>
    <w:rsid w:val="0031585F"/>
    <w:rsid w:val="0032023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47F54"/>
    <w:rsid w:val="003505B8"/>
    <w:rsid w:val="00350882"/>
    <w:rsid w:val="003508FB"/>
    <w:rsid w:val="003510BA"/>
    <w:rsid w:val="00351C94"/>
    <w:rsid w:val="0035557D"/>
    <w:rsid w:val="00355955"/>
    <w:rsid w:val="003563F7"/>
    <w:rsid w:val="003604FC"/>
    <w:rsid w:val="0036229E"/>
    <w:rsid w:val="00362414"/>
    <w:rsid w:val="00362775"/>
    <w:rsid w:val="00362BFA"/>
    <w:rsid w:val="003632C5"/>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0748"/>
    <w:rsid w:val="003911FA"/>
    <w:rsid w:val="003912A7"/>
    <w:rsid w:val="00391C9C"/>
    <w:rsid w:val="00392A3E"/>
    <w:rsid w:val="00393117"/>
    <w:rsid w:val="00393D1B"/>
    <w:rsid w:val="00396844"/>
    <w:rsid w:val="00396C1F"/>
    <w:rsid w:val="0039730D"/>
    <w:rsid w:val="003976BC"/>
    <w:rsid w:val="00397841"/>
    <w:rsid w:val="003A0A53"/>
    <w:rsid w:val="003A1EC8"/>
    <w:rsid w:val="003A20B1"/>
    <w:rsid w:val="003A2171"/>
    <w:rsid w:val="003A3424"/>
    <w:rsid w:val="003A461D"/>
    <w:rsid w:val="003A649D"/>
    <w:rsid w:val="003A66CE"/>
    <w:rsid w:val="003A790B"/>
    <w:rsid w:val="003B04D5"/>
    <w:rsid w:val="003B062C"/>
    <w:rsid w:val="003B16FA"/>
    <w:rsid w:val="003B253D"/>
    <w:rsid w:val="003B25D7"/>
    <w:rsid w:val="003B26B9"/>
    <w:rsid w:val="003B286E"/>
    <w:rsid w:val="003B2B9B"/>
    <w:rsid w:val="003B2FE3"/>
    <w:rsid w:val="003B39F1"/>
    <w:rsid w:val="003B59CB"/>
    <w:rsid w:val="003B5BDE"/>
    <w:rsid w:val="003B5CAF"/>
    <w:rsid w:val="003B7085"/>
    <w:rsid w:val="003B7A5E"/>
    <w:rsid w:val="003B7AD7"/>
    <w:rsid w:val="003B7D7A"/>
    <w:rsid w:val="003C06AA"/>
    <w:rsid w:val="003C090F"/>
    <w:rsid w:val="003C16BA"/>
    <w:rsid w:val="003C19D6"/>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2C5D"/>
    <w:rsid w:val="003D33A3"/>
    <w:rsid w:val="003D3A8C"/>
    <w:rsid w:val="003D4452"/>
    <w:rsid w:val="003D4E70"/>
    <w:rsid w:val="003D513E"/>
    <w:rsid w:val="003D59D5"/>
    <w:rsid w:val="003D5E72"/>
    <w:rsid w:val="003D6551"/>
    <w:rsid w:val="003E10B2"/>
    <w:rsid w:val="003E1157"/>
    <w:rsid w:val="003E1579"/>
    <w:rsid w:val="003E3803"/>
    <w:rsid w:val="003E482D"/>
    <w:rsid w:val="003E546D"/>
    <w:rsid w:val="003E59CB"/>
    <w:rsid w:val="003E5C19"/>
    <w:rsid w:val="003E6534"/>
    <w:rsid w:val="003E6A7A"/>
    <w:rsid w:val="003E7562"/>
    <w:rsid w:val="003F0792"/>
    <w:rsid w:val="003F0A2B"/>
    <w:rsid w:val="003F0A32"/>
    <w:rsid w:val="003F1149"/>
    <w:rsid w:val="003F11DD"/>
    <w:rsid w:val="003F2838"/>
    <w:rsid w:val="003F3EAB"/>
    <w:rsid w:val="003F40F7"/>
    <w:rsid w:val="003F492A"/>
    <w:rsid w:val="003F4D30"/>
    <w:rsid w:val="003F50A3"/>
    <w:rsid w:val="003F63B9"/>
    <w:rsid w:val="003F7DF5"/>
    <w:rsid w:val="00400003"/>
    <w:rsid w:val="00400CBF"/>
    <w:rsid w:val="004013BF"/>
    <w:rsid w:val="0040149D"/>
    <w:rsid w:val="00401790"/>
    <w:rsid w:val="00401BCC"/>
    <w:rsid w:val="00401ED6"/>
    <w:rsid w:val="004027F1"/>
    <w:rsid w:val="00404E19"/>
    <w:rsid w:val="00404E82"/>
    <w:rsid w:val="00405192"/>
    <w:rsid w:val="00405547"/>
    <w:rsid w:val="00405DAC"/>
    <w:rsid w:val="004065DC"/>
    <w:rsid w:val="00406B3A"/>
    <w:rsid w:val="004070CF"/>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17A97"/>
    <w:rsid w:val="00421DC0"/>
    <w:rsid w:val="004222B9"/>
    <w:rsid w:val="00422E82"/>
    <w:rsid w:val="0042315E"/>
    <w:rsid w:val="004233DF"/>
    <w:rsid w:val="00424B94"/>
    <w:rsid w:val="00424F52"/>
    <w:rsid w:val="0042547D"/>
    <w:rsid w:val="0042647F"/>
    <w:rsid w:val="004269F8"/>
    <w:rsid w:val="00426A18"/>
    <w:rsid w:val="00426AFF"/>
    <w:rsid w:val="00427AE5"/>
    <w:rsid w:val="00427AFA"/>
    <w:rsid w:val="00432353"/>
    <w:rsid w:val="004323BF"/>
    <w:rsid w:val="00432CCE"/>
    <w:rsid w:val="00432EDF"/>
    <w:rsid w:val="004335BC"/>
    <w:rsid w:val="004339BE"/>
    <w:rsid w:val="004363E1"/>
    <w:rsid w:val="00437572"/>
    <w:rsid w:val="00440E2A"/>
    <w:rsid w:val="00441D8B"/>
    <w:rsid w:val="00443073"/>
    <w:rsid w:val="00443DE6"/>
    <w:rsid w:val="00443FDA"/>
    <w:rsid w:val="00444762"/>
    <w:rsid w:val="00444878"/>
    <w:rsid w:val="004453B5"/>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3CE"/>
    <w:rsid w:val="00457E00"/>
    <w:rsid w:val="00460096"/>
    <w:rsid w:val="0046101F"/>
    <w:rsid w:val="004630F7"/>
    <w:rsid w:val="00464000"/>
    <w:rsid w:val="0046424C"/>
    <w:rsid w:val="00464A1C"/>
    <w:rsid w:val="004666C3"/>
    <w:rsid w:val="00466A6F"/>
    <w:rsid w:val="004679FF"/>
    <w:rsid w:val="0047021B"/>
    <w:rsid w:val="00470E7F"/>
    <w:rsid w:val="00471B38"/>
    <w:rsid w:val="004721F4"/>
    <w:rsid w:val="004724DE"/>
    <w:rsid w:val="00473065"/>
    <w:rsid w:val="0047307F"/>
    <w:rsid w:val="0047472C"/>
    <w:rsid w:val="00474C51"/>
    <w:rsid w:val="00475747"/>
    <w:rsid w:val="0047579B"/>
    <w:rsid w:val="004759E5"/>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81D"/>
    <w:rsid w:val="00495A29"/>
    <w:rsid w:val="00495AA1"/>
    <w:rsid w:val="00496C13"/>
    <w:rsid w:val="004977B0"/>
    <w:rsid w:val="00497E26"/>
    <w:rsid w:val="00497E9B"/>
    <w:rsid w:val="004A2B75"/>
    <w:rsid w:val="004A4B3D"/>
    <w:rsid w:val="004A4CDB"/>
    <w:rsid w:val="004A5C1C"/>
    <w:rsid w:val="004A67F8"/>
    <w:rsid w:val="004B0C5B"/>
    <w:rsid w:val="004B11F8"/>
    <w:rsid w:val="004B1226"/>
    <w:rsid w:val="004B1235"/>
    <w:rsid w:val="004B2057"/>
    <w:rsid w:val="004B2557"/>
    <w:rsid w:val="004B2BB0"/>
    <w:rsid w:val="004B3AD5"/>
    <w:rsid w:val="004B40EE"/>
    <w:rsid w:val="004B5652"/>
    <w:rsid w:val="004B5CDC"/>
    <w:rsid w:val="004B602B"/>
    <w:rsid w:val="004B7B6A"/>
    <w:rsid w:val="004C0ADD"/>
    <w:rsid w:val="004C1130"/>
    <w:rsid w:val="004C2190"/>
    <w:rsid w:val="004C21A4"/>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E"/>
    <w:rsid w:val="004F061F"/>
    <w:rsid w:val="004F0634"/>
    <w:rsid w:val="004F1892"/>
    <w:rsid w:val="004F1A44"/>
    <w:rsid w:val="004F2655"/>
    <w:rsid w:val="004F2AF6"/>
    <w:rsid w:val="004F3614"/>
    <w:rsid w:val="004F444A"/>
    <w:rsid w:val="004F5DE1"/>
    <w:rsid w:val="004F66E4"/>
    <w:rsid w:val="0050136D"/>
    <w:rsid w:val="005015C6"/>
    <w:rsid w:val="00501946"/>
    <w:rsid w:val="0050316D"/>
    <w:rsid w:val="00503679"/>
    <w:rsid w:val="00503CF7"/>
    <w:rsid w:val="0050409E"/>
    <w:rsid w:val="00504A30"/>
    <w:rsid w:val="005062F1"/>
    <w:rsid w:val="00506C08"/>
    <w:rsid w:val="005107B1"/>
    <w:rsid w:val="0051253C"/>
    <w:rsid w:val="00512991"/>
    <w:rsid w:val="005134ED"/>
    <w:rsid w:val="005139ED"/>
    <w:rsid w:val="00513D83"/>
    <w:rsid w:val="00514C5C"/>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0762"/>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11CF"/>
    <w:rsid w:val="0056237D"/>
    <w:rsid w:val="00562C95"/>
    <w:rsid w:val="005644AF"/>
    <w:rsid w:val="00564A18"/>
    <w:rsid w:val="00567328"/>
    <w:rsid w:val="00570BEF"/>
    <w:rsid w:val="00570BF6"/>
    <w:rsid w:val="00570C67"/>
    <w:rsid w:val="0057260A"/>
    <w:rsid w:val="005731BE"/>
    <w:rsid w:val="00574A2F"/>
    <w:rsid w:val="00574B0F"/>
    <w:rsid w:val="00575D92"/>
    <w:rsid w:val="00575F56"/>
    <w:rsid w:val="005764AA"/>
    <w:rsid w:val="005769DA"/>
    <w:rsid w:val="00576AE6"/>
    <w:rsid w:val="00576D54"/>
    <w:rsid w:val="005774AA"/>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E1"/>
    <w:rsid w:val="00592A4F"/>
    <w:rsid w:val="00592F72"/>
    <w:rsid w:val="005941F7"/>
    <w:rsid w:val="00595B7B"/>
    <w:rsid w:val="005965FC"/>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A7FC7"/>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A3B"/>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AA9"/>
    <w:rsid w:val="005E1D7F"/>
    <w:rsid w:val="005E2414"/>
    <w:rsid w:val="005E3549"/>
    <w:rsid w:val="005E4CF0"/>
    <w:rsid w:val="005E4F42"/>
    <w:rsid w:val="005E51C4"/>
    <w:rsid w:val="005E71DF"/>
    <w:rsid w:val="005E7B8E"/>
    <w:rsid w:val="005E7B9F"/>
    <w:rsid w:val="005F026F"/>
    <w:rsid w:val="005F086B"/>
    <w:rsid w:val="005F097B"/>
    <w:rsid w:val="005F099A"/>
    <w:rsid w:val="005F1110"/>
    <w:rsid w:val="005F264F"/>
    <w:rsid w:val="005F285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5A6"/>
    <w:rsid w:val="00624C8B"/>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B66"/>
    <w:rsid w:val="006407E9"/>
    <w:rsid w:val="00640F80"/>
    <w:rsid w:val="006428D8"/>
    <w:rsid w:val="00643728"/>
    <w:rsid w:val="00643961"/>
    <w:rsid w:val="00644484"/>
    <w:rsid w:val="0064490F"/>
    <w:rsid w:val="00644959"/>
    <w:rsid w:val="0064554A"/>
    <w:rsid w:val="006459E7"/>
    <w:rsid w:val="00645A90"/>
    <w:rsid w:val="00645F57"/>
    <w:rsid w:val="00645F66"/>
    <w:rsid w:val="00646428"/>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1F0"/>
    <w:rsid w:val="0067230A"/>
    <w:rsid w:val="00672A0F"/>
    <w:rsid w:val="00673C83"/>
    <w:rsid w:val="00674737"/>
    <w:rsid w:val="0067520E"/>
    <w:rsid w:val="00675CDC"/>
    <w:rsid w:val="006766CA"/>
    <w:rsid w:val="006775D4"/>
    <w:rsid w:val="00677816"/>
    <w:rsid w:val="006779F8"/>
    <w:rsid w:val="006803EF"/>
    <w:rsid w:val="00680969"/>
    <w:rsid w:val="00680DC1"/>
    <w:rsid w:val="00680EA6"/>
    <w:rsid w:val="00682893"/>
    <w:rsid w:val="006828EE"/>
    <w:rsid w:val="00682D51"/>
    <w:rsid w:val="0068307F"/>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4C5"/>
    <w:rsid w:val="00695A92"/>
    <w:rsid w:val="00695F18"/>
    <w:rsid w:val="00696533"/>
    <w:rsid w:val="006A02A3"/>
    <w:rsid w:val="006A0417"/>
    <w:rsid w:val="006A09D5"/>
    <w:rsid w:val="006A491B"/>
    <w:rsid w:val="006A4A75"/>
    <w:rsid w:val="006A551A"/>
    <w:rsid w:val="006A5B86"/>
    <w:rsid w:val="006A5EB2"/>
    <w:rsid w:val="006A645E"/>
    <w:rsid w:val="006A739E"/>
    <w:rsid w:val="006A7480"/>
    <w:rsid w:val="006B04EB"/>
    <w:rsid w:val="006B18F4"/>
    <w:rsid w:val="006B1EE2"/>
    <w:rsid w:val="006B1EFC"/>
    <w:rsid w:val="006B4A3D"/>
    <w:rsid w:val="006B4A86"/>
    <w:rsid w:val="006B50F4"/>
    <w:rsid w:val="006B5381"/>
    <w:rsid w:val="006B6AB5"/>
    <w:rsid w:val="006B7F63"/>
    <w:rsid w:val="006C0E63"/>
    <w:rsid w:val="006C124F"/>
    <w:rsid w:val="006C1B61"/>
    <w:rsid w:val="006C1E1F"/>
    <w:rsid w:val="006C2247"/>
    <w:rsid w:val="006C264E"/>
    <w:rsid w:val="006C285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24C3"/>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6CD"/>
    <w:rsid w:val="00710903"/>
    <w:rsid w:val="00711E2A"/>
    <w:rsid w:val="00712A2A"/>
    <w:rsid w:val="00714560"/>
    <w:rsid w:val="00715318"/>
    <w:rsid w:val="0071598B"/>
    <w:rsid w:val="00715DDE"/>
    <w:rsid w:val="00715F60"/>
    <w:rsid w:val="0071629D"/>
    <w:rsid w:val="00716B66"/>
    <w:rsid w:val="007179B4"/>
    <w:rsid w:val="00717C63"/>
    <w:rsid w:val="00720588"/>
    <w:rsid w:val="007206D3"/>
    <w:rsid w:val="00724754"/>
    <w:rsid w:val="007248E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807"/>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49D"/>
    <w:rsid w:val="007677D3"/>
    <w:rsid w:val="00767953"/>
    <w:rsid w:val="00767E9C"/>
    <w:rsid w:val="0077193C"/>
    <w:rsid w:val="007739A3"/>
    <w:rsid w:val="007744DF"/>
    <w:rsid w:val="0077585D"/>
    <w:rsid w:val="007762E4"/>
    <w:rsid w:val="00776BDD"/>
    <w:rsid w:val="00777503"/>
    <w:rsid w:val="00777A99"/>
    <w:rsid w:val="00780375"/>
    <w:rsid w:val="0078042F"/>
    <w:rsid w:val="00781BF5"/>
    <w:rsid w:val="0078390D"/>
    <w:rsid w:val="00784217"/>
    <w:rsid w:val="00784CAA"/>
    <w:rsid w:val="00786528"/>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1FDB"/>
    <w:rsid w:val="007A32A0"/>
    <w:rsid w:val="007A3C95"/>
    <w:rsid w:val="007A4019"/>
    <w:rsid w:val="007A4AF6"/>
    <w:rsid w:val="007A5D01"/>
    <w:rsid w:val="007A6A09"/>
    <w:rsid w:val="007A7010"/>
    <w:rsid w:val="007A71C6"/>
    <w:rsid w:val="007A7668"/>
    <w:rsid w:val="007B1B4B"/>
    <w:rsid w:val="007B33B1"/>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ECE"/>
    <w:rsid w:val="007F49CB"/>
    <w:rsid w:val="007F5016"/>
    <w:rsid w:val="007F59C0"/>
    <w:rsid w:val="007F5DE8"/>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B62"/>
    <w:rsid w:val="00807F17"/>
    <w:rsid w:val="0081175A"/>
    <w:rsid w:val="00812092"/>
    <w:rsid w:val="0081273E"/>
    <w:rsid w:val="00812DEF"/>
    <w:rsid w:val="00813282"/>
    <w:rsid w:val="008136B8"/>
    <w:rsid w:val="008139DB"/>
    <w:rsid w:val="00813DDE"/>
    <w:rsid w:val="0081451D"/>
    <w:rsid w:val="008148D9"/>
    <w:rsid w:val="00814D65"/>
    <w:rsid w:val="00815F3C"/>
    <w:rsid w:val="00816199"/>
    <w:rsid w:val="00816371"/>
    <w:rsid w:val="0081749F"/>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D8A"/>
    <w:rsid w:val="00832EDB"/>
    <w:rsid w:val="00833CDD"/>
    <w:rsid w:val="008345A4"/>
    <w:rsid w:val="008355FB"/>
    <w:rsid w:val="00835685"/>
    <w:rsid w:val="00835D18"/>
    <w:rsid w:val="00837CE6"/>
    <w:rsid w:val="00840193"/>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1AB2"/>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1D82"/>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2A"/>
    <w:rsid w:val="00874A97"/>
    <w:rsid w:val="00874B33"/>
    <w:rsid w:val="00875202"/>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4FC"/>
    <w:rsid w:val="0089058C"/>
    <w:rsid w:val="008924F5"/>
    <w:rsid w:val="00892698"/>
    <w:rsid w:val="00893015"/>
    <w:rsid w:val="008937AF"/>
    <w:rsid w:val="0089389E"/>
    <w:rsid w:val="00893A3F"/>
    <w:rsid w:val="008949D9"/>
    <w:rsid w:val="0089693D"/>
    <w:rsid w:val="00896F55"/>
    <w:rsid w:val="008A0415"/>
    <w:rsid w:val="008A1A15"/>
    <w:rsid w:val="008A1DBD"/>
    <w:rsid w:val="008A1ECF"/>
    <w:rsid w:val="008A2A29"/>
    <w:rsid w:val="008A32F9"/>
    <w:rsid w:val="008A3437"/>
    <w:rsid w:val="008A524B"/>
    <w:rsid w:val="008A56A2"/>
    <w:rsid w:val="008A6139"/>
    <w:rsid w:val="008A692E"/>
    <w:rsid w:val="008A6940"/>
    <w:rsid w:val="008A6A46"/>
    <w:rsid w:val="008A6A88"/>
    <w:rsid w:val="008A6E27"/>
    <w:rsid w:val="008A7059"/>
    <w:rsid w:val="008B074D"/>
    <w:rsid w:val="008B09B6"/>
    <w:rsid w:val="008B0B0B"/>
    <w:rsid w:val="008B131E"/>
    <w:rsid w:val="008B1AD6"/>
    <w:rsid w:val="008B1B8A"/>
    <w:rsid w:val="008B20FE"/>
    <w:rsid w:val="008B2B65"/>
    <w:rsid w:val="008B335D"/>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32F"/>
    <w:rsid w:val="008D1802"/>
    <w:rsid w:val="008D1934"/>
    <w:rsid w:val="008D2FB5"/>
    <w:rsid w:val="008D35A7"/>
    <w:rsid w:val="008D3885"/>
    <w:rsid w:val="008D3931"/>
    <w:rsid w:val="008D3A7C"/>
    <w:rsid w:val="008D49EE"/>
    <w:rsid w:val="008D4E89"/>
    <w:rsid w:val="008D500B"/>
    <w:rsid w:val="008D57D2"/>
    <w:rsid w:val="008D59FF"/>
    <w:rsid w:val="008D5A49"/>
    <w:rsid w:val="008D5E0F"/>
    <w:rsid w:val="008D67E2"/>
    <w:rsid w:val="008D77E4"/>
    <w:rsid w:val="008D7AAF"/>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908"/>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85D"/>
    <w:rsid w:val="00904A50"/>
    <w:rsid w:val="0090576D"/>
    <w:rsid w:val="00906C2C"/>
    <w:rsid w:val="009076F2"/>
    <w:rsid w:val="009079E3"/>
    <w:rsid w:val="00907A18"/>
    <w:rsid w:val="00907B78"/>
    <w:rsid w:val="00910A71"/>
    <w:rsid w:val="00910D86"/>
    <w:rsid w:val="00913C1C"/>
    <w:rsid w:val="00914181"/>
    <w:rsid w:val="00914B78"/>
    <w:rsid w:val="00914EAA"/>
    <w:rsid w:val="00914FB8"/>
    <w:rsid w:val="00916E0C"/>
    <w:rsid w:val="0092037B"/>
    <w:rsid w:val="009206DA"/>
    <w:rsid w:val="009214F0"/>
    <w:rsid w:val="00921FD4"/>
    <w:rsid w:val="00922218"/>
    <w:rsid w:val="009222FF"/>
    <w:rsid w:val="0092271F"/>
    <w:rsid w:val="009229A3"/>
    <w:rsid w:val="00922E38"/>
    <w:rsid w:val="0092341D"/>
    <w:rsid w:val="00924CEB"/>
    <w:rsid w:val="009251DE"/>
    <w:rsid w:val="00926D5D"/>
    <w:rsid w:val="0092748C"/>
    <w:rsid w:val="00927CEE"/>
    <w:rsid w:val="0093005D"/>
    <w:rsid w:val="00930121"/>
    <w:rsid w:val="009306C3"/>
    <w:rsid w:val="009308C2"/>
    <w:rsid w:val="00931E23"/>
    <w:rsid w:val="009320A6"/>
    <w:rsid w:val="009328F3"/>
    <w:rsid w:val="009334C6"/>
    <w:rsid w:val="00933E53"/>
    <w:rsid w:val="00934824"/>
    <w:rsid w:val="00935B72"/>
    <w:rsid w:val="009365DB"/>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CA3"/>
    <w:rsid w:val="00954D7D"/>
    <w:rsid w:val="00955230"/>
    <w:rsid w:val="009559D9"/>
    <w:rsid w:val="0095616F"/>
    <w:rsid w:val="00956301"/>
    <w:rsid w:val="00956423"/>
    <w:rsid w:val="00956869"/>
    <w:rsid w:val="00956BBC"/>
    <w:rsid w:val="0096045F"/>
    <w:rsid w:val="0096082B"/>
    <w:rsid w:val="0096099B"/>
    <w:rsid w:val="00960D10"/>
    <w:rsid w:val="00963846"/>
    <w:rsid w:val="00963DF5"/>
    <w:rsid w:val="0096411D"/>
    <w:rsid w:val="009657D1"/>
    <w:rsid w:val="0097029F"/>
    <w:rsid w:val="0097210C"/>
    <w:rsid w:val="00972FC3"/>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8A3"/>
    <w:rsid w:val="00980E5D"/>
    <w:rsid w:val="0098121C"/>
    <w:rsid w:val="00981CC9"/>
    <w:rsid w:val="00981E06"/>
    <w:rsid w:val="00982706"/>
    <w:rsid w:val="00982B26"/>
    <w:rsid w:val="00983193"/>
    <w:rsid w:val="00983359"/>
    <w:rsid w:val="0098428A"/>
    <w:rsid w:val="009847F0"/>
    <w:rsid w:val="009848EC"/>
    <w:rsid w:val="00986070"/>
    <w:rsid w:val="00986539"/>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50B8"/>
    <w:rsid w:val="009B6070"/>
    <w:rsid w:val="009B740F"/>
    <w:rsid w:val="009B7D2F"/>
    <w:rsid w:val="009B7FBC"/>
    <w:rsid w:val="009C0186"/>
    <w:rsid w:val="009C0932"/>
    <w:rsid w:val="009C22F5"/>
    <w:rsid w:val="009C25E7"/>
    <w:rsid w:val="009C2990"/>
    <w:rsid w:val="009C2D5F"/>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C57"/>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C68"/>
    <w:rsid w:val="009F1FAA"/>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3C8F"/>
    <w:rsid w:val="00A03FA3"/>
    <w:rsid w:val="00A04DB7"/>
    <w:rsid w:val="00A05A58"/>
    <w:rsid w:val="00A05A8C"/>
    <w:rsid w:val="00A05B07"/>
    <w:rsid w:val="00A06878"/>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73A"/>
    <w:rsid w:val="00A23C0A"/>
    <w:rsid w:val="00A25952"/>
    <w:rsid w:val="00A26A69"/>
    <w:rsid w:val="00A26E84"/>
    <w:rsid w:val="00A301B3"/>
    <w:rsid w:val="00A304E0"/>
    <w:rsid w:val="00A30D84"/>
    <w:rsid w:val="00A30D9B"/>
    <w:rsid w:val="00A31117"/>
    <w:rsid w:val="00A31498"/>
    <w:rsid w:val="00A33517"/>
    <w:rsid w:val="00A3372C"/>
    <w:rsid w:val="00A34E05"/>
    <w:rsid w:val="00A35329"/>
    <w:rsid w:val="00A360F9"/>
    <w:rsid w:val="00A37004"/>
    <w:rsid w:val="00A374E1"/>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22"/>
    <w:rsid w:val="00A50B6D"/>
    <w:rsid w:val="00A50FAC"/>
    <w:rsid w:val="00A510E6"/>
    <w:rsid w:val="00A52992"/>
    <w:rsid w:val="00A53399"/>
    <w:rsid w:val="00A533C1"/>
    <w:rsid w:val="00A5360C"/>
    <w:rsid w:val="00A54FFC"/>
    <w:rsid w:val="00A555FE"/>
    <w:rsid w:val="00A5620C"/>
    <w:rsid w:val="00A56406"/>
    <w:rsid w:val="00A56686"/>
    <w:rsid w:val="00A56738"/>
    <w:rsid w:val="00A569F5"/>
    <w:rsid w:val="00A57A45"/>
    <w:rsid w:val="00A57E41"/>
    <w:rsid w:val="00A60483"/>
    <w:rsid w:val="00A6140C"/>
    <w:rsid w:val="00A61633"/>
    <w:rsid w:val="00A628A6"/>
    <w:rsid w:val="00A6352A"/>
    <w:rsid w:val="00A63C92"/>
    <w:rsid w:val="00A63F4D"/>
    <w:rsid w:val="00A64B82"/>
    <w:rsid w:val="00A65444"/>
    <w:rsid w:val="00A65C86"/>
    <w:rsid w:val="00A65CB7"/>
    <w:rsid w:val="00A65E65"/>
    <w:rsid w:val="00A665C5"/>
    <w:rsid w:val="00A67A81"/>
    <w:rsid w:val="00A706C2"/>
    <w:rsid w:val="00A707F4"/>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15B"/>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7BB"/>
    <w:rsid w:val="00AC087E"/>
    <w:rsid w:val="00AC0DDA"/>
    <w:rsid w:val="00AC0F4E"/>
    <w:rsid w:val="00AC1137"/>
    <w:rsid w:val="00AC1AAA"/>
    <w:rsid w:val="00AC22AC"/>
    <w:rsid w:val="00AC29C6"/>
    <w:rsid w:val="00AC371B"/>
    <w:rsid w:val="00AC39C4"/>
    <w:rsid w:val="00AC4501"/>
    <w:rsid w:val="00AC49B1"/>
    <w:rsid w:val="00AC4E34"/>
    <w:rsid w:val="00AC500E"/>
    <w:rsid w:val="00AC5F70"/>
    <w:rsid w:val="00AC7134"/>
    <w:rsid w:val="00AC7BBF"/>
    <w:rsid w:val="00AD0A20"/>
    <w:rsid w:val="00AD130E"/>
    <w:rsid w:val="00AD172A"/>
    <w:rsid w:val="00AD2444"/>
    <w:rsid w:val="00AD3824"/>
    <w:rsid w:val="00AD4822"/>
    <w:rsid w:val="00AD491A"/>
    <w:rsid w:val="00AD5E7A"/>
    <w:rsid w:val="00AE109F"/>
    <w:rsid w:val="00AE11EF"/>
    <w:rsid w:val="00AE18A3"/>
    <w:rsid w:val="00AE3618"/>
    <w:rsid w:val="00AE3841"/>
    <w:rsid w:val="00AE3A63"/>
    <w:rsid w:val="00AE3E25"/>
    <w:rsid w:val="00AE3F40"/>
    <w:rsid w:val="00AE4ACA"/>
    <w:rsid w:val="00AE4B88"/>
    <w:rsid w:val="00AE583B"/>
    <w:rsid w:val="00AE5A1C"/>
    <w:rsid w:val="00AE65D8"/>
    <w:rsid w:val="00AE76F5"/>
    <w:rsid w:val="00AE795A"/>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67D"/>
    <w:rsid w:val="00B072CD"/>
    <w:rsid w:val="00B07399"/>
    <w:rsid w:val="00B0742C"/>
    <w:rsid w:val="00B0798A"/>
    <w:rsid w:val="00B10000"/>
    <w:rsid w:val="00B10C8E"/>
    <w:rsid w:val="00B1139B"/>
    <w:rsid w:val="00B117EF"/>
    <w:rsid w:val="00B11C87"/>
    <w:rsid w:val="00B12058"/>
    <w:rsid w:val="00B127F3"/>
    <w:rsid w:val="00B130F4"/>
    <w:rsid w:val="00B14236"/>
    <w:rsid w:val="00B15DC4"/>
    <w:rsid w:val="00B1630E"/>
    <w:rsid w:val="00B1732B"/>
    <w:rsid w:val="00B17FCD"/>
    <w:rsid w:val="00B20457"/>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812"/>
    <w:rsid w:val="00B43DA7"/>
    <w:rsid w:val="00B4477D"/>
    <w:rsid w:val="00B44974"/>
    <w:rsid w:val="00B44DDF"/>
    <w:rsid w:val="00B45287"/>
    <w:rsid w:val="00B45709"/>
    <w:rsid w:val="00B465CE"/>
    <w:rsid w:val="00B46691"/>
    <w:rsid w:val="00B4783F"/>
    <w:rsid w:val="00B47F71"/>
    <w:rsid w:val="00B5066A"/>
    <w:rsid w:val="00B5166A"/>
    <w:rsid w:val="00B51EB2"/>
    <w:rsid w:val="00B52732"/>
    <w:rsid w:val="00B5427A"/>
    <w:rsid w:val="00B543C1"/>
    <w:rsid w:val="00B545C2"/>
    <w:rsid w:val="00B546EF"/>
    <w:rsid w:val="00B54F11"/>
    <w:rsid w:val="00B55340"/>
    <w:rsid w:val="00B553CC"/>
    <w:rsid w:val="00B566FD"/>
    <w:rsid w:val="00B56B34"/>
    <w:rsid w:val="00B56BAF"/>
    <w:rsid w:val="00B5763D"/>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4DAC"/>
    <w:rsid w:val="00B960BC"/>
    <w:rsid w:val="00B965C3"/>
    <w:rsid w:val="00B96824"/>
    <w:rsid w:val="00B972FE"/>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C3F"/>
    <w:rsid w:val="00BB4DA3"/>
    <w:rsid w:val="00BB5157"/>
    <w:rsid w:val="00BB57AF"/>
    <w:rsid w:val="00BB5825"/>
    <w:rsid w:val="00BB6317"/>
    <w:rsid w:val="00BB71D0"/>
    <w:rsid w:val="00BC05DF"/>
    <w:rsid w:val="00BC082C"/>
    <w:rsid w:val="00BC16C3"/>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178"/>
    <w:rsid w:val="00BD36E8"/>
    <w:rsid w:val="00BD593D"/>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2B6"/>
    <w:rsid w:val="00BF396E"/>
    <w:rsid w:val="00BF4212"/>
    <w:rsid w:val="00BF4677"/>
    <w:rsid w:val="00BF4AFE"/>
    <w:rsid w:val="00BF4B01"/>
    <w:rsid w:val="00BF6EF7"/>
    <w:rsid w:val="00BF74E5"/>
    <w:rsid w:val="00BF75EC"/>
    <w:rsid w:val="00BF76AE"/>
    <w:rsid w:val="00BF7DF9"/>
    <w:rsid w:val="00C00E8A"/>
    <w:rsid w:val="00C016E1"/>
    <w:rsid w:val="00C0212B"/>
    <w:rsid w:val="00C0230D"/>
    <w:rsid w:val="00C025A2"/>
    <w:rsid w:val="00C0278E"/>
    <w:rsid w:val="00C02B44"/>
    <w:rsid w:val="00C0321F"/>
    <w:rsid w:val="00C0341E"/>
    <w:rsid w:val="00C05380"/>
    <w:rsid w:val="00C054A2"/>
    <w:rsid w:val="00C05944"/>
    <w:rsid w:val="00C0638C"/>
    <w:rsid w:val="00C06839"/>
    <w:rsid w:val="00C07D9E"/>
    <w:rsid w:val="00C10CB7"/>
    <w:rsid w:val="00C10EEF"/>
    <w:rsid w:val="00C12264"/>
    <w:rsid w:val="00C14C76"/>
    <w:rsid w:val="00C14D8A"/>
    <w:rsid w:val="00C14E63"/>
    <w:rsid w:val="00C14E6C"/>
    <w:rsid w:val="00C1623B"/>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1A19"/>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470"/>
    <w:rsid w:val="00C56E6C"/>
    <w:rsid w:val="00C57864"/>
    <w:rsid w:val="00C57C71"/>
    <w:rsid w:val="00C57DBC"/>
    <w:rsid w:val="00C6064F"/>
    <w:rsid w:val="00C60BF7"/>
    <w:rsid w:val="00C6136E"/>
    <w:rsid w:val="00C618FF"/>
    <w:rsid w:val="00C61FB0"/>
    <w:rsid w:val="00C62037"/>
    <w:rsid w:val="00C628D5"/>
    <w:rsid w:val="00C62ACD"/>
    <w:rsid w:val="00C62E6E"/>
    <w:rsid w:val="00C633C7"/>
    <w:rsid w:val="00C648A2"/>
    <w:rsid w:val="00C648EB"/>
    <w:rsid w:val="00C6551C"/>
    <w:rsid w:val="00C65E41"/>
    <w:rsid w:val="00C67EE4"/>
    <w:rsid w:val="00C70012"/>
    <w:rsid w:val="00C70564"/>
    <w:rsid w:val="00C71B96"/>
    <w:rsid w:val="00C7241A"/>
    <w:rsid w:val="00C727F6"/>
    <w:rsid w:val="00C73CF1"/>
    <w:rsid w:val="00C7491D"/>
    <w:rsid w:val="00C75751"/>
    <w:rsid w:val="00C768F6"/>
    <w:rsid w:val="00C8035F"/>
    <w:rsid w:val="00C8164F"/>
    <w:rsid w:val="00C81B38"/>
    <w:rsid w:val="00C81E75"/>
    <w:rsid w:val="00C82462"/>
    <w:rsid w:val="00C8253F"/>
    <w:rsid w:val="00C82F6A"/>
    <w:rsid w:val="00C835CA"/>
    <w:rsid w:val="00C836A1"/>
    <w:rsid w:val="00C839DC"/>
    <w:rsid w:val="00C840CE"/>
    <w:rsid w:val="00C859F6"/>
    <w:rsid w:val="00C85E40"/>
    <w:rsid w:val="00C86F29"/>
    <w:rsid w:val="00C87869"/>
    <w:rsid w:val="00C87E76"/>
    <w:rsid w:val="00C916C2"/>
    <w:rsid w:val="00C9269B"/>
    <w:rsid w:val="00C92893"/>
    <w:rsid w:val="00C92C33"/>
    <w:rsid w:val="00C93D5D"/>
    <w:rsid w:val="00C94BA7"/>
    <w:rsid w:val="00C96B7E"/>
    <w:rsid w:val="00C97182"/>
    <w:rsid w:val="00CA02C7"/>
    <w:rsid w:val="00CA0371"/>
    <w:rsid w:val="00CA107F"/>
    <w:rsid w:val="00CA19E0"/>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59EA"/>
    <w:rsid w:val="00CC70D6"/>
    <w:rsid w:val="00CC7176"/>
    <w:rsid w:val="00CC769F"/>
    <w:rsid w:val="00CD022C"/>
    <w:rsid w:val="00CD06E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B51"/>
    <w:rsid w:val="00CE4579"/>
    <w:rsid w:val="00CE5852"/>
    <w:rsid w:val="00CE628C"/>
    <w:rsid w:val="00CE64D4"/>
    <w:rsid w:val="00CE79F8"/>
    <w:rsid w:val="00CE7A02"/>
    <w:rsid w:val="00CE7BBE"/>
    <w:rsid w:val="00CF00CA"/>
    <w:rsid w:val="00CF13EC"/>
    <w:rsid w:val="00CF1FE1"/>
    <w:rsid w:val="00CF38AF"/>
    <w:rsid w:val="00CF39C3"/>
    <w:rsid w:val="00CF4136"/>
    <w:rsid w:val="00CF545C"/>
    <w:rsid w:val="00CF5A5B"/>
    <w:rsid w:val="00CF6A64"/>
    <w:rsid w:val="00CF6C2F"/>
    <w:rsid w:val="00CF7103"/>
    <w:rsid w:val="00CF718E"/>
    <w:rsid w:val="00CF7A4A"/>
    <w:rsid w:val="00D019FF"/>
    <w:rsid w:val="00D01DBB"/>
    <w:rsid w:val="00D040DD"/>
    <w:rsid w:val="00D05A56"/>
    <w:rsid w:val="00D0662E"/>
    <w:rsid w:val="00D071A1"/>
    <w:rsid w:val="00D07593"/>
    <w:rsid w:val="00D1059B"/>
    <w:rsid w:val="00D1181D"/>
    <w:rsid w:val="00D13EC9"/>
    <w:rsid w:val="00D14531"/>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4D9"/>
    <w:rsid w:val="00D4799D"/>
    <w:rsid w:val="00D47DAB"/>
    <w:rsid w:val="00D50054"/>
    <w:rsid w:val="00D5455A"/>
    <w:rsid w:val="00D555C0"/>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59DF"/>
    <w:rsid w:val="00D7653B"/>
    <w:rsid w:val="00D76B07"/>
    <w:rsid w:val="00D76CC4"/>
    <w:rsid w:val="00D774F1"/>
    <w:rsid w:val="00D777EA"/>
    <w:rsid w:val="00D77E24"/>
    <w:rsid w:val="00D80757"/>
    <w:rsid w:val="00D81247"/>
    <w:rsid w:val="00D81A3B"/>
    <w:rsid w:val="00D81B9C"/>
    <w:rsid w:val="00D81D00"/>
    <w:rsid w:val="00D8238C"/>
    <w:rsid w:val="00D828F3"/>
    <w:rsid w:val="00D838A7"/>
    <w:rsid w:val="00D86278"/>
    <w:rsid w:val="00D86B94"/>
    <w:rsid w:val="00D86F25"/>
    <w:rsid w:val="00D876BE"/>
    <w:rsid w:val="00D87A53"/>
    <w:rsid w:val="00D87CF2"/>
    <w:rsid w:val="00D904FA"/>
    <w:rsid w:val="00D914A8"/>
    <w:rsid w:val="00D914C7"/>
    <w:rsid w:val="00D91AB3"/>
    <w:rsid w:val="00D91ED1"/>
    <w:rsid w:val="00D92E61"/>
    <w:rsid w:val="00D937AE"/>
    <w:rsid w:val="00D9412C"/>
    <w:rsid w:val="00D94E1C"/>
    <w:rsid w:val="00D9508C"/>
    <w:rsid w:val="00D95762"/>
    <w:rsid w:val="00D95FCB"/>
    <w:rsid w:val="00D96EA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1AD9"/>
    <w:rsid w:val="00DC2211"/>
    <w:rsid w:val="00DC2F56"/>
    <w:rsid w:val="00DC33F1"/>
    <w:rsid w:val="00DC39C6"/>
    <w:rsid w:val="00DC49C2"/>
    <w:rsid w:val="00DC5902"/>
    <w:rsid w:val="00DC6CFB"/>
    <w:rsid w:val="00DC6E13"/>
    <w:rsid w:val="00DC7D19"/>
    <w:rsid w:val="00DD0ABA"/>
    <w:rsid w:val="00DD15F0"/>
    <w:rsid w:val="00DD34B0"/>
    <w:rsid w:val="00DD3909"/>
    <w:rsid w:val="00DD5078"/>
    <w:rsid w:val="00DD521A"/>
    <w:rsid w:val="00DD53FC"/>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0A81"/>
    <w:rsid w:val="00DF16DB"/>
    <w:rsid w:val="00DF1F16"/>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0E63"/>
    <w:rsid w:val="00E1104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756"/>
    <w:rsid w:val="00E214CC"/>
    <w:rsid w:val="00E21D0E"/>
    <w:rsid w:val="00E2336E"/>
    <w:rsid w:val="00E237E9"/>
    <w:rsid w:val="00E242F7"/>
    <w:rsid w:val="00E2462B"/>
    <w:rsid w:val="00E250E1"/>
    <w:rsid w:val="00E266FD"/>
    <w:rsid w:val="00E30A04"/>
    <w:rsid w:val="00E31148"/>
    <w:rsid w:val="00E311FF"/>
    <w:rsid w:val="00E3150C"/>
    <w:rsid w:val="00E31EE0"/>
    <w:rsid w:val="00E31F9B"/>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6EBC"/>
    <w:rsid w:val="00E4742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78F"/>
    <w:rsid w:val="00E65009"/>
    <w:rsid w:val="00E66740"/>
    <w:rsid w:val="00E66BF7"/>
    <w:rsid w:val="00E66C02"/>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0E9D"/>
    <w:rsid w:val="00E91262"/>
    <w:rsid w:val="00E91346"/>
    <w:rsid w:val="00E91FB7"/>
    <w:rsid w:val="00E9212F"/>
    <w:rsid w:val="00E93CED"/>
    <w:rsid w:val="00E95DAA"/>
    <w:rsid w:val="00E95E37"/>
    <w:rsid w:val="00E96739"/>
    <w:rsid w:val="00E967D0"/>
    <w:rsid w:val="00E96881"/>
    <w:rsid w:val="00E96AC4"/>
    <w:rsid w:val="00E96B80"/>
    <w:rsid w:val="00E96CD3"/>
    <w:rsid w:val="00E972E3"/>
    <w:rsid w:val="00E97872"/>
    <w:rsid w:val="00EA14A6"/>
    <w:rsid w:val="00EA2603"/>
    <w:rsid w:val="00EA2AE9"/>
    <w:rsid w:val="00EA380D"/>
    <w:rsid w:val="00EA4F04"/>
    <w:rsid w:val="00EA5068"/>
    <w:rsid w:val="00EA52ED"/>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D93"/>
    <w:rsid w:val="00EB6ED1"/>
    <w:rsid w:val="00EB7361"/>
    <w:rsid w:val="00EC11BA"/>
    <w:rsid w:val="00EC257A"/>
    <w:rsid w:val="00EC2A78"/>
    <w:rsid w:val="00EC305B"/>
    <w:rsid w:val="00EC33D1"/>
    <w:rsid w:val="00EC4647"/>
    <w:rsid w:val="00EC4E4A"/>
    <w:rsid w:val="00EC4E98"/>
    <w:rsid w:val="00EC5632"/>
    <w:rsid w:val="00EC588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3E7"/>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38C9"/>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A8D"/>
    <w:rsid w:val="00F33EFD"/>
    <w:rsid w:val="00F3423F"/>
    <w:rsid w:val="00F346A4"/>
    <w:rsid w:val="00F34858"/>
    <w:rsid w:val="00F35163"/>
    <w:rsid w:val="00F353D7"/>
    <w:rsid w:val="00F35C36"/>
    <w:rsid w:val="00F36AD1"/>
    <w:rsid w:val="00F36EDF"/>
    <w:rsid w:val="00F3791D"/>
    <w:rsid w:val="00F37E3E"/>
    <w:rsid w:val="00F403BC"/>
    <w:rsid w:val="00F42089"/>
    <w:rsid w:val="00F420F5"/>
    <w:rsid w:val="00F42A27"/>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037"/>
    <w:rsid w:val="00F60C49"/>
    <w:rsid w:val="00F61608"/>
    <w:rsid w:val="00F616E1"/>
    <w:rsid w:val="00F628B4"/>
    <w:rsid w:val="00F632E0"/>
    <w:rsid w:val="00F6349F"/>
    <w:rsid w:val="00F63D95"/>
    <w:rsid w:val="00F64861"/>
    <w:rsid w:val="00F65962"/>
    <w:rsid w:val="00F65D1E"/>
    <w:rsid w:val="00F66A19"/>
    <w:rsid w:val="00F66DC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62C"/>
    <w:rsid w:val="00F77A9D"/>
    <w:rsid w:val="00F8064F"/>
    <w:rsid w:val="00F80A85"/>
    <w:rsid w:val="00F81BC1"/>
    <w:rsid w:val="00F82931"/>
    <w:rsid w:val="00F82AA1"/>
    <w:rsid w:val="00F847F5"/>
    <w:rsid w:val="00F84E65"/>
    <w:rsid w:val="00F85874"/>
    <w:rsid w:val="00F858B7"/>
    <w:rsid w:val="00F913F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03D"/>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D9C"/>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8CF"/>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0005901C-D275-461D-8092-83759E1C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1"/>
    <w:next w:val="Norma1"/>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1"/>
    <w:next w:val="Norma1"/>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1"/>
    <w:next w:val="Norma1"/>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1"/>
    <w:next w:val="Norma1"/>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1"/>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1">
    <w:name w:val="NormalTable1"/>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1"/>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1"/>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1"/>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1"/>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1"/>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1"/>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1"/>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1"/>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1"/>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1"/>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1"/>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1"/>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1"/>
    <w:next w:val="Norma1"/>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1"/>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1">
    <w:name w:val="Baloon Text1"/>
    <w:basedOn w:val="Norma"/>
    <w:link w:val="BaloonTextChar1"/>
    <w:uiPriority w:val="99"/>
    <w:semiHidden/>
    <w:unhideWhenUsed/>
    <w:rsid w:val="0011747B"/>
    <w:rPr>
      <w:rFonts w:ascii="Tahoma" w:hAnsi="Tahoma" w:cs="Tahoma"/>
      <w:sz w:val="16"/>
      <w:szCs w:val="16"/>
    </w:rPr>
  </w:style>
  <w:style w:type="character" w:customStyle="1" w:styleId="BaloonTextChar1">
    <w:name w:val="Baloon Text Char1"/>
    <w:basedOn w:val="DefaultParagraphFont"/>
    <w:link w:val="BaloonText1"/>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1"/>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3973">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4142298">
      <w:bodyDiv w:val="1"/>
      <w:marLeft w:val="0"/>
      <w:marRight w:val="0"/>
      <w:marTop w:val="0"/>
      <w:marBottom w:val="0"/>
      <w:divBdr>
        <w:top w:val="none" w:sz="0" w:space="0" w:color="auto"/>
        <w:left w:val="none" w:sz="0" w:space="0" w:color="auto"/>
        <w:bottom w:val="none" w:sz="0" w:space="0" w:color="auto"/>
        <w:right w:val="none" w:sz="0" w:space="0" w:color="auto"/>
      </w:divBdr>
      <w:divsChild>
        <w:div w:id="86585332">
          <w:marLeft w:val="0"/>
          <w:marRight w:val="0"/>
          <w:marTop w:val="0"/>
          <w:marBottom w:val="0"/>
          <w:divBdr>
            <w:top w:val="none" w:sz="0" w:space="0" w:color="auto"/>
            <w:left w:val="none" w:sz="0" w:space="0" w:color="auto"/>
            <w:bottom w:val="none" w:sz="0" w:space="0" w:color="auto"/>
            <w:right w:val="none" w:sz="0" w:space="0" w:color="auto"/>
          </w:divBdr>
        </w:div>
        <w:div w:id="242571100">
          <w:marLeft w:val="0"/>
          <w:marRight w:val="0"/>
          <w:marTop w:val="0"/>
          <w:marBottom w:val="0"/>
          <w:divBdr>
            <w:top w:val="none" w:sz="0" w:space="0" w:color="auto"/>
            <w:left w:val="none" w:sz="0" w:space="0" w:color="auto"/>
            <w:bottom w:val="none" w:sz="0" w:space="0" w:color="auto"/>
            <w:right w:val="none" w:sz="0" w:space="0" w:color="auto"/>
          </w:divBdr>
        </w:div>
        <w:div w:id="263153126">
          <w:marLeft w:val="0"/>
          <w:marRight w:val="0"/>
          <w:marTop w:val="0"/>
          <w:marBottom w:val="0"/>
          <w:divBdr>
            <w:top w:val="none" w:sz="0" w:space="0" w:color="auto"/>
            <w:left w:val="none" w:sz="0" w:space="0" w:color="auto"/>
            <w:bottom w:val="none" w:sz="0" w:space="0" w:color="auto"/>
            <w:right w:val="none" w:sz="0" w:space="0" w:color="auto"/>
          </w:divBdr>
        </w:div>
        <w:div w:id="409810295">
          <w:marLeft w:val="0"/>
          <w:marRight w:val="0"/>
          <w:marTop w:val="0"/>
          <w:marBottom w:val="0"/>
          <w:divBdr>
            <w:top w:val="none" w:sz="0" w:space="0" w:color="auto"/>
            <w:left w:val="none" w:sz="0" w:space="0" w:color="auto"/>
            <w:bottom w:val="none" w:sz="0" w:space="0" w:color="auto"/>
            <w:right w:val="none" w:sz="0" w:space="0" w:color="auto"/>
          </w:divBdr>
        </w:div>
        <w:div w:id="502550821">
          <w:marLeft w:val="0"/>
          <w:marRight w:val="0"/>
          <w:marTop w:val="0"/>
          <w:marBottom w:val="0"/>
          <w:divBdr>
            <w:top w:val="none" w:sz="0" w:space="0" w:color="auto"/>
            <w:left w:val="none" w:sz="0" w:space="0" w:color="auto"/>
            <w:bottom w:val="none" w:sz="0" w:space="0" w:color="auto"/>
            <w:right w:val="none" w:sz="0" w:space="0" w:color="auto"/>
          </w:divBdr>
        </w:div>
        <w:div w:id="559098512">
          <w:marLeft w:val="0"/>
          <w:marRight w:val="0"/>
          <w:marTop w:val="0"/>
          <w:marBottom w:val="0"/>
          <w:divBdr>
            <w:top w:val="none" w:sz="0" w:space="0" w:color="auto"/>
            <w:left w:val="none" w:sz="0" w:space="0" w:color="auto"/>
            <w:bottom w:val="none" w:sz="0" w:space="0" w:color="auto"/>
            <w:right w:val="none" w:sz="0" w:space="0" w:color="auto"/>
          </w:divBdr>
        </w:div>
        <w:div w:id="605384746">
          <w:marLeft w:val="0"/>
          <w:marRight w:val="0"/>
          <w:marTop w:val="0"/>
          <w:marBottom w:val="0"/>
          <w:divBdr>
            <w:top w:val="none" w:sz="0" w:space="0" w:color="auto"/>
            <w:left w:val="none" w:sz="0" w:space="0" w:color="auto"/>
            <w:bottom w:val="none" w:sz="0" w:space="0" w:color="auto"/>
            <w:right w:val="none" w:sz="0" w:space="0" w:color="auto"/>
          </w:divBdr>
        </w:div>
        <w:div w:id="777220873">
          <w:marLeft w:val="0"/>
          <w:marRight w:val="0"/>
          <w:marTop w:val="0"/>
          <w:marBottom w:val="0"/>
          <w:divBdr>
            <w:top w:val="none" w:sz="0" w:space="0" w:color="auto"/>
            <w:left w:val="none" w:sz="0" w:space="0" w:color="auto"/>
            <w:bottom w:val="none" w:sz="0" w:space="0" w:color="auto"/>
            <w:right w:val="none" w:sz="0" w:space="0" w:color="auto"/>
          </w:divBdr>
        </w:div>
        <w:div w:id="816458962">
          <w:marLeft w:val="0"/>
          <w:marRight w:val="0"/>
          <w:marTop w:val="0"/>
          <w:marBottom w:val="0"/>
          <w:divBdr>
            <w:top w:val="none" w:sz="0" w:space="0" w:color="auto"/>
            <w:left w:val="none" w:sz="0" w:space="0" w:color="auto"/>
            <w:bottom w:val="none" w:sz="0" w:space="0" w:color="auto"/>
            <w:right w:val="none" w:sz="0" w:space="0" w:color="auto"/>
          </w:divBdr>
        </w:div>
        <w:div w:id="824204308">
          <w:marLeft w:val="0"/>
          <w:marRight w:val="0"/>
          <w:marTop w:val="0"/>
          <w:marBottom w:val="0"/>
          <w:divBdr>
            <w:top w:val="none" w:sz="0" w:space="0" w:color="auto"/>
            <w:left w:val="none" w:sz="0" w:space="0" w:color="auto"/>
            <w:bottom w:val="none" w:sz="0" w:space="0" w:color="auto"/>
            <w:right w:val="none" w:sz="0" w:space="0" w:color="auto"/>
          </w:divBdr>
        </w:div>
        <w:div w:id="841966249">
          <w:marLeft w:val="0"/>
          <w:marRight w:val="0"/>
          <w:marTop w:val="0"/>
          <w:marBottom w:val="0"/>
          <w:divBdr>
            <w:top w:val="none" w:sz="0" w:space="0" w:color="auto"/>
            <w:left w:val="none" w:sz="0" w:space="0" w:color="auto"/>
            <w:bottom w:val="none" w:sz="0" w:space="0" w:color="auto"/>
            <w:right w:val="none" w:sz="0" w:space="0" w:color="auto"/>
          </w:divBdr>
        </w:div>
        <w:div w:id="1292051197">
          <w:marLeft w:val="0"/>
          <w:marRight w:val="0"/>
          <w:marTop w:val="0"/>
          <w:marBottom w:val="0"/>
          <w:divBdr>
            <w:top w:val="none" w:sz="0" w:space="0" w:color="auto"/>
            <w:left w:val="none" w:sz="0" w:space="0" w:color="auto"/>
            <w:bottom w:val="none" w:sz="0" w:space="0" w:color="auto"/>
            <w:right w:val="none" w:sz="0" w:space="0" w:color="auto"/>
          </w:divBdr>
        </w:div>
        <w:div w:id="1456870729">
          <w:marLeft w:val="0"/>
          <w:marRight w:val="0"/>
          <w:marTop w:val="0"/>
          <w:marBottom w:val="0"/>
          <w:divBdr>
            <w:top w:val="none" w:sz="0" w:space="0" w:color="auto"/>
            <w:left w:val="none" w:sz="0" w:space="0" w:color="auto"/>
            <w:bottom w:val="none" w:sz="0" w:space="0" w:color="auto"/>
            <w:right w:val="none" w:sz="0" w:space="0" w:color="auto"/>
          </w:divBdr>
        </w:div>
        <w:div w:id="1539203499">
          <w:marLeft w:val="0"/>
          <w:marRight w:val="0"/>
          <w:marTop w:val="0"/>
          <w:marBottom w:val="0"/>
          <w:divBdr>
            <w:top w:val="none" w:sz="0" w:space="0" w:color="auto"/>
            <w:left w:val="none" w:sz="0" w:space="0" w:color="auto"/>
            <w:bottom w:val="none" w:sz="0" w:space="0" w:color="auto"/>
            <w:right w:val="none" w:sz="0" w:space="0" w:color="auto"/>
          </w:divBdr>
        </w:div>
        <w:div w:id="1576469914">
          <w:marLeft w:val="0"/>
          <w:marRight w:val="0"/>
          <w:marTop w:val="0"/>
          <w:marBottom w:val="0"/>
          <w:divBdr>
            <w:top w:val="none" w:sz="0" w:space="0" w:color="auto"/>
            <w:left w:val="none" w:sz="0" w:space="0" w:color="auto"/>
            <w:bottom w:val="none" w:sz="0" w:space="0" w:color="auto"/>
            <w:right w:val="none" w:sz="0" w:space="0" w:color="auto"/>
          </w:divBdr>
        </w:div>
        <w:div w:id="1661351190">
          <w:marLeft w:val="0"/>
          <w:marRight w:val="0"/>
          <w:marTop w:val="0"/>
          <w:marBottom w:val="0"/>
          <w:divBdr>
            <w:top w:val="none" w:sz="0" w:space="0" w:color="auto"/>
            <w:left w:val="none" w:sz="0" w:space="0" w:color="auto"/>
            <w:bottom w:val="none" w:sz="0" w:space="0" w:color="auto"/>
            <w:right w:val="none" w:sz="0" w:space="0" w:color="auto"/>
          </w:divBdr>
        </w:div>
        <w:div w:id="1729260747">
          <w:marLeft w:val="0"/>
          <w:marRight w:val="0"/>
          <w:marTop w:val="0"/>
          <w:marBottom w:val="0"/>
          <w:divBdr>
            <w:top w:val="none" w:sz="0" w:space="0" w:color="auto"/>
            <w:left w:val="none" w:sz="0" w:space="0" w:color="auto"/>
            <w:bottom w:val="none" w:sz="0" w:space="0" w:color="auto"/>
            <w:right w:val="none" w:sz="0" w:space="0" w:color="auto"/>
          </w:divBdr>
        </w:div>
        <w:div w:id="1951935824">
          <w:marLeft w:val="0"/>
          <w:marRight w:val="0"/>
          <w:marTop w:val="0"/>
          <w:marBottom w:val="0"/>
          <w:divBdr>
            <w:top w:val="none" w:sz="0" w:space="0" w:color="auto"/>
            <w:left w:val="none" w:sz="0" w:space="0" w:color="auto"/>
            <w:bottom w:val="none" w:sz="0" w:space="0" w:color="auto"/>
            <w:right w:val="none" w:sz="0" w:space="0" w:color="auto"/>
          </w:divBdr>
        </w:div>
      </w:divsChild>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83990734">
      <w:bodyDiv w:val="1"/>
      <w:marLeft w:val="0"/>
      <w:marRight w:val="0"/>
      <w:marTop w:val="0"/>
      <w:marBottom w:val="0"/>
      <w:divBdr>
        <w:top w:val="none" w:sz="0" w:space="0" w:color="auto"/>
        <w:left w:val="none" w:sz="0" w:space="0" w:color="auto"/>
        <w:bottom w:val="none" w:sz="0" w:space="0" w:color="auto"/>
        <w:right w:val="none" w:sz="0" w:space="0" w:color="auto"/>
      </w:divBdr>
      <w:divsChild>
        <w:div w:id="1752118753">
          <w:marLeft w:val="418"/>
          <w:marRight w:val="0"/>
          <w:marTop w:val="115"/>
          <w:marBottom w:val="0"/>
          <w:divBdr>
            <w:top w:val="none" w:sz="0" w:space="0" w:color="auto"/>
            <w:left w:val="none" w:sz="0" w:space="0" w:color="auto"/>
            <w:bottom w:val="none" w:sz="0" w:space="0" w:color="auto"/>
            <w:right w:val="none" w:sz="0" w:space="0" w:color="auto"/>
          </w:divBdr>
        </w:div>
        <w:div w:id="1959070572">
          <w:marLeft w:val="418"/>
          <w:marRight w:val="0"/>
          <w:marTop w:val="115"/>
          <w:marBottom w:val="0"/>
          <w:divBdr>
            <w:top w:val="none" w:sz="0" w:space="0" w:color="auto"/>
            <w:left w:val="none" w:sz="0" w:space="0" w:color="auto"/>
            <w:bottom w:val="none" w:sz="0" w:space="0" w:color="auto"/>
            <w:right w:val="none" w:sz="0" w:space="0" w:color="auto"/>
          </w:divBdr>
        </w:div>
      </w:divsChild>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26527341">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15909422">
      <w:bodyDiv w:val="1"/>
      <w:marLeft w:val="0"/>
      <w:marRight w:val="0"/>
      <w:marTop w:val="0"/>
      <w:marBottom w:val="0"/>
      <w:divBdr>
        <w:top w:val="none" w:sz="0" w:space="0" w:color="auto"/>
        <w:left w:val="none" w:sz="0" w:space="0" w:color="auto"/>
        <w:bottom w:val="none" w:sz="0" w:space="0" w:color="auto"/>
        <w:right w:val="none" w:sz="0" w:space="0" w:color="auto"/>
      </w:divBdr>
      <w:divsChild>
        <w:div w:id="886917695">
          <w:marLeft w:val="0"/>
          <w:marRight w:val="0"/>
          <w:marTop w:val="0"/>
          <w:marBottom w:val="0"/>
          <w:divBdr>
            <w:top w:val="none" w:sz="0" w:space="0" w:color="auto"/>
            <w:left w:val="none" w:sz="0" w:space="0" w:color="auto"/>
            <w:bottom w:val="none" w:sz="0" w:space="0" w:color="auto"/>
            <w:right w:val="none" w:sz="0" w:space="0" w:color="auto"/>
          </w:divBdr>
        </w:div>
        <w:div w:id="1682390388">
          <w:marLeft w:val="0"/>
          <w:marRight w:val="0"/>
          <w:marTop w:val="0"/>
          <w:marBottom w:val="0"/>
          <w:divBdr>
            <w:top w:val="none" w:sz="0" w:space="0" w:color="auto"/>
            <w:left w:val="none" w:sz="0" w:space="0" w:color="auto"/>
            <w:bottom w:val="none" w:sz="0" w:space="0" w:color="auto"/>
            <w:right w:val="none" w:sz="0" w:space="0" w:color="auto"/>
          </w:divBdr>
        </w:div>
        <w:div w:id="2007783242">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7433900">
      <w:bodyDiv w:val="1"/>
      <w:marLeft w:val="0"/>
      <w:marRight w:val="0"/>
      <w:marTop w:val="0"/>
      <w:marBottom w:val="0"/>
      <w:divBdr>
        <w:top w:val="none" w:sz="0" w:space="0" w:color="auto"/>
        <w:left w:val="none" w:sz="0" w:space="0" w:color="auto"/>
        <w:bottom w:val="none" w:sz="0" w:space="0" w:color="auto"/>
        <w:right w:val="none" w:sz="0" w:space="0" w:color="auto"/>
      </w:divBdr>
      <w:divsChild>
        <w:div w:id="357198965">
          <w:marLeft w:val="0"/>
          <w:marRight w:val="0"/>
          <w:marTop w:val="0"/>
          <w:marBottom w:val="0"/>
          <w:divBdr>
            <w:top w:val="none" w:sz="0" w:space="0" w:color="auto"/>
            <w:left w:val="none" w:sz="0" w:space="0" w:color="auto"/>
            <w:bottom w:val="none" w:sz="0" w:space="0" w:color="auto"/>
            <w:right w:val="none" w:sz="0" w:space="0" w:color="auto"/>
          </w:divBdr>
        </w:div>
        <w:div w:id="1848515959">
          <w:marLeft w:val="0"/>
          <w:marRight w:val="0"/>
          <w:marTop w:val="0"/>
          <w:marBottom w:val="0"/>
          <w:divBdr>
            <w:top w:val="none" w:sz="0" w:space="0" w:color="auto"/>
            <w:left w:val="none" w:sz="0" w:space="0" w:color="auto"/>
            <w:bottom w:val="none" w:sz="0" w:space="0" w:color="auto"/>
            <w:right w:val="none" w:sz="0" w:space="0" w:color="auto"/>
          </w:divBdr>
        </w:div>
        <w:div w:id="1871650928">
          <w:marLeft w:val="0"/>
          <w:marRight w:val="0"/>
          <w:marTop w:val="0"/>
          <w:marBottom w:val="0"/>
          <w:divBdr>
            <w:top w:val="none" w:sz="0" w:space="0" w:color="auto"/>
            <w:left w:val="none" w:sz="0" w:space="0" w:color="auto"/>
            <w:bottom w:val="none" w:sz="0" w:space="0" w:color="auto"/>
            <w:right w:val="none" w:sz="0" w:space="0" w:color="auto"/>
          </w:divBdr>
        </w:div>
        <w:div w:id="2072535524">
          <w:marLeft w:val="0"/>
          <w:marRight w:val="0"/>
          <w:marTop w:val="0"/>
          <w:marBottom w:val="0"/>
          <w:divBdr>
            <w:top w:val="none" w:sz="0" w:space="0" w:color="auto"/>
            <w:left w:val="none" w:sz="0" w:space="0" w:color="auto"/>
            <w:bottom w:val="none" w:sz="0" w:space="0" w:color="auto"/>
            <w:right w:val="none" w:sz="0" w:space="0" w:color="auto"/>
          </w:divBdr>
        </w:div>
      </w:divsChild>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37796506">
      <w:bodyDiv w:val="1"/>
      <w:marLeft w:val="0"/>
      <w:marRight w:val="0"/>
      <w:marTop w:val="0"/>
      <w:marBottom w:val="0"/>
      <w:divBdr>
        <w:top w:val="none" w:sz="0" w:space="0" w:color="auto"/>
        <w:left w:val="none" w:sz="0" w:space="0" w:color="auto"/>
        <w:bottom w:val="none" w:sz="0" w:space="0" w:color="auto"/>
        <w:right w:val="none" w:sz="0" w:space="0" w:color="auto"/>
      </w:divBdr>
      <w:divsChild>
        <w:div w:id="228542257">
          <w:marLeft w:val="0"/>
          <w:marRight w:val="0"/>
          <w:marTop w:val="0"/>
          <w:marBottom w:val="0"/>
          <w:divBdr>
            <w:top w:val="none" w:sz="0" w:space="0" w:color="auto"/>
            <w:left w:val="none" w:sz="0" w:space="0" w:color="auto"/>
            <w:bottom w:val="none" w:sz="0" w:space="0" w:color="auto"/>
            <w:right w:val="none" w:sz="0" w:space="0" w:color="auto"/>
          </w:divBdr>
        </w:div>
        <w:div w:id="1203439790">
          <w:marLeft w:val="0"/>
          <w:marRight w:val="0"/>
          <w:marTop w:val="0"/>
          <w:marBottom w:val="0"/>
          <w:divBdr>
            <w:top w:val="none" w:sz="0" w:space="0" w:color="auto"/>
            <w:left w:val="none" w:sz="0" w:space="0" w:color="auto"/>
            <w:bottom w:val="none" w:sz="0" w:space="0" w:color="auto"/>
            <w:right w:val="none" w:sz="0" w:space="0" w:color="auto"/>
          </w:divBdr>
        </w:div>
      </w:divsChild>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cc.org.uk/tackling-climate-change/preparing-for-climate-change/uk-climate-change-risk-assessment-20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uk-climate-change-risk-assessment-20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http://purl.org/dc/dcmitype/"/>
    <ds:schemaRef ds:uri="http://www.w3.org/XML/1998/namespace"/>
    <ds:schemaRef ds:uri="http://schemas.microsoft.com/office/2006/documentManagement/types"/>
    <ds:schemaRef ds:uri="http://purl.org/dc/elements/1.1/"/>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726A0F08-351A-41EF-83A6-A1DB252D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 Daniel (CCC)</dc:creator>
  <cp:keywords/>
  <dc:description/>
  <cp:lastModifiedBy>Taylor, Sean</cp:lastModifiedBy>
  <cp:revision>2</cp:revision>
  <cp:lastPrinted>2015-02-09T14:25:00Z</cp:lastPrinted>
  <dcterms:created xsi:type="dcterms:W3CDTF">2018-07-31T08:50:00Z</dcterms:created>
  <dcterms:modified xsi:type="dcterms:W3CDTF">2018-07-31T08:50:00Z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NewReviewCycle">
    <vt:lpwstr/>
  </property>
</Properties>
</file>