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4E97" w:rsidRDefault="00144E97">
      <w:pPr>
        <w:pStyle w:val="Standard"/>
        <w:spacing w:after="0" w:line="240" w:lineRule="auto"/>
        <w:rPr>
          <w:rFonts w:ascii="Arial" w:eastAsia="Arial" w:hAnsi="Arial" w:cs="Arial"/>
          <w:b/>
          <w:sz w:val="36"/>
          <w:szCs w:val="36"/>
        </w:rPr>
      </w:pPr>
      <w:bookmarkStart w:id="0" w:name="_heading=h.gjdgxs"/>
      <w:bookmarkEnd w:id="0"/>
    </w:p>
    <w:p w:rsidR="00144E97" w:rsidRDefault="00000000">
      <w:pPr>
        <w:pStyle w:val="Standard"/>
        <w:keepNext/>
        <w:spacing w:after="240" w:line="240" w:lineRule="auto"/>
      </w:pPr>
      <w:r>
        <w:rPr>
          <w:rFonts w:ascii="Arial" w:eastAsia="Arial" w:hAnsi="Arial" w:cs="Arial"/>
          <w:b/>
          <w:color w:val="000000"/>
          <w:sz w:val="32"/>
          <w:szCs w:val="32"/>
        </w:rPr>
        <w:t>Call-Off Schedule 10 (Exit Management)</w:t>
      </w:r>
    </w:p>
    <w:p w:rsidR="00144E97" w:rsidRDefault="00000000">
      <w:pPr>
        <w:pStyle w:val="Standard"/>
        <w:keepNext/>
        <w:numPr>
          <w:ilvl w:val="0"/>
          <w:numId w:val="3"/>
        </w:numPr>
        <w:tabs>
          <w:tab w:val="left" w:pos="644"/>
        </w:tabs>
        <w:spacing w:before="240" w:after="240" w:line="240" w:lineRule="auto"/>
        <w:ind w:hanging="360"/>
        <w:jc w:val="both"/>
      </w:pPr>
      <w:r>
        <w:rPr>
          <w:rFonts w:ascii="Arial Bold" w:eastAsia="Arial Bold" w:hAnsi="Arial Bold" w:cs="Arial Bold"/>
          <w:b/>
          <w:color w:val="000000"/>
          <w:sz w:val="24"/>
          <w:szCs w:val="24"/>
        </w:rPr>
        <w:t>Definitions</w:t>
      </w:r>
    </w:p>
    <w:p w:rsidR="00144E97" w:rsidRDefault="00000000">
      <w:pPr>
        <w:pStyle w:val="Standard"/>
        <w:keepNext/>
        <w:numPr>
          <w:ilvl w:val="1"/>
          <w:numId w:val="2"/>
        </w:numPr>
        <w:spacing w:before="120" w:after="120" w:line="240" w:lineRule="auto"/>
        <w:jc w:val="both"/>
      </w:pPr>
      <w:r>
        <w:rPr>
          <w:rFonts w:ascii="Arial" w:eastAsia="Arial" w:hAnsi="Arial" w:cs="Arial"/>
          <w:color w:val="000000"/>
          <w:sz w:val="24"/>
          <w:szCs w:val="24"/>
        </w:rPr>
        <w:t>In this Schedule, the following words shall have the following meanings and they shall supplement Joint Schedule 1 (Definitions):</w:t>
      </w:r>
    </w:p>
    <w:tbl>
      <w:tblPr>
        <w:tblW w:w="7988" w:type="dxa"/>
        <w:tblInd w:w="1008" w:type="dxa"/>
        <w:tblLayout w:type="fixed"/>
        <w:tblCellMar>
          <w:left w:w="10" w:type="dxa"/>
          <w:right w:w="10" w:type="dxa"/>
        </w:tblCellMar>
        <w:tblLook w:val="0000" w:firstRow="0" w:lastRow="0" w:firstColumn="0" w:lastColumn="0" w:noHBand="0" w:noVBand="0"/>
      </w:tblPr>
      <w:tblGrid>
        <w:gridCol w:w="3060"/>
        <w:gridCol w:w="4928"/>
      </w:tblGrid>
      <w:tr w:rsidR="00144E97">
        <w:tblPrEx>
          <w:tblCellMar>
            <w:top w:w="0" w:type="dxa"/>
            <w:bottom w:w="0" w:type="dxa"/>
          </w:tblCellMar>
        </w:tblPrEx>
        <w:tc>
          <w:tcPr>
            <w:tcW w:w="3060" w:type="dxa"/>
            <w:tcMar>
              <w:top w:w="0" w:type="dxa"/>
              <w:left w:w="108" w:type="dxa"/>
              <w:bottom w:w="0" w:type="dxa"/>
              <w:right w:w="108" w:type="dxa"/>
            </w:tcMar>
          </w:tcPr>
          <w:p w:rsidR="00144E97" w:rsidRDefault="00000000">
            <w:pPr>
              <w:pStyle w:val="Standard"/>
              <w:spacing w:after="120" w:line="240" w:lineRule="auto"/>
              <w:ind w:left="-108"/>
              <w:jc w:val="both"/>
            </w:pPr>
            <w:r>
              <w:rPr>
                <w:rFonts w:ascii="Arial" w:eastAsia="Arial" w:hAnsi="Arial" w:cs="Arial"/>
                <w:b/>
                <w:color w:val="000000"/>
                <w:sz w:val="24"/>
                <w:szCs w:val="24"/>
              </w:rPr>
              <w:t>"Exclusive Assets"</w:t>
            </w:r>
          </w:p>
        </w:tc>
        <w:tc>
          <w:tcPr>
            <w:tcW w:w="4927" w:type="dxa"/>
            <w:tcMar>
              <w:top w:w="0" w:type="dxa"/>
              <w:left w:w="108" w:type="dxa"/>
              <w:bottom w:w="0" w:type="dxa"/>
              <w:right w:w="108" w:type="dxa"/>
            </w:tcMar>
          </w:tcPr>
          <w:p w:rsidR="00144E97" w:rsidRDefault="00000000">
            <w:pPr>
              <w:pStyle w:val="Standard"/>
              <w:tabs>
                <w:tab w:val="left" w:pos="-9"/>
              </w:tabs>
              <w:spacing w:after="120" w:line="240" w:lineRule="auto"/>
              <w:jc w:val="both"/>
            </w:pPr>
            <w:bookmarkStart w:id="1" w:name="_heading=h.30j0zll"/>
            <w:bookmarkEnd w:id="1"/>
            <w:r>
              <w:rPr>
                <w:rFonts w:ascii="Arial" w:eastAsia="Arial" w:hAnsi="Arial" w:cs="Arial"/>
                <w:color w:val="000000"/>
                <w:sz w:val="24"/>
                <w:szCs w:val="24"/>
              </w:rPr>
              <w:t>Supplier Assets used exclusively by the Supplier or a Key Subcontractor in the provision of the Deliverables;</w:t>
            </w:r>
          </w:p>
        </w:tc>
      </w:tr>
      <w:tr w:rsidR="00144E97">
        <w:tblPrEx>
          <w:tblCellMar>
            <w:top w:w="0" w:type="dxa"/>
            <w:bottom w:w="0" w:type="dxa"/>
          </w:tblCellMar>
        </w:tblPrEx>
        <w:tc>
          <w:tcPr>
            <w:tcW w:w="3060" w:type="dxa"/>
            <w:tcMar>
              <w:top w:w="0" w:type="dxa"/>
              <w:left w:w="108" w:type="dxa"/>
              <w:bottom w:w="0" w:type="dxa"/>
              <w:right w:w="108" w:type="dxa"/>
            </w:tcMar>
          </w:tcPr>
          <w:p w:rsidR="00144E97" w:rsidRDefault="00000000">
            <w:pPr>
              <w:pStyle w:val="Standard"/>
              <w:spacing w:after="120" w:line="240" w:lineRule="auto"/>
              <w:ind w:left="-108"/>
              <w:jc w:val="both"/>
            </w:pPr>
            <w:r>
              <w:rPr>
                <w:rFonts w:ascii="Arial" w:eastAsia="Arial" w:hAnsi="Arial" w:cs="Arial"/>
                <w:b/>
                <w:color w:val="000000"/>
                <w:sz w:val="24"/>
                <w:szCs w:val="24"/>
              </w:rPr>
              <w:t>"Exit Information"</w:t>
            </w:r>
          </w:p>
        </w:tc>
        <w:tc>
          <w:tcPr>
            <w:tcW w:w="4927" w:type="dxa"/>
            <w:tcMar>
              <w:top w:w="0" w:type="dxa"/>
              <w:left w:w="108" w:type="dxa"/>
              <w:bottom w:w="0" w:type="dxa"/>
              <w:right w:w="108" w:type="dxa"/>
            </w:tcMar>
          </w:tcPr>
          <w:p w:rsidR="00144E97" w:rsidRDefault="00000000">
            <w:pPr>
              <w:pStyle w:val="Standard"/>
              <w:tabs>
                <w:tab w:val="left" w:pos="-9"/>
              </w:tabs>
              <w:spacing w:after="120" w:line="240" w:lineRule="auto"/>
              <w:jc w:val="both"/>
            </w:pPr>
            <w:r>
              <w:rPr>
                <w:rFonts w:ascii="Arial" w:eastAsia="Arial" w:hAnsi="Arial" w:cs="Arial"/>
                <w:color w:val="000000"/>
                <w:sz w:val="24"/>
                <w:szCs w:val="24"/>
              </w:rPr>
              <w:t>has the meaning given to it in Paragraph 3.1 of this Schedule;</w:t>
            </w:r>
          </w:p>
        </w:tc>
      </w:tr>
      <w:tr w:rsidR="00144E97">
        <w:tblPrEx>
          <w:tblCellMar>
            <w:top w:w="0" w:type="dxa"/>
            <w:bottom w:w="0" w:type="dxa"/>
          </w:tblCellMar>
        </w:tblPrEx>
        <w:tc>
          <w:tcPr>
            <w:tcW w:w="3060" w:type="dxa"/>
            <w:tcMar>
              <w:top w:w="0" w:type="dxa"/>
              <w:left w:w="108" w:type="dxa"/>
              <w:bottom w:w="0" w:type="dxa"/>
              <w:right w:w="108" w:type="dxa"/>
            </w:tcMar>
          </w:tcPr>
          <w:p w:rsidR="00144E97" w:rsidRDefault="00000000">
            <w:pPr>
              <w:pStyle w:val="Standard"/>
              <w:spacing w:after="120" w:line="240" w:lineRule="auto"/>
              <w:ind w:left="-108"/>
              <w:jc w:val="both"/>
            </w:pPr>
            <w:r>
              <w:rPr>
                <w:rFonts w:ascii="Arial" w:eastAsia="Arial" w:hAnsi="Arial" w:cs="Arial"/>
                <w:b/>
                <w:color w:val="000000"/>
                <w:sz w:val="24"/>
                <w:szCs w:val="24"/>
              </w:rPr>
              <w:t>"Exit Manager"</w:t>
            </w:r>
          </w:p>
        </w:tc>
        <w:tc>
          <w:tcPr>
            <w:tcW w:w="4927" w:type="dxa"/>
            <w:tcMar>
              <w:top w:w="0" w:type="dxa"/>
              <w:left w:w="108" w:type="dxa"/>
              <w:bottom w:w="0" w:type="dxa"/>
              <w:right w:w="108" w:type="dxa"/>
            </w:tcMar>
          </w:tcPr>
          <w:p w:rsidR="00144E97" w:rsidRDefault="00000000">
            <w:pPr>
              <w:pStyle w:val="Standard"/>
              <w:tabs>
                <w:tab w:val="left" w:pos="-9"/>
              </w:tabs>
              <w:spacing w:after="120" w:line="240" w:lineRule="auto"/>
              <w:jc w:val="both"/>
            </w:pPr>
            <w:r>
              <w:rPr>
                <w:rFonts w:ascii="Arial" w:eastAsia="Arial" w:hAnsi="Arial" w:cs="Arial"/>
                <w:color w:val="000000"/>
                <w:sz w:val="24"/>
                <w:szCs w:val="24"/>
              </w:rPr>
              <w:t>the person appointed by each Party to manage their respective obligations under this Schedule;</w:t>
            </w:r>
          </w:p>
        </w:tc>
      </w:tr>
      <w:tr w:rsidR="00144E97">
        <w:tblPrEx>
          <w:tblCellMar>
            <w:top w:w="0" w:type="dxa"/>
            <w:bottom w:w="0" w:type="dxa"/>
          </w:tblCellMar>
        </w:tblPrEx>
        <w:tc>
          <w:tcPr>
            <w:tcW w:w="3060" w:type="dxa"/>
            <w:tcMar>
              <w:top w:w="0" w:type="dxa"/>
              <w:left w:w="108" w:type="dxa"/>
              <w:bottom w:w="0" w:type="dxa"/>
              <w:right w:w="108" w:type="dxa"/>
            </w:tcMar>
          </w:tcPr>
          <w:p w:rsidR="00144E97" w:rsidRDefault="00000000">
            <w:pPr>
              <w:pStyle w:val="Standard"/>
              <w:spacing w:after="120" w:line="240" w:lineRule="auto"/>
              <w:ind w:left="-108"/>
              <w:jc w:val="both"/>
            </w:pPr>
            <w:r>
              <w:rPr>
                <w:rFonts w:ascii="Arial" w:eastAsia="Arial" w:hAnsi="Arial" w:cs="Arial"/>
                <w:b/>
                <w:color w:val="000000"/>
                <w:sz w:val="24"/>
                <w:szCs w:val="24"/>
              </w:rPr>
              <w:t>“Exit Plan”</w:t>
            </w:r>
          </w:p>
        </w:tc>
        <w:tc>
          <w:tcPr>
            <w:tcW w:w="4927" w:type="dxa"/>
            <w:tcMar>
              <w:top w:w="0" w:type="dxa"/>
              <w:left w:w="108" w:type="dxa"/>
              <w:bottom w:w="0" w:type="dxa"/>
              <w:right w:w="108" w:type="dxa"/>
            </w:tcMar>
          </w:tcPr>
          <w:p w:rsidR="00144E97" w:rsidRDefault="00000000">
            <w:pPr>
              <w:pStyle w:val="Standard"/>
              <w:tabs>
                <w:tab w:val="left" w:pos="-9"/>
              </w:tabs>
              <w:spacing w:after="120" w:line="240" w:lineRule="auto"/>
              <w:jc w:val="both"/>
            </w:pPr>
            <w:r>
              <w:rPr>
                <w:rFonts w:ascii="Arial" w:eastAsia="Arial" w:hAnsi="Arial" w:cs="Arial"/>
                <w:color w:val="000000"/>
                <w:sz w:val="24"/>
                <w:szCs w:val="24"/>
              </w:rPr>
              <w:t>the plan produced and updated by the Supplier during the Initial Period in accordance with Paragraph 4 of this Schedule;</w:t>
            </w:r>
          </w:p>
        </w:tc>
      </w:tr>
      <w:tr w:rsidR="00144E97">
        <w:tblPrEx>
          <w:tblCellMar>
            <w:top w:w="0" w:type="dxa"/>
            <w:bottom w:w="0" w:type="dxa"/>
          </w:tblCellMar>
        </w:tblPrEx>
        <w:tc>
          <w:tcPr>
            <w:tcW w:w="3060" w:type="dxa"/>
            <w:tcMar>
              <w:top w:w="0" w:type="dxa"/>
              <w:left w:w="108" w:type="dxa"/>
              <w:bottom w:w="0" w:type="dxa"/>
              <w:right w:w="108" w:type="dxa"/>
            </w:tcMar>
          </w:tcPr>
          <w:p w:rsidR="00144E97" w:rsidRDefault="00000000">
            <w:pPr>
              <w:pStyle w:val="Standard"/>
              <w:spacing w:after="120" w:line="240" w:lineRule="auto"/>
              <w:ind w:left="-108"/>
              <w:jc w:val="both"/>
            </w:pPr>
            <w:r>
              <w:rPr>
                <w:rFonts w:ascii="Arial" w:eastAsia="Arial" w:hAnsi="Arial" w:cs="Arial"/>
                <w:b/>
                <w:color w:val="000000"/>
                <w:sz w:val="24"/>
                <w:szCs w:val="24"/>
              </w:rPr>
              <w:t>"Net Book Value"</w:t>
            </w:r>
          </w:p>
        </w:tc>
        <w:tc>
          <w:tcPr>
            <w:tcW w:w="4927" w:type="dxa"/>
            <w:tcMar>
              <w:top w:w="0" w:type="dxa"/>
              <w:left w:w="108" w:type="dxa"/>
              <w:bottom w:w="0" w:type="dxa"/>
              <w:right w:w="108" w:type="dxa"/>
            </w:tcMar>
          </w:tcPr>
          <w:p w:rsidR="00144E97" w:rsidRDefault="00000000">
            <w:pPr>
              <w:pStyle w:val="Standard"/>
              <w:tabs>
                <w:tab w:val="left" w:pos="-9"/>
              </w:tabs>
              <w:spacing w:after="120" w:line="240" w:lineRule="auto"/>
              <w:jc w:val="both"/>
            </w:pPr>
            <w:r>
              <w:rPr>
                <w:rFonts w:ascii="Arial" w:eastAsia="Arial" w:hAnsi="Arial" w:cs="Arial"/>
                <w:color w:val="000000"/>
                <w:sz w:val="24"/>
                <w:szCs w:val="24"/>
              </w:rPr>
              <w:t>the current net book value of the relevant Supplier Asset(s) calculated in accordance with the Framework Tender or Call-</w:t>
            </w:r>
            <w:proofErr w:type="gramStart"/>
            <w:r>
              <w:rPr>
                <w:rFonts w:ascii="Arial" w:eastAsia="Arial" w:hAnsi="Arial" w:cs="Arial"/>
                <w:color w:val="000000"/>
                <w:sz w:val="24"/>
                <w:szCs w:val="24"/>
              </w:rPr>
              <w:t>Off  Tender</w:t>
            </w:r>
            <w:proofErr w:type="gramEnd"/>
            <w:r>
              <w:rPr>
                <w:rFonts w:ascii="Arial" w:eastAsia="Arial" w:hAnsi="Arial" w:cs="Arial"/>
                <w:color w:val="000000"/>
                <w:sz w:val="24"/>
                <w:szCs w:val="24"/>
              </w:rPr>
              <w:t xml:space="preserve"> (if stated) or (if not stated) the depreciation policy of the Supplier (which the Supplier shall ensure is in accordance with Good Industry Practice);</w:t>
            </w:r>
          </w:p>
        </w:tc>
      </w:tr>
      <w:tr w:rsidR="00144E97">
        <w:tblPrEx>
          <w:tblCellMar>
            <w:top w:w="0" w:type="dxa"/>
            <w:bottom w:w="0" w:type="dxa"/>
          </w:tblCellMar>
        </w:tblPrEx>
        <w:tc>
          <w:tcPr>
            <w:tcW w:w="3060" w:type="dxa"/>
            <w:tcMar>
              <w:top w:w="0" w:type="dxa"/>
              <w:left w:w="108" w:type="dxa"/>
              <w:bottom w:w="0" w:type="dxa"/>
              <w:right w:w="108" w:type="dxa"/>
            </w:tcMar>
          </w:tcPr>
          <w:p w:rsidR="00144E97" w:rsidRDefault="00000000">
            <w:pPr>
              <w:pStyle w:val="Standard"/>
              <w:spacing w:after="120" w:line="240" w:lineRule="auto"/>
              <w:ind w:left="-108"/>
              <w:jc w:val="both"/>
            </w:pPr>
            <w:r>
              <w:rPr>
                <w:rFonts w:ascii="Arial" w:eastAsia="Arial" w:hAnsi="Arial" w:cs="Arial"/>
                <w:b/>
                <w:color w:val="000000"/>
                <w:sz w:val="24"/>
                <w:szCs w:val="24"/>
              </w:rPr>
              <w:t>"Non-Exclusive Assets"</w:t>
            </w:r>
          </w:p>
        </w:tc>
        <w:tc>
          <w:tcPr>
            <w:tcW w:w="4927" w:type="dxa"/>
            <w:tcMar>
              <w:top w:w="0" w:type="dxa"/>
              <w:left w:w="108" w:type="dxa"/>
              <w:bottom w:w="0" w:type="dxa"/>
              <w:right w:w="108" w:type="dxa"/>
            </w:tcMar>
          </w:tcPr>
          <w:p w:rsidR="00144E97" w:rsidRDefault="00000000">
            <w:pPr>
              <w:pStyle w:val="Standard"/>
              <w:tabs>
                <w:tab w:val="left" w:pos="-9"/>
              </w:tabs>
              <w:spacing w:after="120" w:line="240" w:lineRule="auto"/>
              <w:jc w:val="both"/>
            </w:pPr>
            <w:r>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144E97">
        <w:tblPrEx>
          <w:tblCellMar>
            <w:top w:w="0" w:type="dxa"/>
            <w:bottom w:w="0" w:type="dxa"/>
          </w:tblCellMar>
        </w:tblPrEx>
        <w:tc>
          <w:tcPr>
            <w:tcW w:w="3060" w:type="dxa"/>
            <w:tcMar>
              <w:top w:w="0" w:type="dxa"/>
              <w:left w:w="108" w:type="dxa"/>
              <w:bottom w:w="0" w:type="dxa"/>
              <w:right w:w="108" w:type="dxa"/>
            </w:tcMar>
          </w:tcPr>
          <w:p w:rsidR="00144E97" w:rsidRDefault="00000000">
            <w:pPr>
              <w:pStyle w:val="Standard"/>
              <w:spacing w:after="120" w:line="240" w:lineRule="auto"/>
              <w:ind w:left="-108"/>
              <w:jc w:val="both"/>
            </w:pPr>
            <w:r>
              <w:rPr>
                <w:rFonts w:ascii="Arial" w:eastAsia="Arial" w:hAnsi="Arial" w:cs="Arial"/>
                <w:b/>
                <w:color w:val="000000"/>
                <w:sz w:val="24"/>
                <w:szCs w:val="24"/>
              </w:rPr>
              <w:t>"Registers"</w:t>
            </w:r>
          </w:p>
        </w:tc>
        <w:tc>
          <w:tcPr>
            <w:tcW w:w="4927" w:type="dxa"/>
            <w:tcMar>
              <w:top w:w="0" w:type="dxa"/>
              <w:left w:w="108" w:type="dxa"/>
              <w:bottom w:w="0" w:type="dxa"/>
              <w:right w:w="108" w:type="dxa"/>
            </w:tcMar>
          </w:tcPr>
          <w:p w:rsidR="00144E97" w:rsidRDefault="00000000">
            <w:pPr>
              <w:pStyle w:val="Standard"/>
              <w:tabs>
                <w:tab w:val="left" w:pos="-9"/>
              </w:tabs>
              <w:spacing w:after="120" w:line="240" w:lineRule="auto"/>
              <w:jc w:val="both"/>
            </w:pPr>
            <w:r>
              <w:rPr>
                <w:rFonts w:ascii="Arial" w:eastAsia="Arial" w:hAnsi="Arial" w:cs="Arial"/>
                <w:color w:val="000000"/>
                <w:sz w:val="24"/>
                <w:szCs w:val="24"/>
              </w:rPr>
              <w:t>the register and configuration database referred to in Paragraph 2.2 of this Schedule;</w:t>
            </w:r>
          </w:p>
        </w:tc>
      </w:tr>
      <w:tr w:rsidR="00144E97">
        <w:tblPrEx>
          <w:tblCellMar>
            <w:top w:w="0" w:type="dxa"/>
            <w:bottom w:w="0" w:type="dxa"/>
          </w:tblCellMar>
        </w:tblPrEx>
        <w:tc>
          <w:tcPr>
            <w:tcW w:w="3060" w:type="dxa"/>
            <w:tcMar>
              <w:top w:w="0" w:type="dxa"/>
              <w:left w:w="108" w:type="dxa"/>
              <w:bottom w:w="0" w:type="dxa"/>
              <w:right w:w="108" w:type="dxa"/>
            </w:tcMar>
          </w:tcPr>
          <w:p w:rsidR="00144E97" w:rsidRDefault="00000000">
            <w:pPr>
              <w:pStyle w:val="Standard"/>
              <w:spacing w:after="120" w:line="240" w:lineRule="auto"/>
              <w:ind w:left="-108"/>
              <w:jc w:val="both"/>
            </w:pPr>
            <w:r>
              <w:rPr>
                <w:rFonts w:ascii="Arial" w:eastAsia="Arial" w:hAnsi="Arial" w:cs="Arial"/>
                <w:b/>
                <w:color w:val="000000"/>
                <w:sz w:val="24"/>
                <w:szCs w:val="24"/>
              </w:rPr>
              <w:t>"Replacement Goods"</w:t>
            </w:r>
          </w:p>
        </w:tc>
        <w:tc>
          <w:tcPr>
            <w:tcW w:w="4927" w:type="dxa"/>
            <w:tcMar>
              <w:top w:w="0" w:type="dxa"/>
              <w:left w:w="108" w:type="dxa"/>
              <w:bottom w:w="0" w:type="dxa"/>
              <w:right w:w="108" w:type="dxa"/>
            </w:tcMar>
          </w:tcPr>
          <w:p w:rsidR="00144E97" w:rsidRDefault="00000000">
            <w:pPr>
              <w:pStyle w:val="Standard"/>
              <w:tabs>
                <w:tab w:val="left" w:pos="-9"/>
              </w:tabs>
              <w:spacing w:after="120" w:line="240" w:lineRule="auto"/>
              <w:jc w:val="both"/>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144E97">
        <w:tblPrEx>
          <w:tblCellMar>
            <w:top w:w="0" w:type="dxa"/>
            <w:bottom w:w="0" w:type="dxa"/>
          </w:tblCellMar>
        </w:tblPrEx>
        <w:tc>
          <w:tcPr>
            <w:tcW w:w="3060" w:type="dxa"/>
            <w:tcMar>
              <w:top w:w="0" w:type="dxa"/>
              <w:left w:w="108" w:type="dxa"/>
              <w:bottom w:w="0" w:type="dxa"/>
              <w:right w:w="108" w:type="dxa"/>
            </w:tcMar>
          </w:tcPr>
          <w:p w:rsidR="00144E97" w:rsidRDefault="00000000">
            <w:pPr>
              <w:pStyle w:val="Standard"/>
              <w:spacing w:after="120" w:line="240" w:lineRule="auto"/>
              <w:ind w:left="-108"/>
              <w:jc w:val="both"/>
            </w:pPr>
            <w:r>
              <w:rPr>
                <w:rFonts w:ascii="Arial" w:eastAsia="Arial" w:hAnsi="Arial" w:cs="Arial"/>
                <w:b/>
                <w:color w:val="000000"/>
                <w:sz w:val="24"/>
                <w:szCs w:val="24"/>
              </w:rPr>
              <w:t>"Replacement Services"</w:t>
            </w:r>
          </w:p>
        </w:tc>
        <w:tc>
          <w:tcPr>
            <w:tcW w:w="4927" w:type="dxa"/>
            <w:tcMar>
              <w:top w:w="0" w:type="dxa"/>
              <w:left w:w="108" w:type="dxa"/>
              <w:bottom w:w="0" w:type="dxa"/>
              <w:right w:w="108" w:type="dxa"/>
            </w:tcMar>
          </w:tcPr>
          <w:p w:rsidR="00144E97" w:rsidRDefault="00000000">
            <w:pPr>
              <w:pStyle w:val="Standard"/>
              <w:tabs>
                <w:tab w:val="left" w:pos="-9"/>
              </w:tabs>
              <w:spacing w:after="120" w:line="240" w:lineRule="auto"/>
              <w:jc w:val="both"/>
            </w:pPr>
            <w:r>
              <w:rPr>
                <w:rFonts w:ascii="Arial" w:eastAsia="Arial" w:hAnsi="Arial" w:cs="Arial"/>
                <w:color w:val="000000"/>
                <w:sz w:val="24"/>
                <w:szCs w:val="24"/>
              </w:rPr>
              <w:t xml:space="preserve">any services which are substantially similar to any of the Services and which the Buyer receives in substitution for any of the Services following the End Date, whether </w:t>
            </w:r>
            <w:r>
              <w:rPr>
                <w:rFonts w:ascii="Arial" w:eastAsia="Arial" w:hAnsi="Arial" w:cs="Arial"/>
                <w:color w:val="000000"/>
                <w:sz w:val="24"/>
                <w:szCs w:val="24"/>
              </w:rPr>
              <w:lastRenderedPageBreak/>
              <w:t>those goods are provided by the Buyer internally and/or by any third party;</w:t>
            </w:r>
          </w:p>
        </w:tc>
      </w:tr>
      <w:tr w:rsidR="00144E97">
        <w:tblPrEx>
          <w:tblCellMar>
            <w:top w:w="0" w:type="dxa"/>
            <w:bottom w:w="0" w:type="dxa"/>
          </w:tblCellMar>
        </w:tblPrEx>
        <w:tc>
          <w:tcPr>
            <w:tcW w:w="3060" w:type="dxa"/>
            <w:tcMar>
              <w:top w:w="0" w:type="dxa"/>
              <w:left w:w="108" w:type="dxa"/>
              <w:bottom w:w="0" w:type="dxa"/>
              <w:right w:w="108" w:type="dxa"/>
            </w:tcMar>
          </w:tcPr>
          <w:p w:rsidR="00144E97" w:rsidRDefault="00000000">
            <w:pPr>
              <w:pStyle w:val="Standard"/>
              <w:spacing w:after="120" w:line="240" w:lineRule="auto"/>
              <w:ind w:left="-108"/>
              <w:jc w:val="both"/>
            </w:pPr>
            <w:r>
              <w:rPr>
                <w:rFonts w:ascii="Arial" w:eastAsia="Arial" w:hAnsi="Arial" w:cs="Arial"/>
                <w:b/>
                <w:color w:val="000000"/>
                <w:sz w:val="24"/>
                <w:szCs w:val="24"/>
              </w:rPr>
              <w:lastRenderedPageBreak/>
              <w:t>"Termination Assistance"</w:t>
            </w:r>
          </w:p>
        </w:tc>
        <w:tc>
          <w:tcPr>
            <w:tcW w:w="4927" w:type="dxa"/>
            <w:tcMar>
              <w:top w:w="0" w:type="dxa"/>
              <w:left w:w="108" w:type="dxa"/>
              <w:bottom w:w="0" w:type="dxa"/>
              <w:right w:w="108" w:type="dxa"/>
            </w:tcMar>
          </w:tcPr>
          <w:p w:rsidR="00144E97" w:rsidRDefault="00000000">
            <w:pPr>
              <w:pStyle w:val="Standard"/>
              <w:tabs>
                <w:tab w:val="left" w:pos="-9"/>
              </w:tabs>
              <w:spacing w:after="120" w:line="240" w:lineRule="auto"/>
              <w:jc w:val="both"/>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144E97">
        <w:tblPrEx>
          <w:tblCellMar>
            <w:top w:w="0" w:type="dxa"/>
            <w:bottom w:w="0" w:type="dxa"/>
          </w:tblCellMar>
        </w:tblPrEx>
        <w:tc>
          <w:tcPr>
            <w:tcW w:w="3060" w:type="dxa"/>
            <w:tcMar>
              <w:top w:w="0" w:type="dxa"/>
              <w:left w:w="108" w:type="dxa"/>
              <w:bottom w:w="0" w:type="dxa"/>
              <w:right w:w="108" w:type="dxa"/>
            </w:tcMar>
          </w:tcPr>
          <w:p w:rsidR="00144E97" w:rsidRDefault="00000000">
            <w:pPr>
              <w:pStyle w:val="Standard"/>
              <w:spacing w:after="120" w:line="240" w:lineRule="auto"/>
              <w:ind w:left="-108"/>
              <w:jc w:val="both"/>
            </w:pPr>
            <w:r>
              <w:rPr>
                <w:rFonts w:ascii="Arial" w:eastAsia="Arial" w:hAnsi="Arial" w:cs="Arial"/>
                <w:b/>
                <w:color w:val="000000"/>
                <w:sz w:val="24"/>
                <w:szCs w:val="24"/>
              </w:rPr>
              <w:t>"Termination Assistance Notice"</w:t>
            </w:r>
          </w:p>
        </w:tc>
        <w:tc>
          <w:tcPr>
            <w:tcW w:w="4927" w:type="dxa"/>
            <w:tcMar>
              <w:top w:w="0" w:type="dxa"/>
              <w:left w:w="108" w:type="dxa"/>
              <w:bottom w:w="0" w:type="dxa"/>
              <w:right w:w="108" w:type="dxa"/>
            </w:tcMar>
          </w:tcPr>
          <w:p w:rsidR="00144E97" w:rsidRDefault="00000000">
            <w:pPr>
              <w:pStyle w:val="Standard"/>
              <w:tabs>
                <w:tab w:val="left" w:pos="-9"/>
              </w:tabs>
              <w:spacing w:after="120" w:line="240" w:lineRule="auto"/>
              <w:jc w:val="both"/>
            </w:pPr>
            <w:r>
              <w:rPr>
                <w:rFonts w:ascii="Arial" w:eastAsia="Arial" w:hAnsi="Arial" w:cs="Arial"/>
                <w:color w:val="000000"/>
                <w:sz w:val="24"/>
                <w:szCs w:val="24"/>
              </w:rPr>
              <w:t>has the meaning given to it in Paragraph 5.1 of this Schedule;</w:t>
            </w:r>
          </w:p>
        </w:tc>
      </w:tr>
      <w:tr w:rsidR="00144E97">
        <w:tblPrEx>
          <w:tblCellMar>
            <w:top w:w="0" w:type="dxa"/>
            <w:bottom w:w="0" w:type="dxa"/>
          </w:tblCellMar>
        </w:tblPrEx>
        <w:tc>
          <w:tcPr>
            <w:tcW w:w="3060" w:type="dxa"/>
            <w:tcMar>
              <w:top w:w="0" w:type="dxa"/>
              <w:left w:w="108" w:type="dxa"/>
              <w:bottom w:w="0" w:type="dxa"/>
              <w:right w:w="108" w:type="dxa"/>
            </w:tcMar>
          </w:tcPr>
          <w:p w:rsidR="00144E97" w:rsidRDefault="00000000">
            <w:pPr>
              <w:pStyle w:val="Standard"/>
              <w:keepNext/>
              <w:spacing w:after="120" w:line="240" w:lineRule="auto"/>
              <w:ind w:left="-108"/>
              <w:jc w:val="both"/>
            </w:pPr>
            <w:r>
              <w:rPr>
                <w:rFonts w:ascii="Arial" w:eastAsia="Arial" w:hAnsi="Arial" w:cs="Arial"/>
                <w:b/>
                <w:color w:val="000000"/>
                <w:sz w:val="24"/>
                <w:szCs w:val="24"/>
              </w:rPr>
              <w:t>"Termination Assistance Period"</w:t>
            </w:r>
          </w:p>
        </w:tc>
        <w:tc>
          <w:tcPr>
            <w:tcW w:w="4927" w:type="dxa"/>
            <w:tcMar>
              <w:top w:w="0" w:type="dxa"/>
              <w:left w:w="108" w:type="dxa"/>
              <w:bottom w:w="0" w:type="dxa"/>
              <w:right w:w="108" w:type="dxa"/>
            </w:tcMar>
          </w:tcPr>
          <w:p w:rsidR="00144E97" w:rsidRDefault="00000000">
            <w:pPr>
              <w:pStyle w:val="Standard"/>
              <w:tabs>
                <w:tab w:val="left" w:pos="-9"/>
              </w:tabs>
              <w:spacing w:after="120" w:line="240" w:lineRule="auto"/>
              <w:jc w:val="both"/>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144E97">
        <w:tblPrEx>
          <w:tblCellMar>
            <w:top w:w="0" w:type="dxa"/>
            <w:bottom w:w="0" w:type="dxa"/>
          </w:tblCellMar>
        </w:tblPrEx>
        <w:tc>
          <w:tcPr>
            <w:tcW w:w="3060" w:type="dxa"/>
            <w:tcMar>
              <w:top w:w="0" w:type="dxa"/>
              <w:left w:w="108" w:type="dxa"/>
              <w:bottom w:w="0" w:type="dxa"/>
              <w:right w:w="108" w:type="dxa"/>
            </w:tcMar>
          </w:tcPr>
          <w:p w:rsidR="00144E97" w:rsidRDefault="00000000">
            <w:pPr>
              <w:pStyle w:val="Standard"/>
              <w:spacing w:after="120" w:line="240" w:lineRule="auto"/>
              <w:ind w:left="-108"/>
              <w:jc w:val="both"/>
            </w:pPr>
            <w:r>
              <w:rPr>
                <w:rFonts w:ascii="Arial" w:eastAsia="Arial" w:hAnsi="Arial" w:cs="Arial"/>
                <w:b/>
                <w:color w:val="000000"/>
                <w:sz w:val="24"/>
                <w:szCs w:val="24"/>
              </w:rPr>
              <w:t>"Transferable Assets"</w:t>
            </w:r>
          </w:p>
        </w:tc>
        <w:tc>
          <w:tcPr>
            <w:tcW w:w="4927" w:type="dxa"/>
            <w:tcMar>
              <w:top w:w="0" w:type="dxa"/>
              <w:left w:w="108" w:type="dxa"/>
              <w:bottom w:w="0" w:type="dxa"/>
              <w:right w:w="108" w:type="dxa"/>
            </w:tcMar>
          </w:tcPr>
          <w:p w:rsidR="00144E97" w:rsidRDefault="00000000">
            <w:pPr>
              <w:pStyle w:val="Standard"/>
              <w:tabs>
                <w:tab w:val="left" w:pos="-9"/>
              </w:tabs>
              <w:spacing w:after="120" w:line="240" w:lineRule="auto"/>
              <w:jc w:val="both"/>
            </w:pPr>
            <w:r>
              <w:rPr>
                <w:rFonts w:ascii="Arial" w:eastAsia="Arial" w:hAnsi="Arial" w:cs="Arial"/>
                <w:color w:val="000000"/>
                <w:sz w:val="24"/>
                <w:szCs w:val="24"/>
              </w:rPr>
              <w:t>Exclusive Assets which are capable of legal transfer to the Buyer;</w:t>
            </w:r>
          </w:p>
        </w:tc>
      </w:tr>
      <w:tr w:rsidR="00144E97">
        <w:tblPrEx>
          <w:tblCellMar>
            <w:top w:w="0" w:type="dxa"/>
            <w:bottom w:w="0" w:type="dxa"/>
          </w:tblCellMar>
        </w:tblPrEx>
        <w:tc>
          <w:tcPr>
            <w:tcW w:w="3060" w:type="dxa"/>
            <w:tcMar>
              <w:top w:w="0" w:type="dxa"/>
              <w:left w:w="108" w:type="dxa"/>
              <w:bottom w:w="0" w:type="dxa"/>
              <w:right w:w="108" w:type="dxa"/>
            </w:tcMar>
          </w:tcPr>
          <w:p w:rsidR="00144E97" w:rsidRDefault="00000000">
            <w:pPr>
              <w:pStyle w:val="Standard"/>
              <w:spacing w:after="120" w:line="240" w:lineRule="auto"/>
              <w:ind w:left="-108"/>
              <w:jc w:val="both"/>
            </w:pPr>
            <w:r>
              <w:rPr>
                <w:rFonts w:ascii="Arial" w:eastAsia="Arial" w:hAnsi="Arial" w:cs="Arial"/>
                <w:b/>
                <w:color w:val="000000"/>
                <w:sz w:val="24"/>
                <w:szCs w:val="24"/>
              </w:rPr>
              <w:t>"Transferable Contracts"</w:t>
            </w:r>
          </w:p>
        </w:tc>
        <w:tc>
          <w:tcPr>
            <w:tcW w:w="4927" w:type="dxa"/>
            <w:tcMar>
              <w:top w:w="0" w:type="dxa"/>
              <w:left w:w="108" w:type="dxa"/>
              <w:bottom w:w="0" w:type="dxa"/>
              <w:right w:w="108" w:type="dxa"/>
            </w:tcMar>
          </w:tcPr>
          <w:p w:rsidR="00144E97" w:rsidRDefault="00000000">
            <w:pPr>
              <w:pStyle w:val="Standard"/>
              <w:tabs>
                <w:tab w:val="left" w:pos="-9"/>
              </w:tabs>
              <w:spacing w:after="120" w:line="240" w:lineRule="auto"/>
              <w:jc w:val="both"/>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144E97">
        <w:tblPrEx>
          <w:tblCellMar>
            <w:top w:w="0" w:type="dxa"/>
            <w:bottom w:w="0" w:type="dxa"/>
          </w:tblCellMar>
        </w:tblPrEx>
        <w:tc>
          <w:tcPr>
            <w:tcW w:w="3060" w:type="dxa"/>
            <w:tcMar>
              <w:top w:w="0" w:type="dxa"/>
              <w:left w:w="108" w:type="dxa"/>
              <w:bottom w:w="0" w:type="dxa"/>
              <w:right w:w="108" w:type="dxa"/>
            </w:tcMar>
          </w:tcPr>
          <w:p w:rsidR="00144E97" w:rsidRDefault="00000000">
            <w:pPr>
              <w:pStyle w:val="Standard"/>
              <w:spacing w:after="120" w:line="240" w:lineRule="auto"/>
              <w:ind w:left="-108"/>
              <w:jc w:val="both"/>
            </w:pPr>
            <w:r>
              <w:rPr>
                <w:rFonts w:ascii="Arial" w:eastAsia="Arial" w:hAnsi="Arial" w:cs="Arial"/>
                <w:b/>
                <w:color w:val="000000"/>
                <w:sz w:val="24"/>
                <w:szCs w:val="24"/>
              </w:rPr>
              <w:t>"Transferring Assets"</w:t>
            </w:r>
          </w:p>
        </w:tc>
        <w:tc>
          <w:tcPr>
            <w:tcW w:w="4927" w:type="dxa"/>
            <w:tcMar>
              <w:top w:w="0" w:type="dxa"/>
              <w:left w:w="108" w:type="dxa"/>
              <w:bottom w:w="0" w:type="dxa"/>
              <w:right w:w="108" w:type="dxa"/>
            </w:tcMar>
          </w:tcPr>
          <w:p w:rsidR="00144E97" w:rsidRDefault="00000000">
            <w:pPr>
              <w:pStyle w:val="Standard"/>
              <w:tabs>
                <w:tab w:val="left" w:pos="-9"/>
              </w:tabs>
              <w:spacing w:after="120" w:line="240" w:lineRule="auto"/>
              <w:jc w:val="both"/>
            </w:pPr>
            <w:r>
              <w:rPr>
                <w:rFonts w:ascii="Arial" w:eastAsia="Arial" w:hAnsi="Arial" w:cs="Arial"/>
                <w:color w:val="000000"/>
                <w:sz w:val="24"/>
                <w:szCs w:val="24"/>
              </w:rPr>
              <w:t>has the meaning given to it in Paragraph 8.2.1 of this Schedule;</w:t>
            </w:r>
          </w:p>
        </w:tc>
      </w:tr>
      <w:tr w:rsidR="00144E97">
        <w:tblPrEx>
          <w:tblCellMar>
            <w:top w:w="0" w:type="dxa"/>
            <w:bottom w:w="0" w:type="dxa"/>
          </w:tblCellMar>
        </w:tblPrEx>
        <w:tc>
          <w:tcPr>
            <w:tcW w:w="3060" w:type="dxa"/>
            <w:tcMar>
              <w:top w:w="0" w:type="dxa"/>
              <w:left w:w="108" w:type="dxa"/>
              <w:bottom w:w="0" w:type="dxa"/>
              <w:right w:w="108" w:type="dxa"/>
            </w:tcMar>
          </w:tcPr>
          <w:p w:rsidR="00144E97" w:rsidRDefault="00000000">
            <w:pPr>
              <w:pStyle w:val="Standard"/>
              <w:spacing w:after="120" w:line="240" w:lineRule="auto"/>
              <w:ind w:left="-108"/>
              <w:jc w:val="both"/>
            </w:pPr>
            <w:r>
              <w:rPr>
                <w:rFonts w:ascii="Arial" w:eastAsia="Arial" w:hAnsi="Arial" w:cs="Arial"/>
                <w:b/>
                <w:color w:val="000000"/>
                <w:sz w:val="24"/>
                <w:szCs w:val="24"/>
              </w:rPr>
              <w:t>"Transferring Contracts"</w:t>
            </w:r>
          </w:p>
        </w:tc>
        <w:tc>
          <w:tcPr>
            <w:tcW w:w="4927" w:type="dxa"/>
            <w:tcMar>
              <w:top w:w="0" w:type="dxa"/>
              <w:left w:w="108" w:type="dxa"/>
              <w:bottom w:w="0" w:type="dxa"/>
              <w:right w:w="108" w:type="dxa"/>
            </w:tcMar>
          </w:tcPr>
          <w:p w:rsidR="00144E97" w:rsidRDefault="00000000">
            <w:pPr>
              <w:pStyle w:val="Standard"/>
              <w:tabs>
                <w:tab w:val="left" w:pos="-9"/>
              </w:tabs>
              <w:spacing w:after="120" w:line="240" w:lineRule="auto"/>
              <w:jc w:val="both"/>
            </w:pPr>
            <w:r>
              <w:rPr>
                <w:rFonts w:ascii="Arial" w:eastAsia="Arial" w:hAnsi="Arial" w:cs="Arial"/>
                <w:color w:val="000000"/>
                <w:sz w:val="24"/>
                <w:szCs w:val="24"/>
              </w:rPr>
              <w:t>has the meaning given to it in Paragraph 8.2.3 of this Schedule.</w:t>
            </w:r>
          </w:p>
        </w:tc>
      </w:tr>
    </w:tbl>
    <w:p w:rsidR="00144E97" w:rsidRDefault="00000000">
      <w:pPr>
        <w:pStyle w:val="Standard"/>
        <w:keepNext/>
        <w:numPr>
          <w:ilvl w:val="0"/>
          <w:numId w:val="2"/>
        </w:numPr>
        <w:tabs>
          <w:tab w:val="left" w:pos="644"/>
        </w:tabs>
        <w:spacing w:before="240" w:after="240" w:line="240" w:lineRule="auto"/>
        <w:ind w:hanging="360"/>
        <w:jc w:val="both"/>
      </w:pPr>
      <w:r>
        <w:rPr>
          <w:rFonts w:ascii="Arial Bold" w:eastAsia="Arial Bold" w:hAnsi="Arial Bold" w:cs="Arial Bold"/>
          <w:b/>
          <w:color w:val="000000"/>
          <w:sz w:val="24"/>
          <w:szCs w:val="24"/>
        </w:rPr>
        <w:t>Supplier must always be prepared for contract exit</w:t>
      </w:r>
    </w:p>
    <w:p w:rsidR="00144E97" w:rsidRDefault="00000000">
      <w:pPr>
        <w:pStyle w:val="Standard"/>
        <w:numPr>
          <w:ilvl w:val="1"/>
          <w:numId w:val="2"/>
        </w:numPr>
        <w:spacing w:before="120" w:after="120" w:line="240" w:lineRule="auto"/>
        <w:jc w:val="both"/>
      </w:pPr>
      <w:bookmarkStart w:id="2" w:name="_heading=h.1fob9te"/>
      <w:bookmarkEnd w:id="2"/>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rsidR="00144E97" w:rsidRDefault="00000000">
      <w:pPr>
        <w:pStyle w:val="Standard"/>
        <w:keepNext/>
        <w:numPr>
          <w:ilvl w:val="1"/>
          <w:numId w:val="2"/>
        </w:numPr>
        <w:spacing w:before="120" w:after="120" w:line="240" w:lineRule="auto"/>
        <w:jc w:val="both"/>
      </w:pPr>
      <w:bookmarkStart w:id="3" w:name="_heading=h.3znysh7"/>
      <w:bookmarkEnd w:id="3"/>
      <w:r>
        <w:rPr>
          <w:rFonts w:ascii="Arial" w:eastAsia="Arial" w:hAnsi="Arial" w:cs="Arial"/>
          <w:color w:val="000000"/>
          <w:sz w:val="24"/>
          <w:szCs w:val="24"/>
        </w:rPr>
        <w:t>During the Contract Period, the Supplier shall promptly:</w:t>
      </w:r>
    </w:p>
    <w:p w:rsidR="00144E97" w:rsidRDefault="00000000">
      <w:pPr>
        <w:pStyle w:val="Standard"/>
        <w:numPr>
          <w:ilvl w:val="2"/>
          <w:numId w:val="2"/>
        </w:numPr>
        <w:tabs>
          <w:tab w:val="left" w:pos="2705"/>
          <w:tab w:val="left" w:pos="2847"/>
        </w:tabs>
        <w:spacing w:before="120" w:after="120" w:line="240" w:lineRule="auto"/>
        <w:jc w:val="both"/>
      </w:pPr>
      <w:bookmarkStart w:id="4" w:name="_heading=h.2et92p0"/>
      <w:bookmarkEnd w:id="4"/>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144E97" w:rsidRDefault="00000000">
      <w:pPr>
        <w:pStyle w:val="Standard"/>
        <w:numPr>
          <w:ilvl w:val="2"/>
          <w:numId w:val="2"/>
        </w:numPr>
        <w:tabs>
          <w:tab w:val="left" w:pos="2705"/>
          <w:tab w:val="left" w:pos="2847"/>
        </w:tabs>
        <w:spacing w:before="120" w:after="120" w:line="240" w:lineRule="auto"/>
        <w:jc w:val="both"/>
      </w:pPr>
      <w:bookmarkStart w:id="5" w:name="_heading=h.tyjcwt"/>
      <w:bookmarkEnd w:id="5"/>
      <w:r>
        <w:rPr>
          <w:rFonts w:ascii="Arial" w:eastAsia="Arial" w:hAnsi="Arial" w:cs="Arial"/>
          <w:color w:val="000000"/>
          <w:sz w:val="24"/>
          <w:szCs w:val="24"/>
        </w:rPr>
        <w:t>create and maintain a configuration database detailing the technical infrastructure and operating procedures through which the Supplier provides the Deliverables</w:t>
      </w:r>
    </w:p>
    <w:p w:rsidR="00144E97" w:rsidRDefault="00000000">
      <w:pPr>
        <w:pStyle w:val="Standard"/>
        <w:tabs>
          <w:tab w:val="left" w:pos="3641"/>
          <w:tab w:val="left" w:pos="3783"/>
        </w:tabs>
        <w:spacing w:before="120" w:after="120" w:line="240" w:lineRule="auto"/>
        <w:ind w:left="1656" w:hanging="1296"/>
        <w:jc w:val="both"/>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rsidR="00144E97" w:rsidRDefault="00000000">
      <w:pPr>
        <w:pStyle w:val="Standard"/>
        <w:keepNext/>
        <w:numPr>
          <w:ilvl w:val="1"/>
          <w:numId w:val="2"/>
        </w:numPr>
        <w:spacing w:before="120" w:after="120" w:line="240" w:lineRule="auto"/>
        <w:jc w:val="both"/>
      </w:pPr>
      <w:r>
        <w:rPr>
          <w:rFonts w:ascii="Arial" w:eastAsia="Arial" w:hAnsi="Arial" w:cs="Arial"/>
          <w:color w:val="000000"/>
          <w:sz w:val="24"/>
          <w:szCs w:val="24"/>
        </w:rPr>
        <w:lastRenderedPageBreak/>
        <w:t>The Supplier shall:</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ensure that all Exclusive Assets listed in the Registers are clearly physically identified as such; and</w:t>
      </w:r>
    </w:p>
    <w:p w:rsidR="00144E97" w:rsidRDefault="00000000">
      <w:pPr>
        <w:pStyle w:val="Standard"/>
        <w:numPr>
          <w:ilvl w:val="2"/>
          <w:numId w:val="2"/>
        </w:numPr>
        <w:tabs>
          <w:tab w:val="left" w:pos="2705"/>
          <w:tab w:val="left" w:pos="2847"/>
        </w:tabs>
        <w:spacing w:before="120" w:after="120" w:line="240" w:lineRule="auto"/>
        <w:jc w:val="both"/>
      </w:pPr>
      <w:bookmarkStart w:id="6" w:name="_heading=h.3dy6vkm"/>
      <w:bookmarkEnd w:id="6"/>
      <w:r>
        <w:rPr>
          <w:rFonts w:ascii="Arial" w:eastAsia="Arial" w:hAnsi="Arial" w:cs="Arial"/>
          <w:color w:val="000000"/>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p>
    <w:p w:rsidR="00144E97" w:rsidRDefault="00000000">
      <w:pPr>
        <w:pStyle w:val="Standard"/>
        <w:numPr>
          <w:ilvl w:val="1"/>
          <w:numId w:val="2"/>
        </w:numPr>
        <w:spacing w:before="120" w:after="120" w:line="240" w:lineRule="auto"/>
        <w:jc w:val="both"/>
      </w:pPr>
      <w:bookmarkStart w:id="7" w:name="_heading=h.1t3h5sf"/>
      <w:bookmarkEnd w:id="7"/>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rsidR="00144E97" w:rsidRDefault="00000000">
      <w:pPr>
        <w:pStyle w:val="Standard"/>
        <w:keepNext/>
        <w:numPr>
          <w:ilvl w:val="0"/>
          <w:numId w:val="2"/>
        </w:numPr>
        <w:tabs>
          <w:tab w:val="left" w:pos="644"/>
        </w:tabs>
        <w:spacing w:before="240" w:after="240" w:line="240" w:lineRule="auto"/>
        <w:ind w:hanging="360"/>
        <w:jc w:val="both"/>
      </w:pPr>
      <w:r>
        <w:rPr>
          <w:rFonts w:ascii="Arial Bold" w:eastAsia="Arial Bold" w:hAnsi="Arial Bold" w:cs="Arial Bold"/>
          <w:b/>
          <w:color w:val="000000"/>
          <w:sz w:val="24"/>
          <w:szCs w:val="24"/>
        </w:rPr>
        <w:t>Assisting re-competition for Deliverables</w:t>
      </w:r>
    </w:p>
    <w:p w:rsidR="00144E97" w:rsidRDefault="00000000">
      <w:pPr>
        <w:pStyle w:val="Standard"/>
        <w:numPr>
          <w:ilvl w:val="1"/>
          <w:numId w:val="2"/>
        </w:numPr>
        <w:spacing w:before="120" w:after="120" w:line="240" w:lineRule="auto"/>
        <w:jc w:val="both"/>
      </w:pPr>
      <w:bookmarkStart w:id="8" w:name="_heading=h.4d34og8"/>
      <w:bookmarkEnd w:id="8"/>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rsidR="00144E97" w:rsidRDefault="00000000">
      <w:pPr>
        <w:pStyle w:val="Standard"/>
        <w:numPr>
          <w:ilvl w:val="1"/>
          <w:numId w:val="2"/>
        </w:numPr>
        <w:spacing w:before="120" w:after="120" w:line="240" w:lineRule="auto"/>
        <w:jc w:val="both"/>
      </w:pPr>
      <w:bookmarkStart w:id="9" w:name="_heading=h.2s8eyo1"/>
      <w:bookmarkEnd w:id="9"/>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144E97" w:rsidRDefault="00000000">
      <w:pPr>
        <w:pStyle w:val="Standard"/>
        <w:numPr>
          <w:ilvl w:val="1"/>
          <w:numId w:val="2"/>
        </w:numPr>
        <w:spacing w:before="120" w:after="120" w:line="240" w:lineRule="auto"/>
        <w:jc w:val="both"/>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144E97" w:rsidRDefault="00000000">
      <w:pPr>
        <w:pStyle w:val="Standard"/>
        <w:numPr>
          <w:ilvl w:val="1"/>
          <w:numId w:val="2"/>
        </w:numPr>
        <w:spacing w:before="120" w:after="120" w:line="240" w:lineRule="auto"/>
        <w:jc w:val="both"/>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rsidR="00144E97" w:rsidRDefault="00000000">
      <w:pPr>
        <w:pStyle w:val="Standard"/>
        <w:keepNext/>
        <w:numPr>
          <w:ilvl w:val="0"/>
          <w:numId w:val="2"/>
        </w:numPr>
        <w:tabs>
          <w:tab w:val="left" w:pos="644"/>
        </w:tabs>
        <w:spacing w:before="240" w:after="240" w:line="240" w:lineRule="auto"/>
        <w:ind w:hanging="360"/>
        <w:jc w:val="both"/>
      </w:pPr>
      <w:r>
        <w:rPr>
          <w:rFonts w:ascii="Arial Bold" w:eastAsia="Arial Bold" w:hAnsi="Arial Bold" w:cs="Arial Bold"/>
          <w:b/>
          <w:color w:val="000000"/>
          <w:sz w:val="24"/>
          <w:szCs w:val="24"/>
        </w:rPr>
        <w:t>Exit Plan</w:t>
      </w:r>
    </w:p>
    <w:p w:rsidR="00144E97" w:rsidRDefault="00000000">
      <w:pPr>
        <w:pStyle w:val="Standard"/>
        <w:numPr>
          <w:ilvl w:val="1"/>
          <w:numId w:val="2"/>
        </w:numPr>
        <w:spacing w:before="120" w:after="120" w:line="240" w:lineRule="auto"/>
        <w:jc w:val="both"/>
      </w:pPr>
      <w:bookmarkStart w:id="10" w:name="_heading=h.17dp8vu"/>
      <w:bookmarkEnd w:id="10"/>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rsidR="00144E97" w:rsidRDefault="00000000">
      <w:pPr>
        <w:pStyle w:val="Standard"/>
        <w:numPr>
          <w:ilvl w:val="1"/>
          <w:numId w:val="2"/>
        </w:numPr>
        <w:spacing w:before="120" w:after="120" w:line="240" w:lineRule="auto"/>
        <w:jc w:val="both"/>
      </w:pPr>
      <w:bookmarkStart w:id="11" w:name="_heading=h.3rdcrjn"/>
      <w:bookmarkEnd w:id="11"/>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w:t>
      </w:r>
      <w:r>
        <w:rPr>
          <w:rFonts w:ascii="Arial" w:eastAsia="Arial" w:hAnsi="Arial" w:cs="Arial"/>
          <w:color w:val="000000"/>
          <w:sz w:val="24"/>
          <w:szCs w:val="24"/>
        </w:rPr>
        <w:lastRenderedPageBreak/>
        <w:t>Paragraph 4.1, then such Dispute shall be resolved in accordance with the Dispute Resolution Procedure.</w:t>
      </w:r>
    </w:p>
    <w:p w:rsidR="00144E97" w:rsidRDefault="00000000">
      <w:pPr>
        <w:pStyle w:val="Standard"/>
        <w:keepNext/>
        <w:numPr>
          <w:ilvl w:val="1"/>
          <w:numId w:val="2"/>
        </w:numPr>
        <w:spacing w:before="120" w:after="120" w:line="240" w:lineRule="auto"/>
        <w:jc w:val="both"/>
      </w:pPr>
      <w:bookmarkStart w:id="12" w:name="_heading=h.26in1rg"/>
      <w:bookmarkEnd w:id="12"/>
      <w:r>
        <w:rPr>
          <w:rFonts w:ascii="Arial" w:eastAsia="Arial" w:hAnsi="Arial" w:cs="Arial"/>
          <w:color w:val="000000"/>
          <w:sz w:val="24"/>
          <w:szCs w:val="24"/>
        </w:rPr>
        <w:t>The Exit Plan shall set out, as a minimum:</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a detailed description of both the transfer and cessation processes, including a timetable;</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how the Deliverables will transfer to the Replacement Supplier and/or the Buyer;</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such transfer;</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 xml:space="preserve">proposals for providing the Buyer or a </w:t>
      </w:r>
      <w:proofErr w:type="gramStart"/>
      <w:r>
        <w:rPr>
          <w:rFonts w:ascii="Arial" w:eastAsia="Arial" w:hAnsi="Arial" w:cs="Arial"/>
          <w:color w:val="000000"/>
          <w:sz w:val="24"/>
          <w:szCs w:val="24"/>
        </w:rPr>
        <w:t>Replacement Supplier copies of all documentation</w:t>
      </w:r>
      <w:proofErr w:type="gramEnd"/>
      <w:r>
        <w:rPr>
          <w:rFonts w:ascii="Arial" w:eastAsia="Arial" w:hAnsi="Arial" w:cs="Arial"/>
          <w:color w:val="000000"/>
          <w:sz w:val="24"/>
          <w:szCs w:val="24"/>
        </w:rPr>
        <w:t xml:space="preserve"> relating to the use and operation of the Deliverables and required for their continued use;</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proposals for the assignment or novation of all services utilised by the Supplier in connection with the supply of the Deliverables;</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proposals for the identification and return of all Buyer Property in the possession of and/or control of the Supplier or any third party;</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proposals for the disposal of any redundant Deliverables and materials;</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how the Supplier will ensure that there is no disruption to or degradation of the Deliverables during the Termination Assistance Period; and</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any other information or assistance reasonably required by the Buyer or a Replacement Supplier.</w:t>
      </w:r>
    </w:p>
    <w:p w:rsidR="00144E97" w:rsidRDefault="00000000">
      <w:pPr>
        <w:pStyle w:val="Standard"/>
        <w:keepNext/>
        <w:numPr>
          <w:ilvl w:val="1"/>
          <w:numId w:val="2"/>
        </w:numPr>
        <w:spacing w:before="120" w:after="120" w:line="240" w:lineRule="auto"/>
        <w:jc w:val="both"/>
      </w:pPr>
      <w:bookmarkStart w:id="13" w:name="_heading=h.lnxbz9"/>
      <w:bookmarkEnd w:id="13"/>
      <w:r>
        <w:rPr>
          <w:rFonts w:ascii="Arial" w:eastAsia="Arial" w:hAnsi="Arial" w:cs="Arial"/>
          <w:color w:val="000000"/>
          <w:sz w:val="24"/>
          <w:szCs w:val="24"/>
        </w:rPr>
        <w:t>The Supplier shall:</w:t>
      </w:r>
    </w:p>
    <w:p w:rsidR="00144E97" w:rsidRDefault="00000000">
      <w:pPr>
        <w:pStyle w:val="Standard"/>
        <w:keepNext/>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maintain and update the Exit Plan (and risk management plan) no less frequently than:</w:t>
      </w:r>
    </w:p>
    <w:p w:rsidR="00144E97" w:rsidRDefault="00000000">
      <w:pPr>
        <w:pStyle w:val="Standard"/>
        <w:numPr>
          <w:ilvl w:val="3"/>
          <w:numId w:val="2"/>
        </w:numPr>
        <w:tabs>
          <w:tab w:val="left" w:pos="5257"/>
          <w:tab w:val="left" w:pos="5399"/>
        </w:tabs>
        <w:spacing w:before="120" w:after="120" w:line="240" w:lineRule="auto"/>
        <w:jc w:val="both"/>
      </w:pPr>
      <w:r>
        <w:rPr>
          <w:rFonts w:ascii="Arial" w:eastAsia="Arial" w:hAnsi="Arial" w:cs="Arial"/>
          <w:color w:val="000000"/>
          <w:sz w:val="24"/>
          <w:szCs w:val="24"/>
        </w:rPr>
        <w:t>every six (6) months throughout the Contract Period; and</w:t>
      </w:r>
    </w:p>
    <w:p w:rsidR="00144E97" w:rsidRDefault="00000000">
      <w:pPr>
        <w:pStyle w:val="Standard"/>
        <w:numPr>
          <w:ilvl w:val="3"/>
          <w:numId w:val="2"/>
        </w:numPr>
        <w:tabs>
          <w:tab w:val="left" w:pos="5257"/>
          <w:tab w:val="left" w:pos="5399"/>
        </w:tabs>
        <w:spacing w:before="120" w:after="120" w:line="240" w:lineRule="auto"/>
        <w:jc w:val="both"/>
      </w:pPr>
      <w:bookmarkStart w:id="14" w:name="_heading=h.35nkun2"/>
      <w:bookmarkEnd w:id="14"/>
      <w:r>
        <w:rPr>
          <w:rFonts w:ascii="Arial" w:eastAsia="Arial" w:hAnsi="Arial" w:cs="Arial"/>
          <w:color w:val="000000"/>
          <w:sz w:val="24"/>
          <w:szCs w:val="24"/>
        </w:rPr>
        <w:t>no later than twenty (20) Working Days after a request from the Buyer for an up-to-date copy of the Exit Plan;</w:t>
      </w:r>
    </w:p>
    <w:p w:rsidR="00144E97" w:rsidRDefault="00000000">
      <w:pPr>
        <w:pStyle w:val="Standard"/>
        <w:numPr>
          <w:ilvl w:val="3"/>
          <w:numId w:val="2"/>
        </w:numPr>
        <w:tabs>
          <w:tab w:val="left" w:pos="5257"/>
          <w:tab w:val="left" w:pos="5399"/>
        </w:tabs>
        <w:spacing w:before="120" w:after="120" w:line="240" w:lineRule="auto"/>
        <w:jc w:val="both"/>
      </w:pPr>
      <w:r>
        <w:rPr>
          <w:rFonts w:ascii="Arial" w:eastAsia="Arial" w:hAnsi="Arial" w:cs="Arial"/>
          <w:color w:val="000000"/>
          <w:sz w:val="24"/>
          <w:szCs w:val="24"/>
        </w:rPr>
        <w:t>as soon as reasonably possible following a Termination Assistance Notice, and in any event no later than ten (10) Working Days after the date of the Termination Assistance Notice;</w:t>
      </w:r>
    </w:p>
    <w:p w:rsidR="00144E97" w:rsidRDefault="00000000">
      <w:pPr>
        <w:pStyle w:val="Standard"/>
        <w:numPr>
          <w:ilvl w:val="3"/>
          <w:numId w:val="2"/>
        </w:numPr>
        <w:tabs>
          <w:tab w:val="left" w:pos="5257"/>
          <w:tab w:val="left" w:pos="5399"/>
        </w:tabs>
        <w:spacing w:before="120" w:after="120" w:line="240" w:lineRule="auto"/>
        <w:jc w:val="both"/>
      </w:pPr>
      <w:r>
        <w:rPr>
          <w:rFonts w:ascii="Arial" w:eastAsia="Arial" w:hAnsi="Arial" w:cs="Arial"/>
          <w:color w:val="000000"/>
          <w:sz w:val="24"/>
          <w:szCs w:val="24"/>
        </w:rPr>
        <w:t xml:space="preserve">as soon as reasonably possible following, and in any event no later than twenty (20) Working </w:t>
      </w:r>
      <w:r>
        <w:rPr>
          <w:rFonts w:ascii="Arial" w:eastAsia="Arial" w:hAnsi="Arial" w:cs="Arial"/>
          <w:sz w:val="24"/>
          <w:szCs w:val="24"/>
        </w:rPr>
        <w:t>days following</w:t>
      </w:r>
      <w:r>
        <w:rPr>
          <w:rFonts w:ascii="Arial" w:eastAsia="Arial" w:hAnsi="Arial" w:cs="Arial"/>
          <w:color w:val="000000"/>
          <w:sz w:val="24"/>
          <w:szCs w:val="24"/>
        </w:rPr>
        <w:t xml:space="preserve">, any material </w:t>
      </w:r>
      <w:proofErr w:type="gramStart"/>
      <w:r>
        <w:rPr>
          <w:rFonts w:ascii="Arial" w:eastAsia="Arial" w:hAnsi="Arial" w:cs="Arial"/>
          <w:color w:val="000000"/>
          <w:sz w:val="24"/>
          <w:szCs w:val="24"/>
        </w:rPr>
        <w:t>change</w:t>
      </w:r>
      <w:proofErr w:type="gramEnd"/>
      <w:r>
        <w:rPr>
          <w:rFonts w:ascii="Arial" w:eastAsia="Arial" w:hAnsi="Arial" w:cs="Arial"/>
          <w:color w:val="000000"/>
          <w:sz w:val="24"/>
          <w:szCs w:val="24"/>
        </w:rPr>
        <w:t xml:space="preserve"> to the Deliverables (including all changes under the Variation Procedure); and  </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lastRenderedPageBreak/>
        <w:t>jointly review and verify the Exit Plan if required by the Buyer and promptly correct any identified failures.</w:t>
      </w:r>
    </w:p>
    <w:p w:rsidR="00144E97" w:rsidRDefault="00000000">
      <w:pPr>
        <w:pStyle w:val="Standard"/>
        <w:numPr>
          <w:ilvl w:val="1"/>
          <w:numId w:val="2"/>
        </w:numPr>
        <w:spacing w:before="120" w:after="120" w:line="240" w:lineRule="auto"/>
        <w:jc w:val="both"/>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rsidR="00144E97" w:rsidRDefault="00000000">
      <w:pPr>
        <w:pStyle w:val="Standard"/>
        <w:numPr>
          <w:ilvl w:val="1"/>
          <w:numId w:val="2"/>
        </w:numPr>
        <w:spacing w:before="120" w:after="120" w:line="240" w:lineRule="auto"/>
        <w:jc w:val="both"/>
      </w:pPr>
      <w:r>
        <w:rPr>
          <w:rFonts w:ascii="Arial" w:eastAsia="Arial" w:hAnsi="Arial" w:cs="Arial"/>
          <w:color w:val="000000"/>
          <w:sz w:val="24"/>
          <w:szCs w:val="24"/>
        </w:rPr>
        <w:t>A version of an Exit Plan agreed between the parties shall not be superseded by any draft submitted by the Supplier.</w:t>
      </w:r>
    </w:p>
    <w:p w:rsidR="00144E97" w:rsidRDefault="00000000">
      <w:pPr>
        <w:pStyle w:val="Standard"/>
        <w:keepNext/>
        <w:numPr>
          <w:ilvl w:val="0"/>
          <w:numId w:val="2"/>
        </w:numPr>
        <w:tabs>
          <w:tab w:val="left" w:pos="644"/>
        </w:tabs>
        <w:spacing w:before="240" w:after="240" w:line="240" w:lineRule="auto"/>
        <w:ind w:hanging="360"/>
        <w:jc w:val="both"/>
      </w:pPr>
      <w:r>
        <w:rPr>
          <w:rFonts w:ascii="Arial Bold" w:eastAsia="Arial Bold" w:hAnsi="Arial Bold" w:cs="Arial Bold"/>
          <w:b/>
          <w:color w:val="000000"/>
          <w:sz w:val="24"/>
          <w:szCs w:val="24"/>
        </w:rPr>
        <w:t>Termination Assistance</w:t>
      </w:r>
    </w:p>
    <w:p w:rsidR="00144E97" w:rsidRDefault="00000000">
      <w:pPr>
        <w:pStyle w:val="Standard"/>
        <w:numPr>
          <w:ilvl w:val="1"/>
          <w:numId w:val="2"/>
        </w:numPr>
        <w:spacing w:before="120" w:after="120" w:line="240" w:lineRule="auto"/>
        <w:jc w:val="both"/>
      </w:pPr>
      <w:bookmarkStart w:id="15" w:name="_heading=h.1ksv4uv"/>
      <w:bookmarkEnd w:id="15"/>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the nature of the Termination Assistance required; and</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rsidR="00144E97" w:rsidRDefault="00000000">
      <w:pPr>
        <w:pStyle w:val="Standard"/>
        <w:numPr>
          <w:ilvl w:val="1"/>
          <w:numId w:val="2"/>
        </w:numPr>
        <w:spacing w:before="120" w:after="120" w:line="240" w:lineRule="auto"/>
        <w:jc w:val="both"/>
      </w:pPr>
      <w:bookmarkStart w:id="16" w:name="_heading=h.44sinio"/>
      <w:bookmarkEnd w:id="16"/>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no such extension shall extend the Termination Assistance Period beyond the date twelve (12) Months after the End Date; and</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the Buyer shall notify the Supplier of any such extension no later than twenty (20) Working Days prior to the date on which the Termination Assistance Period is otherwise due to expire.</w:t>
      </w:r>
    </w:p>
    <w:p w:rsidR="00144E97" w:rsidRDefault="00000000">
      <w:pPr>
        <w:pStyle w:val="Standard"/>
        <w:numPr>
          <w:ilvl w:val="1"/>
          <w:numId w:val="2"/>
        </w:numPr>
        <w:spacing w:before="120" w:after="120" w:line="240" w:lineRule="auto"/>
        <w:jc w:val="both"/>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rsidR="00144E97" w:rsidRDefault="00000000">
      <w:pPr>
        <w:pStyle w:val="Standard"/>
        <w:numPr>
          <w:ilvl w:val="1"/>
          <w:numId w:val="2"/>
        </w:numPr>
        <w:spacing w:before="120" w:after="120" w:line="240" w:lineRule="auto"/>
        <w:jc w:val="both"/>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144E97" w:rsidRDefault="00000000">
      <w:pPr>
        <w:pStyle w:val="Standard"/>
        <w:keepNext/>
        <w:keepLines/>
        <w:numPr>
          <w:ilvl w:val="0"/>
          <w:numId w:val="2"/>
        </w:numPr>
        <w:tabs>
          <w:tab w:val="left" w:pos="644"/>
        </w:tabs>
        <w:spacing w:before="240" w:after="240" w:line="240" w:lineRule="auto"/>
        <w:ind w:hanging="360"/>
        <w:jc w:val="both"/>
      </w:pPr>
      <w:r>
        <w:rPr>
          <w:rFonts w:ascii="Arial Bold" w:eastAsia="Arial Bold" w:hAnsi="Arial Bold" w:cs="Arial Bold"/>
          <w:b/>
          <w:color w:val="000000"/>
          <w:sz w:val="24"/>
          <w:szCs w:val="24"/>
        </w:rPr>
        <w:t>Termination Assistance Period</w:t>
      </w:r>
    </w:p>
    <w:p w:rsidR="00144E97" w:rsidRDefault="00000000">
      <w:pPr>
        <w:pStyle w:val="Standard"/>
        <w:keepNext/>
        <w:keepLines/>
        <w:numPr>
          <w:ilvl w:val="1"/>
          <w:numId w:val="2"/>
        </w:numPr>
        <w:spacing w:before="120" w:after="120" w:line="240" w:lineRule="auto"/>
        <w:jc w:val="both"/>
      </w:pPr>
      <w:r>
        <w:rPr>
          <w:rFonts w:ascii="Arial" w:eastAsia="Arial" w:hAnsi="Arial" w:cs="Arial"/>
          <w:color w:val="000000"/>
          <w:sz w:val="24"/>
          <w:szCs w:val="24"/>
        </w:rPr>
        <w:t>Throughout the Termination Assistance Period the Supplier shall:</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rsidR="00144E97" w:rsidRDefault="00000000">
      <w:pPr>
        <w:pStyle w:val="Standard"/>
        <w:numPr>
          <w:ilvl w:val="2"/>
          <w:numId w:val="2"/>
        </w:numPr>
        <w:tabs>
          <w:tab w:val="left" w:pos="2705"/>
          <w:tab w:val="left" w:pos="2847"/>
        </w:tabs>
        <w:spacing w:before="120" w:after="120" w:line="240" w:lineRule="auto"/>
        <w:jc w:val="both"/>
      </w:pPr>
      <w:bookmarkStart w:id="17" w:name="_heading=h.2jxsxqh"/>
      <w:bookmarkEnd w:id="17"/>
      <w:r>
        <w:rPr>
          <w:rFonts w:ascii="Arial" w:eastAsia="Arial" w:hAnsi="Arial" w:cs="Arial"/>
          <w:color w:val="000000"/>
          <w:sz w:val="24"/>
          <w:szCs w:val="24"/>
        </w:rPr>
        <w:lastRenderedPageBreak/>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144E97" w:rsidRDefault="00000000">
      <w:pPr>
        <w:pStyle w:val="Standard"/>
        <w:numPr>
          <w:ilvl w:val="2"/>
          <w:numId w:val="2"/>
        </w:numPr>
        <w:tabs>
          <w:tab w:val="left" w:pos="2705"/>
          <w:tab w:val="left" w:pos="2847"/>
        </w:tabs>
        <w:spacing w:before="120" w:after="120" w:line="240" w:lineRule="auto"/>
        <w:jc w:val="both"/>
      </w:pPr>
      <w:bookmarkStart w:id="18" w:name="_heading=h.z337ya"/>
      <w:bookmarkEnd w:id="18"/>
      <w:r>
        <w:rPr>
          <w:rFonts w:ascii="Arial" w:eastAsia="Arial" w:hAnsi="Arial" w:cs="Arial"/>
          <w:color w:val="000000"/>
          <w:sz w:val="24"/>
          <w:szCs w:val="24"/>
        </w:rPr>
        <w:t>use all reasonable endeavours to reallocate resources to provide such assistance without additional costs to the Buyer;</w:t>
      </w:r>
    </w:p>
    <w:p w:rsidR="00144E97" w:rsidRDefault="00000000">
      <w:pPr>
        <w:pStyle w:val="Standard"/>
        <w:numPr>
          <w:ilvl w:val="2"/>
          <w:numId w:val="2"/>
        </w:numPr>
        <w:tabs>
          <w:tab w:val="left" w:pos="2705"/>
          <w:tab w:val="left" w:pos="2847"/>
        </w:tabs>
        <w:spacing w:before="120" w:after="120" w:line="240" w:lineRule="auto"/>
        <w:jc w:val="both"/>
      </w:pPr>
      <w:bookmarkStart w:id="19" w:name="_heading=h.3j2qqm3"/>
      <w:bookmarkEnd w:id="19"/>
      <w:r>
        <w:rPr>
          <w:rFonts w:ascii="Arial" w:eastAsia="Arial" w:hAnsi="Arial" w:cs="Arial"/>
          <w:color w:val="000000"/>
          <w:sz w:val="24"/>
          <w:szCs w:val="24"/>
        </w:rPr>
        <w:t>subject to Paragraph 6.3, provide the Deliverables and the Termination Assistance at no detriment to the Performance Indicators (PI’s) or Service Levels, the provision of the Management Information or any other reports nor to any other of the Supplier's obligations under this Contract;</w:t>
      </w:r>
    </w:p>
    <w:p w:rsidR="00144E97" w:rsidRDefault="00000000">
      <w:pPr>
        <w:pStyle w:val="Standard"/>
        <w:numPr>
          <w:ilvl w:val="2"/>
          <w:numId w:val="2"/>
        </w:numPr>
        <w:tabs>
          <w:tab w:val="left" w:pos="2705"/>
          <w:tab w:val="left" w:pos="2847"/>
        </w:tabs>
        <w:spacing w:before="120" w:after="120" w:line="240" w:lineRule="auto"/>
        <w:jc w:val="both"/>
      </w:pPr>
      <w:bookmarkStart w:id="20" w:name="_heading=h.1y810tw"/>
      <w:bookmarkEnd w:id="20"/>
      <w:r>
        <w:rPr>
          <w:rFonts w:ascii="Arial" w:eastAsia="Arial" w:hAnsi="Arial" w:cs="Arial"/>
          <w:color w:val="000000"/>
          <w:sz w:val="24"/>
          <w:szCs w:val="24"/>
        </w:rPr>
        <w:t>at the Buyer's request and on reasonable notice, deliver up-to-date Registers to the Buyer;</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seek the Buyer's prior written consent to access any Buyer Premises from which the de-installation or removal of Supplier Assets is required.</w:t>
      </w:r>
    </w:p>
    <w:p w:rsidR="00144E97" w:rsidRDefault="00000000">
      <w:pPr>
        <w:pStyle w:val="Standard"/>
        <w:numPr>
          <w:ilvl w:val="1"/>
          <w:numId w:val="2"/>
        </w:numPr>
        <w:spacing w:before="120" w:after="120" w:line="240" w:lineRule="auto"/>
        <w:jc w:val="both"/>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144E97" w:rsidRDefault="00000000">
      <w:pPr>
        <w:pStyle w:val="Standard"/>
        <w:numPr>
          <w:ilvl w:val="1"/>
          <w:numId w:val="2"/>
        </w:numPr>
        <w:spacing w:before="120" w:after="120" w:line="240" w:lineRule="auto"/>
        <w:jc w:val="both"/>
      </w:pPr>
      <w:bookmarkStart w:id="21" w:name="_heading=h.4i7ojhp"/>
      <w:bookmarkEnd w:id="21"/>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144E97" w:rsidRDefault="00000000">
      <w:pPr>
        <w:pStyle w:val="Standard"/>
        <w:keepNext/>
        <w:numPr>
          <w:ilvl w:val="0"/>
          <w:numId w:val="2"/>
        </w:numPr>
        <w:tabs>
          <w:tab w:val="left" w:pos="644"/>
        </w:tabs>
        <w:spacing w:before="240" w:after="240" w:line="240" w:lineRule="auto"/>
        <w:ind w:hanging="360"/>
        <w:jc w:val="both"/>
      </w:pPr>
      <w:r>
        <w:rPr>
          <w:rFonts w:ascii="Arial Bold" w:eastAsia="Arial Bold" w:hAnsi="Arial Bold" w:cs="Arial Bold"/>
          <w:b/>
          <w:color w:val="000000"/>
          <w:sz w:val="24"/>
          <w:szCs w:val="24"/>
        </w:rPr>
        <w:t xml:space="preserve">Obligations when the contract is terminated  </w:t>
      </w:r>
    </w:p>
    <w:p w:rsidR="00144E97" w:rsidRDefault="00000000">
      <w:pPr>
        <w:pStyle w:val="Standard"/>
        <w:numPr>
          <w:ilvl w:val="1"/>
          <w:numId w:val="2"/>
        </w:numPr>
        <w:spacing w:before="120" w:after="120" w:line="240" w:lineRule="auto"/>
        <w:jc w:val="both"/>
      </w:pPr>
      <w:bookmarkStart w:id="22" w:name="_heading=h.2xcytpi"/>
      <w:bookmarkEnd w:id="22"/>
      <w:r>
        <w:rPr>
          <w:rFonts w:ascii="Arial" w:eastAsia="Arial" w:hAnsi="Arial" w:cs="Arial"/>
          <w:color w:val="000000"/>
          <w:sz w:val="24"/>
          <w:szCs w:val="24"/>
        </w:rPr>
        <w:t>The Supplier shall comply with all of its obligations contained in the Exit Plan.</w:t>
      </w:r>
    </w:p>
    <w:p w:rsidR="00144E97" w:rsidRDefault="00000000">
      <w:pPr>
        <w:pStyle w:val="Standard"/>
        <w:keepNext/>
        <w:numPr>
          <w:ilvl w:val="1"/>
          <w:numId w:val="2"/>
        </w:numPr>
        <w:spacing w:before="120" w:after="120" w:line="240" w:lineRule="auto"/>
        <w:jc w:val="both"/>
      </w:pPr>
      <w:bookmarkStart w:id="23" w:name="_heading=h.1ci93xb"/>
      <w:bookmarkEnd w:id="23"/>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vacate any Buyer Premises;</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w:t>
      </w:r>
    </w:p>
    <w:p w:rsidR="00144E97" w:rsidRDefault="00000000">
      <w:pPr>
        <w:pStyle w:val="Standard"/>
        <w:keepNext/>
        <w:numPr>
          <w:ilvl w:val="2"/>
          <w:numId w:val="2"/>
        </w:numPr>
        <w:tabs>
          <w:tab w:val="left" w:pos="2705"/>
          <w:tab w:val="left" w:pos="2847"/>
        </w:tabs>
        <w:spacing w:before="120" w:after="120" w:line="240" w:lineRule="auto"/>
        <w:jc w:val="both"/>
      </w:pPr>
      <w:bookmarkStart w:id="24" w:name="_heading=h.3whwml4"/>
      <w:bookmarkEnd w:id="24"/>
      <w:r>
        <w:rPr>
          <w:rFonts w:ascii="Arial" w:eastAsia="Arial" w:hAnsi="Arial" w:cs="Arial"/>
          <w:color w:val="000000"/>
          <w:sz w:val="24"/>
          <w:szCs w:val="24"/>
        </w:rPr>
        <w:t>provide access during normal working hours to the Buyer and/or the Replacement Supplier for up to twelve (12) Months after expiry or termination to:</w:t>
      </w:r>
    </w:p>
    <w:p w:rsidR="00144E97" w:rsidRDefault="00000000">
      <w:pPr>
        <w:pStyle w:val="Standard"/>
        <w:numPr>
          <w:ilvl w:val="3"/>
          <w:numId w:val="2"/>
        </w:numPr>
        <w:tabs>
          <w:tab w:val="left" w:pos="5257"/>
          <w:tab w:val="left" w:pos="5399"/>
        </w:tabs>
        <w:spacing w:before="120" w:after="120" w:line="240" w:lineRule="auto"/>
        <w:jc w:val="both"/>
      </w:pPr>
      <w:r>
        <w:rPr>
          <w:rFonts w:ascii="Arial" w:eastAsia="Arial" w:hAnsi="Arial" w:cs="Arial"/>
          <w:color w:val="000000"/>
          <w:sz w:val="24"/>
          <w:szCs w:val="24"/>
        </w:rPr>
        <w:t>such information relating to the Deliverables as remains in the possession or control of the Supplier; and</w:t>
      </w:r>
    </w:p>
    <w:p w:rsidR="00144E97" w:rsidRDefault="00000000">
      <w:pPr>
        <w:pStyle w:val="Standard"/>
        <w:numPr>
          <w:ilvl w:val="3"/>
          <w:numId w:val="2"/>
        </w:numPr>
        <w:tabs>
          <w:tab w:val="left" w:pos="5257"/>
          <w:tab w:val="left" w:pos="5399"/>
        </w:tabs>
        <w:spacing w:before="120" w:after="120" w:line="240" w:lineRule="auto"/>
        <w:jc w:val="both"/>
      </w:pPr>
      <w:bookmarkStart w:id="25" w:name="_heading=h.2bn6wsx"/>
      <w:bookmarkEnd w:id="25"/>
      <w:r>
        <w:rPr>
          <w:rFonts w:ascii="Arial" w:eastAsia="Arial" w:hAnsi="Arial" w:cs="Arial"/>
          <w:color w:val="000000"/>
          <w:sz w:val="24"/>
          <w:szCs w:val="24"/>
        </w:rPr>
        <w:lastRenderedPageBreak/>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144E97" w:rsidRDefault="00000000">
      <w:pPr>
        <w:pStyle w:val="Standard"/>
        <w:numPr>
          <w:ilvl w:val="1"/>
          <w:numId w:val="2"/>
        </w:numPr>
        <w:spacing w:before="120" w:after="120" w:line="240" w:lineRule="auto"/>
        <w:jc w:val="both"/>
      </w:pPr>
      <w:bookmarkStart w:id="26" w:name="_heading=h.qsh70q"/>
      <w:bookmarkEnd w:id="26"/>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rsidR="00144E97" w:rsidRDefault="00000000">
      <w:pPr>
        <w:pStyle w:val="Standard"/>
        <w:keepNext/>
        <w:numPr>
          <w:ilvl w:val="0"/>
          <w:numId w:val="2"/>
        </w:numPr>
        <w:tabs>
          <w:tab w:val="left" w:pos="644"/>
        </w:tabs>
        <w:spacing w:before="240" w:after="240" w:line="240" w:lineRule="auto"/>
        <w:ind w:hanging="360"/>
        <w:jc w:val="both"/>
      </w:pPr>
      <w:r>
        <w:rPr>
          <w:rFonts w:ascii="Arial Bold" w:eastAsia="Arial Bold" w:hAnsi="Arial Bold" w:cs="Arial Bold"/>
          <w:b/>
          <w:color w:val="000000"/>
          <w:sz w:val="24"/>
          <w:szCs w:val="24"/>
        </w:rPr>
        <w:t>Assets, Sub-contracts and Software</w:t>
      </w:r>
    </w:p>
    <w:p w:rsidR="00144E97" w:rsidRDefault="00000000">
      <w:pPr>
        <w:pStyle w:val="Standard"/>
        <w:keepNext/>
        <w:numPr>
          <w:ilvl w:val="1"/>
          <w:numId w:val="2"/>
        </w:numPr>
        <w:spacing w:before="120" w:after="120" w:line="240" w:lineRule="auto"/>
        <w:jc w:val="both"/>
      </w:pPr>
      <w:bookmarkStart w:id="27" w:name="_heading=h.3as4poj"/>
      <w:bookmarkEnd w:id="27"/>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terminate, enter into or vary any Sub-contract or licence for any software in connection with the Deliverables; or</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rsidR="00144E97" w:rsidRDefault="00000000">
      <w:pPr>
        <w:pStyle w:val="Standard"/>
        <w:keepNext/>
        <w:numPr>
          <w:ilvl w:val="1"/>
          <w:numId w:val="2"/>
        </w:numPr>
        <w:spacing w:before="120" w:after="120" w:line="240" w:lineRule="auto"/>
        <w:jc w:val="both"/>
      </w:pPr>
      <w:bookmarkStart w:id="28" w:name="_heading=h.1pxezwc"/>
      <w:bookmarkEnd w:id="28"/>
      <w:r>
        <w:rPr>
          <w:rFonts w:ascii="Arial" w:eastAsia="Arial" w:hAnsi="Arial" w:cs="Arial"/>
          <w:color w:val="000000"/>
          <w:sz w:val="24"/>
          <w:szCs w:val="24"/>
        </w:rPr>
        <w:t>Within twenty (20) Working Days of receipt of the up-to-date Registers provided by the Supplier, the Buyer shall notify the Supplier setting out:</w:t>
      </w:r>
    </w:p>
    <w:p w:rsidR="00144E97" w:rsidRDefault="00000000">
      <w:pPr>
        <w:pStyle w:val="Standard"/>
        <w:numPr>
          <w:ilvl w:val="2"/>
          <w:numId w:val="2"/>
        </w:numPr>
        <w:tabs>
          <w:tab w:val="left" w:pos="2705"/>
          <w:tab w:val="left" w:pos="2847"/>
        </w:tabs>
        <w:spacing w:before="120" w:after="120" w:line="240" w:lineRule="auto"/>
        <w:jc w:val="both"/>
      </w:pPr>
      <w:bookmarkStart w:id="29" w:name="_heading=h.49x2ik5"/>
      <w:bookmarkEnd w:id="29"/>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w:t>
      </w:r>
      <w:bookmarkStart w:id="30" w:name="bookmark=id.2p2csry"/>
      <w:bookmarkEnd w:id="30"/>
    </w:p>
    <w:p w:rsidR="00144E97" w:rsidRDefault="00000000">
      <w:pPr>
        <w:pStyle w:val="Standard"/>
        <w:keepNext/>
        <w:numPr>
          <w:ilvl w:val="2"/>
          <w:numId w:val="2"/>
        </w:numPr>
        <w:tabs>
          <w:tab w:val="left" w:pos="2705"/>
          <w:tab w:val="left" w:pos="2847"/>
        </w:tabs>
        <w:spacing w:before="120" w:after="120" w:line="240" w:lineRule="auto"/>
        <w:jc w:val="both"/>
      </w:pPr>
      <w:bookmarkStart w:id="31" w:name="_heading=h.147n2zr"/>
      <w:bookmarkEnd w:id="31"/>
      <w:r>
        <w:rPr>
          <w:rFonts w:ascii="Arial" w:eastAsia="Arial" w:hAnsi="Arial" w:cs="Arial"/>
          <w:color w:val="000000"/>
          <w:sz w:val="24"/>
          <w:szCs w:val="24"/>
        </w:rPr>
        <w:t>which, if any, of:</w:t>
      </w:r>
    </w:p>
    <w:p w:rsidR="00144E97" w:rsidRDefault="00000000">
      <w:pPr>
        <w:pStyle w:val="Standard"/>
        <w:numPr>
          <w:ilvl w:val="3"/>
          <w:numId w:val="2"/>
        </w:numPr>
        <w:tabs>
          <w:tab w:val="left" w:pos="5257"/>
          <w:tab w:val="left" w:pos="5399"/>
        </w:tabs>
        <w:spacing w:before="120" w:after="120" w:line="240" w:lineRule="auto"/>
        <w:jc w:val="both"/>
      </w:pPr>
      <w:r>
        <w:rPr>
          <w:rFonts w:ascii="Arial" w:eastAsia="Arial" w:hAnsi="Arial" w:cs="Arial"/>
          <w:color w:val="000000"/>
          <w:sz w:val="24"/>
          <w:szCs w:val="24"/>
        </w:rPr>
        <w:t>the Exclusive Assets that are not Transferable Assets; and</w:t>
      </w:r>
    </w:p>
    <w:p w:rsidR="00144E97" w:rsidRDefault="00000000">
      <w:pPr>
        <w:pStyle w:val="Standard"/>
        <w:numPr>
          <w:ilvl w:val="3"/>
          <w:numId w:val="2"/>
        </w:numPr>
        <w:tabs>
          <w:tab w:val="left" w:pos="5257"/>
          <w:tab w:val="left" w:pos="5399"/>
        </w:tabs>
        <w:spacing w:before="120" w:after="120" w:line="240" w:lineRule="auto"/>
        <w:jc w:val="both"/>
      </w:pPr>
      <w:r>
        <w:rPr>
          <w:rFonts w:ascii="Arial" w:eastAsia="Arial" w:hAnsi="Arial" w:cs="Arial"/>
          <w:color w:val="000000"/>
          <w:sz w:val="24"/>
          <w:szCs w:val="24"/>
        </w:rPr>
        <w:t>the Non-Exclusive Assets,</w:t>
      </w:r>
    </w:p>
    <w:p w:rsidR="00144E97" w:rsidRDefault="00000000">
      <w:pPr>
        <w:pStyle w:val="Standard"/>
        <w:tabs>
          <w:tab w:val="left" w:pos="3783"/>
        </w:tabs>
        <w:spacing w:before="120" w:after="120" w:line="240" w:lineRule="auto"/>
        <w:ind w:left="1656"/>
        <w:jc w:val="both"/>
      </w:pPr>
      <w:r>
        <w:rPr>
          <w:rFonts w:ascii="Arial" w:eastAsia="Arial" w:hAnsi="Arial" w:cs="Arial"/>
          <w:color w:val="000000"/>
          <w:sz w:val="24"/>
          <w:szCs w:val="24"/>
        </w:rPr>
        <w:t>the Buyer and/or the Replacement Supplier requires the continued use of; and</w:t>
      </w:r>
    </w:p>
    <w:p w:rsidR="00144E97" w:rsidRDefault="00000000">
      <w:pPr>
        <w:pStyle w:val="Standard"/>
        <w:numPr>
          <w:ilvl w:val="2"/>
          <w:numId w:val="2"/>
        </w:numPr>
        <w:tabs>
          <w:tab w:val="left" w:pos="2705"/>
          <w:tab w:val="left" w:pos="2847"/>
        </w:tabs>
        <w:spacing w:before="120" w:after="120" w:line="240" w:lineRule="auto"/>
        <w:jc w:val="both"/>
      </w:pPr>
      <w:bookmarkStart w:id="32" w:name="_heading=h.3o7alnk"/>
      <w:bookmarkEnd w:id="32"/>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rsidR="00144E97" w:rsidRDefault="00000000">
      <w:pPr>
        <w:pStyle w:val="Standard"/>
        <w:tabs>
          <w:tab w:val="left" w:pos="1645"/>
          <w:tab w:val="left" w:pos="3063"/>
        </w:tabs>
        <w:spacing w:before="120" w:after="120" w:line="240" w:lineRule="auto"/>
        <w:ind w:left="936" w:hanging="349"/>
        <w:jc w:val="both"/>
      </w:pPr>
      <w:r>
        <w:rPr>
          <w:rFonts w:ascii="Arial" w:eastAsia="Arial" w:hAnsi="Arial" w:cs="Arial"/>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144E97" w:rsidRDefault="00000000">
      <w:pPr>
        <w:pStyle w:val="Standard"/>
        <w:numPr>
          <w:ilvl w:val="1"/>
          <w:numId w:val="2"/>
        </w:numPr>
        <w:spacing w:before="120" w:after="120" w:line="240" w:lineRule="auto"/>
        <w:jc w:val="both"/>
      </w:pPr>
      <w:bookmarkStart w:id="33" w:name="_heading=h.23ckvvd"/>
      <w:bookmarkEnd w:id="33"/>
      <w:r>
        <w:rPr>
          <w:rFonts w:ascii="Arial" w:eastAsia="Arial" w:hAnsi="Arial" w:cs="Arial"/>
          <w:color w:val="000000"/>
          <w:sz w:val="24"/>
          <w:szCs w:val="24"/>
        </w:rPr>
        <w:t xml:space="preserve">With effect from the expiry of the Termination Assistance Period, the Supplier shall sell the Transferring Assets to the Buyer and/or the Replacement </w:t>
      </w:r>
      <w:r>
        <w:rPr>
          <w:rFonts w:ascii="Arial" w:eastAsia="Arial" w:hAnsi="Arial" w:cs="Arial"/>
          <w:color w:val="000000"/>
          <w:sz w:val="24"/>
          <w:szCs w:val="24"/>
        </w:rPr>
        <w:lastRenderedPageBreak/>
        <w:t>Supplier for their Net Book Value less any amount already paid for them through the Charges.</w:t>
      </w:r>
    </w:p>
    <w:p w:rsidR="00144E97" w:rsidRDefault="00000000">
      <w:pPr>
        <w:pStyle w:val="Standard"/>
        <w:numPr>
          <w:ilvl w:val="1"/>
          <w:numId w:val="2"/>
        </w:numPr>
        <w:spacing w:before="120" w:after="120" w:line="240" w:lineRule="auto"/>
        <w:jc w:val="both"/>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rsidR="00144E97" w:rsidRDefault="00000000">
      <w:pPr>
        <w:pStyle w:val="Standard"/>
        <w:keepNext/>
        <w:numPr>
          <w:ilvl w:val="1"/>
          <w:numId w:val="2"/>
        </w:numPr>
        <w:spacing w:before="120" w:after="120" w:line="240" w:lineRule="auto"/>
        <w:jc w:val="both"/>
      </w:pPr>
      <w:bookmarkStart w:id="34" w:name="_heading=h.ihv636"/>
      <w:bookmarkEnd w:id="34"/>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procure a suitable alternative to such assets, the Buyer or the Replacement Supplier to bear the reasonable proven costs of procuring the same.</w:t>
      </w:r>
    </w:p>
    <w:p w:rsidR="00144E97" w:rsidRDefault="00000000">
      <w:pPr>
        <w:pStyle w:val="Standard"/>
        <w:numPr>
          <w:ilvl w:val="1"/>
          <w:numId w:val="2"/>
        </w:numPr>
        <w:spacing w:before="120" w:after="120" w:line="240" w:lineRule="auto"/>
        <w:jc w:val="both"/>
      </w:pPr>
      <w:bookmarkStart w:id="35" w:name="_heading=h.32hioqz"/>
      <w:bookmarkEnd w:id="35"/>
      <w:r>
        <w:rPr>
          <w:rFonts w:ascii="Arial" w:eastAsia="Arial" w:hAnsi="Arial" w:cs="Arial"/>
          <w:color w:val="000000"/>
          <w:sz w:val="24"/>
          <w:szCs w:val="24"/>
        </w:rPr>
        <w:t xml:space="preserve">The Supplier shall as soon as reasonably </w:t>
      </w:r>
      <w:proofErr w:type="gramStart"/>
      <w:r>
        <w:rPr>
          <w:rFonts w:ascii="Arial" w:eastAsia="Arial" w:hAnsi="Arial" w:cs="Arial"/>
          <w:color w:val="000000"/>
          <w:sz w:val="24"/>
          <w:szCs w:val="24"/>
        </w:rPr>
        <w:t>practicable</w:t>
      </w:r>
      <w:proofErr w:type="gramEnd"/>
      <w:r>
        <w:rPr>
          <w:rFonts w:ascii="Arial" w:eastAsia="Arial" w:hAnsi="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rsidR="00144E97" w:rsidRDefault="00000000">
      <w:pPr>
        <w:pStyle w:val="Standard"/>
        <w:keepNext/>
        <w:numPr>
          <w:ilvl w:val="1"/>
          <w:numId w:val="2"/>
        </w:numPr>
        <w:spacing w:before="120" w:after="120" w:line="240" w:lineRule="auto"/>
        <w:jc w:val="both"/>
      </w:pPr>
      <w:bookmarkStart w:id="36" w:name="_heading=h.1hmsyys"/>
      <w:bookmarkEnd w:id="36"/>
      <w:r>
        <w:rPr>
          <w:rFonts w:ascii="Arial" w:eastAsia="Arial" w:hAnsi="Arial" w:cs="Arial"/>
          <w:color w:val="000000"/>
          <w:sz w:val="24"/>
          <w:szCs w:val="24"/>
        </w:rPr>
        <w:t>The Buyer shall:</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accept assignments from the Supplier or join with the Supplier in procuring a novation of each Transferring Contract; and</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144E97" w:rsidRDefault="00000000">
      <w:pPr>
        <w:pStyle w:val="Standard"/>
        <w:numPr>
          <w:ilvl w:val="1"/>
          <w:numId w:val="2"/>
        </w:numPr>
        <w:spacing w:before="120" w:after="120" w:line="240" w:lineRule="auto"/>
        <w:jc w:val="both"/>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rsidR="00144E97" w:rsidRDefault="00000000">
      <w:pPr>
        <w:pStyle w:val="Standard"/>
        <w:numPr>
          <w:ilvl w:val="1"/>
          <w:numId w:val="2"/>
        </w:numPr>
        <w:spacing w:before="120" w:after="120" w:line="240" w:lineRule="auto"/>
        <w:jc w:val="both"/>
      </w:pPr>
      <w:bookmarkStart w:id="37" w:name="_heading=h.41mghml"/>
      <w:bookmarkEnd w:id="37"/>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144E97" w:rsidRDefault="00000000">
      <w:pPr>
        <w:pStyle w:val="Standard"/>
        <w:keepNext/>
        <w:numPr>
          <w:ilvl w:val="0"/>
          <w:numId w:val="2"/>
        </w:numPr>
        <w:tabs>
          <w:tab w:val="left" w:pos="644"/>
        </w:tabs>
        <w:spacing w:before="240" w:after="240" w:line="240" w:lineRule="auto"/>
        <w:ind w:hanging="360"/>
        <w:jc w:val="both"/>
      </w:pPr>
      <w:bookmarkStart w:id="38" w:name="_heading=h.2grqrue"/>
      <w:bookmarkEnd w:id="38"/>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p>
    <w:p w:rsidR="00144E97" w:rsidRDefault="00000000">
      <w:pPr>
        <w:pStyle w:val="Standard"/>
        <w:numPr>
          <w:ilvl w:val="1"/>
          <w:numId w:val="2"/>
        </w:numPr>
        <w:spacing w:before="120" w:after="120" w:line="240" w:lineRule="auto"/>
        <w:jc w:val="both"/>
      </w:pPr>
      <w:r>
        <w:rPr>
          <w:rFonts w:ascii="Arial" w:eastAsia="Arial" w:hAnsi="Arial" w:cs="Arial"/>
          <w:color w:val="000000"/>
          <w:sz w:val="24"/>
          <w:szCs w:val="24"/>
        </w:rPr>
        <w:t>Unless otherwise stated, the Buyer shall not be obliged to pay for costs incurred by the Supplier in relation to its compliance with this Schedule.</w:t>
      </w:r>
    </w:p>
    <w:p w:rsidR="00144E97" w:rsidRDefault="00000000">
      <w:pPr>
        <w:pStyle w:val="Standard"/>
        <w:keepNext/>
        <w:numPr>
          <w:ilvl w:val="0"/>
          <w:numId w:val="2"/>
        </w:numPr>
        <w:tabs>
          <w:tab w:val="left" w:pos="644"/>
        </w:tabs>
        <w:spacing w:before="240" w:after="240" w:line="240" w:lineRule="auto"/>
        <w:ind w:hanging="360"/>
        <w:jc w:val="both"/>
      </w:pPr>
      <w:r>
        <w:rPr>
          <w:rFonts w:ascii="Arial" w:eastAsia="Arial" w:hAnsi="Arial" w:cs="Arial"/>
          <w:b/>
          <w:smallCaps/>
          <w:color w:val="000000"/>
          <w:sz w:val="24"/>
          <w:szCs w:val="24"/>
        </w:rPr>
        <w:lastRenderedPageBreak/>
        <w:t>D</w:t>
      </w:r>
      <w:r>
        <w:rPr>
          <w:rFonts w:ascii="Arial Bold" w:eastAsia="Arial Bold" w:hAnsi="Arial Bold" w:cs="Arial Bold"/>
          <w:b/>
          <w:color w:val="000000"/>
          <w:sz w:val="24"/>
          <w:szCs w:val="24"/>
        </w:rPr>
        <w:t>ividing the bills</w:t>
      </w:r>
    </w:p>
    <w:p w:rsidR="00144E97" w:rsidRDefault="00000000">
      <w:pPr>
        <w:pStyle w:val="Standard"/>
        <w:keepNext/>
        <w:numPr>
          <w:ilvl w:val="1"/>
          <w:numId w:val="2"/>
        </w:numPr>
        <w:spacing w:before="120" w:after="120" w:line="240" w:lineRule="auto"/>
        <w:jc w:val="both"/>
      </w:pPr>
      <w:bookmarkStart w:id="39" w:name="_heading=h.vx1227"/>
      <w:bookmarkEnd w:id="39"/>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the amounts shall be annualised and divided by 365 to reach a daily rate;</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rsidR="00144E97" w:rsidRDefault="00000000">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the Supplier shall be responsible for or entitled to (as the case may be) the rest of the invoice.</w:t>
      </w:r>
    </w:p>
    <w:p w:rsidR="00144E97" w:rsidRDefault="00144E97">
      <w:pPr>
        <w:pStyle w:val="Standard"/>
        <w:jc w:val="both"/>
        <w:rPr>
          <w:rFonts w:ascii="Arial" w:eastAsia="Arial" w:hAnsi="Arial" w:cs="Arial"/>
          <w:sz w:val="24"/>
          <w:szCs w:val="24"/>
        </w:rPr>
      </w:pPr>
    </w:p>
    <w:p w:rsidR="00144E97" w:rsidRDefault="00144E97">
      <w:pPr>
        <w:pStyle w:val="Standard"/>
        <w:jc w:val="both"/>
      </w:pPr>
    </w:p>
    <w:sectPr w:rsidR="00144E97">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1E47" w:rsidRDefault="009A1E47">
      <w:r>
        <w:separator/>
      </w:r>
    </w:p>
  </w:endnote>
  <w:endnote w:type="continuationSeparator" w:id="0">
    <w:p w:rsidR="009A1E47" w:rsidRDefault="009A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font>
  <w:font w:name="Linux Libertine G">
    <w:altName w:val="Cambria"/>
    <w:panose1 w:val="020B06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line="240" w:lineRule="auto"/>
      <w:rPr>
        <w:rFonts w:ascii="Arial" w:eastAsia="Arial" w:hAnsi="Arial" w:cs="Arial"/>
        <w:color w:val="000000"/>
        <w:sz w:val="20"/>
        <w:szCs w:val="20"/>
      </w:rPr>
    </w:pPr>
  </w:p>
  <w:p w:rsidR="00000000" w:rsidRDefault="00000000">
    <w:pPr>
      <w:pStyle w:val="Standard"/>
      <w:tabs>
        <w:tab w:val="center" w:pos="4513"/>
        <w:tab w:val="right" w:pos="9026"/>
      </w:tabs>
      <w:spacing w:after="0" w:line="240" w:lineRule="auto"/>
    </w:pPr>
    <w:r>
      <w:rPr>
        <w:rFonts w:ascii="Arial" w:eastAsia="Arial" w:hAnsi="Arial" w:cs="Arial"/>
        <w:color w:val="000000"/>
        <w:sz w:val="20"/>
        <w:szCs w:val="20"/>
      </w:rPr>
      <w:t>Framework Ref: RM6168 – Estate Management Services</w:t>
    </w:r>
  </w:p>
  <w:p w:rsidR="00000000" w:rsidRDefault="00000000">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fldChar w:fldCharType="begin"/>
    </w:r>
    <w:r>
      <w:instrText xml:space="preserve"> PAGE </w:instrText>
    </w:r>
    <w:r>
      <w:fldChar w:fldCharType="separate"/>
    </w:r>
    <w:r>
      <w:t>6</w:t>
    </w:r>
    <w:r>
      <w:fldChar w:fldCharType="end"/>
    </w:r>
  </w:p>
  <w:p w:rsidR="00000000" w:rsidRDefault="00000000">
    <w:pPr>
      <w:pStyle w:val="Standard"/>
      <w:tabs>
        <w:tab w:val="center" w:pos="4513"/>
        <w:tab w:val="right" w:pos="9026"/>
      </w:tabs>
      <w:spacing w:after="0" w:line="240" w:lineRule="auto"/>
    </w:pPr>
    <w:r>
      <w:rPr>
        <w:rFonts w:ascii="Arial" w:eastAsia="Arial" w:hAnsi="Arial" w:cs="Arial"/>
        <w:color w:val="000000"/>
        <w:sz w:val="20"/>
        <w:szCs w:val="20"/>
      </w:rPr>
      <w:t>Model Version: v3.2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1E47" w:rsidRDefault="009A1E47">
      <w:r>
        <w:rPr>
          <w:color w:val="000000"/>
        </w:rPr>
        <w:separator/>
      </w:r>
    </w:p>
  </w:footnote>
  <w:footnote w:type="continuationSeparator" w:id="0">
    <w:p w:rsidR="009A1E47" w:rsidRDefault="009A1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line="240" w:lineRule="auto"/>
    </w:pPr>
    <w:r>
      <w:rPr>
        <w:rFonts w:ascii="Arial" w:eastAsia="Arial" w:hAnsi="Arial" w:cs="Arial"/>
        <w:b/>
        <w:color w:val="000000"/>
        <w:sz w:val="20"/>
        <w:szCs w:val="20"/>
      </w:rPr>
      <w:t>Call-Off Schedule 10 (Exit Management)</w:t>
    </w:r>
  </w:p>
  <w:p w:rsidR="00000000" w:rsidRDefault="00000000">
    <w:pPr>
      <w:pStyle w:val="Standard"/>
      <w:tabs>
        <w:tab w:val="center" w:pos="4513"/>
        <w:tab w:val="right" w:pos="9026"/>
      </w:tabs>
      <w:spacing w:after="0" w:line="240" w:lineRule="auto"/>
    </w:pPr>
    <w:r>
      <w:rPr>
        <w:rFonts w:ascii="Arial" w:eastAsia="Arial" w:hAnsi="Arial" w:cs="Arial"/>
        <w:color w:val="000000"/>
        <w:sz w:val="20"/>
        <w:szCs w:val="20"/>
      </w:rPr>
      <w:t>Call-Off Ref:</w:t>
    </w:r>
  </w:p>
  <w:p w:rsidR="00000000" w:rsidRDefault="00000000">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p w:rsidR="00000000" w:rsidRDefault="00000000">
    <w:pPr>
      <w:pStyle w:val="Standard"/>
      <w:tabs>
        <w:tab w:val="left" w:pos="3559"/>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451CF"/>
    <w:multiLevelType w:val="multilevel"/>
    <w:tmpl w:val="84AC2D26"/>
    <w:styleLink w:val="WWNum1"/>
    <w:lvl w:ilvl="0">
      <w:start w:val="1"/>
      <w:numFmt w:val="decimal"/>
      <w:lvlText w:val="%1."/>
      <w:lvlJc w:val="left"/>
      <w:pPr>
        <w:ind w:left="644" w:hanging="358"/>
      </w:pPr>
      <w:rPr>
        <w:rFonts w:ascii="Arial" w:hAnsi="Arial"/>
        <w:b/>
        <w:caps w:val="0"/>
        <w:smallCaps w:val="0"/>
        <w:strike w:val="0"/>
        <w:dstrike w:val="0"/>
        <w:color w:val="000000"/>
        <w:position w:val="0"/>
        <w:sz w:val="24"/>
        <w:u w:val="none"/>
        <w:vertAlign w:val="baseline"/>
      </w:rPr>
    </w:lvl>
    <w:lvl w:ilvl="1">
      <w:start w:val="1"/>
      <w:numFmt w:val="decimal"/>
      <w:lvlText w:val="%1.%2"/>
      <w:lvlJc w:val="left"/>
      <w:pPr>
        <w:ind w:left="928" w:hanging="360"/>
      </w:pPr>
      <w:rPr>
        <w:rFonts w:ascii="Arial" w:eastAsia="Arial" w:hAnsi="Arial" w:cs="Arial"/>
        <w:b w:val="0"/>
        <w:i w:val="0"/>
        <w:caps w:val="0"/>
        <w:smallCaps w:val="0"/>
        <w:strike w:val="0"/>
        <w:dstrike w:val="0"/>
        <w:color w:val="000000"/>
        <w:position w:val="0"/>
        <w:sz w:val="24"/>
        <w:u w:val="none"/>
        <w:vertAlign w:val="baseline"/>
      </w:rPr>
    </w:lvl>
    <w:lvl w:ilvl="2">
      <w:start w:val="1"/>
      <w:numFmt w:val="decimal"/>
      <w:lvlText w:val="%1.%2.%3"/>
      <w:lvlJc w:val="left"/>
      <w:pPr>
        <w:ind w:left="720" w:hanging="720"/>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3272" w:hanging="720"/>
      </w:pPr>
      <w:rPr>
        <w:rFonts w:ascii="Arial" w:eastAsia="Calibri" w:hAnsi="Arial" w:cs="Calibri"/>
        <w:b w:val="0"/>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E4B353F"/>
    <w:multiLevelType w:val="multilevel"/>
    <w:tmpl w:val="E38E84D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49118901">
    <w:abstractNumId w:val="1"/>
  </w:num>
  <w:num w:numId="2" w16cid:durableId="769157460">
    <w:abstractNumId w:val="0"/>
  </w:num>
  <w:num w:numId="3" w16cid:durableId="10000450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44E97"/>
    <w:rsid w:val="00144E97"/>
    <w:rsid w:val="0021552B"/>
    <w:rsid w:val="009A1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87789B23-DFA9-FA46-A914-E85A089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Header">
    <w:name w:val="header"/>
    <w:basedOn w:val="Standard"/>
  </w:style>
  <w:style w:type="paragraph" w:styleId="Footer">
    <w:name w:val="foot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ListLabel1">
    <w:name w:val="ListLabel 1"/>
    <w:rPr>
      <w:rFonts w:ascii="Arial" w:eastAsia="Arial" w:hAnsi="Arial" w:cs="Arial"/>
      <w:b/>
      <w:caps w:val="0"/>
      <w:smallCaps w:val="0"/>
      <w:strike w:val="0"/>
      <w:dstrike w:val="0"/>
      <w:color w:val="000000"/>
      <w:position w:val="0"/>
      <w:sz w:val="24"/>
      <w:u w:val="none"/>
      <w:vertAlign w:val="baseline"/>
    </w:rPr>
  </w:style>
  <w:style w:type="character" w:customStyle="1" w:styleId="ListLabel2">
    <w:name w:val="ListLabel 2"/>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3">
    <w:name w:val="ListLabel 3"/>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4">
    <w:name w:val="ListLabel 4"/>
    <w:rPr>
      <w:rFonts w:ascii="Arial" w:eastAsia="Calibri" w:hAnsi="Arial" w:cs="Calibri"/>
      <w:b w:val="0"/>
      <w:i w:val="0"/>
      <w:caps w:val="0"/>
      <w:smallCaps w:val="0"/>
      <w:strike w:val="0"/>
      <w:dstrike w:val="0"/>
      <w:color w:val="000000"/>
      <w:position w:val="0"/>
      <w:sz w:val="24"/>
      <w:u w:val="none"/>
      <w:vertAlign w:val="baseline"/>
    </w:rPr>
  </w:style>
  <w:style w:type="character" w:customStyle="1" w:styleId="ListLabel5">
    <w:name w:val="ListLabel 5"/>
    <w:rPr>
      <w:b w:val="0"/>
      <w:i w:val="0"/>
      <w:caps w:val="0"/>
      <w:smallCaps w:val="0"/>
      <w:strike w:val="0"/>
      <w:dstrike w:val="0"/>
      <w:color w:val="000000"/>
      <w:position w:val="0"/>
      <w:u w:val="none"/>
      <w:vertAlign w:val="baseline"/>
    </w:rPr>
  </w:style>
  <w:style w:type="character" w:customStyle="1" w:styleId="ListLabel6">
    <w:name w:val="ListLabel 6"/>
    <w:rPr>
      <w:b w:val="0"/>
      <w:i w:val="0"/>
      <w:caps w:val="0"/>
      <w:smallCaps w:val="0"/>
      <w:strike w:val="0"/>
      <w:dstrike w:val="0"/>
      <w:color w:val="000000"/>
      <w:position w:val="0"/>
      <w:u w:val="none"/>
      <w:vertAlign w:val="baselin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2855</Words>
  <Characters>16275</Characters>
  <Application>Microsoft Office Word</Application>
  <DocSecurity>0</DocSecurity>
  <Lines>135</Lines>
  <Paragraphs>38</Paragraphs>
  <ScaleCrop>false</ScaleCrop>
  <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Peake</dc:creator>
  <cp:lastModifiedBy>Microsoft Office User</cp:lastModifiedBy>
  <cp:revision>2</cp:revision>
  <dcterms:created xsi:type="dcterms:W3CDTF">2025-02-04T11:00:00Z</dcterms:created>
  <dcterms:modified xsi:type="dcterms:W3CDTF">2025-02-04T11:00:00Z</dcterms:modified>
</cp:coreProperties>
</file>