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A32221" w:rsidRDefault="00A32221" w14:paraId="3877110F" w14:textId="7EF0A99D">
      <w:pPr>
        <w:tabs>
          <w:tab w:val="left" w:pos="8475"/>
        </w:tabs>
        <w:spacing w:before="3480"/>
      </w:pPr>
      <w:r>
        <w:tab/>
      </w:r>
    </w:p>
    <w:p w:rsidRPr="00812225" w:rsidR="00EB23A0" w:rsidP="00EB23A0" w:rsidRDefault="00EB23A0" w14:paraId="51AD8E60" w14:textId="77777777">
      <w:pPr>
        <w:pStyle w:val="Topictitle"/>
      </w:pPr>
      <w:r w:rsidRPr="00812225">
        <w:t>Request for Quotation</w:t>
      </w:r>
    </w:p>
    <w:p w:rsidRPr="00812225" w:rsidR="00EB23A0" w:rsidP="00EB23A0" w:rsidRDefault="00EB23A0" w14:paraId="0A3BC767" w14:textId="41D573B1"/>
    <w:p w:rsidR="232F62BD" w:rsidP="7C2BC020" w:rsidRDefault="00127783" w14:paraId="5263C0EE" w14:textId="1FBF20AB">
      <w:pPr>
        <w:spacing w:after="160" w:line="259" w:lineRule="auto"/>
        <w:rPr>
          <w:rFonts w:asciiTheme="majorHAnsi" w:hAnsiTheme="majorHAnsi" w:eastAsiaTheme="majorEastAsia" w:cstheme="majorBidi"/>
          <w:b/>
          <w:bCs/>
          <w:color w:val="000000" w:themeColor="text1"/>
          <w:szCs w:val="24"/>
        </w:rPr>
      </w:pPr>
      <w:bookmarkStart w:name="_Hlk176162088" w:id="0"/>
      <w:r>
        <w:rPr>
          <w:rFonts w:asciiTheme="majorHAnsi" w:hAnsiTheme="majorHAnsi" w:eastAsiaTheme="majorEastAsia" w:cstheme="majorBidi"/>
          <w:b/>
          <w:bCs/>
          <w:color w:val="000000" w:themeColor="text1"/>
          <w:szCs w:val="24"/>
        </w:rPr>
        <w:t>Developing a f</w:t>
      </w:r>
      <w:r w:rsidRPr="7C2BC020" w:rsidR="232F62BD">
        <w:rPr>
          <w:rFonts w:asciiTheme="majorHAnsi" w:hAnsiTheme="majorHAnsi" w:eastAsiaTheme="majorEastAsia" w:cstheme="majorBidi"/>
          <w:b/>
          <w:bCs/>
          <w:color w:val="000000" w:themeColor="text1"/>
          <w:szCs w:val="24"/>
        </w:rPr>
        <w:t>unding model</w:t>
      </w:r>
      <w:r>
        <w:rPr>
          <w:rFonts w:asciiTheme="majorHAnsi" w:hAnsiTheme="majorHAnsi" w:eastAsiaTheme="majorEastAsia" w:cstheme="majorBidi"/>
          <w:b/>
          <w:bCs/>
          <w:color w:val="000000" w:themeColor="text1"/>
          <w:szCs w:val="24"/>
        </w:rPr>
        <w:t xml:space="preserve"> </w:t>
      </w:r>
      <w:r w:rsidRPr="7C2BC020" w:rsidR="232F62BD">
        <w:rPr>
          <w:rFonts w:asciiTheme="majorHAnsi" w:hAnsiTheme="majorHAnsi" w:eastAsiaTheme="majorEastAsia" w:cstheme="majorBidi"/>
          <w:b/>
          <w:bCs/>
          <w:color w:val="000000" w:themeColor="text1"/>
          <w:szCs w:val="24"/>
        </w:rPr>
        <w:t>for beaver management partnerships</w:t>
      </w:r>
    </w:p>
    <w:bookmarkEnd w:id="0"/>
    <w:p w:rsidRPr="00812225" w:rsidR="00EB23A0" w:rsidP="00EB23A0" w:rsidRDefault="00EB23A0" w14:paraId="475EA411" w14:textId="12CBDE86">
      <w:pPr>
        <w:rPr>
          <w:rStyle w:val="Important"/>
        </w:rPr>
      </w:pPr>
    </w:p>
    <w:p w:rsidR="232F62BD" w:rsidP="7C2BC020" w:rsidRDefault="232F62BD" w14:paraId="2339F118" w14:textId="34A5773F">
      <w:pPr>
        <w:rPr>
          <w:rStyle w:val="Important"/>
          <w:color w:val="auto"/>
        </w:rPr>
      </w:pPr>
      <w:r w:rsidRPr="7D534644" w:rsidR="191B1EE1">
        <w:rPr>
          <w:rStyle w:val="Important"/>
          <w:color w:val="auto"/>
        </w:rPr>
        <w:t>1</w:t>
      </w:r>
      <w:r w:rsidRPr="7D534644" w:rsidR="0CA42F25">
        <w:rPr>
          <w:rStyle w:val="Important"/>
          <w:color w:val="auto"/>
        </w:rPr>
        <w:t xml:space="preserve">9 </w:t>
      </w:r>
      <w:r w:rsidRPr="7D534644" w:rsidR="232F62BD">
        <w:rPr>
          <w:rStyle w:val="Important"/>
          <w:color w:val="auto"/>
        </w:rPr>
        <w:t>September 2024</w:t>
      </w:r>
    </w:p>
    <w:p w:rsidRPr="00812225" w:rsidR="00EB23A0" w:rsidP="00EB23A0" w:rsidRDefault="00EB23A0" w14:paraId="7E73EE61" w14:textId="77777777">
      <w:pPr>
        <w:pStyle w:val="CommentText"/>
        <w:rPr>
          <w:rStyle w:val="Important"/>
        </w:rPr>
      </w:pPr>
    </w:p>
    <w:p w:rsidR="00EB23A0" w:rsidP="00865DBF" w:rsidRDefault="00EB23A0" w14:paraId="518E9015" w14:textId="4E0791EA">
      <w:pPr>
        <w:rPr>
          <w:rStyle w:val="Important"/>
        </w:rPr>
      </w:pPr>
      <w:r>
        <w:br w:type="page"/>
      </w:r>
    </w:p>
    <w:p w:rsidRPr="00A77416" w:rsidR="00EB23A0" w:rsidP="00EB23A0" w:rsidRDefault="00EB23A0" w14:paraId="653A5430" w14:textId="2F775C19">
      <w:pPr>
        <w:pStyle w:val="Topictitle"/>
      </w:pPr>
      <w:r>
        <w:t>Request for Quotation</w:t>
      </w:r>
    </w:p>
    <w:p w:rsidR="00865DBF" w:rsidP="34A9FF56" w:rsidRDefault="6F907B28" w14:paraId="49D51C5E" w14:textId="699F157A">
      <w:pPr>
        <w:spacing w:after="160" w:line="259" w:lineRule="auto"/>
        <w:rPr>
          <w:rFonts w:asciiTheme="majorHAnsi" w:hAnsiTheme="majorHAnsi" w:eastAsiaTheme="majorEastAsia" w:cstheme="majorBidi"/>
          <w:b/>
          <w:bCs/>
          <w:color w:val="000000" w:themeColor="text1"/>
        </w:rPr>
      </w:pPr>
      <w:r w:rsidRPr="34A9FF56">
        <w:rPr>
          <w:rFonts w:asciiTheme="majorHAnsi" w:hAnsiTheme="majorHAnsi" w:eastAsiaTheme="majorEastAsia" w:cstheme="majorBidi"/>
          <w:b/>
          <w:bCs/>
          <w:color w:val="000000" w:themeColor="text1"/>
        </w:rPr>
        <w:t>Developing a f</w:t>
      </w:r>
      <w:r w:rsidRPr="34A9FF56" w:rsidR="00865DBF">
        <w:rPr>
          <w:rFonts w:asciiTheme="majorHAnsi" w:hAnsiTheme="majorHAnsi" w:eastAsiaTheme="majorEastAsia" w:cstheme="majorBidi"/>
          <w:b/>
          <w:bCs/>
          <w:color w:val="000000" w:themeColor="text1"/>
        </w:rPr>
        <w:t>unding model</w:t>
      </w:r>
      <w:r w:rsidRPr="34A9FF56" w:rsidR="2AD5313D">
        <w:rPr>
          <w:rFonts w:asciiTheme="majorHAnsi" w:hAnsiTheme="majorHAnsi" w:eastAsiaTheme="majorEastAsia" w:cstheme="majorBidi"/>
          <w:b/>
          <w:bCs/>
          <w:color w:val="000000" w:themeColor="text1"/>
        </w:rPr>
        <w:t xml:space="preserve"> </w:t>
      </w:r>
      <w:r w:rsidRPr="34A9FF56" w:rsidR="00865DBF">
        <w:rPr>
          <w:rFonts w:asciiTheme="majorHAnsi" w:hAnsiTheme="majorHAnsi" w:eastAsiaTheme="majorEastAsia" w:cstheme="majorBidi"/>
          <w:b/>
          <w:bCs/>
          <w:color w:val="000000" w:themeColor="text1"/>
        </w:rPr>
        <w:t>for beaver management partnerships</w:t>
      </w:r>
    </w:p>
    <w:p w:rsidRPr="00A77416" w:rsidR="00EB23A0" w:rsidP="00EB23A0" w:rsidRDefault="00EB23A0" w14:paraId="23249935" w14:textId="77777777">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00EB23A0" w:rsidP="2FD02FDF" w:rsidRDefault="00EB23A0" w14:paraId="56CA0257" w14:textId="4DFACC25">
      <w:pPr>
        <w:rPr>
          <w:rStyle w:val="Important"/>
          <w:bCs/>
          <w:color w:val="auto"/>
        </w:rPr>
      </w:pPr>
      <w:r>
        <w:t>Email:</w:t>
      </w:r>
      <w:r w:rsidRPr="2FD02FDF">
        <w:rPr>
          <w:rStyle w:val="Important"/>
        </w:rPr>
        <w:t xml:space="preserve"> </w:t>
      </w:r>
      <w:r w:rsidRPr="2FD02FDF" w:rsidR="799D94C1">
        <w:rPr>
          <w:rStyle w:val="Important"/>
          <w:bCs/>
          <w:color w:val="auto"/>
        </w:rPr>
        <w:t>beavers@naturalengland.org.uk</w:t>
      </w:r>
    </w:p>
    <w:p w:rsidR="00EB23A0" w:rsidP="2FD02FDF" w:rsidRDefault="00EB23A0" w14:paraId="72C1F940" w14:textId="4B15D9C4">
      <w:pPr>
        <w:rPr>
          <w:rStyle w:val="Important"/>
          <w:color w:val="auto"/>
        </w:rPr>
      </w:pPr>
      <w:r w:rsidR="00EB23A0">
        <w:rPr/>
        <w:t xml:space="preserve">Date: </w:t>
      </w:r>
      <w:r w:rsidRPr="426EC9B4" w:rsidR="091C5DCE">
        <w:rPr>
          <w:rStyle w:val="Important"/>
          <w:color w:val="auto"/>
        </w:rPr>
        <w:t>1 Novem</w:t>
      </w:r>
      <w:r w:rsidRPr="426EC9B4" w:rsidR="738C9A26">
        <w:rPr>
          <w:rStyle w:val="Important"/>
          <w:color w:val="auto"/>
        </w:rPr>
        <w:t>ber 2024</w:t>
      </w:r>
    </w:p>
    <w:p w:rsidR="00EB23A0" w:rsidP="2FD02FDF" w:rsidRDefault="00EB23A0" w14:paraId="1EF690EE" w14:textId="77B1369B">
      <w:pPr>
        <w:rPr>
          <w:rStyle w:val="Important"/>
          <w:color w:val="auto"/>
        </w:rPr>
      </w:pPr>
      <w:r>
        <w:t xml:space="preserve">Time: </w:t>
      </w:r>
      <w:r w:rsidRPr="2FD02FDF" w:rsidR="67BE75BE">
        <w:rPr>
          <w:rStyle w:val="Important"/>
          <w:color w:val="auto"/>
        </w:rPr>
        <w:t>12 midday</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4FC25B6C" w14:paraId="57DFB284" w14:textId="27E13C01">
      <w:r w:rsidRPr="54013DAA">
        <w:rPr>
          <w:rStyle w:val="Important"/>
          <w:b w:val="0"/>
          <w:color w:val="auto"/>
        </w:rPr>
        <w:t>Julie Eaton</w:t>
      </w:r>
      <w:r w:rsidRPr="54013DAA" w:rsidR="00EB23A0">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54013DAA" w:rsidRDefault="54013DAA" w14:paraId="138D348E" w14:textId="4EE889D6"/>
    <w:tbl>
      <w:tblPr>
        <w:tblStyle w:val="Table"/>
        <w:tblW w:w="8637" w:type="dxa"/>
        <w:tblLook w:val="04A0" w:firstRow="1" w:lastRow="0" w:firstColumn="1" w:lastColumn="0" w:noHBand="0" w:noVBand="1"/>
      </w:tblPr>
      <w:tblGrid>
        <w:gridCol w:w="4318"/>
        <w:gridCol w:w="4319"/>
      </w:tblGrid>
      <w:tr w:rsidR="00EB23A0" w:rsidTr="1939DF6E"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D76DAE" w:rsidRDefault="00EB23A0" w14:paraId="73F96AB8" w14:textId="77777777">
            <w:r>
              <w:t>Date</w:t>
            </w:r>
          </w:p>
        </w:tc>
      </w:tr>
      <w:tr w:rsidR="00EB23A0" w:rsidTr="1939DF6E"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2A313D1" w:rsidRDefault="4E702F6C" w14:paraId="7A899060" w14:textId="16AA5EC8">
            <w:pPr>
              <w:rPr>
                <w:rStyle w:val="Important"/>
              </w:rPr>
            </w:pPr>
            <w:r w:rsidRPr="62F1241A" w:rsidR="69876716">
              <w:rPr>
                <w:rStyle w:val="Important"/>
                <w:color w:val="auto"/>
              </w:rPr>
              <w:t>1</w:t>
            </w:r>
            <w:r w:rsidRPr="62F1241A" w:rsidR="233BC9DA">
              <w:rPr>
                <w:rStyle w:val="Important"/>
                <w:color w:val="auto"/>
              </w:rPr>
              <w:t>5</w:t>
            </w:r>
            <w:r w:rsidRPr="62F1241A" w:rsidR="6D10BDD7">
              <w:rPr>
                <w:rStyle w:val="Important"/>
                <w:color w:val="auto"/>
              </w:rPr>
              <w:t>-</w:t>
            </w:r>
            <w:r w:rsidRPr="62F1241A" w:rsidR="3FFF0F6A">
              <w:rPr>
                <w:rStyle w:val="Important"/>
                <w:color w:val="auto"/>
              </w:rPr>
              <w:t>OCT</w:t>
            </w:r>
            <w:r w:rsidRPr="62F1241A" w:rsidR="6D10BDD7">
              <w:rPr>
                <w:rStyle w:val="Important"/>
                <w:color w:val="auto"/>
              </w:rPr>
              <w:t>-</w:t>
            </w:r>
            <w:r w:rsidRPr="62F1241A" w:rsidR="4E702F6C">
              <w:rPr>
                <w:rStyle w:val="Important"/>
                <w:color w:val="auto"/>
              </w:rPr>
              <w:t>2024</w:t>
            </w:r>
            <w:r w:rsidR="00EB23A0">
              <w:rPr/>
              <w:t xml:space="preserve"> at </w:t>
            </w:r>
            <w:r w:rsidRPr="62F1241A" w:rsidR="00B526CF">
              <w:rPr>
                <w:rStyle w:val="Important"/>
                <w:color w:val="auto"/>
              </w:rPr>
              <w:t>1</w:t>
            </w:r>
            <w:r w:rsidRPr="62F1241A" w:rsidR="00127783">
              <w:rPr>
                <w:rStyle w:val="Important"/>
                <w:color w:val="auto"/>
              </w:rPr>
              <w:t>2</w:t>
            </w:r>
            <w:r w:rsidRPr="62F1241A" w:rsidR="00B526CF">
              <w:rPr>
                <w:rStyle w:val="Important"/>
                <w:color w:val="auto"/>
              </w:rPr>
              <w:t>:</w:t>
            </w:r>
            <w:r w:rsidRPr="62F1241A" w:rsidR="00865DBF">
              <w:rPr>
                <w:rStyle w:val="Important"/>
                <w:color w:val="auto"/>
              </w:rPr>
              <w:t>00</w:t>
            </w:r>
            <w:r w:rsidRPr="62F1241A" w:rsidR="00EB23A0">
              <w:rPr>
                <w:rStyle w:val="Important"/>
                <w:color w:val="auto"/>
              </w:rPr>
              <w:t xml:space="preserve"> BST</w:t>
            </w:r>
          </w:p>
        </w:tc>
      </w:tr>
      <w:tr w:rsidR="00EB23A0" w:rsidTr="1939DF6E"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D76DAE" w:rsidRDefault="25ABA930" w14:paraId="6370A0AA" w14:textId="5AEAA77A">
            <w:pPr>
              <w:rPr>
                <w:rStyle w:val="Important"/>
              </w:rPr>
            </w:pPr>
            <w:r w:rsidRPr="30B75876" w:rsidR="397967E4">
              <w:rPr>
                <w:rStyle w:val="Important"/>
                <w:color w:val="auto"/>
              </w:rPr>
              <w:t>2</w:t>
            </w:r>
            <w:r w:rsidRPr="30B75876" w:rsidR="1D02F9A3">
              <w:rPr>
                <w:rStyle w:val="Important"/>
                <w:color w:val="auto"/>
              </w:rPr>
              <w:t>4</w:t>
            </w:r>
            <w:r w:rsidRPr="30B75876" w:rsidR="25ABA930">
              <w:rPr>
                <w:rStyle w:val="Important"/>
                <w:color w:val="auto"/>
              </w:rPr>
              <w:t>-</w:t>
            </w:r>
            <w:r w:rsidRPr="30B75876" w:rsidR="43F7E1A0">
              <w:rPr>
                <w:rStyle w:val="Important"/>
                <w:color w:val="auto"/>
              </w:rPr>
              <w:t>OCT</w:t>
            </w:r>
            <w:r w:rsidRPr="30B75876" w:rsidR="25ABA930">
              <w:rPr>
                <w:rStyle w:val="Important"/>
                <w:color w:val="auto"/>
              </w:rPr>
              <w:t>-</w:t>
            </w:r>
            <w:r w:rsidRPr="30B75876" w:rsidR="6D40ED0D">
              <w:rPr>
                <w:rStyle w:val="Important"/>
                <w:color w:val="auto"/>
              </w:rPr>
              <w:t>2024</w:t>
            </w:r>
            <w:r w:rsidRPr="30B75876" w:rsidR="00EB23A0">
              <w:rPr>
                <w:rStyle w:val="Important"/>
                <w:color w:val="auto"/>
              </w:rPr>
              <w:t xml:space="preserve"> </w:t>
            </w:r>
            <w:r w:rsidRPr="30B75876" w:rsidR="00EB23A0">
              <w:rPr>
                <w:color w:val="auto"/>
              </w:rPr>
              <w:t xml:space="preserve">at </w:t>
            </w:r>
            <w:r w:rsidRPr="30B75876" w:rsidR="17E721B9">
              <w:rPr>
                <w:b w:val="1"/>
                <w:bCs w:val="1"/>
                <w:color w:val="auto"/>
              </w:rPr>
              <w:t>1</w:t>
            </w:r>
            <w:r w:rsidRPr="30B75876" w:rsidR="00127783">
              <w:rPr>
                <w:b w:val="1"/>
                <w:bCs w:val="1"/>
                <w:color w:val="auto"/>
              </w:rPr>
              <w:t>2</w:t>
            </w:r>
            <w:r w:rsidRPr="30B75876" w:rsidR="17E721B9">
              <w:rPr>
                <w:b w:val="1"/>
                <w:bCs w:val="1"/>
                <w:color w:val="auto"/>
              </w:rPr>
              <w:t>:00</w:t>
            </w:r>
            <w:r w:rsidRPr="30B75876" w:rsidR="00EB23A0">
              <w:rPr>
                <w:rStyle w:val="Important"/>
                <w:color w:val="auto"/>
              </w:rPr>
              <w:t xml:space="preserve"> BST</w:t>
            </w:r>
            <w:r w:rsidRPr="30B75876" w:rsidR="00EB23A0">
              <w:rPr>
                <w:rStyle w:val="Important"/>
              </w:rPr>
              <w:t xml:space="preserve"> </w:t>
            </w:r>
          </w:p>
        </w:tc>
      </w:tr>
      <w:tr w:rsidR="00EB23A0" w:rsidTr="1939DF6E"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1FB17C06" w:rsidRDefault="3A71F876" w14:paraId="5387587F" w14:textId="1837DCF7">
            <w:pPr>
              <w:rPr>
                <w:rStyle w:val="Important"/>
              </w:rPr>
            </w:pPr>
            <w:r w:rsidRPr="30B75876" w:rsidR="3C209FBD">
              <w:rPr>
                <w:rStyle w:val="Important"/>
                <w:color w:val="auto"/>
              </w:rPr>
              <w:t>1-NOV</w:t>
            </w:r>
            <w:r w:rsidRPr="30B75876" w:rsidR="3A71F876">
              <w:rPr>
                <w:rStyle w:val="Important"/>
                <w:color w:val="auto"/>
              </w:rPr>
              <w:t>-2024</w:t>
            </w:r>
            <w:r w:rsidRPr="30B75876" w:rsidR="00EB23A0">
              <w:rPr>
                <w:color w:val="auto"/>
              </w:rPr>
              <w:t xml:space="preserve"> at </w:t>
            </w:r>
            <w:r w:rsidRPr="30B75876" w:rsidR="13BFD2E7">
              <w:rPr>
                <w:rStyle w:val="Important"/>
                <w:color w:val="auto"/>
              </w:rPr>
              <w:t>12:00</w:t>
            </w:r>
            <w:r w:rsidRPr="30B75876" w:rsidR="00EB23A0">
              <w:rPr>
                <w:rStyle w:val="Important"/>
                <w:color w:val="auto"/>
              </w:rPr>
              <w:t xml:space="preserve"> BST </w:t>
            </w:r>
          </w:p>
        </w:tc>
      </w:tr>
      <w:tr w:rsidR="00EB23A0" w:rsidTr="1939DF6E"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7C6DEF17" w:rsidRDefault="2B886C50" w14:paraId="402873C9" w14:textId="4CC8AC1C">
            <w:r w:rsidRPr="02CFF49E" w:rsidR="38B01730">
              <w:rPr>
                <w:rStyle w:val="Important"/>
                <w:color w:val="auto"/>
              </w:rPr>
              <w:t>8</w:t>
            </w:r>
            <w:r w:rsidRPr="02CFF49E" w:rsidR="2B886C50">
              <w:rPr>
                <w:rStyle w:val="Important"/>
                <w:color w:val="auto"/>
              </w:rPr>
              <w:t>-NOV</w:t>
            </w:r>
            <w:r w:rsidRPr="02CFF49E" w:rsidR="3AB64CBE">
              <w:rPr>
                <w:rStyle w:val="Important"/>
                <w:color w:val="auto"/>
              </w:rPr>
              <w:t>-2024</w:t>
            </w:r>
          </w:p>
        </w:tc>
      </w:tr>
      <w:tr w:rsidR="00EB23A0" w:rsidTr="1939DF6E"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6C92F12E" w:rsidRDefault="3A458BA2" w14:paraId="11AD15C3" w14:textId="25B01D30">
            <w:pPr>
              <w:rPr>
                <w:rStyle w:val="Important"/>
                <w:color w:val="auto"/>
              </w:rPr>
            </w:pPr>
            <w:r w:rsidRPr="02CFF49E" w:rsidR="1C3D1138">
              <w:rPr>
                <w:rStyle w:val="Important"/>
                <w:color w:val="auto"/>
              </w:rPr>
              <w:t>11</w:t>
            </w:r>
            <w:r w:rsidRPr="02CFF49E" w:rsidR="3A458BA2">
              <w:rPr>
                <w:rStyle w:val="Important"/>
                <w:color w:val="auto"/>
              </w:rPr>
              <w:t>-NOV</w:t>
            </w:r>
            <w:r w:rsidRPr="02CFF49E" w:rsidR="07E972F4">
              <w:rPr>
                <w:rStyle w:val="Important"/>
                <w:color w:val="auto"/>
              </w:rPr>
              <w:t>-2024</w:t>
            </w:r>
          </w:p>
        </w:tc>
      </w:tr>
      <w:tr w:rsidR="00EB23A0" w:rsidTr="1939DF6E"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D76DAE"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426CF434" w:rsidRDefault="48D0DC66" w14:paraId="14FA7E19" w14:textId="32862567">
            <w:pPr>
              <w:rPr>
                <w:color w:val="auto"/>
              </w:rPr>
            </w:pPr>
            <w:r w:rsidRPr="1939DF6E" w:rsidR="16E057FE">
              <w:rPr>
                <w:rStyle w:val="Important"/>
                <w:color w:val="auto"/>
              </w:rPr>
              <w:t>11</w:t>
            </w:r>
            <w:r w:rsidRPr="1939DF6E" w:rsidR="48D0DC66">
              <w:rPr>
                <w:rStyle w:val="Important"/>
                <w:color w:val="auto"/>
              </w:rPr>
              <w:t>-NOV</w:t>
            </w:r>
            <w:r w:rsidRPr="1939DF6E" w:rsidR="1C3DC050">
              <w:rPr>
                <w:rStyle w:val="Important"/>
                <w:color w:val="auto"/>
              </w:rPr>
              <w:t>-2024</w:t>
            </w:r>
            <w:r w:rsidRPr="1939DF6E" w:rsidR="00EB23A0">
              <w:rPr>
                <w:color w:val="auto"/>
              </w:rPr>
              <w:t xml:space="preserve"> to </w:t>
            </w:r>
            <w:r w:rsidRPr="1939DF6E" w:rsidR="6390B7E8">
              <w:rPr>
                <w:rStyle w:val="Important"/>
                <w:color w:val="auto"/>
              </w:rPr>
              <w:t>3</w:t>
            </w:r>
            <w:r w:rsidRPr="1939DF6E" w:rsidR="1A5C609A">
              <w:rPr>
                <w:rStyle w:val="Important"/>
                <w:color w:val="auto"/>
              </w:rPr>
              <w:t>1-MAR-2025</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79325BB5" w14:paraId="71E82D36"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Pr="00623E36" w:rsidR="00EB23A0" w:rsidP="00D76DAE" w:rsidRDefault="00EB23A0" w14:paraId="4E500F67" w14:textId="207AA185"/>
        </w:tc>
        <w:tc>
          <w:tcPr>
            <w:tcW w:w="4319" w:type="dxa"/>
          </w:tcPr>
          <w:p w:rsidRPr="00623E36" w:rsidR="00EB23A0" w:rsidP="00D76DAE" w:rsidRDefault="00EB23A0" w14:paraId="706BC818" w14:textId="77777777"/>
        </w:tc>
      </w:tr>
      <w:tr w:rsidR="00EB23A0" w:rsidTr="79325BB5" w14:paraId="318F5AD4" w14:textId="77777777">
        <w:tc>
          <w:tcPr>
            <w:tcW w:w="4318" w:type="dxa"/>
          </w:tcPr>
          <w:p w:rsidRPr="009F2992" w:rsidR="00EB23A0" w:rsidP="00D76DAE" w:rsidRDefault="00EB23A0" w14:paraId="731B716B" w14:textId="77777777">
            <w:r w:rsidRPr="007A28B8">
              <w:t>“Authority”</w:t>
            </w:r>
          </w:p>
        </w:tc>
        <w:tc>
          <w:tcPr>
            <w:tcW w:w="4319" w:type="dxa"/>
          </w:tcPr>
          <w:p w:rsidRPr="009F2992" w:rsidR="00EB23A0" w:rsidP="00D76DAE" w:rsidRDefault="00EB23A0" w14:paraId="7EDAF8FF" w14:textId="0E1D3128">
            <w:r>
              <w:t xml:space="preserve">means </w:t>
            </w:r>
            <w:r w:rsidR="0AF3D9D1">
              <w:t xml:space="preserve">Natural England </w:t>
            </w:r>
            <w:r>
              <w:t xml:space="preserve">who is the Contracting Authority.  </w:t>
            </w:r>
          </w:p>
        </w:tc>
      </w:tr>
      <w:tr w:rsidR="00EB23A0" w:rsidTr="79325BB5" w14:paraId="50BF4822" w14:textId="77777777">
        <w:tc>
          <w:tcPr>
            <w:tcW w:w="4318" w:type="dxa"/>
          </w:tcPr>
          <w:p w:rsidRPr="009F2992" w:rsidR="00EB23A0" w:rsidP="00D76DAE" w:rsidRDefault="00EB23A0" w14:paraId="639C4B29" w14:textId="77777777">
            <w:r w:rsidRPr="007A28B8">
              <w:t>“Contract”</w:t>
            </w:r>
          </w:p>
        </w:tc>
        <w:tc>
          <w:tcPr>
            <w:tcW w:w="4319" w:type="dxa"/>
          </w:tcPr>
          <w:p w:rsidRPr="009F2992" w:rsidR="00EB23A0" w:rsidP="00D76DAE" w:rsidRDefault="00EB23A0" w14:paraId="7DFC3D0E" w14:textId="77777777">
            <w:r w:rsidRPr="007A28B8">
              <w:t>means the contract to be entered into by the Authority and the successful supplier.</w:t>
            </w:r>
          </w:p>
        </w:tc>
      </w:tr>
      <w:tr w:rsidR="00EB23A0" w:rsidTr="79325BB5" w14:paraId="603830C0" w14:textId="77777777">
        <w:tc>
          <w:tcPr>
            <w:tcW w:w="4318" w:type="dxa"/>
          </w:tcPr>
          <w:p w:rsidRPr="009F2992" w:rsidR="00EB23A0" w:rsidP="00D76DAE" w:rsidRDefault="00EB23A0" w14:paraId="553F188B" w14:textId="77777777">
            <w:r w:rsidRPr="007A28B8">
              <w:t>“Response”</w:t>
            </w:r>
          </w:p>
        </w:tc>
        <w:tc>
          <w:tcPr>
            <w:tcW w:w="4319" w:type="dxa"/>
          </w:tcPr>
          <w:p w:rsidRPr="009F2992" w:rsidR="00EB23A0" w:rsidP="00D76DAE" w:rsidRDefault="00EB23A0" w14:paraId="709D5E51" w14:textId="77777777">
            <w:r w:rsidRPr="007A28B8">
              <w:t xml:space="preserve">means the information </w:t>
            </w:r>
            <w:r w:rsidRPr="009F2992">
              <w:t>submitted by a supplier in response to the RFQ.</w:t>
            </w:r>
          </w:p>
        </w:tc>
      </w:tr>
      <w:tr w:rsidR="00EB23A0" w:rsidTr="79325BB5" w14:paraId="13CDDA52" w14:textId="77777777">
        <w:tc>
          <w:tcPr>
            <w:tcW w:w="4318" w:type="dxa"/>
          </w:tcPr>
          <w:p w:rsidRPr="009F2992" w:rsidR="00EB23A0" w:rsidP="00D76DAE" w:rsidRDefault="00EB23A0" w14:paraId="66B3222B" w14:textId="77777777">
            <w:r w:rsidRPr="007A28B8">
              <w:t>“RFQ”</w:t>
            </w:r>
          </w:p>
        </w:tc>
        <w:tc>
          <w:tcPr>
            <w:tcW w:w="4319" w:type="dxa"/>
          </w:tcPr>
          <w:p w:rsidRPr="009F2992" w:rsidR="00EB23A0" w:rsidP="00D76DAE"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5F505BCE" w14:textId="77777777">
      <w:pPr>
        <w:pStyle w:val="BulletText1"/>
      </w:pPr>
      <w:r w:rsidRPr="00652053">
        <w:rPr>
          <w:sz w:val="24"/>
          <w:szCs w:val="24"/>
        </w:rPr>
        <w:t xml:space="preserve">all suppliers may benefit from its disclosure, </w:t>
      </w:r>
    </w:p>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6ECD2558">
      <w:r w:rsidRPr="007A28B8">
        <w:t>Suppliers may withdraw their quotations at any time by submitting a notice via the email to the named contact.</w:t>
      </w:r>
    </w:p>
    <w:p w:rsidRPr="007A28B8" w:rsidR="00EB23A0" w:rsidP="00EB23A0" w:rsidRDefault="00EB23A0" w14:paraId="6AAE32D5" w14:textId="77777777">
      <w:pPr>
        <w:pStyle w:val="Subheading"/>
      </w:pPr>
      <w:r w:rsidRPr="007A28B8">
        <w:t>Conditions of Contract</w:t>
      </w:r>
    </w:p>
    <w:p w:rsidRPr="007A28B8" w:rsidR="00EB23A0" w:rsidP="00EB23A0" w:rsidRDefault="00EB23A0" w14:paraId="59E43EA1" w14:textId="3EA357A8">
      <w:r>
        <w:t xml:space="preserve">The Authority’s </w:t>
      </w:r>
      <w:r w:rsidRPr="3568854F">
        <w:rPr>
          <w:szCs w:val="24"/>
        </w:rPr>
        <w:t>Standard Good and Services Terms &amp; Conditions (used for purchases under £50k)</w:t>
      </w:r>
      <w:r w:rsidRPr="3568854F" w:rsidR="32F36E1A">
        <w:rPr>
          <w:szCs w:val="24"/>
        </w:rPr>
        <w:t xml:space="preserve"> </w:t>
      </w:r>
      <w:r>
        <w:t xml:space="preserve">can be located on the </w:t>
      </w:r>
      <w:hyperlink r:id="rId12">
        <w:r w:rsidRPr="3568854F">
          <w:rPr>
            <w:rStyle w:val="Hyperlink"/>
          </w:rPr>
          <w:t>Natural England Website</w:t>
        </w:r>
      </w:hyperlink>
      <w:r w:rsidR="3AB69C34">
        <w:t xml:space="preserve"> </w:t>
      </w:r>
      <w:r>
        <w:t xml:space="preserve">and will be applicable to any contract awarded as a result of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DC1EE9" w:rsidR="00EB23A0" w:rsidP="00EB23A0" w:rsidRDefault="00EB23A0" w14:paraId="266D3D95" w14:textId="77777777">
      <w:pPr>
        <w:pStyle w:val="BulletText1"/>
        <w:rPr>
          <w:sz w:val="24"/>
          <w:szCs w:val="24"/>
        </w:rPr>
      </w:pPr>
      <w:r w:rsidRPr="00DC1EE9">
        <w:rPr>
          <w:sz w:val="24"/>
          <w:szCs w:val="24"/>
        </w:rPr>
        <w:t>Central Contracting Authority’s: £12,000</w:t>
      </w:r>
    </w:p>
    <w:p w:rsidRPr="00DC1EE9" w:rsidR="00EB23A0" w:rsidP="00EB23A0" w:rsidRDefault="00EB23A0" w14:paraId="47E0418A" w14:textId="77777777">
      <w:pPr>
        <w:pStyle w:val="BulletText1"/>
        <w:rPr>
          <w:sz w:val="24"/>
          <w:szCs w:val="24"/>
        </w:rPr>
      </w:pPr>
      <w:r w:rsidRPr="00DC1EE9">
        <w:rPr>
          <w:sz w:val="24"/>
          <w:szCs w:val="24"/>
        </w:rPr>
        <w:t>Sub Central Contracting Authority’s and NHS Trusts: £30,000</w:t>
      </w:r>
    </w:p>
    <w:p w:rsidRPr="007A28B8" w:rsidR="00EB23A0" w:rsidP="00EB23A0" w:rsidRDefault="00EB23A0" w14:paraId="013F1EC2" w14:textId="7ED1EE87">
      <w:r>
        <w:t>For the purpose of this RFQ the Authority is classified as a</w:t>
      </w:r>
      <w:r w:rsidRPr="132C85B5">
        <w:rPr>
          <w:rStyle w:val="Important"/>
        </w:rPr>
        <w:t xml:space="preserve"> </w:t>
      </w:r>
      <w:r w:rsidRPr="132C85B5">
        <w:rPr>
          <w:rStyle w:val="Important"/>
          <w:b w:val="0"/>
          <w:color w:val="auto"/>
        </w:rPr>
        <w:t>Central Contracting Authority</w:t>
      </w:r>
      <w:r w:rsidRPr="132C85B5" w:rsidR="61E22629">
        <w:rPr>
          <w:rStyle w:val="Important"/>
          <w:b w:val="0"/>
          <w:color w:val="auto"/>
        </w:rPr>
        <w:t xml:space="preserve"> with</w:t>
      </w:r>
      <w:r w:rsidRPr="132C85B5">
        <w:rPr>
          <w:rStyle w:val="Text"/>
        </w:rPr>
        <w:t xml:space="preserve"> a publication threshold of </w:t>
      </w:r>
      <w:r w:rsidRPr="132C85B5">
        <w:rPr>
          <w:rStyle w:val="Important"/>
          <w:b w:val="0"/>
          <w:color w:val="auto"/>
        </w:rPr>
        <w:t>£12,000</w:t>
      </w:r>
      <w:r w:rsidRPr="132C85B5">
        <w:rPr>
          <w:rStyle w:val="Important"/>
        </w:rPr>
        <w:t xml:space="preserve"> </w:t>
      </w:r>
      <w:r>
        <w:t xml:space="preserve">inclusive of VAT.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make any representation or warranty (express or implied) as to the accuracy, reasonableness or completeness of the RFQ;</w:t>
      </w:r>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7A28B8" w:rsidR="00EB23A0" w:rsidP="00EB23A0" w:rsidRDefault="00EB23A0" w14:paraId="749286BB"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In order to comply with the General Data Protection Regulations 2018 the supplier must agree to the following:</w:t>
      </w:r>
    </w:p>
    <w:p w:rsidRPr="007A28B8" w:rsidR="00EB23A0" w:rsidP="00EB23A0" w:rsidRDefault="00EB23A0" w14:paraId="2815E806" w14:textId="30A24E0B">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1"/>
      <w:r w:rsidRPr="001F5026">
        <w:t>Equality, Diversity &amp; Inclusion (EDI)</w:t>
      </w:r>
    </w:p>
    <w:p w:rsidRPr="001F5026" w:rsidR="00EB23A0" w:rsidP="00EB23A0" w:rsidRDefault="00EB23A0" w14:paraId="1B724E61" w14:textId="52734A2B">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7723257D" w:rsidR="3AA46252">
        <w:rPr>
          <w:rStyle w:val="Important"/>
          <w:b w:val="0"/>
          <w:color w:val="auto"/>
        </w:rPr>
        <w:t>Natural England</w:t>
      </w:r>
      <w:r>
        <w:t xml:space="preserve"> staff and service users.</w:t>
      </w:r>
    </w:p>
    <w:p w:rsidRPr="001F5026" w:rsidR="00EB23A0" w:rsidP="00EB23A0" w:rsidRDefault="00EB23A0" w14:paraId="0B35A2D4" w14:textId="4AEBA8F1">
      <w:r w:rsidRPr="001F5026">
        <w:t>Suppliers are expected to</w:t>
      </w:r>
      <w:r w:rsidR="005C552C">
        <w:t>:</w:t>
      </w:r>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3">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4">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CC28ED" w:rsidP="00C447B7" w:rsidRDefault="00EB23A0" w14:paraId="49EFB1AA" w14:textId="47C74EFA">
      <w:r w:rsidRPr="001F5026">
        <w:t xml:space="preserve">Suppliers are expected to have an understanding of the Sustainable Development Goals, the interconnections between them and the relevance to the Goods, Services and works procured on the Client’s </w:t>
      </w:r>
      <w:r w:rsidRPr="001F5026" w:rsidR="001C4D0A">
        <w:t>behalf.</w:t>
      </w: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Pr="001F5026" w:rsidR="00EB23A0" w:rsidP="00EB23A0" w:rsidRDefault="00EB23A0" w14:paraId="13D7A7D9" w14:textId="01BDA7B0">
      <w:pPr>
        <w:pStyle w:val="Subheading"/>
      </w:pPr>
      <w:r>
        <w:t xml:space="preserve">Specification of Requirements </w:t>
      </w:r>
    </w:p>
    <w:p w:rsidR="1B092C82" w:rsidP="3BCB4A9F" w:rsidRDefault="1B092C82" w14:paraId="54A92550" w14:textId="5BC204E7">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 xml:space="preserve">Background to Natural England </w:t>
      </w:r>
    </w:p>
    <w:p w:rsidR="1B092C82" w:rsidP="3BCB4A9F" w:rsidRDefault="1B092C82" w14:paraId="26CAFE18" w14:textId="5553F7B8">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Natural England is the government’s adviser for the natural environment in England. </w:t>
      </w:r>
      <w:r w:rsidRPr="3BCB4A9F">
        <w:rPr>
          <w:rFonts w:asciiTheme="majorHAnsi" w:hAnsiTheme="majorHAnsi" w:eastAsiaTheme="majorEastAsia" w:cstheme="majorBidi"/>
          <w:color w:val="0B0C0C"/>
          <w:szCs w:val="24"/>
        </w:rPr>
        <w:t>Our purpose is to help conserve, enhance and manage the natural environment for the benefit of present and future generations, thereby contributing to sustainable development.</w:t>
      </w:r>
      <w:r w:rsidRPr="3BCB4A9F">
        <w:rPr>
          <w:rFonts w:asciiTheme="majorHAnsi" w:hAnsiTheme="majorHAnsi" w:eastAsiaTheme="majorEastAsia" w:cstheme="majorBidi"/>
          <w:color w:val="000000" w:themeColor="text1"/>
          <w:szCs w:val="24"/>
        </w:rPr>
        <w:t xml:space="preserve"> </w:t>
      </w:r>
    </w:p>
    <w:p w:rsidR="1B092C82" w:rsidP="3BCB4A9F" w:rsidRDefault="1B092C82" w14:paraId="0F548352" w14:textId="2FE5AE0E">
      <w:pPr>
        <w:shd w:val="clear" w:color="auto" w:fill="FFFFFF" w:themeFill="background1"/>
        <w:spacing w:before="300" w:after="0" w:line="259" w:lineRule="auto"/>
        <w:rPr>
          <w:rFonts w:asciiTheme="majorHAnsi" w:hAnsiTheme="majorHAnsi" w:eastAsiaTheme="majorEastAsia" w:cstheme="majorBidi"/>
          <w:color w:val="0B0C0C"/>
          <w:szCs w:val="24"/>
        </w:rPr>
      </w:pPr>
      <w:r w:rsidRPr="3BCB4A9F">
        <w:rPr>
          <w:rFonts w:asciiTheme="majorHAnsi" w:hAnsiTheme="majorHAnsi" w:eastAsiaTheme="majorEastAsia" w:cstheme="majorBidi"/>
          <w:color w:val="0B0C0C"/>
          <w:szCs w:val="24"/>
        </w:rPr>
        <w:t>We aim for:</w:t>
      </w:r>
    </w:p>
    <w:p w:rsidR="1B092C82" w:rsidP="00C447B7" w:rsidRDefault="1B092C82" w14:paraId="766C1265" w14:textId="0CB48F49">
      <w:pPr>
        <w:pStyle w:val="ListParagraph"/>
        <w:numPr>
          <w:ilvl w:val="0"/>
          <w:numId w:val="16"/>
        </w:numPr>
        <w:shd w:val="clear" w:color="auto" w:fill="FFFFFF" w:themeFill="background1"/>
        <w:spacing w:after="0" w:line="259" w:lineRule="auto"/>
        <w:rPr>
          <w:rFonts w:asciiTheme="majorHAnsi" w:hAnsiTheme="majorHAnsi" w:eastAsiaTheme="majorEastAsia" w:cstheme="majorBidi"/>
          <w:color w:val="0B0C0C"/>
          <w:szCs w:val="24"/>
        </w:rPr>
      </w:pPr>
      <w:r w:rsidRPr="51F85262">
        <w:rPr>
          <w:rFonts w:asciiTheme="majorHAnsi" w:hAnsiTheme="majorHAnsi" w:eastAsiaTheme="majorEastAsia" w:cstheme="majorBidi"/>
          <w:color w:val="0B0C0C"/>
          <w:szCs w:val="24"/>
        </w:rPr>
        <w:t>a well-managed Nature Recovery Network across land, water and sea, which creates and protects resilient ecosystems rich in wildlife and natural beauty, enjoyed by people and widely benefiting society</w:t>
      </w:r>
    </w:p>
    <w:p w:rsidR="1B092C82" w:rsidP="00C447B7" w:rsidRDefault="1B092C82" w14:paraId="2935512F" w14:textId="0D4276AA">
      <w:pPr>
        <w:pStyle w:val="ListParagraph"/>
        <w:numPr>
          <w:ilvl w:val="0"/>
          <w:numId w:val="16"/>
        </w:numPr>
        <w:shd w:val="clear" w:color="auto" w:fill="FFFFFF" w:themeFill="background1"/>
        <w:spacing w:after="75" w:line="259" w:lineRule="auto"/>
        <w:rPr>
          <w:rFonts w:asciiTheme="majorHAnsi" w:hAnsiTheme="majorHAnsi" w:eastAsiaTheme="majorEastAsia" w:cstheme="majorBidi"/>
          <w:color w:val="0B0C0C"/>
          <w:szCs w:val="24"/>
        </w:rPr>
      </w:pPr>
      <w:r w:rsidRPr="51F85262">
        <w:rPr>
          <w:rFonts w:asciiTheme="majorHAnsi" w:hAnsiTheme="majorHAnsi" w:eastAsiaTheme="majorEastAsia" w:cstheme="majorBidi"/>
          <w:color w:val="0B0C0C"/>
          <w:szCs w:val="24"/>
        </w:rPr>
        <w:t>people connected to the natural environment for their own and society’s wellbeing, enjoyment and prosperity</w:t>
      </w:r>
    </w:p>
    <w:p w:rsidR="1B092C82" w:rsidP="00C447B7" w:rsidRDefault="1B092C82" w14:paraId="001D86CA" w14:textId="21D16741">
      <w:pPr>
        <w:pStyle w:val="ListParagraph"/>
        <w:numPr>
          <w:ilvl w:val="0"/>
          <w:numId w:val="16"/>
        </w:numPr>
        <w:shd w:val="clear" w:color="auto" w:fill="FFFFFF" w:themeFill="background1"/>
        <w:spacing w:after="75" w:line="259" w:lineRule="auto"/>
        <w:rPr>
          <w:rFonts w:asciiTheme="majorHAnsi" w:hAnsiTheme="majorHAnsi" w:eastAsiaTheme="majorEastAsia" w:cstheme="majorBidi"/>
          <w:color w:val="0B0C0C"/>
          <w:szCs w:val="24"/>
        </w:rPr>
      </w:pPr>
      <w:r w:rsidRPr="51F85262">
        <w:rPr>
          <w:rFonts w:asciiTheme="majorHAnsi" w:hAnsiTheme="majorHAnsi" w:eastAsiaTheme="majorEastAsia" w:cstheme="majorBidi"/>
          <w:color w:val="0B0C0C"/>
          <w:szCs w:val="24"/>
        </w:rPr>
        <w:t>Nature-based solutions contributing fully to tackling the climate change challenge and wider environmental hazards and threats</w:t>
      </w:r>
    </w:p>
    <w:p w:rsidR="1B092C82" w:rsidP="00C447B7" w:rsidRDefault="1B092C82" w14:paraId="0B2A060E" w14:textId="6AFC7D8D">
      <w:pPr>
        <w:pStyle w:val="ListParagraph"/>
        <w:numPr>
          <w:ilvl w:val="0"/>
          <w:numId w:val="16"/>
        </w:numPr>
        <w:shd w:val="clear" w:color="auto" w:fill="FFFFFF" w:themeFill="background1"/>
        <w:spacing w:after="75" w:line="259" w:lineRule="auto"/>
        <w:rPr>
          <w:rFonts w:asciiTheme="majorHAnsi" w:hAnsiTheme="majorHAnsi" w:eastAsiaTheme="majorEastAsia" w:cstheme="majorBidi"/>
          <w:color w:val="0B0C0C"/>
          <w:szCs w:val="24"/>
        </w:rPr>
      </w:pPr>
      <w:r w:rsidRPr="51F85262">
        <w:rPr>
          <w:rFonts w:asciiTheme="majorHAnsi" w:hAnsiTheme="majorHAnsi" w:eastAsiaTheme="majorEastAsia" w:cstheme="majorBidi"/>
          <w:color w:val="0B0C0C"/>
          <w:szCs w:val="24"/>
        </w:rPr>
        <w:t>improvements in the natural capital that drives sustainable economic growth, healthy food systems and prospering communities</w:t>
      </w:r>
    </w:p>
    <w:p w:rsidR="1B092C82" w:rsidP="00C447B7" w:rsidRDefault="1B092C82" w14:paraId="3E5D8005" w14:textId="1B0464A1">
      <w:pPr>
        <w:pStyle w:val="ListParagraph"/>
        <w:numPr>
          <w:ilvl w:val="0"/>
          <w:numId w:val="16"/>
        </w:numPr>
        <w:shd w:val="clear" w:color="auto" w:fill="FFFFFF" w:themeFill="background1"/>
        <w:spacing w:after="75" w:line="259" w:lineRule="auto"/>
        <w:rPr>
          <w:rFonts w:asciiTheme="majorHAnsi" w:hAnsiTheme="majorHAnsi" w:eastAsiaTheme="majorEastAsia" w:cstheme="majorBidi"/>
          <w:color w:val="0B0C0C"/>
          <w:szCs w:val="24"/>
        </w:rPr>
      </w:pPr>
      <w:r w:rsidRPr="51F85262">
        <w:rPr>
          <w:rFonts w:asciiTheme="majorHAnsi" w:hAnsiTheme="majorHAnsi" w:eastAsiaTheme="majorEastAsia" w:cstheme="majorBidi"/>
          <w:color w:val="0B0C0C"/>
          <w:szCs w:val="24"/>
        </w:rPr>
        <w:t>evidence and expertise being used by a broad range of partnerships, organisations and communities to achieve Nature recovery and enable effective regulation and accreditation</w:t>
      </w:r>
    </w:p>
    <w:p w:rsidR="17060660" w:rsidP="00C447B7" w:rsidRDefault="1B092C82" w14:paraId="46708C0F" w14:textId="01368167">
      <w:pPr>
        <w:pStyle w:val="ListParagraph"/>
        <w:numPr>
          <w:ilvl w:val="0"/>
          <w:numId w:val="16"/>
        </w:numPr>
        <w:shd w:val="clear" w:color="auto" w:fill="FFFFFF" w:themeFill="background1"/>
        <w:spacing w:after="75" w:line="259" w:lineRule="auto"/>
        <w:rPr>
          <w:rFonts w:asciiTheme="majorHAnsi" w:hAnsiTheme="majorHAnsi" w:eastAsiaTheme="majorEastAsia" w:cstheme="majorBidi"/>
          <w:color w:val="000000" w:themeColor="text1"/>
          <w:szCs w:val="24"/>
        </w:rPr>
      </w:pPr>
      <w:r w:rsidRPr="51F85262">
        <w:rPr>
          <w:rFonts w:asciiTheme="majorHAnsi" w:hAnsiTheme="majorHAnsi" w:eastAsiaTheme="majorEastAsia" w:cstheme="majorBidi"/>
          <w:color w:val="0B0C0C"/>
          <w:szCs w:val="24"/>
        </w:rPr>
        <w:t>being a values-led organisation that delivers excellent service standards to all partners, organisations and communities engaged in achieving Nature’s recovery.</w:t>
      </w:r>
    </w:p>
    <w:p w:rsidR="006919F5" w:rsidP="00C447B7" w:rsidRDefault="00D76DAE" w14:paraId="7CD5DC02" w14:textId="393E7AE3">
      <w:pPr>
        <w:spacing w:after="240" w:line="259" w:lineRule="auto"/>
        <w:rPr>
          <w:rFonts w:asciiTheme="majorHAnsi" w:hAnsiTheme="majorHAnsi" w:eastAsiaTheme="majorEastAsia" w:cstheme="majorBidi"/>
          <w:color w:val="000000" w:themeColor="text1"/>
          <w:szCs w:val="24"/>
        </w:rPr>
      </w:pPr>
      <w:hyperlink r:id="rId15">
        <w:r w:rsidRPr="656789B2" w:rsidR="1B092C82">
          <w:rPr>
            <w:rStyle w:val="Hyperlink"/>
            <w:rFonts w:asciiTheme="majorHAnsi" w:hAnsiTheme="majorHAnsi" w:eastAsiaTheme="majorEastAsia" w:cstheme="majorBidi"/>
            <w:szCs w:val="24"/>
          </w:rPr>
          <w:t>Natural England: Building partnerships for Nature’s recovery</w:t>
        </w:r>
      </w:hyperlink>
      <w:r w:rsidRPr="656789B2" w:rsidR="1B092C82">
        <w:rPr>
          <w:rFonts w:asciiTheme="majorHAnsi" w:hAnsiTheme="majorHAnsi" w:eastAsiaTheme="majorEastAsia" w:cstheme="majorBidi"/>
          <w:color w:val="000000" w:themeColor="text1"/>
          <w:szCs w:val="24"/>
        </w:rPr>
        <w:t xml:space="preserve"> outlines out how we will work to protect England’s nature and landscapes for people to enjoy and for the services they provide, in support of Defra’s ambitions for the environment. </w:t>
      </w:r>
    </w:p>
    <w:p w:rsidR="1B092C82" w:rsidP="006919F5" w:rsidRDefault="00127783" w14:paraId="16CE5673" w14:textId="7098686F">
      <w:pPr>
        <w:spacing w:before="0" w:after="160" w:line="259" w:lineRule="auto"/>
        <w:rPr>
          <w:rFonts w:asciiTheme="majorHAnsi" w:hAnsiTheme="majorHAnsi" w:eastAsiaTheme="majorEastAsia" w:cstheme="majorBidi"/>
          <w:color w:val="000000" w:themeColor="text1"/>
          <w:szCs w:val="24"/>
        </w:rPr>
      </w:pPr>
      <w:r>
        <w:rPr>
          <w:rFonts w:asciiTheme="majorHAnsi" w:hAnsiTheme="majorHAnsi" w:eastAsiaTheme="majorEastAsia" w:cstheme="majorBidi"/>
          <w:b/>
          <w:bCs/>
          <w:color w:val="000000" w:themeColor="text1"/>
          <w:szCs w:val="24"/>
        </w:rPr>
        <w:t>Develo</w:t>
      </w:r>
      <w:r w:rsidR="00EA729E">
        <w:rPr>
          <w:rFonts w:asciiTheme="majorHAnsi" w:hAnsiTheme="majorHAnsi" w:eastAsiaTheme="majorEastAsia" w:cstheme="majorBidi"/>
          <w:b/>
          <w:bCs/>
          <w:color w:val="000000" w:themeColor="text1"/>
          <w:szCs w:val="24"/>
        </w:rPr>
        <w:t>ping a funding</w:t>
      </w:r>
      <w:r w:rsidRPr="3BCB4A9F" w:rsidR="1B092C82">
        <w:rPr>
          <w:rFonts w:asciiTheme="majorHAnsi" w:hAnsiTheme="majorHAnsi" w:eastAsiaTheme="majorEastAsia" w:cstheme="majorBidi"/>
          <w:b/>
          <w:bCs/>
          <w:color w:val="000000" w:themeColor="text1"/>
          <w:szCs w:val="24"/>
        </w:rPr>
        <w:t xml:space="preserve"> model for beaver management partnerships</w:t>
      </w:r>
    </w:p>
    <w:p w:rsidR="1B092C82" w:rsidP="3BCB4A9F" w:rsidRDefault="1B092C82" w14:paraId="71CE8257" w14:textId="7DDE7472">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 xml:space="preserve">Background </w:t>
      </w:r>
    </w:p>
    <w:p w:rsidR="1B092C82" w:rsidP="3BCB4A9F" w:rsidRDefault="1B092C82" w14:paraId="305DAFC3" w14:textId="189A9727">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rsidR="1B092C82" w:rsidP="3BCB4A9F" w:rsidRDefault="1B092C82" w14:paraId="25E9046D" w14:textId="5B7A5D20">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Beaver activity (damming, foraging and burrowing) can have positive environmental and socioeconomic benefits, but it is recognised that their activities can also lead to negative impacts that need to be actively managed.</w:t>
      </w:r>
    </w:p>
    <w:p w:rsidR="1B092C82" w:rsidP="3BCB4A9F" w:rsidRDefault="1B092C82" w14:paraId="4553712C" w14:textId="60670156">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established following natural dispersal of beavers, illegal releases and/or escapes from unlicensed enclosures, mainly in southern England. </w:t>
      </w:r>
    </w:p>
    <w:p w:rsidR="1B092C82" w:rsidP="3BCB4A9F" w:rsidRDefault="1B092C82" w14:paraId="4508383E" w14:textId="13CA041E">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rsidR="1B092C82" w:rsidP="3BCB4A9F" w:rsidRDefault="1B092C82" w14:paraId="6A9676A1" w14:textId="463E1809">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rsidR="1B092C82" w:rsidP="3BCB4A9F" w:rsidRDefault="1B092C82" w14:paraId="1FCAC333" w14:textId="6007B53C">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rsidR="1B092C82" w:rsidP="3BCB4A9F" w:rsidRDefault="1B092C82" w14:paraId="0C42ACD1" w14:textId="2F9F503F">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3BCB4A9F">
        <w:rPr>
          <w:rFonts w:asciiTheme="majorHAnsi" w:hAnsiTheme="majorHAnsi" w:eastAsiaTheme="majorEastAsia" w:cstheme="majorBidi"/>
          <w:color w:val="333333"/>
          <w:szCs w:val="24"/>
        </w:rPr>
        <w:t xml:space="preserve"> </w:t>
      </w:r>
      <w:r w:rsidRPr="3BCB4A9F">
        <w:rPr>
          <w:rFonts w:asciiTheme="majorHAnsi" w:hAnsiTheme="majorHAnsi" w:eastAsiaTheme="majorEastAsia" w:cstheme="majorBidi"/>
          <w:color w:val="000000" w:themeColor="text1"/>
          <w:szCs w:val="24"/>
        </w:rPr>
        <w:t>This support will be key to ensuring the 5-step approach to beaver management is followed; providing advice and helping resolve management issues at an early stage, and thereby greatly reducing the demand for beaver removal.</w:t>
      </w:r>
    </w:p>
    <w:p w:rsidR="1B092C82" w:rsidP="3BCB4A9F" w:rsidRDefault="1B092C82" w14:paraId="4D4B7016" w14:textId="5E6EE853">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Stakeholders have been clear that a fast response to management issues caused by beaver activity affecting land use, property and infrastructure</w:t>
      </w:r>
      <w:r w:rsidRPr="3BCB4A9F">
        <w:rPr>
          <w:rFonts w:asciiTheme="majorHAnsi" w:hAnsiTheme="majorHAnsi" w:eastAsiaTheme="majorEastAsia" w:cstheme="majorBidi"/>
          <w:color w:val="000000" w:themeColor="text1"/>
          <w:szCs w:val="24"/>
          <w:vertAlign w:val="superscript"/>
        </w:rPr>
        <w:t>1</w:t>
      </w:r>
      <w:r w:rsidRPr="3BCB4A9F">
        <w:rPr>
          <w:rFonts w:asciiTheme="majorHAnsi" w:hAnsiTheme="majorHAnsi" w:eastAsiaTheme="majorEastAsia" w:cstheme="majorBidi"/>
          <w:color w:val="000000" w:themeColor="text1"/>
          <w:szCs w:val="24"/>
        </w:rPr>
        <w:t xml:space="preserve"> is necessary to make space for beaver wetlands and allow beavers to deliver multiple benefits. Locally led support will also increase tolerance of beavers and reduce conflict with farming. </w:t>
      </w:r>
    </w:p>
    <w:p w:rsidR="1B092C82" w:rsidP="3BCB4A9F" w:rsidRDefault="1B092C82" w14:paraId="5DE78A41" w14:textId="6DA58944">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rsidR="1B092C82" w:rsidP="3BCB4A9F" w:rsidRDefault="1B092C82" w14:paraId="3741AE51" w14:textId="255F54E3">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Currently there are limited funding opportunities available to BMGs, and these are mainly provided by the third sector. There is unlikely to be many public funding opportunities in this space, especially to provide the rapid response on-the-ground support that communities will need. Most of the public funding will be available through the Environmental Land Management Schemes (ELMS) which will provide funding opportunities for farmers and land managers to enter into land management agreements, which may include provision of buffer zones around watercourses. </w:t>
      </w:r>
    </w:p>
    <w:p w:rsidR="1B092C82" w:rsidP="3BCB4A9F" w:rsidRDefault="1B092C82" w14:paraId="79512984" w14:textId="7B5504F9">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 xml:space="preserve">As beaver populations naturally expand and are reintroduced into new areas of England, inconsistency of funding provision is a concern as some 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rsidR="1B092C82" w:rsidP="3BCB4A9F" w:rsidRDefault="1B092C82" w14:paraId="44B73728" w14:textId="322803A9">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i/>
          <w:iCs/>
          <w:color w:val="000000" w:themeColor="text1"/>
          <w:szCs w:val="24"/>
        </w:rPr>
        <w:t>References</w:t>
      </w:r>
    </w:p>
    <w:p w:rsidR="1B092C82" w:rsidP="63987647" w:rsidRDefault="1B092C82" w14:paraId="70BC18D9" w14:textId="2A7FDBA5">
      <w:pPr>
        <w:pStyle w:val="ListParagraph"/>
        <w:spacing w:after="160" w:line="259" w:lineRule="auto"/>
        <w:rPr>
          <w:rFonts w:asciiTheme="majorHAnsi" w:hAnsiTheme="majorHAnsi" w:eastAsiaTheme="majorEastAsia" w:cstheme="majorBidi"/>
          <w:color w:val="000000" w:themeColor="text1"/>
          <w:szCs w:val="24"/>
        </w:rPr>
      </w:pPr>
      <w:r w:rsidRPr="63987647">
        <w:rPr>
          <w:rFonts w:asciiTheme="majorHAnsi" w:hAnsiTheme="majorHAnsi" w:eastAsiaTheme="majorEastAsia" w:cstheme="majorBidi"/>
          <w:color w:val="000000" w:themeColor="text1"/>
          <w:szCs w:val="24"/>
        </w:rPr>
        <w:t xml:space="preserve">Brazier R., Puttock A., Graham H.A., Auster R.E., Davies K.H., Brown C.M.L. (2020) Beaver: Nature’s ecosystem engineers. Wires </w:t>
      </w:r>
      <w:hyperlink r:id="rId16">
        <w:r w:rsidRPr="63987647">
          <w:rPr>
            <w:rStyle w:val="Hyperlink"/>
            <w:rFonts w:asciiTheme="majorHAnsi" w:hAnsiTheme="majorHAnsi" w:eastAsiaTheme="majorEastAsia" w:cstheme="majorBidi"/>
            <w:szCs w:val="24"/>
          </w:rPr>
          <w:t>https://wires.onlinelibrary.wiley.com/doi/10.1002/wat2.1494</w:t>
        </w:r>
      </w:hyperlink>
    </w:p>
    <w:p w:rsidR="63987647" w:rsidP="63987647" w:rsidRDefault="63987647" w14:paraId="574437F2" w14:textId="15C3EC66">
      <w:pPr>
        <w:pStyle w:val="ListParagraph"/>
        <w:spacing w:after="160" w:line="259" w:lineRule="auto"/>
        <w:rPr>
          <w:rFonts w:asciiTheme="majorHAnsi" w:hAnsiTheme="majorHAnsi" w:eastAsiaTheme="majorEastAsia" w:cstheme="majorBidi"/>
          <w:szCs w:val="24"/>
        </w:rPr>
      </w:pPr>
    </w:p>
    <w:p w:rsidR="1B092C82" w:rsidP="656789B2" w:rsidRDefault="1B092C82" w14:paraId="2D7F16DC" w14:textId="5C94DCF6">
      <w:pPr>
        <w:pStyle w:val="ListParagraph"/>
        <w:spacing w:after="160" w:line="259" w:lineRule="auto"/>
        <w:rPr>
          <w:rFonts w:asciiTheme="majorHAnsi" w:hAnsiTheme="majorHAnsi" w:eastAsiaTheme="majorEastAsia" w:cstheme="majorBidi"/>
          <w:color w:val="000000" w:themeColor="text1"/>
          <w:szCs w:val="24"/>
        </w:rPr>
      </w:pPr>
      <w:r w:rsidRPr="656789B2">
        <w:rPr>
          <w:rFonts w:asciiTheme="majorHAnsi" w:hAnsiTheme="majorHAnsi" w:eastAsiaTheme="majorEastAsia" w:cstheme="majorBidi"/>
          <w:color w:val="000000" w:themeColor="text1"/>
          <w:szCs w:val="24"/>
        </w:rPr>
        <w:t xml:space="preserve">Heydon M.J., Pouget D., Gray S., Wagstaff G., Andison E. (2021) Beaver reintroductions in England: 2000-2021. JP036. Natural England, York. </w:t>
      </w:r>
      <w:hyperlink r:id="rId17">
        <w:r w:rsidRPr="656789B2">
          <w:rPr>
            <w:rStyle w:val="Hyperlink"/>
            <w:rFonts w:asciiTheme="majorHAnsi" w:hAnsiTheme="majorHAnsi" w:eastAsiaTheme="majorEastAsia" w:cstheme="majorBidi"/>
            <w:szCs w:val="24"/>
          </w:rPr>
          <w:t>https://publications.naturalengland.org.uk/publication/5363285194178560</w:t>
        </w:r>
      </w:hyperlink>
    </w:p>
    <w:p w:rsidR="656789B2" w:rsidP="656789B2" w:rsidRDefault="656789B2" w14:paraId="5961BC96" w14:textId="2617B94E">
      <w:pPr>
        <w:pStyle w:val="ListParagraph"/>
        <w:spacing w:after="160" w:line="259" w:lineRule="auto"/>
        <w:rPr>
          <w:rFonts w:asciiTheme="majorHAnsi" w:hAnsiTheme="majorHAnsi" w:eastAsiaTheme="majorEastAsia" w:cstheme="majorBidi"/>
          <w:szCs w:val="24"/>
        </w:rPr>
      </w:pPr>
    </w:p>
    <w:p w:rsidR="1B092C82" w:rsidP="7BB7CEC9" w:rsidRDefault="1B092C82" w14:paraId="25280B5D" w14:textId="0E29F0BE">
      <w:pPr>
        <w:pStyle w:val="ListParagraph"/>
        <w:spacing w:after="0" w:line="259" w:lineRule="auto"/>
        <w:rPr>
          <w:rFonts w:asciiTheme="majorHAnsi" w:hAnsiTheme="majorHAnsi" w:eastAsiaTheme="majorEastAsia" w:cstheme="majorBidi"/>
          <w:color w:val="000000" w:themeColor="text1"/>
        </w:rPr>
      </w:pPr>
      <w:r w:rsidRPr="7BB7CEC9">
        <w:rPr>
          <w:rFonts w:asciiTheme="majorHAnsi" w:hAnsiTheme="majorHAnsi" w:eastAsiaTheme="majorEastAsia" w:cstheme="majorBidi"/>
          <w:color w:val="000000" w:themeColor="text1"/>
        </w:rPr>
        <w:t>Howe C. V., Crutchley S.E. (2020) The River Otter Beaver Trial: Natural England’s assessment of the trial and advice on the future of the beaver population. NEER018. Natural England, York.</w:t>
      </w:r>
      <w:hyperlink r:id="rId18">
        <w:r w:rsidRPr="7BB7CEC9">
          <w:rPr>
            <w:rStyle w:val="Hyperlink"/>
            <w:rFonts w:asciiTheme="majorHAnsi" w:hAnsiTheme="majorHAnsi" w:eastAsiaTheme="majorEastAsia" w:cstheme="majorBidi"/>
          </w:rPr>
          <w:t>https://publications.naturalengland.org.uk/publication/6537677127286784</w:t>
        </w:r>
      </w:hyperlink>
    </w:p>
    <w:p w:rsidR="7BB7CEC9" w:rsidP="7BB7CEC9" w:rsidRDefault="7BB7CEC9" w14:paraId="3C3DEEA0" w14:textId="606DFE9C">
      <w:pPr>
        <w:pStyle w:val="ListParagraph"/>
        <w:spacing w:after="0" w:line="259" w:lineRule="auto"/>
        <w:rPr>
          <w:rFonts w:asciiTheme="majorHAnsi" w:hAnsiTheme="majorHAnsi" w:eastAsiaTheme="majorEastAsia" w:cstheme="majorBidi"/>
        </w:rPr>
      </w:pPr>
    </w:p>
    <w:p w:rsidR="17060660" w:rsidP="63987647" w:rsidRDefault="1B092C82" w14:paraId="51B226C4" w14:textId="25464A32">
      <w:pPr>
        <w:pStyle w:val="ListParagraph"/>
        <w:spacing w:after="0" w:line="259" w:lineRule="auto"/>
        <w:rPr>
          <w:rFonts w:asciiTheme="majorHAnsi" w:hAnsiTheme="majorHAnsi" w:eastAsiaTheme="majorEastAsia" w:cstheme="majorBidi"/>
          <w:color w:val="000000" w:themeColor="text1"/>
          <w:szCs w:val="24"/>
        </w:rPr>
      </w:pPr>
      <w:r w:rsidRPr="63987647">
        <w:rPr>
          <w:rFonts w:asciiTheme="majorHAnsi" w:hAnsiTheme="majorHAnsi" w:eastAsiaTheme="majorEastAsia" w:cstheme="majorBidi"/>
          <w:color w:val="000000" w:themeColor="text1"/>
          <w:szCs w:val="24"/>
        </w:rPr>
        <w:t>Auster R.E., Barr S.W. Brazier R.E. (2022) Beaver Management Groups: Capturing lessons from the River Otter Beaver Trial and River Tamar Catchment. Natural England, York.</w:t>
      </w:r>
      <w:r w:rsidRPr="63987647" w:rsidR="0170E8A3">
        <w:rPr>
          <w:rFonts w:asciiTheme="majorHAnsi" w:hAnsiTheme="majorHAnsi" w:eastAsiaTheme="majorEastAsia" w:cstheme="majorBidi"/>
          <w:color w:val="000000" w:themeColor="text1"/>
          <w:szCs w:val="24"/>
        </w:rPr>
        <w:t xml:space="preserve"> </w:t>
      </w:r>
      <w:hyperlink r:id="rId19">
        <w:r w:rsidRPr="63987647">
          <w:rPr>
            <w:rStyle w:val="Hyperlink"/>
            <w:rFonts w:asciiTheme="majorHAnsi" w:hAnsiTheme="majorHAnsi" w:eastAsiaTheme="majorEastAsia" w:cstheme="majorBidi"/>
            <w:szCs w:val="24"/>
          </w:rPr>
          <w:t>https://publications.naturalengland.org.uk/publication/6315571141672960</w:t>
        </w:r>
      </w:hyperlink>
    </w:p>
    <w:p w:rsidR="1B092C82" w:rsidP="3BCB4A9F" w:rsidRDefault="1B092C82" w14:paraId="1028315F" w14:textId="0D079A4C">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Requirement</w:t>
      </w:r>
    </w:p>
    <w:p w:rsidR="1B092C82" w:rsidP="42CBD8ED" w:rsidRDefault="1B092C82" w14:paraId="3DC4927E" w14:textId="008C019A">
      <w:pPr>
        <w:spacing w:after="160" w:line="259" w:lineRule="auto"/>
        <w:rPr>
          <w:rFonts w:asciiTheme="majorHAnsi" w:hAnsiTheme="majorHAnsi" w:eastAsiaTheme="majorEastAsia" w:cstheme="majorBidi"/>
          <w:color w:val="000000" w:themeColor="text1"/>
          <w:szCs w:val="24"/>
        </w:rPr>
      </w:pPr>
      <w:r w:rsidRPr="42CBD8ED">
        <w:rPr>
          <w:rFonts w:asciiTheme="majorHAnsi" w:hAnsiTheme="majorHAnsi" w:eastAsiaTheme="majorEastAsia" w:cstheme="majorBidi"/>
          <w:color w:val="000000" w:themeColor="text1"/>
          <w:szCs w:val="24"/>
        </w:rPr>
        <w:t>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BMG development from conception to a mature partnership that is embedded in the catchment-based approach. It should also take account of regional differences including the differing pace of beaver reintroduction.</w:t>
      </w:r>
    </w:p>
    <w:p w:rsidR="1B092C82" w:rsidP="3BCB4A9F" w:rsidRDefault="1B092C82" w14:paraId="790250CB" w14:textId="6DC9AB80">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There are two main objectives for this project:</w:t>
      </w:r>
    </w:p>
    <w:p w:rsidR="17060660" w:rsidP="006919F5" w:rsidRDefault="1B092C82" w14:paraId="77EC1193" w14:textId="27BAAC3B">
      <w:pPr>
        <w:pStyle w:val="ListParagraph"/>
        <w:numPr>
          <w:ilvl w:val="0"/>
          <w:numId w:val="17"/>
        </w:numPr>
        <w:spacing w:after="160" w:line="259" w:lineRule="auto"/>
        <w:rPr>
          <w:rFonts w:asciiTheme="majorHAnsi" w:hAnsiTheme="majorHAnsi" w:eastAsiaTheme="majorEastAsia" w:cstheme="majorBidi"/>
          <w:color w:val="000000" w:themeColor="text1"/>
          <w:szCs w:val="24"/>
        </w:rPr>
      </w:pPr>
      <w:r w:rsidRPr="42CBD8ED">
        <w:rPr>
          <w:rFonts w:asciiTheme="majorHAnsi" w:hAnsiTheme="majorHAnsi" w:eastAsiaTheme="majorEastAsia" w:cstheme="majorBidi"/>
          <w:color w:val="000000" w:themeColor="text1"/>
          <w:szCs w:val="24"/>
        </w:rPr>
        <w:t>To facilitate a workshop with members of the National Beaver Forum to develop ideas and receive feedback on where funding is needed to deliver support to local communities that are learning to live alongside beavers</w:t>
      </w:r>
      <w:r w:rsidRPr="42CBD8ED" w:rsidR="47EEACE8">
        <w:rPr>
          <w:rFonts w:asciiTheme="majorHAnsi" w:hAnsiTheme="majorHAnsi" w:eastAsiaTheme="majorEastAsia" w:cstheme="majorBidi"/>
          <w:color w:val="000000" w:themeColor="text1"/>
          <w:szCs w:val="24"/>
        </w:rPr>
        <w:t>; and</w:t>
      </w:r>
    </w:p>
    <w:p w:rsidR="1953054C" w:rsidP="1953054C" w:rsidRDefault="1953054C" w14:paraId="2BF787B1" w14:textId="53CECA00">
      <w:pPr>
        <w:pStyle w:val="ListParagraph"/>
        <w:spacing w:after="160" w:line="259" w:lineRule="auto"/>
        <w:rPr>
          <w:rFonts w:asciiTheme="majorHAnsi" w:hAnsiTheme="majorHAnsi" w:eastAsiaTheme="majorEastAsia" w:cstheme="majorBidi"/>
          <w:color w:val="000000" w:themeColor="text1"/>
          <w:szCs w:val="24"/>
        </w:rPr>
      </w:pPr>
    </w:p>
    <w:p w:rsidR="1B092C82" w:rsidP="006919F5" w:rsidRDefault="1B092C82" w14:paraId="61397AC3" w14:textId="2F544EED">
      <w:pPr>
        <w:pStyle w:val="ListParagraph"/>
        <w:numPr>
          <w:ilvl w:val="0"/>
          <w:numId w:val="17"/>
        </w:numPr>
        <w:spacing w:after="160" w:line="259" w:lineRule="auto"/>
        <w:rPr>
          <w:rFonts w:asciiTheme="majorHAnsi" w:hAnsiTheme="majorHAnsi" w:eastAsiaTheme="majorEastAsia" w:cstheme="majorBidi"/>
          <w:color w:val="000000" w:themeColor="text1"/>
          <w:szCs w:val="24"/>
        </w:rPr>
      </w:pPr>
      <w:r w:rsidRPr="42CBD8ED">
        <w:rPr>
          <w:rFonts w:asciiTheme="majorHAnsi" w:hAnsiTheme="majorHAnsi" w:eastAsiaTheme="majorEastAsia" w:cstheme="majorBidi"/>
          <w:color w:val="000000" w:themeColor="text1"/>
          <w:szCs w:val="24"/>
        </w:rPr>
        <w:t>To produce a report setting out the options for developing:</w:t>
      </w:r>
    </w:p>
    <w:p w:rsidR="1B092C82" w:rsidP="006919F5" w:rsidRDefault="1B092C82" w14:paraId="7757938E" w14:textId="405753EF">
      <w:pPr>
        <w:spacing w:after="160" w:line="259" w:lineRule="auto"/>
        <w:ind w:left="1276" w:firstLine="284"/>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(1) a short-term funding approach to cover the next 10 years.</w:t>
      </w:r>
    </w:p>
    <w:p w:rsidR="17060660" w:rsidP="006919F5" w:rsidRDefault="1B092C82" w14:paraId="71CD6D5C" w14:textId="29BEA57F">
      <w:pPr>
        <w:spacing w:after="160" w:line="259" w:lineRule="auto"/>
        <w:ind w:left="1843" w:hanging="283"/>
        <w:rPr>
          <w:rFonts w:asciiTheme="majorHAnsi" w:hAnsiTheme="majorHAnsi" w:eastAsiaTheme="majorEastAsia" w:cstheme="majorBidi"/>
          <w:color w:val="000000" w:themeColor="text1"/>
          <w:szCs w:val="24"/>
        </w:rPr>
      </w:pPr>
      <w:r w:rsidRPr="550EBC0F">
        <w:rPr>
          <w:rFonts w:asciiTheme="majorHAnsi" w:hAnsiTheme="majorHAnsi" w:eastAsiaTheme="majorEastAsia" w:cstheme="majorBidi"/>
          <w:color w:val="000000" w:themeColor="text1"/>
          <w:szCs w:val="24"/>
        </w:rPr>
        <w:t>(2) a long-term funding approach to fund the provision of advice and on-the-ground support to land managers and riparian users to help them learn to live alongside beavers. This should include the feasibility of taking the approach forward.</w:t>
      </w:r>
    </w:p>
    <w:p w:rsidR="1B092C82" w:rsidP="3BCB4A9F" w:rsidRDefault="1B092C82" w14:paraId="5C43CDD9" w14:textId="4A334B18">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 xml:space="preserve">Sustainability </w:t>
      </w:r>
    </w:p>
    <w:p w:rsidR="17060660" w:rsidP="550EBC0F" w:rsidRDefault="1B092C82" w14:paraId="1FF7C0A0" w14:textId="0ABAC27F">
      <w:pPr>
        <w:spacing w:after="160" w:line="259" w:lineRule="auto"/>
        <w:rPr>
          <w:rFonts w:asciiTheme="majorHAnsi" w:hAnsiTheme="majorHAnsi" w:eastAsiaTheme="majorEastAsia" w:cstheme="majorBidi"/>
          <w:color w:val="000000" w:themeColor="text1"/>
          <w:szCs w:val="24"/>
        </w:rPr>
      </w:pPr>
      <w:r w:rsidRPr="550EBC0F">
        <w:rPr>
          <w:rFonts w:asciiTheme="majorHAnsi" w:hAnsiTheme="majorHAnsi" w:eastAsiaTheme="majorEastAsia" w:cstheme="majorBidi"/>
          <w:color w:val="000000" w:themeColor="text1"/>
          <w:szCs w:val="24"/>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1B092C82" w:rsidP="3BCB4A9F" w:rsidRDefault="1B092C82" w14:paraId="162B7B2A" w14:textId="14CB6DCD">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Outputs and Contract Management</w:t>
      </w:r>
    </w:p>
    <w:p w:rsidR="1B092C82" w:rsidP="3BCB4A9F" w:rsidRDefault="1B092C82" w14:paraId="6FB7998A" w14:textId="679BC5C0">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The key outputs and timetable for delivery are set out below.</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2250"/>
        <w:gridCol w:w="2250"/>
        <w:gridCol w:w="2250"/>
      </w:tblGrid>
      <w:tr w:rsidR="17060660" w:rsidTr="26530995" w14:paraId="1169ADB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rsidR="17060660" w:rsidP="37F02E9F" w:rsidRDefault="17060660" w14:paraId="726F9230" w14:textId="77287C61">
            <w:pPr>
              <w:spacing w:line="259" w:lineRule="auto"/>
              <w:rPr>
                <w:rFonts w:asciiTheme="majorHAnsi" w:hAnsiTheme="majorHAnsi" w:eastAsiaTheme="majorEastAsia" w:cstheme="majorBidi"/>
                <w:b w:val="0"/>
                <w:szCs w:val="24"/>
              </w:rPr>
            </w:pPr>
            <w:r w:rsidRPr="37F02E9F">
              <w:rPr>
                <w:rFonts w:asciiTheme="majorHAnsi" w:hAnsiTheme="majorHAnsi" w:eastAsiaTheme="majorEastAsia" w:cstheme="majorBidi"/>
                <w:bCs/>
                <w:szCs w:val="24"/>
              </w:rPr>
              <w:t>Reference</w:t>
            </w:r>
          </w:p>
        </w:tc>
        <w:tc>
          <w:tcPr>
            <w:tcW w:w="2250" w:type="dxa"/>
            <w:tcMar>
              <w:left w:w="105" w:type="dxa"/>
              <w:right w:w="105" w:type="dxa"/>
            </w:tcMar>
          </w:tcPr>
          <w:p w:rsidR="17060660" w:rsidP="37F02E9F" w:rsidRDefault="17060660" w14:paraId="3237DFF0" w14:textId="0C058D06">
            <w:pPr>
              <w:spacing w:line="259"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bCs/>
                <w:szCs w:val="24"/>
              </w:rPr>
              <w:t>Deliverable</w:t>
            </w:r>
          </w:p>
        </w:tc>
        <w:tc>
          <w:tcPr>
            <w:tcW w:w="2250" w:type="dxa"/>
            <w:tcMar>
              <w:left w:w="105" w:type="dxa"/>
              <w:right w:w="105" w:type="dxa"/>
            </w:tcMar>
          </w:tcPr>
          <w:p w:rsidR="17060660" w:rsidP="37F02E9F" w:rsidRDefault="17060660" w14:paraId="435960BD" w14:textId="566027A0">
            <w:pPr>
              <w:spacing w:line="259"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bCs/>
                <w:szCs w:val="24"/>
              </w:rPr>
              <w:t>Responsible Party</w:t>
            </w:r>
          </w:p>
        </w:tc>
        <w:tc>
          <w:tcPr>
            <w:tcW w:w="2250" w:type="dxa"/>
            <w:tcMar>
              <w:left w:w="105" w:type="dxa"/>
              <w:right w:w="105" w:type="dxa"/>
            </w:tcMar>
          </w:tcPr>
          <w:p w:rsidR="17060660" w:rsidP="37F02E9F" w:rsidRDefault="17060660" w14:paraId="4E098422" w14:textId="6AFC54B2">
            <w:pPr>
              <w:spacing w:line="259" w:lineRule="auto"/>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bCs/>
                <w:szCs w:val="24"/>
              </w:rPr>
              <w:t>Date of completion</w:t>
            </w:r>
          </w:p>
        </w:tc>
      </w:tr>
      <w:tr w:rsidR="17060660" w:rsidTr="26530995" w14:paraId="2FB62F63"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rsidR="17060660" w:rsidP="37F02E9F" w:rsidRDefault="17060660" w14:paraId="4430A07D" w14:textId="70F101DD">
            <w:pPr>
              <w:spacing w:line="259" w:lineRule="auto"/>
              <w:rPr>
                <w:rFonts w:asciiTheme="majorHAnsi" w:hAnsiTheme="majorHAnsi" w:eastAsiaTheme="majorEastAsia" w:cstheme="majorBidi"/>
                <w:szCs w:val="24"/>
              </w:rPr>
            </w:pPr>
            <w:r w:rsidRPr="37F02E9F">
              <w:rPr>
                <w:rFonts w:asciiTheme="majorHAnsi" w:hAnsiTheme="majorHAnsi" w:eastAsiaTheme="majorEastAsia" w:cstheme="majorBidi"/>
                <w:b w:val="0"/>
                <w:szCs w:val="24"/>
              </w:rPr>
              <w:t>Start up</w:t>
            </w:r>
          </w:p>
        </w:tc>
        <w:tc>
          <w:tcPr>
            <w:tcW w:w="2250" w:type="dxa"/>
            <w:tcMar>
              <w:left w:w="105" w:type="dxa"/>
              <w:right w:w="105" w:type="dxa"/>
            </w:tcMar>
          </w:tcPr>
          <w:p w:rsidR="17060660" w:rsidP="37F02E9F" w:rsidRDefault="17060660" w14:paraId="7B20EFB8" w14:textId="2558C7A0">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Online meeting</w:t>
            </w:r>
          </w:p>
        </w:tc>
        <w:tc>
          <w:tcPr>
            <w:tcW w:w="2250" w:type="dxa"/>
            <w:tcMar>
              <w:left w:w="105" w:type="dxa"/>
              <w:right w:w="105" w:type="dxa"/>
            </w:tcMar>
          </w:tcPr>
          <w:p w:rsidR="17060660" w:rsidP="37F02E9F" w:rsidRDefault="17060660" w14:paraId="627D4A3C" w14:textId="6282F6A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NE</w:t>
            </w:r>
          </w:p>
        </w:tc>
        <w:tc>
          <w:tcPr>
            <w:tcW w:w="2250" w:type="dxa"/>
            <w:tcMar>
              <w:left w:w="105" w:type="dxa"/>
              <w:right w:w="105" w:type="dxa"/>
            </w:tcMar>
          </w:tcPr>
          <w:p w:rsidR="17060660" w:rsidP="37F02E9F" w:rsidRDefault="17060660" w14:paraId="4E519BB5" w14:textId="5A4FC81B">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TBC</w:t>
            </w:r>
          </w:p>
        </w:tc>
      </w:tr>
      <w:tr w:rsidR="17060660" w:rsidTr="26530995" w14:paraId="3473E115"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rsidR="17060660" w:rsidP="3BCB4A9F" w:rsidRDefault="17060660" w14:paraId="4C534AF0" w14:textId="2493DE43">
            <w:pPr>
              <w:spacing w:line="259" w:lineRule="auto"/>
              <w:rPr>
                <w:rFonts w:asciiTheme="majorHAnsi" w:hAnsiTheme="majorHAnsi" w:eastAsiaTheme="majorEastAsia" w:cstheme="majorBidi"/>
                <w:szCs w:val="24"/>
              </w:rPr>
            </w:pPr>
          </w:p>
          <w:p w:rsidR="17060660" w:rsidP="3BCB4A9F" w:rsidRDefault="17060660" w14:paraId="2B2D15B9" w14:textId="332716A7">
            <w:pPr>
              <w:spacing w:line="259" w:lineRule="auto"/>
              <w:rPr>
                <w:rFonts w:asciiTheme="majorHAnsi" w:hAnsiTheme="majorHAnsi" w:eastAsiaTheme="majorEastAsia" w:cstheme="majorBidi"/>
                <w:szCs w:val="24"/>
              </w:rPr>
            </w:pPr>
          </w:p>
          <w:p w:rsidR="17060660" w:rsidP="37F02E9F" w:rsidRDefault="17060660" w14:paraId="7803C76B" w14:textId="1C135B10">
            <w:pPr>
              <w:spacing w:line="259" w:lineRule="auto"/>
              <w:rPr>
                <w:rFonts w:asciiTheme="majorHAnsi" w:hAnsiTheme="majorHAnsi" w:eastAsiaTheme="majorEastAsia" w:cstheme="majorBidi"/>
                <w:szCs w:val="24"/>
              </w:rPr>
            </w:pPr>
            <w:r w:rsidRPr="37F02E9F">
              <w:rPr>
                <w:rFonts w:asciiTheme="majorHAnsi" w:hAnsiTheme="majorHAnsi" w:eastAsiaTheme="majorEastAsia" w:cstheme="majorBidi"/>
                <w:b w:val="0"/>
                <w:szCs w:val="24"/>
              </w:rPr>
              <w:t>Information gathering</w:t>
            </w:r>
          </w:p>
        </w:tc>
        <w:tc>
          <w:tcPr>
            <w:tcW w:w="2250" w:type="dxa"/>
            <w:tcMar>
              <w:left w:w="105" w:type="dxa"/>
              <w:right w:w="105" w:type="dxa"/>
            </w:tcMar>
          </w:tcPr>
          <w:p w:rsidR="17060660" w:rsidP="37F02E9F" w:rsidRDefault="17060660" w14:paraId="23B68C70" w14:textId="51B37B2E">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Workshop with stakeholders from the National Beaver Forum</w:t>
            </w:r>
          </w:p>
        </w:tc>
        <w:tc>
          <w:tcPr>
            <w:tcW w:w="2250" w:type="dxa"/>
            <w:tcMar>
              <w:left w:w="105" w:type="dxa"/>
              <w:right w:w="105" w:type="dxa"/>
            </w:tcMar>
          </w:tcPr>
          <w:p w:rsidR="17060660" w:rsidP="37F02E9F" w:rsidRDefault="17060660" w14:paraId="21EB070E" w14:textId="1572BCEE">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Supplier</w:t>
            </w:r>
          </w:p>
        </w:tc>
        <w:tc>
          <w:tcPr>
            <w:tcW w:w="2250" w:type="dxa"/>
            <w:tcMar>
              <w:left w:w="105" w:type="dxa"/>
              <w:right w:w="105" w:type="dxa"/>
            </w:tcMar>
          </w:tcPr>
          <w:p w:rsidR="17060660" w:rsidP="349ADF15" w:rsidRDefault="00C4EAEB" w14:paraId="77EDAF00" w14:textId="632D106D">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rPr>
            </w:pPr>
            <w:r w:rsidRPr="349ADF15">
              <w:rPr>
                <w:rFonts w:asciiTheme="majorHAnsi" w:hAnsiTheme="majorHAnsi" w:eastAsiaTheme="majorEastAsia" w:cstheme="majorBidi"/>
              </w:rPr>
              <w:t>TBC</w:t>
            </w:r>
          </w:p>
        </w:tc>
      </w:tr>
      <w:tr w:rsidR="17060660" w:rsidTr="26530995" w14:paraId="0A6E2424"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rsidR="004263B4" w:rsidRDefault="004263B4" w14:paraId="7A7C43F0" w14:textId="77777777"/>
        </w:tc>
        <w:tc>
          <w:tcPr>
            <w:tcW w:w="2250" w:type="dxa"/>
            <w:tcMar>
              <w:left w:w="105" w:type="dxa"/>
              <w:right w:w="105" w:type="dxa"/>
            </w:tcMar>
          </w:tcPr>
          <w:p w:rsidR="17060660" w:rsidP="37F02E9F" w:rsidRDefault="17060660" w14:paraId="1CAEC48D" w14:textId="7B8DD8A4">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Brief report of the workshop analysis</w:t>
            </w:r>
          </w:p>
        </w:tc>
        <w:tc>
          <w:tcPr>
            <w:tcW w:w="2250" w:type="dxa"/>
            <w:tcMar>
              <w:left w:w="105" w:type="dxa"/>
              <w:right w:w="105" w:type="dxa"/>
            </w:tcMar>
          </w:tcPr>
          <w:p w:rsidR="17060660" w:rsidP="37F02E9F" w:rsidRDefault="17060660" w14:paraId="7A74D5C9" w14:textId="6919BED8">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Supplier</w:t>
            </w:r>
          </w:p>
        </w:tc>
        <w:tc>
          <w:tcPr>
            <w:tcW w:w="2250" w:type="dxa"/>
            <w:tcMar>
              <w:left w:w="105" w:type="dxa"/>
              <w:right w:w="105" w:type="dxa"/>
            </w:tcMar>
          </w:tcPr>
          <w:p w:rsidR="17060660" w:rsidP="26530995" w:rsidRDefault="7391CA17" w14:paraId="59226DCF" w14:textId="689CBBA5">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rPr>
            </w:pPr>
            <w:r w:rsidRPr="26530995">
              <w:rPr>
                <w:rFonts w:asciiTheme="majorHAnsi" w:hAnsiTheme="majorHAnsi" w:eastAsiaTheme="majorEastAsia" w:cstheme="majorBidi"/>
              </w:rPr>
              <w:t>10</w:t>
            </w:r>
            <w:r w:rsidRPr="26530995" w:rsidR="17060660">
              <w:rPr>
                <w:rFonts w:asciiTheme="majorHAnsi" w:hAnsiTheme="majorHAnsi" w:eastAsiaTheme="majorEastAsia" w:cstheme="majorBidi"/>
              </w:rPr>
              <w:t>/</w:t>
            </w:r>
            <w:r w:rsidRPr="26530995" w:rsidR="0AD9EA81">
              <w:rPr>
                <w:rFonts w:asciiTheme="majorHAnsi" w:hAnsiTheme="majorHAnsi" w:eastAsiaTheme="majorEastAsia" w:cstheme="majorBidi"/>
              </w:rPr>
              <w:t>01</w:t>
            </w:r>
            <w:r w:rsidRPr="26530995" w:rsidR="17060660">
              <w:rPr>
                <w:rFonts w:asciiTheme="majorHAnsi" w:hAnsiTheme="majorHAnsi" w:eastAsiaTheme="majorEastAsia" w:cstheme="majorBidi"/>
              </w:rPr>
              <w:t>/202</w:t>
            </w:r>
            <w:r w:rsidRPr="26530995" w:rsidR="06C9C6B8">
              <w:rPr>
                <w:rFonts w:asciiTheme="majorHAnsi" w:hAnsiTheme="majorHAnsi" w:eastAsiaTheme="majorEastAsia" w:cstheme="majorBidi"/>
              </w:rPr>
              <w:t>5</w:t>
            </w:r>
          </w:p>
        </w:tc>
      </w:tr>
      <w:tr w:rsidR="17060660" w:rsidTr="26530995" w14:paraId="270A4B32"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rsidR="17060660" w:rsidP="3BCB4A9F" w:rsidRDefault="17060660" w14:paraId="31839C9D" w14:textId="40122F13">
            <w:pPr>
              <w:spacing w:line="259" w:lineRule="auto"/>
              <w:rPr>
                <w:rFonts w:asciiTheme="majorHAnsi" w:hAnsiTheme="majorHAnsi" w:eastAsiaTheme="majorEastAsia" w:cstheme="majorBidi"/>
                <w:szCs w:val="24"/>
              </w:rPr>
            </w:pPr>
          </w:p>
          <w:p w:rsidR="17060660" w:rsidP="3BCB4A9F" w:rsidRDefault="17060660" w14:paraId="73E6DBC9" w14:textId="195B12E9">
            <w:pPr>
              <w:spacing w:line="259" w:lineRule="auto"/>
              <w:rPr>
                <w:rFonts w:asciiTheme="majorHAnsi" w:hAnsiTheme="majorHAnsi" w:eastAsiaTheme="majorEastAsia" w:cstheme="majorBidi"/>
                <w:szCs w:val="24"/>
              </w:rPr>
            </w:pPr>
          </w:p>
          <w:p w:rsidR="17060660" w:rsidP="37F02E9F" w:rsidRDefault="17060660" w14:paraId="2906CAAD" w14:textId="703206A5">
            <w:pPr>
              <w:spacing w:line="259" w:lineRule="auto"/>
              <w:rPr>
                <w:rFonts w:asciiTheme="majorHAnsi" w:hAnsiTheme="majorHAnsi" w:eastAsiaTheme="majorEastAsia" w:cstheme="majorBidi"/>
                <w:szCs w:val="24"/>
              </w:rPr>
            </w:pPr>
            <w:r w:rsidRPr="37F02E9F">
              <w:rPr>
                <w:rFonts w:asciiTheme="majorHAnsi" w:hAnsiTheme="majorHAnsi" w:eastAsiaTheme="majorEastAsia" w:cstheme="majorBidi"/>
                <w:b w:val="0"/>
                <w:szCs w:val="24"/>
              </w:rPr>
              <w:t>Analysis of funding approaches</w:t>
            </w:r>
          </w:p>
        </w:tc>
        <w:tc>
          <w:tcPr>
            <w:tcW w:w="2250" w:type="dxa"/>
            <w:tcMar>
              <w:left w:w="105" w:type="dxa"/>
              <w:right w:w="105" w:type="dxa"/>
            </w:tcMar>
          </w:tcPr>
          <w:p w:rsidR="17060660" w:rsidP="37F02E9F" w:rsidRDefault="17060660" w14:paraId="0608AED9" w14:textId="20C26F56">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Final draft report</w:t>
            </w:r>
          </w:p>
        </w:tc>
        <w:tc>
          <w:tcPr>
            <w:tcW w:w="2250" w:type="dxa"/>
            <w:tcMar>
              <w:left w:w="105" w:type="dxa"/>
              <w:right w:w="105" w:type="dxa"/>
            </w:tcMar>
          </w:tcPr>
          <w:p w:rsidR="17060660" w:rsidP="37F02E9F" w:rsidRDefault="17060660" w14:paraId="4EA14BDE" w14:textId="66C49F88">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Supplier</w:t>
            </w:r>
          </w:p>
        </w:tc>
        <w:tc>
          <w:tcPr>
            <w:tcW w:w="2250" w:type="dxa"/>
            <w:tcMar>
              <w:left w:w="105" w:type="dxa"/>
              <w:right w:w="105" w:type="dxa"/>
            </w:tcMar>
          </w:tcPr>
          <w:p w:rsidR="17060660" w:rsidP="37F02E9F" w:rsidRDefault="17060660" w14:paraId="77A08999" w14:textId="2060BC81">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14/02/2025</w:t>
            </w:r>
          </w:p>
        </w:tc>
      </w:tr>
      <w:tr w:rsidR="17060660" w:rsidTr="26530995" w14:paraId="42664CDE"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rsidR="004263B4" w:rsidRDefault="004263B4" w14:paraId="20704C9E" w14:textId="77777777"/>
        </w:tc>
        <w:tc>
          <w:tcPr>
            <w:tcW w:w="2250" w:type="dxa"/>
            <w:tcMar>
              <w:left w:w="105" w:type="dxa"/>
              <w:right w:w="105" w:type="dxa"/>
            </w:tcMar>
          </w:tcPr>
          <w:p w:rsidR="17060660" w:rsidP="37F02E9F" w:rsidRDefault="17060660" w14:paraId="13683A39" w14:textId="2D96BA20">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Review of final draft report</w:t>
            </w:r>
          </w:p>
        </w:tc>
        <w:tc>
          <w:tcPr>
            <w:tcW w:w="2250" w:type="dxa"/>
            <w:tcMar>
              <w:left w:w="105" w:type="dxa"/>
              <w:right w:w="105" w:type="dxa"/>
            </w:tcMar>
          </w:tcPr>
          <w:p w:rsidR="17060660" w:rsidP="37F02E9F" w:rsidRDefault="17060660" w14:paraId="769B9BE5" w14:textId="1005C2A0">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NE</w:t>
            </w:r>
          </w:p>
        </w:tc>
        <w:tc>
          <w:tcPr>
            <w:tcW w:w="2250" w:type="dxa"/>
            <w:tcMar>
              <w:left w:w="105" w:type="dxa"/>
              <w:right w:w="105" w:type="dxa"/>
            </w:tcMar>
          </w:tcPr>
          <w:p w:rsidR="17060660" w:rsidP="37F02E9F" w:rsidRDefault="17060660" w14:paraId="0FB2830B" w14:textId="4A6A9C2B">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28/02/2025</w:t>
            </w:r>
          </w:p>
        </w:tc>
      </w:tr>
      <w:tr w:rsidR="17060660" w:rsidTr="26530995" w14:paraId="66BDAA07"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rsidR="004263B4" w:rsidRDefault="004263B4" w14:paraId="6EF0941F" w14:textId="77777777"/>
        </w:tc>
        <w:tc>
          <w:tcPr>
            <w:tcW w:w="2250" w:type="dxa"/>
            <w:tcMar>
              <w:left w:w="105" w:type="dxa"/>
              <w:right w:w="105" w:type="dxa"/>
            </w:tcMar>
          </w:tcPr>
          <w:p w:rsidR="17060660" w:rsidP="37F02E9F" w:rsidRDefault="17060660" w14:paraId="4293006D" w14:textId="46A65746">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Final report</w:t>
            </w:r>
          </w:p>
        </w:tc>
        <w:tc>
          <w:tcPr>
            <w:tcW w:w="2250" w:type="dxa"/>
            <w:tcMar>
              <w:left w:w="105" w:type="dxa"/>
              <w:right w:w="105" w:type="dxa"/>
            </w:tcMar>
          </w:tcPr>
          <w:p w:rsidR="17060660" w:rsidP="37F02E9F" w:rsidRDefault="17060660" w14:paraId="45204630" w14:textId="0B6ADFA8">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Supplier</w:t>
            </w:r>
          </w:p>
        </w:tc>
        <w:tc>
          <w:tcPr>
            <w:tcW w:w="2250" w:type="dxa"/>
            <w:tcMar>
              <w:left w:w="105" w:type="dxa"/>
              <w:right w:w="105" w:type="dxa"/>
            </w:tcMar>
          </w:tcPr>
          <w:p w:rsidR="17060660" w:rsidP="37F02E9F" w:rsidRDefault="17060660" w14:paraId="3D856477" w14:textId="65823105">
            <w:pPr>
              <w:spacing w:line="259" w:lineRule="auto"/>
              <w:cnfStyle w:val="000000010000" w:firstRow="0" w:lastRow="0" w:firstColumn="0" w:lastColumn="0" w:oddVBand="0" w:evenVBand="0" w:oddHBand="0" w:evenHBand="1"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14/03/2025</w:t>
            </w:r>
          </w:p>
        </w:tc>
      </w:tr>
      <w:tr w:rsidR="17060660" w:rsidTr="26530995" w14:paraId="70D120A8" w14:textId="77777777">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rsidR="004263B4" w:rsidRDefault="004263B4" w14:paraId="4FCD5C8D" w14:textId="77777777"/>
        </w:tc>
        <w:tc>
          <w:tcPr>
            <w:tcW w:w="2250" w:type="dxa"/>
            <w:tcMar>
              <w:left w:w="105" w:type="dxa"/>
              <w:right w:w="105" w:type="dxa"/>
            </w:tcMar>
          </w:tcPr>
          <w:p w:rsidR="17060660" w:rsidP="37F02E9F" w:rsidRDefault="17060660" w14:paraId="75C437A4" w14:textId="02779B15">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Online meeting to share a summary of the report with the National Beaver Forum and NE Beaver Project</w:t>
            </w:r>
          </w:p>
        </w:tc>
        <w:tc>
          <w:tcPr>
            <w:tcW w:w="2250" w:type="dxa"/>
            <w:tcMar>
              <w:left w:w="105" w:type="dxa"/>
              <w:right w:w="105" w:type="dxa"/>
            </w:tcMar>
          </w:tcPr>
          <w:p w:rsidR="17060660" w:rsidP="37F02E9F" w:rsidRDefault="17060660" w14:paraId="1FD84299" w14:textId="26AA1087">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Supplier</w:t>
            </w:r>
          </w:p>
        </w:tc>
        <w:tc>
          <w:tcPr>
            <w:tcW w:w="2250" w:type="dxa"/>
            <w:tcMar>
              <w:left w:w="105" w:type="dxa"/>
              <w:right w:w="105" w:type="dxa"/>
            </w:tcMar>
          </w:tcPr>
          <w:p w:rsidR="17060660" w:rsidP="37F02E9F" w:rsidRDefault="17060660" w14:paraId="04C7B0BC" w14:textId="3FD9D478">
            <w:pPr>
              <w:spacing w:line="259" w:lineRule="auto"/>
              <w:cnfStyle w:val="000000000000" w:firstRow="0" w:lastRow="0" w:firstColumn="0" w:lastColumn="0" w:oddVBand="0" w:evenVBand="0" w:oddHBand="0" w:evenHBand="0" w:firstRowFirstColumn="0" w:firstRowLastColumn="0" w:lastRowFirstColumn="0" w:lastRowLastColumn="0"/>
              <w:rPr>
                <w:rFonts w:asciiTheme="majorHAnsi" w:hAnsiTheme="majorHAnsi" w:eastAsiaTheme="majorEastAsia" w:cstheme="majorBidi"/>
                <w:szCs w:val="24"/>
              </w:rPr>
            </w:pPr>
            <w:r w:rsidRPr="37F02E9F">
              <w:rPr>
                <w:rFonts w:asciiTheme="majorHAnsi" w:hAnsiTheme="majorHAnsi" w:eastAsiaTheme="majorEastAsia" w:cstheme="majorBidi"/>
                <w:szCs w:val="24"/>
              </w:rPr>
              <w:t>TBC</w:t>
            </w:r>
          </w:p>
        </w:tc>
      </w:tr>
    </w:tbl>
    <w:p w:rsidR="17060660" w:rsidP="3BCB4A9F" w:rsidRDefault="17060660" w14:paraId="1C30249C" w14:textId="0DD975BD">
      <w:pPr>
        <w:spacing w:after="160" w:line="259" w:lineRule="auto"/>
        <w:rPr>
          <w:rFonts w:asciiTheme="majorHAnsi" w:hAnsiTheme="majorHAnsi" w:eastAsiaTheme="majorEastAsia" w:cstheme="majorBidi"/>
          <w:color w:val="000000" w:themeColor="text1"/>
          <w:szCs w:val="24"/>
        </w:rPr>
      </w:pPr>
    </w:p>
    <w:p w:rsidR="1B092C82" w:rsidP="3BCB4A9F" w:rsidRDefault="1B092C82" w14:paraId="4319978C" w14:textId="6E4E0701">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b/>
          <w:bCs/>
          <w:color w:val="000000" w:themeColor="text1"/>
          <w:szCs w:val="24"/>
        </w:rPr>
        <w:t>Contract management</w:t>
      </w:r>
      <w:r>
        <w:tab/>
      </w:r>
    </w:p>
    <w:p w:rsidR="1B092C82" w:rsidP="3BCB4A9F" w:rsidRDefault="1B092C82" w14:paraId="6C71F12D" w14:textId="5B93E6D4">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Advertised on Contract Finder (expected cost £35,000 - £49,999)</w:t>
      </w:r>
    </w:p>
    <w:p w:rsidR="1B092C82" w:rsidP="418B3B92" w:rsidRDefault="1B092C82" w14:paraId="361B9199" w14:textId="24EFAF44">
      <w:pPr>
        <w:spacing w:after="160" w:line="259" w:lineRule="auto"/>
        <w:rPr>
          <w:rFonts w:ascii="Arial" w:hAnsi="Arial" w:eastAsia="" w:cs="" w:asciiTheme="majorAscii" w:hAnsiTheme="majorAscii" w:eastAsiaTheme="majorEastAsia" w:cstheme="majorBidi"/>
          <w:color w:val="000000" w:themeColor="text1"/>
        </w:rPr>
      </w:pPr>
      <w:r w:rsidRPr="418B3B92" w:rsidR="1B092C82">
        <w:rPr>
          <w:rFonts w:ascii="Arial" w:hAnsi="Arial" w:eastAsia="" w:cs="" w:asciiTheme="majorAscii" w:hAnsiTheme="majorAscii" w:eastAsiaTheme="majorEastAsia" w:cstheme="majorBidi"/>
          <w:color w:val="000000" w:themeColor="text1" w:themeTint="FF" w:themeShade="FF"/>
        </w:rPr>
        <w:t xml:space="preserve">W/C </w:t>
      </w:r>
      <w:r w:rsidRPr="418B3B92" w:rsidR="50DB1BD0">
        <w:rPr>
          <w:rFonts w:ascii="Arial" w:hAnsi="Arial" w:eastAsia="" w:cs="" w:asciiTheme="majorAscii" w:hAnsiTheme="majorAscii" w:eastAsiaTheme="majorEastAsia" w:cstheme="majorBidi"/>
          <w:color w:val="000000" w:themeColor="text1" w:themeTint="FF" w:themeShade="FF"/>
        </w:rPr>
        <w:t>11</w:t>
      </w:r>
      <w:r w:rsidRPr="418B3B92" w:rsidR="65B22718">
        <w:rPr>
          <w:rFonts w:ascii="Arial" w:hAnsi="Arial" w:eastAsia="" w:cs="" w:asciiTheme="majorAscii" w:hAnsiTheme="majorAscii" w:eastAsiaTheme="majorEastAsia" w:cstheme="majorBidi"/>
          <w:color w:val="000000" w:themeColor="text1" w:themeTint="FF" w:themeShade="FF"/>
        </w:rPr>
        <w:t xml:space="preserve"> November</w:t>
      </w:r>
      <w:r w:rsidRPr="418B3B92" w:rsidR="1B092C82">
        <w:rPr>
          <w:rFonts w:ascii="Arial" w:hAnsi="Arial" w:eastAsia="" w:cs="" w:asciiTheme="majorAscii" w:hAnsiTheme="majorAscii" w:eastAsiaTheme="majorEastAsia" w:cstheme="majorBidi"/>
          <w:color w:val="000000" w:themeColor="text1" w:themeTint="FF" w:themeShade="FF"/>
        </w:rPr>
        <w:t xml:space="preserve"> – Start up meeting between the NE steering group and supplier.</w:t>
      </w:r>
    </w:p>
    <w:p w:rsidR="1B092C82" w:rsidP="3BCB4A9F" w:rsidRDefault="1B092C82" w14:paraId="0FBE7F61" w14:textId="7CA75E3D">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Fortnightly teleconferences with the steering group thereafter.</w:t>
      </w:r>
    </w:p>
    <w:p w:rsidR="17060660" w:rsidP="3BCB4A9F" w:rsidRDefault="1B092C82" w14:paraId="779ABAD9" w14:textId="781FBC24">
      <w:pPr>
        <w:spacing w:after="160" w:line="259" w:lineRule="auto"/>
        <w:rPr>
          <w:rFonts w:asciiTheme="majorHAnsi" w:hAnsiTheme="majorHAnsi" w:eastAsiaTheme="majorEastAsia" w:cstheme="majorBidi"/>
          <w:color w:val="000000" w:themeColor="text1"/>
          <w:szCs w:val="24"/>
        </w:rPr>
      </w:pPr>
      <w:r w:rsidRPr="3BCB4A9F">
        <w:rPr>
          <w:rFonts w:asciiTheme="majorHAnsi" w:hAnsiTheme="majorHAnsi" w:eastAsiaTheme="majorEastAsia" w:cstheme="majorBidi"/>
          <w:color w:val="000000" w:themeColor="text1"/>
          <w:szCs w:val="24"/>
        </w:rPr>
        <w:t>Natural England will provide the contact details of the National Beaver Forum members to the supplier and set up a workshop or invite the supplier to a scheduled meeting.</w:t>
      </w:r>
    </w:p>
    <w:p w:rsidRPr="001F5026" w:rsidR="00EB23A0" w:rsidP="00EB23A0" w:rsidRDefault="00EB23A0" w14:paraId="14D4DAFA" w14:textId="77777777">
      <w:pPr>
        <w:pStyle w:val="Subheading"/>
      </w:pPr>
      <w:r w:rsidRPr="001F5026">
        <w:t>Payment</w:t>
      </w:r>
    </w:p>
    <w:p w:rsidRPr="001F5026" w:rsidR="00EB23A0" w:rsidP="00EB23A0" w:rsidRDefault="00EB23A0" w14:paraId="44E1692F" w14:textId="77777777">
      <w:r w:rsidRPr="001F5026">
        <w:t xml:space="preserve">The Authority will raise purchase orders to cover the cost of the services and will issue to the awarded supplier following contract award. </w:t>
      </w:r>
    </w:p>
    <w:p w:rsidRPr="00AD0B2A" w:rsidR="00EB23A0" w:rsidP="00CDC568" w:rsidRDefault="00EB23A0" w14:paraId="1E943775" w14:textId="356AC376">
      <w:pPr>
        <w:rPr>
          <w:rStyle w:val="Important"/>
          <w:color w:val="auto"/>
        </w:rPr>
      </w:pPr>
      <w:r>
        <w:t xml:space="preserve">The Authority’s preference is for all invoices to be sent electronically, quoting a valid Purchase Order number. </w:t>
      </w:r>
      <w:r w:rsidRPr="00CDC568" w:rsidR="4D6E05BD">
        <w:rPr>
          <w:rStyle w:val="Important"/>
          <w:b w:val="0"/>
          <w:color w:val="auto"/>
        </w:rPr>
        <w:t xml:space="preserve">An invoice can be raised on completion of the </w:t>
      </w:r>
      <w:r w:rsidRPr="00CDC568" w:rsidR="17D5E082">
        <w:rPr>
          <w:rStyle w:val="Important"/>
          <w:b w:val="0"/>
          <w:color w:val="auto"/>
        </w:rPr>
        <w:t>following milestones:</w:t>
      </w:r>
    </w:p>
    <w:p w:rsidRPr="00AD0B2A" w:rsidR="00EB23A0" w:rsidP="00021919" w:rsidRDefault="1ACFCCE2" w14:paraId="168D0B0A" w14:textId="52BC4375">
      <w:pPr>
        <w:pStyle w:val="ListParagraph"/>
        <w:numPr>
          <w:ilvl w:val="0"/>
          <w:numId w:val="18"/>
        </w:numPr>
        <w:rPr>
          <w:rStyle w:val="Important"/>
          <w:b w:val="0"/>
          <w:color w:val="auto"/>
        </w:rPr>
      </w:pPr>
      <w:r w:rsidRPr="143B9125">
        <w:rPr>
          <w:rStyle w:val="Important"/>
          <w:b w:val="0"/>
          <w:color w:val="auto"/>
        </w:rPr>
        <w:t>Brief</w:t>
      </w:r>
      <w:r w:rsidRPr="143B9125" w:rsidR="75BC5FD0">
        <w:rPr>
          <w:rStyle w:val="Important"/>
          <w:b w:val="0"/>
          <w:color w:val="auto"/>
        </w:rPr>
        <w:t xml:space="preserve"> </w:t>
      </w:r>
      <w:r w:rsidRPr="143B9125" w:rsidR="17D5E082">
        <w:rPr>
          <w:rStyle w:val="Important"/>
          <w:b w:val="0"/>
          <w:color w:val="auto"/>
        </w:rPr>
        <w:t xml:space="preserve">report </w:t>
      </w:r>
      <w:r w:rsidRPr="143B9125" w:rsidR="41CE9281">
        <w:rPr>
          <w:rStyle w:val="Important"/>
          <w:b w:val="0"/>
          <w:color w:val="auto"/>
        </w:rPr>
        <w:t>of the workshop analysis – 25%</w:t>
      </w:r>
    </w:p>
    <w:p w:rsidR="41CE9281" w:rsidP="00021919" w:rsidRDefault="41CE9281" w14:paraId="1891A137" w14:textId="33DE23E6">
      <w:pPr>
        <w:pStyle w:val="ListParagraph"/>
        <w:numPr>
          <w:ilvl w:val="0"/>
          <w:numId w:val="18"/>
        </w:numPr>
        <w:rPr>
          <w:rStyle w:val="Important"/>
          <w:b w:val="0"/>
          <w:color w:val="auto"/>
        </w:rPr>
      </w:pPr>
      <w:r w:rsidRPr="0DDE6410">
        <w:rPr>
          <w:rStyle w:val="Important"/>
          <w:b w:val="0"/>
          <w:color w:val="auto"/>
        </w:rPr>
        <w:t>Receipt of the final draft report – 25%</w:t>
      </w:r>
    </w:p>
    <w:p w:rsidR="41CE9281" w:rsidP="00021919" w:rsidRDefault="41CE9281" w14:paraId="04FFC8EA" w14:textId="5073859E">
      <w:pPr>
        <w:pStyle w:val="ListParagraph"/>
        <w:numPr>
          <w:ilvl w:val="0"/>
          <w:numId w:val="18"/>
        </w:numPr>
        <w:rPr>
          <w:rStyle w:val="Important"/>
          <w:b w:val="0"/>
          <w:color w:val="auto"/>
        </w:rPr>
      </w:pPr>
      <w:r w:rsidRPr="143B9125">
        <w:rPr>
          <w:rStyle w:val="Important"/>
          <w:b w:val="0"/>
          <w:color w:val="auto"/>
        </w:rPr>
        <w:t>Receipt of the final report – 50%</w:t>
      </w:r>
    </w:p>
    <w:p w:rsidRPr="001F5026" w:rsidR="00EB23A0" w:rsidP="00EB23A0" w:rsidRDefault="00EB23A0" w14:paraId="3BED45BE" w14:textId="1291EAD4">
      <w:r>
        <w:t>It is anticipated that this contract will be awarded for a period</w:t>
      </w:r>
      <w:r w:rsidRPr="1DAA2B99">
        <w:rPr>
          <w:rStyle w:val="Text"/>
        </w:rPr>
        <w:t xml:space="preserve"> of</w:t>
      </w:r>
      <w:r w:rsidRPr="1DAA2B99">
        <w:rPr>
          <w:rStyle w:val="Important"/>
        </w:rPr>
        <w:t xml:space="preserve"> </w:t>
      </w:r>
      <w:r w:rsidRPr="1DAA2B99" w:rsidR="6C30F30A">
        <w:rPr>
          <w:rStyle w:val="Important"/>
          <w:b w:val="0"/>
          <w:color w:val="auto"/>
        </w:rPr>
        <w:t>four</w:t>
      </w:r>
      <w:r w:rsidRPr="1DAA2B99" w:rsidR="008F235E">
        <w:rPr>
          <w:rStyle w:val="Important"/>
          <w:b w:val="0"/>
          <w:color w:val="auto"/>
        </w:rPr>
        <w:t xml:space="preserve"> </w:t>
      </w:r>
      <w:r w:rsidRPr="1DAA2B99">
        <w:rPr>
          <w:rStyle w:val="Important"/>
          <w:b w:val="0"/>
          <w:color w:val="auto"/>
        </w:rPr>
        <w:t>months</w:t>
      </w:r>
      <w:r w:rsidRPr="1DAA2B99">
        <w:rPr>
          <w:rStyle w:val="Important"/>
          <w:color w:val="auto"/>
        </w:rPr>
        <w:t xml:space="preserve"> </w:t>
      </w:r>
      <w:r>
        <w:t xml:space="preserve">to end no later than </w:t>
      </w:r>
      <w:r w:rsidRPr="1DAA2B99" w:rsidR="00DB3AD1">
        <w:rPr>
          <w:rStyle w:val="Important"/>
          <w:b w:val="0"/>
          <w:color w:val="auto"/>
        </w:rPr>
        <w:t>21/03/2025</w:t>
      </w:r>
      <w:r w:rsidRPr="1DAA2B99">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Pr="001F5026" w:rsidR="00EB23A0" w:rsidP="00EB23A0" w:rsidRDefault="00EB23A0" w14:paraId="18994BF7" w14:textId="77777777">
      <w:pPr>
        <w:pStyle w:val="Subheading"/>
      </w:pPr>
      <w:r w:rsidRPr="001F5026">
        <w:t xml:space="preserve">Evaluation Methodology  </w:t>
      </w:r>
    </w:p>
    <w:p w:rsidRPr="001F5026" w:rsidR="00EB23A0" w:rsidP="00EB23A0" w:rsidRDefault="00EB23A0" w14:paraId="279251E4" w14:textId="77777777">
      <w:r w:rsidRPr="001F5026">
        <w:t>We will award this contract in line with the most economically advantageous tender (MEAT) as set out in the following award criteria:</w:t>
      </w:r>
    </w:p>
    <w:p w:rsidRPr="001F5026" w:rsidR="00EB23A0" w:rsidP="00EB23A0" w:rsidRDefault="00EB23A0" w14:paraId="7C1163D5" w14:textId="40859FA9">
      <w:r>
        <w:t xml:space="preserve">Technical – </w:t>
      </w:r>
      <w:r w:rsidR="131F28AF">
        <w:t>6</w:t>
      </w:r>
      <w:r w:rsidRPr="2ED9320B" w:rsidR="00D136A5">
        <w:rPr>
          <w:rStyle w:val="Important"/>
          <w:b w:val="0"/>
          <w:color w:val="auto"/>
        </w:rPr>
        <w:t>0</w:t>
      </w:r>
      <w:r>
        <w:t>%</w:t>
      </w:r>
    </w:p>
    <w:p w:rsidRPr="001F5026" w:rsidR="00EB23A0" w:rsidP="00EB23A0" w:rsidRDefault="00EB23A0" w14:paraId="422FE966" w14:textId="35A6A830">
      <w:r>
        <w:t xml:space="preserve">Commercial – </w:t>
      </w:r>
      <w:r w:rsidR="268BFCC5">
        <w:t>4</w:t>
      </w:r>
      <w:r w:rsidRPr="2ED9320B" w:rsidR="003708EB">
        <w:rPr>
          <w:rStyle w:val="Important"/>
          <w:b w:val="0"/>
          <w:color w:val="auto"/>
        </w:rPr>
        <w:t>0</w:t>
      </w:r>
      <w:r>
        <w:t>%</w:t>
      </w:r>
    </w:p>
    <w:p w:rsidRPr="009F2992" w:rsidR="00EB23A0" w:rsidP="00E92897" w:rsidRDefault="00EB23A0" w14:paraId="50EDD8A7" w14:textId="7818EB2E">
      <w:pPr>
        <w:rPr>
          <w:rStyle w:val="Boldtext"/>
        </w:rPr>
      </w:pPr>
      <w:r w:rsidRPr="009F2992">
        <w:rPr>
          <w:rStyle w:val="Boldtext"/>
        </w:rPr>
        <w:t>Evaluation criteria</w:t>
      </w:r>
    </w:p>
    <w:p w:rsidRPr="003072A6" w:rsidR="0066738D" w:rsidP="00EB23A0" w:rsidRDefault="00EB23A0" w14:paraId="15C56706" w14:textId="7DED2C11">
      <w:pPr>
        <w:rPr>
          <w:rStyle w:val="Important"/>
          <w:rFonts w:cs="Times New Roman"/>
          <w:b w:val="0"/>
          <w:color w:val="auto"/>
        </w:rPr>
      </w:pPr>
      <w:r>
        <w:t xml:space="preserve">Evaluation weightings are </w:t>
      </w:r>
      <w:r w:rsidR="614A6BD9">
        <w:t>6</w:t>
      </w:r>
      <w:r w:rsidRPr="2ED9320B" w:rsidR="002F0DF3">
        <w:rPr>
          <w:rStyle w:val="Important"/>
          <w:b w:val="0"/>
          <w:color w:val="auto"/>
        </w:rPr>
        <w:t>0</w:t>
      </w:r>
      <w:r>
        <w:t xml:space="preserve">% technical and </w:t>
      </w:r>
      <w:r w:rsidR="65BCBFD2">
        <w:t>4</w:t>
      </w:r>
      <w:r w:rsidRPr="2ED9320B" w:rsidR="002F0DF3">
        <w:rPr>
          <w:rStyle w:val="Important"/>
          <w:b w:val="0"/>
          <w:color w:val="auto"/>
        </w:rPr>
        <w:t>0</w:t>
      </w:r>
      <w: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rsidTr="22B33F42" w14:paraId="68135A81"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Pr="009F2992" w:rsidR="00EB23A0" w:rsidP="00D76DAE" w:rsidRDefault="00EB23A0" w14:paraId="4F2F0CAA" w14:textId="77777777">
            <w:r w:rsidRPr="00415608">
              <w:t>Award Criteria</w:t>
            </w:r>
          </w:p>
        </w:tc>
        <w:tc>
          <w:tcPr>
            <w:tcW w:w="1701" w:type="dxa"/>
          </w:tcPr>
          <w:p w:rsidRPr="009F2992" w:rsidR="00EB23A0" w:rsidP="00D76DAE" w:rsidRDefault="00EB23A0" w14:paraId="5B05B717" w14:textId="77777777">
            <w:r w:rsidRPr="00415608">
              <w:t>Weighting (%)</w:t>
            </w:r>
          </w:p>
        </w:tc>
        <w:tc>
          <w:tcPr>
            <w:tcW w:w="2126" w:type="dxa"/>
          </w:tcPr>
          <w:p w:rsidRPr="009F2992" w:rsidR="00EB23A0" w:rsidP="00D76DAE" w:rsidRDefault="00EB23A0" w14:paraId="054DC553" w14:textId="77777777">
            <w:r w:rsidRPr="00415608">
              <w:t>Evaluation Topic &amp; Weighting</w:t>
            </w:r>
          </w:p>
        </w:tc>
        <w:tc>
          <w:tcPr>
            <w:tcW w:w="1843" w:type="dxa"/>
          </w:tcPr>
          <w:p w:rsidRPr="009F2992" w:rsidR="00EB23A0" w:rsidP="00D76DAE" w:rsidRDefault="00EB23A0" w14:paraId="1397BE12" w14:textId="77777777">
            <w:r w:rsidRPr="00415608">
              <w:t>Sub-Criteria</w:t>
            </w:r>
          </w:p>
        </w:tc>
        <w:tc>
          <w:tcPr>
            <w:tcW w:w="2816" w:type="dxa"/>
          </w:tcPr>
          <w:p w:rsidRPr="009F2992" w:rsidR="00EB23A0" w:rsidP="00D76DAE" w:rsidRDefault="00EB23A0" w14:paraId="3F6385DE" w14:textId="77777777">
            <w:r w:rsidRPr="00415608">
              <w:t>Weighted Question</w:t>
            </w:r>
          </w:p>
        </w:tc>
      </w:tr>
      <w:tr w:rsidR="00EB23A0" w:rsidTr="22B33F42" w14:paraId="082F02A6" w14:textId="77777777">
        <w:trPr>
          <w:trHeight w:val="1736"/>
        </w:trPr>
        <w:tc>
          <w:tcPr>
            <w:tcW w:w="1838" w:type="dxa"/>
            <w:vMerge w:val="restart"/>
          </w:tcPr>
          <w:p w:rsidRPr="003072A6" w:rsidR="00EB23A0" w:rsidP="00D76DAE" w:rsidRDefault="00EB23A0" w14:paraId="4984044B" w14:textId="77777777">
            <w:pPr>
              <w:rPr>
                <w:rStyle w:val="Important"/>
                <w:b w:val="0"/>
                <w:bCs/>
              </w:rPr>
            </w:pPr>
            <w:r w:rsidRPr="003072A6">
              <w:rPr>
                <w:rStyle w:val="Important"/>
                <w:b w:val="0"/>
                <w:bCs/>
                <w:color w:val="auto"/>
              </w:rPr>
              <w:t>Technical</w:t>
            </w:r>
          </w:p>
        </w:tc>
        <w:tc>
          <w:tcPr>
            <w:tcW w:w="1701" w:type="dxa"/>
            <w:vMerge w:val="restart"/>
          </w:tcPr>
          <w:p w:rsidRPr="003072A6" w:rsidR="00EB23A0" w:rsidP="3C621DBC" w:rsidRDefault="33577084" w14:paraId="68A58DA1" w14:textId="77C922D1">
            <w:pPr>
              <w:rPr>
                <w:rStyle w:val="Important"/>
                <w:b w:val="0"/>
              </w:rPr>
            </w:pPr>
            <w:r w:rsidRPr="2ED9320B">
              <w:rPr>
                <w:rStyle w:val="Important"/>
                <w:b w:val="0"/>
                <w:color w:val="auto"/>
              </w:rPr>
              <w:t>6</w:t>
            </w:r>
            <w:r w:rsidRPr="2ED9320B" w:rsidR="00EB23A0">
              <w:rPr>
                <w:rStyle w:val="Important"/>
                <w:b w:val="0"/>
                <w:color w:val="auto"/>
              </w:rPr>
              <w:t>0%</w:t>
            </w:r>
          </w:p>
        </w:tc>
        <w:tc>
          <w:tcPr>
            <w:tcW w:w="2126" w:type="dxa"/>
            <w:vMerge w:val="restart"/>
          </w:tcPr>
          <w:p w:rsidRPr="003072A6" w:rsidR="00EB23A0" w:rsidP="00D76DAE" w:rsidRDefault="00EB23A0" w14:paraId="32375845" w14:textId="5BBF6BE3">
            <w:pPr>
              <w:rPr>
                <w:rStyle w:val="Important"/>
                <w:b w:val="0"/>
                <w:bCs/>
              </w:rPr>
            </w:pPr>
            <w:r w:rsidRPr="003072A6">
              <w:rPr>
                <w:rStyle w:val="Important"/>
                <w:b w:val="0"/>
                <w:bCs/>
                <w:color w:val="auto"/>
              </w:rPr>
              <w:t>Proposal</w:t>
            </w:r>
          </w:p>
        </w:tc>
        <w:tc>
          <w:tcPr>
            <w:tcW w:w="1843" w:type="dxa"/>
          </w:tcPr>
          <w:p w:rsidRPr="0055718A" w:rsidR="00EB23A0" w:rsidP="0055718A" w:rsidRDefault="00264CE6" w14:paraId="10420F6F" w14:textId="38C56724">
            <w:r>
              <w:t>M</w:t>
            </w:r>
            <w:r w:rsidRPr="0055718A" w:rsidR="00EB23A0">
              <w:t>ethodology</w:t>
            </w:r>
          </w:p>
        </w:tc>
        <w:tc>
          <w:tcPr>
            <w:tcW w:w="2816" w:type="dxa"/>
          </w:tcPr>
          <w:p w:rsidRPr="00342F74" w:rsidR="00EB23A0" w:rsidP="00B34937" w:rsidRDefault="00342F74" w14:paraId="5156C9EC" w14:textId="6F05B8B0">
            <w:r w:rsidRPr="00342F74">
              <w:t>1</w:t>
            </w:r>
            <w:r w:rsidRPr="00342F74" w:rsidR="00EB23A0">
              <w:t xml:space="preserve"> Question</w:t>
            </w:r>
          </w:p>
          <w:p w:rsidRPr="00342F74" w:rsidR="00EB23A0" w:rsidP="5BF378E0" w:rsidRDefault="00EB23A0" w14:paraId="0D4AC332" w14:textId="2501857D">
            <w:pPr>
              <w:rPr>
                <w:rStyle w:val="Important"/>
                <w:rFonts w:cstheme="minorBidi"/>
                <w:color w:val="000000" w:themeColor="text1"/>
              </w:rPr>
            </w:pPr>
            <w:r>
              <w:t>Q1.1 (</w:t>
            </w:r>
            <w:r w:rsidR="37862C27">
              <w:t>3</w:t>
            </w:r>
            <w:r w:rsidR="001473FB">
              <w:t>0</w:t>
            </w:r>
            <w:r>
              <w:t>% of technical score available)</w:t>
            </w:r>
          </w:p>
        </w:tc>
      </w:tr>
      <w:tr w:rsidR="00EB23A0" w:rsidTr="22B33F42" w14:paraId="2A9634C1" w14:textId="77777777">
        <w:trPr>
          <w:trHeight w:val="1396"/>
        </w:trPr>
        <w:tc>
          <w:tcPr>
            <w:tcW w:w="1838" w:type="dxa"/>
            <w:vMerge/>
          </w:tcPr>
          <w:p w:rsidRPr="003072A6" w:rsidR="00EB23A0" w:rsidP="00D76DAE" w:rsidRDefault="00EB23A0" w14:paraId="0E855799" w14:textId="77777777">
            <w:pPr>
              <w:rPr>
                <w:rStyle w:val="Important"/>
                <w:b w:val="0"/>
                <w:bCs/>
              </w:rPr>
            </w:pPr>
          </w:p>
        </w:tc>
        <w:tc>
          <w:tcPr>
            <w:tcW w:w="1701" w:type="dxa"/>
            <w:vMerge/>
          </w:tcPr>
          <w:p w:rsidRPr="003072A6" w:rsidR="00EB23A0" w:rsidP="00D76DAE" w:rsidRDefault="00EB23A0" w14:paraId="2C7E5263" w14:textId="77777777">
            <w:pPr>
              <w:rPr>
                <w:rStyle w:val="Important"/>
                <w:b w:val="0"/>
                <w:bCs/>
              </w:rPr>
            </w:pPr>
          </w:p>
        </w:tc>
        <w:tc>
          <w:tcPr>
            <w:tcW w:w="2126" w:type="dxa"/>
            <w:vMerge/>
          </w:tcPr>
          <w:p w:rsidRPr="003072A6" w:rsidR="00EB23A0" w:rsidP="00D76DAE" w:rsidRDefault="00EB23A0" w14:paraId="052B7696" w14:textId="77777777">
            <w:pPr>
              <w:rPr>
                <w:rStyle w:val="Important"/>
                <w:b w:val="0"/>
                <w:bCs/>
              </w:rPr>
            </w:pPr>
          </w:p>
        </w:tc>
        <w:tc>
          <w:tcPr>
            <w:tcW w:w="1843" w:type="dxa"/>
          </w:tcPr>
          <w:p w:rsidRPr="003072A6" w:rsidR="00EB23A0" w:rsidP="004F6DF8" w:rsidRDefault="00EB23A0" w14:paraId="6F710B11" w14:textId="77777777">
            <w:pPr>
              <w:rPr>
                <w:bCs/>
              </w:rPr>
            </w:pPr>
            <w:r w:rsidRPr="003072A6">
              <w:rPr>
                <w:bCs/>
              </w:rPr>
              <w:t>Key personnel</w:t>
            </w:r>
          </w:p>
        </w:tc>
        <w:tc>
          <w:tcPr>
            <w:tcW w:w="2816" w:type="dxa"/>
          </w:tcPr>
          <w:p w:rsidRPr="00CA7CFF" w:rsidR="00EB23A0" w:rsidP="001C169D" w:rsidRDefault="00342F74" w14:paraId="5EC27C51" w14:textId="25F89CE1">
            <w:r>
              <w:t>2</w:t>
            </w:r>
            <w:r w:rsidRPr="00CA7CFF" w:rsidR="00EB23A0">
              <w:t xml:space="preserve"> Question</w:t>
            </w:r>
            <w:r>
              <w:t>s</w:t>
            </w:r>
          </w:p>
          <w:p w:rsidR="00EB23A0" w:rsidP="00BA50AB" w:rsidRDefault="00EB23A0" w14:paraId="3A4CE88F" w14:textId="64BCC2CC">
            <w:r w:rsidRPr="00CA7CFF">
              <w:t>Q2</w:t>
            </w:r>
            <w:r w:rsidR="00342F74">
              <w:t>.1</w:t>
            </w:r>
            <w:r w:rsidRPr="00CA7CFF">
              <w:t xml:space="preserve"> (</w:t>
            </w:r>
            <w:r w:rsidR="005F17E7">
              <w:t>20</w:t>
            </w:r>
            <w:r w:rsidRPr="00CA7CFF">
              <w:t>% of technical score available)</w:t>
            </w:r>
          </w:p>
          <w:p w:rsidRPr="00CA7CFF" w:rsidR="00342F74" w:rsidP="00BA50AB" w:rsidRDefault="00F07147" w14:paraId="6628140D" w14:textId="4C675BED">
            <w:r>
              <w:t>Q2.2 (</w:t>
            </w:r>
            <w:r w:rsidR="005F17E7">
              <w:t>20</w:t>
            </w:r>
            <w:r>
              <w:t>% of technical scores available)</w:t>
            </w:r>
          </w:p>
        </w:tc>
      </w:tr>
      <w:tr w:rsidR="00EB23A0" w:rsidTr="22B33F42" w14:paraId="7DBA3F56" w14:textId="77777777">
        <w:trPr>
          <w:trHeight w:val="1710"/>
        </w:trPr>
        <w:tc>
          <w:tcPr>
            <w:tcW w:w="1838" w:type="dxa"/>
            <w:vMerge/>
          </w:tcPr>
          <w:p w:rsidRPr="003072A6" w:rsidR="00EB23A0" w:rsidP="00D76DAE" w:rsidRDefault="00EB23A0" w14:paraId="5F729785" w14:textId="77777777">
            <w:pPr>
              <w:rPr>
                <w:rStyle w:val="Important"/>
                <w:b w:val="0"/>
                <w:bCs/>
              </w:rPr>
            </w:pPr>
          </w:p>
        </w:tc>
        <w:tc>
          <w:tcPr>
            <w:tcW w:w="1701" w:type="dxa"/>
            <w:vMerge/>
          </w:tcPr>
          <w:p w:rsidRPr="003072A6" w:rsidR="00EB23A0" w:rsidP="00D76DAE" w:rsidRDefault="00EB23A0" w14:paraId="4A2BA720" w14:textId="77777777">
            <w:pPr>
              <w:rPr>
                <w:rStyle w:val="Important"/>
                <w:b w:val="0"/>
                <w:bCs/>
              </w:rPr>
            </w:pPr>
          </w:p>
        </w:tc>
        <w:tc>
          <w:tcPr>
            <w:tcW w:w="2126" w:type="dxa"/>
            <w:vMerge/>
          </w:tcPr>
          <w:p w:rsidRPr="003072A6" w:rsidR="00EB23A0" w:rsidP="00D76DAE" w:rsidRDefault="00EB23A0" w14:paraId="07B7605A" w14:textId="77777777">
            <w:pPr>
              <w:rPr>
                <w:rStyle w:val="Important"/>
                <w:b w:val="0"/>
                <w:bCs/>
              </w:rPr>
            </w:pPr>
          </w:p>
        </w:tc>
        <w:tc>
          <w:tcPr>
            <w:tcW w:w="1843" w:type="dxa"/>
          </w:tcPr>
          <w:p w:rsidRPr="003072A6" w:rsidR="00EB23A0" w:rsidP="00DF4D78" w:rsidRDefault="00264CE6" w14:paraId="20F81B7D" w14:textId="38CE1187">
            <w:pPr>
              <w:rPr>
                <w:bCs/>
              </w:rPr>
            </w:pPr>
            <w:r>
              <w:rPr>
                <w:bCs/>
              </w:rPr>
              <w:t>Project management</w:t>
            </w:r>
          </w:p>
        </w:tc>
        <w:tc>
          <w:tcPr>
            <w:tcW w:w="2816" w:type="dxa"/>
          </w:tcPr>
          <w:p w:rsidRPr="00345B68" w:rsidR="00EB23A0" w:rsidP="00345B68" w:rsidRDefault="00264CE6" w14:paraId="69434620" w14:textId="465A149A">
            <w:r>
              <w:t>1</w:t>
            </w:r>
            <w:r w:rsidRPr="00345B68" w:rsidR="00EB23A0">
              <w:t xml:space="preserve"> Question</w:t>
            </w:r>
          </w:p>
          <w:p w:rsidRPr="00264CE6" w:rsidR="00EB23A0" w:rsidP="22B33F42" w:rsidRDefault="00EB23A0" w14:paraId="1DEF3B14" w14:textId="1EDD1C38">
            <w:pPr>
              <w:rPr>
                <w:rStyle w:val="Important"/>
                <w:rFonts w:cstheme="minorBidi"/>
                <w:b w:val="0"/>
                <w:color w:val="000000" w:themeColor="text1"/>
              </w:rPr>
            </w:pPr>
            <w:r>
              <w:t>Q3.1 (</w:t>
            </w:r>
            <w:r w:rsidR="7E1767D7">
              <w:t>3</w:t>
            </w:r>
            <w:r w:rsidR="001473FB">
              <w:t>0</w:t>
            </w:r>
            <w:r>
              <w:t>% of technical score available)</w:t>
            </w:r>
          </w:p>
        </w:tc>
      </w:tr>
      <w:tr w:rsidR="00EB23A0" w:rsidTr="22B33F42" w14:paraId="1CD97117" w14:textId="77777777">
        <w:trPr>
          <w:trHeight w:val="1383"/>
        </w:trPr>
        <w:tc>
          <w:tcPr>
            <w:tcW w:w="1838" w:type="dxa"/>
          </w:tcPr>
          <w:p w:rsidRPr="003072A6" w:rsidR="00EB23A0" w:rsidP="00D76DAE" w:rsidRDefault="00EB23A0" w14:paraId="45865825" w14:textId="77777777">
            <w:pPr>
              <w:rPr>
                <w:rStyle w:val="Important"/>
                <w:b w:val="0"/>
                <w:bCs/>
                <w:color w:val="auto"/>
              </w:rPr>
            </w:pPr>
            <w:r w:rsidRPr="003072A6">
              <w:rPr>
                <w:rStyle w:val="Important"/>
                <w:b w:val="0"/>
                <w:bCs/>
                <w:color w:val="auto"/>
              </w:rPr>
              <w:t>Commercial</w:t>
            </w:r>
          </w:p>
        </w:tc>
        <w:tc>
          <w:tcPr>
            <w:tcW w:w="1701" w:type="dxa"/>
          </w:tcPr>
          <w:p w:rsidRPr="003072A6" w:rsidR="00EB23A0" w:rsidP="00D76DAE" w:rsidRDefault="00EB23A0" w14:paraId="4DF04D9F" w14:textId="77777777">
            <w:pPr>
              <w:rPr>
                <w:rStyle w:val="Important"/>
                <w:b w:val="0"/>
                <w:bCs/>
                <w:color w:val="auto"/>
              </w:rPr>
            </w:pPr>
            <w:r w:rsidRPr="003072A6">
              <w:rPr>
                <w:rStyle w:val="Important"/>
                <w:b w:val="0"/>
                <w:bCs/>
                <w:color w:val="auto"/>
              </w:rPr>
              <w:t>40%</w:t>
            </w:r>
          </w:p>
        </w:tc>
        <w:tc>
          <w:tcPr>
            <w:tcW w:w="2126" w:type="dxa"/>
          </w:tcPr>
          <w:p w:rsidRPr="003072A6" w:rsidR="00EB23A0" w:rsidP="00D76DAE" w:rsidRDefault="00EB23A0" w14:paraId="16DE9FDC" w14:textId="77777777">
            <w:pPr>
              <w:rPr>
                <w:rStyle w:val="Important"/>
                <w:b w:val="0"/>
                <w:bCs/>
                <w:color w:val="auto"/>
              </w:rPr>
            </w:pPr>
            <w:r w:rsidRPr="003072A6">
              <w:rPr>
                <w:rStyle w:val="Important"/>
                <w:b w:val="0"/>
                <w:bCs/>
                <w:color w:val="auto"/>
              </w:rPr>
              <w:t>Whole life cost of the proposed Contract</w:t>
            </w:r>
          </w:p>
        </w:tc>
        <w:tc>
          <w:tcPr>
            <w:tcW w:w="1843" w:type="dxa"/>
          </w:tcPr>
          <w:p w:rsidRPr="003072A6" w:rsidR="00EB23A0" w:rsidP="00D76DAE" w:rsidRDefault="00EB23A0" w14:paraId="75A77F41" w14:textId="77777777">
            <w:pPr>
              <w:rPr>
                <w:rStyle w:val="Important"/>
                <w:b w:val="0"/>
                <w:bCs/>
                <w:color w:val="auto"/>
              </w:rPr>
            </w:pPr>
            <w:r w:rsidRPr="003072A6">
              <w:rPr>
                <w:rStyle w:val="Important"/>
                <w:b w:val="0"/>
                <w:bCs/>
                <w:color w:val="auto"/>
              </w:rPr>
              <w:t>Commercial Model</w:t>
            </w:r>
          </w:p>
        </w:tc>
        <w:tc>
          <w:tcPr>
            <w:tcW w:w="2816" w:type="dxa"/>
          </w:tcPr>
          <w:p w:rsidRPr="00CA7CFF" w:rsidR="00EB23A0" w:rsidP="00CA7CFF" w:rsidRDefault="00EB23A0" w14:paraId="35C9D3A1" w14:textId="77777777">
            <w:r w:rsidRPr="00CA7CFF">
              <w:t xml:space="preserve">1 Question </w:t>
            </w:r>
          </w:p>
          <w:p w:rsidRPr="009F2992" w:rsidR="00EB23A0" w:rsidP="00CA7CFF" w:rsidRDefault="0D8CBF94" w14:paraId="1AC89A70" w14:textId="6BB32E43">
            <w:pPr>
              <w:rPr>
                <w:rStyle w:val="Important"/>
              </w:rPr>
            </w:pPr>
            <w:r>
              <w:t xml:space="preserve">Include detail of costs to deliver the project in the Commercial Response </w:t>
            </w:r>
            <w:r w:rsidR="00D76DAE">
              <w:t>template</w:t>
            </w:r>
            <w:r>
              <w:t xml:space="preserve"> </w:t>
            </w:r>
            <w:r w:rsidR="00EB23A0">
              <w:t>(</w:t>
            </w:r>
            <w:r w:rsidR="001473FB">
              <w:t>100</w:t>
            </w:r>
            <w:r w:rsidR="00EB23A0">
              <w:t>% of commercial score available)</w:t>
            </w:r>
          </w:p>
        </w:tc>
      </w:tr>
    </w:tbl>
    <w:p w:rsidR="00EB23A0" w:rsidP="00EB23A0" w:rsidRDefault="00EB23A0" w14:paraId="5CD42DE2" w14:textId="77777777"/>
    <w:p w:rsidRPr="00A57295" w:rsidR="00EB23A0" w:rsidP="00EB23A0" w:rsidRDefault="00EB23A0" w14:paraId="52F12F96" w14:textId="47D47D07">
      <w:pPr>
        <w:pStyle w:val="Subheading"/>
        <w:rPr>
          <w:rStyle w:val="Important"/>
        </w:rPr>
      </w:pPr>
      <w:r w:rsidRPr="00415608">
        <w:t>Technical (</w:t>
      </w:r>
      <w:r w:rsidRPr="00441D1A" w:rsidR="00441D1A">
        <w:rPr>
          <w:rStyle w:val="Important"/>
          <w:b/>
          <w:bCs/>
          <w:color w:val="auto"/>
        </w:rPr>
        <w:t>60</w:t>
      </w:r>
      <w:r w:rsidRPr="00415608">
        <w:t>%)</w:t>
      </w:r>
      <w:r>
        <w:t xml:space="preserve"> </w:t>
      </w:r>
    </w:p>
    <w:p w:rsidR="00EB23A0" w:rsidP="00EB23A0" w:rsidRDefault="00EB23A0" w14:paraId="09BB6A55" w14:textId="3DCD51A1">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70"/>
        <w:gridCol w:w="3208"/>
        <w:gridCol w:w="5223"/>
      </w:tblGrid>
      <w:tr w:rsidR="00EB23A0" w:rsidTr="0C84AB91" w14:paraId="0F2B64BA" w14:textId="77777777">
        <w:trPr>
          <w:cnfStyle w:val="100000000000" w:firstRow="1" w:lastRow="0" w:firstColumn="0" w:lastColumn="0" w:oddVBand="0" w:evenVBand="0" w:oddHBand="0" w:evenHBand="0" w:firstRowFirstColumn="0" w:firstRowLastColumn="0" w:lastRowFirstColumn="0" w:lastRowLastColumn="0"/>
        </w:trPr>
        <w:tc>
          <w:tcPr>
            <w:tcW w:w="1770" w:type="dxa"/>
          </w:tcPr>
          <w:p w:rsidRPr="009F2992" w:rsidR="00EB23A0" w:rsidP="00D76DAE" w:rsidRDefault="00EB23A0" w14:paraId="75EAF460" w14:textId="77777777">
            <w:r>
              <w:t>Description</w:t>
            </w:r>
          </w:p>
        </w:tc>
        <w:tc>
          <w:tcPr>
            <w:tcW w:w="3208" w:type="dxa"/>
          </w:tcPr>
          <w:p w:rsidRPr="009F2992" w:rsidR="00EB23A0" w:rsidP="00D76DAE" w:rsidRDefault="00EB23A0" w14:paraId="51ADFB3D" w14:textId="77777777">
            <w:r>
              <w:t xml:space="preserve">Score </w:t>
            </w:r>
          </w:p>
        </w:tc>
        <w:tc>
          <w:tcPr>
            <w:tcW w:w="5223" w:type="dxa"/>
          </w:tcPr>
          <w:p w:rsidRPr="009F2992" w:rsidR="00EB23A0" w:rsidP="00D76DAE" w:rsidRDefault="00EB23A0" w14:paraId="1A8C3073" w14:textId="77777777">
            <w:r>
              <w:t>Definition</w:t>
            </w:r>
          </w:p>
        </w:tc>
      </w:tr>
      <w:tr w:rsidR="00EB23A0" w:rsidTr="0C84AB91" w14:paraId="7A8DA3B3" w14:textId="77777777">
        <w:tc>
          <w:tcPr>
            <w:tcW w:w="1770" w:type="dxa"/>
          </w:tcPr>
          <w:p w:rsidRPr="009F2992" w:rsidR="00EB23A0" w:rsidP="00D76DAE" w:rsidRDefault="00EB23A0" w14:paraId="0EC3E8D9" w14:textId="77777777">
            <w:r w:rsidRPr="00415608">
              <w:t xml:space="preserve">Very good </w:t>
            </w:r>
          </w:p>
        </w:tc>
        <w:tc>
          <w:tcPr>
            <w:tcW w:w="3208" w:type="dxa"/>
          </w:tcPr>
          <w:p w:rsidRPr="009F2992" w:rsidR="00EB23A0" w:rsidP="00D76DAE" w:rsidRDefault="00EB23A0" w14:paraId="0CC885EE" w14:textId="77777777">
            <w:r w:rsidRPr="00415608">
              <w:t>100</w:t>
            </w:r>
          </w:p>
        </w:tc>
        <w:tc>
          <w:tcPr>
            <w:tcW w:w="5223" w:type="dxa"/>
          </w:tcPr>
          <w:p w:rsidRPr="009F2992" w:rsidR="00EB23A0" w:rsidP="00D76DAE" w:rsidRDefault="00EB23A0" w14:paraId="03C6BEAD"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0C84AB91" w14:paraId="6E0D756F" w14:textId="77777777">
        <w:tc>
          <w:tcPr>
            <w:tcW w:w="1770" w:type="dxa"/>
          </w:tcPr>
          <w:p w:rsidRPr="009F2992" w:rsidR="00EB23A0" w:rsidP="00D76DAE" w:rsidRDefault="00EB23A0" w14:paraId="26CDF45A" w14:textId="77777777">
            <w:r w:rsidRPr="00415608">
              <w:t>Good</w:t>
            </w:r>
          </w:p>
        </w:tc>
        <w:tc>
          <w:tcPr>
            <w:tcW w:w="3208" w:type="dxa"/>
          </w:tcPr>
          <w:p w:rsidRPr="009F2992" w:rsidR="00EB23A0" w:rsidP="00D76DAE" w:rsidRDefault="00EB23A0" w14:paraId="4623F0F2" w14:textId="77777777">
            <w:r w:rsidRPr="00415608">
              <w:t>70</w:t>
            </w:r>
          </w:p>
        </w:tc>
        <w:tc>
          <w:tcPr>
            <w:tcW w:w="5223" w:type="dxa"/>
          </w:tcPr>
          <w:p w:rsidRPr="009F2992" w:rsidR="00EB23A0" w:rsidP="00D76DAE" w:rsidRDefault="00EB23A0" w14:paraId="6BDF3BFE"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C84AB91" w14:paraId="7D4575F2" w14:textId="77777777">
        <w:tc>
          <w:tcPr>
            <w:tcW w:w="1770" w:type="dxa"/>
          </w:tcPr>
          <w:p w:rsidRPr="009F2992" w:rsidR="00EB23A0" w:rsidP="00D76DAE" w:rsidRDefault="00EB23A0" w14:paraId="155F0E66" w14:textId="77777777">
            <w:r w:rsidRPr="00415608">
              <w:t>Moderate</w:t>
            </w:r>
          </w:p>
        </w:tc>
        <w:tc>
          <w:tcPr>
            <w:tcW w:w="3208" w:type="dxa"/>
          </w:tcPr>
          <w:p w:rsidRPr="009F2992" w:rsidR="00EB23A0" w:rsidP="00D76DAE" w:rsidRDefault="00EB23A0" w14:paraId="7AB82842" w14:textId="77777777">
            <w:r w:rsidRPr="00415608">
              <w:t>50</w:t>
            </w:r>
          </w:p>
        </w:tc>
        <w:tc>
          <w:tcPr>
            <w:tcW w:w="5223" w:type="dxa"/>
          </w:tcPr>
          <w:p w:rsidRPr="009F2992" w:rsidR="00EB23A0" w:rsidP="00D76DAE" w:rsidRDefault="00EB23A0" w14:paraId="05ED5794"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C84AB91" w14:paraId="0194B7FA" w14:textId="77777777">
        <w:tc>
          <w:tcPr>
            <w:tcW w:w="1770" w:type="dxa"/>
          </w:tcPr>
          <w:p w:rsidRPr="009F2992" w:rsidR="00EB23A0" w:rsidP="00D76DAE" w:rsidRDefault="00EB23A0" w14:paraId="6CCAB30E" w14:textId="77777777">
            <w:r w:rsidRPr="00415608">
              <w:t xml:space="preserve">Weak </w:t>
            </w:r>
          </w:p>
        </w:tc>
        <w:tc>
          <w:tcPr>
            <w:tcW w:w="3208" w:type="dxa"/>
          </w:tcPr>
          <w:p w:rsidRPr="009F2992" w:rsidR="00EB23A0" w:rsidP="00D76DAE" w:rsidRDefault="00EB23A0" w14:paraId="374420E3" w14:textId="77777777">
            <w:r w:rsidRPr="00415608">
              <w:t>20</w:t>
            </w:r>
          </w:p>
        </w:tc>
        <w:tc>
          <w:tcPr>
            <w:tcW w:w="5223" w:type="dxa"/>
          </w:tcPr>
          <w:p w:rsidRPr="009F2992" w:rsidR="00EB23A0" w:rsidP="00D76DAE" w:rsidRDefault="00EB23A0" w14:paraId="4BAE8798"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C84AB91" w14:paraId="4CEC5FD4" w14:textId="77777777">
        <w:tc>
          <w:tcPr>
            <w:tcW w:w="1770" w:type="dxa"/>
          </w:tcPr>
          <w:p w:rsidRPr="009F2992" w:rsidR="00EB23A0" w:rsidP="00D76DAE" w:rsidRDefault="00EB23A0" w14:paraId="4162988F" w14:textId="77777777">
            <w:r w:rsidRPr="00415608">
              <w:t>Unacceptable</w:t>
            </w:r>
          </w:p>
        </w:tc>
        <w:tc>
          <w:tcPr>
            <w:tcW w:w="3208" w:type="dxa"/>
          </w:tcPr>
          <w:p w:rsidRPr="009F2992" w:rsidR="00EB23A0" w:rsidP="00D76DAE" w:rsidRDefault="00EB23A0" w14:paraId="7E837C44" w14:textId="77777777">
            <w:r w:rsidRPr="00415608">
              <w:t>0</w:t>
            </w:r>
          </w:p>
        </w:tc>
        <w:tc>
          <w:tcPr>
            <w:tcW w:w="5223" w:type="dxa"/>
          </w:tcPr>
          <w:p w:rsidRPr="009F2992" w:rsidR="00EB23A0" w:rsidP="00D76DAE" w:rsidRDefault="00EB23A0" w14:paraId="15432B9A" w14:textId="77777777">
            <w:r w:rsidRPr="00415608">
              <w:t>No response or provides a response that gives the Authority no confidence that the requirement will be met. </w:t>
            </w:r>
          </w:p>
        </w:tc>
      </w:tr>
    </w:tbl>
    <w:p w:rsidR="00EB23A0" w:rsidP="00EB23A0" w:rsidRDefault="00EB23A0" w14:paraId="23251A4A" w14:textId="77777777"/>
    <w:p w:rsidRPr="007309B9" w:rsidR="00EB23A0" w:rsidP="00EB23A0" w:rsidRDefault="00EB23A0" w14:paraId="616E4D4A" w14:textId="77777777">
      <w:r w:rsidRPr="007309B9">
        <w:t xml:space="preserve">Technical evaluation is assessed using the evaluation topics and sub-criteria stated in the Evaluation Criteria section above. </w:t>
      </w:r>
    </w:p>
    <w:p w:rsidRPr="007309B9" w:rsidR="00EB23A0" w:rsidP="00EB23A0" w:rsidRDefault="00EB23A0" w14:paraId="5F9809DD" w14:textId="77777777">
      <w:r w:rsidRPr="007309B9">
        <w:t>Separate submissions for each technical question should be provided and will be evaluated in isolation. Tenderers should provide answers that meet the criteria of each technical question.</w:t>
      </w:r>
    </w:p>
    <w:p w:rsidR="00EB23A0" w:rsidP="00EB23A0" w:rsidRDefault="00EB23A0" w14:paraId="594B3897" w14:textId="77E9D700">
      <w:pPr>
        <w:rPr>
          <w:rStyle w:val="Important"/>
        </w:rPr>
      </w:pPr>
    </w:p>
    <w:tbl>
      <w:tblPr>
        <w:tblStyle w:val="Table"/>
        <w:tblW w:w="9600" w:type="dxa"/>
        <w:tblLook w:val="04A0" w:firstRow="1" w:lastRow="0" w:firstColumn="1" w:lastColumn="0" w:noHBand="0" w:noVBand="1"/>
      </w:tblPr>
      <w:tblGrid>
        <w:gridCol w:w="4785"/>
        <w:gridCol w:w="4815"/>
      </w:tblGrid>
      <w:tr w:rsidR="00EB23A0" w:rsidTr="492A0677" w14:paraId="7AB0EA59" w14:textId="77777777">
        <w:trPr>
          <w:cnfStyle w:val="100000000000" w:firstRow="1" w:lastRow="0" w:firstColumn="0" w:lastColumn="0" w:oddVBand="0" w:evenVBand="0" w:oddHBand="0" w:evenHBand="0" w:firstRowFirstColumn="0" w:firstRowLastColumn="0" w:lastRowFirstColumn="0" w:lastRowLastColumn="0"/>
        </w:trPr>
        <w:tc>
          <w:tcPr>
            <w:tcW w:w="4785" w:type="dxa"/>
          </w:tcPr>
          <w:p w:rsidRPr="0055718A" w:rsidR="00EB23A0" w:rsidP="00D76DAE" w:rsidRDefault="00C54207" w14:paraId="35C6F10B" w14:textId="4C18EA81">
            <w:pPr>
              <w:rPr>
                <w:rStyle w:val="Important"/>
                <w:b w:val="0"/>
                <w:bCs/>
              </w:rPr>
            </w:pPr>
            <w:r>
              <w:rPr>
                <w:rStyle w:val="Important"/>
                <w:b w:val="0"/>
                <w:bCs/>
                <w:color w:val="FFFFFF" w:themeColor="background1"/>
              </w:rPr>
              <w:t>M</w:t>
            </w:r>
            <w:r w:rsidRPr="0055718A" w:rsidR="00EB23A0">
              <w:rPr>
                <w:rStyle w:val="Important"/>
                <w:b w:val="0"/>
                <w:bCs/>
                <w:color w:val="FFFFFF" w:themeColor="background1"/>
              </w:rPr>
              <w:t xml:space="preserve">ethodology </w:t>
            </w:r>
          </w:p>
        </w:tc>
        <w:tc>
          <w:tcPr>
            <w:tcW w:w="4815" w:type="dxa"/>
          </w:tcPr>
          <w:p w:rsidRPr="009F2992" w:rsidR="00EB23A0" w:rsidP="00D76DAE" w:rsidRDefault="00EB23A0" w14:paraId="2C19F3F6" w14:textId="77777777">
            <w:r w:rsidRPr="007309B9">
              <w:t>Detailed Evaluation Criteria</w:t>
            </w:r>
          </w:p>
        </w:tc>
      </w:tr>
      <w:tr w:rsidR="00EB23A0" w:rsidTr="492A0677" w14:paraId="3C375C47" w14:textId="77777777">
        <w:tc>
          <w:tcPr>
            <w:tcW w:w="4785" w:type="dxa"/>
          </w:tcPr>
          <w:p w:rsidRPr="00022622" w:rsidR="00EB23A0" w:rsidP="00022622" w:rsidRDefault="00EB23A0" w14:paraId="701B4B32" w14:textId="77777777">
            <w:r w:rsidRPr="00022622">
              <w:t>Q1.1 Provide details of the methodology and approaches proposed to deliver the requirements of this project.</w:t>
            </w:r>
          </w:p>
          <w:p w:rsidRPr="009F2992" w:rsidR="00EB23A0" w:rsidP="00022622" w:rsidRDefault="00EB23A0" w14:paraId="6220A889" w14:textId="77777777">
            <w:pPr>
              <w:rPr>
                <w:rStyle w:val="Important"/>
              </w:rPr>
            </w:pPr>
            <w:r w:rsidRPr="00022622">
              <w:t>Responses should not exceed four sides of A4, and use Arial font, size 11.</w:t>
            </w:r>
          </w:p>
        </w:tc>
        <w:tc>
          <w:tcPr>
            <w:tcW w:w="4815" w:type="dxa"/>
          </w:tcPr>
          <w:p w:rsidRPr="005A714C" w:rsidR="00EB23A0" w:rsidP="005A714C" w:rsidRDefault="00EB23A0" w14:paraId="19EE74DA" w14:textId="77777777">
            <w:r w:rsidRPr="005A714C">
              <w:t>Your response should:</w:t>
            </w:r>
          </w:p>
          <w:p w:rsidRPr="005A714C" w:rsidR="00EB23A0" w:rsidP="005A714C" w:rsidRDefault="00EB23A0" w14:paraId="6C0583F1" w14:textId="77777777">
            <w:r w:rsidRPr="005A714C">
              <w:t>1) Demonstrate a clear understanding of the nature of the requirements.</w:t>
            </w:r>
          </w:p>
          <w:p w:rsidRPr="005A714C" w:rsidR="00EB23A0" w:rsidP="005A714C" w:rsidRDefault="00EB23A0" w14:paraId="2AA3AFF6" w14:textId="77777777">
            <w:r w:rsidRPr="005A714C">
              <w:t>2) Be a clear, practical, achievable, and cost-effective methodology to deliver these requirements.</w:t>
            </w:r>
          </w:p>
          <w:p w:rsidRPr="009F2992" w:rsidR="00EB23A0" w:rsidP="005A714C" w:rsidRDefault="00EB23A0" w14:paraId="64A22A23" w14:textId="77777777">
            <w:r w:rsidRPr="005A714C">
              <w:t>3) Have information in sufficient detail to allow a full appraisal of the suitability of the approach to deliver for the project.</w:t>
            </w:r>
          </w:p>
        </w:tc>
      </w:tr>
    </w:tbl>
    <w:p w:rsidRPr="007309B9" w:rsidR="002D492E" w:rsidP="00EB23A0" w:rsidRDefault="002D492E" w14:paraId="5802FE95" w14:textId="60EA0613">
      <w:pPr>
        <w:rPr>
          <w:rStyle w:val="Important"/>
        </w:rPr>
      </w:pPr>
    </w:p>
    <w:tbl>
      <w:tblPr>
        <w:tblStyle w:val="Table"/>
        <w:tblpPr w:leftFromText="180" w:rightFromText="180" w:vertAnchor="text" w:horzAnchor="margin" w:tblpXSpec="center" w:tblpY="106"/>
        <w:tblW w:w="9615" w:type="dxa"/>
        <w:jc w:val="left"/>
        <w:tblLook w:val="04A0" w:firstRow="1" w:lastRow="0" w:firstColumn="1" w:lastColumn="0" w:noHBand="0" w:noVBand="1"/>
      </w:tblPr>
      <w:tblGrid>
        <w:gridCol w:w="4770"/>
        <w:gridCol w:w="4845"/>
      </w:tblGrid>
      <w:tr w:rsidR="002D492E" w:rsidTr="4E8FF0E6" w14:paraId="6C86CE79" w14:textId="77777777">
        <w:trPr>
          <w:cnfStyle w:val="100000000000" w:firstRow="1" w:lastRow="0" w:firstColumn="0" w:lastColumn="0" w:oddVBand="0" w:evenVBand="0" w:oddHBand="0" w:evenHBand="0" w:firstRowFirstColumn="0" w:firstRowLastColumn="0" w:lastRowFirstColumn="0" w:lastRowLastColumn="0"/>
          <w:jc w:val="left"/>
        </w:trPr>
        <w:tc>
          <w:tcPr>
            <w:tcW w:w="4770" w:type="dxa"/>
          </w:tcPr>
          <w:p w:rsidRPr="00D61363" w:rsidR="002D492E" w:rsidP="00D61363" w:rsidRDefault="002D492E" w14:paraId="05ED81C2" w14:textId="13FFD3FE">
            <w:r w:rsidRPr="00D61363">
              <w:t>Key Pers</w:t>
            </w:r>
            <w:r w:rsidRPr="00D61363" w:rsidR="00466C7D">
              <w:t>onnel</w:t>
            </w:r>
          </w:p>
        </w:tc>
        <w:tc>
          <w:tcPr>
            <w:tcW w:w="4845" w:type="dxa"/>
          </w:tcPr>
          <w:p w:rsidRPr="009F2992" w:rsidR="002D492E" w:rsidP="00D76DAE" w:rsidRDefault="002D492E" w14:paraId="0397AAF9" w14:textId="77777777">
            <w:r w:rsidRPr="007309B9">
              <w:t>Detailed Evaluation Criteria</w:t>
            </w:r>
          </w:p>
        </w:tc>
      </w:tr>
      <w:tr w:rsidR="002D492E" w:rsidTr="4E8FF0E6" w14:paraId="0F6A8863" w14:textId="77777777">
        <w:trPr>
          <w:jc w:val="left"/>
        </w:trPr>
        <w:tc>
          <w:tcPr>
            <w:tcW w:w="4770" w:type="dxa"/>
          </w:tcPr>
          <w:p w:rsidR="002D492E" w:rsidP="000E3DF1" w:rsidRDefault="002D492E" w14:paraId="247DB556" w14:textId="6DF465FB">
            <w:r w:rsidRPr="000E3DF1">
              <w:t>Q2.1</w:t>
            </w:r>
            <w:r w:rsidRPr="000E3DF1" w:rsidR="00B10A8B">
              <w:t xml:space="preserve"> Provide details of </w:t>
            </w:r>
            <w:r w:rsidRPr="000E3DF1" w:rsidR="00A123DE">
              <w:t xml:space="preserve">the </w:t>
            </w:r>
            <w:r w:rsidR="007961D7">
              <w:t>p</w:t>
            </w:r>
            <w:r w:rsidRPr="000E3DF1" w:rsidR="00A123DE">
              <w:t xml:space="preserve">roject </w:t>
            </w:r>
            <w:r w:rsidR="007961D7">
              <w:t>t</w:t>
            </w:r>
            <w:r w:rsidRPr="000E3DF1" w:rsidR="00A123DE">
              <w:t xml:space="preserve">eam </w:t>
            </w:r>
            <w:r w:rsidR="00CF69EE">
              <w:t xml:space="preserve">and key personnel </w:t>
            </w:r>
          </w:p>
          <w:p w:rsidR="003A73AC" w:rsidP="000E3DF1" w:rsidRDefault="003A73AC" w14:paraId="2A6888A7" w14:textId="790F2A0D">
            <w:r w:rsidRPr="003A73AC">
              <w:t>Responses should not exceed four sides of A4, and use Arial font, size 11.</w:t>
            </w:r>
          </w:p>
          <w:p w:rsidRPr="000E3DF1" w:rsidR="000E3DF1" w:rsidP="000E3DF1" w:rsidRDefault="000E3DF1" w14:paraId="0AABE4C2" w14:textId="525EABAF"/>
        </w:tc>
        <w:tc>
          <w:tcPr>
            <w:tcW w:w="4845" w:type="dxa"/>
          </w:tcPr>
          <w:p w:rsidR="008310A9" w:rsidP="00D76DAE" w:rsidRDefault="000E3DF1" w14:paraId="4DBEBE85" w14:textId="77777777">
            <w:r>
              <w:t>Your response s</w:t>
            </w:r>
            <w:r w:rsidR="00DB5F8C">
              <w:t>hould</w:t>
            </w:r>
            <w:r w:rsidR="008310A9">
              <w:t>:</w:t>
            </w:r>
          </w:p>
          <w:p w:rsidR="003B441A" w:rsidP="003B441A" w:rsidRDefault="009467BE" w14:paraId="4AB13313" w14:textId="77777777">
            <w:pPr>
              <w:pStyle w:val="ListParagraph"/>
              <w:numPr>
                <w:ilvl w:val="0"/>
                <w:numId w:val="24"/>
              </w:numPr>
              <w:ind w:left="0" w:hanging="35"/>
            </w:pPr>
            <w:r w:rsidRPr="003B441A">
              <w:t>Include CVs and the number of days each member of the team has allocated on this project, as well as who will lead on each task. The number of staff days should match those in the cost proposal.</w:t>
            </w:r>
          </w:p>
          <w:p w:rsidRPr="003B441A" w:rsidR="009648D8" w:rsidP="003B441A" w:rsidRDefault="009467BE" w14:paraId="422C82C5" w14:textId="60918BE8">
            <w:pPr>
              <w:pStyle w:val="ListParagraph"/>
              <w:ind w:left="0"/>
            </w:pPr>
            <w:r w:rsidRPr="003B441A">
              <w:t xml:space="preserve">  </w:t>
            </w:r>
          </w:p>
          <w:p w:rsidRPr="003B441A" w:rsidR="00943EFE" w:rsidP="003B441A" w:rsidRDefault="00656D0F" w14:paraId="7F73900F" w14:textId="487218E3">
            <w:pPr>
              <w:pStyle w:val="ListParagraph"/>
              <w:numPr>
                <w:ilvl w:val="0"/>
                <w:numId w:val="24"/>
              </w:numPr>
              <w:ind w:left="0" w:hanging="35"/>
            </w:pPr>
            <w:r w:rsidRPr="003B441A">
              <w:t xml:space="preserve">Provide </w:t>
            </w:r>
            <w:r w:rsidRPr="003B441A" w:rsidR="00F81ED3">
              <w:t xml:space="preserve">details of </w:t>
            </w:r>
            <w:r w:rsidRPr="003B441A" w:rsidR="00831752">
              <w:t>the key personnel</w:t>
            </w:r>
            <w:r w:rsidRPr="003B441A" w:rsidR="00F81ED3">
              <w:t>’s seniority</w:t>
            </w:r>
            <w:r w:rsidRPr="003B441A" w:rsidR="00724E95">
              <w:t xml:space="preserve"> </w:t>
            </w:r>
            <w:r w:rsidRPr="003B441A" w:rsidR="00114962">
              <w:t>and details of any sub-contractors and/or associates.</w:t>
            </w:r>
          </w:p>
        </w:tc>
      </w:tr>
      <w:tr w:rsidR="002D492E" w:rsidTr="4E8FF0E6" w14:paraId="3AC3F1FA" w14:textId="77777777">
        <w:trPr>
          <w:jc w:val="left"/>
        </w:trPr>
        <w:tc>
          <w:tcPr>
            <w:tcW w:w="4770" w:type="dxa"/>
          </w:tcPr>
          <w:p w:rsidR="002D492E" w:rsidP="00025E39" w:rsidRDefault="002D492E" w14:paraId="3BADE2D8" w14:textId="50F61DF0">
            <w:r w:rsidRPr="00025E39">
              <w:t>Q2.2</w:t>
            </w:r>
            <w:r w:rsidR="00025E39">
              <w:t xml:space="preserve"> Provide </w:t>
            </w:r>
            <w:r w:rsidR="005D3CE4">
              <w:t xml:space="preserve">details of the recent experiences of </w:t>
            </w:r>
            <w:r w:rsidR="00DC25AA">
              <w:t>the</w:t>
            </w:r>
            <w:r w:rsidR="005D3CE4">
              <w:t xml:space="preserve"> </w:t>
            </w:r>
            <w:r w:rsidR="00131A76">
              <w:t>p</w:t>
            </w:r>
            <w:r w:rsidR="005D3CE4">
              <w:t xml:space="preserve">roject </w:t>
            </w:r>
            <w:r w:rsidR="00131A76">
              <w:t>t</w:t>
            </w:r>
            <w:r w:rsidR="005D3CE4">
              <w:t xml:space="preserve">eam </w:t>
            </w:r>
            <w:r w:rsidR="00E25AFE">
              <w:t>in delivering similar work</w:t>
            </w:r>
          </w:p>
          <w:p w:rsidRPr="00025E39" w:rsidR="003A73AC" w:rsidP="00025E39" w:rsidRDefault="003A73AC" w14:paraId="04FEF80A" w14:textId="4C35A76F">
            <w:r w:rsidRPr="003A73AC">
              <w:t>Responses should not exceed four sides of A4, and use Arial font, size 11.</w:t>
            </w:r>
          </w:p>
        </w:tc>
        <w:tc>
          <w:tcPr>
            <w:tcW w:w="4845" w:type="dxa"/>
          </w:tcPr>
          <w:p w:rsidR="002D492E" w:rsidP="00D76DAE" w:rsidRDefault="00E25AFE" w14:paraId="66027823" w14:textId="77777777">
            <w:r>
              <w:t>Yo</w:t>
            </w:r>
            <w:r w:rsidR="00DC25AA">
              <w:t>ur response should</w:t>
            </w:r>
            <w:r w:rsidR="003A73AC">
              <w:t>:</w:t>
            </w:r>
          </w:p>
          <w:p w:rsidR="003A73AC" w:rsidP="00131A76" w:rsidRDefault="00BC3EC2" w14:paraId="0F5ACE86" w14:textId="77777777">
            <w:r w:rsidRPr="00131A76">
              <w:t xml:space="preserve">Demonstrate </w:t>
            </w:r>
            <w:r w:rsidRPr="00131A76" w:rsidR="00131A76">
              <w:t xml:space="preserve">the </w:t>
            </w:r>
            <w:r w:rsidR="00131A76">
              <w:t xml:space="preserve">project </w:t>
            </w:r>
            <w:r w:rsidRPr="00131A76" w:rsidR="00131A76">
              <w:t>team</w:t>
            </w:r>
            <w:r w:rsidR="00131A76">
              <w:t>’</w:t>
            </w:r>
            <w:r w:rsidRPr="00131A76" w:rsidR="00131A76">
              <w:t>s</w:t>
            </w:r>
            <w:r w:rsidR="001D4D05">
              <w:t xml:space="preserve"> skills and experience in:</w:t>
            </w:r>
          </w:p>
          <w:p w:rsidRPr="000C306A" w:rsidR="00A015A0" w:rsidP="0015468B" w:rsidRDefault="001D4D05" w14:paraId="77B5BF76" w14:textId="5567EFC0">
            <w:pPr>
              <w:pStyle w:val="ListParagraph"/>
              <w:numPr>
                <w:ilvl w:val="0"/>
                <w:numId w:val="23"/>
              </w:numPr>
              <w:ind w:left="0" w:hanging="35"/>
              <w:contextualSpacing w:val="0"/>
            </w:pPr>
            <w:r>
              <w:t>Developing Green Finance</w:t>
            </w:r>
            <w:r w:rsidR="008A3C4A">
              <w:t xml:space="preserve"> funding models for different projects</w:t>
            </w:r>
            <w:r w:rsidR="00A015A0">
              <w:t>.</w:t>
            </w:r>
          </w:p>
          <w:p w:rsidR="005231FB" w:rsidP="4E8FF0E6" w:rsidRDefault="005231FB" w14:paraId="245A4491" w14:textId="6716F80B">
            <w:pPr>
              <w:pStyle w:val="ListParagraph"/>
              <w:numPr>
                <w:ilvl w:val="0"/>
                <w:numId w:val="23"/>
              </w:numPr>
              <w:ind w:left="0" w:hanging="35"/>
            </w:pPr>
            <w:r>
              <w:t>Workshop design and facilitation</w:t>
            </w:r>
            <w:r w:rsidR="000C306A">
              <w:t>.</w:t>
            </w:r>
          </w:p>
          <w:p w:rsidR="4E8FF0E6" w:rsidP="4E8FF0E6" w:rsidRDefault="4E8FF0E6" w14:paraId="53F549A2" w14:textId="21D7A2F6">
            <w:pPr>
              <w:pStyle w:val="ListParagraph"/>
              <w:ind w:left="0" w:hanging="35"/>
            </w:pPr>
          </w:p>
          <w:p w:rsidRPr="001D4D05" w:rsidR="00DA3392" w:rsidP="6A1E3D49" w:rsidRDefault="00DA3392" w14:paraId="071C9B4E" w14:textId="3647DBE8">
            <w:pPr>
              <w:pStyle w:val="ListParagraph"/>
              <w:numPr>
                <w:ilvl w:val="0"/>
                <w:numId w:val="23"/>
              </w:numPr>
              <w:ind w:left="0" w:hanging="35"/>
            </w:pPr>
            <w:r>
              <w:t>Analysis of qualitative data, policy and report writing</w:t>
            </w:r>
            <w:r w:rsidR="00A015A0">
              <w:t>.</w:t>
            </w:r>
          </w:p>
          <w:p w:rsidR="2E87834D" w:rsidP="2E87834D" w:rsidRDefault="2E87834D" w14:paraId="0E9B60E5" w14:textId="22AFC634">
            <w:pPr>
              <w:pStyle w:val="ListParagraph"/>
              <w:ind w:left="0" w:hanging="35"/>
            </w:pPr>
          </w:p>
          <w:p w:rsidRPr="001D4D05" w:rsidR="00DA3392" w:rsidP="1721B1C7" w:rsidRDefault="343AC3A7" w14:paraId="447E4258" w14:textId="57F26492">
            <w:pPr>
              <w:pStyle w:val="ListParagraph"/>
              <w:ind w:left="0" w:hanging="35"/>
              <w:rPr>
                <w:szCs w:val="24"/>
              </w:rPr>
            </w:pPr>
            <w:r w:rsidRPr="1721B1C7">
              <w:rPr>
                <w:rFonts w:eastAsia="Arial" w:cs="Arial"/>
                <w:szCs w:val="24"/>
              </w:rPr>
              <w:t>P</w:t>
            </w:r>
            <w:r w:rsidRPr="1721B1C7" w:rsidR="3B4E2621">
              <w:rPr>
                <w:rFonts w:eastAsia="Arial" w:cs="Arial"/>
                <w:szCs w:val="24"/>
              </w:rPr>
              <w:t>lease p</w:t>
            </w:r>
            <w:r w:rsidRPr="1721B1C7">
              <w:rPr>
                <w:rFonts w:eastAsia="Arial" w:cs="Arial"/>
                <w:szCs w:val="24"/>
              </w:rPr>
              <w:t xml:space="preserve">rovide two examples of your current or previous work within </w:t>
            </w:r>
            <w:r w:rsidRPr="1721B1C7" w:rsidR="347CC73B">
              <w:rPr>
                <w:rFonts w:eastAsia="Arial" w:cs="Arial"/>
                <w:szCs w:val="24"/>
              </w:rPr>
              <w:t>the</w:t>
            </w:r>
            <w:r w:rsidRPr="1721B1C7">
              <w:rPr>
                <w:rFonts w:eastAsia="Arial" w:cs="Arial"/>
                <w:szCs w:val="24"/>
              </w:rPr>
              <w:t xml:space="preserve"> wider public sector, or equivalent that are similar in subject matter or scope to this requirement. </w:t>
            </w:r>
            <w:r w:rsidRPr="1721B1C7">
              <w:rPr>
                <w:szCs w:val="24"/>
              </w:rPr>
              <w:t xml:space="preserve"> </w:t>
            </w:r>
          </w:p>
        </w:tc>
      </w:tr>
    </w:tbl>
    <w:p w:rsidRPr="007309B9" w:rsidR="002D492E" w:rsidP="00EB23A0" w:rsidRDefault="002D492E" w14:paraId="1B10E08E" w14:textId="7947F15A">
      <w:pPr>
        <w:rPr>
          <w:rStyle w:val="Important"/>
        </w:rPr>
      </w:pPr>
    </w:p>
    <w:tbl>
      <w:tblPr>
        <w:tblStyle w:val="Table"/>
        <w:tblpPr w:leftFromText="180" w:rightFromText="180" w:vertAnchor="text" w:horzAnchor="margin" w:tblpXSpec="center" w:tblpY="106"/>
        <w:tblW w:w="9615" w:type="dxa"/>
        <w:jc w:val="left"/>
        <w:tblLook w:val="04A0" w:firstRow="1" w:lastRow="0" w:firstColumn="1" w:lastColumn="0" w:noHBand="0" w:noVBand="1"/>
      </w:tblPr>
      <w:tblGrid>
        <w:gridCol w:w="4905"/>
        <w:gridCol w:w="4710"/>
      </w:tblGrid>
      <w:tr w:rsidR="00300ED4" w:rsidTr="6F20907B" w14:paraId="212D925A" w14:textId="77777777">
        <w:trPr>
          <w:cnfStyle w:val="100000000000" w:firstRow="1" w:lastRow="0" w:firstColumn="0" w:lastColumn="0" w:oddVBand="0" w:evenVBand="0" w:oddHBand="0" w:evenHBand="0" w:firstRowFirstColumn="0" w:firstRowLastColumn="0" w:lastRowFirstColumn="0" w:lastRowLastColumn="0"/>
          <w:jc w:val="left"/>
        </w:trPr>
        <w:tc>
          <w:tcPr>
            <w:tcW w:w="4905" w:type="dxa"/>
          </w:tcPr>
          <w:p w:rsidRPr="00894AFF" w:rsidR="00300ED4" w:rsidP="00894AFF" w:rsidRDefault="006F0C5B" w14:paraId="7B2161B6" w14:textId="72F42583">
            <w:bookmarkStart w:name="_Hlk176164585" w:id="2"/>
            <w:r w:rsidRPr="00894AFF">
              <w:t>Project management</w:t>
            </w:r>
            <w:r w:rsidRPr="00894AFF" w:rsidR="00C60F2C">
              <w:t xml:space="preserve"> measures</w:t>
            </w:r>
          </w:p>
        </w:tc>
        <w:tc>
          <w:tcPr>
            <w:tcW w:w="4710" w:type="dxa"/>
          </w:tcPr>
          <w:p w:rsidRPr="009F2992" w:rsidR="00300ED4" w:rsidP="00300ED4" w:rsidRDefault="00300ED4" w14:paraId="4AAE70E3" w14:textId="77777777">
            <w:r w:rsidRPr="007309B9">
              <w:t>Detailed Evaluation Criteria</w:t>
            </w:r>
          </w:p>
        </w:tc>
      </w:tr>
      <w:tr w:rsidR="00300ED4" w:rsidTr="6F20907B" w14:paraId="37A0DE26" w14:textId="77777777">
        <w:trPr>
          <w:jc w:val="left"/>
        </w:trPr>
        <w:tc>
          <w:tcPr>
            <w:tcW w:w="4905" w:type="dxa"/>
          </w:tcPr>
          <w:p w:rsidR="00300ED4" w:rsidP="00894AFF" w:rsidRDefault="00300ED4" w14:paraId="5BA1B719" w14:textId="77777777">
            <w:r w:rsidRPr="00894AFF">
              <w:t>Q3.1</w:t>
            </w:r>
            <w:r w:rsidRPr="00894AFF" w:rsidR="0015468B">
              <w:t xml:space="preserve"> </w:t>
            </w:r>
            <w:r w:rsidRPr="00894AFF" w:rsidR="00894AFF">
              <w:t>Provide details of how the project will meet the key deliverables and milestones</w:t>
            </w:r>
            <w:r w:rsidR="002B2BA8">
              <w:t>.</w:t>
            </w:r>
          </w:p>
          <w:p w:rsidRPr="00894AFF" w:rsidR="002B2BA8" w:rsidP="00894AFF" w:rsidRDefault="002B2BA8" w14:paraId="6C545106" w14:textId="65E52DDC">
            <w:r w:rsidRPr="002B2BA8">
              <w:t>Responses should not exceed four sides of A4, and use Arial font, size 11.</w:t>
            </w:r>
          </w:p>
        </w:tc>
        <w:tc>
          <w:tcPr>
            <w:tcW w:w="4710" w:type="dxa"/>
          </w:tcPr>
          <w:p w:rsidR="00300ED4" w:rsidP="00300ED4" w:rsidRDefault="00894AFF" w14:paraId="13644731" w14:textId="77777777">
            <w:r>
              <w:t>Your response should:</w:t>
            </w:r>
          </w:p>
          <w:p w:rsidR="00894AFF" w:rsidP="00585F45" w:rsidRDefault="00010B35" w14:paraId="52EEF681" w14:textId="0B43B4A4">
            <w:pPr>
              <w:pStyle w:val="ListParagraph"/>
              <w:numPr>
                <w:ilvl w:val="0"/>
                <w:numId w:val="25"/>
              </w:numPr>
              <w:ind w:left="0" w:firstLine="0"/>
            </w:pPr>
            <w:r w:rsidRPr="00585F45">
              <w:t>Include a provisional project plan</w:t>
            </w:r>
            <w:r w:rsidRPr="00585F45" w:rsidR="00A61F8E">
              <w:t xml:space="preserve">, including </w:t>
            </w:r>
            <w:r w:rsidRPr="00585F45" w:rsidR="00C4DA08">
              <w:t>details</w:t>
            </w:r>
            <w:r w:rsidRPr="00585F45" w:rsidR="425DA90C">
              <w:t xml:space="preserve"> of how the project will meet the key deliverables and milestones.</w:t>
            </w:r>
          </w:p>
          <w:p w:rsidRPr="00585F45" w:rsidR="00585F45" w:rsidP="00585F45" w:rsidRDefault="00585F45" w14:paraId="24823D9F" w14:textId="77777777">
            <w:pPr>
              <w:pStyle w:val="ListParagraph"/>
              <w:ind w:left="0"/>
            </w:pPr>
          </w:p>
          <w:p w:rsidRPr="00585F45" w:rsidR="00A61F8E" w:rsidP="00585F45" w:rsidRDefault="00A03B44" w14:paraId="6F76F830" w14:textId="23002D99">
            <w:pPr>
              <w:pStyle w:val="ListParagraph"/>
              <w:numPr>
                <w:ilvl w:val="0"/>
                <w:numId w:val="25"/>
              </w:numPr>
              <w:ind w:left="0" w:firstLine="0"/>
            </w:pPr>
            <w:r>
              <w:t>Allocate the number of days to the delivery of each task and deliverable.  </w:t>
            </w:r>
          </w:p>
          <w:p w:rsidRPr="00585F45" w:rsidR="00A61F8E" w:rsidP="2A33D8CF" w:rsidRDefault="00A61F8E" w14:paraId="38385CB9" w14:textId="20FC2F20">
            <w:pPr>
              <w:pStyle w:val="ListParagraph"/>
              <w:ind w:left="0"/>
            </w:pPr>
          </w:p>
          <w:p w:rsidRPr="00585F45" w:rsidR="00A61F8E" w:rsidP="7D66AFE7" w:rsidRDefault="6E071F03" w14:paraId="79B53435" w14:textId="14B50966">
            <w:pPr>
              <w:pStyle w:val="ListParagraph"/>
              <w:numPr>
                <w:ilvl w:val="0"/>
                <w:numId w:val="25"/>
              </w:numPr>
              <w:ind w:left="0" w:firstLine="0"/>
            </w:pPr>
            <w:r w:rsidRPr="6F20907B">
              <w:rPr>
                <w:rFonts w:eastAsia="Arial" w:cs="Arial"/>
                <w:sz w:val="22"/>
              </w:rPr>
              <w:t>O</w:t>
            </w:r>
            <w:r w:rsidRPr="6F20907B">
              <w:rPr>
                <w:rFonts w:eastAsia="Arial" w:cs="Arial"/>
                <w:szCs w:val="24"/>
              </w:rPr>
              <w:t>utline the proposed project management arrangements, including day to day working for the project, the proposed timetable, risk log and mitigation, a Gantt chart presenting milestones, deliverables, timelines, and inter-dependencies.</w:t>
            </w:r>
          </w:p>
        </w:tc>
      </w:tr>
      <w:bookmarkEnd w:id="2"/>
    </w:tbl>
    <w:p w:rsidR="00EB23A0" w:rsidP="5BE16D65" w:rsidRDefault="00EB23A0" w14:paraId="18FE6FD0" w14:textId="77777777"/>
    <w:p w:rsidR="00EB23A0" w:rsidP="00EB23A0" w:rsidRDefault="00EB23A0" w14:paraId="74143C73" w14:textId="447250CD">
      <w:pPr>
        <w:pStyle w:val="Subheading"/>
      </w:pPr>
      <w:r w:rsidRPr="007309B9">
        <w:t>Commercial (</w:t>
      </w:r>
      <w:r w:rsidRPr="00BC7C62" w:rsidR="00BC7C62">
        <w:rPr>
          <w:rStyle w:val="Important"/>
          <w:b/>
          <w:bCs/>
          <w:color w:val="auto"/>
        </w:rPr>
        <w:t>40</w:t>
      </w:r>
      <w:r w:rsidRPr="007309B9">
        <w:t>%)</w:t>
      </w:r>
      <w:r>
        <w:t xml:space="preserve"> </w:t>
      </w:r>
    </w:p>
    <w:p w:rsidRPr="007309B9" w:rsidR="00EB23A0" w:rsidP="00EB23A0" w:rsidRDefault="00EB23A0" w14:paraId="47600954" w14:textId="1F117DCE">
      <w:r w:rsidRPr="007309B9">
        <w:t xml:space="preserve">The Contract is to be awarded as a </w:t>
      </w:r>
      <w:r w:rsidRPr="00BC7C62">
        <w:rPr>
          <w:rStyle w:val="Important"/>
          <w:b w:val="0"/>
          <w:bCs/>
          <w:color w:val="auto"/>
        </w:rPr>
        <w:t>fixed price</w:t>
      </w:r>
      <w:r w:rsidRPr="00BC7C62" w:rsidR="00BC7C62">
        <w:rPr>
          <w:rStyle w:val="Important"/>
          <w:b w:val="0"/>
          <w:bCs/>
          <w:color w:val="auto"/>
        </w:rPr>
        <w:t>,</w:t>
      </w:r>
      <w:r w:rsidRPr="00BC7C62" w:rsidR="00BC7C62">
        <w:rPr>
          <w:rStyle w:val="Important"/>
          <w:color w:val="auto"/>
        </w:rPr>
        <w:t xml:space="preserve"> </w:t>
      </w:r>
      <w:r w:rsidRPr="007309B9">
        <w:t>which will be paid according to the completion of the deliverables stated in the Specification of Requirements.</w:t>
      </w:r>
    </w:p>
    <w:p w:rsidRPr="007309B9" w:rsidR="00EB23A0" w:rsidP="00EB23A0" w:rsidRDefault="00EB23A0" w14:paraId="05066691" w14:textId="0FD97347">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35543">
        <w:rPr>
          <w:rStyle w:val="Important"/>
          <w:b w:val="0"/>
          <w:bCs/>
          <w:color w:val="auto"/>
        </w:rPr>
        <w:t>each deliverable</w:t>
      </w:r>
      <w:r w:rsidRPr="00135543" w:rsidR="00135543">
        <w:rPr>
          <w:rStyle w:val="Important"/>
          <w:color w:val="auto"/>
        </w:rPr>
        <w:t xml:space="preserve"> </w:t>
      </w:r>
      <w:r w:rsidRPr="007309B9">
        <w:t xml:space="preserve">used in the delivery of this requirement. </w:t>
      </w:r>
    </w:p>
    <w:p w:rsidRPr="002503BB" w:rsidR="00EB23A0" w:rsidP="00EB23A0" w:rsidRDefault="00EB23A0" w14:paraId="61998897" w14:textId="77777777">
      <w:pPr>
        <w:rPr>
          <w:b/>
          <w:bCs/>
        </w:rPr>
      </w:pPr>
      <w:r w:rsidRPr="002503BB">
        <w:rPr>
          <w:b/>
          <w:bCs/>
        </w:rPr>
        <w:t>Calculation Method</w:t>
      </w:r>
    </w:p>
    <w:p w:rsidR="00EB23A0" w:rsidP="00EB23A0" w:rsidRDefault="00EB23A0" w14:paraId="5A19E05F" w14:textId="7DAA1059">
      <w:r w:rsidRPr="007309B9">
        <w:t>The method for calculating the weighted scores is as follows:</w:t>
      </w:r>
      <w:r>
        <w:t xml:space="preserve"> </w:t>
      </w:r>
    </w:p>
    <w:p w:rsidRPr="001C4D0A" w:rsidR="00EB23A0" w:rsidP="00EB23A0" w:rsidRDefault="00EB23A0" w14:paraId="2DC17C59" w14:textId="77777777">
      <w:pPr>
        <w:pStyle w:val="BulletText1"/>
        <w:rPr>
          <w:sz w:val="24"/>
          <w:szCs w:val="24"/>
        </w:rPr>
      </w:pPr>
      <w:r w:rsidRPr="001C4D0A">
        <w:rPr>
          <w:sz w:val="24"/>
          <w:szCs w:val="24"/>
        </w:rPr>
        <w:t xml:space="preserve">Commercial </w:t>
      </w:r>
    </w:p>
    <w:p w:rsidRPr="007309B9" w:rsidR="00EB23A0" w:rsidP="00EB23A0" w:rsidRDefault="00EB23A0" w14:paraId="72CC2205" w14:textId="79F300BA">
      <w:r>
        <w:t xml:space="preserve">Score </w:t>
      </w:r>
      <w:r w:rsidR="58D1B4FC">
        <w:t>= (</w:t>
      </w:r>
      <w:r>
        <w:t xml:space="preserve">Lowest Quotation Price / Supplier’s Quotation </w:t>
      </w:r>
      <w:r w:rsidR="1FD08679">
        <w:t>Price)</w:t>
      </w:r>
      <w:r>
        <w:t xml:space="preserve"> x </w:t>
      </w:r>
      <w:r w:rsidRPr="5AAE6BE8">
        <w:rPr>
          <w:rStyle w:val="Important"/>
          <w:b w:val="0"/>
          <w:color w:val="auto"/>
        </w:rPr>
        <w:t>40%</w:t>
      </w:r>
      <w:r>
        <w:t xml:space="preserve"> (Maximum available marks)</w:t>
      </w:r>
    </w:p>
    <w:p w:rsidRPr="001C4D0A" w:rsidR="00EB23A0" w:rsidP="00EB23A0" w:rsidRDefault="00EB23A0" w14:paraId="1C4202CB" w14:textId="77777777">
      <w:pPr>
        <w:pStyle w:val="BulletText1"/>
        <w:rPr>
          <w:sz w:val="24"/>
          <w:szCs w:val="24"/>
        </w:rPr>
      </w:pPr>
      <w:r w:rsidRPr="001C4D0A">
        <w:rPr>
          <w:sz w:val="24"/>
          <w:szCs w:val="24"/>
        </w:rPr>
        <w:t>Technical</w:t>
      </w:r>
    </w:p>
    <w:p w:rsidRPr="007309B9" w:rsidR="00EB23A0" w:rsidP="00EB23A0" w:rsidRDefault="00EB23A0" w14:paraId="2B71EBA8" w14:textId="25C56239">
      <w:r>
        <w:t xml:space="preserve">Score = (Bidder’s Total Technical Score / Highest Technical </w:t>
      </w:r>
      <w:r w:rsidR="3E1BCC89">
        <w:t>Score) x</w:t>
      </w:r>
      <w:r>
        <w:t xml:space="preserve"> </w:t>
      </w:r>
      <w:r w:rsidRPr="5AAE6BE8">
        <w:rPr>
          <w:rStyle w:val="Important"/>
          <w:b w:val="0"/>
          <w:color w:val="auto"/>
        </w:rPr>
        <w:t>60%</w:t>
      </w:r>
      <w:r w:rsidRPr="5AAE6BE8">
        <w:rPr>
          <w:rStyle w:val="Important"/>
        </w:rPr>
        <w:t xml:space="preserve"> </w:t>
      </w:r>
      <w:r>
        <w:t>(Maximum available marks)</w:t>
      </w:r>
    </w:p>
    <w:p w:rsidRPr="007309B9" w:rsidR="00EB23A0" w:rsidP="00EB23A0" w:rsidRDefault="00EB23A0" w14:paraId="4C6A5190" w14:textId="77777777">
      <w:r w:rsidRPr="007309B9">
        <w:t xml:space="preserve">The total score (weighted) (TWS) is then calculated by adding the total weighted commercial score (WC) to the total weighted technical score (WT): WC + WT = TWS. </w:t>
      </w:r>
    </w:p>
    <w:p w:rsidRPr="007309B9" w:rsidR="00EB23A0" w:rsidP="00EB23A0" w:rsidRDefault="00EB23A0" w14:paraId="25C7F0BC" w14:textId="77777777">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Pr="007309B9" w:rsidR="00EB23A0" w:rsidP="00EB23A0" w:rsidRDefault="00EB23A0" w14:paraId="04E195C6" w14:textId="77777777">
      <w:r w:rsidRPr="007309B9">
        <w:t xml:space="preserve">Once the evaluation of the Response(s) is complete all suppliers will be notified of the outcome via email. </w:t>
      </w:r>
    </w:p>
    <w:p w:rsidRPr="00075BC1" w:rsidR="00EB23A0" w:rsidP="00EB23A0" w:rsidRDefault="00EB23A0" w14:paraId="5D3B7E02" w14:textId="06EA0024">
      <w:pPr>
        <w:rPr>
          <w:rStyle w:val="Important"/>
          <w:b w:val="0"/>
          <w:bCs/>
          <w:color w:val="auto"/>
        </w:rPr>
      </w:pPr>
      <w:r w:rsidRPr="00075BC1">
        <w:rPr>
          <w:rStyle w:val="Important"/>
          <w:b w:val="0"/>
          <w:bCs/>
          <w:color w:val="auto"/>
        </w:rPr>
        <w:t>The successful supplier will be issued the contract, incorporating their Response, for signature. The Authority will then counter sign</w:t>
      </w:r>
      <w:r w:rsidRPr="00075BC1" w:rsidR="00075BC1">
        <w:rPr>
          <w:rStyle w:val="Important"/>
          <w:b w:val="0"/>
          <w:bCs/>
          <w:color w:val="auto"/>
        </w:rPr>
        <w:t>.</w:t>
      </w:r>
      <w:r w:rsidRPr="00075BC1">
        <w:rPr>
          <w:rStyle w:val="Important"/>
          <w:b w:val="0"/>
          <w:bCs/>
          <w:color w:val="auto"/>
        </w:rPr>
        <w:t xml:space="preserve"> </w:t>
      </w:r>
    </w:p>
    <w:p w:rsidR="00EB23A0" w:rsidP="00EB23A0" w:rsidRDefault="00EB23A0" w14:paraId="4E5DEB97" w14:textId="77777777">
      <w:r>
        <w:br w:type="page"/>
      </w:r>
    </w:p>
    <w:p w:rsidRPr="00E30A4F" w:rsidR="00EB23A0" w:rsidP="00EB23A0" w:rsidRDefault="00EB23A0" w14:paraId="0423EA08" w14:textId="77777777">
      <w:pPr>
        <w:pStyle w:val="Sectiontitle"/>
      </w:pPr>
      <w:r w:rsidRPr="00E30A4F">
        <w:t xml:space="preserve">Annex 1 Mandatory Requirements </w:t>
      </w:r>
    </w:p>
    <w:p w:rsidRPr="00E30A4F" w:rsidR="00EB23A0" w:rsidP="00EB23A0" w:rsidRDefault="00EB23A0" w14:paraId="70D5F724" w14:textId="77777777">
      <w:pPr>
        <w:pStyle w:val="Subheading"/>
      </w:pPr>
      <w:r w:rsidRPr="00E30A4F">
        <w:t>Part 1 Potential Supplier Information</w:t>
      </w:r>
    </w:p>
    <w:p w:rsidR="00EB23A0" w:rsidP="00EB23A0" w:rsidRDefault="00EB23A0" w14:paraId="5B770FCB" w14:textId="77777777">
      <w:r w:rsidRPr="00E30A4F">
        <w:t xml:space="preserve">Please answer the following self-declaration questions in full and include this Annex in your quotation response.  </w:t>
      </w:r>
    </w:p>
    <w:p w:rsidRPr="00E30A4F" w:rsidR="00EB23A0" w:rsidP="00EB23A0" w:rsidRDefault="00EB23A0" w14:paraId="01A5D85C"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rsidTr="00D76DAE" w14:paraId="0FC0DBD4"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76DAE" w:rsidRDefault="00EB23A0" w14:paraId="5269ED54" w14:textId="77777777">
            <w:r w:rsidRPr="00E30A4F">
              <w:t>Question no.</w:t>
            </w:r>
          </w:p>
        </w:tc>
        <w:tc>
          <w:tcPr>
            <w:tcW w:w="4062" w:type="dxa"/>
          </w:tcPr>
          <w:p w:rsidRPr="009F2992" w:rsidR="00EB23A0" w:rsidP="00D76DAE" w:rsidRDefault="00EB23A0" w14:paraId="44C29A4A" w14:textId="77777777">
            <w:r w:rsidRPr="00E30A4F">
              <w:t>Question</w:t>
            </w:r>
          </w:p>
        </w:tc>
        <w:tc>
          <w:tcPr>
            <w:tcW w:w="2879" w:type="dxa"/>
          </w:tcPr>
          <w:p w:rsidRPr="009F2992" w:rsidR="00EB23A0" w:rsidP="00D76DAE" w:rsidRDefault="00EB23A0" w14:paraId="78A5E7F7" w14:textId="77777777">
            <w:r>
              <w:t>Response</w:t>
            </w:r>
          </w:p>
        </w:tc>
      </w:tr>
      <w:tr w:rsidR="00EB23A0" w:rsidTr="00D76DAE" w14:paraId="7692DAE7" w14:textId="77777777">
        <w:tc>
          <w:tcPr>
            <w:tcW w:w="1696" w:type="dxa"/>
          </w:tcPr>
          <w:p w:rsidRPr="009F2992" w:rsidR="00EB23A0" w:rsidP="00D76DAE" w:rsidRDefault="00EB23A0" w14:paraId="74BE1979" w14:textId="77777777">
            <w:r w:rsidRPr="00E30A4F">
              <w:t>1.1(a)</w:t>
            </w:r>
          </w:p>
        </w:tc>
        <w:tc>
          <w:tcPr>
            <w:tcW w:w="4062" w:type="dxa"/>
          </w:tcPr>
          <w:p w:rsidRPr="009F2992" w:rsidR="00EB23A0" w:rsidP="00D76DAE" w:rsidRDefault="00EB23A0" w14:paraId="3BE41F68" w14:textId="77777777">
            <w:r w:rsidRPr="00E30A4F">
              <w:t>Full name of the potential supplier submitting the information</w:t>
            </w:r>
          </w:p>
          <w:p w:rsidRPr="00E30A4F" w:rsidR="00EB23A0" w:rsidP="00D76DAE" w:rsidRDefault="00EB23A0" w14:paraId="3995BAB7" w14:textId="77777777"/>
        </w:tc>
        <w:tc>
          <w:tcPr>
            <w:tcW w:w="2879" w:type="dxa"/>
          </w:tcPr>
          <w:p w:rsidRPr="00E30A4F" w:rsidR="00EB23A0" w:rsidP="00D76DAE" w:rsidRDefault="00EB23A0" w14:paraId="4028C177" w14:textId="77777777"/>
        </w:tc>
      </w:tr>
      <w:tr w:rsidR="00EB23A0" w:rsidTr="00D76DAE" w14:paraId="59F19A53" w14:textId="77777777">
        <w:tc>
          <w:tcPr>
            <w:tcW w:w="1696" w:type="dxa"/>
          </w:tcPr>
          <w:p w:rsidRPr="009F2992" w:rsidR="00EB23A0" w:rsidP="00D76DAE" w:rsidRDefault="00EB23A0" w14:paraId="7AE4C69A" w14:textId="77777777">
            <w:r w:rsidRPr="00E30A4F">
              <w:t xml:space="preserve">1.1(b) </w:t>
            </w:r>
          </w:p>
        </w:tc>
        <w:tc>
          <w:tcPr>
            <w:tcW w:w="4062" w:type="dxa"/>
          </w:tcPr>
          <w:p w:rsidRPr="009F2992" w:rsidR="00EB23A0" w:rsidP="00D76DAE" w:rsidRDefault="00EB23A0" w14:paraId="35A3F75C" w14:textId="77777777">
            <w:r w:rsidRPr="00E30A4F">
              <w:t>Registered office address (if applicable)</w:t>
            </w:r>
          </w:p>
        </w:tc>
        <w:tc>
          <w:tcPr>
            <w:tcW w:w="2879" w:type="dxa"/>
          </w:tcPr>
          <w:p w:rsidRPr="00E30A4F" w:rsidR="00EB23A0" w:rsidP="00D76DAE" w:rsidRDefault="00EB23A0" w14:paraId="6E55502C" w14:textId="77777777"/>
        </w:tc>
      </w:tr>
      <w:tr w:rsidR="00EB23A0" w:rsidTr="00D76DAE" w14:paraId="23A6EB07" w14:textId="77777777">
        <w:tc>
          <w:tcPr>
            <w:tcW w:w="1696" w:type="dxa"/>
          </w:tcPr>
          <w:p w:rsidRPr="009F2992" w:rsidR="00EB23A0" w:rsidP="00D76DAE" w:rsidRDefault="00EB23A0" w14:paraId="24BA4330" w14:textId="77777777">
            <w:r w:rsidRPr="00E30A4F">
              <w:t>1.1(c)</w:t>
            </w:r>
          </w:p>
        </w:tc>
        <w:tc>
          <w:tcPr>
            <w:tcW w:w="4062" w:type="dxa"/>
          </w:tcPr>
          <w:p w:rsidRPr="009F2992" w:rsidR="00EB23A0" w:rsidP="00D76DAE" w:rsidRDefault="00EB23A0" w14:paraId="18B04488" w14:textId="77777777">
            <w:r w:rsidRPr="00E30A4F">
              <w:t xml:space="preserve">Company </w:t>
            </w:r>
            <w:r w:rsidRPr="009F2992">
              <w:t>registration number (if applicable)</w:t>
            </w:r>
          </w:p>
        </w:tc>
        <w:tc>
          <w:tcPr>
            <w:tcW w:w="2879" w:type="dxa"/>
          </w:tcPr>
          <w:p w:rsidRPr="00E30A4F" w:rsidR="00EB23A0" w:rsidP="00D76DAE" w:rsidRDefault="00EB23A0" w14:paraId="3D41E2CF" w14:textId="77777777"/>
        </w:tc>
      </w:tr>
      <w:tr w:rsidR="00EB23A0" w:rsidTr="00D76DAE" w14:paraId="289B53DD" w14:textId="77777777">
        <w:tc>
          <w:tcPr>
            <w:tcW w:w="1696" w:type="dxa"/>
          </w:tcPr>
          <w:p w:rsidRPr="009F2992" w:rsidR="00EB23A0" w:rsidP="00D76DAE" w:rsidRDefault="00EB23A0" w14:paraId="55933E7D" w14:textId="77777777">
            <w:r w:rsidRPr="00E30A4F">
              <w:t>1.1(d)</w:t>
            </w:r>
          </w:p>
        </w:tc>
        <w:tc>
          <w:tcPr>
            <w:tcW w:w="4062" w:type="dxa"/>
          </w:tcPr>
          <w:p w:rsidRPr="009F2992" w:rsidR="00EB23A0" w:rsidP="00D76DAE" w:rsidRDefault="00EB23A0" w14:paraId="0CD11E2D" w14:textId="77777777">
            <w:r w:rsidRPr="00E30A4F">
              <w:t>Charity registration number (if applicable)</w:t>
            </w:r>
          </w:p>
        </w:tc>
        <w:tc>
          <w:tcPr>
            <w:tcW w:w="2879" w:type="dxa"/>
          </w:tcPr>
          <w:p w:rsidRPr="00E30A4F" w:rsidR="00EB23A0" w:rsidP="00D76DAE" w:rsidRDefault="00EB23A0" w14:paraId="4D7F52E1" w14:textId="77777777"/>
        </w:tc>
      </w:tr>
      <w:tr w:rsidR="00EB23A0" w:rsidTr="00D76DAE" w14:paraId="3ACBF785" w14:textId="77777777">
        <w:tc>
          <w:tcPr>
            <w:tcW w:w="1696" w:type="dxa"/>
          </w:tcPr>
          <w:p w:rsidRPr="009F2992" w:rsidR="00EB23A0" w:rsidP="00D76DAE" w:rsidRDefault="00EB23A0" w14:paraId="69ECFBC1" w14:textId="77777777">
            <w:r w:rsidRPr="00E30A4F">
              <w:t>1.1(e)</w:t>
            </w:r>
          </w:p>
        </w:tc>
        <w:tc>
          <w:tcPr>
            <w:tcW w:w="4062" w:type="dxa"/>
          </w:tcPr>
          <w:p w:rsidRPr="009F2992" w:rsidR="00EB23A0" w:rsidP="00D76DAE" w:rsidRDefault="00EB23A0" w14:paraId="43831D57" w14:textId="77777777">
            <w:r w:rsidRPr="00E30A4F">
              <w:t>Head office DUNS number (if applicable)</w:t>
            </w:r>
          </w:p>
        </w:tc>
        <w:tc>
          <w:tcPr>
            <w:tcW w:w="2879" w:type="dxa"/>
          </w:tcPr>
          <w:p w:rsidRPr="00E30A4F" w:rsidR="00EB23A0" w:rsidP="00D76DAE" w:rsidRDefault="00EB23A0" w14:paraId="1809609C" w14:textId="77777777"/>
        </w:tc>
      </w:tr>
      <w:tr w:rsidR="00EB23A0" w:rsidTr="00D76DAE" w14:paraId="0217C755" w14:textId="77777777">
        <w:tc>
          <w:tcPr>
            <w:tcW w:w="1696" w:type="dxa"/>
          </w:tcPr>
          <w:p w:rsidRPr="009F2992" w:rsidR="00EB23A0" w:rsidP="00D76DAE" w:rsidRDefault="00EB23A0" w14:paraId="3DE381A8" w14:textId="77777777">
            <w:r w:rsidRPr="00E30A4F">
              <w:t>1.1(f)</w:t>
            </w:r>
          </w:p>
        </w:tc>
        <w:tc>
          <w:tcPr>
            <w:tcW w:w="4062" w:type="dxa"/>
          </w:tcPr>
          <w:p w:rsidRPr="009F2992" w:rsidR="00EB23A0" w:rsidP="00D76DAE" w:rsidRDefault="00EB23A0" w14:paraId="5BF1E9CA" w14:textId="77777777">
            <w:r w:rsidRPr="00E30A4F">
              <w:t xml:space="preserve">Registered VAT number </w:t>
            </w:r>
          </w:p>
        </w:tc>
        <w:tc>
          <w:tcPr>
            <w:tcW w:w="2879" w:type="dxa"/>
          </w:tcPr>
          <w:p w:rsidRPr="00E30A4F" w:rsidR="00EB23A0" w:rsidP="00D76DAE" w:rsidRDefault="00EB23A0" w14:paraId="6AA2C977" w14:textId="77777777"/>
        </w:tc>
      </w:tr>
      <w:tr w:rsidR="00EB23A0" w:rsidTr="00D76DAE" w14:paraId="454C3D86" w14:textId="77777777">
        <w:tc>
          <w:tcPr>
            <w:tcW w:w="1696" w:type="dxa"/>
          </w:tcPr>
          <w:p w:rsidRPr="009F2992" w:rsidR="00EB23A0" w:rsidP="00D76DAE" w:rsidRDefault="00EB23A0" w14:paraId="6546A6F9" w14:textId="77777777">
            <w:r w:rsidRPr="00E30A4F">
              <w:t>1.1(g)</w:t>
            </w:r>
          </w:p>
        </w:tc>
        <w:tc>
          <w:tcPr>
            <w:tcW w:w="4062" w:type="dxa"/>
          </w:tcPr>
          <w:p w:rsidRPr="009F2992" w:rsidR="00EB23A0" w:rsidP="00D76DAE" w:rsidRDefault="00EB23A0" w14:paraId="628086E8" w14:textId="77777777">
            <w:r w:rsidRPr="00E30A4F">
              <w:t>Are you a Small, Medium or Micro Enterprise (SME)?</w:t>
            </w:r>
          </w:p>
        </w:tc>
        <w:tc>
          <w:tcPr>
            <w:tcW w:w="2879" w:type="dxa"/>
          </w:tcPr>
          <w:p w:rsidRPr="009F2992" w:rsidR="00EB23A0" w:rsidP="00D76DAE" w:rsidRDefault="00EB23A0" w14:paraId="77C46B10" w14:textId="77777777">
            <w:r>
              <w:t>(Yes / No)</w:t>
            </w:r>
          </w:p>
        </w:tc>
      </w:tr>
    </w:tbl>
    <w:p w:rsidR="00EB23A0" w:rsidP="00EB23A0" w:rsidRDefault="00EB23A0" w14:paraId="18E10923" w14:textId="77777777">
      <w:r>
        <w:t xml:space="preserve">Note: </w:t>
      </w:r>
      <w:r w:rsidRPr="008D284A">
        <w:t xml:space="preserve">See EU definition of SME </w:t>
      </w:r>
      <w:hyperlink w:history="1" r:id="rId20">
        <w:r w:rsidRPr="008D284A">
          <w:rPr>
            <w:rStyle w:val="Hyperlink"/>
          </w:rPr>
          <w:t>https://ec.europa.eu/growth/smes/business-friendly-environment/sme-definition_en</w:t>
        </w:r>
      </w:hyperlink>
    </w:p>
    <w:p w:rsidRPr="00E30A4F" w:rsidR="00EB23A0" w:rsidP="00EB23A0" w:rsidRDefault="00EB23A0" w14:paraId="0C2833D3" w14:textId="77777777">
      <w:pPr>
        <w:rPr>
          <w:rStyle w:val="Boldtext"/>
        </w:rPr>
      </w:pPr>
      <w:r>
        <w:rPr>
          <w:rStyle w:val="Boldtext"/>
        </w:rPr>
        <w:t xml:space="preserve">Part 1.2 </w:t>
      </w:r>
      <w:r w:rsidRPr="00E30A4F">
        <w:rPr>
          <w:rStyle w:val="Boldtext"/>
        </w:rPr>
        <w:t>Contact details and declaration</w:t>
      </w:r>
    </w:p>
    <w:p w:rsidRPr="00E30A4F" w:rsidR="00EB23A0" w:rsidP="00EB23A0" w:rsidRDefault="00EB23A0" w14:paraId="7D58CA4A" w14:textId="77777777">
      <w:r w:rsidRPr="00E30A4F">
        <w:t xml:space="preserve">By submitting a quotation to this RFQ I declare that to the best of my knowledge the answers submitted and information contained in this document are correct and accurate. </w:t>
      </w:r>
    </w:p>
    <w:p w:rsidRPr="00E30A4F" w:rsidR="00EB23A0" w:rsidP="00EB23A0" w:rsidRDefault="00EB23A0" w14:paraId="52557244" w14:textId="77777777">
      <w:r w:rsidRPr="00E30A4F">
        <w:t xml:space="preserve">I declare that, upon request and without delay you will provide the certificates or documentary evidence referred to in this document. </w:t>
      </w:r>
    </w:p>
    <w:p w:rsidRPr="00E30A4F" w:rsidR="00EB23A0" w:rsidP="00EB23A0" w:rsidRDefault="00EB23A0" w14:paraId="330D7E6F" w14:textId="77777777">
      <w:r w:rsidRPr="00E30A4F">
        <w:t xml:space="preserve">I understand that the information will be used in the selection process to assess my organisation’s suitability to be invited to participate further in this procurement. </w:t>
      </w:r>
    </w:p>
    <w:p w:rsidRPr="00E30A4F" w:rsidR="00EB23A0" w:rsidP="00EB23A0" w:rsidRDefault="00EB23A0" w14:paraId="27B83919"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EB23A0" w:rsidRDefault="00EB23A0" w14:paraId="61734694" w14:textId="77777777">
      <w:r w:rsidRPr="00E30A4F">
        <w:t>I am aware of the consequences of serious misrepresentation.</w:t>
      </w:r>
    </w:p>
    <w:p w:rsidRPr="007309B9" w:rsidR="00EB23A0" w:rsidP="00EB23A0" w:rsidRDefault="00EB23A0" w14:paraId="1E677515" w14:textId="77777777"/>
    <w:tbl>
      <w:tblPr>
        <w:tblStyle w:val="Table"/>
        <w:tblW w:w="0" w:type="auto"/>
        <w:tblLook w:val="04A0" w:firstRow="1" w:lastRow="0" w:firstColumn="1" w:lastColumn="0" w:noHBand="0" w:noVBand="1"/>
      </w:tblPr>
      <w:tblGrid>
        <w:gridCol w:w="1696"/>
        <w:gridCol w:w="4062"/>
        <w:gridCol w:w="2879"/>
      </w:tblGrid>
      <w:tr w:rsidR="00EB23A0" w:rsidTr="00D76DAE" w14:paraId="6D96E2A9"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76DAE" w:rsidRDefault="00EB23A0" w14:paraId="02036DE4" w14:textId="77777777">
            <w:r w:rsidRPr="00E30A4F">
              <w:t xml:space="preserve">Question no. </w:t>
            </w:r>
          </w:p>
        </w:tc>
        <w:tc>
          <w:tcPr>
            <w:tcW w:w="4062" w:type="dxa"/>
          </w:tcPr>
          <w:p w:rsidRPr="009F2992" w:rsidR="00EB23A0" w:rsidP="00D76DAE" w:rsidRDefault="00EB23A0" w14:paraId="589B6D56" w14:textId="77777777">
            <w:r w:rsidRPr="00E30A4F">
              <w:t>Question</w:t>
            </w:r>
          </w:p>
        </w:tc>
        <w:tc>
          <w:tcPr>
            <w:tcW w:w="2879" w:type="dxa"/>
          </w:tcPr>
          <w:p w:rsidRPr="009F2992" w:rsidR="00EB23A0" w:rsidP="00D76DAE" w:rsidRDefault="00EB23A0" w14:paraId="5DBE6E35" w14:textId="77777777">
            <w:r w:rsidRPr="00E30A4F">
              <w:t>Response</w:t>
            </w:r>
          </w:p>
        </w:tc>
      </w:tr>
      <w:tr w:rsidR="00EB23A0" w:rsidTr="00D76DAE" w14:paraId="251E5463" w14:textId="77777777">
        <w:tc>
          <w:tcPr>
            <w:tcW w:w="1696" w:type="dxa"/>
          </w:tcPr>
          <w:p w:rsidRPr="009F2992" w:rsidR="00EB23A0" w:rsidP="00D76DAE" w:rsidRDefault="00EB23A0" w14:paraId="50824D74" w14:textId="77777777">
            <w:r w:rsidRPr="00E30A4F">
              <w:t>1.2(a)</w:t>
            </w:r>
          </w:p>
        </w:tc>
        <w:tc>
          <w:tcPr>
            <w:tcW w:w="4062" w:type="dxa"/>
          </w:tcPr>
          <w:p w:rsidRPr="009F2992" w:rsidR="00EB23A0" w:rsidP="00D76DAE" w:rsidRDefault="00EB23A0" w14:paraId="31E22FE3" w14:textId="77777777">
            <w:r w:rsidRPr="00E30A4F">
              <w:t>Contact name</w:t>
            </w:r>
          </w:p>
        </w:tc>
        <w:tc>
          <w:tcPr>
            <w:tcW w:w="2879" w:type="dxa"/>
          </w:tcPr>
          <w:p w:rsidRPr="00E30A4F" w:rsidR="00EB23A0" w:rsidP="00D76DAE" w:rsidRDefault="00EB23A0" w14:paraId="4D53DBA6" w14:textId="77777777"/>
        </w:tc>
      </w:tr>
      <w:tr w:rsidR="00EB23A0" w:rsidTr="00D76DAE" w14:paraId="2EDA1A41" w14:textId="77777777">
        <w:tc>
          <w:tcPr>
            <w:tcW w:w="1696" w:type="dxa"/>
          </w:tcPr>
          <w:p w:rsidRPr="009F2992" w:rsidR="00EB23A0" w:rsidP="00D76DAE" w:rsidRDefault="00EB23A0" w14:paraId="17980EB8" w14:textId="77777777">
            <w:r w:rsidRPr="00E30A4F">
              <w:t>1.2(b)</w:t>
            </w:r>
          </w:p>
        </w:tc>
        <w:tc>
          <w:tcPr>
            <w:tcW w:w="4062" w:type="dxa"/>
          </w:tcPr>
          <w:p w:rsidRPr="009F2992" w:rsidR="00EB23A0" w:rsidP="00D76DAE" w:rsidRDefault="00EB23A0" w14:paraId="3F795786" w14:textId="77777777">
            <w:r w:rsidRPr="00E30A4F">
              <w:t>Name of organisation</w:t>
            </w:r>
          </w:p>
        </w:tc>
        <w:tc>
          <w:tcPr>
            <w:tcW w:w="2879" w:type="dxa"/>
          </w:tcPr>
          <w:p w:rsidRPr="00E30A4F" w:rsidR="00EB23A0" w:rsidP="00D76DAE" w:rsidRDefault="00EB23A0" w14:paraId="2D1F8FBD" w14:textId="77777777"/>
        </w:tc>
      </w:tr>
      <w:tr w:rsidR="00EB23A0" w:rsidTr="00D76DAE" w14:paraId="0319B0BF" w14:textId="77777777">
        <w:tc>
          <w:tcPr>
            <w:tcW w:w="1696" w:type="dxa"/>
          </w:tcPr>
          <w:p w:rsidRPr="009F2992" w:rsidR="00EB23A0" w:rsidP="00D76DAE" w:rsidRDefault="00EB23A0" w14:paraId="002E0C3B" w14:textId="77777777">
            <w:r w:rsidRPr="00E30A4F">
              <w:t>1.2(c)</w:t>
            </w:r>
          </w:p>
        </w:tc>
        <w:tc>
          <w:tcPr>
            <w:tcW w:w="4062" w:type="dxa"/>
          </w:tcPr>
          <w:p w:rsidRPr="009F2992" w:rsidR="00EB23A0" w:rsidP="00D76DAE" w:rsidRDefault="00EB23A0" w14:paraId="0197D408" w14:textId="77777777">
            <w:r w:rsidRPr="00E30A4F">
              <w:t>Role in organisation</w:t>
            </w:r>
          </w:p>
        </w:tc>
        <w:tc>
          <w:tcPr>
            <w:tcW w:w="2879" w:type="dxa"/>
          </w:tcPr>
          <w:p w:rsidRPr="00E30A4F" w:rsidR="00EB23A0" w:rsidP="00D76DAE" w:rsidRDefault="00EB23A0" w14:paraId="38ADEAE9" w14:textId="77777777"/>
        </w:tc>
      </w:tr>
      <w:tr w:rsidR="00EB23A0" w:rsidTr="00D76DAE" w14:paraId="76C88AF0" w14:textId="77777777">
        <w:tc>
          <w:tcPr>
            <w:tcW w:w="1696" w:type="dxa"/>
          </w:tcPr>
          <w:p w:rsidRPr="009F2992" w:rsidR="00EB23A0" w:rsidP="00D76DAE" w:rsidRDefault="00EB23A0" w14:paraId="0B9E3BBF" w14:textId="77777777">
            <w:r w:rsidRPr="00E30A4F">
              <w:t>1.2(d)</w:t>
            </w:r>
          </w:p>
        </w:tc>
        <w:tc>
          <w:tcPr>
            <w:tcW w:w="4062" w:type="dxa"/>
          </w:tcPr>
          <w:p w:rsidRPr="009F2992" w:rsidR="00EB23A0" w:rsidP="00D76DAE" w:rsidRDefault="00EB23A0" w14:paraId="5066D63F" w14:textId="77777777">
            <w:r w:rsidRPr="00E30A4F">
              <w:t>Phone number</w:t>
            </w:r>
          </w:p>
        </w:tc>
        <w:tc>
          <w:tcPr>
            <w:tcW w:w="2879" w:type="dxa"/>
          </w:tcPr>
          <w:p w:rsidRPr="00E30A4F" w:rsidR="00EB23A0" w:rsidP="00D76DAE" w:rsidRDefault="00EB23A0" w14:paraId="143600C7" w14:textId="77777777"/>
        </w:tc>
      </w:tr>
      <w:tr w:rsidR="00EB23A0" w:rsidTr="00D76DAE" w14:paraId="129C3DE2" w14:textId="77777777">
        <w:tc>
          <w:tcPr>
            <w:tcW w:w="1696" w:type="dxa"/>
          </w:tcPr>
          <w:p w:rsidRPr="009F2992" w:rsidR="00EB23A0" w:rsidP="00D76DAE" w:rsidRDefault="00EB23A0" w14:paraId="0686FF52" w14:textId="77777777">
            <w:r w:rsidRPr="00E30A4F">
              <w:t>1.2(e)</w:t>
            </w:r>
          </w:p>
        </w:tc>
        <w:tc>
          <w:tcPr>
            <w:tcW w:w="4062" w:type="dxa"/>
          </w:tcPr>
          <w:p w:rsidRPr="009F2992" w:rsidR="00EB23A0" w:rsidP="00D76DAE" w:rsidRDefault="00EB23A0" w14:paraId="03FD9016" w14:textId="77777777">
            <w:r w:rsidRPr="00E30A4F">
              <w:t xml:space="preserve">E-mail address </w:t>
            </w:r>
          </w:p>
        </w:tc>
        <w:tc>
          <w:tcPr>
            <w:tcW w:w="2879" w:type="dxa"/>
          </w:tcPr>
          <w:p w:rsidRPr="00E30A4F" w:rsidR="00EB23A0" w:rsidP="00D76DAE" w:rsidRDefault="00EB23A0" w14:paraId="318D3E50" w14:textId="77777777"/>
        </w:tc>
      </w:tr>
      <w:tr w:rsidR="00EB23A0" w:rsidTr="00D76DAE" w14:paraId="3BA0CD86" w14:textId="77777777">
        <w:tc>
          <w:tcPr>
            <w:tcW w:w="1696" w:type="dxa"/>
          </w:tcPr>
          <w:p w:rsidRPr="009F2992" w:rsidR="00EB23A0" w:rsidP="00D76DAE" w:rsidRDefault="00EB23A0" w14:paraId="0EFED122" w14:textId="77777777">
            <w:r w:rsidRPr="00E30A4F">
              <w:t>1.2(f)</w:t>
            </w:r>
          </w:p>
        </w:tc>
        <w:tc>
          <w:tcPr>
            <w:tcW w:w="4062" w:type="dxa"/>
          </w:tcPr>
          <w:p w:rsidRPr="009F2992" w:rsidR="00EB23A0" w:rsidP="00D76DAE" w:rsidRDefault="00EB23A0" w14:paraId="60A9CA82" w14:textId="77777777">
            <w:r w:rsidRPr="00E30A4F">
              <w:t>Postal address</w:t>
            </w:r>
          </w:p>
        </w:tc>
        <w:tc>
          <w:tcPr>
            <w:tcW w:w="2879" w:type="dxa"/>
          </w:tcPr>
          <w:p w:rsidRPr="00E30A4F" w:rsidR="00EB23A0" w:rsidP="00D76DAE" w:rsidRDefault="00EB23A0" w14:paraId="6CCAD02A" w14:textId="77777777"/>
        </w:tc>
      </w:tr>
      <w:tr w:rsidR="00EB23A0" w:rsidTr="00D76DAE" w14:paraId="7323C99A" w14:textId="77777777">
        <w:tc>
          <w:tcPr>
            <w:tcW w:w="1696" w:type="dxa"/>
          </w:tcPr>
          <w:p w:rsidRPr="009F2992" w:rsidR="00EB23A0" w:rsidP="00D76DAE" w:rsidRDefault="00EB23A0" w14:paraId="22F967AC" w14:textId="77777777">
            <w:r w:rsidRPr="00E30A4F">
              <w:t>1.2(g)</w:t>
            </w:r>
          </w:p>
        </w:tc>
        <w:tc>
          <w:tcPr>
            <w:tcW w:w="4062" w:type="dxa"/>
          </w:tcPr>
          <w:p w:rsidRPr="009F2992" w:rsidR="00EB23A0" w:rsidP="00D76DAE" w:rsidRDefault="00EB23A0" w14:paraId="550AEABB" w14:textId="77777777">
            <w:r w:rsidRPr="00E30A4F">
              <w:t>Signature (electronic is acceptable)</w:t>
            </w:r>
          </w:p>
        </w:tc>
        <w:tc>
          <w:tcPr>
            <w:tcW w:w="2879" w:type="dxa"/>
          </w:tcPr>
          <w:p w:rsidRPr="00E30A4F" w:rsidR="00EB23A0" w:rsidP="00D76DAE" w:rsidRDefault="00EB23A0" w14:paraId="1EDBD915" w14:textId="77777777"/>
        </w:tc>
      </w:tr>
      <w:tr w:rsidR="00EB23A0" w:rsidTr="00D76DAE" w14:paraId="433D7A0E" w14:textId="77777777">
        <w:tc>
          <w:tcPr>
            <w:tcW w:w="1696" w:type="dxa"/>
          </w:tcPr>
          <w:p w:rsidRPr="009F2992" w:rsidR="00EB23A0" w:rsidP="00D76DAE" w:rsidRDefault="00EB23A0" w14:paraId="3EFA0405" w14:textId="77777777">
            <w:r w:rsidRPr="00E30A4F">
              <w:t>1.2(h)</w:t>
            </w:r>
          </w:p>
        </w:tc>
        <w:tc>
          <w:tcPr>
            <w:tcW w:w="4062" w:type="dxa"/>
          </w:tcPr>
          <w:p w:rsidRPr="009F2992" w:rsidR="00EB23A0" w:rsidP="00D76DAE" w:rsidRDefault="00EB23A0" w14:paraId="1878FD06" w14:textId="77777777">
            <w:r w:rsidRPr="00E30A4F">
              <w:t>Date</w:t>
            </w:r>
          </w:p>
        </w:tc>
        <w:tc>
          <w:tcPr>
            <w:tcW w:w="2879" w:type="dxa"/>
          </w:tcPr>
          <w:p w:rsidRPr="00E30A4F" w:rsidR="00EB23A0" w:rsidP="00D76DAE" w:rsidRDefault="00EB23A0" w14:paraId="748F9469" w14:textId="77777777"/>
        </w:tc>
      </w:tr>
    </w:tbl>
    <w:p w:rsidRPr="007309B9" w:rsidR="00EB23A0" w:rsidP="00EB23A0" w:rsidRDefault="00EB23A0" w14:paraId="288032F2" w14:textId="77777777"/>
    <w:p w:rsidRPr="00E30A4F" w:rsidR="00EB23A0" w:rsidP="00EB23A0" w:rsidRDefault="00EB23A0" w14:paraId="592F28CE" w14:textId="77777777">
      <w:pPr>
        <w:pStyle w:val="Subheading"/>
      </w:pPr>
      <w:r w:rsidRPr="00E30A4F">
        <w:t xml:space="preserve">Part </w:t>
      </w:r>
      <w:r>
        <w:t>2</w:t>
      </w:r>
      <w:r w:rsidRPr="00E30A4F">
        <w:t xml:space="preserve"> </w:t>
      </w:r>
      <w:r>
        <w:t>Exclusion Grounds</w:t>
      </w:r>
    </w:p>
    <w:p w:rsidRPr="00E30A4F" w:rsidR="00EB23A0" w:rsidP="00EB23A0" w:rsidRDefault="00EB23A0" w14:paraId="013D5E33"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rsidTr="3638514E"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76DAE" w:rsidRDefault="00EB23A0" w14:paraId="2A538B91" w14:textId="77777777">
            <w:r w:rsidRPr="00E30A4F">
              <w:t xml:space="preserve">Question no. </w:t>
            </w:r>
          </w:p>
        </w:tc>
        <w:tc>
          <w:tcPr>
            <w:tcW w:w="4062" w:type="dxa"/>
          </w:tcPr>
          <w:p w:rsidRPr="009F2992" w:rsidR="00EB23A0" w:rsidP="00D76DAE" w:rsidRDefault="00EB23A0" w14:paraId="621E06A0" w14:textId="77777777">
            <w:r w:rsidRPr="00E30A4F">
              <w:t>Question</w:t>
            </w:r>
          </w:p>
        </w:tc>
        <w:tc>
          <w:tcPr>
            <w:tcW w:w="2879" w:type="dxa"/>
          </w:tcPr>
          <w:p w:rsidRPr="009F2992" w:rsidR="00EB23A0" w:rsidP="00D76DAE" w:rsidRDefault="00EB23A0" w14:paraId="34F1225F" w14:textId="77777777">
            <w:r w:rsidRPr="00E30A4F">
              <w:t>Response</w:t>
            </w:r>
          </w:p>
        </w:tc>
      </w:tr>
      <w:tr w:rsidR="00EB23A0" w:rsidTr="3638514E" w14:paraId="2456FD7E" w14:textId="77777777">
        <w:tc>
          <w:tcPr>
            <w:tcW w:w="1696" w:type="dxa"/>
          </w:tcPr>
          <w:p w:rsidRPr="009F2992" w:rsidR="00EB23A0" w:rsidP="00D76DAE" w:rsidRDefault="00EB23A0" w14:paraId="6DBFE895" w14:textId="77777777">
            <w:r w:rsidRPr="00E30A4F">
              <w:t>2.1(a)</w:t>
            </w:r>
          </w:p>
        </w:tc>
        <w:tc>
          <w:tcPr>
            <w:tcW w:w="6941" w:type="dxa"/>
            <w:gridSpan w:val="2"/>
          </w:tcPr>
          <w:p w:rsidRPr="009F2992" w:rsidR="00EB23A0" w:rsidP="00D76DAE" w:rsidRDefault="00EB23A0" w14:paraId="764A882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3638514E" w14:paraId="0EE9D02F" w14:textId="77777777">
        <w:tc>
          <w:tcPr>
            <w:tcW w:w="1696" w:type="dxa"/>
          </w:tcPr>
          <w:p w:rsidRPr="00E30A4F" w:rsidR="00EB23A0" w:rsidP="00D76DAE" w:rsidRDefault="00EB23A0" w14:paraId="384787D7" w14:textId="77777777"/>
        </w:tc>
        <w:tc>
          <w:tcPr>
            <w:tcW w:w="4062" w:type="dxa"/>
          </w:tcPr>
          <w:p w:rsidRPr="009F2992" w:rsidR="00EB23A0" w:rsidP="00D76DAE" w:rsidRDefault="00EB23A0" w14:paraId="2B331E5F" w14:textId="77777777">
            <w:r w:rsidRPr="00E30A4F">
              <w:t xml:space="preserve">Participation in a criminal organisation.  </w:t>
            </w:r>
          </w:p>
        </w:tc>
        <w:tc>
          <w:tcPr>
            <w:tcW w:w="2879" w:type="dxa"/>
          </w:tcPr>
          <w:p w:rsidRPr="009F2992" w:rsidR="00EB23A0" w:rsidP="00D76DAE" w:rsidRDefault="00EB23A0" w14:paraId="6320DF20" w14:textId="77777777">
            <w:r w:rsidRPr="00E30A4F">
              <w:t>(Yes / No)</w:t>
            </w:r>
          </w:p>
          <w:p w:rsidRPr="009F2992" w:rsidR="00EB23A0" w:rsidP="00D76DAE" w:rsidRDefault="00EB23A0" w14:paraId="7F1CCCCD" w14:textId="77777777">
            <w:r>
              <w:t>If yes please provide details at 2.1 (b)</w:t>
            </w:r>
          </w:p>
        </w:tc>
      </w:tr>
      <w:tr w:rsidR="00EB23A0" w:rsidTr="3638514E" w14:paraId="6D440E25" w14:textId="77777777">
        <w:tc>
          <w:tcPr>
            <w:tcW w:w="1696" w:type="dxa"/>
          </w:tcPr>
          <w:p w:rsidRPr="00E30A4F" w:rsidR="00EB23A0" w:rsidP="00D76DAE" w:rsidRDefault="00EB23A0" w14:paraId="3AE44A5B" w14:textId="77777777"/>
        </w:tc>
        <w:tc>
          <w:tcPr>
            <w:tcW w:w="4062" w:type="dxa"/>
          </w:tcPr>
          <w:p w:rsidRPr="009F2992" w:rsidR="00EB23A0" w:rsidP="00D76DAE" w:rsidRDefault="00EB23A0" w14:paraId="63055023" w14:textId="77777777">
            <w:r w:rsidRPr="00E30A4F">
              <w:t xml:space="preserve">Corruption.  </w:t>
            </w:r>
          </w:p>
        </w:tc>
        <w:tc>
          <w:tcPr>
            <w:tcW w:w="2879" w:type="dxa"/>
          </w:tcPr>
          <w:p w:rsidRPr="009F2992" w:rsidR="00EB23A0" w:rsidP="00D76DAE" w:rsidRDefault="00EB23A0" w14:paraId="5DE028B4" w14:textId="59CE8091">
            <w:r>
              <w:t>(Yes / No)</w:t>
            </w:r>
          </w:p>
          <w:p w:rsidRPr="009F2992" w:rsidR="00EB23A0" w:rsidP="00D76DAE" w:rsidRDefault="00EB23A0" w14:paraId="7B8660FF" w14:textId="77777777">
            <w:r w:rsidRPr="00E30A4F">
              <w:t>If yes please provide details at 2.1 (b)</w:t>
            </w:r>
          </w:p>
        </w:tc>
      </w:tr>
      <w:tr w:rsidR="00EB23A0" w:rsidTr="3638514E" w14:paraId="5EE3D479" w14:textId="77777777">
        <w:tc>
          <w:tcPr>
            <w:tcW w:w="1696" w:type="dxa"/>
          </w:tcPr>
          <w:p w:rsidRPr="00E30A4F" w:rsidR="00EB23A0" w:rsidP="00D76DAE" w:rsidRDefault="00EB23A0" w14:paraId="66DF96DA" w14:textId="77777777"/>
        </w:tc>
        <w:tc>
          <w:tcPr>
            <w:tcW w:w="4062" w:type="dxa"/>
          </w:tcPr>
          <w:p w:rsidRPr="009F2992" w:rsidR="00EB23A0" w:rsidP="00D76DAE" w:rsidRDefault="00EB23A0" w14:paraId="2AAB1B50" w14:textId="77777777">
            <w:r w:rsidRPr="00E30A4F">
              <w:t xml:space="preserve">Fraud. </w:t>
            </w:r>
          </w:p>
        </w:tc>
        <w:tc>
          <w:tcPr>
            <w:tcW w:w="2879" w:type="dxa"/>
          </w:tcPr>
          <w:p w:rsidRPr="009F2992" w:rsidR="00EB23A0" w:rsidP="00D76DAE" w:rsidRDefault="00EB23A0" w14:paraId="0143980B" w14:textId="77777777">
            <w:r w:rsidRPr="00E30A4F">
              <w:t>(Yes / No)</w:t>
            </w:r>
          </w:p>
          <w:p w:rsidRPr="009F2992" w:rsidR="00EB23A0" w:rsidP="00D76DAE" w:rsidRDefault="00EB23A0" w14:paraId="192C9885" w14:textId="77777777">
            <w:r w:rsidRPr="00E30A4F">
              <w:t>If yes please provide details at 2.1 (b)</w:t>
            </w:r>
          </w:p>
        </w:tc>
      </w:tr>
      <w:tr w:rsidR="00EB23A0" w:rsidTr="3638514E" w14:paraId="43F546C5" w14:textId="77777777">
        <w:tc>
          <w:tcPr>
            <w:tcW w:w="1696" w:type="dxa"/>
          </w:tcPr>
          <w:p w:rsidRPr="00E30A4F" w:rsidR="00EB23A0" w:rsidP="00D76DAE" w:rsidRDefault="00EB23A0" w14:paraId="655B071A" w14:textId="77777777"/>
        </w:tc>
        <w:tc>
          <w:tcPr>
            <w:tcW w:w="4062" w:type="dxa"/>
          </w:tcPr>
          <w:p w:rsidRPr="009F2992" w:rsidR="00EB23A0" w:rsidP="00D76DAE" w:rsidRDefault="00EB23A0" w14:paraId="702C4A35" w14:textId="77777777">
            <w:r w:rsidRPr="00E30A4F">
              <w:t>Terrorist offences or offences linked to terrorist activities</w:t>
            </w:r>
          </w:p>
        </w:tc>
        <w:tc>
          <w:tcPr>
            <w:tcW w:w="2879" w:type="dxa"/>
          </w:tcPr>
          <w:p w:rsidRPr="009F2992" w:rsidR="00EB23A0" w:rsidP="00D76DAE" w:rsidRDefault="00EB23A0" w14:paraId="6E27C451" w14:textId="77777777">
            <w:r w:rsidRPr="00E30A4F">
              <w:t>(Yes / No)</w:t>
            </w:r>
          </w:p>
          <w:p w:rsidRPr="009F2992" w:rsidR="00EB23A0" w:rsidP="00D76DAE" w:rsidRDefault="00EB23A0" w14:paraId="06A35B61" w14:textId="77777777">
            <w:r w:rsidRPr="00E30A4F">
              <w:t>If yes please provide details at 2.1 (b)</w:t>
            </w:r>
          </w:p>
        </w:tc>
      </w:tr>
      <w:tr w:rsidR="00EB23A0" w:rsidTr="3638514E" w14:paraId="2E17F16A" w14:textId="77777777">
        <w:tc>
          <w:tcPr>
            <w:tcW w:w="1696" w:type="dxa"/>
          </w:tcPr>
          <w:p w:rsidRPr="00E30A4F" w:rsidR="00EB23A0" w:rsidP="00D76DAE" w:rsidRDefault="00EB23A0" w14:paraId="33A8C5B0" w14:textId="77777777"/>
        </w:tc>
        <w:tc>
          <w:tcPr>
            <w:tcW w:w="4062" w:type="dxa"/>
          </w:tcPr>
          <w:p w:rsidRPr="009F2992" w:rsidR="00EB23A0" w:rsidP="00D76DAE" w:rsidRDefault="00EB23A0" w14:paraId="6CB4CDC5" w14:textId="77777777">
            <w:r w:rsidRPr="00E30A4F">
              <w:t>Money laundering or terrorist financing</w:t>
            </w:r>
          </w:p>
        </w:tc>
        <w:tc>
          <w:tcPr>
            <w:tcW w:w="2879" w:type="dxa"/>
          </w:tcPr>
          <w:p w:rsidRPr="009F2992" w:rsidR="00EB23A0" w:rsidP="00D76DAE" w:rsidRDefault="00EB23A0" w14:paraId="6F4700CA" w14:textId="77777777">
            <w:r w:rsidRPr="00E30A4F">
              <w:t>(Yes / No)</w:t>
            </w:r>
          </w:p>
          <w:p w:rsidRPr="009F2992" w:rsidR="00EB23A0" w:rsidP="00D76DAE" w:rsidRDefault="00EB23A0" w14:paraId="11F639E6" w14:textId="77777777">
            <w:r w:rsidRPr="00E30A4F">
              <w:t xml:space="preserve">If yes please </w:t>
            </w:r>
            <w:r w:rsidRPr="009F2992">
              <w:t>provide details at 2.1 (b)</w:t>
            </w:r>
          </w:p>
        </w:tc>
      </w:tr>
      <w:tr w:rsidR="00EB23A0" w:rsidTr="3638514E" w14:paraId="7C18DEB4" w14:textId="77777777">
        <w:tc>
          <w:tcPr>
            <w:tcW w:w="1696" w:type="dxa"/>
          </w:tcPr>
          <w:p w:rsidRPr="00E30A4F" w:rsidR="00EB23A0" w:rsidP="00D76DAE" w:rsidRDefault="00EB23A0" w14:paraId="67954693" w14:textId="77777777"/>
        </w:tc>
        <w:tc>
          <w:tcPr>
            <w:tcW w:w="4062" w:type="dxa"/>
          </w:tcPr>
          <w:p w:rsidRPr="009F2992" w:rsidR="00EB23A0" w:rsidP="00D76DAE" w:rsidRDefault="00EB23A0" w14:paraId="64C151C9" w14:textId="77777777">
            <w:r w:rsidRPr="00E30A4F">
              <w:t>Child labour and other forms of trafficking in human beings</w:t>
            </w:r>
          </w:p>
        </w:tc>
        <w:tc>
          <w:tcPr>
            <w:tcW w:w="2879" w:type="dxa"/>
          </w:tcPr>
          <w:p w:rsidRPr="009F2992" w:rsidR="00EB23A0" w:rsidP="00D76DAE" w:rsidRDefault="00EB23A0" w14:paraId="676B8ACC" w14:textId="77777777">
            <w:r w:rsidRPr="00E30A4F">
              <w:t>(Yes / No)</w:t>
            </w:r>
          </w:p>
          <w:p w:rsidRPr="009F2992" w:rsidR="00EB23A0" w:rsidP="00D76DAE" w:rsidRDefault="00EB23A0" w14:paraId="23B89AD7" w14:textId="77777777">
            <w:r w:rsidRPr="00E30A4F">
              <w:t>If yes please provide details at 2.1 (b)</w:t>
            </w:r>
          </w:p>
        </w:tc>
      </w:tr>
      <w:tr w:rsidR="00EB23A0" w:rsidTr="3638514E" w14:paraId="578B7DDA" w14:textId="77777777">
        <w:tc>
          <w:tcPr>
            <w:tcW w:w="1696" w:type="dxa"/>
          </w:tcPr>
          <w:p w:rsidRPr="009F2992" w:rsidR="00EB23A0" w:rsidP="00D76DAE" w:rsidRDefault="00EB23A0" w14:paraId="61248CDC" w14:textId="77777777">
            <w:r w:rsidRPr="00E30A4F">
              <w:t>2.1(b)</w:t>
            </w:r>
          </w:p>
        </w:tc>
        <w:tc>
          <w:tcPr>
            <w:tcW w:w="4062" w:type="dxa"/>
          </w:tcPr>
          <w:p w:rsidRPr="009F2992" w:rsidR="00EB23A0" w:rsidP="00D76DAE" w:rsidRDefault="00EB23A0" w14:paraId="523CBC4C" w14:textId="77777777">
            <w:r w:rsidRPr="00E30A4F">
              <w:t>If you have answered yes to question 2.1(a), please provide further details.</w:t>
            </w:r>
          </w:p>
          <w:p w:rsidRPr="00E30A4F" w:rsidR="00EB23A0" w:rsidP="00D76DAE" w:rsidRDefault="00EB23A0" w14:paraId="7F108A6B" w14:textId="77777777"/>
          <w:p w:rsidRPr="009F2992" w:rsidR="00EB23A0" w:rsidP="00D76DAE" w:rsidRDefault="00EB23A0" w14:paraId="389B30C5" w14:textId="77777777">
            <w:r w:rsidRPr="00E30A4F">
              <w:t>Date of conviction, specify which of the grounds listed the conviction was for, and the reasons for conviction</w:t>
            </w:r>
            <w:r w:rsidRPr="009F2992">
              <w:t>.</w:t>
            </w:r>
          </w:p>
          <w:p w:rsidRPr="00E30A4F" w:rsidR="00EB23A0" w:rsidP="00D76DAE" w:rsidRDefault="00EB23A0" w14:paraId="34AABFD2" w14:textId="77777777"/>
          <w:p w:rsidRPr="009F2992" w:rsidR="00EB23A0" w:rsidP="00D76DAE" w:rsidRDefault="00EB23A0" w14:paraId="158DB55B" w14:textId="77777777">
            <w:r w:rsidRPr="00E30A4F">
              <w:t>Identity of who has been convicted</w:t>
            </w:r>
          </w:p>
          <w:p w:rsidRPr="009F2992" w:rsidR="00EB23A0" w:rsidP="00D76DAE" w:rsidRDefault="00EB23A0" w14:paraId="78732445" w14:textId="77777777">
            <w:r w:rsidRPr="00E30A4F">
              <w:t>If the relevant documentation is available electronically please provide the web address, issuing authority, precise reference of the documents.</w:t>
            </w:r>
          </w:p>
        </w:tc>
        <w:tc>
          <w:tcPr>
            <w:tcW w:w="2879" w:type="dxa"/>
          </w:tcPr>
          <w:p w:rsidRPr="00E30A4F" w:rsidR="00EB23A0" w:rsidP="00D76DAE" w:rsidRDefault="00EB23A0" w14:paraId="74435E74" w14:textId="77777777"/>
        </w:tc>
      </w:tr>
      <w:tr w:rsidR="00EB23A0" w:rsidTr="3638514E" w14:paraId="542E0EF1" w14:textId="77777777">
        <w:tc>
          <w:tcPr>
            <w:tcW w:w="1696" w:type="dxa"/>
          </w:tcPr>
          <w:p w:rsidRPr="009F2992" w:rsidR="00EB23A0" w:rsidP="00D76DAE" w:rsidRDefault="00EB23A0" w14:paraId="1D67FBD3" w14:textId="77777777">
            <w:r w:rsidRPr="00E30A4F">
              <w:t>2.</w:t>
            </w:r>
            <w:r w:rsidRPr="009F2992">
              <w:t>1 (c)</w:t>
            </w:r>
          </w:p>
        </w:tc>
        <w:tc>
          <w:tcPr>
            <w:tcW w:w="4062" w:type="dxa"/>
          </w:tcPr>
          <w:p w:rsidRPr="009F2992" w:rsidR="00EB23A0" w:rsidP="00D76DAE" w:rsidRDefault="00EB23A0" w14:paraId="39348925"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EB23A0" w:rsidP="00D76DAE" w:rsidRDefault="00EB23A0" w14:paraId="2F7E32D3" w14:textId="77777777">
            <w:r w:rsidRPr="00375246">
              <w:t>(Yes / No)</w:t>
            </w:r>
          </w:p>
          <w:p w:rsidRPr="00E30A4F" w:rsidR="00EB23A0" w:rsidP="00D76DAE" w:rsidRDefault="00EB23A0" w14:paraId="17708F16" w14:textId="77777777"/>
        </w:tc>
      </w:tr>
      <w:tr w:rsidR="00EB23A0" w:rsidTr="3638514E" w14:paraId="4750DE8C" w14:textId="77777777">
        <w:tc>
          <w:tcPr>
            <w:tcW w:w="1696" w:type="dxa"/>
          </w:tcPr>
          <w:p w:rsidRPr="009F2992" w:rsidR="00EB23A0" w:rsidP="00D76DAE" w:rsidRDefault="00EB23A0" w14:paraId="06000620" w14:textId="77777777">
            <w:r w:rsidRPr="00E30A4F">
              <w:t>2.</w:t>
            </w:r>
            <w:r w:rsidRPr="009F2992">
              <w:t>1(d)</w:t>
            </w:r>
          </w:p>
        </w:tc>
        <w:tc>
          <w:tcPr>
            <w:tcW w:w="4062" w:type="dxa"/>
          </w:tcPr>
          <w:p w:rsidRPr="009F2992" w:rsidR="00EB23A0" w:rsidP="00D76DAE" w:rsidRDefault="00EB23A0" w14:paraId="49F7B38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EB23A0" w:rsidP="00D76DAE" w:rsidRDefault="00EB23A0" w14:paraId="3EAFC4FF" w14:textId="77777777">
            <w:r w:rsidRPr="00375246">
              <w:t>(Yes / No)</w:t>
            </w:r>
          </w:p>
          <w:p w:rsidRPr="00E30A4F" w:rsidR="00EB23A0" w:rsidP="00D76DAE" w:rsidRDefault="00EB23A0" w14:paraId="78253AE2" w14:textId="77777777"/>
        </w:tc>
      </w:tr>
      <w:tr w:rsidR="00EB23A0" w:rsidTr="3638514E" w14:paraId="7D5D7320" w14:textId="77777777">
        <w:tc>
          <w:tcPr>
            <w:tcW w:w="1696" w:type="dxa"/>
          </w:tcPr>
          <w:p w:rsidRPr="009F2992" w:rsidR="00EB23A0" w:rsidP="00D76DAE" w:rsidRDefault="00EB23A0" w14:paraId="047670D0" w14:textId="77777777">
            <w:r w:rsidRPr="00E30A4F">
              <w:t>2.</w:t>
            </w:r>
            <w:r w:rsidRPr="009F2992">
              <w:t>1(e)</w:t>
            </w:r>
          </w:p>
        </w:tc>
        <w:tc>
          <w:tcPr>
            <w:tcW w:w="4062" w:type="dxa"/>
          </w:tcPr>
          <w:p w:rsidRPr="009F2992" w:rsidR="00EB23A0" w:rsidP="00D76DAE" w:rsidRDefault="00EB23A0" w14:paraId="4ED287C5"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EB23A0" w:rsidP="00D76DAE" w:rsidRDefault="00EB23A0" w14:paraId="7DAF70D9" w14:textId="77777777"/>
          <w:p w:rsidRPr="00E30A4F" w:rsidR="00EB23A0" w:rsidP="00D76DAE" w:rsidRDefault="00EB23A0" w14:paraId="4E891E55" w14:textId="77777777"/>
        </w:tc>
      </w:tr>
    </w:tbl>
    <w:p w:rsidR="00EB23A0" w:rsidP="00EB23A0" w:rsidRDefault="00EB23A0" w14:paraId="05168113" w14:textId="77777777"/>
    <w:p w:rsidR="00970BD9" w:rsidP="00EB23A0" w:rsidRDefault="00970BD9" w14:paraId="3C16E284" w14:textId="77777777">
      <w:pPr>
        <w:rPr>
          <w:rStyle w:val="Boldtext"/>
        </w:rPr>
      </w:pPr>
    </w:p>
    <w:p w:rsidR="00970BD9" w:rsidP="00EB23A0" w:rsidRDefault="00970BD9" w14:paraId="7C19AACE" w14:textId="77777777">
      <w:pPr>
        <w:rPr>
          <w:rStyle w:val="Boldtext"/>
        </w:rPr>
      </w:pPr>
    </w:p>
    <w:p w:rsidRPr="00375246" w:rsidR="00EB23A0" w:rsidP="00EB23A0" w:rsidRDefault="00EB23A0" w14:paraId="4B625F7D" w14:textId="54FCAA2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rsidTr="00D76DAE" w14:paraId="4DC3512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D76DAE" w:rsidRDefault="00EB23A0" w14:paraId="17F610FC" w14:textId="77777777">
            <w:r w:rsidRPr="00375246">
              <w:t xml:space="preserve">Question no. </w:t>
            </w:r>
          </w:p>
        </w:tc>
        <w:tc>
          <w:tcPr>
            <w:tcW w:w="4062" w:type="dxa"/>
          </w:tcPr>
          <w:p w:rsidRPr="009F2992" w:rsidR="00EB23A0" w:rsidP="00D76DAE" w:rsidRDefault="00EB23A0" w14:paraId="55F64D77" w14:textId="77777777">
            <w:r w:rsidRPr="00375246">
              <w:t>Question</w:t>
            </w:r>
          </w:p>
        </w:tc>
        <w:tc>
          <w:tcPr>
            <w:tcW w:w="2879" w:type="dxa"/>
          </w:tcPr>
          <w:p w:rsidRPr="009F2992" w:rsidR="00EB23A0" w:rsidP="00D76DAE" w:rsidRDefault="00EB23A0" w14:paraId="6506B7BA" w14:textId="77777777">
            <w:r w:rsidRPr="00375246">
              <w:t>Response</w:t>
            </w:r>
          </w:p>
        </w:tc>
      </w:tr>
      <w:tr w:rsidR="00EB23A0" w:rsidTr="00D76DAE" w14:paraId="31AB651E" w14:textId="77777777">
        <w:tc>
          <w:tcPr>
            <w:tcW w:w="1696" w:type="dxa"/>
          </w:tcPr>
          <w:p w:rsidRPr="009F2992" w:rsidR="00EB23A0" w:rsidP="00D76DAE" w:rsidRDefault="00EB23A0" w14:paraId="590E4027" w14:textId="77777777">
            <w:r w:rsidRPr="00375246">
              <w:t>2.</w:t>
            </w:r>
            <w:r w:rsidRPr="009F2992">
              <w:t>2(a)</w:t>
            </w:r>
          </w:p>
        </w:tc>
        <w:tc>
          <w:tcPr>
            <w:tcW w:w="6941" w:type="dxa"/>
            <w:gridSpan w:val="2"/>
          </w:tcPr>
          <w:p w:rsidRPr="009F2992" w:rsidR="00EB23A0" w:rsidP="00D76DAE" w:rsidRDefault="00EB23A0" w14:paraId="12C00E55" w14:textId="77777777">
            <w:r w:rsidRPr="00375246">
              <w:t xml:space="preserve">The detailed grounds for discretionary exclusion of an organisation are set out on this </w:t>
            </w:r>
            <w:hyperlink w:history="1" r:id="rId21">
              <w:r w:rsidRPr="009F2992">
                <w:rPr>
                  <w:rStyle w:val="Hyperlink"/>
                </w:rPr>
                <w:t>webpage</w:t>
              </w:r>
            </w:hyperlink>
            <w:r w:rsidRPr="009F2992">
              <w:t xml:space="preserve">, which should be referred to before completing these questions. </w:t>
            </w:r>
          </w:p>
          <w:p w:rsidRPr="009F2992" w:rsidR="00EB23A0" w:rsidP="00D76DAE" w:rsidRDefault="00EB23A0" w14:paraId="6CF29783"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D76DAE" w14:paraId="4F373A2B" w14:textId="77777777">
        <w:tc>
          <w:tcPr>
            <w:tcW w:w="1696" w:type="dxa"/>
          </w:tcPr>
          <w:p w:rsidRPr="009F2992" w:rsidR="00EB23A0" w:rsidP="00D76DAE" w:rsidRDefault="00EB23A0" w14:paraId="1752F25D" w14:textId="77777777">
            <w:r w:rsidRPr="00375246">
              <w:t>2.2(</w:t>
            </w:r>
            <w:r w:rsidRPr="009F2992">
              <w:t>b)</w:t>
            </w:r>
          </w:p>
          <w:p w:rsidRPr="00375246" w:rsidR="00EB23A0" w:rsidP="00D76DAE" w:rsidRDefault="00EB23A0" w14:paraId="642891AE" w14:textId="77777777"/>
        </w:tc>
        <w:tc>
          <w:tcPr>
            <w:tcW w:w="4062" w:type="dxa"/>
          </w:tcPr>
          <w:p w:rsidRPr="009F2992" w:rsidR="00EB23A0" w:rsidP="00D76DAE" w:rsidRDefault="00EB23A0" w14:paraId="0369AD63" w14:textId="77777777">
            <w:r w:rsidRPr="00375246">
              <w:t xml:space="preserve">Breach of environmental obligations? </w:t>
            </w:r>
          </w:p>
        </w:tc>
        <w:tc>
          <w:tcPr>
            <w:tcW w:w="2879" w:type="dxa"/>
          </w:tcPr>
          <w:p w:rsidRPr="009F2992" w:rsidR="00EB23A0" w:rsidP="00D76DAE" w:rsidRDefault="00EB23A0" w14:paraId="082D5508" w14:textId="77777777">
            <w:r w:rsidRPr="00375246">
              <w:t>(Yes / No)</w:t>
            </w:r>
          </w:p>
          <w:p w:rsidRPr="009F2992" w:rsidR="00EB23A0" w:rsidP="00D76DAE" w:rsidRDefault="00EB23A0" w14:paraId="4E23D1DF" w14:textId="77777777">
            <w:r w:rsidRPr="00375246">
              <w:t>If yes please provide details at 2.</w:t>
            </w:r>
            <w:r w:rsidRPr="009F2992">
              <w:t>2 (f)</w:t>
            </w:r>
          </w:p>
        </w:tc>
      </w:tr>
      <w:tr w:rsidR="00EB23A0" w:rsidTr="00D76DAE" w14:paraId="5C943670" w14:textId="77777777">
        <w:tc>
          <w:tcPr>
            <w:tcW w:w="1696" w:type="dxa"/>
          </w:tcPr>
          <w:p w:rsidRPr="009F2992" w:rsidR="00EB23A0" w:rsidP="00D76DAE" w:rsidRDefault="00EB23A0" w14:paraId="14BF5B84" w14:textId="77777777">
            <w:r w:rsidRPr="00375246">
              <w:t>2.2(</w:t>
            </w:r>
            <w:r w:rsidRPr="009F2992">
              <w:t>c)</w:t>
            </w:r>
          </w:p>
        </w:tc>
        <w:tc>
          <w:tcPr>
            <w:tcW w:w="4062" w:type="dxa"/>
          </w:tcPr>
          <w:p w:rsidRPr="009F2992" w:rsidR="00EB23A0" w:rsidP="00D76DAE" w:rsidRDefault="00EB23A0" w14:paraId="0C268CE8" w14:textId="77777777">
            <w:r w:rsidRPr="00375246">
              <w:t xml:space="preserve">Breach of social obligations?  </w:t>
            </w:r>
          </w:p>
        </w:tc>
        <w:tc>
          <w:tcPr>
            <w:tcW w:w="2879" w:type="dxa"/>
          </w:tcPr>
          <w:p w:rsidRPr="009F2992" w:rsidR="00EB23A0" w:rsidP="00D76DAE" w:rsidRDefault="00EB23A0" w14:paraId="3DF84B5E" w14:textId="77777777">
            <w:r w:rsidRPr="00375246">
              <w:t>(Yes / No)</w:t>
            </w:r>
          </w:p>
          <w:p w:rsidRPr="009F2992" w:rsidR="00EB23A0" w:rsidP="00D76DAE" w:rsidRDefault="00EB23A0" w14:paraId="797019A1" w14:textId="77777777">
            <w:r w:rsidRPr="00375246">
              <w:t>If yes please provide details at 2.2 (f)</w:t>
            </w:r>
          </w:p>
        </w:tc>
      </w:tr>
      <w:tr w:rsidR="00EB23A0" w:rsidTr="00D76DAE" w14:paraId="33ED1A4D" w14:textId="77777777">
        <w:tc>
          <w:tcPr>
            <w:tcW w:w="1696" w:type="dxa"/>
          </w:tcPr>
          <w:p w:rsidRPr="009F2992" w:rsidR="00EB23A0" w:rsidP="00D76DAE" w:rsidRDefault="00EB23A0" w14:paraId="3CF957C1" w14:textId="77777777">
            <w:r w:rsidRPr="00375246">
              <w:t>2.2(</w:t>
            </w:r>
            <w:r w:rsidRPr="009F2992">
              <w:t>d)</w:t>
            </w:r>
          </w:p>
        </w:tc>
        <w:tc>
          <w:tcPr>
            <w:tcW w:w="4062" w:type="dxa"/>
          </w:tcPr>
          <w:p w:rsidRPr="009F2992" w:rsidR="00EB23A0" w:rsidP="00D76DAE" w:rsidRDefault="00EB23A0" w14:paraId="44A864A0" w14:textId="77777777">
            <w:r w:rsidRPr="00375246">
              <w:t xml:space="preserve">Breach of labour law obligations? </w:t>
            </w:r>
          </w:p>
        </w:tc>
        <w:tc>
          <w:tcPr>
            <w:tcW w:w="2879" w:type="dxa"/>
          </w:tcPr>
          <w:p w:rsidRPr="009F2992" w:rsidR="00EB23A0" w:rsidP="00D76DAE" w:rsidRDefault="00EB23A0" w14:paraId="0B291BFB" w14:textId="77777777">
            <w:r w:rsidRPr="00375246">
              <w:t>(Yes / No)</w:t>
            </w:r>
          </w:p>
          <w:p w:rsidRPr="009F2992" w:rsidR="00EB23A0" w:rsidP="00D76DAE" w:rsidRDefault="00EB23A0" w14:paraId="43231518" w14:textId="77777777">
            <w:r w:rsidRPr="00375246">
              <w:t>If yes please provide details at 2.2 (f)</w:t>
            </w:r>
          </w:p>
        </w:tc>
      </w:tr>
      <w:tr w:rsidR="00EB23A0" w:rsidTr="00D76DAE" w14:paraId="185999F9" w14:textId="77777777">
        <w:tc>
          <w:tcPr>
            <w:tcW w:w="1696" w:type="dxa"/>
          </w:tcPr>
          <w:p w:rsidRPr="009F2992" w:rsidR="00EB23A0" w:rsidP="00D76DAE" w:rsidRDefault="00EB23A0" w14:paraId="2A16DAFC" w14:textId="77777777">
            <w:r w:rsidRPr="00375246">
              <w:t>2.2(</w:t>
            </w:r>
            <w:r w:rsidRPr="009F2992">
              <w:t>e)</w:t>
            </w:r>
          </w:p>
        </w:tc>
        <w:tc>
          <w:tcPr>
            <w:tcW w:w="4062" w:type="dxa"/>
          </w:tcPr>
          <w:p w:rsidRPr="009F2992" w:rsidR="00EB23A0" w:rsidP="00D76DAE" w:rsidRDefault="00EB23A0" w14:paraId="49DBB550"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EB23A0" w:rsidP="00D76DAE" w:rsidRDefault="00EB23A0" w14:paraId="0CC787A5" w14:textId="77777777">
            <w:r w:rsidRPr="00375246">
              <w:t>(Yes / No)</w:t>
            </w:r>
          </w:p>
          <w:p w:rsidRPr="009F2992" w:rsidR="00EB23A0" w:rsidP="00D76DAE" w:rsidRDefault="00EB23A0" w14:paraId="5DAB86A7" w14:textId="77777777">
            <w:r w:rsidRPr="00375246">
              <w:t>If yes please provide details at 2.2 (f)</w:t>
            </w:r>
          </w:p>
        </w:tc>
      </w:tr>
      <w:tr w:rsidR="00EB23A0" w:rsidTr="00D76DAE" w14:paraId="4128AC4A" w14:textId="77777777">
        <w:tc>
          <w:tcPr>
            <w:tcW w:w="1696" w:type="dxa"/>
          </w:tcPr>
          <w:p w:rsidRPr="009F2992" w:rsidR="00EB23A0" w:rsidP="00D76DAE" w:rsidRDefault="00EB23A0" w14:paraId="4074AF1D" w14:textId="77777777">
            <w:r>
              <w:t>2.2 (f)</w:t>
            </w:r>
          </w:p>
        </w:tc>
        <w:tc>
          <w:tcPr>
            <w:tcW w:w="4062" w:type="dxa"/>
          </w:tcPr>
          <w:p w:rsidRPr="009F2992" w:rsidR="00EB23A0" w:rsidP="00D76DAE" w:rsidRDefault="00EB23A0" w14:paraId="576EB437"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EB23A0" w:rsidP="00D76DAE" w:rsidRDefault="00EB23A0" w14:paraId="4D048329" w14:textId="77777777"/>
        </w:tc>
      </w:tr>
    </w:tbl>
    <w:p w:rsidR="00EB23A0" w:rsidP="00EB23A0" w:rsidRDefault="00EB23A0" w14:paraId="5066580A" w14:textId="77777777"/>
    <w:p w:rsidRPr="004647E4" w:rsidR="00EB23A0" w:rsidP="00EB23A0" w:rsidRDefault="00EB23A0" w14:paraId="014C6A94" w14:textId="77777777">
      <w:pPr>
        <w:pStyle w:val="Sectiontitle"/>
      </w:pPr>
      <w:r w:rsidRPr="004647E4">
        <w:t>Annex 2 Acceptance of Terms and Conditions  </w:t>
      </w:r>
    </w:p>
    <w:p w:rsidRPr="004647E4" w:rsidR="00EB23A0" w:rsidP="00EB23A0" w:rsidRDefault="00EB23A0" w14:paraId="6BA1554D" w14:textId="77777777">
      <w:pPr>
        <w:rPr>
          <w:lang w:eastAsia="en-GB"/>
        </w:rPr>
      </w:pPr>
      <w:r w:rsidRPr="004647E4">
        <w:rPr>
          <w:lang w:eastAsia="en-GB"/>
        </w:rPr>
        <w:t>I/We accept in full the terms and conditions appended to this Request for Quote document. </w:t>
      </w:r>
    </w:p>
    <w:p w:rsidRPr="004647E4" w:rsidR="00EB23A0" w:rsidP="00EB23A0" w:rsidRDefault="00EB23A0" w14:paraId="27526B41" w14:textId="77777777">
      <w:pPr>
        <w:rPr>
          <w:lang w:eastAsia="en-GB"/>
        </w:rPr>
      </w:pPr>
      <w:r w:rsidRPr="004647E4">
        <w:rPr>
          <w:lang w:eastAsia="en-GB"/>
        </w:rPr>
        <w:t>Company ____________________________________________________ </w:t>
      </w:r>
    </w:p>
    <w:p w:rsidRPr="004647E4" w:rsidR="00EB23A0" w:rsidP="00EB23A0" w:rsidRDefault="00EB23A0" w14:paraId="1FE95A6E" w14:textId="77777777">
      <w:pPr>
        <w:rPr>
          <w:lang w:eastAsia="en-GB"/>
        </w:rPr>
      </w:pPr>
      <w:r w:rsidRPr="004647E4">
        <w:rPr>
          <w:lang w:eastAsia="en-GB"/>
        </w:rPr>
        <w:t>Signature ____________________________________________________ </w:t>
      </w:r>
    </w:p>
    <w:p w:rsidRPr="004647E4" w:rsidR="00EB23A0" w:rsidP="00EB23A0" w:rsidRDefault="00EB23A0" w14:paraId="563F022E" w14:textId="77777777">
      <w:pPr>
        <w:rPr>
          <w:lang w:eastAsia="en-GB"/>
        </w:rPr>
      </w:pPr>
      <w:r w:rsidRPr="004647E4">
        <w:rPr>
          <w:lang w:eastAsia="en-GB"/>
        </w:rPr>
        <w:t>Print Name ____________________________________________________ </w:t>
      </w:r>
    </w:p>
    <w:p w:rsidRPr="004647E4" w:rsidR="00EB23A0" w:rsidP="00EB23A0" w:rsidRDefault="00EB23A0" w14:paraId="4A437ED8" w14:textId="77777777">
      <w:pPr>
        <w:rPr>
          <w:lang w:eastAsia="en-GB"/>
        </w:rPr>
      </w:pPr>
      <w:r w:rsidRPr="004647E4">
        <w:rPr>
          <w:lang w:eastAsia="en-GB"/>
        </w:rPr>
        <w:t>Position ____________________________________________________ </w:t>
      </w:r>
    </w:p>
    <w:p w:rsidRPr="004647E4" w:rsidR="00EB23A0" w:rsidP="00EB23A0" w:rsidRDefault="00EB23A0" w14:paraId="1A660009" w14:textId="77777777">
      <w:pPr>
        <w:rPr>
          <w:lang w:eastAsia="en-GB"/>
        </w:rPr>
      </w:pPr>
      <w:r w:rsidRPr="004647E4">
        <w:rPr>
          <w:lang w:eastAsia="en-GB"/>
        </w:rPr>
        <w:t>Date ____________________________________________________</w:t>
      </w:r>
    </w:p>
    <w:p w:rsidR="00A37D09" w:rsidP="00A529EC" w:rsidRDefault="00A37D09" w14:paraId="387711A6" w14:textId="77777777">
      <w:pPr>
        <w:spacing w:before="6840"/>
        <w:sectPr w:rsidR="00A37D09" w:rsidSect="00EB0BC6">
          <w:headerReference w:type="even" r:id="rId22"/>
          <w:headerReference w:type="default" r:id="rId23"/>
          <w:footerReference w:type="even" r:id="rId24"/>
          <w:footerReference w:type="default" r:id="rId25"/>
          <w:headerReference w:type="first" r:id="rId26"/>
          <w:footerReference w:type="first" r:id="rId27"/>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517A" w:rsidP="002F321C" w:rsidRDefault="00A5517A" w14:paraId="1E890EA3" w14:textId="77777777">
      <w:r>
        <w:separator/>
      </w:r>
    </w:p>
    <w:p w:rsidR="00A5517A" w:rsidRDefault="00A5517A" w14:paraId="0B0345AE" w14:textId="77777777"/>
  </w:endnote>
  <w:endnote w:type="continuationSeparator" w:id="0">
    <w:p w:rsidR="00A5517A" w:rsidP="002F321C" w:rsidRDefault="00A5517A" w14:paraId="44CCE4FB" w14:textId="77777777">
      <w:r>
        <w:continuationSeparator/>
      </w:r>
    </w:p>
    <w:p w:rsidR="00A5517A" w:rsidRDefault="00A5517A" w14:paraId="03793D9D" w14:textId="77777777"/>
  </w:endnote>
  <w:endnote w:type="continuationNotice" w:id="1">
    <w:p w:rsidR="00A5517A" w:rsidRDefault="00A5517A" w14:paraId="18B1D82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120" w:rsidRDefault="00521120" w14:paraId="761117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120" w:rsidRDefault="00521120" w14:paraId="442D8D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517A" w:rsidP="002F321C" w:rsidRDefault="00A5517A" w14:paraId="57852C96" w14:textId="77777777">
      <w:r>
        <w:separator/>
      </w:r>
    </w:p>
    <w:p w:rsidR="00A5517A" w:rsidRDefault="00A5517A" w14:paraId="2B0C51E8" w14:textId="77777777"/>
  </w:footnote>
  <w:footnote w:type="continuationSeparator" w:id="0">
    <w:p w:rsidR="00A5517A" w:rsidP="002F321C" w:rsidRDefault="00A5517A" w14:paraId="5E001051" w14:textId="77777777">
      <w:r>
        <w:continuationSeparator/>
      </w:r>
    </w:p>
    <w:p w:rsidR="00A5517A" w:rsidRDefault="00A5517A" w14:paraId="437EC985" w14:textId="77777777"/>
  </w:footnote>
  <w:footnote w:type="continuationNotice" w:id="1">
    <w:p w:rsidR="00A5517A" w:rsidRDefault="00A5517A" w14:paraId="61EA3CBB"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120" w:rsidRDefault="00521120" w14:paraId="7C5CB6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120" w:rsidRDefault="00521120" w14:paraId="5F16B9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E167A43"/>
    <w:multiLevelType w:val="hybridMultilevel"/>
    <w:tmpl w:val="2AB2321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8AC7EF5"/>
    <w:multiLevelType w:val="hybridMultilevel"/>
    <w:tmpl w:val="86E212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63076"/>
    <w:multiLevelType w:val="hybridMultilevel"/>
    <w:tmpl w:val="A3C2B6D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2D8113C"/>
    <w:multiLevelType w:val="hybridMultilevel"/>
    <w:tmpl w:val="9DAC4D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459F3199"/>
    <w:multiLevelType w:val="hybridMultilevel"/>
    <w:tmpl w:val="697047EC"/>
    <w:lvl w:ilvl="0" w:tplc="B1942F4E">
      <w:start w:val="1"/>
      <w:numFmt w:val="decimal"/>
      <w:lvlText w:val="%1)"/>
      <w:lvlJc w:val="left"/>
      <w:pPr>
        <w:ind w:left="720" w:hanging="360"/>
      </w:pPr>
      <w:rPr>
        <w:rFonts w:ascii="Arial" w:hAnsi="Arial"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31BF4"/>
    <w:multiLevelType w:val="hybridMultilevel"/>
    <w:tmpl w:val="1DC221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16FF8"/>
    <w:multiLevelType w:val="hybridMultilevel"/>
    <w:tmpl w:val="786E97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EF97A48"/>
    <w:multiLevelType w:val="hybridMultilevel"/>
    <w:tmpl w:val="7F486B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C19FA"/>
    <w:multiLevelType w:val="hybridMultilevel"/>
    <w:tmpl w:val="A91AF99E"/>
    <w:lvl w:ilvl="0" w:tplc="EE40BD10">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3A265B"/>
    <w:multiLevelType w:val="hybridMultilevel"/>
    <w:tmpl w:val="82D0F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6"/>
  </w:num>
  <w:num w:numId="2" w16cid:durableId="519006273">
    <w:abstractNumId w:val="20"/>
  </w:num>
  <w:num w:numId="3" w16cid:durableId="1308122750">
    <w:abstractNumId w:val="13"/>
  </w:num>
  <w:num w:numId="4" w16cid:durableId="1926841019">
    <w:abstractNumId w:val="6"/>
  </w:num>
  <w:num w:numId="5" w16cid:durableId="1903370289">
    <w:abstractNumId w:val="22"/>
  </w:num>
  <w:num w:numId="6" w16cid:durableId="717319088">
    <w:abstractNumId w:val="23"/>
  </w:num>
  <w:num w:numId="7" w16cid:durableId="823743684">
    <w:abstractNumId w:val="1"/>
  </w:num>
  <w:num w:numId="8" w16cid:durableId="1126193826">
    <w:abstractNumId w:val="5"/>
  </w:num>
  <w:num w:numId="9" w16cid:durableId="656885718">
    <w:abstractNumId w:val="15"/>
  </w:num>
  <w:num w:numId="10" w16cid:durableId="150491779">
    <w:abstractNumId w:val="19"/>
  </w:num>
  <w:num w:numId="11" w16cid:durableId="1049958278">
    <w:abstractNumId w:val="24"/>
  </w:num>
  <w:num w:numId="12" w16cid:durableId="1341278562">
    <w:abstractNumId w:val="4"/>
  </w:num>
  <w:num w:numId="13" w16cid:durableId="980043198">
    <w:abstractNumId w:val="17"/>
  </w:num>
  <w:num w:numId="14" w16cid:durableId="344788094">
    <w:abstractNumId w:val="0"/>
  </w:num>
  <w:num w:numId="15" w16cid:durableId="874267851">
    <w:abstractNumId w:val="18"/>
  </w:num>
  <w:num w:numId="16" w16cid:durableId="119420719">
    <w:abstractNumId w:val="8"/>
  </w:num>
  <w:num w:numId="17" w16cid:durableId="1252277303">
    <w:abstractNumId w:val="11"/>
  </w:num>
  <w:num w:numId="18" w16cid:durableId="251400164">
    <w:abstractNumId w:val="7"/>
  </w:num>
  <w:num w:numId="19" w16cid:durableId="1058818531">
    <w:abstractNumId w:val="9"/>
  </w:num>
  <w:num w:numId="20" w16cid:durableId="1947613278">
    <w:abstractNumId w:val="12"/>
  </w:num>
  <w:num w:numId="21" w16cid:durableId="180365909">
    <w:abstractNumId w:val="21"/>
  </w:num>
  <w:num w:numId="22" w16cid:durableId="73363913">
    <w:abstractNumId w:val="14"/>
  </w:num>
  <w:num w:numId="23" w16cid:durableId="923682260">
    <w:abstractNumId w:val="2"/>
  </w:num>
  <w:num w:numId="24" w16cid:durableId="1553687963">
    <w:abstractNumId w:val="3"/>
  </w:num>
  <w:num w:numId="25" w16cid:durableId="19916680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0B35"/>
    <w:rsid w:val="00017076"/>
    <w:rsid w:val="00017A20"/>
    <w:rsid w:val="00020AFD"/>
    <w:rsid w:val="00021919"/>
    <w:rsid w:val="00022622"/>
    <w:rsid w:val="00023358"/>
    <w:rsid w:val="00023883"/>
    <w:rsid w:val="000239B6"/>
    <w:rsid w:val="00024640"/>
    <w:rsid w:val="00025E39"/>
    <w:rsid w:val="000278C7"/>
    <w:rsid w:val="00031608"/>
    <w:rsid w:val="00031742"/>
    <w:rsid w:val="00034787"/>
    <w:rsid w:val="00034FD3"/>
    <w:rsid w:val="0003556F"/>
    <w:rsid w:val="00037E1D"/>
    <w:rsid w:val="00042473"/>
    <w:rsid w:val="000449DD"/>
    <w:rsid w:val="00047AB1"/>
    <w:rsid w:val="000535F5"/>
    <w:rsid w:val="00053C0B"/>
    <w:rsid w:val="00056EB2"/>
    <w:rsid w:val="00057683"/>
    <w:rsid w:val="00066C0C"/>
    <w:rsid w:val="00067B63"/>
    <w:rsid w:val="00075BC1"/>
    <w:rsid w:val="00076540"/>
    <w:rsid w:val="0007721B"/>
    <w:rsid w:val="00081B97"/>
    <w:rsid w:val="000910A2"/>
    <w:rsid w:val="000953CE"/>
    <w:rsid w:val="000A57E8"/>
    <w:rsid w:val="000A7D0D"/>
    <w:rsid w:val="000B0569"/>
    <w:rsid w:val="000B18C3"/>
    <w:rsid w:val="000B2F2C"/>
    <w:rsid w:val="000B5C95"/>
    <w:rsid w:val="000C306A"/>
    <w:rsid w:val="000C3664"/>
    <w:rsid w:val="000C3909"/>
    <w:rsid w:val="000C46CD"/>
    <w:rsid w:val="000D0521"/>
    <w:rsid w:val="000D3164"/>
    <w:rsid w:val="000D387C"/>
    <w:rsid w:val="000D6E33"/>
    <w:rsid w:val="000D7062"/>
    <w:rsid w:val="000E33FA"/>
    <w:rsid w:val="000E3DF1"/>
    <w:rsid w:val="000E577D"/>
    <w:rsid w:val="000E6988"/>
    <w:rsid w:val="000E7891"/>
    <w:rsid w:val="000F1F6E"/>
    <w:rsid w:val="000F3113"/>
    <w:rsid w:val="000F533C"/>
    <w:rsid w:val="00100D1D"/>
    <w:rsid w:val="001045C3"/>
    <w:rsid w:val="001045F1"/>
    <w:rsid w:val="0010688E"/>
    <w:rsid w:val="00113634"/>
    <w:rsid w:val="00114962"/>
    <w:rsid w:val="00114C3A"/>
    <w:rsid w:val="00121143"/>
    <w:rsid w:val="00121659"/>
    <w:rsid w:val="00122DE0"/>
    <w:rsid w:val="00123C0E"/>
    <w:rsid w:val="00127783"/>
    <w:rsid w:val="00131A76"/>
    <w:rsid w:val="00135543"/>
    <w:rsid w:val="00137265"/>
    <w:rsid w:val="00137E49"/>
    <w:rsid w:val="00141011"/>
    <w:rsid w:val="0014735F"/>
    <w:rsid w:val="001473FB"/>
    <w:rsid w:val="001537B0"/>
    <w:rsid w:val="0015468B"/>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169D"/>
    <w:rsid w:val="001C4430"/>
    <w:rsid w:val="001C4D0A"/>
    <w:rsid w:val="001C4F7D"/>
    <w:rsid w:val="001C518B"/>
    <w:rsid w:val="001C6DB4"/>
    <w:rsid w:val="001D4D05"/>
    <w:rsid w:val="001E299F"/>
    <w:rsid w:val="001E2FC4"/>
    <w:rsid w:val="001F1CD2"/>
    <w:rsid w:val="00201E81"/>
    <w:rsid w:val="0020794C"/>
    <w:rsid w:val="002122AD"/>
    <w:rsid w:val="00217226"/>
    <w:rsid w:val="00220C44"/>
    <w:rsid w:val="00227618"/>
    <w:rsid w:val="00227951"/>
    <w:rsid w:val="00234080"/>
    <w:rsid w:val="00236283"/>
    <w:rsid w:val="002366B7"/>
    <w:rsid w:val="002371BC"/>
    <w:rsid w:val="0023788D"/>
    <w:rsid w:val="002503BB"/>
    <w:rsid w:val="00251647"/>
    <w:rsid w:val="0025299F"/>
    <w:rsid w:val="00253B6D"/>
    <w:rsid w:val="00257719"/>
    <w:rsid w:val="00261CCA"/>
    <w:rsid w:val="00264CE6"/>
    <w:rsid w:val="00271CAD"/>
    <w:rsid w:val="002752E2"/>
    <w:rsid w:val="00275D20"/>
    <w:rsid w:val="0027724A"/>
    <w:rsid w:val="00277EE5"/>
    <w:rsid w:val="0028203C"/>
    <w:rsid w:val="0028699A"/>
    <w:rsid w:val="00293B38"/>
    <w:rsid w:val="00293D6C"/>
    <w:rsid w:val="00296432"/>
    <w:rsid w:val="002A0A11"/>
    <w:rsid w:val="002A0F3B"/>
    <w:rsid w:val="002A67C9"/>
    <w:rsid w:val="002A70C1"/>
    <w:rsid w:val="002B143E"/>
    <w:rsid w:val="002B2BA8"/>
    <w:rsid w:val="002B5E40"/>
    <w:rsid w:val="002B7DB2"/>
    <w:rsid w:val="002C0BB7"/>
    <w:rsid w:val="002C0E21"/>
    <w:rsid w:val="002C70E8"/>
    <w:rsid w:val="002C7102"/>
    <w:rsid w:val="002D2206"/>
    <w:rsid w:val="002D492E"/>
    <w:rsid w:val="002E4745"/>
    <w:rsid w:val="002E52A4"/>
    <w:rsid w:val="002F0DF3"/>
    <w:rsid w:val="002F321C"/>
    <w:rsid w:val="002F7CAD"/>
    <w:rsid w:val="00300ED4"/>
    <w:rsid w:val="00302574"/>
    <w:rsid w:val="003028B8"/>
    <w:rsid w:val="00302D24"/>
    <w:rsid w:val="00306A7D"/>
    <w:rsid w:val="003072A6"/>
    <w:rsid w:val="00311B07"/>
    <w:rsid w:val="003140D5"/>
    <w:rsid w:val="00315F62"/>
    <w:rsid w:val="00317CAA"/>
    <w:rsid w:val="003224A5"/>
    <w:rsid w:val="00323CD7"/>
    <w:rsid w:val="00326DAA"/>
    <w:rsid w:val="00332753"/>
    <w:rsid w:val="003369F2"/>
    <w:rsid w:val="00340AA3"/>
    <w:rsid w:val="00342F74"/>
    <w:rsid w:val="00345B68"/>
    <w:rsid w:val="0034693C"/>
    <w:rsid w:val="00347AD3"/>
    <w:rsid w:val="00365AD1"/>
    <w:rsid w:val="00367E78"/>
    <w:rsid w:val="003708EB"/>
    <w:rsid w:val="00370F57"/>
    <w:rsid w:val="00371037"/>
    <w:rsid w:val="00373628"/>
    <w:rsid w:val="00377108"/>
    <w:rsid w:val="00380371"/>
    <w:rsid w:val="0038469A"/>
    <w:rsid w:val="00395ECA"/>
    <w:rsid w:val="003A4A13"/>
    <w:rsid w:val="003A51AB"/>
    <w:rsid w:val="003A6259"/>
    <w:rsid w:val="003A73AC"/>
    <w:rsid w:val="003B0330"/>
    <w:rsid w:val="003B441A"/>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5526"/>
    <w:rsid w:val="004168B1"/>
    <w:rsid w:val="00421A16"/>
    <w:rsid w:val="0042287B"/>
    <w:rsid w:val="004233E0"/>
    <w:rsid w:val="004263B4"/>
    <w:rsid w:val="0043035A"/>
    <w:rsid w:val="00441990"/>
    <w:rsid w:val="00441D1A"/>
    <w:rsid w:val="00442BC1"/>
    <w:rsid w:val="004449CC"/>
    <w:rsid w:val="004571EE"/>
    <w:rsid w:val="00462EF5"/>
    <w:rsid w:val="00463919"/>
    <w:rsid w:val="004647DE"/>
    <w:rsid w:val="00466C7D"/>
    <w:rsid w:val="00467512"/>
    <w:rsid w:val="00480E02"/>
    <w:rsid w:val="00482975"/>
    <w:rsid w:val="00483D57"/>
    <w:rsid w:val="00487F88"/>
    <w:rsid w:val="00491882"/>
    <w:rsid w:val="00496517"/>
    <w:rsid w:val="004A1F8D"/>
    <w:rsid w:val="004A27D0"/>
    <w:rsid w:val="004A31B5"/>
    <w:rsid w:val="004B1FD0"/>
    <w:rsid w:val="004B2680"/>
    <w:rsid w:val="004C0E12"/>
    <w:rsid w:val="004C1F8A"/>
    <w:rsid w:val="004C20FE"/>
    <w:rsid w:val="004C4A19"/>
    <w:rsid w:val="004C537D"/>
    <w:rsid w:val="004D1E4A"/>
    <w:rsid w:val="004D3732"/>
    <w:rsid w:val="004D4A6A"/>
    <w:rsid w:val="004D6D5F"/>
    <w:rsid w:val="004E4F0D"/>
    <w:rsid w:val="004F1654"/>
    <w:rsid w:val="004F2544"/>
    <w:rsid w:val="004F6C6A"/>
    <w:rsid w:val="004F6DF8"/>
    <w:rsid w:val="004F7D76"/>
    <w:rsid w:val="004F7E71"/>
    <w:rsid w:val="005019EF"/>
    <w:rsid w:val="0050452D"/>
    <w:rsid w:val="00506832"/>
    <w:rsid w:val="00510CC5"/>
    <w:rsid w:val="00511429"/>
    <w:rsid w:val="0051501B"/>
    <w:rsid w:val="005153E5"/>
    <w:rsid w:val="00521120"/>
    <w:rsid w:val="005231FB"/>
    <w:rsid w:val="00525803"/>
    <w:rsid w:val="0053569D"/>
    <w:rsid w:val="00535971"/>
    <w:rsid w:val="00540537"/>
    <w:rsid w:val="005469F0"/>
    <w:rsid w:val="00551AA9"/>
    <w:rsid w:val="00551FC2"/>
    <w:rsid w:val="005540FA"/>
    <w:rsid w:val="0055718A"/>
    <w:rsid w:val="00561F29"/>
    <w:rsid w:val="00564DFF"/>
    <w:rsid w:val="005663EE"/>
    <w:rsid w:val="00566F6F"/>
    <w:rsid w:val="00567F6B"/>
    <w:rsid w:val="0057431B"/>
    <w:rsid w:val="005745C1"/>
    <w:rsid w:val="005753E5"/>
    <w:rsid w:val="005759CA"/>
    <w:rsid w:val="0058165F"/>
    <w:rsid w:val="00582C4F"/>
    <w:rsid w:val="00583C8F"/>
    <w:rsid w:val="00585710"/>
    <w:rsid w:val="00585F45"/>
    <w:rsid w:val="00586F99"/>
    <w:rsid w:val="00590218"/>
    <w:rsid w:val="005921B8"/>
    <w:rsid w:val="005A1084"/>
    <w:rsid w:val="005A49FB"/>
    <w:rsid w:val="005A6DA9"/>
    <w:rsid w:val="005A6F3A"/>
    <w:rsid w:val="005A714C"/>
    <w:rsid w:val="005C1237"/>
    <w:rsid w:val="005C3B50"/>
    <w:rsid w:val="005C4343"/>
    <w:rsid w:val="005C552C"/>
    <w:rsid w:val="005D3CE4"/>
    <w:rsid w:val="005D6A28"/>
    <w:rsid w:val="005E791A"/>
    <w:rsid w:val="005F17E7"/>
    <w:rsid w:val="0060075F"/>
    <w:rsid w:val="00603AC6"/>
    <w:rsid w:val="00613453"/>
    <w:rsid w:val="006204EE"/>
    <w:rsid w:val="0062397C"/>
    <w:rsid w:val="00623E36"/>
    <w:rsid w:val="00624575"/>
    <w:rsid w:val="00625411"/>
    <w:rsid w:val="0063049D"/>
    <w:rsid w:val="00631D09"/>
    <w:rsid w:val="00635AFC"/>
    <w:rsid w:val="00640EF5"/>
    <w:rsid w:val="00642E9F"/>
    <w:rsid w:val="00646B20"/>
    <w:rsid w:val="00652053"/>
    <w:rsid w:val="00653254"/>
    <w:rsid w:val="00654C24"/>
    <w:rsid w:val="00656D0F"/>
    <w:rsid w:val="006574FB"/>
    <w:rsid w:val="006578E1"/>
    <w:rsid w:val="00657E8B"/>
    <w:rsid w:val="0066196A"/>
    <w:rsid w:val="00661AA5"/>
    <w:rsid w:val="006620EF"/>
    <w:rsid w:val="00663843"/>
    <w:rsid w:val="0066397F"/>
    <w:rsid w:val="0066626C"/>
    <w:rsid w:val="0066738D"/>
    <w:rsid w:val="0068023D"/>
    <w:rsid w:val="0068165A"/>
    <w:rsid w:val="00687B10"/>
    <w:rsid w:val="006919F5"/>
    <w:rsid w:val="00694855"/>
    <w:rsid w:val="00694E45"/>
    <w:rsid w:val="00695E50"/>
    <w:rsid w:val="006975F4"/>
    <w:rsid w:val="006A0B36"/>
    <w:rsid w:val="006A373A"/>
    <w:rsid w:val="006A3777"/>
    <w:rsid w:val="006C66D0"/>
    <w:rsid w:val="006D681F"/>
    <w:rsid w:val="006D7832"/>
    <w:rsid w:val="006E4F4C"/>
    <w:rsid w:val="006F02CA"/>
    <w:rsid w:val="006F0C5B"/>
    <w:rsid w:val="006F1522"/>
    <w:rsid w:val="006F39A5"/>
    <w:rsid w:val="00701800"/>
    <w:rsid w:val="0070464F"/>
    <w:rsid w:val="0070528D"/>
    <w:rsid w:val="007074C6"/>
    <w:rsid w:val="00710E6C"/>
    <w:rsid w:val="00714101"/>
    <w:rsid w:val="00716249"/>
    <w:rsid w:val="00724803"/>
    <w:rsid w:val="00724E95"/>
    <w:rsid w:val="00725563"/>
    <w:rsid w:val="00725CF4"/>
    <w:rsid w:val="00727E8F"/>
    <w:rsid w:val="007376DD"/>
    <w:rsid w:val="007416C6"/>
    <w:rsid w:val="00742965"/>
    <w:rsid w:val="007447EB"/>
    <w:rsid w:val="007506D6"/>
    <w:rsid w:val="007547C8"/>
    <w:rsid w:val="00755ED6"/>
    <w:rsid w:val="00777F4B"/>
    <w:rsid w:val="00782343"/>
    <w:rsid w:val="00782A10"/>
    <w:rsid w:val="00783D75"/>
    <w:rsid w:val="007879C2"/>
    <w:rsid w:val="007940C0"/>
    <w:rsid w:val="00795734"/>
    <w:rsid w:val="007961D7"/>
    <w:rsid w:val="007B581E"/>
    <w:rsid w:val="007B5ECA"/>
    <w:rsid w:val="007C4A23"/>
    <w:rsid w:val="007C4E84"/>
    <w:rsid w:val="007D1E79"/>
    <w:rsid w:val="007D2AC7"/>
    <w:rsid w:val="007D3787"/>
    <w:rsid w:val="007E762F"/>
    <w:rsid w:val="007F239E"/>
    <w:rsid w:val="007F6885"/>
    <w:rsid w:val="007F77B9"/>
    <w:rsid w:val="00803194"/>
    <w:rsid w:val="0080455F"/>
    <w:rsid w:val="00811754"/>
    <w:rsid w:val="00812F8F"/>
    <w:rsid w:val="008167AE"/>
    <w:rsid w:val="008203B7"/>
    <w:rsid w:val="00820468"/>
    <w:rsid w:val="00820594"/>
    <w:rsid w:val="00822133"/>
    <w:rsid w:val="008310A9"/>
    <w:rsid w:val="0083163B"/>
    <w:rsid w:val="00831752"/>
    <w:rsid w:val="00843C07"/>
    <w:rsid w:val="0084537A"/>
    <w:rsid w:val="00845AB8"/>
    <w:rsid w:val="008473AE"/>
    <w:rsid w:val="008553B5"/>
    <w:rsid w:val="00865617"/>
    <w:rsid w:val="00865DBF"/>
    <w:rsid w:val="008704F3"/>
    <w:rsid w:val="00871730"/>
    <w:rsid w:val="00881A6D"/>
    <w:rsid w:val="00883454"/>
    <w:rsid w:val="00894999"/>
    <w:rsid w:val="00894AFF"/>
    <w:rsid w:val="008A1437"/>
    <w:rsid w:val="008A1896"/>
    <w:rsid w:val="008A1EA3"/>
    <w:rsid w:val="008A3B59"/>
    <w:rsid w:val="008A3C4A"/>
    <w:rsid w:val="008A535E"/>
    <w:rsid w:val="008A596B"/>
    <w:rsid w:val="008B6D75"/>
    <w:rsid w:val="008C0832"/>
    <w:rsid w:val="008C1A05"/>
    <w:rsid w:val="008C546C"/>
    <w:rsid w:val="008D50C3"/>
    <w:rsid w:val="008E0401"/>
    <w:rsid w:val="008E213E"/>
    <w:rsid w:val="008E4E08"/>
    <w:rsid w:val="008E53C7"/>
    <w:rsid w:val="008F235E"/>
    <w:rsid w:val="008F4631"/>
    <w:rsid w:val="008F7304"/>
    <w:rsid w:val="009017B4"/>
    <w:rsid w:val="009022E6"/>
    <w:rsid w:val="00902DD7"/>
    <w:rsid w:val="009118D4"/>
    <w:rsid w:val="009162C1"/>
    <w:rsid w:val="00921A67"/>
    <w:rsid w:val="00921FF6"/>
    <w:rsid w:val="00923FE4"/>
    <w:rsid w:val="009316D8"/>
    <w:rsid w:val="0093243D"/>
    <w:rsid w:val="00934181"/>
    <w:rsid w:val="00943EFE"/>
    <w:rsid w:val="009467BE"/>
    <w:rsid w:val="00950722"/>
    <w:rsid w:val="0095116B"/>
    <w:rsid w:val="0095191D"/>
    <w:rsid w:val="00953BCB"/>
    <w:rsid w:val="00953E2B"/>
    <w:rsid w:val="009554C2"/>
    <w:rsid w:val="009648D8"/>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2BB4"/>
    <w:rsid w:val="009D035A"/>
    <w:rsid w:val="009D7496"/>
    <w:rsid w:val="009E3DB3"/>
    <w:rsid w:val="009E4191"/>
    <w:rsid w:val="009E55EA"/>
    <w:rsid w:val="009F028B"/>
    <w:rsid w:val="009F2F0B"/>
    <w:rsid w:val="009F3F7E"/>
    <w:rsid w:val="009F429E"/>
    <w:rsid w:val="009F57BD"/>
    <w:rsid w:val="00A00B5A"/>
    <w:rsid w:val="00A015A0"/>
    <w:rsid w:val="00A03B44"/>
    <w:rsid w:val="00A06FAB"/>
    <w:rsid w:val="00A10A62"/>
    <w:rsid w:val="00A123DE"/>
    <w:rsid w:val="00A1296C"/>
    <w:rsid w:val="00A206B2"/>
    <w:rsid w:val="00A21AB4"/>
    <w:rsid w:val="00A21E8C"/>
    <w:rsid w:val="00A22595"/>
    <w:rsid w:val="00A311FF"/>
    <w:rsid w:val="00A31DE3"/>
    <w:rsid w:val="00A32221"/>
    <w:rsid w:val="00A37D09"/>
    <w:rsid w:val="00A50E19"/>
    <w:rsid w:val="00A529EC"/>
    <w:rsid w:val="00A52EAA"/>
    <w:rsid w:val="00A5517A"/>
    <w:rsid w:val="00A57065"/>
    <w:rsid w:val="00A60749"/>
    <w:rsid w:val="00A60B42"/>
    <w:rsid w:val="00A61F8E"/>
    <w:rsid w:val="00A63E0D"/>
    <w:rsid w:val="00A70FA7"/>
    <w:rsid w:val="00A72AB3"/>
    <w:rsid w:val="00A742C4"/>
    <w:rsid w:val="00A84E54"/>
    <w:rsid w:val="00A93C8E"/>
    <w:rsid w:val="00AA04DE"/>
    <w:rsid w:val="00AA6207"/>
    <w:rsid w:val="00AB1B71"/>
    <w:rsid w:val="00AC4708"/>
    <w:rsid w:val="00AC6437"/>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0A8B"/>
    <w:rsid w:val="00B145D5"/>
    <w:rsid w:val="00B1490D"/>
    <w:rsid w:val="00B24A54"/>
    <w:rsid w:val="00B24AE1"/>
    <w:rsid w:val="00B34937"/>
    <w:rsid w:val="00B44D73"/>
    <w:rsid w:val="00B45503"/>
    <w:rsid w:val="00B526CF"/>
    <w:rsid w:val="00B542F4"/>
    <w:rsid w:val="00B54BBA"/>
    <w:rsid w:val="00B61673"/>
    <w:rsid w:val="00B631F5"/>
    <w:rsid w:val="00B63D9E"/>
    <w:rsid w:val="00B70181"/>
    <w:rsid w:val="00B8039D"/>
    <w:rsid w:val="00B87482"/>
    <w:rsid w:val="00B93267"/>
    <w:rsid w:val="00B97348"/>
    <w:rsid w:val="00B97422"/>
    <w:rsid w:val="00BA4610"/>
    <w:rsid w:val="00BA50AB"/>
    <w:rsid w:val="00BC3EC2"/>
    <w:rsid w:val="00BC7C62"/>
    <w:rsid w:val="00BE1F95"/>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2088"/>
    <w:rsid w:val="00C16B67"/>
    <w:rsid w:val="00C22872"/>
    <w:rsid w:val="00C248C9"/>
    <w:rsid w:val="00C34C5E"/>
    <w:rsid w:val="00C447B7"/>
    <w:rsid w:val="00C4621D"/>
    <w:rsid w:val="00C47F69"/>
    <w:rsid w:val="00C4DA08"/>
    <w:rsid w:val="00C4EAEB"/>
    <w:rsid w:val="00C5037D"/>
    <w:rsid w:val="00C511FB"/>
    <w:rsid w:val="00C54207"/>
    <w:rsid w:val="00C55A2A"/>
    <w:rsid w:val="00C60F2C"/>
    <w:rsid w:val="00C61C64"/>
    <w:rsid w:val="00C62236"/>
    <w:rsid w:val="00C62418"/>
    <w:rsid w:val="00C63A3A"/>
    <w:rsid w:val="00C65CBA"/>
    <w:rsid w:val="00C715CB"/>
    <w:rsid w:val="00C7236F"/>
    <w:rsid w:val="00C75D4D"/>
    <w:rsid w:val="00C81238"/>
    <w:rsid w:val="00C8174D"/>
    <w:rsid w:val="00C86057"/>
    <w:rsid w:val="00C876F1"/>
    <w:rsid w:val="00C92623"/>
    <w:rsid w:val="00C92821"/>
    <w:rsid w:val="00CA5B40"/>
    <w:rsid w:val="00CA7CFF"/>
    <w:rsid w:val="00CB1076"/>
    <w:rsid w:val="00CB1974"/>
    <w:rsid w:val="00CB668B"/>
    <w:rsid w:val="00CB6E5A"/>
    <w:rsid w:val="00CC0680"/>
    <w:rsid w:val="00CC0862"/>
    <w:rsid w:val="00CC28ED"/>
    <w:rsid w:val="00CD3AC4"/>
    <w:rsid w:val="00CD4270"/>
    <w:rsid w:val="00CD4EA7"/>
    <w:rsid w:val="00CD56D6"/>
    <w:rsid w:val="00CDC568"/>
    <w:rsid w:val="00CE4A08"/>
    <w:rsid w:val="00CF06A7"/>
    <w:rsid w:val="00CF17CD"/>
    <w:rsid w:val="00CF2765"/>
    <w:rsid w:val="00CF3C05"/>
    <w:rsid w:val="00CF4E67"/>
    <w:rsid w:val="00CF5EB7"/>
    <w:rsid w:val="00CF69EE"/>
    <w:rsid w:val="00CF7339"/>
    <w:rsid w:val="00D0153B"/>
    <w:rsid w:val="00D04662"/>
    <w:rsid w:val="00D121EF"/>
    <w:rsid w:val="00D136A5"/>
    <w:rsid w:val="00D16DFB"/>
    <w:rsid w:val="00D1703E"/>
    <w:rsid w:val="00D22F91"/>
    <w:rsid w:val="00D2331B"/>
    <w:rsid w:val="00D23A53"/>
    <w:rsid w:val="00D26595"/>
    <w:rsid w:val="00D27B17"/>
    <w:rsid w:val="00D369EC"/>
    <w:rsid w:val="00D36E22"/>
    <w:rsid w:val="00D41F2A"/>
    <w:rsid w:val="00D4762F"/>
    <w:rsid w:val="00D47B42"/>
    <w:rsid w:val="00D52E15"/>
    <w:rsid w:val="00D61363"/>
    <w:rsid w:val="00D61486"/>
    <w:rsid w:val="00D64F91"/>
    <w:rsid w:val="00D675D9"/>
    <w:rsid w:val="00D67BA3"/>
    <w:rsid w:val="00D70934"/>
    <w:rsid w:val="00D729CB"/>
    <w:rsid w:val="00D75F82"/>
    <w:rsid w:val="00D76DAE"/>
    <w:rsid w:val="00D76F02"/>
    <w:rsid w:val="00D8289C"/>
    <w:rsid w:val="00D8347B"/>
    <w:rsid w:val="00D909C3"/>
    <w:rsid w:val="00D94ECE"/>
    <w:rsid w:val="00DA3392"/>
    <w:rsid w:val="00DA44C0"/>
    <w:rsid w:val="00DB0170"/>
    <w:rsid w:val="00DB3AD1"/>
    <w:rsid w:val="00DB5C31"/>
    <w:rsid w:val="00DB5F8C"/>
    <w:rsid w:val="00DB646E"/>
    <w:rsid w:val="00DC0B9F"/>
    <w:rsid w:val="00DC0C4C"/>
    <w:rsid w:val="00DC1EE9"/>
    <w:rsid w:val="00DC25AA"/>
    <w:rsid w:val="00DC3D41"/>
    <w:rsid w:val="00DD09B2"/>
    <w:rsid w:val="00DD3428"/>
    <w:rsid w:val="00DE113B"/>
    <w:rsid w:val="00DE7000"/>
    <w:rsid w:val="00DF0FC0"/>
    <w:rsid w:val="00DF238F"/>
    <w:rsid w:val="00DF4D78"/>
    <w:rsid w:val="00DF58F0"/>
    <w:rsid w:val="00E03B4E"/>
    <w:rsid w:val="00E22CE2"/>
    <w:rsid w:val="00E25AFE"/>
    <w:rsid w:val="00E278EA"/>
    <w:rsid w:val="00E35245"/>
    <w:rsid w:val="00E427BE"/>
    <w:rsid w:val="00E42F2C"/>
    <w:rsid w:val="00E440DD"/>
    <w:rsid w:val="00E458B7"/>
    <w:rsid w:val="00E50F86"/>
    <w:rsid w:val="00E56B4E"/>
    <w:rsid w:val="00E57361"/>
    <w:rsid w:val="00E62673"/>
    <w:rsid w:val="00E63A37"/>
    <w:rsid w:val="00E63A7E"/>
    <w:rsid w:val="00E65DFD"/>
    <w:rsid w:val="00E673A7"/>
    <w:rsid w:val="00E81B44"/>
    <w:rsid w:val="00E82293"/>
    <w:rsid w:val="00E822A4"/>
    <w:rsid w:val="00E842F5"/>
    <w:rsid w:val="00E84765"/>
    <w:rsid w:val="00E85B8A"/>
    <w:rsid w:val="00E8767C"/>
    <w:rsid w:val="00E92897"/>
    <w:rsid w:val="00E93EE0"/>
    <w:rsid w:val="00E95706"/>
    <w:rsid w:val="00EA0CCC"/>
    <w:rsid w:val="00EA363B"/>
    <w:rsid w:val="00EA488E"/>
    <w:rsid w:val="00EA729E"/>
    <w:rsid w:val="00EB0BC6"/>
    <w:rsid w:val="00EB23A0"/>
    <w:rsid w:val="00EB7E82"/>
    <w:rsid w:val="00EC31AE"/>
    <w:rsid w:val="00EC3B77"/>
    <w:rsid w:val="00EC5CC3"/>
    <w:rsid w:val="00ED01A0"/>
    <w:rsid w:val="00ED6061"/>
    <w:rsid w:val="00EE32ED"/>
    <w:rsid w:val="00EE4746"/>
    <w:rsid w:val="00EE708B"/>
    <w:rsid w:val="00EF13A3"/>
    <w:rsid w:val="00F045FF"/>
    <w:rsid w:val="00F054F3"/>
    <w:rsid w:val="00F05D8E"/>
    <w:rsid w:val="00F0621F"/>
    <w:rsid w:val="00F07147"/>
    <w:rsid w:val="00F11803"/>
    <w:rsid w:val="00F16358"/>
    <w:rsid w:val="00F22060"/>
    <w:rsid w:val="00F25416"/>
    <w:rsid w:val="00F43936"/>
    <w:rsid w:val="00F461ED"/>
    <w:rsid w:val="00F46FF0"/>
    <w:rsid w:val="00F5194C"/>
    <w:rsid w:val="00F55989"/>
    <w:rsid w:val="00F6274F"/>
    <w:rsid w:val="00F63472"/>
    <w:rsid w:val="00F70DBF"/>
    <w:rsid w:val="00F73B25"/>
    <w:rsid w:val="00F74860"/>
    <w:rsid w:val="00F81ED3"/>
    <w:rsid w:val="00F85687"/>
    <w:rsid w:val="00F94C31"/>
    <w:rsid w:val="00FA1389"/>
    <w:rsid w:val="00FB16F7"/>
    <w:rsid w:val="00FB3F76"/>
    <w:rsid w:val="00FB57B1"/>
    <w:rsid w:val="00FC3D7B"/>
    <w:rsid w:val="00FC4772"/>
    <w:rsid w:val="00FC74D0"/>
    <w:rsid w:val="00FC7E6B"/>
    <w:rsid w:val="00FD0DBE"/>
    <w:rsid w:val="00FD5625"/>
    <w:rsid w:val="00FE2CE1"/>
    <w:rsid w:val="00FE5617"/>
    <w:rsid w:val="00FE7D7F"/>
    <w:rsid w:val="00FF7A69"/>
    <w:rsid w:val="0170E8A3"/>
    <w:rsid w:val="02A313D1"/>
    <w:rsid w:val="02CFF49E"/>
    <w:rsid w:val="04393F67"/>
    <w:rsid w:val="04877145"/>
    <w:rsid w:val="054DCE03"/>
    <w:rsid w:val="0689B816"/>
    <w:rsid w:val="06C9C6B8"/>
    <w:rsid w:val="07591174"/>
    <w:rsid w:val="07E972F4"/>
    <w:rsid w:val="086C61D3"/>
    <w:rsid w:val="08D5D9F4"/>
    <w:rsid w:val="091C5DCE"/>
    <w:rsid w:val="0952BBDF"/>
    <w:rsid w:val="0AD9EA81"/>
    <w:rsid w:val="0AF3D9D1"/>
    <w:rsid w:val="0C84AB91"/>
    <w:rsid w:val="0CA42F25"/>
    <w:rsid w:val="0D8CBF94"/>
    <w:rsid w:val="0DDE6410"/>
    <w:rsid w:val="0DFFD755"/>
    <w:rsid w:val="131F28AF"/>
    <w:rsid w:val="132C85B5"/>
    <w:rsid w:val="13BFD2E7"/>
    <w:rsid w:val="143B9125"/>
    <w:rsid w:val="1604718B"/>
    <w:rsid w:val="16E057FE"/>
    <w:rsid w:val="17060660"/>
    <w:rsid w:val="1721B1C7"/>
    <w:rsid w:val="17D5E082"/>
    <w:rsid w:val="17E721B9"/>
    <w:rsid w:val="18FF987A"/>
    <w:rsid w:val="191B1EE1"/>
    <w:rsid w:val="1939DF6E"/>
    <w:rsid w:val="1953054C"/>
    <w:rsid w:val="1A5C609A"/>
    <w:rsid w:val="1A7C9719"/>
    <w:rsid w:val="1AB68D01"/>
    <w:rsid w:val="1ACFCCE2"/>
    <w:rsid w:val="1B092C82"/>
    <w:rsid w:val="1C3D1138"/>
    <w:rsid w:val="1C3DC050"/>
    <w:rsid w:val="1CBAAEC0"/>
    <w:rsid w:val="1D02F9A3"/>
    <w:rsid w:val="1DAA2B99"/>
    <w:rsid w:val="1F67C9A2"/>
    <w:rsid w:val="1FB17C06"/>
    <w:rsid w:val="1FD08679"/>
    <w:rsid w:val="2174695B"/>
    <w:rsid w:val="22B33F42"/>
    <w:rsid w:val="232F62BD"/>
    <w:rsid w:val="2339A4BF"/>
    <w:rsid w:val="233BC9DA"/>
    <w:rsid w:val="25ABA930"/>
    <w:rsid w:val="26530995"/>
    <w:rsid w:val="268BFCC5"/>
    <w:rsid w:val="2830A123"/>
    <w:rsid w:val="283D1916"/>
    <w:rsid w:val="2991C983"/>
    <w:rsid w:val="2A33D8CF"/>
    <w:rsid w:val="2AD5313D"/>
    <w:rsid w:val="2B886C50"/>
    <w:rsid w:val="2D8531F1"/>
    <w:rsid w:val="2E87834D"/>
    <w:rsid w:val="2ED9320B"/>
    <w:rsid w:val="2FD02FDF"/>
    <w:rsid w:val="30B75876"/>
    <w:rsid w:val="3112790B"/>
    <w:rsid w:val="32F36E1A"/>
    <w:rsid w:val="333D56FE"/>
    <w:rsid w:val="33577084"/>
    <w:rsid w:val="343AC3A7"/>
    <w:rsid w:val="347CC73B"/>
    <w:rsid w:val="349ADF15"/>
    <w:rsid w:val="34A9FF56"/>
    <w:rsid w:val="3568854F"/>
    <w:rsid w:val="3638514E"/>
    <w:rsid w:val="37862C27"/>
    <w:rsid w:val="37F02E9F"/>
    <w:rsid w:val="3871802E"/>
    <w:rsid w:val="38B01730"/>
    <w:rsid w:val="397967E4"/>
    <w:rsid w:val="3A458BA2"/>
    <w:rsid w:val="3A71F876"/>
    <w:rsid w:val="3AA46252"/>
    <w:rsid w:val="3AB64CBE"/>
    <w:rsid w:val="3AB69C34"/>
    <w:rsid w:val="3B090C78"/>
    <w:rsid w:val="3B4E2621"/>
    <w:rsid w:val="3BCB4A9F"/>
    <w:rsid w:val="3C209FBD"/>
    <w:rsid w:val="3C53B05C"/>
    <w:rsid w:val="3C621DBC"/>
    <w:rsid w:val="3C62E718"/>
    <w:rsid w:val="3CF2940E"/>
    <w:rsid w:val="3E1BCC89"/>
    <w:rsid w:val="3FFF0F6A"/>
    <w:rsid w:val="402E69AE"/>
    <w:rsid w:val="40783577"/>
    <w:rsid w:val="418B3B92"/>
    <w:rsid w:val="41CE9281"/>
    <w:rsid w:val="425DA90C"/>
    <w:rsid w:val="426CF434"/>
    <w:rsid w:val="426EC9B4"/>
    <w:rsid w:val="42CBD8ED"/>
    <w:rsid w:val="43CF12BD"/>
    <w:rsid w:val="43F7E1A0"/>
    <w:rsid w:val="45E2FEDA"/>
    <w:rsid w:val="467BEC36"/>
    <w:rsid w:val="47AA1178"/>
    <w:rsid w:val="47EEACE8"/>
    <w:rsid w:val="48390E14"/>
    <w:rsid w:val="48D0DC66"/>
    <w:rsid w:val="490EBE02"/>
    <w:rsid w:val="492A0677"/>
    <w:rsid w:val="4BCA56C7"/>
    <w:rsid w:val="4D6E05BD"/>
    <w:rsid w:val="4E702F6C"/>
    <w:rsid w:val="4E8FF0E6"/>
    <w:rsid w:val="4ECD67CC"/>
    <w:rsid w:val="4F7094A7"/>
    <w:rsid w:val="4FC25B6C"/>
    <w:rsid w:val="50DB1BD0"/>
    <w:rsid w:val="51F85262"/>
    <w:rsid w:val="54013DAA"/>
    <w:rsid w:val="550EBC0F"/>
    <w:rsid w:val="5717A259"/>
    <w:rsid w:val="58D1B4FC"/>
    <w:rsid w:val="59FFB6C9"/>
    <w:rsid w:val="5AAE6BE8"/>
    <w:rsid w:val="5BE16D65"/>
    <w:rsid w:val="5BF378E0"/>
    <w:rsid w:val="5C7010BD"/>
    <w:rsid w:val="5C8A8BA6"/>
    <w:rsid w:val="5E8D10BF"/>
    <w:rsid w:val="5F43BF6D"/>
    <w:rsid w:val="614A6BD9"/>
    <w:rsid w:val="61E22629"/>
    <w:rsid w:val="62E14D52"/>
    <w:rsid w:val="62F1241A"/>
    <w:rsid w:val="6390B7E8"/>
    <w:rsid w:val="63987647"/>
    <w:rsid w:val="64F0D194"/>
    <w:rsid w:val="6505E83E"/>
    <w:rsid w:val="6515DEB1"/>
    <w:rsid w:val="656789B2"/>
    <w:rsid w:val="65B22718"/>
    <w:rsid w:val="65BCBFD2"/>
    <w:rsid w:val="67BE75BE"/>
    <w:rsid w:val="69876716"/>
    <w:rsid w:val="6A1E3D49"/>
    <w:rsid w:val="6B0D2ECA"/>
    <w:rsid w:val="6B2BBB06"/>
    <w:rsid w:val="6C30F30A"/>
    <w:rsid w:val="6C92F12E"/>
    <w:rsid w:val="6D10BDD7"/>
    <w:rsid w:val="6D40ED0D"/>
    <w:rsid w:val="6E071F03"/>
    <w:rsid w:val="6E35D935"/>
    <w:rsid w:val="6F20907B"/>
    <w:rsid w:val="6F907B28"/>
    <w:rsid w:val="738C9A26"/>
    <w:rsid w:val="7391CA17"/>
    <w:rsid w:val="75BC5FD0"/>
    <w:rsid w:val="7723257D"/>
    <w:rsid w:val="77EA820D"/>
    <w:rsid w:val="791DB5AC"/>
    <w:rsid w:val="79325BB5"/>
    <w:rsid w:val="799D94C1"/>
    <w:rsid w:val="7B32B0B3"/>
    <w:rsid w:val="7BB7CEC9"/>
    <w:rsid w:val="7C2BC020"/>
    <w:rsid w:val="7C6DEF17"/>
    <w:rsid w:val="7D534644"/>
    <w:rsid w:val="7D66AFE7"/>
    <w:rsid w:val="7E1767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B1C40F3E-8914-4C70-9BA5-20B56B6E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492E"/>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normaltextrun" w:customStyle="1">
    <w:name w:val="normaltextrun"/>
    <w:basedOn w:val="DefaultParagraphFont"/>
    <w:rsid w:val="00DF238F"/>
  </w:style>
  <w:style w:type="character" w:styleId="eop" w:customStyle="1">
    <w:name w:val="eop"/>
    <w:basedOn w:val="DefaultParagraphFont"/>
    <w:rsid w:val="00DF238F"/>
  </w:style>
  <w:style w:type="paragraph" w:styleId="TableText" w:customStyle="1">
    <w:name w:val="Table Text"/>
    <w:basedOn w:val="Normal"/>
    <w:link w:val="TableTextCharChar"/>
    <w:uiPriority w:val="1"/>
    <w:qFormat/>
    <w:rsid w:val="6A1E3D49"/>
    <w:pPr>
      <w:spacing w:before="60" w:after="80"/>
    </w:pPr>
    <w:rPr>
      <w:rFonts w:asciiTheme="minorHAnsi" w:hAnsiTheme="minorHAnsi" w:eastAsiaTheme="minorEastAsia" w:cstheme="minorBidi"/>
      <w:sz w:val="22"/>
    </w:rPr>
  </w:style>
  <w:style w:type="character" w:styleId="TableTextCharChar" w:customStyle="1">
    <w:name w:val="Table Text Char Char"/>
    <w:basedOn w:val="DefaultParagraphFont"/>
    <w:link w:val="TableText"/>
    <w:uiPriority w:val="1"/>
    <w:rsid w:val="6A1E3D49"/>
    <w:rPr>
      <w:rFonts w:asciiTheme="minorHAnsi" w:hAnsiTheme="minorHAnsi" w:eastAsiaTheme="minorEastAsi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hyperlink" Target="https://publications.naturalengland.org.uk/publication/653767712728678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gov.uk/government/uploads/system/uploads/attachment_data/file/551130/List_of_Mandatory_and_Discretionary_Exclusions.pdf" TargetMode="Externa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publications.naturalengland.org.uk/publication/5363285194178560"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ires.onlinelibrary.wiley.com/doi/10.1002/wat2.1494" TargetMode="External" Id="rId16" /><Relationship Type="http://schemas.openxmlformats.org/officeDocument/2006/relationships/hyperlink" Target="https://ec.europa.eu/growth/smes/business-friendly-environment/sme-definition_e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www.gov.uk/government/publications/natural-england-building-partnerships-for-natures-recovery" TargetMode="External" Id="rId15" /><Relationship Type="http://schemas.openxmlformats.org/officeDocument/2006/relationships/header" Target="header2.xml" Id="rId23" /><Relationship Type="http://schemas.openxmlformats.org/officeDocument/2006/relationships/image" Target="media/image2.png" Id="rId28" /><Relationship Type="http://schemas.openxmlformats.org/officeDocument/2006/relationships/footnotes" Target="footnotes.xml" Id="rId10" /><Relationship Type="http://schemas.openxmlformats.org/officeDocument/2006/relationships/hyperlink" Target="https://publications.naturalengland.org.uk/publication/6315571141672960"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13</Value>
      <Value>10</Value>
      <Value>7</Value>
    </TaxCatchAll>
    <lcf76f155ced4ddcb4097134ff3c332f xmlns="152b5cb0-a42c-40f4-8b14-ada96d70124d">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SGA SR Internal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Species Recovery  Reintroductions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741090F-D27D-42FF-9DFC-3C8A92AD8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85c971-55cb-43aa-bd0f-ff8e27385bb4"/>
    <ds:schemaRef ds:uri="152b5cb0-a42c-40f4-8b14-ada96d7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841F1941-2290-49A8-BB93-0253EB676BE5}">
  <ds:schemaRefs>
    <ds:schemaRef ds:uri="Microsoft.SharePoint.Taxonomy.ContentTypeSync"/>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662745e8-e224-48e8-a2e3-254862b8c2f5"/>
    <ds:schemaRef ds:uri="http://www.w3.org/XML/1998/namespace"/>
    <ds:schemaRef ds:uri="http://purl.org/dc/dcmitype/"/>
    <ds:schemaRef ds:uri="http://schemas.microsoft.com/office/2006/documentManagement/types"/>
    <ds:schemaRef ds:uri="152b5cb0-a42c-40f4-8b14-ada96d70124d"/>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e85c971-55cb-43aa-bd0f-ff8e27385b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4</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Eaton, Julie</cp:lastModifiedBy>
  <cp:revision>215</cp:revision>
  <cp:lastPrinted>2018-08-21T22:39:00Z</cp:lastPrinted>
  <dcterms:created xsi:type="dcterms:W3CDTF">2024-09-02T15:36:00Z</dcterms:created>
  <dcterms:modified xsi:type="dcterms:W3CDTF">2024-10-15T12:53:12Z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0x010100A5BF1C78D9F64B679A5EBDE1C6598EBC010019CF92B46B8A2542AE8C7FB7660B961A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13;#Core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