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8B564" w14:textId="78AF9BD6" w:rsidR="00A10500" w:rsidRDefault="00091B0C" w:rsidP="00571BC4">
      <w:pPr>
        <w:pStyle w:val="GPSSchTitleandNumber"/>
        <w:spacing w:after="200" w:line="276" w:lineRule="auto"/>
        <w:jc w:val="left"/>
        <w:rPr>
          <w:rFonts w:ascii="Arial" w:hAnsi="Arial" w:cs="Arial"/>
          <w:caps w:val="0"/>
          <w:sz w:val="36"/>
          <w:szCs w:val="36"/>
        </w:rPr>
      </w:pPr>
      <w:r w:rsidRPr="00091B0C">
        <w:rPr>
          <w:rFonts w:ascii="Arial" w:hAnsi="Arial" w:cs="Arial"/>
          <w:caps w:val="0"/>
          <w:sz w:val="36"/>
          <w:szCs w:val="36"/>
        </w:rPr>
        <w:t xml:space="preserve">Schedule </w:t>
      </w:r>
      <w:r w:rsidR="00FC5816">
        <w:rPr>
          <w:rFonts w:ascii="Arial" w:hAnsi="Arial" w:cs="Arial"/>
          <w:caps w:val="0"/>
          <w:sz w:val="36"/>
          <w:szCs w:val="36"/>
        </w:rPr>
        <w:t>10</w:t>
      </w:r>
      <w:r w:rsidRPr="00091B0C">
        <w:rPr>
          <w:rFonts w:ascii="Arial" w:hAnsi="Arial" w:cs="Arial"/>
          <w:caps w:val="0"/>
          <w:sz w:val="36"/>
          <w:szCs w:val="36"/>
        </w:rPr>
        <w:t xml:space="preserve"> </w:t>
      </w:r>
      <w:r w:rsidR="00E420BC">
        <w:rPr>
          <w:rFonts w:ascii="Arial" w:hAnsi="Arial" w:cs="Arial"/>
          <w:caps w:val="0"/>
          <w:sz w:val="36"/>
          <w:szCs w:val="36"/>
        </w:rPr>
        <w:t>(</w:t>
      </w:r>
      <w:r w:rsidRPr="00091B0C">
        <w:rPr>
          <w:rFonts w:ascii="Arial" w:hAnsi="Arial" w:cs="Arial"/>
          <w:caps w:val="0"/>
          <w:sz w:val="36"/>
          <w:szCs w:val="36"/>
        </w:rPr>
        <w:t xml:space="preserve">Service </w:t>
      </w:r>
      <w:r w:rsidR="00BC7C20">
        <w:rPr>
          <w:rFonts w:ascii="Arial" w:hAnsi="Arial" w:cs="Arial"/>
          <w:caps w:val="0"/>
          <w:sz w:val="36"/>
          <w:szCs w:val="36"/>
        </w:rPr>
        <w:t>Levels</w:t>
      </w:r>
      <w:r w:rsidR="00E420BC">
        <w:rPr>
          <w:rFonts w:ascii="Arial" w:hAnsi="Arial" w:cs="Arial"/>
          <w:caps w:val="0"/>
          <w:sz w:val="36"/>
          <w:szCs w:val="36"/>
        </w:rPr>
        <w:t>)</w:t>
      </w:r>
    </w:p>
    <w:p w14:paraId="5ED36A82" w14:textId="77777777" w:rsidR="005D1C56" w:rsidRPr="00B553F1" w:rsidRDefault="00EF7368">
      <w:pPr>
        <w:pStyle w:val="GPSL1CLAUSEHEADING"/>
        <w:rPr>
          <w:rFonts w:hint="eastAsia"/>
        </w:rPr>
      </w:pPr>
      <w:bookmarkStart w:id="0" w:name="_Hlk45180294"/>
      <w:r w:rsidRPr="00B553F1">
        <w:t>Definitions</w:t>
      </w:r>
    </w:p>
    <w:p w14:paraId="6FA9EB5E" w14:textId="68119421" w:rsidR="005D1C56" w:rsidRPr="00B553F1" w:rsidRDefault="005D1C56" w:rsidP="00544576">
      <w:pPr>
        <w:pStyle w:val="GPSL2NumberedBoldHeading"/>
        <w:keepNext/>
      </w:pPr>
      <w:r w:rsidRPr="00B553F1">
        <w:t xml:space="preserve">In this Schedule, the following words shall have the following meanings and they shall supplement </w:t>
      </w:r>
      <w:r w:rsidR="00BC7C20" w:rsidRPr="00B553F1">
        <w:t>Schedule 1</w:t>
      </w:r>
      <w:r w:rsidRPr="00B553F1">
        <w:t xml:space="preserve"> (Definitions):</w:t>
      </w:r>
    </w:p>
    <w:tbl>
      <w:tblPr>
        <w:tblW w:w="8613" w:type="dxa"/>
        <w:tblInd w:w="709" w:type="dxa"/>
        <w:tblLayout w:type="fixed"/>
        <w:tblLook w:val="04A0" w:firstRow="1" w:lastRow="0" w:firstColumn="1" w:lastColumn="0" w:noHBand="0" w:noVBand="1"/>
      </w:tblPr>
      <w:tblGrid>
        <w:gridCol w:w="2660"/>
        <w:gridCol w:w="5953"/>
      </w:tblGrid>
      <w:tr w:rsidR="006A11C8" w:rsidRPr="00091B0C" w14:paraId="41527DC1" w14:textId="77777777" w:rsidTr="000917E6">
        <w:tc>
          <w:tcPr>
            <w:tcW w:w="2660" w:type="dxa"/>
            <w:shd w:val="clear" w:color="auto" w:fill="auto"/>
          </w:tcPr>
          <w:p w14:paraId="64B775CC" w14:textId="2D74999A" w:rsidR="006A11C8" w:rsidRPr="000917E6" w:rsidRDefault="00544576" w:rsidP="00D26C13">
            <w:pPr>
              <w:pStyle w:val="GPSDefinitionTerm"/>
              <w:spacing w:before="120"/>
              <w:rPr>
                <w:strike/>
                <w:szCs w:val="24"/>
              </w:rPr>
            </w:pPr>
            <w:r w:rsidRPr="000917E6">
              <w:rPr>
                <w:szCs w:val="24"/>
              </w:rPr>
              <w:t>"</w:t>
            </w:r>
            <w:r w:rsidR="0079433C" w:rsidRPr="000917E6">
              <w:rPr>
                <w:szCs w:val="24"/>
              </w:rPr>
              <w:t>Critical Service Level Failure</w:t>
            </w:r>
            <w:r w:rsidRPr="000917E6">
              <w:rPr>
                <w:szCs w:val="24"/>
              </w:rPr>
              <w:t>"</w:t>
            </w:r>
          </w:p>
        </w:tc>
        <w:tc>
          <w:tcPr>
            <w:tcW w:w="5953" w:type="dxa"/>
            <w:shd w:val="clear" w:color="auto" w:fill="auto"/>
          </w:tcPr>
          <w:p w14:paraId="6D2F0EAA" w14:textId="2C5E5FF2" w:rsidR="006A11C8" w:rsidRPr="000917E6" w:rsidRDefault="00864B4E" w:rsidP="001A25C9">
            <w:pPr>
              <w:pStyle w:val="GPsDefinition"/>
              <w:numPr>
                <w:ilvl w:val="0"/>
                <w:numId w:val="0"/>
              </w:numPr>
              <w:tabs>
                <w:tab w:val="clear" w:pos="-9"/>
              </w:tabs>
              <w:spacing w:before="120"/>
              <w:ind w:left="170"/>
              <w:jc w:val="left"/>
              <w:rPr>
                <w:szCs w:val="24"/>
              </w:rPr>
            </w:pPr>
            <w:r w:rsidRPr="000917E6">
              <w:rPr>
                <w:szCs w:val="24"/>
              </w:rPr>
              <w:t>has the meaning given to it in the Award Form</w:t>
            </w:r>
            <w:r w:rsidRPr="000917E6">
              <w:rPr>
                <w:strike/>
                <w:szCs w:val="24"/>
              </w:rPr>
              <w:t>;</w:t>
            </w:r>
          </w:p>
        </w:tc>
      </w:tr>
      <w:tr w:rsidR="00C20902" w:rsidRPr="00091B0C" w14:paraId="00A3E87A" w14:textId="77777777" w:rsidTr="000917E6">
        <w:tc>
          <w:tcPr>
            <w:tcW w:w="2660" w:type="dxa"/>
            <w:shd w:val="clear" w:color="auto" w:fill="auto"/>
          </w:tcPr>
          <w:p w14:paraId="5144A224" w14:textId="77777777" w:rsidR="00C20902" w:rsidRPr="00091B0C" w:rsidRDefault="00C20902" w:rsidP="001A25C9">
            <w:pPr>
              <w:pStyle w:val="GPSDefinitionTerm"/>
              <w:spacing w:before="120"/>
              <w:rPr>
                <w:szCs w:val="24"/>
              </w:rPr>
            </w:pPr>
            <w:r w:rsidRPr="00091B0C">
              <w:rPr>
                <w:szCs w:val="24"/>
              </w:rPr>
              <w:t>"Service Level Failure"</w:t>
            </w:r>
          </w:p>
        </w:tc>
        <w:tc>
          <w:tcPr>
            <w:tcW w:w="5953" w:type="dxa"/>
            <w:shd w:val="clear" w:color="auto" w:fill="auto"/>
          </w:tcPr>
          <w:p w14:paraId="510D2727" w14:textId="77777777" w:rsidR="00C20902" w:rsidRPr="00091B0C" w:rsidRDefault="00C20902" w:rsidP="001A25C9">
            <w:pPr>
              <w:pStyle w:val="GPsDefinition"/>
              <w:numPr>
                <w:ilvl w:val="0"/>
                <w:numId w:val="0"/>
              </w:numPr>
              <w:tabs>
                <w:tab w:val="left" w:pos="-179"/>
              </w:tabs>
              <w:spacing w:before="120"/>
              <w:ind w:left="170"/>
              <w:jc w:val="left"/>
              <w:rPr>
                <w:szCs w:val="24"/>
              </w:rPr>
            </w:pPr>
            <w:r w:rsidRPr="00091B0C">
              <w:rPr>
                <w:szCs w:val="24"/>
              </w:rPr>
              <w:t>means a failure to meet the Service Level Performance Measure in respect of a Service Level;</w:t>
            </w:r>
          </w:p>
        </w:tc>
      </w:tr>
      <w:tr w:rsidR="00C20902" w:rsidRPr="00091B0C" w14:paraId="174C172B" w14:textId="77777777" w:rsidTr="000917E6">
        <w:tc>
          <w:tcPr>
            <w:tcW w:w="2660" w:type="dxa"/>
            <w:shd w:val="clear" w:color="auto" w:fill="auto"/>
          </w:tcPr>
          <w:p w14:paraId="2B1A339D" w14:textId="77777777" w:rsidR="00C20902" w:rsidRPr="00091B0C" w:rsidRDefault="00C20902" w:rsidP="001A25C9">
            <w:pPr>
              <w:pStyle w:val="GPSDefinitionTerm"/>
              <w:spacing w:before="120"/>
              <w:rPr>
                <w:szCs w:val="24"/>
              </w:rPr>
            </w:pPr>
            <w:r w:rsidRPr="00091B0C">
              <w:rPr>
                <w:szCs w:val="24"/>
              </w:rPr>
              <w:t>"Service Level Performance Measure"</w:t>
            </w:r>
          </w:p>
        </w:tc>
        <w:tc>
          <w:tcPr>
            <w:tcW w:w="5953" w:type="dxa"/>
            <w:shd w:val="clear" w:color="auto" w:fill="auto"/>
          </w:tcPr>
          <w:p w14:paraId="273AD6B8" w14:textId="77777777" w:rsidR="00C20902" w:rsidRPr="00091B0C" w:rsidRDefault="00C20902" w:rsidP="001A25C9">
            <w:pPr>
              <w:pStyle w:val="GPsDefinition"/>
              <w:numPr>
                <w:ilvl w:val="0"/>
                <w:numId w:val="0"/>
              </w:numPr>
              <w:tabs>
                <w:tab w:val="left" w:pos="-179"/>
              </w:tabs>
              <w:spacing w:before="120"/>
              <w:ind w:left="170"/>
              <w:jc w:val="left"/>
              <w:rPr>
                <w:szCs w:val="24"/>
              </w:rPr>
            </w:pPr>
            <w:r w:rsidRPr="00091B0C">
              <w:rPr>
                <w:szCs w:val="24"/>
              </w:rPr>
              <w:t>shall be as set out against the relevant Service Level in the Annex to Part A of this Schedule; and</w:t>
            </w:r>
          </w:p>
        </w:tc>
      </w:tr>
      <w:tr w:rsidR="00C20902" w:rsidRPr="00091B0C" w14:paraId="13182C3D" w14:textId="77777777" w:rsidTr="000917E6">
        <w:tc>
          <w:tcPr>
            <w:tcW w:w="2660" w:type="dxa"/>
            <w:shd w:val="clear" w:color="auto" w:fill="auto"/>
          </w:tcPr>
          <w:p w14:paraId="5D217EEF" w14:textId="77777777" w:rsidR="00C20902" w:rsidRPr="00091B0C" w:rsidRDefault="00C20902" w:rsidP="001A25C9">
            <w:pPr>
              <w:pStyle w:val="GPSDefinitionTerm"/>
              <w:spacing w:before="120"/>
              <w:rPr>
                <w:szCs w:val="24"/>
              </w:rPr>
            </w:pPr>
            <w:r w:rsidRPr="00091B0C">
              <w:rPr>
                <w:szCs w:val="24"/>
              </w:rPr>
              <w:t>"Service Level Threshold"</w:t>
            </w:r>
          </w:p>
        </w:tc>
        <w:tc>
          <w:tcPr>
            <w:tcW w:w="5953" w:type="dxa"/>
            <w:shd w:val="clear" w:color="auto" w:fill="auto"/>
          </w:tcPr>
          <w:p w14:paraId="690F82C2" w14:textId="77777777" w:rsidR="00C20902" w:rsidRPr="00091B0C" w:rsidRDefault="00C20902" w:rsidP="001A25C9">
            <w:pPr>
              <w:pStyle w:val="GPsDefinition"/>
              <w:numPr>
                <w:ilvl w:val="0"/>
                <w:numId w:val="0"/>
              </w:numPr>
              <w:tabs>
                <w:tab w:val="left" w:pos="-179"/>
              </w:tabs>
              <w:spacing w:before="120"/>
              <w:ind w:left="170"/>
              <w:jc w:val="left"/>
              <w:rPr>
                <w:szCs w:val="24"/>
              </w:rPr>
            </w:pPr>
            <w:r w:rsidRPr="00091B0C">
              <w:rPr>
                <w:szCs w:val="24"/>
              </w:rPr>
              <w:t>shall be as set out against the relevant Service Level in the Annex to Part A of this Schedule.</w:t>
            </w:r>
          </w:p>
        </w:tc>
      </w:tr>
    </w:tbl>
    <w:p w14:paraId="2165D8E2" w14:textId="6D357B37" w:rsidR="005D1C56" w:rsidRPr="00544576" w:rsidRDefault="00EF7368" w:rsidP="004D3049">
      <w:pPr>
        <w:pStyle w:val="GPSL1CLAUSEHEADING"/>
        <w:rPr>
          <w:rFonts w:ascii="Arial" w:hAnsi="Arial"/>
          <w:szCs w:val="24"/>
        </w:rPr>
      </w:pPr>
      <w:r w:rsidRPr="00544576">
        <w:rPr>
          <w:rFonts w:ascii="Arial" w:hAnsi="Arial" w:hint="eastAsia"/>
          <w:szCs w:val="24"/>
        </w:rPr>
        <w:t>What happens if you don</w:t>
      </w:r>
      <w:r w:rsidR="00544576">
        <w:rPr>
          <w:rFonts w:ascii="Arial" w:hAnsi="Arial"/>
          <w:szCs w:val="24"/>
        </w:rPr>
        <w:t>’</w:t>
      </w:r>
      <w:r w:rsidRPr="00544576">
        <w:rPr>
          <w:rFonts w:ascii="Arial" w:hAnsi="Arial" w:hint="eastAsia"/>
          <w:szCs w:val="24"/>
        </w:rPr>
        <w:t>t meet the Service Levels</w:t>
      </w:r>
    </w:p>
    <w:p w14:paraId="5B3E1CD5" w14:textId="77777777" w:rsidR="005D1C56" w:rsidRPr="004D3049" w:rsidRDefault="005D1C56" w:rsidP="004D3049">
      <w:pPr>
        <w:pStyle w:val="GPSL2NumberedBoldHeading"/>
        <w:rPr>
          <w:b/>
        </w:rPr>
      </w:pPr>
      <w:r w:rsidRPr="004D3049">
        <w:t>The Supplier shall at all times provide the Deliverables to meet or exceed the Service Level Performance Measure for each Service Level.</w:t>
      </w:r>
    </w:p>
    <w:p w14:paraId="78E50333" w14:textId="1E3A1EE0" w:rsidR="005D1C56" w:rsidRPr="005737D0" w:rsidRDefault="005D1C56" w:rsidP="004D3049">
      <w:pPr>
        <w:pStyle w:val="GPSL2NumberedBoldHeading"/>
        <w:rPr>
          <w:b/>
        </w:rPr>
      </w:pPr>
      <w:r w:rsidRPr="005737D0">
        <w:t>The Supplier acknowledges that any Service Level Failure shall entitle the Buyer to the rights set out in Part A of this Schedule.</w:t>
      </w:r>
    </w:p>
    <w:p w14:paraId="04B8A3FB" w14:textId="77777777" w:rsidR="005D1C56" w:rsidRPr="00B0452A" w:rsidRDefault="005D1C56" w:rsidP="004D3049">
      <w:pPr>
        <w:pStyle w:val="GPSL2NumberedBoldHeading"/>
        <w:rPr>
          <w:strike/>
        </w:rPr>
      </w:pPr>
      <w:r w:rsidRPr="004D3049">
        <w:t xml:space="preserve">The Supplier shall send Performance Monitoring Reports to the Buyer detailing the level of service which was achieved in accordance with the </w:t>
      </w:r>
      <w:r w:rsidRPr="005737D0">
        <w:t>provisions of Part B (Performance Monitoring) of this Schedule.</w:t>
      </w:r>
    </w:p>
    <w:p w14:paraId="06FED302" w14:textId="1595DAD0" w:rsidR="005D1C56" w:rsidRPr="004D3049" w:rsidRDefault="005D1C56" w:rsidP="004D3049">
      <w:pPr>
        <w:pStyle w:val="GPSL3numberedclause"/>
        <w:rPr>
          <w:szCs w:val="24"/>
        </w:rPr>
      </w:pPr>
      <w:r w:rsidRPr="004D3049">
        <w:rPr>
          <w:szCs w:val="24"/>
        </w:rPr>
        <w:t xml:space="preserve">the Buyer is </w:t>
      </w:r>
      <w:r w:rsidR="001834BF" w:rsidRPr="004D3049">
        <w:rPr>
          <w:szCs w:val="24"/>
        </w:rPr>
        <w:t xml:space="preserve">also </w:t>
      </w:r>
      <w:r w:rsidRPr="004D3049">
        <w:rPr>
          <w:szCs w:val="24"/>
        </w:rPr>
        <w:t xml:space="preserve">entitled to </w:t>
      </w:r>
      <w:r w:rsidRPr="00B0452A">
        <w:rPr>
          <w:szCs w:val="24"/>
        </w:rPr>
        <w:t>or does</w:t>
      </w:r>
      <w:r w:rsidRPr="004D3049">
        <w:rPr>
          <w:szCs w:val="24"/>
        </w:rPr>
        <w:t xml:space="preserve"> terminate this Contract pursuant to Clause 1</w:t>
      </w:r>
      <w:r w:rsidR="002753B1" w:rsidRPr="004D3049">
        <w:rPr>
          <w:szCs w:val="24"/>
        </w:rPr>
        <w:t>4</w:t>
      </w:r>
      <w:r w:rsidRPr="004D3049">
        <w:rPr>
          <w:szCs w:val="24"/>
        </w:rPr>
        <w:t xml:space="preserve">.4 </w:t>
      </w:r>
      <w:r w:rsidR="00BE7F3D" w:rsidRPr="004D3049">
        <w:rPr>
          <w:szCs w:val="24"/>
        </w:rPr>
        <w:t xml:space="preserve">of the Core Terms </w:t>
      </w:r>
      <w:r w:rsidRPr="004D3049">
        <w:rPr>
          <w:szCs w:val="24"/>
        </w:rPr>
        <w:t>(</w:t>
      </w:r>
      <w:r w:rsidR="007C1A1B">
        <w:rPr>
          <w:szCs w:val="24"/>
        </w:rPr>
        <w:t xml:space="preserve">When the Buyer can end the </w:t>
      </w:r>
      <w:r w:rsidR="00D26C13">
        <w:rPr>
          <w:szCs w:val="24"/>
        </w:rPr>
        <w:t>c</w:t>
      </w:r>
      <w:r w:rsidR="007C1A1B">
        <w:rPr>
          <w:szCs w:val="24"/>
        </w:rPr>
        <w:t>ontract</w:t>
      </w:r>
      <w:r w:rsidRPr="004D3049">
        <w:rPr>
          <w:szCs w:val="24"/>
        </w:rPr>
        <w:t>).</w:t>
      </w:r>
    </w:p>
    <w:p w14:paraId="78F1AFD1" w14:textId="77777777" w:rsidR="005D1C56" w:rsidRPr="004D3049" w:rsidRDefault="005D1C56" w:rsidP="00571BC4">
      <w:pPr>
        <w:pStyle w:val="GPSL2NumberedBoldHeading"/>
        <w:keepNext/>
        <w:rPr>
          <w:szCs w:val="24"/>
        </w:rPr>
      </w:pPr>
      <w:r w:rsidRPr="004D3049">
        <w:rPr>
          <w:szCs w:val="24"/>
        </w:rPr>
        <w:t xml:space="preserve">Not more than once in each Contract Year, the Buyer may, on giving the Supplier at least three (3) Months’ notice, change the weighting of Service Level Performance Measure in respect of one or more Service Levels </w:t>
      </w:r>
      <w:r w:rsidRPr="004D3049">
        <w:rPr>
          <w:iCs/>
          <w:szCs w:val="24"/>
        </w:rPr>
        <w:t xml:space="preserve">and the </w:t>
      </w:r>
      <w:r w:rsidRPr="004D3049">
        <w:rPr>
          <w:szCs w:val="24"/>
        </w:rPr>
        <w:t>Supplier shall not be entitled to</w:t>
      </w:r>
      <w:r w:rsidRPr="004D3049">
        <w:rPr>
          <w:iCs/>
          <w:szCs w:val="24"/>
        </w:rPr>
        <w:t xml:space="preserve"> object to, or increase the Charges as a result of</w:t>
      </w:r>
      <w:r w:rsidRPr="004D3049">
        <w:rPr>
          <w:szCs w:val="24"/>
        </w:rPr>
        <w:t xml:space="preserve"> such </w:t>
      </w:r>
      <w:r w:rsidRPr="004D3049">
        <w:rPr>
          <w:iCs/>
          <w:szCs w:val="24"/>
        </w:rPr>
        <w:t>change</w:t>
      </w:r>
      <w:r w:rsidRPr="004D3049">
        <w:rPr>
          <w:szCs w:val="24"/>
        </w:rPr>
        <w:t>s, provided that:</w:t>
      </w:r>
    </w:p>
    <w:p w14:paraId="6AF2D8B0" w14:textId="77777777" w:rsidR="005D1C56" w:rsidRPr="004D3049" w:rsidRDefault="005D1C56" w:rsidP="004D3049">
      <w:pPr>
        <w:pStyle w:val="GPSL3numberedclause"/>
        <w:rPr>
          <w:szCs w:val="24"/>
        </w:rPr>
      </w:pPr>
      <w:r w:rsidRPr="004D3049">
        <w:rPr>
          <w:szCs w:val="24"/>
        </w:rPr>
        <w:t xml:space="preserve">the total number of Service Levels for which the weighting is to be changed does not exceed the number applicable as at the Start Date; </w:t>
      </w:r>
    </w:p>
    <w:p w14:paraId="016FCA35" w14:textId="77777777" w:rsidR="005D1C56" w:rsidRPr="005737D0" w:rsidRDefault="005D1C56" w:rsidP="004D3049">
      <w:pPr>
        <w:pStyle w:val="GPSL3numberedclause"/>
        <w:rPr>
          <w:szCs w:val="24"/>
        </w:rPr>
      </w:pPr>
      <w:r w:rsidRPr="004D3049">
        <w:rPr>
          <w:szCs w:val="24"/>
        </w:rPr>
        <w:t xml:space="preserve">the principal purpose of the change is to reflect changes in the Buyer's business requirements and/or priorities or to reflect changing industry standards; </w:t>
      </w:r>
      <w:r w:rsidRPr="005737D0">
        <w:rPr>
          <w:szCs w:val="24"/>
        </w:rPr>
        <w:t>and</w:t>
      </w:r>
    </w:p>
    <w:p w14:paraId="60EDC559" w14:textId="77777777" w:rsidR="005D1C56" w:rsidRPr="005737D0" w:rsidRDefault="00EF7368" w:rsidP="004D3049">
      <w:pPr>
        <w:pStyle w:val="GPSL1CLAUSEHEADING"/>
        <w:rPr>
          <w:rFonts w:hint="eastAsia"/>
        </w:rPr>
      </w:pPr>
      <w:r w:rsidRPr="005737D0">
        <w:lastRenderedPageBreak/>
        <w:t>Critical Service Level Failure</w:t>
      </w:r>
    </w:p>
    <w:p w14:paraId="1CB8C3F2" w14:textId="1BB5F69E" w:rsidR="005D1C56" w:rsidRPr="005737D0" w:rsidRDefault="005D1C56" w:rsidP="005737D0">
      <w:pPr>
        <w:pStyle w:val="GPSL2NumberedBoldHeading"/>
        <w:keepNext/>
        <w:numPr>
          <w:ilvl w:val="0"/>
          <w:numId w:val="0"/>
        </w:numPr>
        <w:spacing w:before="0" w:after="0"/>
        <w:ind w:left="357"/>
        <w:rPr>
          <w:strike/>
          <w:szCs w:val="24"/>
        </w:rPr>
      </w:pPr>
      <w:r w:rsidRPr="005737D0">
        <w:rPr>
          <w:szCs w:val="24"/>
        </w:rPr>
        <w:t>On the occurrence of a Critical Service Level Failure</w:t>
      </w:r>
      <w:r w:rsidR="001E4339" w:rsidRPr="005737D0">
        <w:rPr>
          <w:szCs w:val="24"/>
        </w:rPr>
        <w:t xml:space="preserve"> the Buyer retains the right </w:t>
      </w:r>
    </w:p>
    <w:p w14:paraId="7DFEF91C" w14:textId="31F58328" w:rsidR="005D1C56" w:rsidRPr="000917E6" w:rsidRDefault="005737D0" w:rsidP="005737D0">
      <w:pPr>
        <w:pStyle w:val="GPSL2NumberedBoldHeading"/>
        <w:numPr>
          <w:ilvl w:val="0"/>
          <w:numId w:val="0"/>
        </w:numPr>
        <w:spacing w:before="0" w:after="0"/>
        <w:ind w:left="357"/>
        <w:rPr>
          <w:strike/>
        </w:rPr>
      </w:pPr>
      <w:r>
        <w:t>t</w:t>
      </w:r>
      <w:r w:rsidR="005D1C56" w:rsidRPr="00091B0C">
        <w:t xml:space="preserve">o terminate this Contract </w:t>
      </w:r>
      <w:r w:rsidR="000917E6">
        <w:t xml:space="preserve">in accordance with the Termination rights in the Core Terms </w:t>
      </w:r>
    </w:p>
    <w:p w14:paraId="39A79804" w14:textId="77777777" w:rsidR="005D1C56" w:rsidRPr="00091B0C" w:rsidRDefault="005D1C56" w:rsidP="00571BC4"/>
    <w:p w14:paraId="6D7F9A35" w14:textId="77777777" w:rsidR="005D1C56" w:rsidRPr="00EF7368" w:rsidRDefault="005D1C56" w:rsidP="00571BC4">
      <w:pPr>
        <w:pStyle w:val="GPSSchPart"/>
        <w:keepNext w:val="0"/>
        <w:spacing w:after="200" w:line="276" w:lineRule="auto"/>
        <w:jc w:val="left"/>
        <w:rPr>
          <w:rFonts w:ascii="Arial Bold" w:hAnsi="Arial Bold" w:cs="Arial" w:hint="eastAsia"/>
          <w:caps w:val="0"/>
          <w:sz w:val="36"/>
          <w:szCs w:val="36"/>
        </w:rPr>
      </w:pPr>
      <w:r w:rsidRPr="00091B0C">
        <w:rPr>
          <w:rFonts w:ascii="Arial" w:hAnsi="Arial" w:cs="Arial"/>
          <w:sz w:val="24"/>
          <w:szCs w:val="24"/>
        </w:rPr>
        <w:br w:type="page"/>
      </w:r>
      <w:r w:rsidR="00EF7368">
        <w:rPr>
          <w:rFonts w:ascii="Arial Bold" w:hAnsi="Arial Bold" w:cs="Arial"/>
          <w:caps w:val="0"/>
          <w:sz w:val="36"/>
          <w:szCs w:val="36"/>
        </w:rPr>
        <w:lastRenderedPageBreak/>
        <w:t>Part A: Service Levels and Service Credits</w:t>
      </w:r>
      <w:r w:rsidRPr="00EF7368">
        <w:rPr>
          <w:rFonts w:ascii="Arial Bold" w:hAnsi="Arial Bold" w:cs="Arial"/>
          <w:caps w:val="0"/>
          <w:sz w:val="36"/>
          <w:szCs w:val="36"/>
        </w:rPr>
        <w:t xml:space="preserve"> </w:t>
      </w:r>
    </w:p>
    <w:p w14:paraId="534BCB67" w14:textId="77777777" w:rsidR="005D1C56" w:rsidRPr="00EF7368" w:rsidRDefault="00EF7368" w:rsidP="00571BC4">
      <w:pPr>
        <w:pStyle w:val="GPSL1CLAUSEHEADING"/>
        <w:numPr>
          <w:ilvl w:val="0"/>
          <w:numId w:val="87"/>
        </w:numPr>
        <w:rPr>
          <w:rFonts w:hint="eastAsia"/>
        </w:rPr>
      </w:pPr>
      <w:r>
        <w:t>Service Levels</w:t>
      </w:r>
    </w:p>
    <w:p w14:paraId="1DC71AD7" w14:textId="77777777" w:rsidR="005D1C56" w:rsidRPr="00091B0C" w:rsidRDefault="005D1C56" w:rsidP="00571BC4">
      <w:pPr>
        <w:keepNext/>
        <w:spacing w:before="120" w:after="120" w:line="240" w:lineRule="auto"/>
        <w:ind w:left="360"/>
      </w:pPr>
      <w:r w:rsidRPr="00091B0C">
        <w:t>If the level of performance of the Supplier:</w:t>
      </w:r>
    </w:p>
    <w:p w14:paraId="7A5D7D93" w14:textId="77777777" w:rsidR="005D1C56" w:rsidRPr="004D3049" w:rsidRDefault="005D1C56" w:rsidP="004D3049">
      <w:pPr>
        <w:pStyle w:val="GPSL2NumberedBoldHeading"/>
      </w:pPr>
      <w:r w:rsidRPr="004D3049">
        <w:t>is likely to or fails to meet any Service Level Performance Measure; or</w:t>
      </w:r>
    </w:p>
    <w:p w14:paraId="6FA75793" w14:textId="77777777" w:rsidR="005D1C56" w:rsidRPr="004D3049" w:rsidRDefault="005D1C56" w:rsidP="004D3049">
      <w:pPr>
        <w:pStyle w:val="GPSL2NumberedBoldHeading"/>
      </w:pPr>
      <w:r w:rsidRPr="004D3049">
        <w:t xml:space="preserve">is likely to cause or causes a Critical Service Failure to occur, </w:t>
      </w:r>
    </w:p>
    <w:p w14:paraId="01D7A741" w14:textId="77777777" w:rsidR="005D1C56" w:rsidRPr="00091B0C" w:rsidRDefault="005D1C56" w:rsidP="00571BC4">
      <w:pPr>
        <w:keepNext/>
        <w:spacing w:before="120" w:after="120" w:line="240" w:lineRule="auto"/>
        <w:ind w:left="360"/>
        <w:rPr>
          <w:szCs w:val="24"/>
        </w:rPr>
      </w:pPr>
      <w:r w:rsidRPr="00091B0C">
        <w:rPr>
          <w:szCs w:val="24"/>
        </w:rPr>
        <w:t xml:space="preserve">the Supplier </w:t>
      </w:r>
      <w:r w:rsidRPr="00571BC4">
        <w:t>shall</w:t>
      </w:r>
      <w:r w:rsidRPr="00091B0C">
        <w:rPr>
          <w:szCs w:val="24"/>
        </w:rPr>
        <w:t xml:space="preserve"> immediately notify the Buyer in writing and the Buyer, in its absolute discretion and without limiting any other of its rights, may:</w:t>
      </w:r>
    </w:p>
    <w:p w14:paraId="49381E09" w14:textId="77777777" w:rsidR="005D1C56" w:rsidRPr="00091B0C" w:rsidRDefault="005D1C56" w:rsidP="00AD35D0">
      <w:pPr>
        <w:numPr>
          <w:ilvl w:val="2"/>
          <w:numId w:val="44"/>
        </w:numPr>
        <w:pBdr>
          <w:top w:val="nil"/>
          <w:left w:val="nil"/>
          <w:bottom w:val="nil"/>
          <w:right w:val="nil"/>
          <w:between w:val="nil"/>
        </w:pBdr>
        <w:tabs>
          <w:tab w:val="clear" w:pos="2160"/>
          <w:tab w:val="left" w:pos="1985"/>
        </w:tabs>
        <w:spacing w:before="120" w:after="120" w:line="240" w:lineRule="auto"/>
        <w:ind w:left="1750" w:hanging="850"/>
        <w:rPr>
          <w:szCs w:val="24"/>
        </w:rPr>
      </w:pPr>
      <w:r w:rsidRPr="00091B0C">
        <w:rPr>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08E52CAC" w14:textId="5B5E831A" w:rsidR="005D1C56" w:rsidRPr="00091B0C" w:rsidRDefault="005D1C56" w:rsidP="00AD35D0">
      <w:pPr>
        <w:numPr>
          <w:ilvl w:val="2"/>
          <w:numId w:val="44"/>
        </w:numPr>
        <w:pBdr>
          <w:top w:val="nil"/>
          <w:left w:val="nil"/>
          <w:bottom w:val="nil"/>
          <w:right w:val="nil"/>
          <w:between w:val="nil"/>
        </w:pBdr>
        <w:tabs>
          <w:tab w:val="clear" w:pos="2160"/>
          <w:tab w:val="left" w:pos="1985"/>
        </w:tabs>
        <w:spacing w:before="120" w:after="120" w:line="240" w:lineRule="auto"/>
        <w:ind w:left="1750" w:hanging="850"/>
        <w:rPr>
          <w:szCs w:val="24"/>
        </w:rPr>
      </w:pPr>
      <w:r w:rsidRPr="00091B0C">
        <w:rPr>
          <w:szCs w:val="24"/>
        </w:rPr>
        <w:t xml:space="preserve">instruct the Supplier to comply with the Rectification Plan Process; </w:t>
      </w:r>
      <w:r w:rsidR="005737D0">
        <w:rPr>
          <w:szCs w:val="24"/>
        </w:rPr>
        <w:t>and/or</w:t>
      </w:r>
    </w:p>
    <w:p w14:paraId="2E5F5D9F" w14:textId="411BDA9C" w:rsidR="005D1C56" w:rsidRPr="00091B0C" w:rsidRDefault="005D1C56" w:rsidP="00AD35D0">
      <w:pPr>
        <w:numPr>
          <w:ilvl w:val="2"/>
          <w:numId w:val="44"/>
        </w:numPr>
        <w:pBdr>
          <w:top w:val="nil"/>
          <w:left w:val="nil"/>
          <w:bottom w:val="nil"/>
          <w:right w:val="nil"/>
          <w:between w:val="nil"/>
        </w:pBdr>
        <w:tabs>
          <w:tab w:val="clear" w:pos="2160"/>
          <w:tab w:val="left" w:pos="1985"/>
        </w:tabs>
        <w:spacing w:before="120" w:after="120" w:line="240" w:lineRule="auto"/>
        <w:ind w:left="1750" w:hanging="850"/>
        <w:rPr>
          <w:szCs w:val="24"/>
        </w:rPr>
      </w:pPr>
      <w:r w:rsidRPr="00091B0C">
        <w:rPr>
          <w:szCs w:val="24"/>
        </w:rPr>
        <w:t xml:space="preserve">if a Critical Service Level Failure has occurred, exercise its right to </w:t>
      </w:r>
      <w:r w:rsidR="005737D0">
        <w:rPr>
          <w:szCs w:val="24"/>
        </w:rPr>
        <w:t>te</w:t>
      </w:r>
      <w:r w:rsidRPr="00091B0C">
        <w:rPr>
          <w:szCs w:val="24"/>
        </w:rPr>
        <w:t xml:space="preserve">rminate </w:t>
      </w:r>
      <w:r w:rsidR="005737D0">
        <w:rPr>
          <w:szCs w:val="24"/>
        </w:rPr>
        <w:t>for Material Default</w:t>
      </w:r>
      <w:r w:rsidRPr="008E7073">
        <w:rPr>
          <w:strike/>
          <w:szCs w:val="24"/>
        </w:rPr>
        <w:t>.</w:t>
      </w:r>
    </w:p>
    <w:p w14:paraId="58EF6092" w14:textId="54244F9B" w:rsidR="005D1C56" w:rsidRPr="009674CA" w:rsidRDefault="005D1C56" w:rsidP="00571BC4">
      <w:pPr>
        <w:pStyle w:val="GPSSchAnnexname"/>
        <w:spacing w:after="200" w:line="276" w:lineRule="auto"/>
        <w:jc w:val="left"/>
        <w:rPr>
          <w:rFonts w:ascii="Arial Bold" w:hAnsi="Arial Bold" w:cs="Arial" w:hint="eastAsia"/>
          <w:caps w:val="0"/>
          <w:sz w:val="24"/>
          <w:szCs w:val="24"/>
        </w:rPr>
      </w:pPr>
      <w:r w:rsidRPr="008E7073">
        <w:rPr>
          <w:rFonts w:ascii="Arial" w:hAnsi="Arial" w:cs="Arial"/>
          <w:strike/>
          <w:sz w:val="24"/>
          <w:szCs w:val="24"/>
        </w:rPr>
        <w:br w:type="page"/>
      </w:r>
      <w:r w:rsidR="009674CA">
        <w:rPr>
          <w:rFonts w:ascii="Arial Bold" w:hAnsi="Arial Bold" w:cs="Arial"/>
          <w:caps w:val="0"/>
          <w:sz w:val="36"/>
          <w:szCs w:val="24"/>
        </w:rPr>
        <w:lastRenderedPageBreak/>
        <w:t>Annex A to Part A</w:t>
      </w:r>
      <w:r w:rsidRPr="009674CA">
        <w:rPr>
          <w:rFonts w:ascii="Arial Bold" w:hAnsi="Arial Bold" w:cs="Arial"/>
          <w:caps w:val="0"/>
          <w:sz w:val="36"/>
          <w:szCs w:val="24"/>
        </w:rPr>
        <w:t xml:space="preserve">: </w:t>
      </w:r>
      <w:r w:rsidR="009674CA">
        <w:rPr>
          <w:rFonts w:ascii="Arial Bold" w:hAnsi="Arial Bold" w:cs="Arial"/>
          <w:caps w:val="0"/>
          <w:sz w:val="36"/>
          <w:szCs w:val="24"/>
        </w:rPr>
        <w:t>Service Levels and Service Credits Table</w:t>
      </w:r>
    </w:p>
    <w:p w14:paraId="72589D0C" w14:textId="335E6BD1" w:rsidR="005D1C56" w:rsidRPr="00513AA2" w:rsidRDefault="005D1C56" w:rsidP="00AD35D0">
      <w:pPr>
        <w:spacing w:before="120" w:after="120" w:line="240" w:lineRule="auto"/>
        <w:rPr>
          <w:rFonts w:cs="Arial"/>
          <w:szCs w:val="24"/>
        </w:rPr>
      </w:pPr>
    </w:p>
    <w:tbl>
      <w:tblPr>
        <w:tblW w:w="8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2162"/>
        <w:gridCol w:w="1701"/>
      </w:tblGrid>
      <w:tr w:rsidR="00D422C0" w:rsidRPr="00513AA2" w14:paraId="29EDDF8F" w14:textId="77777777" w:rsidTr="00D422C0">
        <w:trPr>
          <w:trHeight w:val="1213"/>
          <w:tblHeader/>
          <w:jc w:val="center"/>
        </w:trPr>
        <w:tc>
          <w:tcPr>
            <w:tcW w:w="4531" w:type="dxa"/>
            <w:shd w:val="clear" w:color="auto" w:fill="D9D9D9"/>
            <w:vAlign w:val="center"/>
          </w:tcPr>
          <w:p w14:paraId="67F63789" w14:textId="77777777" w:rsidR="00D422C0" w:rsidRPr="00513AA2" w:rsidRDefault="00D422C0" w:rsidP="00AD35D0">
            <w:pPr>
              <w:spacing w:before="120" w:after="120" w:line="240" w:lineRule="auto"/>
              <w:ind w:left="61"/>
              <w:rPr>
                <w:rFonts w:cs="Arial"/>
                <w:szCs w:val="24"/>
              </w:rPr>
            </w:pPr>
            <w:r w:rsidRPr="00513AA2">
              <w:rPr>
                <w:rFonts w:cs="Arial"/>
                <w:szCs w:val="24"/>
              </w:rPr>
              <w:t>Service Level Performance Criterion</w:t>
            </w:r>
          </w:p>
        </w:tc>
        <w:tc>
          <w:tcPr>
            <w:tcW w:w="2162" w:type="dxa"/>
            <w:shd w:val="clear" w:color="auto" w:fill="D9D9D9"/>
            <w:vAlign w:val="center"/>
          </w:tcPr>
          <w:p w14:paraId="6BBD67D8" w14:textId="77777777" w:rsidR="00D422C0" w:rsidRPr="00513AA2" w:rsidRDefault="00D422C0" w:rsidP="00AD35D0">
            <w:pPr>
              <w:spacing w:before="120" w:after="120" w:line="240" w:lineRule="auto"/>
              <w:ind w:left="95"/>
              <w:rPr>
                <w:rFonts w:cs="Arial"/>
                <w:szCs w:val="24"/>
              </w:rPr>
            </w:pPr>
            <w:r w:rsidRPr="00513AA2">
              <w:rPr>
                <w:rFonts w:cs="Arial"/>
                <w:szCs w:val="24"/>
              </w:rPr>
              <w:t>Key Indicator</w:t>
            </w:r>
          </w:p>
        </w:tc>
        <w:tc>
          <w:tcPr>
            <w:tcW w:w="1701" w:type="dxa"/>
            <w:shd w:val="clear" w:color="auto" w:fill="D9D9D9"/>
            <w:vAlign w:val="center"/>
          </w:tcPr>
          <w:p w14:paraId="5C45CAF2" w14:textId="77777777" w:rsidR="00D422C0" w:rsidRPr="00513AA2" w:rsidRDefault="00D422C0" w:rsidP="00AD35D0">
            <w:pPr>
              <w:spacing w:before="120" w:after="120" w:line="240" w:lineRule="auto"/>
              <w:rPr>
                <w:rFonts w:cs="Arial"/>
                <w:szCs w:val="24"/>
              </w:rPr>
            </w:pPr>
            <w:r w:rsidRPr="00513AA2">
              <w:rPr>
                <w:rFonts w:cs="Arial"/>
                <w:szCs w:val="24"/>
              </w:rPr>
              <w:t>Service Level Performance Measure</w:t>
            </w:r>
          </w:p>
        </w:tc>
      </w:tr>
      <w:tr w:rsidR="009E3C64" w:rsidRPr="00513AA2" w14:paraId="00EDDBB8" w14:textId="77777777" w:rsidTr="00D422C0">
        <w:trPr>
          <w:trHeight w:val="920"/>
          <w:jc w:val="center"/>
        </w:trPr>
        <w:tc>
          <w:tcPr>
            <w:tcW w:w="4531" w:type="dxa"/>
          </w:tcPr>
          <w:p w14:paraId="12F8F571" w14:textId="75D0E3F3" w:rsidR="009E3C64" w:rsidRPr="00D422C0" w:rsidRDefault="009E3C64" w:rsidP="00AD35D0">
            <w:pPr>
              <w:spacing w:before="120" w:after="120" w:line="240" w:lineRule="auto"/>
              <w:ind w:left="61"/>
              <w:rPr>
                <w:rFonts w:cs="Arial"/>
                <w:sz w:val="20"/>
                <w:szCs w:val="20"/>
              </w:rPr>
            </w:pPr>
            <w:r>
              <w:rPr>
                <w:rFonts w:cs="Arial"/>
                <w:sz w:val="20"/>
                <w:szCs w:val="20"/>
              </w:rPr>
              <w:t xml:space="preserve">Supplier adherence to the provision of fortnightly </w:t>
            </w:r>
            <w:r w:rsidR="00821700">
              <w:rPr>
                <w:rFonts w:cs="Arial"/>
                <w:sz w:val="20"/>
                <w:szCs w:val="20"/>
              </w:rPr>
              <w:t>Performance Monitoring R</w:t>
            </w:r>
            <w:r>
              <w:rPr>
                <w:rFonts w:cs="Arial"/>
                <w:sz w:val="20"/>
                <w:szCs w:val="20"/>
              </w:rPr>
              <w:t>eports to the Buyer, details of the contents of which are to be agreed post award</w:t>
            </w:r>
          </w:p>
        </w:tc>
        <w:tc>
          <w:tcPr>
            <w:tcW w:w="2162" w:type="dxa"/>
          </w:tcPr>
          <w:p w14:paraId="73ECA193" w14:textId="1F400D73" w:rsidR="009E3C64" w:rsidRPr="00D422C0" w:rsidRDefault="009E3C64" w:rsidP="00AD35D0">
            <w:pPr>
              <w:spacing w:before="120" w:after="120" w:line="240" w:lineRule="auto"/>
              <w:ind w:left="95"/>
              <w:rPr>
                <w:rFonts w:cs="Arial"/>
                <w:sz w:val="20"/>
                <w:szCs w:val="20"/>
              </w:rPr>
            </w:pPr>
            <w:r>
              <w:rPr>
                <w:rFonts w:cs="Arial"/>
                <w:sz w:val="20"/>
                <w:szCs w:val="20"/>
              </w:rPr>
              <w:t>Supplier</w:t>
            </w:r>
            <w:r w:rsidR="00821700">
              <w:rPr>
                <w:rFonts w:cs="Arial"/>
                <w:sz w:val="20"/>
                <w:szCs w:val="20"/>
              </w:rPr>
              <w:t>’</w:t>
            </w:r>
            <w:r>
              <w:rPr>
                <w:rFonts w:cs="Arial"/>
                <w:sz w:val="20"/>
                <w:szCs w:val="20"/>
              </w:rPr>
              <w:t xml:space="preserve">s provision of the required reports </w:t>
            </w:r>
          </w:p>
        </w:tc>
        <w:tc>
          <w:tcPr>
            <w:tcW w:w="1701" w:type="dxa"/>
          </w:tcPr>
          <w:p w14:paraId="57FF8713" w14:textId="59F550DB" w:rsidR="009E3C64" w:rsidRPr="00D422C0" w:rsidRDefault="009E3C64" w:rsidP="00AD35D0">
            <w:pPr>
              <w:spacing w:before="120" w:after="120" w:line="240" w:lineRule="auto"/>
              <w:rPr>
                <w:rFonts w:cs="Arial"/>
                <w:sz w:val="20"/>
                <w:szCs w:val="20"/>
              </w:rPr>
            </w:pPr>
            <w:r>
              <w:rPr>
                <w:rFonts w:cs="Arial"/>
                <w:sz w:val="20"/>
                <w:szCs w:val="20"/>
              </w:rPr>
              <w:t>100%</w:t>
            </w:r>
          </w:p>
        </w:tc>
      </w:tr>
      <w:tr w:rsidR="00D422C0" w:rsidRPr="00513AA2" w14:paraId="2F21445C" w14:textId="77777777" w:rsidTr="00D422C0">
        <w:trPr>
          <w:trHeight w:val="920"/>
          <w:jc w:val="center"/>
        </w:trPr>
        <w:tc>
          <w:tcPr>
            <w:tcW w:w="4531" w:type="dxa"/>
          </w:tcPr>
          <w:p w14:paraId="25A63536" w14:textId="7F15954E" w:rsidR="00D422C0" w:rsidRPr="00D422C0" w:rsidRDefault="00D422C0" w:rsidP="00AD35D0">
            <w:pPr>
              <w:spacing w:before="120" w:after="120" w:line="240" w:lineRule="auto"/>
              <w:ind w:left="61"/>
              <w:rPr>
                <w:rFonts w:cs="Arial"/>
                <w:sz w:val="20"/>
                <w:szCs w:val="20"/>
              </w:rPr>
            </w:pPr>
            <w:r w:rsidRPr="00D422C0">
              <w:rPr>
                <w:rFonts w:cs="Arial"/>
                <w:sz w:val="20"/>
                <w:szCs w:val="20"/>
              </w:rPr>
              <w:t>Accurate and timely billing of Buyer</w:t>
            </w:r>
          </w:p>
          <w:p w14:paraId="74541E4C" w14:textId="77777777" w:rsidR="00D422C0" w:rsidRPr="00D422C0" w:rsidRDefault="00D422C0" w:rsidP="00AD35D0">
            <w:pPr>
              <w:spacing w:before="120" w:after="120" w:line="240" w:lineRule="auto"/>
              <w:ind w:left="61"/>
              <w:rPr>
                <w:rFonts w:cs="Arial"/>
                <w:sz w:val="20"/>
                <w:szCs w:val="20"/>
              </w:rPr>
            </w:pPr>
          </w:p>
        </w:tc>
        <w:tc>
          <w:tcPr>
            <w:tcW w:w="2162" w:type="dxa"/>
          </w:tcPr>
          <w:p w14:paraId="5A1B46F7" w14:textId="77777777" w:rsidR="00D422C0" w:rsidRPr="00D422C0" w:rsidRDefault="00D422C0" w:rsidP="00AD35D0">
            <w:pPr>
              <w:spacing w:before="120" w:after="120" w:line="240" w:lineRule="auto"/>
              <w:ind w:left="95"/>
              <w:rPr>
                <w:rFonts w:cs="Arial"/>
                <w:sz w:val="20"/>
                <w:szCs w:val="20"/>
              </w:rPr>
            </w:pPr>
            <w:r w:rsidRPr="00D422C0">
              <w:rPr>
                <w:rFonts w:cs="Arial"/>
                <w:sz w:val="20"/>
                <w:szCs w:val="20"/>
              </w:rPr>
              <w:t>Accuracy /Timelines</w:t>
            </w:r>
          </w:p>
          <w:p w14:paraId="637E4739" w14:textId="77777777" w:rsidR="00D422C0" w:rsidRPr="00D422C0" w:rsidRDefault="00D422C0" w:rsidP="00AD35D0">
            <w:pPr>
              <w:spacing w:before="120" w:after="120" w:line="240" w:lineRule="auto"/>
              <w:ind w:left="95"/>
              <w:rPr>
                <w:rFonts w:cs="Arial"/>
                <w:sz w:val="20"/>
                <w:szCs w:val="20"/>
              </w:rPr>
            </w:pPr>
          </w:p>
        </w:tc>
        <w:tc>
          <w:tcPr>
            <w:tcW w:w="1701" w:type="dxa"/>
          </w:tcPr>
          <w:p w14:paraId="7E7F3935" w14:textId="77777777" w:rsidR="00D422C0" w:rsidRPr="00D422C0" w:rsidRDefault="00D422C0" w:rsidP="00AD35D0">
            <w:pPr>
              <w:spacing w:before="120" w:after="120" w:line="240" w:lineRule="auto"/>
              <w:rPr>
                <w:rFonts w:cs="Arial"/>
                <w:sz w:val="20"/>
                <w:szCs w:val="20"/>
              </w:rPr>
            </w:pPr>
            <w:r w:rsidRPr="00D422C0">
              <w:rPr>
                <w:rFonts w:cs="Arial"/>
                <w:sz w:val="20"/>
                <w:szCs w:val="20"/>
              </w:rPr>
              <w:t>at least 98% at all times</w:t>
            </w:r>
          </w:p>
          <w:p w14:paraId="71C2AED8" w14:textId="77777777" w:rsidR="00D422C0" w:rsidRPr="00D422C0" w:rsidRDefault="00D422C0" w:rsidP="00AD35D0">
            <w:pPr>
              <w:spacing w:before="120" w:after="120" w:line="240" w:lineRule="auto"/>
              <w:rPr>
                <w:rFonts w:cs="Arial"/>
                <w:sz w:val="20"/>
                <w:szCs w:val="20"/>
              </w:rPr>
            </w:pPr>
          </w:p>
        </w:tc>
      </w:tr>
      <w:tr w:rsidR="00D422C0" w:rsidRPr="00513AA2" w14:paraId="50AD04D3" w14:textId="77777777" w:rsidTr="009E3C64">
        <w:trPr>
          <w:trHeight w:val="864"/>
          <w:jc w:val="center"/>
        </w:trPr>
        <w:tc>
          <w:tcPr>
            <w:tcW w:w="4531" w:type="dxa"/>
            <w:shd w:val="clear" w:color="auto" w:fill="auto"/>
          </w:tcPr>
          <w:p w14:paraId="2A483AA4" w14:textId="170F314E" w:rsidR="00D422C0" w:rsidRPr="00D422C0" w:rsidRDefault="00D422C0" w:rsidP="00AD35D0">
            <w:pPr>
              <w:spacing w:before="120" w:after="120" w:line="240" w:lineRule="auto"/>
              <w:ind w:left="61"/>
              <w:rPr>
                <w:rFonts w:cs="Arial"/>
                <w:sz w:val="20"/>
                <w:szCs w:val="20"/>
              </w:rPr>
            </w:pPr>
            <w:r w:rsidRPr="00D422C0">
              <w:rPr>
                <w:rFonts w:cs="Arial"/>
                <w:sz w:val="20"/>
                <w:szCs w:val="20"/>
              </w:rPr>
              <w:t>Access to Buyer support Mon-Fri 8am – 6pm</w:t>
            </w:r>
          </w:p>
          <w:p w14:paraId="2FFE686A" w14:textId="77777777" w:rsidR="00D422C0" w:rsidRPr="00D422C0" w:rsidRDefault="00D422C0" w:rsidP="00AD35D0">
            <w:pPr>
              <w:spacing w:before="120" w:after="120" w:line="240" w:lineRule="auto"/>
              <w:ind w:left="61"/>
              <w:rPr>
                <w:rFonts w:cs="Arial"/>
                <w:sz w:val="20"/>
                <w:szCs w:val="20"/>
              </w:rPr>
            </w:pPr>
          </w:p>
        </w:tc>
        <w:tc>
          <w:tcPr>
            <w:tcW w:w="2162" w:type="dxa"/>
          </w:tcPr>
          <w:p w14:paraId="4DF8853F" w14:textId="77777777" w:rsidR="00D422C0" w:rsidRPr="00D422C0" w:rsidRDefault="00D422C0" w:rsidP="00AD35D0">
            <w:pPr>
              <w:spacing w:before="120" w:after="120" w:line="240" w:lineRule="auto"/>
              <w:ind w:left="95"/>
              <w:rPr>
                <w:rFonts w:cs="Arial"/>
                <w:sz w:val="20"/>
                <w:szCs w:val="20"/>
              </w:rPr>
            </w:pPr>
            <w:r w:rsidRPr="00D422C0">
              <w:rPr>
                <w:rFonts w:cs="Arial"/>
                <w:sz w:val="20"/>
                <w:szCs w:val="20"/>
              </w:rPr>
              <w:t>Availability</w:t>
            </w:r>
          </w:p>
          <w:p w14:paraId="521C9A74" w14:textId="77777777" w:rsidR="00D422C0" w:rsidRPr="00D422C0" w:rsidRDefault="00D422C0" w:rsidP="00AD35D0">
            <w:pPr>
              <w:spacing w:before="120" w:after="120" w:line="240" w:lineRule="auto"/>
              <w:ind w:left="95"/>
              <w:rPr>
                <w:rFonts w:cs="Arial"/>
                <w:sz w:val="20"/>
                <w:szCs w:val="20"/>
              </w:rPr>
            </w:pPr>
          </w:p>
          <w:p w14:paraId="2E5E2271" w14:textId="77777777" w:rsidR="00D422C0" w:rsidRPr="00D422C0" w:rsidRDefault="00D422C0" w:rsidP="00AD35D0">
            <w:pPr>
              <w:spacing w:before="120" w:after="120" w:line="240" w:lineRule="auto"/>
              <w:ind w:left="95"/>
              <w:rPr>
                <w:rFonts w:cs="Arial"/>
                <w:sz w:val="20"/>
                <w:szCs w:val="20"/>
              </w:rPr>
            </w:pPr>
          </w:p>
        </w:tc>
        <w:tc>
          <w:tcPr>
            <w:tcW w:w="1701" w:type="dxa"/>
          </w:tcPr>
          <w:p w14:paraId="6C5C1BC5" w14:textId="77777777" w:rsidR="00D422C0" w:rsidRPr="00D422C0" w:rsidRDefault="00D422C0" w:rsidP="00AD35D0">
            <w:pPr>
              <w:spacing w:before="120" w:after="120" w:line="240" w:lineRule="auto"/>
              <w:rPr>
                <w:rFonts w:cs="Arial"/>
                <w:sz w:val="20"/>
                <w:szCs w:val="20"/>
              </w:rPr>
            </w:pPr>
            <w:r w:rsidRPr="00D422C0">
              <w:rPr>
                <w:rFonts w:cs="Arial"/>
                <w:sz w:val="20"/>
                <w:szCs w:val="20"/>
              </w:rPr>
              <w:t>at least 98% at all times</w:t>
            </w:r>
          </w:p>
          <w:p w14:paraId="24A242CA" w14:textId="77777777" w:rsidR="00D422C0" w:rsidRPr="00D422C0" w:rsidRDefault="00D422C0" w:rsidP="00AD35D0">
            <w:pPr>
              <w:spacing w:before="120" w:after="120" w:line="240" w:lineRule="auto"/>
              <w:rPr>
                <w:rFonts w:cs="Arial"/>
                <w:sz w:val="20"/>
                <w:szCs w:val="20"/>
              </w:rPr>
            </w:pPr>
          </w:p>
        </w:tc>
      </w:tr>
      <w:tr w:rsidR="00D422C0" w:rsidRPr="00513AA2" w14:paraId="06A898DE" w14:textId="77777777" w:rsidTr="009E3C64">
        <w:trPr>
          <w:trHeight w:val="1235"/>
          <w:jc w:val="center"/>
        </w:trPr>
        <w:tc>
          <w:tcPr>
            <w:tcW w:w="4531" w:type="dxa"/>
            <w:shd w:val="clear" w:color="auto" w:fill="auto"/>
          </w:tcPr>
          <w:p w14:paraId="2B0FC273" w14:textId="4518A6C4" w:rsidR="00D422C0" w:rsidRPr="00D422C0" w:rsidRDefault="00D422C0" w:rsidP="00AD35D0">
            <w:pPr>
              <w:spacing w:before="120" w:after="120" w:line="240" w:lineRule="auto"/>
              <w:ind w:left="61"/>
              <w:rPr>
                <w:rFonts w:cs="Arial"/>
                <w:sz w:val="20"/>
                <w:szCs w:val="20"/>
              </w:rPr>
            </w:pPr>
            <w:r w:rsidRPr="00D422C0">
              <w:rPr>
                <w:rFonts w:cs="Arial"/>
                <w:sz w:val="20"/>
                <w:szCs w:val="20"/>
              </w:rPr>
              <w:t>Meet Milestone completion date</w:t>
            </w:r>
            <w:r w:rsidR="00C0350A">
              <w:rPr>
                <w:rFonts w:cs="Arial"/>
                <w:sz w:val="20"/>
                <w:szCs w:val="20"/>
              </w:rPr>
              <w:t xml:space="preserve"> provided as part of Suppliers proposal</w:t>
            </w:r>
            <w:r w:rsidRPr="00D422C0">
              <w:rPr>
                <w:rFonts w:cs="Arial"/>
                <w:sz w:val="20"/>
                <w:szCs w:val="20"/>
              </w:rPr>
              <w:t xml:space="preserve"> to within +/- </w:t>
            </w:r>
            <w:r w:rsidRPr="009E3C64">
              <w:rPr>
                <w:rFonts w:cs="Arial"/>
                <w:sz w:val="20"/>
                <w:szCs w:val="20"/>
              </w:rPr>
              <w:t>(10 Working Days)</w:t>
            </w:r>
            <w:r w:rsidR="00C0350A">
              <w:rPr>
                <w:rFonts w:cs="Arial"/>
                <w:sz w:val="20"/>
                <w:szCs w:val="20"/>
              </w:rPr>
              <w:t xml:space="preserve"> </w:t>
            </w:r>
          </w:p>
        </w:tc>
        <w:tc>
          <w:tcPr>
            <w:tcW w:w="2162" w:type="dxa"/>
          </w:tcPr>
          <w:p w14:paraId="16A38820" w14:textId="52099601" w:rsidR="00D422C0" w:rsidRPr="00D422C0" w:rsidRDefault="00D422C0" w:rsidP="00AD35D0">
            <w:pPr>
              <w:spacing w:before="120" w:after="120" w:line="240" w:lineRule="auto"/>
              <w:ind w:left="95"/>
              <w:rPr>
                <w:rFonts w:cs="Arial"/>
                <w:sz w:val="20"/>
                <w:szCs w:val="20"/>
              </w:rPr>
            </w:pPr>
            <w:r w:rsidRPr="00D422C0">
              <w:rPr>
                <w:rFonts w:cs="Arial"/>
                <w:sz w:val="20"/>
                <w:szCs w:val="20"/>
              </w:rPr>
              <w:t>Completion of all aspects of the requirement for the specific Milestone</w:t>
            </w:r>
          </w:p>
        </w:tc>
        <w:tc>
          <w:tcPr>
            <w:tcW w:w="1701" w:type="dxa"/>
          </w:tcPr>
          <w:p w14:paraId="1AA9FF01" w14:textId="68925685" w:rsidR="00D422C0" w:rsidRPr="00D422C0" w:rsidRDefault="00D422C0" w:rsidP="00AD35D0">
            <w:pPr>
              <w:spacing w:before="120" w:after="120" w:line="240" w:lineRule="auto"/>
              <w:rPr>
                <w:rFonts w:cs="Arial"/>
                <w:sz w:val="20"/>
                <w:szCs w:val="20"/>
              </w:rPr>
            </w:pPr>
            <w:r>
              <w:rPr>
                <w:rFonts w:cs="Arial"/>
                <w:sz w:val="20"/>
                <w:szCs w:val="20"/>
              </w:rPr>
              <w:t>At least 100% at all times</w:t>
            </w:r>
          </w:p>
        </w:tc>
      </w:tr>
      <w:tr w:rsidR="00D422C0" w:rsidRPr="00513AA2" w14:paraId="45DD72B0" w14:textId="77777777" w:rsidTr="009E3C64">
        <w:trPr>
          <w:trHeight w:val="1474"/>
          <w:jc w:val="center"/>
        </w:trPr>
        <w:tc>
          <w:tcPr>
            <w:tcW w:w="4531" w:type="dxa"/>
            <w:shd w:val="clear" w:color="auto" w:fill="auto"/>
          </w:tcPr>
          <w:p w14:paraId="75232EED" w14:textId="63E3DA41" w:rsidR="00D422C0" w:rsidRPr="00D422C0" w:rsidRDefault="00D422C0" w:rsidP="00AD35D0">
            <w:pPr>
              <w:spacing w:before="120" w:after="120" w:line="240" w:lineRule="auto"/>
              <w:ind w:left="61"/>
              <w:rPr>
                <w:rFonts w:cs="Arial"/>
                <w:sz w:val="20"/>
                <w:szCs w:val="20"/>
              </w:rPr>
            </w:pPr>
            <w:r w:rsidRPr="00D422C0">
              <w:rPr>
                <w:rFonts w:cs="Arial"/>
                <w:sz w:val="20"/>
                <w:szCs w:val="20"/>
              </w:rPr>
              <w:t xml:space="preserve">Meet Phase completion date </w:t>
            </w:r>
            <w:r w:rsidR="00C0350A">
              <w:rPr>
                <w:rFonts w:cs="Arial"/>
                <w:sz w:val="20"/>
                <w:szCs w:val="20"/>
              </w:rPr>
              <w:t xml:space="preserve">provided as part of Suppliers proposal </w:t>
            </w:r>
            <w:r w:rsidRPr="00D422C0">
              <w:rPr>
                <w:rFonts w:cs="Arial"/>
                <w:sz w:val="20"/>
                <w:szCs w:val="20"/>
              </w:rPr>
              <w:t xml:space="preserve">to within +/- </w:t>
            </w:r>
            <w:r w:rsidRPr="009E3C64">
              <w:rPr>
                <w:rFonts w:cs="Arial"/>
                <w:sz w:val="20"/>
                <w:szCs w:val="20"/>
              </w:rPr>
              <w:t>(10 Working Days)</w:t>
            </w:r>
          </w:p>
        </w:tc>
        <w:tc>
          <w:tcPr>
            <w:tcW w:w="2162" w:type="dxa"/>
          </w:tcPr>
          <w:p w14:paraId="61CC1FEC" w14:textId="401535B7" w:rsidR="00D422C0" w:rsidRPr="00D422C0" w:rsidRDefault="00D422C0" w:rsidP="00AD35D0">
            <w:pPr>
              <w:spacing w:before="120" w:after="120" w:line="240" w:lineRule="auto"/>
              <w:ind w:left="95"/>
              <w:rPr>
                <w:rFonts w:cs="Arial"/>
                <w:sz w:val="20"/>
                <w:szCs w:val="20"/>
              </w:rPr>
            </w:pPr>
            <w:r>
              <w:rPr>
                <w:rFonts w:cs="Arial"/>
                <w:sz w:val="20"/>
                <w:szCs w:val="20"/>
              </w:rPr>
              <w:t xml:space="preserve">Completion of the demonstration for the specific Phase </w:t>
            </w:r>
          </w:p>
        </w:tc>
        <w:tc>
          <w:tcPr>
            <w:tcW w:w="1701" w:type="dxa"/>
          </w:tcPr>
          <w:p w14:paraId="6EF19B3D" w14:textId="224319F6" w:rsidR="00D422C0" w:rsidRPr="00D422C0" w:rsidRDefault="00D422C0" w:rsidP="00AD35D0">
            <w:pPr>
              <w:spacing w:before="120" w:after="120" w:line="240" w:lineRule="auto"/>
              <w:rPr>
                <w:rFonts w:cs="Arial"/>
                <w:sz w:val="20"/>
                <w:szCs w:val="20"/>
              </w:rPr>
            </w:pPr>
            <w:r>
              <w:rPr>
                <w:rFonts w:cs="Arial"/>
                <w:sz w:val="20"/>
                <w:szCs w:val="20"/>
              </w:rPr>
              <w:t>At least 100% at all times</w:t>
            </w:r>
          </w:p>
        </w:tc>
      </w:tr>
    </w:tbl>
    <w:p w14:paraId="189EEDEB" w14:textId="77777777" w:rsidR="005D1C56" w:rsidRPr="00091B0C" w:rsidRDefault="005D1C56" w:rsidP="00571BC4">
      <w:pPr>
        <w:spacing w:after="0"/>
        <w:rPr>
          <w:highlight w:val="green"/>
        </w:rPr>
      </w:pPr>
    </w:p>
    <w:tbl>
      <w:tblPr>
        <w:tblW w:w="0" w:type="auto"/>
        <w:tblLook w:val="01E0" w:firstRow="1" w:lastRow="1" w:firstColumn="1" w:lastColumn="1" w:noHBand="0" w:noVBand="0"/>
      </w:tblPr>
      <w:tblGrid>
        <w:gridCol w:w="4366"/>
        <w:gridCol w:w="675"/>
        <w:gridCol w:w="3985"/>
      </w:tblGrid>
      <w:tr w:rsidR="005D1C56" w:rsidRPr="00091B0C" w14:paraId="69C22D6B" w14:textId="77777777" w:rsidTr="009E3C64">
        <w:tc>
          <w:tcPr>
            <w:tcW w:w="4366" w:type="dxa"/>
          </w:tcPr>
          <w:p w14:paraId="4A3ADDD3" w14:textId="77777777" w:rsidR="005D1C56" w:rsidRPr="00D422C0" w:rsidRDefault="005D1C56" w:rsidP="00AD35D0">
            <w:pPr>
              <w:rPr>
                <w:rFonts w:cs="Arial"/>
                <w:strike/>
                <w:szCs w:val="24"/>
              </w:rPr>
            </w:pPr>
          </w:p>
        </w:tc>
        <w:tc>
          <w:tcPr>
            <w:tcW w:w="675" w:type="dxa"/>
          </w:tcPr>
          <w:p w14:paraId="4F5CCB3B" w14:textId="04C3828E" w:rsidR="005D1C56" w:rsidRPr="00D422C0" w:rsidRDefault="005D1C56" w:rsidP="00AD35D0">
            <w:pPr>
              <w:jc w:val="center"/>
              <w:rPr>
                <w:rFonts w:cs="Arial"/>
                <w:strike/>
                <w:szCs w:val="24"/>
              </w:rPr>
            </w:pPr>
          </w:p>
        </w:tc>
        <w:tc>
          <w:tcPr>
            <w:tcW w:w="3985" w:type="dxa"/>
          </w:tcPr>
          <w:p w14:paraId="73464496" w14:textId="77777777" w:rsidR="005D1C56" w:rsidRPr="00D422C0" w:rsidRDefault="005D1C56" w:rsidP="009674CA">
            <w:pPr>
              <w:ind w:left="145"/>
              <w:rPr>
                <w:rFonts w:cs="Arial"/>
                <w:strike/>
                <w:szCs w:val="24"/>
              </w:rPr>
            </w:pPr>
          </w:p>
        </w:tc>
      </w:tr>
    </w:tbl>
    <w:p w14:paraId="595556AF" w14:textId="77777777" w:rsidR="005D1C56" w:rsidRPr="00EF7368" w:rsidRDefault="005D1C56" w:rsidP="00571BC4">
      <w:pPr>
        <w:pStyle w:val="GPSSchAnnexname"/>
        <w:spacing w:after="200" w:line="276" w:lineRule="auto"/>
        <w:jc w:val="left"/>
        <w:rPr>
          <w:rFonts w:ascii="Arial Bold" w:hAnsi="Arial Bold" w:cs="Arial" w:hint="eastAsia"/>
          <w:caps w:val="0"/>
          <w:sz w:val="36"/>
          <w:szCs w:val="36"/>
        </w:rPr>
      </w:pPr>
      <w:r w:rsidRPr="00091B0C">
        <w:rPr>
          <w:rFonts w:ascii="Arial" w:hAnsi="Arial" w:cs="Arial"/>
          <w:sz w:val="24"/>
          <w:szCs w:val="24"/>
        </w:rPr>
        <w:br w:type="page"/>
      </w:r>
      <w:r w:rsidR="00EF7368">
        <w:rPr>
          <w:rFonts w:ascii="Arial Bold" w:hAnsi="Arial Bold" w:cs="Arial"/>
          <w:caps w:val="0"/>
          <w:sz w:val="36"/>
          <w:szCs w:val="36"/>
        </w:rPr>
        <w:lastRenderedPageBreak/>
        <w:t xml:space="preserve">Part B: Performance Monitoring </w:t>
      </w:r>
    </w:p>
    <w:p w14:paraId="39EB583B" w14:textId="77777777" w:rsidR="005D1C56" w:rsidRPr="00BE7F3D" w:rsidRDefault="00EF7368" w:rsidP="00571BC4">
      <w:pPr>
        <w:pStyle w:val="GPSL1CLAUSEHEADING"/>
        <w:numPr>
          <w:ilvl w:val="0"/>
          <w:numId w:val="88"/>
        </w:numPr>
        <w:rPr>
          <w:rFonts w:hint="eastAsia"/>
        </w:rPr>
      </w:pPr>
      <w:r w:rsidRPr="00BE7F3D">
        <w:t>Performance Monitoring and Performance Review</w:t>
      </w:r>
    </w:p>
    <w:p w14:paraId="14A4B56A" w14:textId="42290104" w:rsidR="005D1C56" w:rsidRPr="008A3A15" w:rsidRDefault="005D1C56" w:rsidP="008A3A15">
      <w:pPr>
        <w:pStyle w:val="GPSL2NumberedBoldHeading"/>
      </w:pPr>
      <w:r w:rsidRPr="008A3A15">
        <w:t>Within twenty (</w:t>
      </w:r>
      <w:r w:rsidR="001C0DA3">
        <w:t>2</w:t>
      </w:r>
      <w:r w:rsidRPr="008A3A15">
        <w:t>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0DD05F27" w14:textId="24838FBE" w:rsidR="005D1C56" w:rsidRPr="008A3A15" w:rsidRDefault="005D1C56" w:rsidP="00571BC4">
      <w:pPr>
        <w:pStyle w:val="GPSL2NumberedBoldHeading"/>
        <w:keepNext/>
      </w:pPr>
      <w:r w:rsidRPr="008A3A15">
        <w:t>The Supplier shall provide the Buyer with performance monitoring reports ("</w:t>
      </w:r>
      <w:r w:rsidRPr="008A3A15">
        <w:rPr>
          <w:b/>
        </w:rPr>
        <w:t>Performance Monitoring Reports</w:t>
      </w:r>
      <w:r w:rsidRPr="008A3A15">
        <w:t xml:space="preserve">") in accordance with the process and timescales agreed pursuant to </w:t>
      </w:r>
      <w:r w:rsidR="007C1A1B">
        <w:t>P</w:t>
      </w:r>
      <w:r w:rsidRPr="008A3A15">
        <w:t xml:space="preserve">aragraph </w:t>
      </w:r>
      <w:r w:rsidRPr="008A3A15">
        <w:fldChar w:fldCharType="begin"/>
      </w:r>
      <w:r w:rsidRPr="008A3A15">
        <w:instrText xml:space="preserve"> REF _Ref492315123 \r \h </w:instrText>
      </w:r>
      <w:r w:rsidR="00091B0C" w:rsidRPr="008A3A15">
        <w:instrText xml:space="preserve"> \* MERGEFORMAT </w:instrText>
      </w:r>
      <w:r w:rsidRPr="008A3A15">
        <w:fldChar w:fldCharType="separate"/>
      </w:r>
      <w:r w:rsidRPr="008A3A15">
        <w:t>1.1</w:t>
      </w:r>
      <w:r w:rsidRPr="008A3A15">
        <w:fldChar w:fldCharType="end"/>
      </w:r>
      <w:r w:rsidRPr="008A3A15">
        <w:t xml:space="preserve"> of Part B of this Schedule which shall contain, as a minimum, the following information in respect of the relevant Service Period just ended:</w:t>
      </w:r>
    </w:p>
    <w:p w14:paraId="0DDF2520" w14:textId="77777777" w:rsidR="005D1C56" w:rsidRPr="008A3A15" w:rsidRDefault="005D1C56" w:rsidP="008A3A15">
      <w:pPr>
        <w:pStyle w:val="GPSL3numberedclause"/>
      </w:pPr>
      <w:r w:rsidRPr="008A3A15">
        <w:t>for each Service Level, the actual performance achieved over the Service Level for the relevant Service Period;</w:t>
      </w:r>
    </w:p>
    <w:p w14:paraId="449FFAD1" w14:textId="77777777" w:rsidR="005D1C56" w:rsidRPr="008A3A15" w:rsidRDefault="005D1C56" w:rsidP="008A3A15">
      <w:pPr>
        <w:pStyle w:val="GPSL3numberedclause"/>
      </w:pPr>
      <w:r w:rsidRPr="008A3A15">
        <w:t>a summary of all failures to achieve Service Levels that occurred during that Service Period;</w:t>
      </w:r>
    </w:p>
    <w:p w14:paraId="4865F4A0" w14:textId="77777777" w:rsidR="005D1C56" w:rsidRPr="008A3A15" w:rsidRDefault="005D1C56" w:rsidP="008A3A15">
      <w:pPr>
        <w:pStyle w:val="GPSL3numberedclause"/>
      </w:pPr>
      <w:r w:rsidRPr="008A3A15">
        <w:t>details of any Critical Service Level Failures;</w:t>
      </w:r>
    </w:p>
    <w:p w14:paraId="0A6669A8" w14:textId="71D9B3B8" w:rsidR="005D1C56" w:rsidRPr="008A3A15" w:rsidRDefault="005D1C56" w:rsidP="008A3A15">
      <w:pPr>
        <w:pStyle w:val="GPSL3numberedclause"/>
      </w:pPr>
      <w:r w:rsidRPr="008A3A15">
        <w:t>for any repeat failures, actions taken to resolve the underlying cause and prevent recurrence;</w:t>
      </w:r>
      <w:r w:rsidR="005737D0">
        <w:t xml:space="preserve"> and</w:t>
      </w:r>
    </w:p>
    <w:p w14:paraId="349A17B1" w14:textId="77777777" w:rsidR="005D1C56" w:rsidRPr="008A3A15" w:rsidRDefault="005D1C56" w:rsidP="008A3A15">
      <w:pPr>
        <w:pStyle w:val="GPSL3numberedclause"/>
      </w:pPr>
      <w:r w:rsidRPr="008A3A15">
        <w:t>such other details as the Buyer may reasonably require from time to time.</w:t>
      </w:r>
    </w:p>
    <w:p w14:paraId="1F9AD17D" w14:textId="1163688D" w:rsidR="00571BC4" w:rsidRDefault="00571BC4" w:rsidP="00571BC4">
      <w:pPr>
        <w:spacing w:after="0"/>
      </w:pPr>
    </w:p>
    <w:bookmarkEnd w:id="0"/>
    <w:p w14:paraId="2DAEAF48" w14:textId="218730A1" w:rsidR="00571BC4" w:rsidRDefault="00571BC4" w:rsidP="00571BC4">
      <w:pPr>
        <w:spacing w:after="0"/>
      </w:pPr>
    </w:p>
    <w:p w14:paraId="5A61514D" w14:textId="6278D561" w:rsidR="00571BC4" w:rsidRDefault="00571BC4" w:rsidP="00571BC4">
      <w:pPr>
        <w:spacing w:after="0"/>
      </w:pPr>
    </w:p>
    <w:p w14:paraId="509EE558" w14:textId="6A2D829A" w:rsidR="00571BC4" w:rsidRPr="008A3A15" w:rsidRDefault="00571BC4" w:rsidP="00571BC4">
      <w:pPr>
        <w:spacing w:after="0"/>
      </w:pPr>
    </w:p>
    <w:sectPr w:rsidR="00571BC4" w:rsidRPr="008A3A15" w:rsidSect="00E420B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548C3" w14:textId="77777777" w:rsidR="00303E8B" w:rsidRDefault="00303E8B">
      <w:pPr>
        <w:spacing w:after="0" w:line="240" w:lineRule="auto"/>
      </w:pPr>
      <w:r>
        <w:separator/>
      </w:r>
    </w:p>
  </w:endnote>
  <w:endnote w:type="continuationSeparator" w:id="0">
    <w:p w14:paraId="494949A7" w14:textId="77777777" w:rsidR="00303E8B" w:rsidRDefault="0030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F4293" w14:textId="77777777" w:rsidR="00496D70" w:rsidRDefault="00496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87E14" w14:textId="6D76E3F4" w:rsidR="00C93EAD" w:rsidRDefault="0048462F" w:rsidP="000E6EDE">
    <w:pPr>
      <w:tabs>
        <w:tab w:val="center" w:pos="4513"/>
        <w:tab w:val="right" w:pos="9026"/>
      </w:tabs>
      <w:overflowPunct w:val="0"/>
      <w:autoSpaceDE w:val="0"/>
      <w:autoSpaceDN w:val="0"/>
      <w:adjustRightInd w:val="0"/>
      <w:spacing w:after="0" w:line="240" w:lineRule="auto"/>
      <w:jc w:val="both"/>
    </w:pPr>
    <w:r>
      <w:rPr>
        <w:noProof/>
      </w:rPr>
      <mc:AlternateContent>
        <mc:Choice Requires="wps">
          <w:drawing>
            <wp:anchor distT="0" distB="0" distL="114300" distR="114300" simplePos="0" relativeHeight="251659264" behindDoc="0" locked="0" layoutInCell="0" allowOverlap="1" wp14:anchorId="0513FD95" wp14:editId="6E44AFDF">
              <wp:simplePos x="0" y="0"/>
              <wp:positionH relativeFrom="page">
                <wp:posOffset>0</wp:posOffset>
              </wp:positionH>
              <wp:positionV relativeFrom="page">
                <wp:posOffset>10227945</wp:posOffset>
              </wp:positionV>
              <wp:extent cx="7560310" cy="273050"/>
              <wp:effectExtent l="0" t="0" r="0" b="12700"/>
              <wp:wrapNone/>
              <wp:docPr id="1" name="MSIPCM597d42bdbd0dd2ffbbf260d2"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61BCA2" w14:textId="10A1395D" w:rsidR="0048462F" w:rsidRPr="0048462F" w:rsidRDefault="0048462F" w:rsidP="0048462F">
                          <w:pPr>
                            <w:spacing w:after="0"/>
                            <w:jc w:val="center"/>
                            <w:rPr>
                              <w:rFonts w:ascii="Calibri" w:hAnsi="Calibri" w:cs="Calibri"/>
                              <w:color w:val="000000"/>
                              <w:sz w:val="20"/>
                            </w:rPr>
                          </w:pPr>
                          <w:r w:rsidRPr="0048462F">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13FD95" id="_x0000_t202" coordsize="21600,21600" o:spt="202" path="m,l,21600r21600,l21600,xe">
              <v:stroke joinstyle="miter"/>
              <v:path gradientshapeok="t" o:connecttype="rect"/>
            </v:shapetype>
            <v:shape id="MSIPCM597d42bdbd0dd2ffbbf260d2" o:spid="_x0000_s1026" type="#_x0000_t202" alt="{&quot;HashCode&quot;:-1264847310,&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7661BCA2" w14:textId="10A1395D" w:rsidR="0048462F" w:rsidRPr="0048462F" w:rsidRDefault="0048462F" w:rsidP="0048462F">
                    <w:pPr>
                      <w:spacing w:after="0"/>
                      <w:jc w:val="center"/>
                      <w:rPr>
                        <w:rFonts w:ascii="Calibri" w:hAnsi="Calibri" w:cs="Calibri"/>
                        <w:color w:val="000000"/>
                        <w:sz w:val="20"/>
                      </w:rPr>
                    </w:pPr>
                    <w:r w:rsidRPr="0048462F">
                      <w:rPr>
                        <w:rFonts w:ascii="Calibri" w:hAnsi="Calibri" w:cs="Calibri"/>
                        <w:color w:val="000000"/>
                        <w:sz w:val="20"/>
                      </w:rPr>
                      <w:t>OFFICIAL</w:t>
                    </w:r>
                  </w:p>
                </w:txbxContent>
              </v:textbox>
              <w10:wrap anchorx="page" anchory="page"/>
            </v:shape>
          </w:pict>
        </mc:Fallback>
      </mc:AlternateContent>
    </w:r>
  </w:p>
  <w:p w14:paraId="1192F51E" w14:textId="77777777" w:rsidR="00C93EAD" w:rsidRDefault="00C93EAD" w:rsidP="00091B0C">
    <w:pPr>
      <w:pStyle w:val="Footer"/>
      <w:rPr>
        <w:rFonts w:cs="Arial"/>
        <w:sz w:val="20"/>
      </w:rPr>
    </w:pPr>
    <w:r>
      <w:rPr>
        <w:rFonts w:cs="Arial"/>
        <w:sz w:val="20"/>
      </w:rPr>
      <w:t>Mid-tier contract</w:t>
    </w:r>
  </w:p>
  <w:p w14:paraId="2792D32E" w14:textId="5D8F23C9" w:rsidR="00C93EAD" w:rsidRPr="008979D7" w:rsidRDefault="00C93EAD" w:rsidP="00091B0C">
    <w:pPr>
      <w:pStyle w:val="Footer"/>
      <w:rPr>
        <w:rFonts w:cs="Arial"/>
        <w:sz w:val="20"/>
      </w:rPr>
    </w:pPr>
    <w:r>
      <w:rPr>
        <w:rFonts w:cs="Arial"/>
        <w:sz w:val="20"/>
      </w:rPr>
      <w:t>Project Version:</w:t>
    </w:r>
    <w:r w:rsidR="00246012">
      <w:rPr>
        <w:rFonts w:cs="Arial"/>
        <w:sz w:val="20"/>
      </w:rPr>
      <w:t xml:space="preserve"> v1.</w:t>
    </w:r>
    <w:r w:rsidR="007C1A1B">
      <w:rPr>
        <w:rFonts w:cs="Arial"/>
        <w:sz w:val="20"/>
      </w:rPr>
      <w:t>2</w:t>
    </w:r>
    <w:r>
      <w:rPr>
        <w:rFonts w:cs="Arial"/>
        <w:sz w:val="20"/>
      </w:rPr>
      <w:tab/>
    </w:r>
    <w:r w:rsidRPr="008979D7">
      <w:rPr>
        <w:rFonts w:cs="Arial"/>
        <w:sz w:val="20"/>
      </w:rPr>
      <w:tab/>
    </w:r>
    <w:r w:rsidRPr="008979D7">
      <w:rPr>
        <w:rFonts w:cs="Arial"/>
        <w:noProof/>
        <w:sz w:val="20"/>
      </w:rPr>
      <w:fldChar w:fldCharType="begin"/>
    </w:r>
    <w:r w:rsidRPr="008979D7">
      <w:rPr>
        <w:rFonts w:cs="Arial"/>
        <w:noProof/>
        <w:sz w:val="20"/>
      </w:rPr>
      <w:instrText xml:space="preserve"> PAGE   \* MERGEFORMAT </w:instrText>
    </w:r>
    <w:r w:rsidRPr="008979D7">
      <w:rPr>
        <w:rFonts w:cs="Arial"/>
        <w:noProof/>
        <w:sz w:val="20"/>
      </w:rPr>
      <w:fldChar w:fldCharType="separate"/>
    </w:r>
    <w:r w:rsidR="00246012">
      <w:rPr>
        <w:rFonts w:cs="Arial"/>
        <w:noProof/>
        <w:sz w:val="20"/>
      </w:rPr>
      <w:t>1</w:t>
    </w:r>
    <w:r w:rsidRPr="008979D7">
      <w:rPr>
        <w:rFonts w:cs="Arial"/>
        <w:noProof/>
        <w:sz w:val="20"/>
      </w:rPr>
      <w:fldChar w:fldCharType="end"/>
    </w:r>
  </w:p>
  <w:p w14:paraId="46BC42EF" w14:textId="575CB481" w:rsidR="00C93EAD" w:rsidRPr="00091B0C" w:rsidRDefault="00C93EAD" w:rsidP="00091B0C">
    <w:pPr>
      <w:pStyle w:val="Footer"/>
      <w:rPr>
        <w:rFonts w:cs="Arial"/>
        <w:sz w:val="20"/>
      </w:rPr>
    </w:pPr>
    <w:r w:rsidRPr="008979D7">
      <w:rPr>
        <w:rFonts w:cs="Arial"/>
        <w:sz w:val="20"/>
      </w:rPr>
      <w:t>Model Version:</w:t>
    </w:r>
    <w:r w:rsidR="00246012">
      <w:rPr>
        <w:rFonts w:cs="Arial"/>
        <w:sz w:val="20"/>
      </w:rPr>
      <w:t xml:space="preserve"> v1.</w:t>
    </w:r>
    <w:r w:rsidR="007C1A1B">
      <w:rPr>
        <w:rFonts w:cs="Arial"/>
        <w:sz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C063" w14:textId="77777777" w:rsidR="00C93EAD" w:rsidRDefault="00C93EAD" w:rsidP="00091B0C">
    <w:pPr>
      <w:tabs>
        <w:tab w:val="center" w:pos="4513"/>
        <w:tab w:val="right" w:pos="9026"/>
      </w:tabs>
      <w:overflowPunct w:val="0"/>
      <w:autoSpaceDE w:val="0"/>
      <w:autoSpaceDN w:val="0"/>
      <w:adjustRightInd w:val="0"/>
      <w:spacing w:after="0" w:line="240" w:lineRule="auto"/>
      <w:jc w:val="both"/>
    </w:pPr>
  </w:p>
  <w:p w14:paraId="01209E1D" w14:textId="77777777" w:rsidR="00C93EAD" w:rsidRPr="008979D7" w:rsidRDefault="00C93EAD" w:rsidP="00091B0C">
    <w:pPr>
      <w:pStyle w:val="Footer"/>
      <w:rPr>
        <w:rFonts w:cs="Arial"/>
        <w:sz w:val="20"/>
      </w:rPr>
    </w:pPr>
    <w:r w:rsidRPr="008979D7">
      <w:rPr>
        <w:rFonts w:cs="Arial"/>
        <w:sz w:val="20"/>
      </w:rPr>
      <w:t>Framework Ref: RM</w:t>
    </w:r>
    <w:r w:rsidRPr="008979D7">
      <w:rPr>
        <w:rFonts w:cs="Arial"/>
        <w:sz w:val="20"/>
      </w:rPr>
      <w:tab/>
      <w:t xml:space="preserve">                                           </w:t>
    </w:r>
  </w:p>
  <w:p w14:paraId="5B5E73A8" w14:textId="77777777" w:rsidR="00C93EAD" w:rsidRPr="008979D7" w:rsidRDefault="00C93EAD" w:rsidP="00091B0C">
    <w:pPr>
      <w:pStyle w:val="Footer"/>
      <w:rPr>
        <w:rFonts w:cs="Arial"/>
        <w:sz w:val="20"/>
      </w:rPr>
    </w:pPr>
    <w:r w:rsidRPr="008979D7">
      <w:rPr>
        <w:rFonts w:cs="Arial"/>
        <w:sz w:val="20"/>
      </w:rPr>
      <w:t>Project Version: v1.0</w:t>
    </w:r>
    <w:r w:rsidRPr="008979D7">
      <w:rPr>
        <w:rFonts w:cs="Arial"/>
        <w:sz w:val="20"/>
      </w:rPr>
      <w:tab/>
    </w:r>
    <w:r w:rsidRPr="008979D7">
      <w:rPr>
        <w:rFonts w:cs="Arial"/>
        <w:sz w:val="20"/>
      </w:rPr>
      <w:tab/>
    </w:r>
    <w:r w:rsidRPr="008979D7">
      <w:rPr>
        <w:rFonts w:cs="Arial"/>
        <w:sz w:val="20"/>
      </w:rPr>
      <w:tab/>
    </w:r>
    <w:r w:rsidRPr="008979D7">
      <w:rPr>
        <w:rFonts w:cs="Arial"/>
        <w:noProof/>
        <w:sz w:val="20"/>
      </w:rPr>
      <w:fldChar w:fldCharType="begin"/>
    </w:r>
    <w:r w:rsidRPr="008979D7">
      <w:rPr>
        <w:rFonts w:cs="Arial"/>
        <w:noProof/>
        <w:sz w:val="20"/>
      </w:rPr>
      <w:instrText xml:space="preserve"> PAGE   \* MERGEFORMAT </w:instrText>
    </w:r>
    <w:r w:rsidRPr="008979D7">
      <w:rPr>
        <w:rFonts w:cs="Arial"/>
        <w:noProof/>
        <w:sz w:val="20"/>
      </w:rPr>
      <w:fldChar w:fldCharType="separate"/>
    </w:r>
    <w:r>
      <w:rPr>
        <w:rFonts w:cs="Arial"/>
        <w:noProof/>
        <w:sz w:val="20"/>
      </w:rPr>
      <w:t>1</w:t>
    </w:r>
    <w:r w:rsidRPr="008979D7">
      <w:rPr>
        <w:rFonts w:cs="Arial"/>
        <w:noProof/>
        <w:sz w:val="20"/>
      </w:rPr>
      <w:fldChar w:fldCharType="end"/>
    </w:r>
  </w:p>
  <w:p w14:paraId="5187EBEB" w14:textId="77777777" w:rsidR="00C93EAD" w:rsidRDefault="00C93EAD" w:rsidP="00091B0C">
    <w:pPr>
      <w:pStyle w:val="Footer"/>
    </w:pPr>
    <w:r w:rsidRPr="008979D7">
      <w:rPr>
        <w:rFonts w:cs="Arial"/>
        <w:sz w:val="20"/>
      </w:rPr>
      <w:t>Model Version : v2.9</w:t>
    </w:r>
    <w:r w:rsidRPr="008979D7">
      <w:rPr>
        <w:rFonts w:cs="Arial"/>
        <w:sz w:val="20"/>
      </w:rPr>
      <w:tab/>
    </w:r>
    <w:r w:rsidRPr="008979D7">
      <w:rPr>
        <w:rFonts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87A69" w14:textId="77777777" w:rsidR="00303E8B" w:rsidRDefault="00303E8B">
      <w:pPr>
        <w:spacing w:after="0" w:line="240" w:lineRule="auto"/>
      </w:pPr>
      <w:r>
        <w:separator/>
      </w:r>
    </w:p>
  </w:footnote>
  <w:footnote w:type="continuationSeparator" w:id="0">
    <w:p w14:paraId="5CC1114A" w14:textId="77777777" w:rsidR="00303E8B" w:rsidRDefault="00303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7A19F" w14:textId="77777777" w:rsidR="00496D70" w:rsidRDefault="00496D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8EE25" w14:textId="51779DA2" w:rsidR="00C93EAD" w:rsidRPr="00091B0C" w:rsidRDefault="00C93EAD">
    <w:pPr>
      <w:pStyle w:val="Header"/>
      <w:rPr>
        <w:rFonts w:cs="Arial"/>
        <w:sz w:val="20"/>
      </w:rPr>
    </w:pPr>
    <w:r w:rsidRPr="00091B0C">
      <w:rPr>
        <w:rFonts w:cs="Arial"/>
        <w:b/>
        <w:sz w:val="20"/>
      </w:rPr>
      <w:t xml:space="preserve">Schedule </w:t>
    </w:r>
    <w:r>
      <w:rPr>
        <w:rFonts w:cs="Arial"/>
        <w:b/>
        <w:sz w:val="20"/>
      </w:rPr>
      <w:t>10</w:t>
    </w:r>
    <w:r w:rsidRPr="00091B0C">
      <w:rPr>
        <w:rFonts w:cs="Arial"/>
        <w:b/>
        <w:sz w:val="20"/>
      </w:rPr>
      <w:t xml:space="preserve"> (Service </w:t>
    </w:r>
    <w:r>
      <w:rPr>
        <w:rFonts w:cs="Arial"/>
        <w:b/>
        <w:sz w:val="20"/>
      </w:rPr>
      <w:t>Levels</w:t>
    </w:r>
    <w:r w:rsidRPr="00091B0C">
      <w:rPr>
        <w:rFonts w:cs="Arial"/>
        <w:b/>
        <w:sz w:val="20"/>
      </w:rPr>
      <w:t>)</w:t>
    </w:r>
  </w:p>
  <w:p w14:paraId="4C46FB1E" w14:textId="113C9E3C" w:rsidR="00C93EAD" w:rsidRPr="00571BC4" w:rsidRDefault="00C93EAD">
    <w:pPr>
      <w:pStyle w:val="Header"/>
      <w:rPr>
        <w:rFonts w:cs="Arial"/>
        <w:sz w:val="20"/>
      </w:rPr>
    </w:pPr>
    <w:r>
      <w:rPr>
        <w:rFonts w:cs="Arial"/>
        <w:sz w:val="20"/>
      </w:rPr>
      <w:t>Crown Copyright 20</w:t>
    </w:r>
    <w:r w:rsidR="00544576">
      <w:rPr>
        <w:rFonts w:cs="Arial"/>
        <w:sz w:val="20"/>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49884" w14:textId="77777777" w:rsidR="00496D70" w:rsidRDefault="00496D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A006FC5"/>
    <w:multiLevelType w:val="multilevel"/>
    <w:tmpl w:val="C78CF970"/>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2ECF6AD9"/>
    <w:multiLevelType w:val="multilevel"/>
    <w:tmpl w:val="8C120C9A"/>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40235C6"/>
    <w:multiLevelType w:val="multilevel"/>
    <w:tmpl w:val="43DCCDA2"/>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41F66B2"/>
    <w:multiLevelType w:val="multilevel"/>
    <w:tmpl w:val="92A41E2E"/>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642F2DEB"/>
    <w:multiLevelType w:val="multilevel"/>
    <w:tmpl w:val="95B47E56"/>
    <w:lvl w:ilvl="0">
      <w:start w:val="1"/>
      <w:numFmt w:val="decimal"/>
      <w:lvlText w:val="%1.0"/>
      <w:lvlJc w:val="left"/>
      <w:pPr>
        <w:ind w:left="862" w:hanging="720"/>
      </w:pPr>
      <w:rPr>
        <w:rFonts w:hint="default"/>
        <w:sz w:val="22"/>
        <w:szCs w:val="22"/>
      </w:rPr>
    </w:lvl>
    <w:lvl w:ilvl="1">
      <w:start w:val="1"/>
      <w:numFmt w:val="decimal"/>
      <w:lvlText w:val="%1.%2"/>
      <w:lvlJc w:val="left"/>
      <w:pPr>
        <w:ind w:left="1571"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1"/>
      <w:lvlJc w:val="left"/>
      <w:pPr>
        <w:ind w:left="2422" w:hanging="720"/>
      </w:pPr>
      <w:rPr>
        <w:rFonts w:hint="default"/>
        <w:b w:val="0"/>
      </w:rPr>
    </w:lvl>
    <w:lvl w:ilvl="3">
      <w:start w:val="1"/>
      <w:numFmt w:val="decimal"/>
      <w:lvlText w:val=".%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6262" w:hanging="180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7" w15:restartNumberingAfterBreak="0">
    <w:nsid w:val="74AA7086"/>
    <w:multiLevelType w:val="hybridMultilevel"/>
    <w:tmpl w:val="02EA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2936E4"/>
    <w:multiLevelType w:val="multilevel"/>
    <w:tmpl w:val="5A4A24AA"/>
    <w:lvl w:ilvl="0">
      <w:start w:val="1"/>
      <w:numFmt w:val="decimal"/>
      <w:pStyle w:val="GPSL1CLAUSEHEADING"/>
      <w:lvlText w:val="%1."/>
      <w:lvlJc w:val="left"/>
      <w:pPr>
        <w:tabs>
          <w:tab w:val="num" w:pos="360"/>
        </w:tabs>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907"/>
        </w:tabs>
        <w:ind w:left="907" w:hanging="547"/>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1757"/>
        </w:tabs>
        <w:ind w:left="1757" w:hanging="850"/>
      </w:pPr>
      <w:rPr>
        <w:rFonts w:ascii="Arial" w:hAnsi="Arial" w:cs="Arial"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606"/>
        </w:tabs>
        <w:ind w:left="2606" w:hanging="849"/>
      </w:pPr>
      <w:rPr>
        <w:rFonts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7C17430A"/>
    <w:multiLevelType w:val="multilevel"/>
    <w:tmpl w:val="CAB2C444"/>
    <w:lvl w:ilvl="0">
      <w:start w:val="1"/>
      <w:numFmt w:val="decimal"/>
      <w:lvlText w:val="%1."/>
      <w:lvlJc w:val="left"/>
      <w:pPr>
        <w:tabs>
          <w:tab w:val="num" w:pos="720"/>
        </w:tabs>
        <w:ind w:left="720" w:hanging="72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1777285773">
    <w:abstractNumId w:val="8"/>
  </w:num>
  <w:num w:numId="2" w16cid:durableId="1980721329">
    <w:abstractNumId w:val="1"/>
  </w:num>
  <w:num w:numId="3" w16cid:durableId="8178451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70507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698150">
    <w:abstractNumId w:val="0"/>
  </w:num>
  <w:num w:numId="6" w16cid:durableId="243564059">
    <w:abstractNumId w:val="8"/>
  </w:num>
  <w:num w:numId="7" w16cid:durableId="109322203">
    <w:abstractNumId w:val="8"/>
  </w:num>
  <w:num w:numId="8" w16cid:durableId="998659654">
    <w:abstractNumId w:val="8"/>
  </w:num>
  <w:num w:numId="9" w16cid:durableId="214465360">
    <w:abstractNumId w:val="8"/>
  </w:num>
  <w:num w:numId="10" w16cid:durableId="430324963">
    <w:abstractNumId w:val="8"/>
  </w:num>
  <w:num w:numId="11" w16cid:durableId="3732320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6129319">
    <w:abstractNumId w:val="2"/>
  </w:num>
  <w:num w:numId="13" w16cid:durableId="264312835">
    <w:abstractNumId w:val="8"/>
  </w:num>
  <w:num w:numId="14" w16cid:durableId="1299340620">
    <w:abstractNumId w:val="8"/>
  </w:num>
  <w:num w:numId="15" w16cid:durableId="181550326">
    <w:abstractNumId w:val="8"/>
  </w:num>
  <w:num w:numId="16" w16cid:durableId="124809870">
    <w:abstractNumId w:val="8"/>
  </w:num>
  <w:num w:numId="17" w16cid:durableId="1750689997">
    <w:abstractNumId w:val="8"/>
  </w:num>
  <w:num w:numId="18" w16cid:durableId="1708333911">
    <w:abstractNumId w:val="8"/>
  </w:num>
  <w:num w:numId="19" w16cid:durableId="1831939819">
    <w:abstractNumId w:val="8"/>
  </w:num>
  <w:num w:numId="20" w16cid:durableId="1161387907">
    <w:abstractNumId w:val="8"/>
  </w:num>
  <w:num w:numId="21" w16cid:durableId="320962070">
    <w:abstractNumId w:val="8"/>
  </w:num>
  <w:num w:numId="22" w16cid:durableId="262079491">
    <w:abstractNumId w:val="8"/>
  </w:num>
  <w:num w:numId="23" w16cid:durableId="578290012">
    <w:abstractNumId w:val="8"/>
  </w:num>
  <w:num w:numId="24" w16cid:durableId="1675911115">
    <w:abstractNumId w:val="8"/>
  </w:num>
  <w:num w:numId="25" w16cid:durableId="140969897">
    <w:abstractNumId w:val="8"/>
  </w:num>
  <w:num w:numId="26" w16cid:durableId="1955938732">
    <w:abstractNumId w:val="8"/>
  </w:num>
  <w:num w:numId="27" w16cid:durableId="1800613318">
    <w:abstractNumId w:val="8"/>
  </w:num>
  <w:num w:numId="28" w16cid:durableId="1565336664">
    <w:abstractNumId w:val="8"/>
  </w:num>
  <w:num w:numId="29" w16cid:durableId="504172917">
    <w:abstractNumId w:val="8"/>
  </w:num>
  <w:num w:numId="30" w16cid:durableId="1751809443">
    <w:abstractNumId w:val="8"/>
  </w:num>
  <w:num w:numId="31" w16cid:durableId="223369371">
    <w:abstractNumId w:val="8"/>
  </w:num>
  <w:num w:numId="32" w16cid:durableId="1867058754">
    <w:abstractNumId w:val="8"/>
  </w:num>
  <w:num w:numId="33" w16cid:durableId="541290015">
    <w:abstractNumId w:val="8"/>
  </w:num>
  <w:num w:numId="34" w16cid:durableId="502159820">
    <w:abstractNumId w:val="8"/>
  </w:num>
  <w:num w:numId="35" w16cid:durableId="189493808">
    <w:abstractNumId w:val="8"/>
  </w:num>
  <w:num w:numId="36" w16cid:durableId="97218394">
    <w:abstractNumId w:val="8"/>
  </w:num>
  <w:num w:numId="37" w16cid:durableId="172693812">
    <w:abstractNumId w:val="8"/>
  </w:num>
  <w:num w:numId="38" w16cid:durableId="1924682441">
    <w:abstractNumId w:val="8"/>
  </w:num>
  <w:num w:numId="39" w16cid:durableId="10885400">
    <w:abstractNumId w:val="8"/>
  </w:num>
  <w:num w:numId="40" w16cid:durableId="1922257330">
    <w:abstractNumId w:val="8"/>
  </w:num>
  <w:num w:numId="41" w16cid:durableId="2921735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498661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32876290">
    <w:abstractNumId w:val="8"/>
  </w:num>
  <w:num w:numId="44" w16cid:durableId="377826090">
    <w:abstractNumId w:val="5"/>
  </w:num>
  <w:num w:numId="45" w16cid:durableId="1866752453">
    <w:abstractNumId w:val="8"/>
  </w:num>
  <w:num w:numId="46" w16cid:durableId="2144731574">
    <w:abstractNumId w:val="8"/>
  </w:num>
  <w:num w:numId="47" w16cid:durableId="1997415717">
    <w:abstractNumId w:val="3"/>
  </w:num>
  <w:num w:numId="48" w16cid:durableId="628586813">
    <w:abstractNumId w:val="8"/>
  </w:num>
  <w:num w:numId="49" w16cid:durableId="263465838">
    <w:abstractNumId w:val="8"/>
  </w:num>
  <w:num w:numId="50" w16cid:durableId="308442294">
    <w:abstractNumId w:val="8"/>
  </w:num>
  <w:num w:numId="51" w16cid:durableId="1866283295">
    <w:abstractNumId w:val="8"/>
  </w:num>
  <w:num w:numId="52" w16cid:durableId="619803086">
    <w:abstractNumId w:val="8"/>
  </w:num>
  <w:num w:numId="53" w16cid:durableId="160437952">
    <w:abstractNumId w:val="8"/>
  </w:num>
  <w:num w:numId="54" w16cid:durableId="348264149">
    <w:abstractNumId w:val="8"/>
  </w:num>
  <w:num w:numId="55" w16cid:durableId="1768574983">
    <w:abstractNumId w:val="8"/>
  </w:num>
  <w:num w:numId="56" w16cid:durableId="807666776">
    <w:abstractNumId w:val="8"/>
  </w:num>
  <w:num w:numId="57" w16cid:durableId="17433447">
    <w:abstractNumId w:val="8"/>
  </w:num>
  <w:num w:numId="58" w16cid:durableId="1643384732">
    <w:abstractNumId w:val="8"/>
  </w:num>
  <w:num w:numId="59" w16cid:durableId="1655529427">
    <w:abstractNumId w:val="8"/>
  </w:num>
  <w:num w:numId="60" w16cid:durableId="1551108992">
    <w:abstractNumId w:val="8"/>
  </w:num>
  <w:num w:numId="61" w16cid:durableId="387581319">
    <w:abstractNumId w:val="8"/>
  </w:num>
  <w:num w:numId="62" w16cid:durableId="829491181">
    <w:abstractNumId w:val="8"/>
  </w:num>
  <w:num w:numId="63" w16cid:durableId="1520391612">
    <w:abstractNumId w:val="8"/>
  </w:num>
  <w:num w:numId="64" w16cid:durableId="1477448576">
    <w:abstractNumId w:val="8"/>
  </w:num>
  <w:num w:numId="65" w16cid:durableId="792552398">
    <w:abstractNumId w:val="8"/>
  </w:num>
  <w:num w:numId="66" w16cid:durableId="1527870707">
    <w:abstractNumId w:val="8"/>
  </w:num>
  <w:num w:numId="67" w16cid:durableId="1570843751">
    <w:abstractNumId w:val="8"/>
  </w:num>
  <w:num w:numId="68" w16cid:durableId="698243230">
    <w:abstractNumId w:val="7"/>
  </w:num>
  <w:num w:numId="69" w16cid:durableId="1772892281">
    <w:abstractNumId w:val="8"/>
  </w:num>
  <w:num w:numId="70" w16cid:durableId="1947301868">
    <w:abstractNumId w:val="1"/>
  </w:num>
  <w:num w:numId="71" w16cid:durableId="57823818">
    <w:abstractNumId w:val="8"/>
  </w:num>
  <w:num w:numId="72" w16cid:durableId="1199123549">
    <w:abstractNumId w:val="8"/>
  </w:num>
  <w:num w:numId="73" w16cid:durableId="1664501660">
    <w:abstractNumId w:val="8"/>
  </w:num>
  <w:num w:numId="74" w16cid:durableId="1933270413">
    <w:abstractNumId w:val="8"/>
  </w:num>
  <w:num w:numId="75" w16cid:durableId="579288194">
    <w:abstractNumId w:val="8"/>
  </w:num>
  <w:num w:numId="76" w16cid:durableId="862014646">
    <w:abstractNumId w:val="6"/>
  </w:num>
  <w:num w:numId="77" w16cid:durableId="1938101956">
    <w:abstractNumId w:val="8"/>
  </w:num>
  <w:num w:numId="78" w16cid:durableId="1256091217">
    <w:abstractNumId w:val="8"/>
  </w:num>
  <w:num w:numId="79" w16cid:durableId="1628118057">
    <w:abstractNumId w:val="8"/>
  </w:num>
  <w:num w:numId="80" w16cid:durableId="1117722693">
    <w:abstractNumId w:val="1"/>
  </w:num>
  <w:num w:numId="81" w16cid:durableId="460806747">
    <w:abstractNumId w:val="4"/>
  </w:num>
  <w:num w:numId="82" w16cid:durableId="10559367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69026639">
    <w:abstractNumId w:val="8"/>
  </w:num>
  <w:num w:numId="84" w16cid:durableId="302806862">
    <w:abstractNumId w:val="8"/>
  </w:num>
  <w:num w:numId="85" w16cid:durableId="1322731601">
    <w:abstractNumId w:val="8"/>
  </w:num>
  <w:num w:numId="86" w16cid:durableId="1770077974">
    <w:abstractNumId w:val="9"/>
  </w:num>
  <w:num w:numId="87" w16cid:durableId="18557282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945323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1V2"/>
    <w:docVar w:name="gemDN1|BANKSC|18 June 2020 13:34:01" w:val="V1 ?"/>
    <w:docVar w:name="gemDN2|BANKSC|18 June 2020 13:34:07" w:val="V2 Amend TRK"/>
    <w:docVar w:name="gemDocNotesCount" w:val="2"/>
    <w:docVar w:name="gemVerNotesCount" w:val="2"/>
    <w:docVar w:name="gemVN1|BANKSC|18 June 2020 13:34:01" w:val="1|1"/>
    <w:docVar w:name="gemVN2|BANKSC|18 June 2020 13:34:06" w:val="1|2"/>
  </w:docVars>
  <w:rsids>
    <w:rsidRoot w:val="00A10500"/>
    <w:rsid w:val="000233B8"/>
    <w:rsid w:val="00033324"/>
    <w:rsid w:val="000654EE"/>
    <w:rsid w:val="000917E6"/>
    <w:rsid w:val="00091B0C"/>
    <w:rsid w:val="000A29C1"/>
    <w:rsid w:val="000B7C44"/>
    <w:rsid w:val="000C227F"/>
    <w:rsid w:val="000E6EDE"/>
    <w:rsid w:val="000F1DE8"/>
    <w:rsid w:val="00103E71"/>
    <w:rsid w:val="00110ADE"/>
    <w:rsid w:val="001834BF"/>
    <w:rsid w:val="00196095"/>
    <w:rsid w:val="001A25C9"/>
    <w:rsid w:val="001A41A0"/>
    <w:rsid w:val="001B5C21"/>
    <w:rsid w:val="001B7DA5"/>
    <w:rsid w:val="001C0DA3"/>
    <w:rsid w:val="001E4339"/>
    <w:rsid w:val="00246012"/>
    <w:rsid w:val="002753B1"/>
    <w:rsid w:val="002F7702"/>
    <w:rsid w:val="00303E8B"/>
    <w:rsid w:val="003115C1"/>
    <w:rsid w:val="00372F27"/>
    <w:rsid w:val="003D59D3"/>
    <w:rsid w:val="003E32CD"/>
    <w:rsid w:val="00462362"/>
    <w:rsid w:val="0048462F"/>
    <w:rsid w:val="00496D70"/>
    <w:rsid w:val="004D3049"/>
    <w:rsid w:val="00513AA2"/>
    <w:rsid w:val="00544576"/>
    <w:rsid w:val="00571BC4"/>
    <w:rsid w:val="005737D0"/>
    <w:rsid w:val="005A170A"/>
    <w:rsid w:val="005D1C56"/>
    <w:rsid w:val="006A11C8"/>
    <w:rsid w:val="006D74B7"/>
    <w:rsid w:val="006F25A9"/>
    <w:rsid w:val="00732589"/>
    <w:rsid w:val="0079433C"/>
    <w:rsid w:val="007C1A1B"/>
    <w:rsid w:val="00816D93"/>
    <w:rsid w:val="00821700"/>
    <w:rsid w:val="008608D8"/>
    <w:rsid w:val="00864B4E"/>
    <w:rsid w:val="008A3A15"/>
    <w:rsid w:val="008A569E"/>
    <w:rsid w:val="008E0FE1"/>
    <w:rsid w:val="008E7073"/>
    <w:rsid w:val="00915547"/>
    <w:rsid w:val="00953440"/>
    <w:rsid w:val="009674CA"/>
    <w:rsid w:val="009E3C64"/>
    <w:rsid w:val="00A02F46"/>
    <w:rsid w:val="00A10500"/>
    <w:rsid w:val="00AD35D0"/>
    <w:rsid w:val="00AF2064"/>
    <w:rsid w:val="00AF3B99"/>
    <w:rsid w:val="00B0452A"/>
    <w:rsid w:val="00B10E49"/>
    <w:rsid w:val="00B415E4"/>
    <w:rsid w:val="00B553F1"/>
    <w:rsid w:val="00B718C4"/>
    <w:rsid w:val="00B7315A"/>
    <w:rsid w:val="00B82633"/>
    <w:rsid w:val="00B97157"/>
    <w:rsid w:val="00BC428A"/>
    <w:rsid w:val="00BC7C20"/>
    <w:rsid w:val="00BE7F3D"/>
    <w:rsid w:val="00C0350A"/>
    <w:rsid w:val="00C13A2B"/>
    <w:rsid w:val="00C20902"/>
    <w:rsid w:val="00C42F87"/>
    <w:rsid w:val="00C53C4A"/>
    <w:rsid w:val="00C6399D"/>
    <w:rsid w:val="00C817B2"/>
    <w:rsid w:val="00C93B88"/>
    <w:rsid w:val="00C93EAD"/>
    <w:rsid w:val="00CB349E"/>
    <w:rsid w:val="00CB549B"/>
    <w:rsid w:val="00D26C13"/>
    <w:rsid w:val="00D422C0"/>
    <w:rsid w:val="00DA53D7"/>
    <w:rsid w:val="00E420BC"/>
    <w:rsid w:val="00E96923"/>
    <w:rsid w:val="00ED565B"/>
    <w:rsid w:val="00EF0EA0"/>
    <w:rsid w:val="00EF7368"/>
    <w:rsid w:val="00F043AA"/>
    <w:rsid w:val="00F23D52"/>
    <w:rsid w:val="00FC5816"/>
    <w:rsid w:val="00FF0B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F564BF"/>
  <w15:docId w15:val="{208FEFFA-3160-4A48-815F-80163F37F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BC4"/>
    <w:rPr>
      <w:rFonts w:ascii="Arial" w:eastAsia="Calibri" w:hAnsi="Arial" w:cs="Times New Roman"/>
      <w:sz w:val="24"/>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rsid w:val="00915547"/>
    <w:pPr>
      <w:keepNext/>
      <w:numPr>
        <w:numId w:val="1"/>
      </w:numPr>
      <w:adjustRightInd w:val="0"/>
      <w:spacing w:before="120" w:after="240" w:line="240" w:lineRule="auto"/>
      <w:outlineLvl w:val="1"/>
    </w:pPr>
    <w:rPr>
      <w:rFonts w:ascii="Arial Bold" w:eastAsia="STZhongsong" w:hAnsi="Arial Bold" w:cs="Arial"/>
      <w:b/>
      <w:lang w:eastAsia="zh-CN"/>
    </w:rPr>
  </w:style>
  <w:style w:type="paragraph" w:customStyle="1" w:styleId="GPSL3numberedclause">
    <w:name w:val="GPS L3 numbered clause"/>
    <w:basedOn w:val="Normal"/>
    <w:link w:val="GPSL3numberedclauseChar"/>
    <w:qFormat/>
    <w:rsid w:val="00915547"/>
    <w:pPr>
      <w:numPr>
        <w:ilvl w:val="2"/>
        <w:numId w:val="1"/>
      </w:numPr>
      <w:adjustRightInd w:val="0"/>
      <w:spacing w:before="120" w:after="120" w:line="240" w:lineRule="auto"/>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pPr>
  </w:style>
  <w:style w:type="paragraph" w:customStyle="1" w:styleId="GPSL5numberedclause">
    <w:name w:val="GPS L5 numbered clause"/>
    <w:basedOn w:val="GPSL4numberedclause"/>
    <w:link w:val="GPSL5numberedclauseChar"/>
    <w:qFormat/>
    <w:pPr>
      <w:numPr>
        <w:ilvl w:val="4"/>
        <w:numId w:val="0"/>
      </w:numPr>
    </w:pPr>
  </w:style>
  <w:style w:type="paragraph" w:customStyle="1" w:styleId="GPSL2NumberedBoldHeading">
    <w:name w:val="GPS L2 Numbered Bold Heading"/>
    <w:basedOn w:val="Normal"/>
    <w:qFormat/>
    <w:rsid w:val="00915547"/>
    <w:pPr>
      <w:numPr>
        <w:ilvl w:val="1"/>
        <w:numId w:val="1"/>
      </w:numPr>
      <w:adjustRightInd w:val="0"/>
      <w:spacing w:before="120" w:after="120" w:line="240" w:lineRule="auto"/>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915547"/>
    <w:rPr>
      <w:rFonts w:ascii="Arial" w:eastAsia="Times New Roman" w:hAnsi="Arial" w:cs="Arial"/>
      <w:sz w:val="24"/>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character" w:customStyle="1" w:styleId="GPSL1CLAUSEHEADINGChar">
    <w:name w:val="GPS L1 CLAUSE HEADING Char"/>
    <w:link w:val="GPSL1CLAUSEHEADING"/>
    <w:rsid w:val="00915547"/>
    <w:rPr>
      <w:rFonts w:ascii="Arial Bold" w:eastAsia="STZhongsong" w:hAnsi="Arial Bold" w:cs="Arial"/>
      <w:b/>
      <w:sz w:val="24"/>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eastAsia="Times New Roman" w:cs="Arial"/>
      <w: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DefinitionNumbering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styleId="Revision">
    <w:name w:val="Revision"/>
    <w:hidden/>
    <w:uiPriority w:val="99"/>
    <w:semiHidden/>
    <w:rsid w:val="00CB349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044628">
      <w:bodyDiv w:val="1"/>
      <w:marLeft w:val="0"/>
      <w:marRight w:val="0"/>
      <w:marTop w:val="0"/>
      <w:marBottom w:val="0"/>
      <w:divBdr>
        <w:top w:val="none" w:sz="0" w:space="0" w:color="auto"/>
        <w:left w:val="none" w:sz="0" w:space="0" w:color="auto"/>
        <w:bottom w:val="none" w:sz="0" w:space="0" w:color="auto"/>
        <w:right w:val="none" w:sz="0" w:space="0" w:color="auto"/>
      </w:divBdr>
    </w:div>
    <w:div w:id="439423226">
      <w:bodyDiv w:val="1"/>
      <w:marLeft w:val="0"/>
      <w:marRight w:val="0"/>
      <w:marTop w:val="0"/>
      <w:marBottom w:val="0"/>
      <w:divBdr>
        <w:top w:val="none" w:sz="0" w:space="0" w:color="auto"/>
        <w:left w:val="none" w:sz="0" w:space="0" w:color="auto"/>
        <w:bottom w:val="none" w:sz="0" w:space="0" w:color="auto"/>
        <w:right w:val="none" w:sz="0" w:space="0" w:color="auto"/>
      </w:divBdr>
    </w:div>
    <w:div w:id="487208791">
      <w:bodyDiv w:val="1"/>
      <w:marLeft w:val="0"/>
      <w:marRight w:val="0"/>
      <w:marTop w:val="0"/>
      <w:marBottom w:val="0"/>
      <w:divBdr>
        <w:top w:val="none" w:sz="0" w:space="0" w:color="auto"/>
        <w:left w:val="none" w:sz="0" w:space="0" w:color="auto"/>
        <w:bottom w:val="none" w:sz="0" w:space="0" w:color="auto"/>
        <w:right w:val="none" w:sz="0" w:space="0" w:color="auto"/>
      </w:divBdr>
    </w:div>
    <w:div w:id="499470327">
      <w:bodyDiv w:val="1"/>
      <w:marLeft w:val="0"/>
      <w:marRight w:val="0"/>
      <w:marTop w:val="0"/>
      <w:marBottom w:val="0"/>
      <w:divBdr>
        <w:top w:val="none" w:sz="0" w:space="0" w:color="auto"/>
        <w:left w:val="none" w:sz="0" w:space="0" w:color="auto"/>
        <w:bottom w:val="none" w:sz="0" w:space="0" w:color="auto"/>
        <w:right w:val="none" w:sz="0" w:space="0" w:color="auto"/>
      </w:divBdr>
    </w:div>
    <w:div w:id="634986217">
      <w:bodyDiv w:val="1"/>
      <w:marLeft w:val="0"/>
      <w:marRight w:val="0"/>
      <w:marTop w:val="0"/>
      <w:marBottom w:val="0"/>
      <w:divBdr>
        <w:top w:val="none" w:sz="0" w:space="0" w:color="auto"/>
        <w:left w:val="none" w:sz="0" w:space="0" w:color="auto"/>
        <w:bottom w:val="none" w:sz="0" w:space="0" w:color="auto"/>
        <w:right w:val="none" w:sz="0" w:space="0" w:color="auto"/>
      </w:divBdr>
    </w:div>
    <w:div w:id="884869810">
      <w:bodyDiv w:val="1"/>
      <w:marLeft w:val="0"/>
      <w:marRight w:val="0"/>
      <w:marTop w:val="0"/>
      <w:marBottom w:val="0"/>
      <w:divBdr>
        <w:top w:val="none" w:sz="0" w:space="0" w:color="auto"/>
        <w:left w:val="none" w:sz="0" w:space="0" w:color="auto"/>
        <w:bottom w:val="none" w:sz="0" w:space="0" w:color="auto"/>
        <w:right w:val="none" w:sz="0" w:space="0" w:color="auto"/>
      </w:divBdr>
    </w:div>
    <w:div w:id="950749070">
      <w:bodyDiv w:val="1"/>
      <w:marLeft w:val="0"/>
      <w:marRight w:val="0"/>
      <w:marTop w:val="0"/>
      <w:marBottom w:val="0"/>
      <w:divBdr>
        <w:top w:val="none" w:sz="0" w:space="0" w:color="auto"/>
        <w:left w:val="none" w:sz="0" w:space="0" w:color="auto"/>
        <w:bottom w:val="none" w:sz="0" w:space="0" w:color="auto"/>
        <w:right w:val="none" w:sz="0" w:space="0" w:color="auto"/>
      </w:divBdr>
    </w:div>
    <w:div w:id="1148395682">
      <w:bodyDiv w:val="1"/>
      <w:marLeft w:val="0"/>
      <w:marRight w:val="0"/>
      <w:marTop w:val="0"/>
      <w:marBottom w:val="0"/>
      <w:divBdr>
        <w:top w:val="none" w:sz="0" w:space="0" w:color="auto"/>
        <w:left w:val="none" w:sz="0" w:space="0" w:color="auto"/>
        <w:bottom w:val="none" w:sz="0" w:space="0" w:color="auto"/>
        <w:right w:val="none" w:sz="0" w:space="0" w:color="auto"/>
      </w:divBdr>
    </w:div>
    <w:div w:id="1150099240">
      <w:bodyDiv w:val="1"/>
      <w:marLeft w:val="0"/>
      <w:marRight w:val="0"/>
      <w:marTop w:val="0"/>
      <w:marBottom w:val="0"/>
      <w:divBdr>
        <w:top w:val="none" w:sz="0" w:space="0" w:color="auto"/>
        <w:left w:val="none" w:sz="0" w:space="0" w:color="auto"/>
        <w:bottom w:val="none" w:sz="0" w:space="0" w:color="auto"/>
        <w:right w:val="none" w:sz="0" w:space="0" w:color="auto"/>
      </w:divBdr>
    </w:div>
    <w:div w:id="1529177835">
      <w:bodyDiv w:val="1"/>
      <w:marLeft w:val="0"/>
      <w:marRight w:val="0"/>
      <w:marTop w:val="0"/>
      <w:marBottom w:val="0"/>
      <w:divBdr>
        <w:top w:val="none" w:sz="0" w:space="0" w:color="auto"/>
        <w:left w:val="none" w:sz="0" w:space="0" w:color="auto"/>
        <w:bottom w:val="none" w:sz="0" w:space="0" w:color="auto"/>
        <w:right w:val="none" w:sz="0" w:space="0" w:color="auto"/>
      </w:divBdr>
    </w:div>
    <w:div w:id="1633361713">
      <w:bodyDiv w:val="1"/>
      <w:marLeft w:val="0"/>
      <w:marRight w:val="0"/>
      <w:marTop w:val="0"/>
      <w:marBottom w:val="0"/>
      <w:divBdr>
        <w:top w:val="none" w:sz="0" w:space="0" w:color="auto"/>
        <w:left w:val="none" w:sz="0" w:space="0" w:color="auto"/>
        <w:bottom w:val="none" w:sz="0" w:space="0" w:color="auto"/>
        <w:right w:val="none" w:sz="0" w:space="0" w:color="auto"/>
      </w:divBdr>
    </w:div>
    <w:div w:id="1778401788">
      <w:bodyDiv w:val="1"/>
      <w:marLeft w:val="0"/>
      <w:marRight w:val="0"/>
      <w:marTop w:val="0"/>
      <w:marBottom w:val="0"/>
      <w:divBdr>
        <w:top w:val="none" w:sz="0" w:space="0" w:color="auto"/>
        <w:left w:val="none" w:sz="0" w:space="0" w:color="auto"/>
        <w:bottom w:val="none" w:sz="0" w:space="0" w:color="auto"/>
        <w:right w:val="none" w:sz="0" w:space="0" w:color="auto"/>
      </w:divBdr>
    </w:div>
    <w:div w:id="18439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2fe17e-1586-4888-a73f-0fe1768209fa">
      <UserInfo>
        <DisplayName/>
        <AccountId xsi:nil="true"/>
        <AccountType/>
      </UserInfo>
    </SharedWithUsers>
    <lcf76f155ced4ddcb4097134ff3c332f xmlns="98dd782c-8fb1-40a0-a471-f4b42a488578">
      <Terms xmlns="http://schemas.microsoft.com/office/infopath/2007/PartnerControls"/>
    </lcf76f155ced4ddcb4097134ff3c332f>
    <TaxCatchAll xmlns="df2fe17e-1586-4888-a73f-0fe1768209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47F7D66B22864199C169A1267677C1" ma:contentTypeVersion="16" ma:contentTypeDescription="Create a new document." ma:contentTypeScope="" ma:versionID="0a41d524332e2d5c0ec4c700cbfd9101">
  <xsd:schema xmlns:xsd="http://www.w3.org/2001/XMLSchema" xmlns:xs="http://www.w3.org/2001/XMLSchema" xmlns:p="http://schemas.microsoft.com/office/2006/metadata/properties" xmlns:ns2="98dd782c-8fb1-40a0-a471-f4b42a488578" xmlns:ns3="df2fe17e-1586-4888-a73f-0fe1768209fa" targetNamespace="http://schemas.microsoft.com/office/2006/metadata/properties" ma:root="true" ma:fieldsID="af08d918e615d34735bbcae1aeaa7d0d" ns2:_="" ns3:_="">
    <xsd:import namespace="98dd782c-8fb1-40a0-a471-f4b42a488578"/>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d782c-8fb1-40a0-a471-f4b42a488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 U K M A T T E R S ! 1 0 4 4 2 8 1 6 4 . 1 < / d o c u m e n t i d >  
     < s e n d e r i d > C L I F F M < / s e n d e r i d >  
     < s e n d e r e m a i l > M A T T H E W . C L I F F @ D L A P I P E R . C O M < / s e n d e r e m a i l >  
     < l a s t m o d i f i e d > 2 0 2 0 - 0 7 - 2 2 T 1 5 : 5 7 : 0 0 . 0 0 0 0 0 0 0 + 0 1 : 0 0 < / l a s t m o d i f i e d >  
     < d a t a b a s e > U K M A T T E R S < / d a t a b a s e >  
 < / 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8D418-3842-41B9-9AF7-79267AE0CF77}">
  <ds:schemaRefs>
    <ds:schemaRef ds:uri="http://schemas.microsoft.com/office/2006/metadata/properties"/>
    <ds:schemaRef ds:uri="http://schemas.microsoft.com/office/infopath/2007/PartnerControls"/>
    <ds:schemaRef ds:uri="7086fdbf-65f5-45dd-a2a7-3a8c4c62399f"/>
    <ds:schemaRef ds:uri="9ae6c7ba-1005-4ada-abbe-6d3effeefddc"/>
    <ds:schemaRef ds:uri="df2fe17e-1586-4888-a73f-0fe1768209fa"/>
    <ds:schemaRef ds:uri="98dd782c-8fb1-40a0-a471-f4b42a488578"/>
  </ds:schemaRefs>
</ds:datastoreItem>
</file>

<file path=customXml/itemProps2.xml><?xml version="1.0" encoding="utf-8"?>
<ds:datastoreItem xmlns:ds="http://schemas.openxmlformats.org/officeDocument/2006/customXml" ds:itemID="{1B3341D1-C75B-40B6-8518-DF877145400B}">
  <ds:schemaRefs>
    <ds:schemaRef ds:uri="http://schemas.microsoft.com/sharepoint/v3/contenttype/forms"/>
  </ds:schemaRefs>
</ds:datastoreItem>
</file>

<file path=customXml/itemProps3.xml><?xml version="1.0" encoding="utf-8"?>
<ds:datastoreItem xmlns:ds="http://schemas.openxmlformats.org/officeDocument/2006/customXml" ds:itemID="{F191CAA5-235C-45B8-963C-EE017F7F0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d782c-8fb1-40a0-a471-f4b42a488578"/>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812261-7E47-48EE-BA01-562A2924F436}">
  <ds:schemaRefs>
    <ds:schemaRef ds:uri="http://www.imanage.com/work/xmlschema"/>
  </ds:schemaRefs>
</ds:datastoreItem>
</file>

<file path=customXml/itemProps5.xml><?xml version="1.0" encoding="utf-8"?>
<ds:datastoreItem xmlns:ds="http://schemas.openxmlformats.org/officeDocument/2006/customXml" ds:itemID="{FEF3AA21-6C5A-4BE2-A31F-7749C819A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Hanlon</dc:creator>
  <cp:lastModifiedBy>Anderson, Ian (Commercial)</cp:lastModifiedBy>
  <cp:revision>2</cp:revision>
  <dcterms:created xsi:type="dcterms:W3CDTF">2023-11-03T09:04:00Z</dcterms:created>
  <dcterms:modified xsi:type="dcterms:W3CDTF">2023-11-03T09:04:00Z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18 June 2020 D1V2</vt:lpwstr>
  </property>
  <property fmtid="{D5CDD505-2E9C-101B-9397-08002B2CF9AE}" pid="3" name="Plato EditorId">
    <vt:lpwstr>80a660bb-c7b3-4105-a5e7-920b443370cb</vt:lpwstr>
  </property>
  <property fmtid="{D5CDD505-2E9C-101B-9397-08002B2CF9AE}" pid="4" name="ContentTypeId">
    <vt:lpwstr>0x0101002A47F7D66B22864199C169A1267677C1</vt:lpwstr>
  </property>
  <property fmtid="{D5CDD505-2E9C-101B-9397-08002B2CF9AE}" pid="5" name="Order">
    <vt:r8>5059500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SIP_Label_f9af038e-07b4-4369-a678-c835687cb272_Enabled">
    <vt:lpwstr>true</vt:lpwstr>
  </property>
  <property fmtid="{D5CDD505-2E9C-101B-9397-08002B2CF9AE}" pid="13" name="MSIP_Label_f9af038e-07b4-4369-a678-c835687cb272_SetDate">
    <vt:lpwstr>2023-03-03T13:00:23Z</vt:lpwstr>
  </property>
  <property fmtid="{D5CDD505-2E9C-101B-9397-08002B2CF9AE}" pid="14" name="MSIP_Label_f9af038e-07b4-4369-a678-c835687cb272_Method">
    <vt:lpwstr>Standard</vt:lpwstr>
  </property>
  <property fmtid="{D5CDD505-2E9C-101B-9397-08002B2CF9AE}" pid="15" name="MSIP_Label_f9af038e-07b4-4369-a678-c835687cb272_Name">
    <vt:lpwstr>OFFICIAL</vt:lpwstr>
  </property>
  <property fmtid="{D5CDD505-2E9C-101B-9397-08002B2CF9AE}" pid="16" name="MSIP_Label_f9af038e-07b4-4369-a678-c835687cb272_SiteId">
    <vt:lpwstr>ac52f73c-fd1a-4a9a-8e7a-4a248f3139e1</vt:lpwstr>
  </property>
  <property fmtid="{D5CDD505-2E9C-101B-9397-08002B2CF9AE}" pid="17" name="MSIP_Label_f9af038e-07b4-4369-a678-c835687cb272_ActionId">
    <vt:lpwstr>18a47191-6ac5-4b44-82d7-f6b5b28f4ec3</vt:lpwstr>
  </property>
  <property fmtid="{D5CDD505-2E9C-101B-9397-08002B2CF9AE}" pid="18" name="MSIP_Label_f9af038e-07b4-4369-a678-c835687cb272_ContentBits">
    <vt:lpwstr>2</vt:lpwstr>
  </property>
</Properties>
</file>