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C2D" w:rsidRPr="009F0C2D" w:rsidRDefault="009F0C2D" w:rsidP="009F0C2D">
      <w:pPr>
        <w:spacing w:before="120" w:after="120" w:line="240" w:lineRule="auto"/>
        <w:rPr>
          <w:rFonts w:ascii="Arial" w:eastAsia="Times New Roman" w:hAnsi="Arial" w:cs="Times New Roman"/>
          <w:b/>
          <w:sz w:val="24"/>
          <w:szCs w:val="28"/>
          <w:lang w:val="en-US"/>
        </w:rPr>
      </w:pPr>
      <w:r w:rsidRPr="009F0C2D">
        <w:rPr>
          <w:rFonts w:ascii="Arial" w:hAnsi="Arial" w:cs="Arial"/>
          <w:b/>
          <w:color w:val="000000" w:themeColor="text1"/>
          <w:sz w:val="32"/>
          <w:szCs w:val="36"/>
        </w:rPr>
        <w:t>School aged immunisations for Hampshire, Southampton, Portsmouth, Isle of Wight and Dorset (including Bournemouth &amp; Poole)</w:t>
      </w:r>
    </w:p>
    <w:p w:rsidR="00F94F33" w:rsidRDefault="00F94F33" w:rsidP="00F94F33">
      <w:pPr>
        <w:jc w:val="left"/>
        <w:rPr>
          <w:lang w:val="en"/>
        </w:rPr>
      </w:pPr>
    </w:p>
    <w:p w:rsidR="009F0C2D" w:rsidRPr="009F0C2D" w:rsidRDefault="009F0C2D" w:rsidP="009F0C2D">
      <w:pPr>
        <w:rPr>
          <w:b/>
          <w:sz w:val="28"/>
          <w:lang w:val="en"/>
        </w:rPr>
      </w:pPr>
      <w:r w:rsidRPr="009F0C2D">
        <w:rPr>
          <w:b/>
          <w:sz w:val="28"/>
          <w:lang w:val="en"/>
        </w:rPr>
        <w:t>Pre-procurement market engagement</w:t>
      </w:r>
    </w:p>
    <w:p w:rsidR="009F0C2D" w:rsidRPr="00F94F33" w:rsidRDefault="009F0C2D" w:rsidP="00F94F33">
      <w:pPr>
        <w:jc w:val="left"/>
        <w:rPr>
          <w:lang w:val="en"/>
        </w:rPr>
      </w:pPr>
    </w:p>
    <w:p w:rsidR="00F94F33" w:rsidRPr="009F0C2D" w:rsidRDefault="00F94F33" w:rsidP="00F94F33">
      <w:pPr>
        <w:jc w:val="left"/>
        <w:rPr>
          <w:b/>
          <w:bCs/>
          <w:sz w:val="24"/>
          <w:u w:val="single"/>
          <w:lang w:val="en"/>
        </w:rPr>
      </w:pPr>
      <w:r w:rsidRPr="009F0C2D">
        <w:rPr>
          <w:b/>
          <w:bCs/>
          <w:sz w:val="24"/>
          <w:u w:val="single"/>
          <w:lang w:val="en"/>
        </w:rPr>
        <w:t>Description</w:t>
      </w:r>
    </w:p>
    <w:p w:rsidR="009F0C2D" w:rsidRPr="00F94F33" w:rsidRDefault="009F0C2D" w:rsidP="00F94F33">
      <w:pPr>
        <w:jc w:val="left"/>
        <w:rPr>
          <w:b/>
          <w:bCs/>
          <w:lang w:val="en"/>
        </w:rPr>
      </w:pPr>
    </w:p>
    <w:p w:rsidR="0067713E" w:rsidRPr="0067713E" w:rsidRDefault="00DA61CC" w:rsidP="0067713E">
      <w:pPr>
        <w:jc w:val="left"/>
      </w:pPr>
      <w:bookmarkStart w:id="0" w:name="_GoBack"/>
      <w:r w:rsidRPr="00CD32CF">
        <w:rPr>
          <w:lang w:val="en"/>
        </w:rPr>
        <w:t xml:space="preserve">NHS England </w:t>
      </w:r>
      <w:r w:rsidR="00F94F33" w:rsidRPr="00CD32CF">
        <w:rPr>
          <w:lang w:val="en"/>
        </w:rPr>
        <w:t>South</w:t>
      </w:r>
      <w:r w:rsidR="00B74691" w:rsidRPr="00CD32CF">
        <w:rPr>
          <w:lang w:val="en"/>
        </w:rPr>
        <w:t xml:space="preserve"> </w:t>
      </w:r>
      <w:r w:rsidR="00F94F33" w:rsidRPr="00CD32CF">
        <w:rPr>
          <w:lang w:val="en"/>
        </w:rPr>
        <w:t>request</w:t>
      </w:r>
      <w:r w:rsidRPr="00CD32CF">
        <w:rPr>
          <w:lang w:val="en"/>
        </w:rPr>
        <w:t>s</w:t>
      </w:r>
      <w:r w:rsidR="00F94F33" w:rsidRPr="00CD32CF">
        <w:rPr>
          <w:lang w:val="en"/>
        </w:rPr>
        <w:t xml:space="preserve"> Expressions of Interest from providers </w:t>
      </w:r>
      <w:r w:rsidRPr="00CD32CF">
        <w:rPr>
          <w:lang w:val="en"/>
        </w:rPr>
        <w:t xml:space="preserve">with the capacity and capability </w:t>
      </w:r>
      <w:r w:rsidR="0072006F" w:rsidRPr="00CD32CF">
        <w:rPr>
          <w:lang w:val="en"/>
        </w:rPr>
        <w:t>to provide</w:t>
      </w:r>
      <w:r w:rsidR="0072006F" w:rsidRPr="00CD32CF">
        <w:rPr>
          <w:lang w:val="en-US"/>
        </w:rPr>
        <w:t xml:space="preserve"> </w:t>
      </w:r>
      <w:r w:rsidRPr="00CD32CF">
        <w:rPr>
          <w:lang w:val="en-US"/>
        </w:rPr>
        <w:t>a</w:t>
      </w:r>
      <w:r w:rsidR="00B74691" w:rsidRPr="00CD32CF">
        <w:rPr>
          <w:lang w:val="en-US"/>
        </w:rPr>
        <w:t xml:space="preserve"> s</w:t>
      </w:r>
      <w:r w:rsidR="006C3547" w:rsidRPr="00CD32CF">
        <w:rPr>
          <w:lang w:val="en-US"/>
        </w:rPr>
        <w:t>chool aged immunisation service</w:t>
      </w:r>
      <w:r w:rsidR="00B74691" w:rsidRPr="00CD32CF">
        <w:rPr>
          <w:lang w:val="en-US"/>
        </w:rPr>
        <w:t xml:space="preserve"> for children aged 4 - 19</w:t>
      </w:r>
      <w:r w:rsidR="0072006F" w:rsidRPr="00CD32CF">
        <w:rPr>
          <w:lang w:val="en-US"/>
        </w:rPr>
        <w:t xml:space="preserve"> </w:t>
      </w:r>
      <w:r w:rsidR="00462817">
        <w:rPr>
          <w:lang w:val="en-US"/>
        </w:rPr>
        <w:t>registered, resident or schooled with</w:t>
      </w:r>
      <w:r w:rsidR="006C3547" w:rsidRPr="00CD32CF">
        <w:rPr>
          <w:lang w:val="en-US"/>
        </w:rPr>
        <w:t>in Hampshire, Southampton</w:t>
      </w:r>
      <w:r w:rsidR="00FD0677">
        <w:rPr>
          <w:lang w:val="en-US"/>
        </w:rPr>
        <w:t xml:space="preserve">, </w:t>
      </w:r>
      <w:r w:rsidR="006C3547" w:rsidRPr="00CD32CF">
        <w:rPr>
          <w:lang w:val="en-US"/>
        </w:rPr>
        <w:t xml:space="preserve"> Portsmouth, Isle of Wight</w:t>
      </w:r>
      <w:r w:rsidR="009C3739">
        <w:rPr>
          <w:lang w:val="en-US"/>
        </w:rPr>
        <w:t xml:space="preserve"> and Dorset (including Bournemouth and Poole).  </w:t>
      </w:r>
      <w:r w:rsidR="008E28AB">
        <w:t>Pre-procurement market engagement</w:t>
      </w:r>
      <w:r w:rsidR="008E28AB" w:rsidRPr="00BA0388" w:rsidDel="008E28AB">
        <w:t xml:space="preserve"> </w:t>
      </w:r>
      <w:r w:rsidR="008E28AB">
        <w:t xml:space="preserve">will take place </w:t>
      </w:r>
      <w:r w:rsidR="0067713E">
        <w:t xml:space="preserve">in Southampton on </w:t>
      </w:r>
      <w:r w:rsidR="008E28AB">
        <w:t>12</w:t>
      </w:r>
      <w:r w:rsidR="008E28AB" w:rsidRPr="008E28AB">
        <w:rPr>
          <w:vertAlign w:val="superscript"/>
        </w:rPr>
        <w:t>th</w:t>
      </w:r>
      <w:r w:rsidR="008E28AB">
        <w:t xml:space="preserve"> and/or 13</w:t>
      </w:r>
      <w:r w:rsidR="008E28AB" w:rsidRPr="008E28AB">
        <w:rPr>
          <w:vertAlign w:val="superscript"/>
        </w:rPr>
        <w:t>th</w:t>
      </w:r>
      <w:r w:rsidR="008E28AB">
        <w:t xml:space="preserve"> February 2019 (TBC)</w:t>
      </w:r>
      <w:r w:rsidR="0067713E" w:rsidRPr="0067713E">
        <w:t xml:space="preserve">, </w:t>
      </w:r>
      <w:r w:rsidR="0067713E">
        <w:t xml:space="preserve">which </w:t>
      </w:r>
      <w:r w:rsidR="0067713E" w:rsidRPr="0067713E">
        <w:t xml:space="preserve">will help to inform the commissioning strategy in terms of provider views on geographical delivery (Lots), payment arrangements and the contract term. </w:t>
      </w:r>
      <w:r w:rsidR="0067713E">
        <w:t>Please see below for registration information.</w:t>
      </w:r>
    </w:p>
    <w:p w:rsidR="00557341" w:rsidRPr="00CD32CF" w:rsidRDefault="00557341" w:rsidP="00DA61CC">
      <w:pPr>
        <w:jc w:val="left"/>
        <w:rPr>
          <w:lang w:val="en-US"/>
        </w:rPr>
      </w:pPr>
    </w:p>
    <w:p w:rsidR="00557341" w:rsidRPr="00CD32CF" w:rsidRDefault="00CE0EE6" w:rsidP="00DA61CC">
      <w:pPr>
        <w:jc w:val="left"/>
      </w:pPr>
      <w:r w:rsidRPr="00CD32CF">
        <w:t>T</w:t>
      </w:r>
      <w:r w:rsidR="00557341" w:rsidRPr="00CD32CF">
        <w:t>he contract</w:t>
      </w:r>
      <w:r w:rsidR="00462817">
        <w:t>(s)</w:t>
      </w:r>
      <w:r w:rsidR="00557341" w:rsidRPr="00CD32CF">
        <w:t xml:space="preserve"> is</w:t>
      </w:r>
      <w:r w:rsidR="00462817">
        <w:t>/are</w:t>
      </w:r>
      <w:r w:rsidR="00557341" w:rsidRPr="00CD32CF">
        <w:t xml:space="preserve"> due to begin on 1</w:t>
      </w:r>
      <w:r w:rsidR="00557341" w:rsidRPr="00CD32CF">
        <w:rPr>
          <w:vertAlign w:val="superscript"/>
        </w:rPr>
        <w:t>st</w:t>
      </w:r>
      <w:r w:rsidR="00557341" w:rsidRPr="00CD32CF">
        <w:t xml:space="preserve"> </w:t>
      </w:r>
      <w:r w:rsidR="00A52DFC" w:rsidRPr="00CD32CF">
        <w:t>August</w:t>
      </w:r>
      <w:r w:rsidR="00557341" w:rsidRPr="00CD32CF">
        <w:t xml:space="preserve"> 20</w:t>
      </w:r>
      <w:r w:rsidR="00C70F44" w:rsidRPr="00CD32CF">
        <w:t>20</w:t>
      </w:r>
      <w:r w:rsidR="00557341" w:rsidRPr="00CD32CF">
        <w:t>.</w:t>
      </w:r>
      <w:r w:rsidR="0046323B" w:rsidRPr="00CD32CF">
        <w:t xml:space="preserve"> For information purposes, </w:t>
      </w:r>
      <w:r w:rsidR="00CD351B">
        <w:t xml:space="preserve">total </w:t>
      </w:r>
      <w:r w:rsidR="0046323B" w:rsidRPr="00CD32CF">
        <w:t xml:space="preserve">spend </w:t>
      </w:r>
      <w:r w:rsidR="00CD351B">
        <w:t xml:space="preserve">across the whole geography </w:t>
      </w:r>
      <w:r w:rsidR="0046323B" w:rsidRPr="00CD32CF">
        <w:t xml:space="preserve">is </w:t>
      </w:r>
      <w:r w:rsidR="008E28AB">
        <w:t>anticipated to be in the region of £2.7million in 2019/20</w:t>
      </w:r>
      <w:r w:rsidR="00CD32CF">
        <w:t>.</w:t>
      </w:r>
    </w:p>
    <w:p w:rsidR="006C3547" w:rsidRPr="00CD32CF" w:rsidRDefault="006C3547" w:rsidP="00DA61CC">
      <w:pPr>
        <w:jc w:val="left"/>
      </w:pPr>
    </w:p>
    <w:p w:rsidR="00FA0913" w:rsidRPr="00CD32CF" w:rsidRDefault="00FA0913" w:rsidP="00FA0913">
      <w:pPr>
        <w:jc w:val="both"/>
        <w:rPr>
          <w:rFonts w:cs="Arial"/>
        </w:rPr>
      </w:pPr>
      <w:r w:rsidRPr="00CD32CF">
        <w:rPr>
          <w:rFonts w:cs="Arial"/>
        </w:rPr>
        <w:t>The aim of the national immunisation programmes is to protect the population from vaccine preventable illnesses and reduce associated morbidity and mortality.</w:t>
      </w:r>
    </w:p>
    <w:p w:rsidR="00FA0913" w:rsidRDefault="00FA0913" w:rsidP="00FA0913">
      <w:pPr>
        <w:jc w:val="both"/>
        <w:rPr>
          <w:rFonts w:cs="Arial"/>
        </w:rPr>
      </w:pPr>
      <w:r w:rsidRPr="00CD32CF">
        <w:rPr>
          <w:rFonts w:cs="Arial"/>
        </w:rPr>
        <w:t>The overall aim of the service is to achieve and sustain the highest possible level of coverage in respect of the immunisation programmes within scope across the area served</w:t>
      </w:r>
      <w:r w:rsidR="00FD0677">
        <w:rPr>
          <w:rFonts w:cs="Arial"/>
        </w:rPr>
        <w:t>,</w:t>
      </w:r>
      <w:r w:rsidRPr="00CD32CF">
        <w:rPr>
          <w:rFonts w:cs="Arial"/>
        </w:rPr>
        <w:t xml:space="preserve"> as well as at the level of individual schools and within the context of populations with protected characteristics as defined by the Equality Act 2010.   </w:t>
      </w:r>
    </w:p>
    <w:p w:rsidR="00462817" w:rsidRDefault="00462817" w:rsidP="00FA0913">
      <w:pPr>
        <w:jc w:val="both"/>
        <w:rPr>
          <w:rFonts w:cs="Arial"/>
        </w:rPr>
      </w:pPr>
    </w:p>
    <w:p w:rsidR="00462817" w:rsidRDefault="00462817" w:rsidP="00FA0913">
      <w:pPr>
        <w:jc w:val="both"/>
        <w:rPr>
          <w:rFonts w:cs="Arial"/>
        </w:rPr>
      </w:pPr>
      <w:r>
        <w:rPr>
          <w:rFonts w:cs="Arial"/>
        </w:rPr>
        <w:t xml:space="preserve">The programmes currently in scope are: </w:t>
      </w:r>
    </w:p>
    <w:p w:rsidR="00462817" w:rsidRDefault="00462817" w:rsidP="009C3739">
      <w:pPr>
        <w:pStyle w:val="ListParagraph"/>
        <w:numPr>
          <w:ilvl w:val="0"/>
          <w:numId w:val="7"/>
        </w:numPr>
        <w:jc w:val="both"/>
        <w:rPr>
          <w:rFonts w:cs="Arial"/>
        </w:rPr>
      </w:pPr>
      <w:r>
        <w:rPr>
          <w:rFonts w:cs="Arial"/>
        </w:rPr>
        <w:t>Gender neutral HPV vaccination programme</w:t>
      </w:r>
    </w:p>
    <w:p w:rsidR="00462817" w:rsidRDefault="00D2088C" w:rsidP="009C3739">
      <w:pPr>
        <w:pStyle w:val="ListParagraph"/>
        <w:numPr>
          <w:ilvl w:val="0"/>
          <w:numId w:val="7"/>
        </w:numPr>
        <w:jc w:val="both"/>
        <w:rPr>
          <w:rFonts w:cs="Arial"/>
        </w:rPr>
      </w:pPr>
      <w:proofErr w:type="spellStart"/>
      <w:r>
        <w:rPr>
          <w:rFonts w:cs="Arial"/>
        </w:rPr>
        <w:t>MenACWY</w:t>
      </w:r>
      <w:proofErr w:type="spellEnd"/>
      <w:r>
        <w:rPr>
          <w:rFonts w:cs="Arial"/>
        </w:rPr>
        <w:t xml:space="preserve"> booster</w:t>
      </w:r>
    </w:p>
    <w:p w:rsidR="00D2088C" w:rsidRDefault="00D2088C" w:rsidP="009C3739">
      <w:pPr>
        <w:pStyle w:val="ListParagraph"/>
        <w:numPr>
          <w:ilvl w:val="0"/>
          <w:numId w:val="7"/>
        </w:numPr>
        <w:jc w:val="both"/>
        <w:rPr>
          <w:rFonts w:cs="Arial"/>
        </w:rPr>
      </w:pPr>
      <w:r>
        <w:rPr>
          <w:rFonts w:cs="Arial"/>
        </w:rPr>
        <w:t>Td/IPV booster</w:t>
      </w:r>
    </w:p>
    <w:p w:rsidR="00D2088C" w:rsidRDefault="00D2088C" w:rsidP="009C3739">
      <w:pPr>
        <w:pStyle w:val="ListParagraph"/>
        <w:numPr>
          <w:ilvl w:val="0"/>
          <w:numId w:val="7"/>
        </w:numPr>
        <w:jc w:val="both"/>
        <w:rPr>
          <w:rFonts w:cs="Arial"/>
        </w:rPr>
      </w:pPr>
      <w:r>
        <w:rPr>
          <w:rFonts w:cs="Arial"/>
        </w:rPr>
        <w:t>Seasonal influenza programme</w:t>
      </w:r>
    </w:p>
    <w:p w:rsidR="009F0C2D" w:rsidRPr="00462817" w:rsidRDefault="009F0C2D" w:rsidP="00910ACF">
      <w:pPr>
        <w:pStyle w:val="ListParagraph"/>
        <w:jc w:val="both"/>
        <w:rPr>
          <w:rFonts w:cs="Arial"/>
        </w:rPr>
      </w:pPr>
    </w:p>
    <w:p w:rsidR="00FA0913" w:rsidRPr="009C3739" w:rsidRDefault="00D2088C" w:rsidP="00FA0913">
      <w:pPr>
        <w:jc w:val="both"/>
        <w:rPr>
          <w:rFonts w:cs="Arial"/>
        </w:rPr>
      </w:pPr>
      <w:r w:rsidRPr="009C3739">
        <w:rPr>
          <w:rFonts w:cs="Arial"/>
        </w:rPr>
        <w:t xml:space="preserve">The scope may be extended in future to include additional programmes as advised/recommended by the Joint Committee of </w:t>
      </w:r>
      <w:r w:rsidR="00EF61EE">
        <w:rPr>
          <w:rFonts w:cs="Arial"/>
        </w:rPr>
        <w:t xml:space="preserve">Vaccinations and Immunisations and/or </w:t>
      </w:r>
      <w:r w:rsidRPr="009C3739">
        <w:rPr>
          <w:rFonts w:cs="Arial"/>
        </w:rPr>
        <w:t xml:space="preserve">at the request of the commissioner.   </w:t>
      </w:r>
    </w:p>
    <w:p w:rsidR="00D2088C" w:rsidRPr="009C3739" w:rsidRDefault="00D2088C" w:rsidP="00FA0913">
      <w:pPr>
        <w:jc w:val="both"/>
        <w:rPr>
          <w:rFonts w:cs="Arial"/>
          <w:b/>
        </w:rPr>
      </w:pPr>
    </w:p>
    <w:p w:rsidR="00FA0913" w:rsidRPr="00CD32CF" w:rsidRDefault="00FA0913" w:rsidP="00FA0913">
      <w:pPr>
        <w:jc w:val="both"/>
        <w:rPr>
          <w:rFonts w:cs="Arial"/>
          <w:b/>
        </w:rPr>
      </w:pPr>
      <w:r w:rsidRPr="00CD32CF">
        <w:rPr>
          <w:rFonts w:cs="Arial"/>
          <w:b/>
        </w:rPr>
        <w:t>Objectives of service</w:t>
      </w:r>
    </w:p>
    <w:p w:rsidR="00FA0913" w:rsidRPr="00CD32CF" w:rsidRDefault="00FA0913" w:rsidP="00FA0913">
      <w:pPr>
        <w:jc w:val="both"/>
        <w:rPr>
          <w:rFonts w:cs="Arial"/>
          <w:b/>
        </w:rPr>
      </w:pPr>
      <w:r w:rsidRPr="00CD32CF">
        <w:rPr>
          <w:rFonts w:cs="Arial"/>
        </w:rPr>
        <w:t>The aim will be achieved by delivering safe and effective, evidence-based, population-wide immunisation programme</w:t>
      </w:r>
      <w:r w:rsidR="00462817">
        <w:rPr>
          <w:rFonts w:cs="Arial"/>
        </w:rPr>
        <w:t>s.  The service offer will</w:t>
      </w:r>
      <w:r w:rsidRPr="00CD32CF">
        <w:rPr>
          <w:rFonts w:cs="Arial"/>
        </w:rPr>
        <w:t xml:space="preserve"> incorporate the following features: </w:t>
      </w:r>
    </w:p>
    <w:p w:rsidR="00FA0913" w:rsidRPr="00CD32CF" w:rsidRDefault="00FA0913" w:rsidP="00FA0913">
      <w:pPr>
        <w:jc w:val="both"/>
        <w:rPr>
          <w:rFonts w:cs="Arial"/>
        </w:rPr>
      </w:pPr>
    </w:p>
    <w:p w:rsidR="00FA0913" w:rsidRPr="00CD32CF" w:rsidRDefault="00FA0913" w:rsidP="00FA0913">
      <w:pPr>
        <w:pStyle w:val="ListParagraph"/>
        <w:numPr>
          <w:ilvl w:val="0"/>
          <w:numId w:val="6"/>
        </w:numPr>
        <w:suppressAutoHyphens/>
        <w:spacing w:after="120" w:line="240" w:lineRule="auto"/>
        <w:ind w:left="792"/>
        <w:contextualSpacing w:val="0"/>
        <w:jc w:val="both"/>
      </w:pPr>
      <w:r w:rsidRPr="00CD32CF">
        <w:t>a planned and co-ordinated programme of timely delivery with strong local leadership focussed on maximising coverage and uptake</w:t>
      </w:r>
    </w:p>
    <w:p w:rsidR="00FA0913" w:rsidRPr="00CD32CF" w:rsidRDefault="00FA0913" w:rsidP="00FA0913">
      <w:pPr>
        <w:pStyle w:val="ListParagraph"/>
        <w:numPr>
          <w:ilvl w:val="0"/>
          <w:numId w:val="6"/>
        </w:numPr>
        <w:suppressAutoHyphens/>
        <w:spacing w:after="120" w:line="240" w:lineRule="auto"/>
        <w:ind w:left="792"/>
        <w:contextualSpacing w:val="0"/>
        <w:jc w:val="both"/>
      </w:pPr>
      <w:r w:rsidRPr="00CD32CF">
        <w:lastRenderedPageBreak/>
        <w:t xml:space="preserve">identification of, and full offer to, the whole eligible population, with repeated offers until school leaving age as required  to achieve maximum coverage </w:t>
      </w:r>
    </w:p>
    <w:p w:rsidR="00FA0913" w:rsidRPr="00CD32CF" w:rsidRDefault="00FA0913" w:rsidP="00FA0913">
      <w:pPr>
        <w:pStyle w:val="ListParagraph"/>
        <w:numPr>
          <w:ilvl w:val="0"/>
          <w:numId w:val="6"/>
        </w:numPr>
        <w:suppressAutoHyphens/>
        <w:spacing w:after="120" w:line="240" w:lineRule="auto"/>
        <w:ind w:left="792"/>
        <w:contextualSpacing w:val="0"/>
        <w:jc w:val="both"/>
      </w:pPr>
      <w:r w:rsidRPr="00CD32CF">
        <w:t xml:space="preserve">a flexible, responsive, accessible and culturally sensitive service provided in all schools and additional community settings at a range of times as required to meet the needs of all eligible children/young people </w:t>
      </w:r>
    </w:p>
    <w:p w:rsidR="00FA0913" w:rsidRPr="00CD32CF" w:rsidRDefault="00FA0913" w:rsidP="00FA0913">
      <w:pPr>
        <w:pStyle w:val="ListParagraph"/>
        <w:numPr>
          <w:ilvl w:val="0"/>
          <w:numId w:val="6"/>
        </w:numPr>
        <w:suppressAutoHyphens/>
        <w:spacing w:after="120" w:line="240" w:lineRule="auto"/>
        <w:ind w:left="792"/>
        <w:contextualSpacing w:val="0"/>
        <w:jc w:val="both"/>
      </w:pPr>
      <w:r w:rsidRPr="00CD32CF">
        <w:t>delivery in a way which addresses local health inequalities, tailoring and targeting interventions when necessary</w:t>
      </w:r>
    </w:p>
    <w:p w:rsidR="00FA0913" w:rsidRPr="00CD32CF" w:rsidRDefault="00FA0913" w:rsidP="00FA0913">
      <w:pPr>
        <w:pStyle w:val="ListParagraph"/>
        <w:numPr>
          <w:ilvl w:val="0"/>
          <w:numId w:val="6"/>
        </w:numPr>
        <w:suppressAutoHyphens/>
        <w:spacing w:after="120" w:line="240" w:lineRule="auto"/>
        <w:contextualSpacing w:val="0"/>
        <w:jc w:val="left"/>
      </w:pPr>
      <w:r w:rsidRPr="00CD32CF">
        <w:t>safe and effective delivery by suitably trained, competent healthcare professionals with effective use of skill mix to achieve efficiency and value for money</w:t>
      </w:r>
    </w:p>
    <w:p w:rsidR="00FA0913" w:rsidRPr="00CD32CF" w:rsidRDefault="00FA0913" w:rsidP="00FA0913">
      <w:pPr>
        <w:pStyle w:val="ListParagraph"/>
        <w:numPr>
          <w:ilvl w:val="0"/>
          <w:numId w:val="6"/>
        </w:numPr>
        <w:suppressAutoHyphens/>
        <w:spacing w:after="120" w:line="240" w:lineRule="auto"/>
        <w:contextualSpacing w:val="0"/>
        <w:jc w:val="left"/>
      </w:pPr>
      <w:r w:rsidRPr="00CD32CF">
        <w:t>accurate and timely recording, collation and reporting of vaccinations both for individuals and at population level</w:t>
      </w:r>
    </w:p>
    <w:p w:rsidR="00FA0913" w:rsidRPr="00CD32CF" w:rsidRDefault="00FA0913" w:rsidP="00FA0913">
      <w:pPr>
        <w:pStyle w:val="ListParagraph"/>
        <w:numPr>
          <w:ilvl w:val="0"/>
          <w:numId w:val="6"/>
        </w:numPr>
        <w:suppressAutoHyphens/>
        <w:spacing w:after="120" w:line="240" w:lineRule="auto"/>
        <w:ind w:left="714" w:hanging="357"/>
        <w:contextualSpacing w:val="0"/>
        <w:jc w:val="left"/>
      </w:pPr>
      <w:r w:rsidRPr="00CD32CF">
        <w:t>a programme of promotion activities to encourage vaccine uptake. This will include collaborating with and supporting NHS England and Public Health England in any campaigns or activities they undertake</w:t>
      </w:r>
    </w:p>
    <w:p w:rsidR="00A52DFC" w:rsidRPr="00CD32CF" w:rsidRDefault="00EF61EE" w:rsidP="00D77FA7">
      <w:pPr>
        <w:spacing w:before="240"/>
        <w:jc w:val="left"/>
        <w:rPr>
          <w:rFonts w:cs="Arial"/>
        </w:rPr>
      </w:pPr>
      <w:r>
        <w:rPr>
          <w:rFonts w:cs="Arial"/>
        </w:rPr>
        <w:t>T</w:t>
      </w:r>
      <w:r w:rsidR="00FA0913" w:rsidRPr="00CD32CF">
        <w:rPr>
          <w:rFonts w:cs="Arial"/>
        </w:rPr>
        <w:t>here is an expectation that the contract holder(s) for all lots will work with public health nursing and other children</w:t>
      </w:r>
      <w:r w:rsidR="00CD32CF">
        <w:rPr>
          <w:rFonts w:cs="Arial"/>
        </w:rPr>
        <w:t>’</w:t>
      </w:r>
      <w:r w:rsidR="00FA0913" w:rsidRPr="00CD32CF">
        <w:rPr>
          <w:rFonts w:cs="Arial"/>
        </w:rPr>
        <w:t>s</w:t>
      </w:r>
      <w:r w:rsidR="00CD32CF">
        <w:rPr>
          <w:rFonts w:cs="Arial"/>
        </w:rPr>
        <w:t xml:space="preserve"> </w:t>
      </w:r>
      <w:r w:rsidR="00FA0913" w:rsidRPr="00CD32CF">
        <w:rPr>
          <w:rFonts w:cs="Arial"/>
        </w:rPr>
        <w:t xml:space="preserve">services across the whole geography to maximise collaboration and opportunities for integrated service offer and delivery.  </w:t>
      </w:r>
    </w:p>
    <w:bookmarkEnd w:id="0"/>
    <w:p w:rsidR="009F0C2D" w:rsidRDefault="009F0C2D" w:rsidP="00CF4F91">
      <w:pPr>
        <w:jc w:val="left"/>
        <w:rPr>
          <w:rFonts w:cs="Arial"/>
        </w:rPr>
      </w:pPr>
    </w:p>
    <w:p w:rsidR="009F0C2D" w:rsidRPr="009F0C2D" w:rsidRDefault="009F0C2D" w:rsidP="00CF4F91">
      <w:pPr>
        <w:jc w:val="left"/>
        <w:rPr>
          <w:rFonts w:cs="Arial"/>
          <w:b/>
          <w:sz w:val="24"/>
          <w:u w:val="single"/>
        </w:rPr>
      </w:pPr>
      <w:r w:rsidRPr="009F0C2D">
        <w:rPr>
          <w:rFonts w:cs="Arial"/>
          <w:b/>
          <w:sz w:val="24"/>
          <w:u w:val="single"/>
        </w:rPr>
        <w:t>Key information</w:t>
      </w:r>
    </w:p>
    <w:p w:rsidR="00CF4F91" w:rsidRPr="00CD32CF" w:rsidRDefault="00F94F33" w:rsidP="00CF4F91">
      <w:pPr>
        <w:jc w:val="left"/>
        <w:rPr>
          <w:lang w:val="en"/>
        </w:rPr>
      </w:pPr>
      <w:r w:rsidRPr="00CD32CF">
        <w:rPr>
          <w:lang w:val="en"/>
        </w:rPr>
        <w:br/>
      </w:r>
      <w:r w:rsidR="00CF4F91" w:rsidRPr="00CD32CF">
        <w:t>This process is being carried out by NHS South, Central &amp; West Commissioning Support Unit (SCWCSU) on behalf of the Commissioner</w:t>
      </w:r>
    </w:p>
    <w:p w:rsidR="00CF4F91" w:rsidRPr="00CD32CF" w:rsidRDefault="00CF4F91" w:rsidP="000156F9">
      <w:pPr>
        <w:jc w:val="left"/>
        <w:rPr>
          <w:lang w:val="en"/>
        </w:rPr>
      </w:pPr>
    </w:p>
    <w:p w:rsidR="00965EDE" w:rsidRDefault="00F94F33" w:rsidP="000156F9">
      <w:pPr>
        <w:jc w:val="left"/>
        <w:rPr>
          <w:lang w:val="en"/>
        </w:rPr>
      </w:pPr>
      <w:r w:rsidRPr="00CD32CF">
        <w:rPr>
          <w:lang w:val="en"/>
        </w:rPr>
        <w:t xml:space="preserve">To express an interest in this procurement, please register on the In-Tend portal and submit a completed Market Engagement Questionnaire by </w:t>
      </w:r>
      <w:r w:rsidRPr="009F0C2D">
        <w:rPr>
          <w:b/>
          <w:lang w:val="en"/>
        </w:rPr>
        <w:t>12pm on</w:t>
      </w:r>
      <w:r w:rsidR="007762E3" w:rsidRPr="009F0C2D">
        <w:rPr>
          <w:b/>
          <w:lang w:val="en"/>
        </w:rPr>
        <w:t xml:space="preserve"> Tuesday 5</w:t>
      </w:r>
      <w:r w:rsidR="007762E3" w:rsidRPr="009F0C2D">
        <w:rPr>
          <w:b/>
          <w:vertAlign w:val="superscript"/>
          <w:lang w:val="en"/>
        </w:rPr>
        <w:t>th</w:t>
      </w:r>
      <w:r w:rsidR="007762E3" w:rsidRPr="009F0C2D">
        <w:rPr>
          <w:b/>
          <w:lang w:val="en"/>
        </w:rPr>
        <w:t xml:space="preserve"> February</w:t>
      </w:r>
      <w:r w:rsidR="004F3CD9" w:rsidRPr="009F0C2D">
        <w:rPr>
          <w:b/>
          <w:lang w:val="en"/>
        </w:rPr>
        <w:t xml:space="preserve"> 2019</w:t>
      </w:r>
      <w:r w:rsidRPr="00CD32CF">
        <w:rPr>
          <w:lang w:val="en"/>
        </w:rPr>
        <w:t xml:space="preserve">. </w:t>
      </w:r>
    </w:p>
    <w:p w:rsidR="00965EDE" w:rsidRDefault="00965EDE" w:rsidP="000156F9">
      <w:pPr>
        <w:jc w:val="left"/>
        <w:rPr>
          <w:lang w:val="en"/>
        </w:rPr>
      </w:pPr>
    </w:p>
    <w:p w:rsidR="0067713E" w:rsidRPr="00CD32CF" w:rsidRDefault="0067713E" w:rsidP="000156F9">
      <w:pPr>
        <w:jc w:val="left"/>
        <w:rPr>
          <w:lang w:val="en"/>
        </w:rPr>
      </w:pPr>
      <w:r>
        <w:rPr>
          <w:lang w:val="en"/>
        </w:rPr>
        <w:t>If you wish to take part in face to face market engagement, you will need to complete the relevant attendee information section in your questionnaire response. Further details, including timings, will be provided to those who register their attendees (maximum of three per potential bidding entity).</w:t>
      </w:r>
    </w:p>
    <w:p w:rsidR="00CF4F91" w:rsidRPr="00CD32CF" w:rsidRDefault="00F94F33" w:rsidP="00F94F33">
      <w:pPr>
        <w:jc w:val="left"/>
        <w:rPr>
          <w:lang w:val="en"/>
        </w:rPr>
      </w:pPr>
      <w:r w:rsidRPr="00CD32CF">
        <w:rPr>
          <w:lang w:val="en"/>
        </w:rPr>
        <w:br/>
        <w:t xml:space="preserve">Interested providers will be able to view the opportunity via the 'current tenders' list on In-Tend: </w:t>
      </w:r>
      <w:hyperlink r:id="rId6" w:history="1">
        <w:r w:rsidRPr="003F5876">
          <w:rPr>
            <w:rStyle w:val="Hyperlink"/>
            <w:lang w:val="en"/>
          </w:rPr>
          <w:t>https://in-tendhost.co.uk/scwcsu/aspx/Home</w:t>
        </w:r>
      </w:hyperlink>
      <w:r w:rsidRPr="00CD32CF">
        <w:rPr>
          <w:lang w:val="en"/>
        </w:rPr>
        <w:t xml:space="preserve"> </w:t>
      </w:r>
      <w:r w:rsidRPr="00CD32CF">
        <w:rPr>
          <w:lang w:val="en"/>
        </w:rPr>
        <w:br/>
      </w:r>
      <w:r w:rsidRPr="00CD32CF">
        <w:rPr>
          <w:lang w:val="en"/>
        </w:rPr>
        <w:br/>
        <w:t xml:space="preserve">In order to return the questionnaire, you will need to 'express an interest' and register on the system and then upload the completed questionnaire to the placeholder provided. </w:t>
      </w:r>
    </w:p>
    <w:p w:rsidR="00F94F33" w:rsidRPr="00CD32CF" w:rsidRDefault="00CF4F91" w:rsidP="00CF4F91">
      <w:pPr>
        <w:jc w:val="left"/>
        <w:rPr>
          <w:lang w:val="en"/>
        </w:rPr>
      </w:pPr>
      <w:r w:rsidRPr="00CD32CF">
        <w:rPr>
          <w:lang w:val="en"/>
        </w:rPr>
        <w:br/>
      </w:r>
      <w:r w:rsidRPr="00CD32CF">
        <w:t>This notice is an information gathering exercise rather than a call for competition in its own right, and therefore publication or response does not commit NHS England or respondents to a future procurement, nor provide any process exemptions or preferential treatment to any parties expressing an interest. NHS England will not be liable for costs incurred by any interested party in participating in this exercise.</w:t>
      </w:r>
      <w:r w:rsidR="00F94F33" w:rsidRPr="00CD32CF">
        <w:rPr>
          <w:lang w:val="en"/>
        </w:rPr>
        <w:br/>
      </w:r>
      <w:r w:rsidR="00F94F33" w:rsidRPr="00CD32CF">
        <w:rPr>
          <w:lang w:val="en"/>
        </w:rPr>
        <w:br/>
        <w:t>The services are healthcare services falling within Schedule 3 to the Public Contracts Regulations 2015 ("the Regulations") which are not subject to the full r</w:t>
      </w:r>
      <w:r w:rsidR="00F3470A" w:rsidRPr="00CD32CF">
        <w:rPr>
          <w:lang w:val="en"/>
        </w:rPr>
        <w:t>egime of the Regulations, but</w:t>
      </w:r>
      <w:r w:rsidR="00F94F33" w:rsidRPr="00CD32CF">
        <w:rPr>
          <w:lang w:val="en"/>
        </w:rPr>
        <w:t xml:space="preserve"> instead </w:t>
      </w:r>
      <w:r w:rsidR="00F94F33" w:rsidRPr="00CD32CF">
        <w:rPr>
          <w:lang w:val="en"/>
        </w:rPr>
        <w:lastRenderedPageBreak/>
        <w:t>governed by the "Light Touch Regime" contained within Chapter 3, Section 7 of the Regulations (Regulations 74 to 77).</w:t>
      </w:r>
    </w:p>
    <w:p w:rsidR="00725E75" w:rsidRPr="00CD32CF" w:rsidRDefault="00725E75" w:rsidP="00F94F33">
      <w:pPr>
        <w:jc w:val="left"/>
        <w:rPr>
          <w:lang w:val="en"/>
        </w:rPr>
      </w:pPr>
    </w:p>
    <w:p w:rsidR="00725E75" w:rsidRPr="00CD32CF" w:rsidRDefault="00725E75" w:rsidP="00725E75">
      <w:pPr>
        <w:jc w:val="left"/>
      </w:pPr>
      <w:r w:rsidRPr="00CD32CF">
        <w:t xml:space="preserve">Any tendering process will be conducted in accordance with the requirements and flexibilities provided by Articles 74 to 76 of the Directive, and Regulations 74 to 76 of the Regulations. The Authority will run a transparent process, treating all Bidders equally. For the avoidance of doubt, the Authority will not be bound by the Regulations or the Treaty on the Functioning of the European Union or any other regulations or legislation except for the specific parts or circumstances that apply to the procurement of these Services. </w:t>
      </w:r>
    </w:p>
    <w:p w:rsidR="00725E75" w:rsidRPr="00CD32CF" w:rsidRDefault="00725E75" w:rsidP="00725E75">
      <w:pPr>
        <w:jc w:val="left"/>
      </w:pPr>
    </w:p>
    <w:p w:rsidR="00725E75" w:rsidRPr="00CD32CF" w:rsidRDefault="00725E75" w:rsidP="00725E75">
      <w:pPr>
        <w:jc w:val="left"/>
      </w:pPr>
      <w:r w:rsidRPr="00CD32CF">
        <w:t xml:space="preserve">Neither the inclusion of a Bidder selection stage, nor the use of any language or terms found in the Directive or Regulations, nor the description of the procedure voluntarily adopted by the Authority ("Open", "Restricted", "Competitive Procedure with Negotiation", "Competitive Dialogue" or any other description), nor any other indication, shall be taken to mean that the Authority intends to hold itself bound by the Directive or Regulations, save by the provisions applicable to services coming within the scope of Annex XIV of the Directive / Schedule 3 of the Regulations. </w:t>
      </w:r>
    </w:p>
    <w:p w:rsidR="00996777" w:rsidRPr="008E28AB" w:rsidRDefault="00996777" w:rsidP="00F94F33">
      <w:pPr>
        <w:jc w:val="left"/>
        <w:rPr>
          <w:lang w:val="en"/>
        </w:rPr>
      </w:pPr>
    </w:p>
    <w:sectPr w:rsidR="00996777" w:rsidRPr="008E28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ntax">
    <w:panose1 w:val="00000000000000000000"/>
    <w:charset w:val="00"/>
    <w:family w:val="auto"/>
    <w:notTrueType/>
    <w:pitch w:val="variable"/>
    <w:sig w:usb0="00000003" w:usb1="00000000" w:usb2="00000000" w:usb3="00000000" w:csb0="00000001" w:csb1="00000000"/>
  </w:font>
  <w:font w:name="MS ??">
    <w:altName w:val="MS Mincho"/>
    <w:panose1 w:val="00000000000000000000"/>
    <w:charset w:val="80"/>
    <w:family w:val="auto"/>
    <w:notTrueType/>
    <w:pitch w:val="variable"/>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6D7833"/>
    <w:multiLevelType w:val="multilevel"/>
    <w:tmpl w:val="913889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5"/>
      <w:numFmt w:val="bullet"/>
      <w:lvlText w:val="•"/>
      <w:lvlJc w:val="left"/>
      <w:pPr>
        <w:ind w:left="2160" w:hanging="360"/>
      </w:pPr>
      <w:rPr>
        <w:rFonts w:ascii="Syntax" w:eastAsia="MS ??" w:hAnsi="Syntax" w:cs="Syntax"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22032E1"/>
    <w:multiLevelType w:val="multilevel"/>
    <w:tmpl w:val="5CBAB5C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38432A66"/>
    <w:multiLevelType w:val="hybridMultilevel"/>
    <w:tmpl w:val="7366A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B404FD9"/>
    <w:multiLevelType w:val="hybridMultilevel"/>
    <w:tmpl w:val="DDC8FA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43DD2CEE"/>
    <w:multiLevelType w:val="multilevel"/>
    <w:tmpl w:val="D99CD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86F0EE5"/>
    <w:multiLevelType w:val="hybridMultilevel"/>
    <w:tmpl w:val="129EA27C"/>
    <w:lvl w:ilvl="0" w:tplc="5B16EEC2">
      <w:numFmt w:val="bullet"/>
      <w:lvlText w:val="•"/>
      <w:lvlJc w:val="left"/>
      <w:pPr>
        <w:ind w:left="1152" w:hanging="360"/>
      </w:pPr>
      <w:rPr>
        <w:rFonts w:ascii="Arial" w:eastAsiaTheme="minorHAnsi" w:hAnsi="Arial" w:cs="Aria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6">
    <w:nsid w:val="6A994B12"/>
    <w:multiLevelType w:val="hybridMultilevel"/>
    <w:tmpl w:val="8D92C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
  </w:num>
  <w:num w:numId="4">
    <w:abstractNumId w:val="3"/>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F33"/>
    <w:rsid w:val="000156F9"/>
    <w:rsid w:val="000E4F64"/>
    <w:rsid w:val="0014345F"/>
    <w:rsid w:val="00164EC6"/>
    <w:rsid w:val="00187F9A"/>
    <w:rsid w:val="001E6E49"/>
    <w:rsid w:val="00236BA4"/>
    <w:rsid w:val="002A0F3C"/>
    <w:rsid w:val="002D47FF"/>
    <w:rsid w:val="002F0D1E"/>
    <w:rsid w:val="00306B31"/>
    <w:rsid w:val="003A739F"/>
    <w:rsid w:val="003F5876"/>
    <w:rsid w:val="00457EFE"/>
    <w:rsid w:val="00462817"/>
    <w:rsid w:val="0046323B"/>
    <w:rsid w:val="00497B3C"/>
    <w:rsid w:val="004A3C35"/>
    <w:rsid w:val="004F3CD9"/>
    <w:rsid w:val="00557341"/>
    <w:rsid w:val="005B3C9E"/>
    <w:rsid w:val="00642629"/>
    <w:rsid w:val="0067713E"/>
    <w:rsid w:val="006C3547"/>
    <w:rsid w:val="0072006F"/>
    <w:rsid w:val="00725E75"/>
    <w:rsid w:val="007326D4"/>
    <w:rsid w:val="007762E3"/>
    <w:rsid w:val="00777A04"/>
    <w:rsid w:val="007B5FA6"/>
    <w:rsid w:val="00883E1C"/>
    <w:rsid w:val="00897756"/>
    <w:rsid w:val="008E28AB"/>
    <w:rsid w:val="00907D37"/>
    <w:rsid w:val="00910ACF"/>
    <w:rsid w:val="00965EDE"/>
    <w:rsid w:val="00996777"/>
    <w:rsid w:val="009A6008"/>
    <w:rsid w:val="009C2FF6"/>
    <w:rsid w:val="009C3739"/>
    <w:rsid w:val="009F0C2D"/>
    <w:rsid w:val="00A1036D"/>
    <w:rsid w:val="00A52DFC"/>
    <w:rsid w:val="00AB7C86"/>
    <w:rsid w:val="00AC71C6"/>
    <w:rsid w:val="00AD7B5C"/>
    <w:rsid w:val="00B74691"/>
    <w:rsid w:val="00BA0388"/>
    <w:rsid w:val="00C70F44"/>
    <w:rsid w:val="00CD32CF"/>
    <w:rsid w:val="00CD351B"/>
    <w:rsid w:val="00CE0EE6"/>
    <w:rsid w:val="00CF4F91"/>
    <w:rsid w:val="00D2088C"/>
    <w:rsid w:val="00D64A73"/>
    <w:rsid w:val="00D77FA7"/>
    <w:rsid w:val="00DA61CC"/>
    <w:rsid w:val="00E2679C"/>
    <w:rsid w:val="00E65215"/>
    <w:rsid w:val="00EF61EE"/>
    <w:rsid w:val="00F3470A"/>
    <w:rsid w:val="00F615E8"/>
    <w:rsid w:val="00F9360F"/>
    <w:rsid w:val="00F94F33"/>
    <w:rsid w:val="00FA0913"/>
    <w:rsid w:val="00FA7015"/>
    <w:rsid w:val="00FC496C"/>
    <w:rsid w:val="00FD0677"/>
    <w:rsid w:val="00FF56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4F33"/>
    <w:rPr>
      <w:color w:val="0000FF" w:themeColor="hyperlink"/>
      <w:u w:val="single"/>
    </w:rPr>
  </w:style>
  <w:style w:type="paragraph" w:styleId="ListParagraph">
    <w:name w:val="List Paragraph"/>
    <w:basedOn w:val="Normal"/>
    <w:link w:val="ListParagraphChar"/>
    <w:uiPriority w:val="34"/>
    <w:qFormat/>
    <w:rsid w:val="00AB7C86"/>
    <w:pPr>
      <w:ind w:left="720"/>
      <w:contextualSpacing/>
    </w:pPr>
  </w:style>
  <w:style w:type="character" w:styleId="CommentReference">
    <w:name w:val="annotation reference"/>
    <w:basedOn w:val="DefaultParagraphFont"/>
    <w:uiPriority w:val="99"/>
    <w:semiHidden/>
    <w:unhideWhenUsed/>
    <w:rsid w:val="0072006F"/>
    <w:rPr>
      <w:sz w:val="16"/>
      <w:szCs w:val="16"/>
    </w:rPr>
  </w:style>
  <w:style w:type="paragraph" w:styleId="CommentText">
    <w:name w:val="annotation text"/>
    <w:basedOn w:val="Normal"/>
    <w:link w:val="CommentTextChar"/>
    <w:uiPriority w:val="99"/>
    <w:semiHidden/>
    <w:unhideWhenUsed/>
    <w:rsid w:val="0072006F"/>
    <w:pPr>
      <w:spacing w:line="240" w:lineRule="auto"/>
    </w:pPr>
    <w:rPr>
      <w:sz w:val="20"/>
      <w:szCs w:val="20"/>
    </w:rPr>
  </w:style>
  <w:style w:type="character" w:customStyle="1" w:styleId="CommentTextChar">
    <w:name w:val="Comment Text Char"/>
    <w:basedOn w:val="DefaultParagraphFont"/>
    <w:link w:val="CommentText"/>
    <w:uiPriority w:val="99"/>
    <w:semiHidden/>
    <w:rsid w:val="0072006F"/>
    <w:rPr>
      <w:sz w:val="20"/>
      <w:szCs w:val="20"/>
    </w:rPr>
  </w:style>
  <w:style w:type="paragraph" w:styleId="CommentSubject">
    <w:name w:val="annotation subject"/>
    <w:basedOn w:val="CommentText"/>
    <w:next w:val="CommentText"/>
    <w:link w:val="CommentSubjectChar"/>
    <w:uiPriority w:val="99"/>
    <w:semiHidden/>
    <w:unhideWhenUsed/>
    <w:rsid w:val="0072006F"/>
    <w:rPr>
      <w:b/>
      <w:bCs/>
    </w:rPr>
  </w:style>
  <w:style w:type="character" w:customStyle="1" w:styleId="CommentSubjectChar">
    <w:name w:val="Comment Subject Char"/>
    <w:basedOn w:val="CommentTextChar"/>
    <w:link w:val="CommentSubject"/>
    <w:uiPriority w:val="99"/>
    <w:semiHidden/>
    <w:rsid w:val="0072006F"/>
    <w:rPr>
      <w:b/>
      <w:bCs/>
      <w:sz w:val="20"/>
      <w:szCs w:val="20"/>
    </w:rPr>
  </w:style>
  <w:style w:type="paragraph" w:styleId="BalloonText">
    <w:name w:val="Balloon Text"/>
    <w:basedOn w:val="Normal"/>
    <w:link w:val="BalloonTextChar"/>
    <w:uiPriority w:val="99"/>
    <w:semiHidden/>
    <w:unhideWhenUsed/>
    <w:rsid w:val="0072006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06F"/>
    <w:rPr>
      <w:rFonts w:ascii="Tahoma" w:hAnsi="Tahoma" w:cs="Tahoma"/>
      <w:sz w:val="16"/>
      <w:szCs w:val="16"/>
    </w:rPr>
  </w:style>
  <w:style w:type="character" w:customStyle="1" w:styleId="ListParagraphChar">
    <w:name w:val="List Paragraph Char"/>
    <w:link w:val="ListParagraph"/>
    <w:uiPriority w:val="34"/>
    <w:locked/>
    <w:rsid w:val="00FA0913"/>
  </w:style>
  <w:style w:type="character" w:styleId="FollowedHyperlink">
    <w:name w:val="FollowedHyperlink"/>
    <w:basedOn w:val="DefaultParagraphFont"/>
    <w:uiPriority w:val="99"/>
    <w:semiHidden/>
    <w:unhideWhenUsed/>
    <w:rsid w:val="003F587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4F33"/>
    <w:rPr>
      <w:color w:val="0000FF" w:themeColor="hyperlink"/>
      <w:u w:val="single"/>
    </w:rPr>
  </w:style>
  <w:style w:type="paragraph" w:styleId="ListParagraph">
    <w:name w:val="List Paragraph"/>
    <w:basedOn w:val="Normal"/>
    <w:link w:val="ListParagraphChar"/>
    <w:uiPriority w:val="34"/>
    <w:qFormat/>
    <w:rsid w:val="00AB7C86"/>
    <w:pPr>
      <w:ind w:left="720"/>
      <w:contextualSpacing/>
    </w:pPr>
  </w:style>
  <w:style w:type="character" w:styleId="CommentReference">
    <w:name w:val="annotation reference"/>
    <w:basedOn w:val="DefaultParagraphFont"/>
    <w:uiPriority w:val="99"/>
    <w:semiHidden/>
    <w:unhideWhenUsed/>
    <w:rsid w:val="0072006F"/>
    <w:rPr>
      <w:sz w:val="16"/>
      <w:szCs w:val="16"/>
    </w:rPr>
  </w:style>
  <w:style w:type="paragraph" w:styleId="CommentText">
    <w:name w:val="annotation text"/>
    <w:basedOn w:val="Normal"/>
    <w:link w:val="CommentTextChar"/>
    <w:uiPriority w:val="99"/>
    <w:semiHidden/>
    <w:unhideWhenUsed/>
    <w:rsid w:val="0072006F"/>
    <w:pPr>
      <w:spacing w:line="240" w:lineRule="auto"/>
    </w:pPr>
    <w:rPr>
      <w:sz w:val="20"/>
      <w:szCs w:val="20"/>
    </w:rPr>
  </w:style>
  <w:style w:type="character" w:customStyle="1" w:styleId="CommentTextChar">
    <w:name w:val="Comment Text Char"/>
    <w:basedOn w:val="DefaultParagraphFont"/>
    <w:link w:val="CommentText"/>
    <w:uiPriority w:val="99"/>
    <w:semiHidden/>
    <w:rsid w:val="0072006F"/>
    <w:rPr>
      <w:sz w:val="20"/>
      <w:szCs w:val="20"/>
    </w:rPr>
  </w:style>
  <w:style w:type="paragraph" w:styleId="CommentSubject">
    <w:name w:val="annotation subject"/>
    <w:basedOn w:val="CommentText"/>
    <w:next w:val="CommentText"/>
    <w:link w:val="CommentSubjectChar"/>
    <w:uiPriority w:val="99"/>
    <w:semiHidden/>
    <w:unhideWhenUsed/>
    <w:rsid w:val="0072006F"/>
    <w:rPr>
      <w:b/>
      <w:bCs/>
    </w:rPr>
  </w:style>
  <w:style w:type="character" w:customStyle="1" w:styleId="CommentSubjectChar">
    <w:name w:val="Comment Subject Char"/>
    <w:basedOn w:val="CommentTextChar"/>
    <w:link w:val="CommentSubject"/>
    <w:uiPriority w:val="99"/>
    <w:semiHidden/>
    <w:rsid w:val="0072006F"/>
    <w:rPr>
      <w:b/>
      <w:bCs/>
      <w:sz w:val="20"/>
      <w:szCs w:val="20"/>
    </w:rPr>
  </w:style>
  <w:style w:type="paragraph" w:styleId="BalloonText">
    <w:name w:val="Balloon Text"/>
    <w:basedOn w:val="Normal"/>
    <w:link w:val="BalloonTextChar"/>
    <w:uiPriority w:val="99"/>
    <w:semiHidden/>
    <w:unhideWhenUsed/>
    <w:rsid w:val="0072006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06F"/>
    <w:rPr>
      <w:rFonts w:ascii="Tahoma" w:hAnsi="Tahoma" w:cs="Tahoma"/>
      <w:sz w:val="16"/>
      <w:szCs w:val="16"/>
    </w:rPr>
  </w:style>
  <w:style w:type="character" w:customStyle="1" w:styleId="ListParagraphChar">
    <w:name w:val="List Paragraph Char"/>
    <w:link w:val="ListParagraph"/>
    <w:uiPriority w:val="34"/>
    <w:locked/>
    <w:rsid w:val="00FA0913"/>
  </w:style>
  <w:style w:type="character" w:styleId="FollowedHyperlink">
    <w:name w:val="FollowedHyperlink"/>
    <w:basedOn w:val="DefaultParagraphFont"/>
    <w:uiPriority w:val="99"/>
    <w:semiHidden/>
    <w:unhideWhenUsed/>
    <w:rsid w:val="003F587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5699509">
      <w:bodyDiv w:val="1"/>
      <w:marLeft w:val="0"/>
      <w:marRight w:val="0"/>
      <w:marTop w:val="0"/>
      <w:marBottom w:val="0"/>
      <w:divBdr>
        <w:top w:val="none" w:sz="0" w:space="0" w:color="auto"/>
        <w:left w:val="none" w:sz="0" w:space="0" w:color="auto"/>
        <w:bottom w:val="none" w:sz="0" w:space="0" w:color="auto"/>
        <w:right w:val="none" w:sz="0" w:space="0" w:color="auto"/>
      </w:divBdr>
      <w:divsChild>
        <w:div w:id="1703895859">
          <w:marLeft w:val="0"/>
          <w:marRight w:val="0"/>
          <w:marTop w:val="0"/>
          <w:marBottom w:val="0"/>
          <w:divBdr>
            <w:top w:val="none" w:sz="0" w:space="0" w:color="auto"/>
            <w:left w:val="none" w:sz="0" w:space="0" w:color="auto"/>
            <w:bottom w:val="none" w:sz="0" w:space="0" w:color="auto"/>
            <w:right w:val="none" w:sz="0" w:space="0" w:color="auto"/>
          </w:divBdr>
          <w:divsChild>
            <w:div w:id="1908342843">
              <w:marLeft w:val="0"/>
              <w:marRight w:val="0"/>
              <w:marTop w:val="0"/>
              <w:marBottom w:val="0"/>
              <w:divBdr>
                <w:top w:val="none" w:sz="0" w:space="0" w:color="auto"/>
                <w:left w:val="none" w:sz="0" w:space="0" w:color="auto"/>
                <w:bottom w:val="none" w:sz="0" w:space="0" w:color="auto"/>
                <w:right w:val="none" w:sz="0" w:space="0" w:color="auto"/>
              </w:divBdr>
              <w:divsChild>
                <w:div w:id="1742604852">
                  <w:marLeft w:val="0"/>
                  <w:marRight w:val="0"/>
                  <w:marTop w:val="0"/>
                  <w:marBottom w:val="0"/>
                  <w:divBdr>
                    <w:top w:val="single" w:sz="6" w:space="0" w:color="FFFFFF"/>
                    <w:left w:val="none" w:sz="0" w:space="0" w:color="auto"/>
                    <w:bottom w:val="none" w:sz="0" w:space="0" w:color="auto"/>
                    <w:right w:val="none" w:sz="0" w:space="0" w:color="auto"/>
                  </w:divBdr>
                  <w:divsChild>
                    <w:div w:id="1209605902">
                      <w:marLeft w:val="0"/>
                      <w:marRight w:val="0"/>
                      <w:marTop w:val="0"/>
                      <w:marBottom w:val="0"/>
                      <w:divBdr>
                        <w:top w:val="none" w:sz="0" w:space="0" w:color="auto"/>
                        <w:left w:val="none" w:sz="0" w:space="0" w:color="auto"/>
                        <w:bottom w:val="none" w:sz="0" w:space="0" w:color="auto"/>
                        <w:right w:val="none" w:sz="0" w:space="0" w:color="auto"/>
                      </w:divBdr>
                      <w:divsChild>
                        <w:div w:id="1698580003">
                          <w:marLeft w:val="0"/>
                          <w:marRight w:val="0"/>
                          <w:marTop w:val="0"/>
                          <w:marBottom w:val="0"/>
                          <w:divBdr>
                            <w:top w:val="none" w:sz="0" w:space="0" w:color="auto"/>
                            <w:left w:val="none" w:sz="0" w:space="0" w:color="auto"/>
                            <w:bottom w:val="none" w:sz="0" w:space="0" w:color="auto"/>
                            <w:right w:val="none" w:sz="0" w:space="0" w:color="auto"/>
                          </w:divBdr>
                          <w:divsChild>
                            <w:div w:id="1506169514">
                              <w:marLeft w:val="0"/>
                              <w:marRight w:val="240"/>
                              <w:marTop w:val="384"/>
                              <w:marBottom w:val="240"/>
                              <w:divBdr>
                                <w:top w:val="none" w:sz="0" w:space="0" w:color="auto"/>
                                <w:left w:val="none" w:sz="0" w:space="0" w:color="auto"/>
                                <w:bottom w:val="none" w:sz="0" w:space="0" w:color="auto"/>
                                <w:right w:val="none" w:sz="0" w:space="0" w:color="auto"/>
                              </w:divBdr>
                              <w:divsChild>
                                <w:div w:id="1291980056">
                                  <w:marLeft w:val="0"/>
                                  <w:marRight w:val="0"/>
                                  <w:marTop w:val="0"/>
                                  <w:marBottom w:val="0"/>
                                  <w:divBdr>
                                    <w:top w:val="none" w:sz="0" w:space="0" w:color="auto"/>
                                    <w:left w:val="none" w:sz="0" w:space="0" w:color="auto"/>
                                    <w:bottom w:val="none" w:sz="0" w:space="0" w:color="auto"/>
                                    <w:right w:val="none" w:sz="0" w:space="0" w:color="auto"/>
                                  </w:divBdr>
                                  <w:divsChild>
                                    <w:div w:id="927691112">
                                      <w:marLeft w:val="0"/>
                                      <w:marRight w:val="0"/>
                                      <w:marTop w:val="240"/>
                                      <w:marBottom w:val="240"/>
                                      <w:divBdr>
                                        <w:top w:val="none" w:sz="0" w:space="0" w:color="auto"/>
                                        <w:left w:val="none" w:sz="0" w:space="0" w:color="auto"/>
                                        <w:bottom w:val="none" w:sz="0" w:space="0" w:color="auto"/>
                                        <w:right w:val="none" w:sz="0" w:space="0" w:color="auto"/>
                                      </w:divBdr>
                                    </w:div>
                                    <w:div w:id="1518689275">
                                      <w:marLeft w:val="0"/>
                                      <w:marRight w:val="0"/>
                                      <w:marTop w:val="240"/>
                                      <w:marBottom w:val="240"/>
                                      <w:divBdr>
                                        <w:top w:val="none" w:sz="0" w:space="0" w:color="auto"/>
                                        <w:left w:val="none" w:sz="0" w:space="0" w:color="auto"/>
                                        <w:bottom w:val="none" w:sz="0" w:space="0" w:color="auto"/>
                                        <w:right w:val="none" w:sz="0" w:space="0" w:color="auto"/>
                                      </w:divBdr>
                                    </w:div>
                                    <w:div w:id="1556430549">
                                      <w:marLeft w:val="0"/>
                                      <w:marRight w:val="0"/>
                                      <w:marTop w:val="240"/>
                                      <w:marBottom w:val="240"/>
                                      <w:divBdr>
                                        <w:top w:val="none" w:sz="0" w:space="0" w:color="auto"/>
                                        <w:left w:val="none" w:sz="0" w:space="0" w:color="auto"/>
                                        <w:bottom w:val="none" w:sz="0" w:space="0" w:color="auto"/>
                                        <w:right w:val="none" w:sz="0" w:space="0" w:color="auto"/>
                                      </w:divBdr>
                                    </w:div>
                                    <w:div w:id="2076971891">
                                      <w:marLeft w:val="0"/>
                                      <w:marRight w:val="0"/>
                                      <w:marTop w:val="240"/>
                                      <w:marBottom w:val="240"/>
                                      <w:divBdr>
                                        <w:top w:val="none" w:sz="0" w:space="0" w:color="auto"/>
                                        <w:left w:val="none" w:sz="0" w:space="0" w:color="auto"/>
                                        <w:bottom w:val="none" w:sz="0" w:space="0" w:color="auto"/>
                                        <w:right w:val="none" w:sz="0" w:space="0" w:color="auto"/>
                                      </w:divBdr>
                                    </w:div>
                                    <w:div w:id="90113602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8556966">
      <w:bodyDiv w:val="1"/>
      <w:marLeft w:val="0"/>
      <w:marRight w:val="0"/>
      <w:marTop w:val="0"/>
      <w:marBottom w:val="0"/>
      <w:divBdr>
        <w:top w:val="none" w:sz="0" w:space="0" w:color="auto"/>
        <w:left w:val="none" w:sz="0" w:space="0" w:color="auto"/>
        <w:bottom w:val="none" w:sz="0" w:space="0" w:color="auto"/>
        <w:right w:val="none" w:sz="0" w:space="0" w:color="auto"/>
      </w:divBdr>
      <w:divsChild>
        <w:div w:id="1205413530">
          <w:marLeft w:val="0"/>
          <w:marRight w:val="0"/>
          <w:marTop w:val="0"/>
          <w:marBottom w:val="0"/>
          <w:divBdr>
            <w:top w:val="none" w:sz="0" w:space="0" w:color="auto"/>
            <w:left w:val="none" w:sz="0" w:space="0" w:color="auto"/>
            <w:bottom w:val="none" w:sz="0" w:space="0" w:color="auto"/>
            <w:right w:val="none" w:sz="0" w:space="0" w:color="auto"/>
          </w:divBdr>
          <w:divsChild>
            <w:div w:id="416050609">
              <w:marLeft w:val="0"/>
              <w:marRight w:val="0"/>
              <w:marTop w:val="0"/>
              <w:marBottom w:val="0"/>
              <w:divBdr>
                <w:top w:val="none" w:sz="0" w:space="0" w:color="auto"/>
                <w:left w:val="none" w:sz="0" w:space="0" w:color="auto"/>
                <w:bottom w:val="none" w:sz="0" w:space="0" w:color="auto"/>
                <w:right w:val="none" w:sz="0" w:space="0" w:color="auto"/>
              </w:divBdr>
              <w:divsChild>
                <w:div w:id="1797336675">
                  <w:marLeft w:val="0"/>
                  <w:marRight w:val="0"/>
                  <w:marTop w:val="0"/>
                  <w:marBottom w:val="0"/>
                  <w:divBdr>
                    <w:top w:val="single" w:sz="6" w:space="0" w:color="FFFFFF"/>
                    <w:left w:val="none" w:sz="0" w:space="0" w:color="auto"/>
                    <w:bottom w:val="none" w:sz="0" w:space="0" w:color="auto"/>
                    <w:right w:val="none" w:sz="0" w:space="0" w:color="auto"/>
                  </w:divBdr>
                  <w:divsChild>
                    <w:div w:id="58942687">
                      <w:marLeft w:val="0"/>
                      <w:marRight w:val="0"/>
                      <w:marTop w:val="0"/>
                      <w:marBottom w:val="0"/>
                      <w:divBdr>
                        <w:top w:val="none" w:sz="0" w:space="0" w:color="auto"/>
                        <w:left w:val="none" w:sz="0" w:space="0" w:color="auto"/>
                        <w:bottom w:val="none" w:sz="0" w:space="0" w:color="auto"/>
                        <w:right w:val="none" w:sz="0" w:space="0" w:color="auto"/>
                      </w:divBdr>
                      <w:divsChild>
                        <w:div w:id="870727694">
                          <w:marLeft w:val="0"/>
                          <w:marRight w:val="0"/>
                          <w:marTop w:val="0"/>
                          <w:marBottom w:val="0"/>
                          <w:divBdr>
                            <w:top w:val="none" w:sz="0" w:space="0" w:color="auto"/>
                            <w:left w:val="none" w:sz="0" w:space="0" w:color="auto"/>
                            <w:bottom w:val="none" w:sz="0" w:space="0" w:color="auto"/>
                            <w:right w:val="none" w:sz="0" w:space="0" w:color="auto"/>
                          </w:divBdr>
                          <w:divsChild>
                            <w:div w:id="151023812">
                              <w:marLeft w:val="0"/>
                              <w:marRight w:val="240"/>
                              <w:marTop w:val="384"/>
                              <w:marBottom w:val="240"/>
                              <w:divBdr>
                                <w:top w:val="none" w:sz="0" w:space="0" w:color="auto"/>
                                <w:left w:val="none" w:sz="0" w:space="0" w:color="auto"/>
                                <w:bottom w:val="none" w:sz="0" w:space="0" w:color="auto"/>
                                <w:right w:val="none" w:sz="0" w:space="0" w:color="auto"/>
                              </w:divBdr>
                              <w:divsChild>
                                <w:div w:id="820969672">
                                  <w:marLeft w:val="0"/>
                                  <w:marRight w:val="0"/>
                                  <w:marTop w:val="0"/>
                                  <w:marBottom w:val="0"/>
                                  <w:divBdr>
                                    <w:top w:val="none" w:sz="0" w:space="0" w:color="auto"/>
                                    <w:left w:val="none" w:sz="0" w:space="0" w:color="auto"/>
                                    <w:bottom w:val="none" w:sz="0" w:space="0" w:color="auto"/>
                                    <w:right w:val="none" w:sz="0" w:space="0" w:color="auto"/>
                                  </w:divBdr>
                                  <w:divsChild>
                                    <w:div w:id="566838481">
                                      <w:marLeft w:val="0"/>
                                      <w:marRight w:val="0"/>
                                      <w:marTop w:val="240"/>
                                      <w:marBottom w:val="240"/>
                                      <w:divBdr>
                                        <w:top w:val="none" w:sz="0" w:space="0" w:color="auto"/>
                                        <w:left w:val="none" w:sz="0" w:space="0" w:color="auto"/>
                                        <w:bottom w:val="none" w:sz="0" w:space="0" w:color="auto"/>
                                        <w:right w:val="none" w:sz="0" w:space="0" w:color="auto"/>
                                      </w:divBdr>
                                    </w:div>
                                    <w:div w:id="587153064">
                                      <w:marLeft w:val="0"/>
                                      <w:marRight w:val="0"/>
                                      <w:marTop w:val="240"/>
                                      <w:marBottom w:val="240"/>
                                      <w:divBdr>
                                        <w:top w:val="none" w:sz="0" w:space="0" w:color="auto"/>
                                        <w:left w:val="none" w:sz="0" w:space="0" w:color="auto"/>
                                        <w:bottom w:val="none" w:sz="0" w:space="0" w:color="auto"/>
                                        <w:right w:val="none" w:sz="0" w:space="0" w:color="auto"/>
                                      </w:divBdr>
                                    </w:div>
                                    <w:div w:id="1177962578">
                                      <w:marLeft w:val="0"/>
                                      <w:marRight w:val="0"/>
                                      <w:marTop w:val="240"/>
                                      <w:marBottom w:val="240"/>
                                      <w:divBdr>
                                        <w:top w:val="none" w:sz="0" w:space="0" w:color="auto"/>
                                        <w:left w:val="none" w:sz="0" w:space="0" w:color="auto"/>
                                        <w:bottom w:val="none" w:sz="0" w:space="0" w:color="auto"/>
                                        <w:right w:val="none" w:sz="0" w:space="0" w:color="auto"/>
                                      </w:divBdr>
                                    </w:div>
                                    <w:div w:id="108862037">
                                      <w:marLeft w:val="0"/>
                                      <w:marRight w:val="0"/>
                                      <w:marTop w:val="240"/>
                                      <w:marBottom w:val="240"/>
                                      <w:divBdr>
                                        <w:top w:val="none" w:sz="0" w:space="0" w:color="auto"/>
                                        <w:left w:val="none" w:sz="0" w:space="0" w:color="auto"/>
                                        <w:bottom w:val="none" w:sz="0" w:space="0" w:color="auto"/>
                                        <w:right w:val="none" w:sz="0" w:space="0" w:color="auto"/>
                                      </w:divBdr>
                                    </w:div>
                                    <w:div w:id="122244314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tendhost.co.uk/scwcsu/aspx/Home%2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925</Words>
  <Characters>5278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Griffiths Tom</dc:creator>
  <cp:lastModifiedBy>Preece Ashley (South West Commissioning Support)</cp:lastModifiedBy>
  <cp:revision>2</cp:revision>
  <cp:lastPrinted>2018-09-26T09:42:00Z</cp:lastPrinted>
  <dcterms:created xsi:type="dcterms:W3CDTF">2019-01-17T15:12:00Z</dcterms:created>
  <dcterms:modified xsi:type="dcterms:W3CDTF">2019-01-17T15:12:00Z</dcterms:modified>
</cp:coreProperties>
</file>