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42470DCB" w:rsidR="001F0B62" w:rsidRPr="005A0295" w:rsidRDefault="005A0295" w:rsidP="005A0295">
            <w:pPr>
              <w:spacing w:before="240" w:after="240" w:line="360" w:lineRule="auto"/>
              <w:contextualSpacing/>
              <w:jc w:val="both"/>
              <w:rPr>
                <w:rFonts w:cs="Arial"/>
              </w:rPr>
            </w:pPr>
            <w:r w:rsidRPr="005A0295">
              <w:rPr>
                <w:rFonts w:cs="Arial"/>
              </w:rPr>
              <w:t xml:space="preserve">QUALITY – METHODOLOGY </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1061568" w:rsidR="001F0B62" w:rsidRPr="005A0295" w:rsidRDefault="005A0295" w:rsidP="005A0295">
            <w:pPr>
              <w:spacing w:before="240" w:after="240" w:line="360" w:lineRule="auto"/>
              <w:contextualSpacing/>
              <w:jc w:val="both"/>
              <w:rPr>
                <w:rFonts w:cs="Arial"/>
              </w:rPr>
            </w:pPr>
            <w:r w:rsidRPr="005A0295">
              <w:rPr>
                <w:rFonts w:cs="Arial"/>
              </w:rPr>
              <w:t xml:space="preserve">QUALITY – UNDERSTANDING THE REQUIREMENT </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4AD16F4A" w:rsidR="001F0B62" w:rsidRPr="005A0295" w:rsidRDefault="005A0295" w:rsidP="005A0295">
            <w:pPr>
              <w:spacing w:before="240" w:after="240" w:line="360" w:lineRule="auto"/>
              <w:contextualSpacing/>
              <w:jc w:val="both"/>
              <w:rPr>
                <w:rFonts w:cs="Arial"/>
              </w:rPr>
            </w:pPr>
            <w:r w:rsidRPr="005A0295">
              <w:rPr>
                <w:rFonts w:cs="Arial"/>
              </w:rPr>
              <w:t>QUALITY – PROGRAMME DELIVERY SUPPORT AND ACCOUNT MANAGEMENT</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r w:rsidR="005A0295" w14:paraId="6D799E0A" w14:textId="77777777" w:rsidTr="00714E0F">
        <w:tc>
          <w:tcPr>
            <w:tcW w:w="2961" w:type="dxa"/>
          </w:tcPr>
          <w:p w14:paraId="426F2B39" w14:textId="5F72116D" w:rsidR="005A0295" w:rsidRDefault="005A0295" w:rsidP="001F0B62">
            <w:pPr>
              <w:spacing w:before="240" w:after="240" w:line="360" w:lineRule="auto"/>
              <w:contextualSpacing/>
              <w:jc w:val="center"/>
              <w:rPr>
                <w:rFonts w:cs="Arial"/>
              </w:rPr>
            </w:pPr>
            <w:r>
              <w:rPr>
                <w:rFonts w:cs="Arial"/>
              </w:rPr>
              <w:t>8</w:t>
            </w:r>
          </w:p>
        </w:tc>
        <w:tc>
          <w:tcPr>
            <w:tcW w:w="5669" w:type="dxa"/>
          </w:tcPr>
          <w:p w14:paraId="3DD9F430" w14:textId="367C73C5" w:rsidR="005A0295" w:rsidRDefault="005A0295" w:rsidP="00E7197A">
            <w:pPr>
              <w:spacing w:before="240" w:after="240" w:line="360" w:lineRule="auto"/>
              <w:contextualSpacing/>
              <w:jc w:val="both"/>
              <w:rPr>
                <w:rFonts w:cs="Arial"/>
              </w:rPr>
            </w:pPr>
            <w:r>
              <w:rPr>
                <w:rFonts w:cs="Arial"/>
              </w:rPr>
              <w:t>PRESENTATIONS</w:t>
            </w:r>
          </w:p>
        </w:tc>
      </w:tr>
    </w:tbl>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1F63AB26" w14:textId="7A57907C" w:rsidR="005A0295" w:rsidRPr="005A0295" w:rsidRDefault="005270E8" w:rsidP="005A0295">
      <w:pPr>
        <w:numPr>
          <w:ilvl w:val="2"/>
          <w:numId w:val="7"/>
        </w:numPr>
        <w:spacing w:before="100" w:beforeAutospacing="1" w:after="100" w:afterAutospacing="1" w:line="240" w:lineRule="auto"/>
        <w:ind w:left="1418" w:hanging="567"/>
        <w:contextualSpacing/>
        <w:jc w:val="both"/>
        <w:rPr>
          <w:rFonts w:cs="Arial"/>
        </w:rPr>
      </w:pPr>
      <w:r>
        <w:rPr>
          <w:rFonts w:cs="Arial"/>
        </w:rPr>
        <w:lastRenderedPageBreak/>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Tenders that are scored and require evaluation will be evaluated in accordance </w:t>
      </w:r>
      <w:bookmarkStart w:id="0" w:name="_GoBack"/>
      <w:bookmarkEnd w:id="0"/>
      <w:r w:rsidRPr="00953729">
        <w:rPr>
          <w:rFonts w:cs="Arial"/>
        </w:rPr>
        <w:t>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79D8AC24"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5A0295" w:rsidRPr="005A0295">
        <w:rPr>
          <w:rFonts w:cs="Arial"/>
        </w:rPr>
        <w:t xml:space="preserve">Price Schedule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5B6D61D0" w:rsidR="00283A43" w:rsidRPr="005A0295" w:rsidRDefault="00935ADB" w:rsidP="00E7197A">
      <w:pPr>
        <w:numPr>
          <w:ilvl w:val="2"/>
          <w:numId w:val="7"/>
        </w:numPr>
        <w:spacing w:before="120" w:after="480" w:line="240" w:lineRule="auto"/>
        <w:ind w:left="1418" w:hanging="567"/>
        <w:contextualSpacing/>
        <w:jc w:val="both"/>
        <w:rPr>
          <w:rFonts w:cs="Arial"/>
        </w:rPr>
      </w:pPr>
      <w:r w:rsidRPr="005A0295">
        <w:rPr>
          <w:rFonts w:cs="Arial"/>
        </w:rPr>
        <w:t>Potential Providers’</w:t>
      </w:r>
      <w:r w:rsidR="00283A43" w:rsidRPr="005A0295">
        <w:rPr>
          <w:rFonts w:cs="Arial"/>
        </w:rPr>
        <w:t xml:space="preserve"> are required to </w:t>
      </w:r>
      <w:r w:rsidR="001F0B62" w:rsidRPr="005A0295">
        <w:rPr>
          <w:rFonts w:cs="Arial"/>
        </w:rPr>
        <w:t>provide a completed pricing schedule against the ‘Price’ Questionnaire</w:t>
      </w:r>
      <w:r w:rsidR="005A0295" w:rsidRPr="005A0295">
        <w:rPr>
          <w:rFonts w:cs="Arial"/>
        </w:rPr>
        <w:t xml:space="preserve"> </w:t>
      </w:r>
      <w:r w:rsidR="00283A43" w:rsidRPr="005A0295">
        <w:rPr>
          <w:rFonts w:cs="Arial"/>
        </w:rPr>
        <w:t>within the e-Sourcing event</w:t>
      </w:r>
      <w:r w:rsidR="00E7197A" w:rsidRPr="005A0295">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7EEC3636"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w:t>
      </w:r>
      <w:r w:rsidRPr="005A0295">
        <w:rPr>
          <w:rFonts w:cs="Arial"/>
        </w:rPr>
        <w:t xml:space="preserve">price </w:t>
      </w:r>
      <w:r w:rsidR="005A0295" w:rsidRPr="005A0295">
        <w:rPr>
          <w:rFonts w:cs="Arial"/>
        </w:rPr>
        <w:t xml:space="preserve">for </w:t>
      </w:r>
      <w:r w:rsidR="00AB1FEC" w:rsidRPr="005A0295">
        <w:rPr>
          <w:rFonts w:cs="Arial"/>
        </w:rPr>
        <w:t>the 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67B82B09" w14:textId="29AC08AB" w:rsidR="00AB1FEC" w:rsidRDefault="00AB1FEC" w:rsidP="00C1404E">
      <w:pPr>
        <w:spacing w:before="120" w:after="480" w:line="240" w:lineRule="auto"/>
        <w:contextualSpacing/>
        <w:jc w:val="both"/>
        <w:rPr>
          <w:rFonts w:cs="Arial"/>
        </w:rPr>
      </w:pPr>
    </w:p>
    <w:p w14:paraId="794FE7C8" w14:textId="0803D8D3" w:rsidR="005012CA" w:rsidRPr="00C1404E" w:rsidRDefault="00C1404E" w:rsidP="005012CA">
      <w:pPr>
        <w:numPr>
          <w:ilvl w:val="1"/>
          <w:numId w:val="7"/>
        </w:numPr>
        <w:jc w:val="both"/>
        <w:rPr>
          <w:rFonts w:cs="Arial"/>
          <w:i/>
        </w:rPr>
      </w:pPr>
      <w:r w:rsidRPr="00C1404E">
        <w:rPr>
          <w:rFonts w:cs="Arial"/>
        </w:rPr>
        <w:t>Final score</w:t>
      </w:r>
    </w:p>
    <w:p w14:paraId="67EE8FEC" w14:textId="0CB9E24B" w:rsidR="005012CA" w:rsidRDefault="005012CA" w:rsidP="005012CA">
      <w:pPr>
        <w:pStyle w:val="ListParagraph"/>
        <w:numPr>
          <w:ilvl w:val="2"/>
          <w:numId w:val="7"/>
        </w:numPr>
        <w:ind w:left="1418" w:hanging="567"/>
        <w:jc w:val="both"/>
        <w:rPr>
          <w:rFonts w:eastAsia="Calibri" w:cs="Arial"/>
          <w:szCs w:val="22"/>
        </w:rPr>
      </w:pPr>
      <w:r w:rsidRPr="005012CA">
        <w:rPr>
          <w:rFonts w:eastAsia="Calibri" w:cs="Arial"/>
          <w:szCs w:val="22"/>
        </w:rPr>
        <w:t>The Quality Score achieved at stage one (1) will be added to the Price Score to determine a rank</w:t>
      </w:r>
      <w:r w:rsidR="00C1404E">
        <w:rPr>
          <w:rFonts w:eastAsia="Calibri" w:cs="Arial"/>
          <w:szCs w:val="22"/>
        </w:rPr>
        <w:t>ing for each Potential Provider</w:t>
      </w:r>
      <w:r w:rsidR="0037355B">
        <w:rPr>
          <w:rFonts w:eastAsia="Calibri" w:cs="Arial"/>
          <w:szCs w:val="22"/>
        </w:rPr>
        <w:t xml:space="preserve"> (“Stage One Score”)</w:t>
      </w:r>
    </w:p>
    <w:p w14:paraId="011018DA" w14:textId="6D999449" w:rsidR="00026A19" w:rsidRDefault="00026A19" w:rsidP="00882F16">
      <w:pPr>
        <w:pStyle w:val="ListParagraph"/>
        <w:numPr>
          <w:ilvl w:val="2"/>
          <w:numId w:val="7"/>
        </w:numPr>
        <w:ind w:left="1418" w:hanging="567"/>
        <w:jc w:val="both"/>
        <w:rPr>
          <w:rFonts w:eastAsia="Calibri" w:cs="Arial"/>
          <w:szCs w:val="22"/>
        </w:rPr>
      </w:pPr>
      <w:r>
        <w:rPr>
          <w:rFonts w:eastAsia="Calibri" w:cs="Arial"/>
          <w:szCs w:val="22"/>
        </w:rPr>
        <w:t xml:space="preserve">The 4 highest ranked Potential Providers, who achieve the minimum acceptable Quality Score and are within 10% of the first ranked Potential Provider at stage one (1) will be invited to participate in stage two (2). </w:t>
      </w:r>
    </w:p>
    <w:p w14:paraId="7EA97AF1" w14:textId="30DF4DFE" w:rsidR="00026A19" w:rsidRDefault="00026A19" w:rsidP="005012CA">
      <w:pPr>
        <w:numPr>
          <w:ilvl w:val="2"/>
          <w:numId w:val="7"/>
        </w:numPr>
        <w:ind w:left="1418" w:hanging="567"/>
        <w:jc w:val="both"/>
        <w:rPr>
          <w:rFonts w:cs="Arial"/>
        </w:rPr>
      </w:pPr>
      <w:r>
        <w:rPr>
          <w:rFonts w:cs="Arial"/>
        </w:rPr>
        <w:lastRenderedPageBreak/>
        <w:t xml:space="preserve">The Quality/Price Score at stage one (1) will be combined with the Quality Score at stage two (2) to determine the final score for each Potential Provider (“Final Score”). </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F30255B" w:rsidR="00B52099" w:rsidRPr="00625CDE" w:rsidRDefault="007F17C3"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38EE6657" w:rsidR="001005DC" w:rsidRPr="00625CDE" w:rsidRDefault="007F17C3"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37249A">
        <w:trPr>
          <w:trHeight w:val="454"/>
        </w:trPr>
        <w:tc>
          <w:tcPr>
            <w:tcW w:w="1384" w:type="dxa"/>
            <w:tcBorders>
              <w:bottom w:val="single" w:sz="4" w:space="0" w:color="auto"/>
            </w:tcBorders>
            <w:shd w:val="clear" w:color="auto" w:fill="auto"/>
            <w:vAlign w:val="center"/>
          </w:tcPr>
          <w:p w14:paraId="2A26F824" w14:textId="5A4D41D9" w:rsidR="00BC2C3D" w:rsidRPr="00625CDE" w:rsidRDefault="007F17C3"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4BC8487" w:rsidR="00BC2C3D" w:rsidRPr="00625CDE" w:rsidRDefault="00625CDE" w:rsidP="00625CDE">
            <w:pPr>
              <w:spacing w:before="60" w:after="60" w:line="240" w:lineRule="auto"/>
              <w:rPr>
                <w:rFonts w:cs="Arial"/>
              </w:rPr>
            </w:pPr>
            <w:r w:rsidRPr="00625CDE">
              <w:rPr>
                <w:color w:val="000000" w:themeColor="text1"/>
              </w:rPr>
              <w:t xml:space="preserve">Do you agree, without caveats or limitations, that in the event that you are </w:t>
            </w:r>
            <w:r w:rsidRPr="009A79CF">
              <w:rPr>
                <w:color w:val="000000" w:themeColor="text1"/>
              </w:rPr>
              <w:t>successful the Crown Commercial Service’s Terms and Conditions within App</w:t>
            </w:r>
            <w:r w:rsidR="009A79CF" w:rsidRPr="009A79CF">
              <w:rPr>
                <w:color w:val="000000" w:themeColor="text1"/>
              </w:rPr>
              <w:t>endix C, Draft Contract Document</w:t>
            </w:r>
            <w:r w:rsidRPr="009A79CF">
              <w:rPr>
                <w:color w:val="000000" w:themeColor="text1"/>
              </w:rPr>
              <w:t xml:space="preserve"> 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37249A">
        <w:trPr>
          <w:trHeight w:val="454"/>
        </w:trPr>
        <w:tc>
          <w:tcPr>
            <w:tcW w:w="1384" w:type="dxa"/>
            <w:tcBorders>
              <w:bottom w:val="single" w:sz="4" w:space="0" w:color="auto"/>
            </w:tcBorders>
            <w:shd w:val="clear" w:color="auto" w:fill="auto"/>
            <w:vAlign w:val="center"/>
          </w:tcPr>
          <w:p w14:paraId="5A60DBD4" w14:textId="20908960" w:rsidR="00930F24" w:rsidRPr="00625CDE" w:rsidRDefault="007F17C3" w:rsidP="00CA4DDC">
            <w:pPr>
              <w:spacing w:before="60" w:after="60" w:line="240" w:lineRule="auto"/>
              <w:jc w:val="center"/>
              <w:rPr>
                <w:rFonts w:cs="Arial"/>
                <w:color w:val="000000"/>
              </w:rPr>
            </w:pPr>
            <w:r>
              <w:rPr>
                <w:rFonts w:cs="Arial"/>
                <w:color w:val="000000"/>
              </w:rPr>
              <w:lastRenderedPageBreak/>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37249A" w:rsidRPr="00D46EA6" w14:paraId="602CD3A5" w14:textId="77777777" w:rsidTr="0037249A">
        <w:trPr>
          <w:trHeight w:val="454"/>
        </w:trPr>
        <w:tc>
          <w:tcPr>
            <w:tcW w:w="9606" w:type="dxa"/>
            <w:gridSpan w:val="4"/>
            <w:tcBorders>
              <w:top w:val="single" w:sz="4" w:space="0" w:color="auto"/>
              <w:left w:val="nil"/>
              <w:bottom w:val="nil"/>
              <w:right w:val="nil"/>
            </w:tcBorders>
            <w:shd w:val="clear" w:color="auto" w:fill="auto"/>
            <w:vAlign w:val="center"/>
          </w:tcPr>
          <w:p w14:paraId="4CD69C09" w14:textId="77777777" w:rsidR="0037249A" w:rsidRDefault="0037249A" w:rsidP="00CA4DDC">
            <w:pPr>
              <w:spacing w:before="60" w:after="60" w:line="240" w:lineRule="auto"/>
              <w:jc w:val="center"/>
              <w:rPr>
                <w:rFonts w:cs="Arial"/>
              </w:rPr>
            </w:pPr>
          </w:p>
        </w:tc>
      </w:tr>
      <w:tr w:rsidR="00BC2C3D" w:rsidRPr="00D46EA6" w14:paraId="1D0F68D7" w14:textId="77777777" w:rsidTr="0037249A">
        <w:trPr>
          <w:trHeight w:val="454"/>
        </w:trPr>
        <w:tc>
          <w:tcPr>
            <w:tcW w:w="8359" w:type="dxa"/>
            <w:gridSpan w:val="3"/>
            <w:tcBorders>
              <w:top w:val="nil"/>
            </w:tcBorders>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tcBorders>
              <w:top w:val="nil"/>
            </w:tcBorders>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7CBB667" w:rsidR="004F5DD4" w:rsidRPr="00147082" w:rsidRDefault="007F17C3"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2F51B6D1" w:rsidR="00BD1E75" w:rsidRPr="00147082" w:rsidRDefault="007F17C3"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76"/>
      </w:tblGrid>
      <w:tr w:rsidR="00BD1E75" w14:paraId="1740882B" w14:textId="77777777" w:rsidTr="00AA44B2">
        <w:trPr>
          <w:trHeight w:val="432"/>
        </w:trPr>
        <w:tc>
          <w:tcPr>
            <w:tcW w:w="960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AA44B2">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22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AA44B2">
        <w:tc>
          <w:tcPr>
            <w:tcW w:w="1384" w:type="dxa"/>
            <w:vAlign w:val="center"/>
          </w:tcPr>
          <w:p w14:paraId="7A7A6668" w14:textId="584A4533" w:rsidR="00BD1E75" w:rsidRDefault="007F17C3"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w:t>
            </w:r>
            <w:r>
              <w:lastRenderedPageBreak/>
              <w:t>Tender point of contract.</w:t>
            </w:r>
          </w:p>
        </w:tc>
        <w:tc>
          <w:tcPr>
            <w:tcW w:w="1276" w:type="dxa"/>
            <w:vAlign w:val="center"/>
          </w:tcPr>
          <w:p w14:paraId="5348F5CF" w14:textId="45885EC5" w:rsidR="00BD1E75" w:rsidRDefault="002275E1" w:rsidP="002275E1">
            <w:pPr>
              <w:jc w:val="center"/>
            </w:pPr>
            <w:r>
              <w:lastRenderedPageBreak/>
              <w:t>None</w:t>
            </w:r>
          </w:p>
        </w:tc>
        <w:tc>
          <w:tcPr>
            <w:tcW w:w="1276" w:type="dxa"/>
            <w:vAlign w:val="center"/>
          </w:tcPr>
          <w:p w14:paraId="310AE775" w14:textId="5D9E6A56" w:rsidR="00BD1E75" w:rsidRDefault="002275E1" w:rsidP="002275E1">
            <w:pPr>
              <w:jc w:val="center"/>
            </w:pPr>
            <w:r>
              <w:t>N/A</w:t>
            </w:r>
          </w:p>
        </w:tc>
      </w:tr>
      <w:tr w:rsidR="00FF05A6" w14:paraId="7A10D4D8" w14:textId="77777777" w:rsidTr="00AA44B2">
        <w:tc>
          <w:tcPr>
            <w:tcW w:w="1384" w:type="dxa"/>
            <w:vAlign w:val="center"/>
          </w:tcPr>
          <w:p w14:paraId="75BA2CD6" w14:textId="30E4E342" w:rsidR="00FF05A6" w:rsidRDefault="007F17C3" w:rsidP="002275E1">
            <w:pPr>
              <w:jc w:val="center"/>
            </w:pPr>
            <w:r>
              <w:lastRenderedPageBreak/>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4"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76" w:type="dxa"/>
            <w:vAlign w:val="center"/>
          </w:tcPr>
          <w:p w14:paraId="30E5C705" w14:textId="78B2CC5A" w:rsidR="00FF05A6" w:rsidRDefault="00737BFF" w:rsidP="002275E1">
            <w:pPr>
              <w:jc w:val="center"/>
            </w:pPr>
            <w:r>
              <w:t>N/A</w:t>
            </w:r>
          </w:p>
        </w:tc>
      </w:tr>
      <w:tr w:rsidR="00BD1E75" w14:paraId="42235883" w14:textId="77777777" w:rsidTr="00AA44B2">
        <w:tc>
          <w:tcPr>
            <w:tcW w:w="1384" w:type="dxa"/>
            <w:vAlign w:val="center"/>
          </w:tcPr>
          <w:p w14:paraId="5D76C9E6" w14:textId="28687CC9"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76" w:type="dxa"/>
            <w:vAlign w:val="center"/>
          </w:tcPr>
          <w:p w14:paraId="114C9601" w14:textId="06AA3F0A" w:rsidR="00BD1E75" w:rsidRDefault="000737FF" w:rsidP="002275E1">
            <w:pPr>
              <w:jc w:val="center"/>
            </w:pPr>
            <w:r>
              <w:t>N/A</w:t>
            </w:r>
          </w:p>
        </w:tc>
      </w:tr>
      <w:tr w:rsidR="000737FF" w14:paraId="4857EEE6" w14:textId="77777777" w:rsidTr="00AA44B2">
        <w:tc>
          <w:tcPr>
            <w:tcW w:w="1384" w:type="dxa"/>
            <w:vAlign w:val="center"/>
          </w:tcPr>
          <w:p w14:paraId="14B2018C" w14:textId="4D086E45"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7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10CE0ACC" w14:textId="0D96F43D" w:rsidR="008023F4" w:rsidRPr="009A79CF" w:rsidRDefault="00737AA5" w:rsidP="008023F4">
      <w:pPr>
        <w:pStyle w:val="ListParagraph"/>
        <w:numPr>
          <w:ilvl w:val="1"/>
          <w:numId w:val="7"/>
        </w:numPr>
        <w:spacing w:after="0"/>
        <w:contextualSpacing/>
        <w:jc w:val="both"/>
        <w:rPr>
          <w:rFonts w:cs="Arial"/>
        </w:rPr>
      </w:pPr>
      <w:r w:rsidRPr="009A79CF">
        <w:rPr>
          <w:rFonts w:cs="Arial"/>
        </w:rPr>
        <w:t>Potential Providers</w:t>
      </w:r>
      <w:r w:rsidR="004F4B67" w:rsidRPr="009A79CF">
        <w:rPr>
          <w:rFonts w:cs="Arial"/>
        </w:rPr>
        <w:t xml:space="preserve"> are able to provide attachments against each question</w:t>
      </w:r>
      <w:r w:rsidRPr="009A79CF">
        <w:rPr>
          <w:rFonts w:cs="Arial"/>
        </w:rPr>
        <w:t xml:space="preserve">. </w:t>
      </w:r>
      <w:r w:rsidR="00D33192" w:rsidRPr="009A79CF">
        <w:rPr>
          <w:rFonts w:cs="Arial"/>
        </w:rPr>
        <w:t>Q</w:t>
      </w:r>
      <w:r w:rsidRPr="009A79CF">
        <w:rPr>
          <w:rFonts w:cs="Arial"/>
        </w:rPr>
        <w:t xml:space="preserve">uestion </w:t>
      </w:r>
      <w:r w:rsidR="00D33192" w:rsidRPr="009A79CF">
        <w:rPr>
          <w:rFonts w:cs="Arial"/>
        </w:rPr>
        <w:t xml:space="preserve">text fields must be populated with detailed references to relevant attachments or sections within </w:t>
      </w:r>
      <w:r w:rsidR="00384563" w:rsidRPr="009A79CF">
        <w:rPr>
          <w:rFonts w:cs="Arial"/>
        </w:rPr>
        <w:t xml:space="preserve">their </w:t>
      </w:r>
      <w:r w:rsidR="009A79CF" w:rsidRPr="009A79CF">
        <w:rPr>
          <w:rFonts w:cs="Arial"/>
        </w:rPr>
        <w:t>attachments.</w:t>
      </w:r>
      <w:r w:rsidR="00BA1A23">
        <w:rPr>
          <w:rFonts w:cs="Arial"/>
        </w:rPr>
        <w:t xml:space="preserve"> </w:t>
      </w:r>
    </w:p>
    <w:p w14:paraId="44C902D8" w14:textId="77777777" w:rsidR="009A79CF" w:rsidRPr="009A79CF" w:rsidRDefault="009A79CF" w:rsidP="009A79CF">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lastRenderedPageBreak/>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77777777" w:rsidR="007065BF" w:rsidRPr="00A63C0C" w:rsidRDefault="007065BF" w:rsidP="009A79CF">
      <w:pPr>
        <w:rPr>
          <w:rFonts w:cs="Arial"/>
        </w:rPr>
      </w:pPr>
    </w:p>
    <w:p w14:paraId="5DC8C115" w14:textId="1D1ED23D" w:rsidR="007065BF" w:rsidRPr="00691DB9" w:rsidRDefault="008023F4" w:rsidP="00553768">
      <w:pPr>
        <w:pStyle w:val="ListParagraph"/>
        <w:numPr>
          <w:ilvl w:val="1"/>
          <w:numId w:val="7"/>
        </w:numPr>
        <w:spacing w:before="0" w:after="0"/>
        <w:contextualSpacing/>
        <w:jc w:val="both"/>
        <w:rPr>
          <w:rFonts w:cs="Arial"/>
        </w:rPr>
      </w:pPr>
      <w:r w:rsidRPr="00691DB9">
        <w:rPr>
          <w:rFonts w:cs="Arial"/>
        </w:rPr>
        <w:t xml:space="preserve">The page limit on attachments is set at </w:t>
      </w:r>
      <w:r w:rsidR="00691DB9" w:rsidRPr="00691DB9">
        <w:rPr>
          <w:rFonts w:cs="Arial"/>
          <w:b/>
        </w:rPr>
        <w:t>20 pages</w:t>
      </w:r>
      <w:r w:rsidR="00760F0E">
        <w:rPr>
          <w:rFonts w:cs="Arial"/>
          <w:b/>
        </w:rPr>
        <w:t xml:space="preserve"> (40 sides of A4 Paper)</w:t>
      </w:r>
      <w:r w:rsidR="00610E16">
        <w:rPr>
          <w:rFonts w:cs="Arial"/>
          <w:b/>
        </w:rPr>
        <w:t xml:space="preserve"> </w:t>
      </w:r>
      <w:r w:rsidR="00610E16" w:rsidRPr="00610E16">
        <w:rPr>
          <w:rFonts w:cs="Arial"/>
        </w:rPr>
        <w:t>per attachment</w:t>
      </w:r>
      <w:r w:rsidRPr="00610E16">
        <w:rPr>
          <w:rFonts w:cs="Arial"/>
        </w:rPr>
        <w:t>.</w:t>
      </w:r>
      <w:r w:rsidRPr="00691DB9">
        <w:rPr>
          <w:rFonts w:cs="Arial"/>
          <w:b/>
        </w:rPr>
        <w:t xml:space="preserve"> </w:t>
      </w:r>
      <w:r w:rsidRPr="00691DB9">
        <w:rPr>
          <w:rFonts w:cs="Arial"/>
        </w:rPr>
        <w:t>Attachm</w:t>
      </w:r>
      <w:r w:rsidR="00395293" w:rsidRPr="00691DB9">
        <w:rPr>
          <w:rFonts w:cs="Arial"/>
        </w:rPr>
        <w:t>ents maybe submitted in Microsof</w:t>
      </w:r>
      <w:r w:rsidRPr="00691DB9">
        <w:rPr>
          <w:rFonts w:cs="Arial"/>
        </w:rPr>
        <w:t>t Word, Excel. PDF format and be in Arial font size 11.</w:t>
      </w:r>
    </w:p>
    <w:p w14:paraId="098EB39D" w14:textId="77777777" w:rsidR="00A63C0C" w:rsidRPr="00A63C0C" w:rsidRDefault="00A63C0C" w:rsidP="00A63C0C">
      <w:pPr>
        <w:pStyle w:val="ListParagraph"/>
        <w:rPr>
          <w:rFonts w:cs="Arial"/>
        </w:rPr>
      </w:pPr>
    </w:p>
    <w:p w14:paraId="36126EF4" w14:textId="10A448B6" w:rsidR="00A63C0C" w:rsidRPr="00A63C0C" w:rsidRDefault="00A63C0C" w:rsidP="00A63C0C">
      <w:pPr>
        <w:pStyle w:val="ListParagraph"/>
        <w:numPr>
          <w:ilvl w:val="1"/>
          <w:numId w:val="7"/>
        </w:numPr>
        <w:spacing w:before="0" w:after="0"/>
        <w:contextualSpacing/>
        <w:rPr>
          <w:rFonts w:cs="Arial"/>
        </w:rPr>
      </w:pPr>
      <w:r w:rsidRPr="00A63C0C">
        <w:rPr>
          <w:rFonts w:cs="Arial"/>
        </w:rPr>
        <w:t>Suppliers should set out their responses in 3 attachments:</w:t>
      </w:r>
      <w:r w:rsidRPr="00A63C0C">
        <w:rPr>
          <w:rFonts w:cs="Arial"/>
        </w:rPr>
        <w:br/>
      </w:r>
    </w:p>
    <w:p w14:paraId="0401A0A5" w14:textId="77777777" w:rsidR="00A63C0C" w:rsidRPr="002B59DD" w:rsidRDefault="00A63C0C" w:rsidP="005E1AD2">
      <w:pPr>
        <w:pStyle w:val="ListParagraph"/>
        <w:numPr>
          <w:ilvl w:val="0"/>
          <w:numId w:val="14"/>
        </w:numPr>
        <w:spacing w:after="0"/>
        <w:contextualSpacing/>
        <w:rPr>
          <w:rFonts w:cs="Arial"/>
          <w:b/>
        </w:rPr>
      </w:pPr>
      <w:r w:rsidRPr="002B59DD">
        <w:rPr>
          <w:rFonts w:cs="Arial"/>
          <w:b/>
        </w:rPr>
        <w:t>Attachment 1 – Questionnaire 1, 2 and 3 (Mandatory Questions) in PDF format uploaded at Questionnaire 1 only.</w:t>
      </w:r>
    </w:p>
    <w:p w14:paraId="4D7C8ED7" w14:textId="77777777" w:rsidR="00A63C0C" w:rsidRPr="002B59DD" w:rsidRDefault="00A63C0C" w:rsidP="005E1AD2">
      <w:pPr>
        <w:pStyle w:val="ListParagraph"/>
        <w:spacing w:after="0"/>
        <w:ind w:left="1440"/>
        <w:contextualSpacing/>
        <w:rPr>
          <w:rFonts w:cs="Arial"/>
          <w:b/>
        </w:rPr>
      </w:pPr>
    </w:p>
    <w:p w14:paraId="3E80B116" w14:textId="1C59B7BF" w:rsidR="00A63C0C" w:rsidRPr="002B59DD" w:rsidRDefault="00A63C0C" w:rsidP="005E1AD2">
      <w:pPr>
        <w:pStyle w:val="ListParagraph"/>
        <w:numPr>
          <w:ilvl w:val="0"/>
          <w:numId w:val="14"/>
        </w:numPr>
        <w:spacing w:after="0"/>
        <w:contextualSpacing/>
        <w:rPr>
          <w:rFonts w:cs="Arial"/>
          <w:b/>
        </w:rPr>
      </w:pPr>
      <w:r w:rsidRPr="002B59DD">
        <w:rPr>
          <w:rFonts w:cs="Arial"/>
          <w:b/>
        </w:rPr>
        <w:t>At</w:t>
      </w:r>
      <w:r w:rsidR="00026A19">
        <w:rPr>
          <w:rFonts w:cs="Arial"/>
          <w:b/>
        </w:rPr>
        <w:t>t</w:t>
      </w:r>
      <w:r w:rsidRPr="002B59DD">
        <w:rPr>
          <w:rFonts w:cs="Arial"/>
          <w:b/>
        </w:rPr>
        <w:t>achment 2 – Questionnaire 4</w:t>
      </w:r>
      <w:r w:rsidR="00026A19">
        <w:rPr>
          <w:rFonts w:cs="Arial"/>
          <w:b/>
        </w:rPr>
        <w:t>,</w:t>
      </w:r>
      <w:r w:rsidRPr="002B59DD">
        <w:rPr>
          <w:rFonts w:cs="Arial"/>
          <w:b/>
        </w:rPr>
        <w:t xml:space="preserve"> 5</w:t>
      </w:r>
      <w:r w:rsidR="00026A19">
        <w:rPr>
          <w:rFonts w:cs="Arial"/>
          <w:b/>
        </w:rPr>
        <w:t xml:space="preserve"> &amp; 6</w:t>
      </w:r>
      <w:r w:rsidRPr="002B59DD">
        <w:rPr>
          <w:rFonts w:cs="Arial"/>
          <w:b/>
        </w:rPr>
        <w:t xml:space="preserve"> (Quality Questions) in PDF format uploaded at Questionnaire 4 only.</w:t>
      </w:r>
      <w:r w:rsidR="00C74C88">
        <w:rPr>
          <w:rFonts w:cs="Arial"/>
          <w:b/>
        </w:rPr>
        <w:t xml:space="preserve"> Please note that CV’s are not included in the page limit. </w:t>
      </w:r>
    </w:p>
    <w:p w14:paraId="6A1670CE" w14:textId="77777777" w:rsidR="00A63C0C" w:rsidRPr="002B59DD" w:rsidRDefault="00A63C0C" w:rsidP="005E1AD2">
      <w:pPr>
        <w:pStyle w:val="ListParagraph"/>
        <w:rPr>
          <w:rFonts w:cs="Arial"/>
          <w:b/>
        </w:rPr>
      </w:pPr>
    </w:p>
    <w:p w14:paraId="79F28A8A" w14:textId="0F50E3E9" w:rsidR="00A63C0C" w:rsidRPr="002B59DD" w:rsidRDefault="00A63C0C" w:rsidP="005E1AD2">
      <w:pPr>
        <w:pStyle w:val="ListParagraph"/>
        <w:numPr>
          <w:ilvl w:val="0"/>
          <w:numId w:val="14"/>
        </w:numPr>
        <w:spacing w:after="0"/>
        <w:contextualSpacing/>
        <w:rPr>
          <w:rFonts w:cs="Arial"/>
          <w:b/>
        </w:rPr>
      </w:pPr>
      <w:r w:rsidRPr="002B59DD">
        <w:rPr>
          <w:rFonts w:cs="Arial"/>
          <w:b/>
        </w:rPr>
        <w:t xml:space="preserve">Attachment 3 – Questionnaire </w:t>
      </w:r>
      <w:r w:rsidR="00026A19">
        <w:rPr>
          <w:rFonts w:cs="Arial"/>
          <w:b/>
        </w:rPr>
        <w:t>7</w:t>
      </w:r>
      <w:r w:rsidRPr="002B59DD">
        <w:rPr>
          <w:rFonts w:cs="Arial"/>
          <w:b/>
        </w:rPr>
        <w:t xml:space="preserve"> (Appendix E – Pricing Schedule) in an Excel file, uploaded at question level within Questionnaire </w:t>
      </w:r>
      <w:r w:rsidR="00026A19">
        <w:rPr>
          <w:rFonts w:cs="Arial"/>
          <w:b/>
        </w:rPr>
        <w:t>7</w:t>
      </w:r>
      <w:r w:rsidRPr="002B59DD">
        <w:rPr>
          <w:rFonts w:cs="Arial"/>
          <w:b/>
        </w:rPr>
        <w:t xml:space="preserve"> only. </w:t>
      </w:r>
      <w:r w:rsidR="005E1AD2">
        <w:rPr>
          <w:rFonts w:cs="Arial"/>
          <w:b/>
        </w:rPr>
        <w:br/>
      </w:r>
    </w:p>
    <w:p w14:paraId="5DD2504C" w14:textId="77777777" w:rsidR="00A63C0C" w:rsidRPr="00A63C0C" w:rsidRDefault="00A63C0C" w:rsidP="00A63C0C">
      <w:pPr>
        <w:spacing w:after="0"/>
        <w:contextualSpacing/>
        <w:jc w:val="both"/>
        <w:rPr>
          <w:rFonts w:cs="Arial"/>
          <w:highlight w:val="yellow"/>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656C2572" w:rsidR="006A087F" w:rsidRPr="006A087F" w:rsidRDefault="009A79CF">
            <w:pPr>
              <w:rPr>
                <w:b/>
                <w:color w:val="FFFFFF" w:themeColor="background1"/>
              </w:rPr>
            </w:pPr>
            <w:r>
              <w:rPr>
                <w:b/>
                <w:color w:val="FFFFFF" w:themeColor="background1"/>
              </w:rPr>
              <w:t xml:space="preserve">QUESTIONNAIRE 4 – QUALITY – METHODOLOGY </w:t>
            </w:r>
            <w:r w:rsidR="006A087F" w:rsidRPr="006A087F">
              <w:rPr>
                <w:b/>
                <w:color w:val="FFFFFF" w:themeColor="background1"/>
              </w:rPr>
              <w:t xml:space="preserve"> </w:t>
            </w:r>
          </w:p>
        </w:tc>
        <w:tc>
          <w:tcPr>
            <w:tcW w:w="2551" w:type="dxa"/>
            <w:gridSpan w:val="2"/>
            <w:shd w:val="clear" w:color="auto" w:fill="0D0D0D" w:themeFill="text1" w:themeFillTint="F2"/>
          </w:tcPr>
          <w:p w14:paraId="1290A9B6" w14:textId="0D0B1CDA" w:rsidR="006A087F" w:rsidRPr="006A087F" w:rsidRDefault="006A087F" w:rsidP="005E1AD2">
            <w:pPr>
              <w:jc w:val="right"/>
              <w:rPr>
                <w:b/>
                <w:color w:val="FFFFFF" w:themeColor="background1"/>
              </w:rPr>
            </w:pPr>
            <w:r w:rsidRPr="006A087F">
              <w:rPr>
                <w:b/>
                <w:color w:val="FFFFFF" w:themeColor="background1"/>
              </w:rPr>
              <w:t xml:space="preserve">Weighting – </w:t>
            </w:r>
            <w:r w:rsidR="005E1AD2">
              <w:rPr>
                <w:b/>
                <w:color w:val="FFFFFF" w:themeColor="background1"/>
              </w:rPr>
              <w:t>2</w:t>
            </w:r>
            <w:r w:rsidR="009A79CF">
              <w:rPr>
                <w:b/>
                <w:color w:val="FFFFFF" w:themeColor="background1"/>
              </w:rPr>
              <w:t>0</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530276AF" w:rsidR="00F10B85" w:rsidRPr="00F10B85" w:rsidRDefault="00AE6E54" w:rsidP="00F10B85">
            <w:pPr>
              <w:jc w:val="center"/>
            </w:pPr>
            <w:r>
              <w:t>Weighting 100</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5A14BA2C" w14:textId="77777777" w:rsidR="009A79CF" w:rsidRPr="00026A19" w:rsidRDefault="009A79CF" w:rsidP="009A79CF">
            <w:r w:rsidRPr="00026A19">
              <w:t xml:space="preserve">Potential Providers are required to outline their proposed methodology (with supporting rationale) for scoping of data for collection at both from Local Authorities and from other sources, as </w:t>
            </w:r>
            <w:r w:rsidRPr="00026A19">
              <w:lastRenderedPageBreak/>
              <w:t>described in Appendix B.  Potential Providers should cover the following in their response:</w:t>
            </w:r>
          </w:p>
          <w:p w14:paraId="683702C6" w14:textId="77777777" w:rsidR="009A79CF" w:rsidRPr="00026A19" w:rsidRDefault="009A79CF" w:rsidP="009A79CF">
            <w:pPr>
              <w:pStyle w:val="ListParagraph"/>
              <w:numPr>
                <w:ilvl w:val="0"/>
                <w:numId w:val="12"/>
              </w:numPr>
            </w:pPr>
            <w:r w:rsidRPr="00026A19">
              <w:t>Engagement with LAs and other stakeholders</w:t>
            </w:r>
          </w:p>
          <w:p w14:paraId="21724923" w14:textId="77777777" w:rsidR="009A79CF" w:rsidRPr="00026A19" w:rsidRDefault="009A79CF" w:rsidP="009A79CF">
            <w:pPr>
              <w:pStyle w:val="ListParagraph"/>
              <w:numPr>
                <w:ilvl w:val="0"/>
                <w:numId w:val="12"/>
              </w:numPr>
            </w:pPr>
            <w:r w:rsidRPr="00026A19">
              <w:t>Plans to engage subject-matter experts</w:t>
            </w:r>
          </w:p>
          <w:p w14:paraId="4C6BB02E" w14:textId="386C8A13" w:rsidR="00F10B85" w:rsidRPr="00026A19" w:rsidRDefault="009A79CF" w:rsidP="00BC0360">
            <w:pPr>
              <w:pStyle w:val="ListParagraph"/>
              <w:numPr>
                <w:ilvl w:val="0"/>
                <w:numId w:val="12"/>
              </w:numPr>
            </w:pPr>
            <w:r w:rsidRPr="00BC0360">
              <w:t>Communication plan</w:t>
            </w:r>
          </w:p>
        </w:tc>
        <w:tc>
          <w:tcPr>
            <w:tcW w:w="1417" w:type="dxa"/>
          </w:tcPr>
          <w:p w14:paraId="5A52C002" w14:textId="71CA55B0" w:rsidR="00F10B85" w:rsidRPr="009A79CF" w:rsidRDefault="009A79CF" w:rsidP="006A087F">
            <w:pPr>
              <w:jc w:val="center"/>
            </w:pPr>
            <w:r w:rsidRPr="009A79CF">
              <w:lastRenderedPageBreak/>
              <w:t>50</w:t>
            </w:r>
          </w:p>
        </w:tc>
        <w:tc>
          <w:tcPr>
            <w:tcW w:w="1271" w:type="dxa"/>
          </w:tcPr>
          <w:p w14:paraId="339CEAC3" w14:textId="7BBA4DD9" w:rsidR="00F10B85" w:rsidRDefault="006A087F" w:rsidP="006A087F">
            <w:pPr>
              <w:jc w:val="center"/>
            </w:pPr>
            <w:r>
              <w:t>100</w:t>
            </w:r>
          </w:p>
        </w:tc>
        <w:tc>
          <w:tcPr>
            <w:tcW w:w="1280" w:type="dxa"/>
          </w:tcPr>
          <w:p w14:paraId="25E7131B" w14:textId="702782E6" w:rsidR="00F10B85" w:rsidRDefault="009A79CF" w:rsidP="006A087F">
            <w:pPr>
              <w:jc w:val="center"/>
            </w:pPr>
            <w:r>
              <w:t>20</w:t>
            </w:r>
            <w:r w:rsidR="006A087F">
              <w:t>%</w:t>
            </w:r>
          </w:p>
        </w:tc>
      </w:tr>
      <w:tr w:rsidR="00F10B85" w14:paraId="5549B292" w14:textId="77777777" w:rsidTr="00F10B85">
        <w:tc>
          <w:tcPr>
            <w:tcW w:w="1170" w:type="dxa"/>
          </w:tcPr>
          <w:p w14:paraId="7A938FC9" w14:textId="18368B7C" w:rsidR="00F10B85" w:rsidRDefault="006A087F" w:rsidP="006A087F">
            <w:pPr>
              <w:jc w:val="center"/>
            </w:pPr>
            <w:r>
              <w:lastRenderedPageBreak/>
              <w:t>4.2</w:t>
            </w:r>
          </w:p>
        </w:tc>
        <w:tc>
          <w:tcPr>
            <w:tcW w:w="4212" w:type="dxa"/>
          </w:tcPr>
          <w:p w14:paraId="26A0193B" w14:textId="77777777" w:rsidR="009A79CF" w:rsidRPr="00026A19" w:rsidRDefault="009A79CF" w:rsidP="009A79CF">
            <w:r w:rsidRPr="00026A19">
              <w:t>Potential Providers are required to outline their proposed methodology (and supporting rationale) for data collection described in Appendix B, including:</w:t>
            </w:r>
          </w:p>
          <w:p w14:paraId="66F4BF4D" w14:textId="77777777" w:rsidR="009A79CF" w:rsidRPr="00026A19" w:rsidRDefault="009A79CF" w:rsidP="009A79CF">
            <w:pPr>
              <w:pStyle w:val="ListParagraph"/>
              <w:numPr>
                <w:ilvl w:val="0"/>
                <w:numId w:val="13"/>
              </w:numPr>
            </w:pPr>
            <w:r w:rsidRPr="00026A19">
              <w:t>Proposed methodology for collecting the data</w:t>
            </w:r>
          </w:p>
          <w:p w14:paraId="565BE921" w14:textId="1CAC6F9F" w:rsidR="009A79CF" w:rsidRPr="00026A19" w:rsidRDefault="009A79CF" w:rsidP="009A79CF">
            <w:pPr>
              <w:pStyle w:val="ListParagraph"/>
              <w:numPr>
                <w:ilvl w:val="0"/>
                <w:numId w:val="13"/>
              </w:numPr>
            </w:pPr>
            <w:r w:rsidRPr="00026A19">
              <w:t>Proposals for insuring compliance with ethics and data protection requirements</w:t>
            </w:r>
            <w:r w:rsidR="00691DB9" w:rsidRPr="00026A19">
              <w:t>, including but not limited to the Data Protection Act</w:t>
            </w:r>
          </w:p>
          <w:p w14:paraId="09FFFEBE" w14:textId="14D4A81D" w:rsidR="00F10B85" w:rsidRPr="00026A19" w:rsidRDefault="009A79CF" w:rsidP="00BC0360">
            <w:pPr>
              <w:pStyle w:val="ListParagraph"/>
              <w:numPr>
                <w:ilvl w:val="0"/>
                <w:numId w:val="13"/>
              </w:numPr>
            </w:pPr>
            <w:r w:rsidRPr="00BC0360">
              <w:t>Process for data cleaning and quality assurance.</w:t>
            </w:r>
          </w:p>
        </w:tc>
        <w:tc>
          <w:tcPr>
            <w:tcW w:w="1417" w:type="dxa"/>
          </w:tcPr>
          <w:p w14:paraId="3CDC8814" w14:textId="2C009D83" w:rsidR="00F10B85" w:rsidRPr="009A79CF" w:rsidRDefault="009A79CF" w:rsidP="006A087F">
            <w:pPr>
              <w:jc w:val="center"/>
            </w:pPr>
            <w:r w:rsidRPr="009A79CF">
              <w:t>50</w:t>
            </w:r>
          </w:p>
        </w:tc>
        <w:tc>
          <w:tcPr>
            <w:tcW w:w="1271" w:type="dxa"/>
          </w:tcPr>
          <w:p w14:paraId="735D44EC" w14:textId="732D0981" w:rsidR="00F10B85" w:rsidRDefault="006A087F" w:rsidP="006A087F">
            <w:pPr>
              <w:jc w:val="center"/>
            </w:pPr>
            <w:r>
              <w:t>100</w:t>
            </w:r>
          </w:p>
        </w:tc>
        <w:tc>
          <w:tcPr>
            <w:tcW w:w="1280" w:type="dxa"/>
          </w:tcPr>
          <w:p w14:paraId="5C2A13E2" w14:textId="12056CA5" w:rsidR="00F10B85" w:rsidRDefault="009A79CF" w:rsidP="006A087F">
            <w:pPr>
              <w:jc w:val="center"/>
            </w:pPr>
            <w:r>
              <w:t>35</w:t>
            </w:r>
            <w:r w:rsidR="006A087F">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4DD9A473" w14:textId="7D3E027D" w:rsidR="00F10B85" w:rsidRPr="006A087F" w:rsidRDefault="009A79CF" w:rsidP="009A79CF">
            <w:pPr>
              <w:rPr>
                <w:highlight w:val="yellow"/>
              </w:rPr>
            </w:pPr>
            <w:r w:rsidRPr="00237B55">
              <w:t xml:space="preserve">Potential Providers are required to outline their proposed methodology for securely transferring anonymised case level data from </w:t>
            </w:r>
            <w:r>
              <w:t>Local Authorities and to the Authority</w:t>
            </w:r>
            <w:r w:rsidRPr="00237B55">
              <w:t>. Responses should include detail on how it will be securely stored</w:t>
            </w:r>
            <w:r>
              <w:t>, transferred</w:t>
            </w:r>
            <w:r w:rsidRPr="00237B55">
              <w:t xml:space="preserve"> and accessed by the project team.</w:t>
            </w:r>
          </w:p>
        </w:tc>
        <w:tc>
          <w:tcPr>
            <w:tcW w:w="1417" w:type="dxa"/>
          </w:tcPr>
          <w:p w14:paraId="3186B36F" w14:textId="02BDA319" w:rsidR="00F10B85" w:rsidRPr="009A79CF" w:rsidRDefault="009A79CF" w:rsidP="009A79CF">
            <w:pPr>
              <w:jc w:val="center"/>
            </w:pPr>
            <w:r w:rsidRPr="009A79CF">
              <w:t>50</w:t>
            </w:r>
          </w:p>
        </w:tc>
        <w:tc>
          <w:tcPr>
            <w:tcW w:w="1271" w:type="dxa"/>
          </w:tcPr>
          <w:p w14:paraId="179E7322" w14:textId="21D28F0E" w:rsidR="00F10B85" w:rsidRDefault="006A087F" w:rsidP="006A087F">
            <w:pPr>
              <w:jc w:val="center"/>
            </w:pPr>
            <w:r>
              <w:t>100</w:t>
            </w:r>
          </w:p>
        </w:tc>
        <w:tc>
          <w:tcPr>
            <w:tcW w:w="1280" w:type="dxa"/>
          </w:tcPr>
          <w:p w14:paraId="34B38F9B" w14:textId="1FE348B5" w:rsidR="00F10B85" w:rsidRDefault="009A79CF" w:rsidP="006A087F">
            <w:pPr>
              <w:jc w:val="center"/>
            </w:pPr>
            <w:r>
              <w:t>10</w:t>
            </w:r>
            <w:r w:rsidR="006A087F">
              <w:t>%</w:t>
            </w:r>
          </w:p>
        </w:tc>
      </w:tr>
      <w:tr w:rsidR="00F10B85" w14:paraId="5CA4E961" w14:textId="77777777" w:rsidTr="00F10B85">
        <w:tc>
          <w:tcPr>
            <w:tcW w:w="1170" w:type="dxa"/>
          </w:tcPr>
          <w:p w14:paraId="74919007" w14:textId="1AA2632F" w:rsidR="00F10B85" w:rsidRDefault="006A087F" w:rsidP="006A087F">
            <w:pPr>
              <w:jc w:val="center"/>
            </w:pPr>
            <w:r>
              <w:t>4.4</w:t>
            </w:r>
          </w:p>
        </w:tc>
        <w:tc>
          <w:tcPr>
            <w:tcW w:w="4212" w:type="dxa"/>
          </w:tcPr>
          <w:p w14:paraId="0F4F4106" w14:textId="7C332115" w:rsidR="00F10B85" w:rsidRPr="006A087F" w:rsidRDefault="009A79CF" w:rsidP="009A79CF">
            <w:pPr>
              <w:rPr>
                <w:highlight w:val="yellow"/>
              </w:rPr>
            </w:pPr>
            <w:r>
              <w:t>Potential Providers are required to outline their proposed methodology for collating, cleaning and quality assuring administrative data and combining into a single dataset.</w:t>
            </w:r>
          </w:p>
        </w:tc>
        <w:tc>
          <w:tcPr>
            <w:tcW w:w="1417" w:type="dxa"/>
          </w:tcPr>
          <w:p w14:paraId="6E7E4CFB" w14:textId="7A704389" w:rsidR="00F10B85" w:rsidRPr="009A79CF" w:rsidRDefault="009A79CF" w:rsidP="009A79CF">
            <w:pPr>
              <w:jc w:val="center"/>
            </w:pPr>
            <w:r w:rsidRPr="009A79CF">
              <w:t>50</w:t>
            </w:r>
          </w:p>
        </w:tc>
        <w:tc>
          <w:tcPr>
            <w:tcW w:w="1271" w:type="dxa"/>
          </w:tcPr>
          <w:p w14:paraId="7E5C3629" w14:textId="25C6C2DC" w:rsidR="00F10B85" w:rsidRDefault="006A087F" w:rsidP="006A087F">
            <w:pPr>
              <w:jc w:val="center"/>
            </w:pPr>
            <w:r>
              <w:t>100</w:t>
            </w:r>
          </w:p>
        </w:tc>
        <w:tc>
          <w:tcPr>
            <w:tcW w:w="1280" w:type="dxa"/>
          </w:tcPr>
          <w:p w14:paraId="3296C233" w14:textId="1D9D0ECF" w:rsidR="00F10B85" w:rsidRDefault="009A79CF" w:rsidP="006A087F">
            <w:pPr>
              <w:jc w:val="center"/>
            </w:pPr>
            <w:r>
              <w:t>5</w:t>
            </w:r>
            <w:r w:rsidR="006A087F">
              <w:t>%</w:t>
            </w:r>
          </w:p>
        </w:tc>
      </w:tr>
      <w:tr w:rsidR="009A79CF" w14:paraId="7F32C435" w14:textId="77777777" w:rsidTr="00F10B85">
        <w:tc>
          <w:tcPr>
            <w:tcW w:w="1170" w:type="dxa"/>
          </w:tcPr>
          <w:p w14:paraId="1B7F4E28" w14:textId="599E3065" w:rsidR="009A79CF" w:rsidRDefault="009A79CF" w:rsidP="006A087F">
            <w:pPr>
              <w:jc w:val="center"/>
            </w:pPr>
            <w:r>
              <w:lastRenderedPageBreak/>
              <w:t>4.5</w:t>
            </w:r>
          </w:p>
        </w:tc>
        <w:tc>
          <w:tcPr>
            <w:tcW w:w="4212" w:type="dxa"/>
          </w:tcPr>
          <w:p w14:paraId="7DE617AA" w14:textId="4EC28661" w:rsidR="009A79CF" w:rsidRDefault="009A79CF" w:rsidP="009A79CF">
            <w:r w:rsidRPr="009A6BEB">
              <w:t>Potential Providers are required to outline their proposed methodology (and supporting rationale) for putting together the multi-level model as described in Appendix B.  Potential Providers should cover provisions for ensuring that a working model is able to be shared with the Authority as well as how the Potential Provider will work with the Authority to ensure an interative approach to development.</w:t>
            </w:r>
          </w:p>
        </w:tc>
        <w:tc>
          <w:tcPr>
            <w:tcW w:w="1417" w:type="dxa"/>
          </w:tcPr>
          <w:p w14:paraId="7F26CB5E" w14:textId="17AA1A4C" w:rsidR="009A79CF" w:rsidRPr="009A79CF" w:rsidRDefault="009A79CF" w:rsidP="009A79CF">
            <w:pPr>
              <w:jc w:val="center"/>
            </w:pPr>
            <w:r>
              <w:t>50</w:t>
            </w:r>
          </w:p>
        </w:tc>
        <w:tc>
          <w:tcPr>
            <w:tcW w:w="1271" w:type="dxa"/>
          </w:tcPr>
          <w:p w14:paraId="0E54C3AC" w14:textId="73BF8E07" w:rsidR="009A79CF" w:rsidRDefault="009A79CF" w:rsidP="006A087F">
            <w:pPr>
              <w:jc w:val="center"/>
            </w:pPr>
            <w:r>
              <w:t>100</w:t>
            </w:r>
          </w:p>
        </w:tc>
        <w:tc>
          <w:tcPr>
            <w:tcW w:w="1280" w:type="dxa"/>
          </w:tcPr>
          <w:p w14:paraId="64E34DF6" w14:textId="16B89A22" w:rsidR="009A79CF" w:rsidRDefault="009A79CF" w:rsidP="006A087F">
            <w:pPr>
              <w:jc w:val="center"/>
            </w:pPr>
            <w:r>
              <w:t>30%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3FC73A92" w:rsidR="00D33192" w:rsidRPr="006A087F" w:rsidRDefault="00D33192" w:rsidP="00D33192">
            <w:pPr>
              <w:rPr>
                <w:b/>
                <w:color w:val="FFFFFF" w:themeColor="background1"/>
              </w:rPr>
            </w:pPr>
            <w:r>
              <w:rPr>
                <w:b/>
                <w:color w:val="FFFFFF" w:themeColor="background1"/>
              </w:rPr>
              <w:t>QUESTIONNAIRE 5</w:t>
            </w:r>
            <w:r w:rsidR="009A79CF">
              <w:rPr>
                <w:b/>
                <w:color w:val="FFFFFF" w:themeColor="background1"/>
              </w:rPr>
              <w:t xml:space="preserve"> – QUALITY – UNDERSTANDING THE REQUIREMENT </w:t>
            </w:r>
            <w:r w:rsidRPr="006A087F">
              <w:rPr>
                <w:b/>
                <w:color w:val="FFFFFF" w:themeColor="background1"/>
              </w:rPr>
              <w:t xml:space="preserve"> </w:t>
            </w:r>
          </w:p>
        </w:tc>
        <w:tc>
          <w:tcPr>
            <w:tcW w:w="2551" w:type="dxa"/>
            <w:gridSpan w:val="2"/>
            <w:shd w:val="clear" w:color="auto" w:fill="0D0D0D" w:themeFill="text1" w:themeFillTint="F2"/>
          </w:tcPr>
          <w:p w14:paraId="15DC8048" w14:textId="0868513D" w:rsidR="00D33192" w:rsidRPr="006A087F" w:rsidRDefault="00D33192" w:rsidP="009A79CF">
            <w:pPr>
              <w:jc w:val="right"/>
              <w:rPr>
                <w:b/>
                <w:color w:val="FFFFFF" w:themeColor="background1"/>
              </w:rPr>
            </w:pPr>
            <w:r w:rsidRPr="006A087F">
              <w:rPr>
                <w:b/>
                <w:color w:val="FFFFFF" w:themeColor="background1"/>
              </w:rPr>
              <w:t xml:space="preserve">Weighting – </w:t>
            </w:r>
            <w:r w:rsidR="009A79CF">
              <w:rPr>
                <w:b/>
                <w:color w:val="FFFFFF" w:themeColor="background1"/>
              </w:rPr>
              <w:t>20</w:t>
            </w:r>
            <w:r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E8071EB" w:rsidR="00D33192" w:rsidRPr="00F10B85" w:rsidRDefault="00AE6E54" w:rsidP="00D33192">
            <w:pPr>
              <w:jc w:val="center"/>
            </w:pPr>
            <w:r>
              <w:t>Weighting 100</w:t>
            </w:r>
            <w:r w:rsidR="00D33192" w:rsidRPr="00F10B85">
              <w:t>%</w:t>
            </w:r>
          </w:p>
        </w:tc>
      </w:tr>
      <w:tr w:rsidR="00D33192" w14:paraId="1A8F2DDA" w14:textId="77777777" w:rsidTr="00A63C0C">
        <w:tc>
          <w:tcPr>
            <w:tcW w:w="1170" w:type="dxa"/>
          </w:tcPr>
          <w:p w14:paraId="5C2943F1" w14:textId="3A29A125" w:rsidR="00D33192" w:rsidRDefault="00D33192" w:rsidP="00D33192">
            <w:pPr>
              <w:jc w:val="center"/>
            </w:pPr>
            <w:r>
              <w:t>5.1</w:t>
            </w:r>
          </w:p>
        </w:tc>
        <w:tc>
          <w:tcPr>
            <w:tcW w:w="4212" w:type="dxa"/>
          </w:tcPr>
          <w:p w14:paraId="362060F9" w14:textId="1FF9AFB5" w:rsidR="00D33192" w:rsidRPr="006A087F" w:rsidRDefault="009A79CF" w:rsidP="00D33192">
            <w:pPr>
              <w:rPr>
                <w:highlight w:val="yellow"/>
              </w:rPr>
            </w:pPr>
            <w:r w:rsidRPr="00E359FA">
              <w:t>Potential Providers are required to provide an example of a similar project they have worked on involving communication and close liaison with Local Authorities or other public sector bodies.</w:t>
            </w:r>
          </w:p>
        </w:tc>
        <w:tc>
          <w:tcPr>
            <w:tcW w:w="1417" w:type="dxa"/>
          </w:tcPr>
          <w:p w14:paraId="133503EE" w14:textId="67FC6A7C" w:rsidR="00D33192" w:rsidRPr="006A087F" w:rsidRDefault="009A79CF" w:rsidP="00D33192">
            <w:pPr>
              <w:jc w:val="center"/>
              <w:rPr>
                <w:highlight w:val="yellow"/>
              </w:rPr>
            </w:pPr>
            <w:r w:rsidRPr="00AE6E54">
              <w:t>50</w:t>
            </w:r>
          </w:p>
        </w:tc>
        <w:tc>
          <w:tcPr>
            <w:tcW w:w="1271" w:type="dxa"/>
          </w:tcPr>
          <w:p w14:paraId="73E48245" w14:textId="77777777" w:rsidR="00D33192" w:rsidRDefault="00D33192" w:rsidP="00D33192">
            <w:pPr>
              <w:jc w:val="center"/>
            </w:pPr>
            <w:r>
              <w:t>100</w:t>
            </w:r>
          </w:p>
        </w:tc>
        <w:tc>
          <w:tcPr>
            <w:tcW w:w="1280" w:type="dxa"/>
            <w:shd w:val="clear" w:color="auto" w:fill="auto"/>
          </w:tcPr>
          <w:p w14:paraId="206695D7" w14:textId="1AA25F7B" w:rsidR="00D33192" w:rsidRDefault="00A63C0C" w:rsidP="00D33192">
            <w:pPr>
              <w:jc w:val="center"/>
            </w:pPr>
            <w:r>
              <w:t>20</w:t>
            </w:r>
            <w:r w:rsidR="009A79CF">
              <w:t>%</w:t>
            </w:r>
          </w:p>
        </w:tc>
      </w:tr>
      <w:tr w:rsidR="00D33192" w14:paraId="79DB93CE" w14:textId="77777777" w:rsidTr="00A63C0C">
        <w:tc>
          <w:tcPr>
            <w:tcW w:w="1170" w:type="dxa"/>
          </w:tcPr>
          <w:p w14:paraId="01DEC862" w14:textId="305980F4" w:rsidR="00D33192" w:rsidRDefault="00D33192" w:rsidP="00D33192">
            <w:pPr>
              <w:jc w:val="center"/>
            </w:pPr>
            <w:r>
              <w:t>5.2</w:t>
            </w:r>
          </w:p>
        </w:tc>
        <w:tc>
          <w:tcPr>
            <w:tcW w:w="4212" w:type="dxa"/>
          </w:tcPr>
          <w:p w14:paraId="5ABA1651" w14:textId="4A95718A" w:rsidR="00D33192" w:rsidRPr="006A087F" w:rsidRDefault="009A79CF" w:rsidP="009A79CF">
            <w:pPr>
              <w:rPr>
                <w:highlight w:val="yellow"/>
              </w:rPr>
            </w:pPr>
            <w:r w:rsidRPr="00E359FA">
              <w:t>Potential Providers are required to provide and example of a similar project they worked on that involved large-scale data collection from Local Authorities.  Preferably this would illustrate experience of collecting data at a lower geographical level.</w:t>
            </w:r>
          </w:p>
        </w:tc>
        <w:tc>
          <w:tcPr>
            <w:tcW w:w="1417" w:type="dxa"/>
          </w:tcPr>
          <w:p w14:paraId="2FF6FC8B" w14:textId="222A31C5" w:rsidR="00D33192" w:rsidRPr="00AE6E54" w:rsidRDefault="009A79CF" w:rsidP="00D33192">
            <w:pPr>
              <w:jc w:val="center"/>
            </w:pPr>
            <w:r w:rsidRPr="00AE6E54">
              <w:t>50</w:t>
            </w:r>
          </w:p>
        </w:tc>
        <w:tc>
          <w:tcPr>
            <w:tcW w:w="1271" w:type="dxa"/>
          </w:tcPr>
          <w:p w14:paraId="3143262E" w14:textId="77777777" w:rsidR="00D33192" w:rsidRDefault="00D33192" w:rsidP="00D33192">
            <w:pPr>
              <w:jc w:val="center"/>
            </w:pPr>
            <w:r>
              <w:t>100</w:t>
            </w:r>
          </w:p>
        </w:tc>
        <w:tc>
          <w:tcPr>
            <w:tcW w:w="1280" w:type="dxa"/>
            <w:shd w:val="clear" w:color="auto" w:fill="auto"/>
          </w:tcPr>
          <w:p w14:paraId="781C89B3" w14:textId="34F435F2" w:rsidR="00D33192" w:rsidRDefault="009A79CF" w:rsidP="00A63C0C">
            <w:pPr>
              <w:jc w:val="center"/>
            </w:pPr>
            <w:r>
              <w:t>3</w:t>
            </w:r>
            <w:r w:rsidR="00A63C0C">
              <w:t>0</w:t>
            </w:r>
            <w:r w:rsidR="00D33192">
              <w:t>%</w:t>
            </w:r>
          </w:p>
        </w:tc>
      </w:tr>
      <w:tr w:rsidR="00D33192" w14:paraId="33071E5C" w14:textId="77777777" w:rsidTr="00A63C0C">
        <w:tc>
          <w:tcPr>
            <w:tcW w:w="1170" w:type="dxa"/>
          </w:tcPr>
          <w:p w14:paraId="77C248BC" w14:textId="5721F591" w:rsidR="00D33192" w:rsidRDefault="00D33192" w:rsidP="00D33192">
            <w:pPr>
              <w:jc w:val="center"/>
            </w:pPr>
            <w:r>
              <w:t>5.3</w:t>
            </w:r>
          </w:p>
        </w:tc>
        <w:tc>
          <w:tcPr>
            <w:tcW w:w="4212" w:type="dxa"/>
          </w:tcPr>
          <w:p w14:paraId="736D3AB9" w14:textId="5E2C7569" w:rsidR="00D33192" w:rsidRPr="006A087F" w:rsidRDefault="009A79CF" w:rsidP="009A79CF">
            <w:pPr>
              <w:rPr>
                <w:highlight w:val="yellow"/>
              </w:rPr>
            </w:pPr>
            <w:r w:rsidRPr="00E359FA">
              <w:t xml:space="preserve">Potential Providers are required to provide an example of a similar project </w:t>
            </w:r>
            <w:r w:rsidRPr="00E359FA">
              <w:lastRenderedPageBreak/>
              <w:t>they worked on that involves data cleaning and quality assurance across a large-scale dataset.</w:t>
            </w:r>
          </w:p>
        </w:tc>
        <w:tc>
          <w:tcPr>
            <w:tcW w:w="1417" w:type="dxa"/>
          </w:tcPr>
          <w:p w14:paraId="4072B0BC" w14:textId="44B30869" w:rsidR="00D33192" w:rsidRPr="00AE6E54" w:rsidRDefault="009A79CF" w:rsidP="00D33192">
            <w:pPr>
              <w:jc w:val="center"/>
            </w:pPr>
            <w:r w:rsidRPr="00AE6E54">
              <w:lastRenderedPageBreak/>
              <w:t>50</w:t>
            </w:r>
          </w:p>
        </w:tc>
        <w:tc>
          <w:tcPr>
            <w:tcW w:w="1271" w:type="dxa"/>
          </w:tcPr>
          <w:p w14:paraId="0AF2FAEF" w14:textId="77777777" w:rsidR="00D33192" w:rsidRDefault="00D33192" w:rsidP="00D33192">
            <w:pPr>
              <w:jc w:val="center"/>
            </w:pPr>
            <w:r>
              <w:t>100</w:t>
            </w:r>
          </w:p>
        </w:tc>
        <w:tc>
          <w:tcPr>
            <w:tcW w:w="1280" w:type="dxa"/>
            <w:shd w:val="clear" w:color="auto" w:fill="auto"/>
          </w:tcPr>
          <w:p w14:paraId="2691661D" w14:textId="7FF48384" w:rsidR="00D33192" w:rsidRDefault="00A63C0C" w:rsidP="00D33192">
            <w:pPr>
              <w:jc w:val="center"/>
            </w:pPr>
            <w:r>
              <w:t>20</w:t>
            </w:r>
            <w:r w:rsidR="00D33192">
              <w:t>%</w:t>
            </w:r>
          </w:p>
        </w:tc>
      </w:tr>
      <w:tr w:rsidR="00D33192" w14:paraId="36E98B7F" w14:textId="77777777" w:rsidTr="00A63C0C">
        <w:tc>
          <w:tcPr>
            <w:tcW w:w="1170" w:type="dxa"/>
          </w:tcPr>
          <w:p w14:paraId="33246F43" w14:textId="62409772" w:rsidR="00D33192" w:rsidRDefault="00D33192" w:rsidP="00D33192">
            <w:pPr>
              <w:jc w:val="center"/>
            </w:pPr>
            <w:r>
              <w:lastRenderedPageBreak/>
              <w:t>5.4</w:t>
            </w:r>
          </w:p>
        </w:tc>
        <w:tc>
          <w:tcPr>
            <w:tcW w:w="4212" w:type="dxa"/>
          </w:tcPr>
          <w:p w14:paraId="17CD2DE4" w14:textId="7A8B013A" w:rsidR="00D33192" w:rsidRPr="006A087F" w:rsidRDefault="009A79CF" w:rsidP="009A79CF">
            <w:pPr>
              <w:rPr>
                <w:highlight w:val="yellow"/>
              </w:rPr>
            </w:pPr>
            <w:r w:rsidRPr="00E359FA">
              <w:t>Potential Providers are required to provide an example that demonstrates the use of statistical techniques to build a multi-level (or small area estimation) model.</w:t>
            </w:r>
          </w:p>
        </w:tc>
        <w:tc>
          <w:tcPr>
            <w:tcW w:w="1417" w:type="dxa"/>
          </w:tcPr>
          <w:p w14:paraId="3566416C" w14:textId="3DA701A1" w:rsidR="00D33192" w:rsidRPr="00AE6E54" w:rsidRDefault="009A79CF" w:rsidP="00D33192">
            <w:pPr>
              <w:jc w:val="center"/>
            </w:pPr>
            <w:r w:rsidRPr="00AE6E54">
              <w:t>50</w:t>
            </w:r>
          </w:p>
        </w:tc>
        <w:tc>
          <w:tcPr>
            <w:tcW w:w="1271" w:type="dxa"/>
          </w:tcPr>
          <w:p w14:paraId="2EE88B8D" w14:textId="77777777" w:rsidR="00D33192" w:rsidRDefault="00D33192" w:rsidP="00D33192">
            <w:pPr>
              <w:jc w:val="center"/>
            </w:pPr>
            <w:r>
              <w:t>100</w:t>
            </w:r>
          </w:p>
        </w:tc>
        <w:tc>
          <w:tcPr>
            <w:tcW w:w="1280" w:type="dxa"/>
            <w:shd w:val="clear" w:color="auto" w:fill="auto"/>
          </w:tcPr>
          <w:p w14:paraId="2A3E665B" w14:textId="007082D1" w:rsidR="00D33192" w:rsidRDefault="00AE6E54" w:rsidP="00D33192">
            <w:pPr>
              <w:jc w:val="center"/>
            </w:pPr>
            <w:r>
              <w:t>30</w:t>
            </w:r>
            <w:r w:rsidR="00D33192">
              <w:t>%</w:t>
            </w:r>
          </w:p>
        </w:tc>
      </w:tr>
    </w:tbl>
    <w:p w14:paraId="0FD28E9A" w14:textId="0D30D07C"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17BBA7F2" w:rsidR="00D33192" w:rsidRPr="006A087F" w:rsidRDefault="00D33192" w:rsidP="00D33192">
            <w:pPr>
              <w:rPr>
                <w:b/>
                <w:color w:val="FFFFFF" w:themeColor="background1"/>
              </w:rPr>
            </w:pPr>
            <w:r>
              <w:rPr>
                <w:b/>
                <w:color w:val="FFFFFF" w:themeColor="background1"/>
              </w:rPr>
              <w:t>QUESTIONNAIRE 6</w:t>
            </w:r>
            <w:r w:rsidRPr="006A087F">
              <w:rPr>
                <w:b/>
                <w:color w:val="FFFFFF" w:themeColor="background1"/>
              </w:rPr>
              <w:t xml:space="preserve"> – </w:t>
            </w:r>
            <w:r w:rsidR="00AE6E54" w:rsidRPr="00AE6E54">
              <w:rPr>
                <w:b/>
                <w:color w:val="FFFFFF" w:themeColor="background1"/>
              </w:rPr>
              <w:t xml:space="preserve">QUALITY – </w:t>
            </w:r>
            <w:r w:rsidR="00AE6E54">
              <w:rPr>
                <w:b/>
                <w:color w:val="FFFFFF" w:themeColor="background1"/>
              </w:rPr>
              <w:t>PROGRAMME DELIVERY SUPPORT AND ACCOUNT MANAGEMENT</w:t>
            </w:r>
            <w:r w:rsidRPr="006A087F">
              <w:rPr>
                <w:b/>
                <w:color w:val="FFFFFF" w:themeColor="background1"/>
              </w:rPr>
              <w:t xml:space="preserve"> </w:t>
            </w:r>
          </w:p>
        </w:tc>
        <w:tc>
          <w:tcPr>
            <w:tcW w:w="2551" w:type="dxa"/>
            <w:gridSpan w:val="2"/>
            <w:shd w:val="clear" w:color="auto" w:fill="0D0D0D" w:themeFill="text1" w:themeFillTint="F2"/>
          </w:tcPr>
          <w:p w14:paraId="48E2912A" w14:textId="24E00E23" w:rsidR="00D33192" w:rsidRPr="006A087F" w:rsidRDefault="00D33192" w:rsidP="00AE6E54">
            <w:pPr>
              <w:jc w:val="right"/>
              <w:rPr>
                <w:b/>
                <w:color w:val="FFFFFF" w:themeColor="background1"/>
              </w:rPr>
            </w:pPr>
            <w:r w:rsidRPr="006A087F">
              <w:rPr>
                <w:b/>
                <w:color w:val="FFFFFF" w:themeColor="background1"/>
              </w:rPr>
              <w:t xml:space="preserve">Weighting – </w:t>
            </w:r>
            <w:r w:rsidR="00AE6E54">
              <w:rPr>
                <w:b/>
                <w:color w:val="FFFFFF" w:themeColor="background1"/>
              </w:rPr>
              <w:t>20</w:t>
            </w:r>
            <w:r w:rsidRPr="006A087F">
              <w:rPr>
                <w:b/>
                <w:color w:val="FFFFFF" w:themeColor="background1"/>
              </w:rPr>
              <w:t>%</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6522BA98" w:rsidR="00D33192" w:rsidRPr="00F10B85" w:rsidRDefault="00AE6E54" w:rsidP="00D33192">
            <w:pPr>
              <w:jc w:val="center"/>
            </w:pPr>
            <w:r>
              <w:t>Weighting 100</w:t>
            </w:r>
            <w:r w:rsidR="00D33192" w:rsidRPr="00F10B85">
              <w:t>%</w:t>
            </w:r>
          </w:p>
        </w:tc>
      </w:tr>
      <w:tr w:rsidR="00AE6E54" w14:paraId="3E87A764" w14:textId="77777777" w:rsidTr="00D33192">
        <w:tc>
          <w:tcPr>
            <w:tcW w:w="1170" w:type="dxa"/>
          </w:tcPr>
          <w:p w14:paraId="2E8BC105" w14:textId="31394AB8" w:rsidR="00AE6E54" w:rsidRDefault="00AE6E54" w:rsidP="00AE6E54">
            <w:pPr>
              <w:jc w:val="center"/>
            </w:pPr>
            <w:r>
              <w:t>6.1</w:t>
            </w:r>
          </w:p>
        </w:tc>
        <w:tc>
          <w:tcPr>
            <w:tcW w:w="4212" w:type="dxa"/>
          </w:tcPr>
          <w:p w14:paraId="4278A379" w14:textId="78BEB6B2" w:rsidR="00AE6E54" w:rsidRPr="006A087F" w:rsidRDefault="00AE6E54" w:rsidP="00AE6E54">
            <w:pPr>
              <w:rPr>
                <w:highlight w:val="yellow"/>
              </w:rPr>
            </w:pPr>
            <w:r w:rsidRPr="007F1963">
              <w:t>Potential Providers are required to ou</w:t>
            </w:r>
            <w:r w:rsidR="00C74C88">
              <w:t>t</w:t>
            </w:r>
            <w:r w:rsidRPr="007F1963">
              <w:t>line the project management team that will be carrying out the requirements outlined in Appendix B, including summaries of their relevant skills,</w:t>
            </w:r>
            <w:r w:rsidR="00610E16">
              <w:t xml:space="preserve"> qualifications and expertise. </w:t>
            </w:r>
            <w:r w:rsidRPr="007F1963">
              <w:t>This should also include the designated project manager.</w:t>
            </w:r>
            <w:r w:rsidR="00C74C88">
              <w:t xml:space="preserve"> CV’s are to be provided for all proposed team members, but will not be included in the page limit.</w:t>
            </w:r>
          </w:p>
        </w:tc>
        <w:tc>
          <w:tcPr>
            <w:tcW w:w="1417" w:type="dxa"/>
          </w:tcPr>
          <w:p w14:paraId="29243DD0" w14:textId="75358608" w:rsidR="00AE6E54" w:rsidRPr="006A087F" w:rsidRDefault="00AE6E54" w:rsidP="00AE6E54">
            <w:pPr>
              <w:jc w:val="center"/>
              <w:rPr>
                <w:highlight w:val="yellow"/>
              </w:rPr>
            </w:pPr>
            <w:r w:rsidRPr="00AE6E54">
              <w:t>50</w:t>
            </w:r>
          </w:p>
        </w:tc>
        <w:tc>
          <w:tcPr>
            <w:tcW w:w="1271" w:type="dxa"/>
          </w:tcPr>
          <w:p w14:paraId="6E641AC5" w14:textId="77777777" w:rsidR="00AE6E54" w:rsidRDefault="00AE6E54" w:rsidP="00AE6E54">
            <w:pPr>
              <w:jc w:val="center"/>
            </w:pPr>
            <w:r>
              <w:t>100</w:t>
            </w:r>
          </w:p>
        </w:tc>
        <w:tc>
          <w:tcPr>
            <w:tcW w:w="1280" w:type="dxa"/>
          </w:tcPr>
          <w:p w14:paraId="1163D8FA" w14:textId="10387B7D" w:rsidR="00AE6E54" w:rsidRDefault="00AE6E54" w:rsidP="00AE6E54">
            <w:pPr>
              <w:jc w:val="center"/>
            </w:pPr>
            <w:r>
              <w:t>25%</w:t>
            </w:r>
          </w:p>
        </w:tc>
      </w:tr>
      <w:tr w:rsidR="00AE6E54" w14:paraId="7F816643" w14:textId="77777777" w:rsidTr="00D33192">
        <w:tc>
          <w:tcPr>
            <w:tcW w:w="1170" w:type="dxa"/>
          </w:tcPr>
          <w:p w14:paraId="752D867C" w14:textId="1E33DB80" w:rsidR="00AE6E54" w:rsidRDefault="00AE6E54" w:rsidP="00AE6E54">
            <w:pPr>
              <w:jc w:val="center"/>
            </w:pPr>
            <w:r>
              <w:t>6.2</w:t>
            </w:r>
          </w:p>
        </w:tc>
        <w:tc>
          <w:tcPr>
            <w:tcW w:w="4212" w:type="dxa"/>
          </w:tcPr>
          <w:p w14:paraId="6E8D371C" w14:textId="2493BD5E" w:rsidR="00AE6E54" w:rsidRPr="006A087F" w:rsidRDefault="00AE6E54" w:rsidP="00AE6E54">
            <w:pPr>
              <w:rPr>
                <w:highlight w:val="yellow"/>
              </w:rPr>
            </w:pPr>
            <w:r w:rsidRPr="007F1963">
              <w:t xml:space="preserve">Potential </w:t>
            </w:r>
            <w:r>
              <w:t>Providers are required to</w:t>
            </w:r>
            <w:r w:rsidRPr="007F1963">
              <w:t xml:space="preserve"> outline how they will ensure they have the capacity and ability to meet the project timeline for the contract, taking into account the milestones outlined in Appendix B.</w:t>
            </w:r>
          </w:p>
        </w:tc>
        <w:tc>
          <w:tcPr>
            <w:tcW w:w="1417" w:type="dxa"/>
          </w:tcPr>
          <w:p w14:paraId="3A8814F3" w14:textId="3F434780" w:rsidR="00AE6E54" w:rsidRPr="00AE6E54" w:rsidRDefault="00AE6E54" w:rsidP="00AE6E54">
            <w:pPr>
              <w:jc w:val="center"/>
            </w:pPr>
            <w:r w:rsidRPr="00AE6E54">
              <w:t>50</w:t>
            </w:r>
          </w:p>
        </w:tc>
        <w:tc>
          <w:tcPr>
            <w:tcW w:w="1271" w:type="dxa"/>
          </w:tcPr>
          <w:p w14:paraId="119877C9" w14:textId="77777777" w:rsidR="00AE6E54" w:rsidRDefault="00AE6E54" w:rsidP="00AE6E54">
            <w:pPr>
              <w:jc w:val="center"/>
            </w:pPr>
            <w:r>
              <w:t>100</w:t>
            </w:r>
          </w:p>
        </w:tc>
        <w:tc>
          <w:tcPr>
            <w:tcW w:w="1280" w:type="dxa"/>
          </w:tcPr>
          <w:p w14:paraId="213814C4" w14:textId="57F923A2" w:rsidR="00AE6E54" w:rsidRDefault="00AE6E54" w:rsidP="00AE6E54">
            <w:pPr>
              <w:jc w:val="center"/>
            </w:pPr>
            <w:r>
              <w:t>25%</w:t>
            </w:r>
          </w:p>
        </w:tc>
      </w:tr>
      <w:tr w:rsidR="00AE6E54" w14:paraId="7465AE1A" w14:textId="77777777" w:rsidTr="00D33192">
        <w:tc>
          <w:tcPr>
            <w:tcW w:w="1170" w:type="dxa"/>
          </w:tcPr>
          <w:p w14:paraId="223D07FC" w14:textId="1A27C3BB" w:rsidR="00AE6E54" w:rsidRDefault="00AE6E54" w:rsidP="00AE6E54">
            <w:pPr>
              <w:jc w:val="center"/>
            </w:pPr>
            <w:r>
              <w:t>6.3</w:t>
            </w:r>
          </w:p>
        </w:tc>
        <w:tc>
          <w:tcPr>
            <w:tcW w:w="4212" w:type="dxa"/>
          </w:tcPr>
          <w:p w14:paraId="1A681AE7" w14:textId="3F62A6A9" w:rsidR="00AE6E54" w:rsidRPr="006A087F" w:rsidRDefault="00AE6E54" w:rsidP="00AE6E54">
            <w:pPr>
              <w:rPr>
                <w:highlight w:val="yellow"/>
              </w:rPr>
            </w:pPr>
            <w:r w:rsidRPr="007F1963">
              <w:t xml:space="preserve">Potential Providers are required to </w:t>
            </w:r>
            <w:r w:rsidRPr="007F1963">
              <w:lastRenderedPageBreak/>
              <w:t>provide a project plan and timetable that meets the requirements outlined to deliver the contract.</w:t>
            </w:r>
          </w:p>
        </w:tc>
        <w:tc>
          <w:tcPr>
            <w:tcW w:w="1417" w:type="dxa"/>
          </w:tcPr>
          <w:p w14:paraId="26DCC6EB" w14:textId="15C6FCEB" w:rsidR="00AE6E54" w:rsidRPr="00AE6E54" w:rsidRDefault="00AE6E54" w:rsidP="00AE6E54">
            <w:pPr>
              <w:jc w:val="center"/>
            </w:pPr>
            <w:r w:rsidRPr="00AE6E54">
              <w:lastRenderedPageBreak/>
              <w:t>50</w:t>
            </w:r>
          </w:p>
        </w:tc>
        <w:tc>
          <w:tcPr>
            <w:tcW w:w="1271" w:type="dxa"/>
          </w:tcPr>
          <w:p w14:paraId="7EC7E548" w14:textId="77777777" w:rsidR="00AE6E54" w:rsidRDefault="00AE6E54" w:rsidP="00AE6E54">
            <w:pPr>
              <w:jc w:val="center"/>
            </w:pPr>
            <w:r>
              <w:t>100</w:t>
            </w:r>
          </w:p>
        </w:tc>
        <w:tc>
          <w:tcPr>
            <w:tcW w:w="1280" w:type="dxa"/>
          </w:tcPr>
          <w:p w14:paraId="55B3F909" w14:textId="219E4635" w:rsidR="00AE6E54" w:rsidRDefault="00AE6E54" w:rsidP="00AE6E54">
            <w:pPr>
              <w:jc w:val="center"/>
            </w:pPr>
            <w:r>
              <w:t>25%</w:t>
            </w:r>
          </w:p>
        </w:tc>
      </w:tr>
      <w:tr w:rsidR="00AE6E54" w14:paraId="4FF2FE05" w14:textId="77777777" w:rsidTr="00D33192">
        <w:tc>
          <w:tcPr>
            <w:tcW w:w="1170" w:type="dxa"/>
          </w:tcPr>
          <w:p w14:paraId="7BD5017F" w14:textId="66789336" w:rsidR="00AE6E54" w:rsidRDefault="00AE6E54" w:rsidP="00AE6E54">
            <w:pPr>
              <w:jc w:val="center"/>
            </w:pPr>
            <w:r>
              <w:lastRenderedPageBreak/>
              <w:t>6.4</w:t>
            </w:r>
          </w:p>
        </w:tc>
        <w:tc>
          <w:tcPr>
            <w:tcW w:w="4212" w:type="dxa"/>
          </w:tcPr>
          <w:p w14:paraId="35A74E43" w14:textId="2B469144" w:rsidR="00AE6E54" w:rsidRPr="006A087F" w:rsidRDefault="00AE6E54">
            <w:pPr>
              <w:rPr>
                <w:highlight w:val="yellow"/>
              </w:rPr>
            </w:pPr>
            <w:r w:rsidRPr="007F1963">
              <w:t>Potential Providers are required to outline the main risks and issues that the research proposed in Appendix B may encounter and outline a plan for how each risk or issue w</w:t>
            </w:r>
            <w:r w:rsidR="000116AE">
              <w:t>ould</w:t>
            </w:r>
            <w:r w:rsidRPr="007F1963">
              <w:t xml:space="preserve"> be addressed.</w:t>
            </w:r>
          </w:p>
        </w:tc>
        <w:tc>
          <w:tcPr>
            <w:tcW w:w="1417" w:type="dxa"/>
          </w:tcPr>
          <w:p w14:paraId="6E72342F" w14:textId="10C4D2F6" w:rsidR="00AE6E54" w:rsidRPr="00AE6E54" w:rsidRDefault="00AE6E54" w:rsidP="00AE6E54">
            <w:pPr>
              <w:jc w:val="center"/>
            </w:pPr>
            <w:r w:rsidRPr="00AE6E54">
              <w:t>50</w:t>
            </w:r>
          </w:p>
        </w:tc>
        <w:tc>
          <w:tcPr>
            <w:tcW w:w="1271" w:type="dxa"/>
          </w:tcPr>
          <w:p w14:paraId="2E48D2BB" w14:textId="77777777" w:rsidR="00AE6E54" w:rsidRDefault="00AE6E54" w:rsidP="00AE6E54">
            <w:pPr>
              <w:jc w:val="center"/>
            </w:pPr>
            <w:r>
              <w:t>100</w:t>
            </w:r>
          </w:p>
        </w:tc>
        <w:tc>
          <w:tcPr>
            <w:tcW w:w="1280" w:type="dxa"/>
          </w:tcPr>
          <w:p w14:paraId="3AC919E3" w14:textId="0EDA09B4" w:rsidR="00AE6E54" w:rsidRDefault="00AE6E54" w:rsidP="00AE6E54">
            <w:pPr>
              <w:jc w:val="center"/>
            </w:pPr>
            <w:r>
              <w:t>25%</w:t>
            </w:r>
          </w:p>
        </w:tc>
      </w:tr>
    </w:tbl>
    <w:p w14:paraId="54986297" w14:textId="25646538"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752338F2" w:rsidR="000C1EA7" w:rsidRPr="000C1EA7" w:rsidRDefault="000C1EA7" w:rsidP="005E1AD2">
            <w:pPr>
              <w:spacing w:before="240" w:line="240" w:lineRule="auto"/>
              <w:ind w:left="-391" w:firstLine="391"/>
              <w:jc w:val="right"/>
              <w:rPr>
                <w:b/>
                <w:color w:val="FFFFFF" w:themeColor="background1"/>
              </w:rPr>
            </w:pPr>
            <w:r w:rsidRPr="000C1EA7">
              <w:rPr>
                <w:b/>
                <w:color w:val="FFFFFF" w:themeColor="background1"/>
              </w:rPr>
              <w:t xml:space="preserve">Weighting – </w:t>
            </w:r>
            <w:r w:rsidR="005E1AD2">
              <w:rPr>
                <w:b/>
                <w:color w:val="FFFFFF" w:themeColor="background1"/>
              </w:rPr>
              <w:t>30</w:t>
            </w:r>
            <w:r w:rsidRPr="000C1EA7">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1C238494" w:rsidR="000C1EA7" w:rsidRDefault="000C1EA7" w:rsidP="00831B96">
            <w:pPr>
              <w:spacing w:after="0" w:line="240" w:lineRule="auto"/>
            </w:pPr>
            <w:r w:rsidRPr="00147082">
              <w:t>Poten</w:t>
            </w:r>
            <w:r w:rsidR="00AE6E54">
              <w:t xml:space="preserve">tial Providers must complete and </w:t>
            </w:r>
            <w:r w:rsidR="0070789D" w:rsidRPr="00AE6E54">
              <w:t>upload the</w:t>
            </w:r>
            <w:r w:rsidR="00AE6E54">
              <w:t xml:space="preserve"> Appendix E -</w:t>
            </w:r>
            <w:r w:rsidR="0070789D" w:rsidRPr="00AE6E54">
              <w:t xml:space="preserve"> </w:t>
            </w:r>
            <w:r w:rsidR="00AE6E54">
              <w:t>Price S</w:t>
            </w:r>
            <w:r w:rsidR="0070789D" w:rsidRPr="00AE6E54">
              <w:t>chedule at the question level</w:t>
            </w:r>
            <w:r w:rsidR="0070789D" w:rsidRPr="00147082">
              <w:t xml:space="preserve"> </w:t>
            </w:r>
            <w:r w:rsidRPr="00147082">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41AD4EAB" w:rsidR="000C1EA7" w:rsidRDefault="00B57738" w:rsidP="00EC34AD">
            <w:pPr>
              <w:spacing w:line="240" w:lineRule="auto"/>
              <w:jc w:val="center"/>
            </w:pPr>
            <w:r>
              <w:t>7</w:t>
            </w:r>
            <w:r w:rsidR="00A21E97">
              <w:t>.1</w:t>
            </w:r>
          </w:p>
        </w:tc>
        <w:tc>
          <w:tcPr>
            <w:tcW w:w="5837" w:type="dxa"/>
          </w:tcPr>
          <w:p w14:paraId="4B5B03FA" w14:textId="24B42199" w:rsidR="000C1EA7" w:rsidRPr="00EC34AD" w:rsidRDefault="00610E16" w:rsidP="00AE6E54">
            <w:pPr>
              <w:spacing w:line="240" w:lineRule="auto"/>
              <w:rPr>
                <w:highlight w:val="yellow"/>
              </w:rPr>
            </w:pPr>
            <w:r>
              <w:t>Please confirm, by typing</w:t>
            </w:r>
            <w:r w:rsidR="00943DAE" w:rsidRPr="00AE6E54">
              <w:t xml:space="preserve"> ‘YES’ that you have </w:t>
            </w:r>
            <w:r w:rsidR="00F41778" w:rsidRPr="00AE6E54">
              <w:t>attached a completed Price Schedule to the response to this questio</w:t>
            </w:r>
            <w:r w:rsidR="00AE6E54" w:rsidRPr="00AE6E54">
              <w:t>n</w:t>
            </w:r>
            <w:r w:rsidR="00F41778" w:rsidRPr="00AE6E54">
              <w:t>. In so doing, you are also confirming that prices offered are inclusive o</w:t>
            </w:r>
            <w:r w:rsidR="001C0C3F" w:rsidRPr="00AE6E54">
              <w:t>f any expenses, exclusive of VAT</w:t>
            </w:r>
            <w:r w:rsidR="00AE6E54" w:rsidRPr="00AE6E54">
              <w:t xml:space="preserve"> and firm for a period of </w:t>
            </w:r>
            <w:r w:rsidR="00F41778" w:rsidRPr="00AE6E54">
              <w:t>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0A4C6E66" w14:textId="355DCDE8" w:rsidR="004F5DD4" w:rsidRPr="008023F4" w:rsidRDefault="00C74FA6" w:rsidP="00155E58">
      <w:pPr>
        <w:numPr>
          <w:ilvl w:val="0"/>
          <w:numId w:val="7"/>
        </w:numPr>
        <w:spacing w:after="0" w:line="240" w:lineRule="auto"/>
        <w:contextualSpacing/>
        <w:jc w:val="both"/>
        <w:rPr>
          <w:rFonts w:eastAsia="Times New Roman" w:cs="Arial"/>
          <w:b/>
        </w:rPr>
      </w:pPr>
      <w:r>
        <w:rPr>
          <w:rFonts w:eastAsia="Times New Roman" w:cs="Arial"/>
          <w:b/>
        </w:rPr>
        <w:t>STAGE TWO</w:t>
      </w: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9606" w:type="dxa"/>
        <w:tblLayout w:type="fixed"/>
        <w:tblLook w:val="04A0" w:firstRow="1" w:lastRow="0" w:firstColumn="1" w:lastColumn="0" w:noHBand="0" w:noVBand="1"/>
      </w:tblPr>
      <w:tblGrid>
        <w:gridCol w:w="1384"/>
        <w:gridCol w:w="5670"/>
        <w:gridCol w:w="425"/>
        <w:gridCol w:w="851"/>
        <w:gridCol w:w="1276"/>
      </w:tblGrid>
      <w:tr w:rsidR="00681EA9" w14:paraId="5B83DED2" w14:textId="77777777" w:rsidTr="00D33192">
        <w:tc>
          <w:tcPr>
            <w:tcW w:w="7479" w:type="dxa"/>
            <w:gridSpan w:val="3"/>
            <w:shd w:val="clear" w:color="auto" w:fill="000000" w:themeFill="text1"/>
            <w:vAlign w:val="center"/>
          </w:tcPr>
          <w:p w14:paraId="77196580" w14:textId="286E31EE" w:rsidR="00681EA9" w:rsidRPr="00B63924" w:rsidRDefault="00ED6AD8" w:rsidP="00681EA9">
            <w:pPr>
              <w:spacing w:before="60" w:line="240" w:lineRule="auto"/>
              <w:rPr>
                <w:rFonts w:cs="Arial"/>
                <w:b/>
                <w:color w:val="FFFFFF" w:themeColor="background1"/>
              </w:rPr>
            </w:pPr>
            <w:r>
              <w:rPr>
                <w:rFonts w:cs="Arial"/>
                <w:b/>
                <w:color w:val="FFFFFF" w:themeColor="background1"/>
              </w:rPr>
              <w:t>QUESTIONNAIRE 8</w:t>
            </w:r>
            <w:r w:rsidR="00681EA9">
              <w:rPr>
                <w:rFonts w:cs="Arial"/>
                <w:b/>
                <w:color w:val="FFFFFF" w:themeColor="background1"/>
              </w:rPr>
              <w:t xml:space="preserve"> – </w:t>
            </w:r>
            <w:r w:rsidR="00AE6E54" w:rsidRPr="00AE6E54">
              <w:rPr>
                <w:b/>
                <w:color w:val="FFFFFF" w:themeColor="background1"/>
              </w:rPr>
              <w:t>PRESENTATIONS</w:t>
            </w:r>
          </w:p>
        </w:tc>
        <w:tc>
          <w:tcPr>
            <w:tcW w:w="2127" w:type="dxa"/>
            <w:gridSpan w:val="2"/>
            <w:shd w:val="clear" w:color="auto" w:fill="000000" w:themeFill="text1"/>
            <w:vAlign w:val="center"/>
          </w:tcPr>
          <w:p w14:paraId="2457E89F" w14:textId="3CB7EEB9" w:rsidR="00681EA9" w:rsidRPr="00B63924" w:rsidRDefault="00681EA9" w:rsidP="005E1AD2">
            <w:pPr>
              <w:spacing w:before="60" w:line="240" w:lineRule="auto"/>
              <w:ind w:left="2583" w:hanging="2583"/>
              <w:jc w:val="right"/>
              <w:rPr>
                <w:rFonts w:cs="Arial"/>
                <w:b/>
                <w:color w:val="FFFFFF" w:themeColor="background1"/>
              </w:rPr>
            </w:pPr>
            <w:r>
              <w:rPr>
                <w:rFonts w:cs="Arial"/>
                <w:b/>
                <w:color w:val="FFFFFF" w:themeColor="background1"/>
              </w:rPr>
              <w:t xml:space="preserve">Weighting – </w:t>
            </w:r>
            <w:r w:rsidR="005E1AD2">
              <w:rPr>
                <w:rFonts w:cs="Arial"/>
                <w:b/>
                <w:color w:val="FFFFFF" w:themeColor="background1"/>
              </w:rPr>
              <w:t>10</w:t>
            </w:r>
            <w:r>
              <w:rPr>
                <w:rFonts w:cs="Arial"/>
                <w:b/>
                <w:color w:val="FFFFFF" w:themeColor="background1"/>
              </w:rPr>
              <w:t>%</w:t>
            </w:r>
          </w:p>
        </w:tc>
      </w:tr>
      <w:tr w:rsidR="00681EA9" w14:paraId="36EFA0C0" w14:textId="77777777" w:rsidTr="00D33192">
        <w:tc>
          <w:tcPr>
            <w:tcW w:w="1384" w:type="dxa"/>
            <w:shd w:val="clear" w:color="auto" w:fill="FFFFFF" w:themeFill="background1"/>
          </w:tcPr>
          <w:p w14:paraId="6D080DEE" w14:textId="77777777" w:rsidR="00681EA9" w:rsidRPr="00FB7D56" w:rsidRDefault="00681EA9" w:rsidP="00D33192">
            <w:pPr>
              <w:spacing w:before="60" w:after="0" w:line="240" w:lineRule="auto"/>
              <w:jc w:val="center"/>
              <w:rPr>
                <w:rFonts w:cs="Arial"/>
                <w:b/>
                <w:sz w:val="20"/>
                <w:szCs w:val="20"/>
              </w:rPr>
            </w:pPr>
            <w:r w:rsidRPr="00FB7D56">
              <w:rPr>
                <w:rFonts w:cs="Arial"/>
                <w:b/>
                <w:sz w:val="20"/>
                <w:szCs w:val="20"/>
              </w:rPr>
              <w:t>GUIDANCE</w:t>
            </w:r>
          </w:p>
        </w:tc>
        <w:tc>
          <w:tcPr>
            <w:tcW w:w="8222" w:type="dxa"/>
            <w:gridSpan w:val="4"/>
            <w:shd w:val="clear" w:color="auto" w:fill="FFFFFF" w:themeFill="background1"/>
          </w:tcPr>
          <w:p w14:paraId="5D62EB74" w14:textId="78590453" w:rsidR="00681EA9" w:rsidRPr="00E41FB5" w:rsidRDefault="00E41FB5" w:rsidP="00E41FB5">
            <w:pPr>
              <w:spacing w:before="60" w:after="0" w:line="240" w:lineRule="auto"/>
              <w:rPr>
                <w:rFonts w:cs="Arial"/>
                <w:b/>
                <w:sz w:val="24"/>
              </w:rPr>
            </w:pPr>
            <w:r w:rsidRPr="00E41FB5">
              <w:rPr>
                <w:rFonts w:cs="Arial"/>
                <w:color w:val="263238"/>
                <w:szCs w:val="20"/>
              </w:rPr>
              <w:t>All the Potential Providers capable of winning the competition after the initial</w:t>
            </w:r>
            <w:r w:rsidRPr="00E41FB5">
              <w:rPr>
                <w:rFonts w:cs="Arial"/>
                <w:color w:val="263238"/>
                <w:szCs w:val="20"/>
              </w:rPr>
              <w:br/>
              <w:t>evaluation (Price and Quality) will be invited to attend an interview and give a</w:t>
            </w:r>
            <w:r w:rsidRPr="00E41FB5">
              <w:rPr>
                <w:rFonts w:cs="Arial"/>
                <w:color w:val="263238"/>
                <w:szCs w:val="20"/>
              </w:rPr>
              <w:br/>
              <w:t>presentation.</w:t>
            </w:r>
            <w:r w:rsidRPr="00E41FB5">
              <w:rPr>
                <w:rFonts w:cs="Arial"/>
                <w:color w:val="263238"/>
                <w:szCs w:val="20"/>
              </w:rPr>
              <w:br/>
            </w:r>
            <w:r w:rsidRPr="00E41FB5">
              <w:rPr>
                <w:rFonts w:cs="Arial"/>
                <w:color w:val="263238"/>
                <w:szCs w:val="20"/>
              </w:rPr>
              <w:sym w:font="Symbol" w:char="F0B7"/>
            </w:r>
            <w:r w:rsidRPr="00E41FB5">
              <w:rPr>
                <w:rFonts w:cs="Arial"/>
                <w:color w:val="263238"/>
                <w:szCs w:val="20"/>
              </w:rPr>
              <w:t xml:space="preserve"> Potential Providers will be invited to make a presentation based on the</w:t>
            </w:r>
            <w:r w:rsidRPr="00E41FB5">
              <w:rPr>
                <w:rFonts w:cs="Arial"/>
                <w:color w:val="263238"/>
                <w:szCs w:val="20"/>
              </w:rPr>
              <w:br/>
              <w:t>specifics of the requirement and where the Authority feels they require further</w:t>
            </w:r>
            <w:r w:rsidRPr="00E41FB5">
              <w:rPr>
                <w:rFonts w:cs="Arial"/>
                <w:color w:val="263238"/>
                <w:szCs w:val="20"/>
              </w:rPr>
              <w:br/>
              <w:t>detail. All Potential Providers invited to Presentation will be asked the same</w:t>
            </w:r>
            <w:r w:rsidRPr="00E41FB5">
              <w:rPr>
                <w:rFonts w:cs="Arial"/>
                <w:color w:val="263238"/>
                <w:szCs w:val="20"/>
              </w:rPr>
              <w:br/>
            </w:r>
            <w:r w:rsidRPr="00E41FB5">
              <w:rPr>
                <w:rFonts w:cs="Arial"/>
                <w:color w:val="263238"/>
                <w:szCs w:val="20"/>
              </w:rPr>
              <w:lastRenderedPageBreak/>
              <w:t>questions.</w:t>
            </w:r>
            <w:r w:rsidRPr="00E41FB5">
              <w:rPr>
                <w:rFonts w:cs="Arial"/>
                <w:color w:val="263238"/>
                <w:szCs w:val="20"/>
              </w:rPr>
              <w:br/>
            </w:r>
            <w:r w:rsidRPr="00E41FB5">
              <w:rPr>
                <w:rFonts w:cs="Arial"/>
                <w:color w:val="263238"/>
                <w:szCs w:val="20"/>
              </w:rPr>
              <w:sym w:font="Symbol" w:char="F0B7"/>
            </w:r>
            <w:r w:rsidRPr="00E41FB5">
              <w:rPr>
                <w:rFonts w:cs="Arial"/>
                <w:color w:val="263238"/>
                <w:szCs w:val="20"/>
              </w:rPr>
              <w:t xml:space="preserve"> As per the indicative timetable in the ITT document, questions to all invited</w:t>
            </w:r>
            <w:r w:rsidRPr="00E41FB5">
              <w:rPr>
                <w:rFonts w:cs="Arial"/>
                <w:color w:val="263238"/>
                <w:szCs w:val="20"/>
              </w:rPr>
              <w:br/>
              <w:t>Tenderers will be provided a minimum of 48 hours prior to interviews taking</w:t>
            </w:r>
            <w:r w:rsidRPr="00E41FB5">
              <w:rPr>
                <w:rFonts w:cs="Arial"/>
                <w:color w:val="263238"/>
                <w:szCs w:val="20"/>
              </w:rPr>
              <w:br/>
              <w:t>place for the Tenderers to answer and present back in the interview.</w:t>
            </w:r>
            <w:r w:rsidRPr="00E41FB5">
              <w:rPr>
                <w:rFonts w:cs="Arial"/>
                <w:color w:val="263238"/>
                <w:szCs w:val="20"/>
              </w:rPr>
              <w:br/>
            </w:r>
            <w:r w:rsidRPr="00E41FB5">
              <w:rPr>
                <w:rFonts w:cs="Arial"/>
                <w:color w:val="263238"/>
                <w:szCs w:val="20"/>
              </w:rPr>
              <w:sym w:font="Symbol" w:char="F0B7"/>
            </w:r>
            <w:r w:rsidRPr="00E41FB5">
              <w:rPr>
                <w:rFonts w:cs="Arial"/>
                <w:color w:val="263238"/>
                <w:szCs w:val="20"/>
              </w:rPr>
              <w:t xml:space="preserve"> Timeslots will be provided by invitation. Potential Providers are requested to</w:t>
            </w:r>
            <w:r w:rsidRPr="00E41FB5">
              <w:rPr>
                <w:rFonts w:cs="Arial"/>
                <w:color w:val="263238"/>
                <w:szCs w:val="20"/>
              </w:rPr>
              <w:br/>
              <w:t>indicate by selecting ‘YES’ on the CCS portal that they understand the</w:t>
            </w:r>
            <w:r w:rsidRPr="00E41FB5">
              <w:rPr>
                <w:rFonts w:cs="Arial"/>
                <w:color w:val="263238"/>
                <w:szCs w:val="20"/>
              </w:rPr>
              <w:br/>
              <w:t>presentation process and to acknowledge the dates provided.</w:t>
            </w:r>
            <w:r w:rsidRPr="00E41FB5">
              <w:rPr>
                <w:rFonts w:cs="Arial"/>
                <w:color w:val="263238"/>
                <w:szCs w:val="20"/>
              </w:rPr>
              <w:br/>
            </w:r>
            <w:r w:rsidRPr="00E41FB5">
              <w:rPr>
                <w:rFonts w:cs="Arial"/>
                <w:color w:val="263238"/>
                <w:szCs w:val="20"/>
              </w:rPr>
              <w:sym w:font="Symbol" w:char="F0B7"/>
            </w:r>
            <w:r w:rsidRPr="00E41FB5">
              <w:rPr>
                <w:rFonts w:cs="Arial"/>
                <w:color w:val="263238"/>
                <w:szCs w:val="20"/>
              </w:rPr>
              <w:t xml:space="preserve"> The score from the presentation and interview will then be added to Potential</w:t>
            </w:r>
            <w:r w:rsidRPr="00E41FB5">
              <w:rPr>
                <w:rFonts w:cs="Arial"/>
                <w:color w:val="263238"/>
                <w:szCs w:val="20"/>
              </w:rPr>
              <w:br/>
              <w:t>Providers written Quality score to give an overall Quality score. A final decision</w:t>
            </w:r>
            <w:r w:rsidRPr="00E41FB5">
              <w:rPr>
                <w:rFonts w:cs="Arial"/>
                <w:color w:val="263238"/>
                <w:szCs w:val="20"/>
              </w:rPr>
              <w:br/>
              <w:t>on the preferred supplier will be based upon the combined Quality + Price</w:t>
            </w:r>
            <w:r w:rsidRPr="00E41FB5">
              <w:rPr>
                <w:rFonts w:cs="Arial"/>
                <w:color w:val="263238"/>
                <w:szCs w:val="20"/>
              </w:rPr>
              <w:br/>
              <w:t>evaluation.</w:t>
            </w:r>
            <w:r w:rsidRPr="00E41FB5">
              <w:rPr>
                <w:rFonts w:cs="Arial"/>
                <w:color w:val="263238"/>
                <w:szCs w:val="20"/>
              </w:rPr>
              <w:br/>
            </w:r>
            <w:r w:rsidRPr="00E41FB5">
              <w:rPr>
                <w:rFonts w:cs="Arial"/>
                <w:color w:val="263238"/>
                <w:szCs w:val="20"/>
              </w:rPr>
              <w:sym w:font="Symbol" w:char="F0B7"/>
            </w:r>
            <w:r w:rsidRPr="00E41FB5">
              <w:rPr>
                <w:rFonts w:cs="Arial"/>
                <w:color w:val="263238"/>
                <w:szCs w:val="20"/>
              </w:rPr>
              <w:t xml:space="preserve"> Please Note: The Department reserves the right not to invite suppliers to</w:t>
            </w:r>
            <w:r w:rsidRPr="00E41FB5">
              <w:rPr>
                <w:rFonts w:cs="Arial"/>
                <w:color w:val="263238"/>
                <w:szCs w:val="20"/>
              </w:rPr>
              <w:br/>
              <w:t>presentations and the interview if either their score is inhibitive of winning the</w:t>
            </w:r>
            <w:r w:rsidRPr="00E41FB5">
              <w:rPr>
                <w:rFonts w:cs="Arial"/>
                <w:color w:val="263238"/>
                <w:szCs w:val="20"/>
              </w:rPr>
              <w:br/>
              <w:t>competition or they have scored below 50 on an individual question within</w:t>
            </w:r>
            <w:r w:rsidRPr="00E41FB5">
              <w:rPr>
                <w:rFonts w:cs="Arial"/>
                <w:color w:val="263238"/>
                <w:szCs w:val="20"/>
              </w:rPr>
              <w:br/>
              <w:t>Questions 4</w:t>
            </w:r>
            <w:r>
              <w:rPr>
                <w:rFonts w:cs="Arial"/>
                <w:color w:val="263238"/>
                <w:szCs w:val="20"/>
              </w:rPr>
              <w:t>, 5</w:t>
            </w:r>
            <w:r w:rsidRPr="00E41FB5">
              <w:rPr>
                <w:rFonts w:cs="Arial"/>
                <w:color w:val="263238"/>
                <w:szCs w:val="20"/>
              </w:rPr>
              <w:t xml:space="preserve"> or </w:t>
            </w:r>
            <w:r>
              <w:rPr>
                <w:rFonts w:cs="Arial"/>
                <w:color w:val="263238"/>
                <w:szCs w:val="20"/>
              </w:rPr>
              <w:t>6</w:t>
            </w:r>
            <w:r w:rsidRPr="00E41FB5">
              <w:rPr>
                <w:rFonts w:cs="Arial"/>
                <w:color w:val="263238"/>
                <w:szCs w:val="20"/>
              </w:rPr>
              <w:t>.</w:t>
            </w:r>
          </w:p>
        </w:tc>
      </w:tr>
      <w:tr w:rsidR="00681EA9" w14:paraId="075AE32D" w14:textId="77777777" w:rsidTr="00D33192">
        <w:tc>
          <w:tcPr>
            <w:tcW w:w="1384" w:type="dxa"/>
            <w:shd w:val="clear" w:color="auto" w:fill="D9D9D9" w:themeFill="background1" w:themeFillShade="D9"/>
          </w:tcPr>
          <w:p w14:paraId="21F6B6E6" w14:textId="77777777" w:rsidR="00681EA9" w:rsidRPr="002711A1" w:rsidRDefault="00681EA9" w:rsidP="00D33192">
            <w:pPr>
              <w:spacing w:before="60" w:after="0" w:line="240" w:lineRule="auto"/>
              <w:jc w:val="center"/>
              <w:rPr>
                <w:rFonts w:cs="Arial"/>
              </w:rPr>
            </w:pPr>
            <w:r w:rsidRPr="002711A1">
              <w:rPr>
                <w:rFonts w:cs="Arial"/>
              </w:rPr>
              <w:lastRenderedPageBreak/>
              <w:t>Question Number</w:t>
            </w:r>
          </w:p>
        </w:tc>
        <w:tc>
          <w:tcPr>
            <w:tcW w:w="5670" w:type="dxa"/>
            <w:shd w:val="clear" w:color="auto" w:fill="D9D9D9" w:themeFill="background1" w:themeFillShade="D9"/>
          </w:tcPr>
          <w:p w14:paraId="10D36488" w14:textId="77777777" w:rsidR="00681EA9" w:rsidRPr="002711A1" w:rsidRDefault="00681EA9" w:rsidP="00D33192">
            <w:pPr>
              <w:spacing w:before="60" w:after="0" w:line="240" w:lineRule="auto"/>
              <w:jc w:val="center"/>
              <w:rPr>
                <w:rFonts w:cs="Arial"/>
              </w:rPr>
            </w:pPr>
            <w:r w:rsidRPr="002711A1">
              <w:rPr>
                <w:rFonts w:cs="Arial"/>
              </w:rPr>
              <w:t>Question</w:t>
            </w:r>
          </w:p>
        </w:tc>
        <w:tc>
          <w:tcPr>
            <w:tcW w:w="1276" w:type="dxa"/>
            <w:gridSpan w:val="2"/>
            <w:shd w:val="clear" w:color="auto" w:fill="D9D9D9" w:themeFill="background1" w:themeFillShade="D9"/>
          </w:tcPr>
          <w:p w14:paraId="18C47A1E" w14:textId="77777777" w:rsidR="00681EA9" w:rsidRPr="002711A1" w:rsidRDefault="00681EA9" w:rsidP="00D33192">
            <w:pPr>
              <w:spacing w:before="60" w:after="0" w:line="240" w:lineRule="auto"/>
              <w:jc w:val="center"/>
              <w:rPr>
                <w:rFonts w:cs="Arial"/>
              </w:rPr>
            </w:pPr>
            <w:r w:rsidRPr="002711A1">
              <w:rPr>
                <w:rFonts w:cs="Arial"/>
              </w:rPr>
              <w:t>Max Score</w:t>
            </w:r>
          </w:p>
        </w:tc>
        <w:tc>
          <w:tcPr>
            <w:tcW w:w="1276" w:type="dxa"/>
            <w:shd w:val="clear" w:color="auto" w:fill="D9D9D9" w:themeFill="background1" w:themeFillShade="D9"/>
          </w:tcPr>
          <w:p w14:paraId="448D9A07" w14:textId="77777777" w:rsidR="00681EA9" w:rsidRPr="002711A1" w:rsidRDefault="00681EA9" w:rsidP="00D33192">
            <w:pPr>
              <w:spacing w:before="60" w:after="0" w:line="240" w:lineRule="auto"/>
              <w:jc w:val="center"/>
              <w:rPr>
                <w:rFonts w:cs="Arial"/>
              </w:rPr>
            </w:pPr>
            <w:r w:rsidRPr="002711A1">
              <w:rPr>
                <w:rFonts w:cs="Arial"/>
              </w:rPr>
              <w:t>Weighting (%)</w:t>
            </w:r>
          </w:p>
        </w:tc>
      </w:tr>
      <w:tr w:rsidR="00681EA9" w14:paraId="117FE243" w14:textId="77777777" w:rsidTr="00D33192">
        <w:tc>
          <w:tcPr>
            <w:tcW w:w="1384" w:type="dxa"/>
          </w:tcPr>
          <w:p w14:paraId="44C9E6A7" w14:textId="7A65751A" w:rsidR="00681EA9" w:rsidRPr="00E41FB5" w:rsidRDefault="00ED6AD8" w:rsidP="00ED6AD8">
            <w:pPr>
              <w:spacing w:line="240" w:lineRule="auto"/>
              <w:jc w:val="center"/>
              <w:rPr>
                <w:rFonts w:cs="Arial"/>
              </w:rPr>
            </w:pPr>
            <w:r w:rsidRPr="00E41FB5">
              <w:rPr>
                <w:rFonts w:cs="Arial"/>
              </w:rPr>
              <w:t>8</w:t>
            </w:r>
            <w:r w:rsidR="00955C19">
              <w:rPr>
                <w:rFonts w:cs="Arial"/>
              </w:rPr>
              <w:t>.1</w:t>
            </w:r>
          </w:p>
        </w:tc>
        <w:tc>
          <w:tcPr>
            <w:tcW w:w="5670" w:type="dxa"/>
          </w:tcPr>
          <w:p w14:paraId="10A25C14" w14:textId="2DF63234" w:rsidR="00681EA9" w:rsidRPr="00E41FB5" w:rsidRDefault="00610E16" w:rsidP="00D33192">
            <w:pPr>
              <w:spacing w:line="240" w:lineRule="auto"/>
              <w:rPr>
                <w:rFonts w:cs="Arial"/>
                <w:highlight w:val="yellow"/>
              </w:rPr>
            </w:pPr>
            <w:r>
              <w:rPr>
                <w:rFonts w:cs="Arial"/>
              </w:rPr>
              <w:t>Please confirm by typing</w:t>
            </w:r>
            <w:r w:rsidR="00A21E97" w:rsidRPr="00A21E97">
              <w:rPr>
                <w:rFonts w:cs="Arial"/>
              </w:rPr>
              <w:t xml:space="preserve"> ‘YES’ that you are able to attend the Presentations on Thursday 9</w:t>
            </w:r>
            <w:r w:rsidR="00A21E97" w:rsidRPr="00A21E97">
              <w:rPr>
                <w:rFonts w:cs="Arial"/>
                <w:vertAlign w:val="superscript"/>
              </w:rPr>
              <w:t>th</w:t>
            </w:r>
            <w:r w:rsidR="00A21E97" w:rsidRPr="00A21E97">
              <w:rPr>
                <w:rFonts w:cs="Arial"/>
              </w:rPr>
              <w:t xml:space="preserve"> November 2017. </w:t>
            </w:r>
          </w:p>
        </w:tc>
        <w:tc>
          <w:tcPr>
            <w:tcW w:w="1276" w:type="dxa"/>
            <w:gridSpan w:val="2"/>
          </w:tcPr>
          <w:p w14:paraId="3FB322B7" w14:textId="77777777" w:rsidR="00681EA9" w:rsidRPr="00097A29" w:rsidRDefault="00681EA9" w:rsidP="00D33192">
            <w:pPr>
              <w:spacing w:line="240" w:lineRule="auto"/>
              <w:jc w:val="center"/>
              <w:rPr>
                <w:rFonts w:cs="Arial"/>
              </w:rPr>
            </w:pPr>
            <w:r>
              <w:rPr>
                <w:rFonts w:cs="Arial"/>
              </w:rPr>
              <w:t>100</w:t>
            </w:r>
          </w:p>
        </w:tc>
        <w:tc>
          <w:tcPr>
            <w:tcW w:w="1276" w:type="dxa"/>
          </w:tcPr>
          <w:p w14:paraId="564789D7" w14:textId="3DE5B4CA" w:rsidR="00681EA9" w:rsidRPr="00EC34AD" w:rsidRDefault="00A21E97" w:rsidP="00D33192">
            <w:pPr>
              <w:spacing w:line="240" w:lineRule="auto"/>
              <w:jc w:val="center"/>
              <w:rPr>
                <w:rFonts w:cs="Arial"/>
                <w:highlight w:val="yellow"/>
              </w:rPr>
            </w:pPr>
            <w:r>
              <w:rPr>
                <w:rFonts w:cs="Arial"/>
              </w:rPr>
              <w:t>100</w:t>
            </w:r>
            <w:r w:rsidR="00E41FB5" w:rsidRPr="00E41FB5">
              <w:rPr>
                <w:rFonts w:cs="Arial"/>
              </w:rPr>
              <w:t>%</w:t>
            </w:r>
          </w:p>
        </w:tc>
      </w:tr>
    </w:tbl>
    <w:p w14:paraId="4EAA6EB3" w14:textId="77777777" w:rsidR="00155E58" w:rsidRPr="00155E58" w:rsidRDefault="00155E58" w:rsidP="00955C19">
      <w:pPr>
        <w:spacing w:after="0" w:line="240" w:lineRule="auto"/>
        <w:contextualSpacing/>
        <w:jc w:val="both"/>
        <w:rPr>
          <w:rFonts w:eastAsia="Times New Roman" w:cs="Arial"/>
          <w:b/>
        </w:rPr>
      </w:pPr>
    </w:p>
    <w:sectPr w:rsidR="00155E58" w:rsidRPr="00155E58" w:rsidSect="00F8743E">
      <w:headerReference w:type="even" r:id="rId15"/>
      <w:headerReference w:type="default" r:id="rId16"/>
      <w:footerReference w:type="even" r:id="rId17"/>
      <w:footerReference w:type="default" r:id="rId18"/>
      <w:headerReference w:type="first" r:id="rId19"/>
      <w:footerReference w:type="first" r:id="rId20"/>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845E3" w14:textId="77777777" w:rsidR="00610E16" w:rsidRDefault="00610E16">
      <w:pPr>
        <w:spacing w:after="0" w:line="240" w:lineRule="auto"/>
      </w:pPr>
      <w:r>
        <w:separator/>
      </w:r>
    </w:p>
  </w:endnote>
  <w:endnote w:type="continuationSeparator" w:id="0">
    <w:p w14:paraId="34986BC5" w14:textId="77777777" w:rsidR="00610E16" w:rsidRDefault="00610E16">
      <w:pPr>
        <w:spacing w:after="0" w:line="240" w:lineRule="auto"/>
      </w:pPr>
      <w:r>
        <w:continuationSeparator/>
      </w:r>
    </w:p>
  </w:endnote>
  <w:endnote w:type="continuationNotice" w:id="1">
    <w:p w14:paraId="6AAAB46F" w14:textId="77777777" w:rsidR="00610E16" w:rsidRDefault="00610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6EA6" w14:textId="77777777" w:rsidR="00AA44B2" w:rsidRDefault="00AA4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82BE6" w14:textId="77777777" w:rsidR="00610E16" w:rsidRDefault="00610E16" w:rsidP="00BD4A1D">
    <w:pPr>
      <w:pStyle w:val="Footer"/>
      <w:pBdr>
        <w:top w:val="single" w:sz="6" w:space="1" w:color="auto"/>
      </w:pBdr>
      <w:tabs>
        <w:tab w:val="right" w:pos="8647"/>
      </w:tabs>
      <w:rPr>
        <w:sz w:val="16"/>
        <w:szCs w:val="16"/>
      </w:rPr>
    </w:pPr>
  </w:p>
  <w:p w14:paraId="34EEED2F" w14:textId="77777777" w:rsidR="00610E16" w:rsidRDefault="00610E16" w:rsidP="00C67CA1">
    <w:pPr>
      <w:pStyle w:val="Footer"/>
      <w:jc w:val="center"/>
    </w:pPr>
    <w:r>
      <w:t>OFFICIAL</w:t>
    </w:r>
  </w:p>
  <w:p w14:paraId="4D0E06AE" w14:textId="77777777" w:rsidR="00610E16" w:rsidRDefault="00610E16" w:rsidP="00C67CA1">
    <w:pPr>
      <w:pStyle w:val="Footer"/>
    </w:pPr>
    <w:r>
      <w:t>Appendix D – Response Guidance</w:t>
    </w:r>
  </w:p>
  <w:p w14:paraId="2E231C8D" w14:textId="363BA28D" w:rsidR="00610E16" w:rsidRPr="005A0295" w:rsidRDefault="00610E16" w:rsidP="00C67CA1">
    <w:pPr>
      <w:pStyle w:val="Footer"/>
    </w:pPr>
    <w:r w:rsidRPr="005A0295">
      <w:t>Lewis J Evans</w:t>
    </w:r>
  </w:p>
  <w:p w14:paraId="7659DFC1" w14:textId="2CC11AF4" w:rsidR="00610E16" w:rsidRPr="005A0295" w:rsidRDefault="00610E16" w:rsidP="00C67CA1">
    <w:pPr>
      <w:pStyle w:val="Footer"/>
    </w:pPr>
    <w:r w:rsidRPr="005A0295">
      <w:rPr>
        <w:rFonts w:cs="Arial"/>
        <w:color w:val="222222"/>
        <w:sz w:val="19"/>
        <w:szCs w:val="19"/>
        <w:shd w:val="clear" w:color="auto" w:fill="FFFFFF"/>
      </w:rPr>
      <w:t>© Crown copyright 2016</w:t>
    </w:r>
  </w:p>
  <w:p w14:paraId="140B10D0" w14:textId="55D18754" w:rsidR="00610E16" w:rsidRPr="005A0295" w:rsidRDefault="00610E16" w:rsidP="00C67CA1">
    <w:pPr>
      <w:pStyle w:val="Footer"/>
      <w:jc w:val="right"/>
    </w:pPr>
    <w:r w:rsidRPr="005A0295">
      <w:t>V</w:t>
    </w:r>
    <w:r>
      <w:t>1.0 09/10</w:t>
    </w:r>
    <w:r w:rsidRPr="005A0295">
      <w:t>/</w:t>
    </w:r>
    <w:r>
      <w:t>20</w:t>
    </w:r>
    <w:r w:rsidRPr="005A0295">
      <w:t>17</w:t>
    </w:r>
  </w:p>
  <w:p w14:paraId="0790A8E6" w14:textId="77777777" w:rsidR="00610E16" w:rsidRDefault="00AA44B2" w:rsidP="00C67CA1">
    <w:pPr>
      <w:pStyle w:val="Footer"/>
      <w:jc w:val="center"/>
    </w:pPr>
    <w:sdt>
      <w:sdtPr>
        <w:id w:val="-1105721636"/>
        <w:docPartObj>
          <w:docPartGallery w:val="Page Numbers (Bottom of Page)"/>
          <w:docPartUnique/>
        </w:docPartObj>
      </w:sdtPr>
      <w:sdtEndPr>
        <w:rPr>
          <w:noProof/>
        </w:rPr>
      </w:sdtEndPr>
      <w:sdtContent>
        <w:r w:rsidR="00610E16" w:rsidRPr="005A0295">
          <w:fldChar w:fldCharType="begin"/>
        </w:r>
        <w:r w:rsidR="00610E16" w:rsidRPr="005A0295">
          <w:instrText xml:space="preserve"> PAGE   \* MERGEFORMAT </w:instrText>
        </w:r>
        <w:r w:rsidR="00610E16" w:rsidRPr="005A0295">
          <w:fldChar w:fldCharType="separate"/>
        </w:r>
        <w:r>
          <w:rPr>
            <w:noProof/>
          </w:rPr>
          <w:t>12</w:t>
        </w:r>
        <w:r w:rsidR="00610E16" w:rsidRPr="005A0295">
          <w:rPr>
            <w:noProof/>
          </w:rPr>
          <w:fldChar w:fldCharType="end"/>
        </w:r>
      </w:sdtContent>
    </w:sdt>
  </w:p>
  <w:p w14:paraId="278CD5DE" w14:textId="77777777" w:rsidR="00610E16" w:rsidRDefault="00610E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AA7C" w14:textId="483D201C" w:rsidR="00610E16" w:rsidRDefault="00610E16" w:rsidP="00CF7C82">
    <w:pPr>
      <w:pStyle w:val="Footer"/>
      <w:pBdr>
        <w:top w:val="single" w:sz="4" w:space="1" w:color="auto"/>
      </w:pBdr>
      <w:jc w:val="center"/>
    </w:pPr>
    <w:r>
      <w:t>OFFICIAL</w:t>
    </w:r>
  </w:p>
  <w:p w14:paraId="62072C58" w14:textId="3BD7C74C" w:rsidR="00610E16" w:rsidRDefault="00610E16" w:rsidP="00CF7C82">
    <w:pPr>
      <w:pStyle w:val="Footer"/>
      <w:pBdr>
        <w:top w:val="single" w:sz="4" w:space="1" w:color="auto"/>
      </w:pBdr>
    </w:pPr>
    <w:r>
      <w:t>Appendix D – Response Guidance</w:t>
    </w:r>
  </w:p>
  <w:p w14:paraId="46335F31" w14:textId="6FDBB77D" w:rsidR="00610E16" w:rsidRDefault="00610E1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610E16" w:rsidRDefault="00610E16" w:rsidP="00CF7C82">
    <w:pPr>
      <w:pStyle w:val="Footer"/>
      <w:pBdr>
        <w:top w:val="single" w:sz="4" w:space="1" w:color="auto"/>
      </w:pBdr>
      <w:jc w:val="right"/>
    </w:pPr>
    <w:r>
      <w:t>V0.6 19/11/15</w:t>
    </w:r>
  </w:p>
  <w:p w14:paraId="4DA9F036" w14:textId="4559D95A" w:rsidR="00610E16" w:rsidRDefault="00610E16" w:rsidP="00C67CA1">
    <w:pPr>
      <w:pStyle w:val="Footer"/>
      <w:jc w:val="center"/>
    </w:pPr>
  </w:p>
  <w:p w14:paraId="2A10DA50" w14:textId="77777777" w:rsidR="00610E16" w:rsidRDefault="00610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BEEDC" w14:textId="77777777" w:rsidR="00610E16" w:rsidRDefault="00610E16">
      <w:pPr>
        <w:spacing w:after="0" w:line="240" w:lineRule="auto"/>
      </w:pPr>
      <w:r>
        <w:separator/>
      </w:r>
    </w:p>
  </w:footnote>
  <w:footnote w:type="continuationSeparator" w:id="0">
    <w:p w14:paraId="0CE981A8" w14:textId="77777777" w:rsidR="00610E16" w:rsidRDefault="00610E16">
      <w:pPr>
        <w:spacing w:after="0" w:line="240" w:lineRule="auto"/>
      </w:pPr>
      <w:r>
        <w:continuationSeparator/>
      </w:r>
    </w:p>
  </w:footnote>
  <w:footnote w:type="continuationNotice" w:id="1">
    <w:p w14:paraId="5D349BB7" w14:textId="77777777" w:rsidR="00610E16" w:rsidRDefault="00610E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C9D0C" w14:textId="77777777" w:rsidR="00AA44B2" w:rsidRDefault="00AA4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E2B9" w14:textId="1B88A2A1" w:rsidR="00610E16" w:rsidRDefault="00610E16"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610E16" w:rsidRPr="00B51DFB" w:rsidRDefault="00610E1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1FF394B3" w:rsidR="00610E16" w:rsidRPr="005A0295" w:rsidRDefault="00610E16" w:rsidP="00F547BA">
    <w:pPr>
      <w:pStyle w:val="Header"/>
      <w:spacing w:after="0"/>
      <w:jc w:val="center"/>
      <w:rPr>
        <w:rFonts w:cs="Arial"/>
      </w:rPr>
    </w:pPr>
    <w:r w:rsidRPr="005A0295">
      <w:rPr>
        <w:rFonts w:cs="Arial"/>
      </w:rPr>
      <w:t>The Provision of the Children’s Services Research Project for DCLG</w:t>
    </w:r>
  </w:p>
  <w:p w14:paraId="0C88C778" w14:textId="4573B4FD" w:rsidR="00610E16" w:rsidRPr="005A0295" w:rsidRDefault="00610E16" w:rsidP="00F547BA">
    <w:pPr>
      <w:pStyle w:val="Header"/>
      <w:spacing w:after="0"/>
      <w:jc w:val="center"/>
      <w:rPr>
        <w:sz w:val="20"/>
        <w:szCs w:val="20"/>
      </w:rPr>
    </w:pPr>
    <w:r>
      <w:rPr>
        <w:rFonts w:cs="Arial"/>
      </w:rPr>
      <w:t xml:space="preserve">Contract </w:t>
    </w:r>
    <w:r w:rsidRPr="005A0295">
      <w:rPr>
        <w:rFonts w:cs="Arial"/>
      </w:rPr>
      <w:t>Reference: CCMK17A05</w:t>
    </w:r>
    <w:r w:rsidRPr="005A0295" w:rsidDel="0049349F">
      <w:rPr>
        <w:sz w:val="20"/>
        <w:szCs w:val="20"/>
      </w:rPr>
      <w:t xml:space="preserve"> </w:t>
    </w:r>
  </w:p>
  <w:p w14:paraId="648AC685" w14:textId="0BCE5282" w:rsidR="00610E16" w:rsidRDefault="00610E16">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BE0D440"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535A8" w14:textId="21E0884D" w:rsidR="00610E16" w:rsidRDefault="00610E16"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610E16" w:rsidRDefault="00610E16" w:rsidP="00A840F2">
    <w:pPr>
      <w:pStyle w:val="Header"/>
      <w:spacing w:after="0"/>
      <w:jc w:val="center"/>
    </w:pPr>
    <w:r w:rsidRPr="00B51DFB">
      <w:t>Appendix D – Response Guidance</w:t>
    </w:r>
  </w:p>
  <w:p w14:paraId="5F46E552" w14:textId="2F08581A" w:rsidR="00610E16" w:rsidRPr="001F656C" w:rsidRDefault="00610E1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610E16" w:rsidRDefault="00610E1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610E16" w:rsidRPr="00F547BA" w:rsidRDefault="00610E1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3520A8"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C7693"/>
    <w:multiLevelType w:val="hybridMultilevel"/>
    <w:tmpl w:val="4840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A36E2"/>
    <w:multiLevelType w:val="hybridMultilevel"/>
    <w:tmpl w:val="5B7C1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nsid w:val="55764B01"/>
    <w:multiLevelType w:val="hybridMultilevel"/>
    <w:tmpl w:val="DAF6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614B4C62"/>
    <w:multiLevelType w:val="multilevel"/>
    <w:tmpl w:val="D70C907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4"/>
  </w:num>
  <w:num w:numId="5">
    <w:abstractNumId w:val="3"/>
  </w:num>
  <w:num w:numId="6">
    <w:abstractNumId w:val="13"/>
  </w:num>
  <w:num w:numId="7">
    <w:abstractNumId w:val="12"/>
  </w:num>
  <w:num w:numId="8">
    <w:abstractNumId w:val="1"/>
  </w:num>
  <w:num w:numId="9">
    <w:abstractNumId w:val="6"/>
  </w:num>
  <w:num w:numId="10">
    <w:abstractNumId w:val="10"/>
  </w:num>
  <w:num w:numId="11">
    <w:abstractNumId w:val="5"/>
  </w:num>
  <w:num w:numId="12">
    <w:abstractNumId w:val="8"/>
  </w:num>
  <w:num w:numId="13">
    <w:abstractNumId w:val="0"/>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2E"/>
    <w:rsid w:val="00000731"/>
    <w:rsid w:val="000058F5"/>
    <w:rsid w:val="00010388"/>
    <w:rsid w:val="00011631"/>
    <w:rsid w:val="000116AE"/>
    <w:rsid w:val="00013E07"/>
    <w:rsid w:val="000172EF"/>
    <w:rsid w:val="0001791A"/>
    <w:rsid w:val="00017EB6"/>
    <w:rsid w:val="000217A3"/>
    <w:rsid w:val="00021C5E"/>
    <w:rsid w:val="00023FA2"/>
    <w:rsid w:val="000246B3"/>
    <w:rsid w:val="000246D9"/>
    <w:rsid w:val="00026A1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06AA"/>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37238"/>
    <w:rsid w:val="00340D69"/>
    <w:rsid w:val="003437A0"/>
    <w:rsid w:val="00346F31"/>
    <w:rsid w:val="00351F53"/>
    <w:rsid w:val="0035355D"/>
    <w:rsid w:val="00355031"/>
    <w:rsid w:val="00355ED8"/>
    <w:rsid w:val="003646A3"/>
    <w:rsid w:val="00367C7A"/>
    <w:rsid w:val="00370E6B"/>
    <w:rsid w:val="003712D7"/>
    <w:rsid w:val="0037249A"/>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26F8"/>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4D5C"/>
    <w:rsid w:val="00595AB2"/>
    <w:rsid w:val="005A0295"/>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1AD2"/>
    <w:rsid w:val="005E214B"/>
    <w:rsid w:val="005E6CCE"/>
    <w:rsid w:val="005F00A4"/>
    <w:rsid w:val="005F06F6"/>
    <w:rsid w:val="005F0AC6"/>
    <w:rsid w:val="005F15C6"/>
    <w:rsid w:val="005F4872"/>
    <w:rsid w:val="005F5459"/>
    <w:rsid w:val="00602FA0"/>
    <w:rsid w:val="00603C18"/>
    <w:rsid w:val="00610E16"/>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1DB9"/>
    <w:rsid w:val="00696853"/>
    <w:rsid w:val="006A082D"/>
    <w:rsid w:val="006A087F"/>
    <w:rsid w:val="006A1754"/>
    <w:rsid w:val="006A1D14"/>
    <w:rsid w:val="006A1E2C"/>
    <w:rsid w:val="006A2048"/>
    <w:rsid w:val="006A4594"/>
    <w:rsid w:val="006A56D6"/>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0F0E"/>
    <w:rsid w:val="00761ED4"/>
    <w:rsid w:val="00762B9F"/>
    <w:rsid w:val="00763AB6"/>
    <w:rsid w:val="00763EA9"/>
    <w:rsid w:val="007641DD"/>
    <w:rsid w:val="00764418"/>
    <w:rsid w:val="00765406"/>
    <w:rsid w:val="00765B50"/>
    <w:rsid w:val="00765C2D"/>
    <w:rsid w:val="00766704"/>
    <w:rsid w:val="007679A5"/>
    <w:rsid w:val="00771DCA"/>
    <w:rsid w:val="00772CB5"/>
    <w:rsid w:val="00773654"/>
    <w:rsid w:val="007744E0"/>
    <w:rsid w:val="0077511F"/>
    <w:rsid w:val="00775197"/>
    <w:rsid w:val="00775439"/>
    <w:rsid w:val="00775A5C"/>
    <w:rsid w:val="00775CBC"/>
    <w:rsid w:val="007775A1"/>
    <w:rsid w:val="00777962"/>
    <w:rsid w:val="00777A63"/>
    <w:rsid w:val="00780EB8"/>
    <w:rsid w:val="00781EC6"/>
    <w:rsid w:val="00785691"/>
    <w:rsid w:val="00786B7D"/>
    <w:rsid w:val="00787642"/>
    <w:rsid w:val="007903A8"/>
    <w:rsid w:val="00792E74"/>
    <w:rsid w:val="00794245"/>
    <w:rsid w:val="00794F29"/>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3"/>
    <w:rsid w:val="007F17C4"/>
    <w:rsid w:val="007F2A79"/>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B661F"/>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5C19"/>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A79CF"/>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1E97"/>
    <w:rsid w:val="00A23E77"/>
    <w:rsid w:val="00A23EF4"/>
    <w:rsid w:val="00A25DB6"/>
    <w:rsid w:val="00A26230"/>
    <w:rsid w:val="00A263F0"/>
    <w:rsid w:val="00A27988"/>
    <w:rsid w:val="00A304B7"/>
    <w:rsid w:val="00A315D3"/>
    <w:rsid w:val="00A36F7E"/>
    <w:rsid w:val="00A37D0A"/>
    <w:rsid w:val="00A405CC"/>
    <w:rsid w:val="00A40A1E"/>
    <w:rsid w:val="00A41509"/>
    <w:rsid w:val="00A43B06"/>
    <w:rsid w:val="00A43EC3"/>
    <w:rsid w:val="00A4661F"/>
    <w:rsid w:val="00A50A25"/>
    <w:rsid w:val="00A545F5"/>
    <w:rsid w:val="00A60669"/>
    <w:rsid w:val="00A6155D"/>
    <w:rsid w:val="00A61BAB"/>
    <w:rsid w:val="00A63C0C"/>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44B2"/>
    <w:rsid w:val="00AA7578"/>
    <w:rsid w:val="00AB1205"/>
    <w:rsid w:val="00AB1FEC"/>
    <w:rsid w:val="00AB30CD"/>
    <w:rsid w:val="00AB6FCD"/>
    <w:rsid w:val="00AC04EA"/>
    <w:rsid w:val="00AC53F5"/>
    <w:rsid w:val="00AC6923"/>
    <w:rsid w:val="00AD2358"/>
    <w:rsid w:val="00AD69CE"/>
    <w:rsid w:val="00AD6C59"/>
    <w:rsid w:val="00AE3364"/>
    <w:rsid w:val="00AE54DE"/>
    <w:rsid w:val="00AE6E54"/>
    <w:rsid w:val="00AF0837"/>
    <w:rsid w:val="00AF19B1"/>
    <w:rsid w:val="00AF3FE7"/>
    <w:rsid w:val="00AF4407"/>
    <w:rsid w:val="00AF7FDB"/>
    <w:rsid w:val="00B05556"/>
    <w:rsid w:val="00B06F67"/>
    <w:rsid w:val="00B0733E"/>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1A23"/>
    <w:rsid w:val="00BB38CB"/>
    <w:rsid w:val="00BB6A1A"/>
    <w:rsid w:val="00BC0360"/>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04E"/>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C88"/>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849"/>
    <w:rsid w:val="00CC5CAF"/>
    <w:rsid w:val="00CC6483"/>
    <w:rsid w:val="00CC7B13"/>
    <w:rsid w:val="00CD381B"/>
    <w:rsid w:val="00CD48A0"/>
    <w:rsid w:val="00CE1B11"/>
    <w:rsid w:val="00CE2269"/>
    <w:rsid w:val="00CE22EF"/>
    <w:rsid w:val="00CE36BE"/>
    <w:rsid w:val="00CE6A1C"/>
    <w:rsid w:val="00CE768E"/>
    <w:rsid w:val="00CF4D17"/>
    <w:rsid w:val="00CF55AD"/>
    <w:rsid w:val="00CF7867"/>
    <w:rsid w:val="00CF7B02"/>
    <w:rsid w:val="00CF7C82"/>
    <w:rsid w:val="00D00EE6"/>
    <w:rsid w:val="00D01802"/>
    <w:rsid w:val="00D02BFD"/>
    <w:rsid w:val="00D047B6"/>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3EF"/>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1FB5"/>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5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96928224">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eur-lex.europa.eu/legal-content/EN/TXT/?uri=CELEX:32003H036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isl xmlns:xsi="http://www.w3.org/2001/XMLSchema-instance" xmlns:xsd="http://www.w3.org/2001/XMLSchema" xmlns="http://www.boldonjames.com/2008/01/sie/internal/label" sislVersion="0" policy="8270c081-d9f3-48ae-83c7-c2320a8ca25c"/>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1466BEB4-736B-422E-8CC5-B67E452156EF}">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923A84C-4895-40C1-A8E1-97CF2785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18440</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 Evans</dc:creator>
  <cp:lastModifiedBy>Anne Charlton</cp:lastModifiedBy>
  <cp:revision>7</cp:revision>
  <dcterms:created xsi:type="dcterms:W3CDTF">2017-10-06T14:01:00Z</dcterms:created>
  <dcterms:modified xsi:type="dcterms:W3CDTF">2017-10-09T14:58:00Z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docIndexRef">
    <vt:lpwstr>faa77ed9-21b9-459e-b692-1c01e3fe403b</vt:lpwstr>
  </property>
  <property fmtid="{D5CDD505-2E9C-101B-9397-08002B2CF9AE}" pid="4" name="bjSaver">
    <vt:lpwstr>LrA+UcG7E42IN0dLhjCJc3Y6Xi7ojcQB</vt:lpwstr>
  </property>
  <property fmtid="{D5CDD505-2E9C-101B-9397-08002B2CF9AE}" pid="5" name="bjDocumentSecurityLabel">
    <vt:lpwstr>No Marking</vt:lpwstr>
  </property>
</Properties>
</file>