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1E64971E" w:rsidR="00FE0B21" w:rsidRPr="00961904" w:rsidRDefault="000239BD" w:rsidP="00FE0B21">
      <w:pPr>
        <w:pStyle w:val="Norma"/>
        <w:rPr>
          <w:rFonts w:cs="Arial"/>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1F409F" w:rsidRPr="00961904">
        <w:rPr>
          <w:rFonts w:cs="Arial"/>
          <w:sz w:val="36"/>
          <w:szCs w:val="36"/>
        </w:rPr>
        <w:t>To provide updated projections of future w</w:t>
      </w:r>
      <w:bookmarkStart w:id="0" w:name="_GoBack"/>
      <w:bookmarkEnd w:id="0"/>
      <w:r w:rsidR="001F409F" w:rsidRPr="00961904">
        <w:rPr>
          <w:rFonts w:cs="Arial"/>
          <w:sz w:val="36"/>
          <w:szCs w:val="36"/>
        </w:rPr>
        <w:t>ater availability for the UK</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4AAB7069"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524BE">
        <w:rPr>
          <w:rFonts w:cs="Arial"/>
          <w:color w:val="FF0000"/>
          <w:sz w:val="36"/>
          <w:szCs w:val="36"/>
        </w:rPr>
        <w:t>DS/0718[2]</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60037" w:rsidRDefault="00F60037" w:rsidP="003E5C19">
                            <w:pPr>
                              <w:pStyle w:val="Norma"/>
                              <w:jc w:val="center"/>
                              <w:rPr>
                                <w:b/>
                                <w:sz w:val="28"/>
                                <w:szCs w:val="28"/>
                              </w:rPr>
                            </w:pPr>
                          </w:p>
                          <w:p w14:paraId="5EA87636" w14:textId="77777777" w:rsidR="00F60037" w:rsidRDefault="00F60037" w:rsidP="003E5C19">
                            <w:pPr>
                              <w:pStyle w:val="Norma"/>
                              <w:jc w:val="center"/>
                              <w:rPr>
                                <w:b/>
                                <w:sz w:val="28"/>
                                <w:szCs w:val="28"/>
                              </w:rPr>
                            </w:pPr>
                          </w:p>
                          <w:p w14:paraId="5EA87637" w14:textId="77777777" w:rsidR="00F60037" w:rsidRPr="003E5C19" w:rsidRDefault="00F60037" w:rsidP="003E5C19">
                            <w:pPr>
                              <w:pStyle w:val="Norma"/>
                              <w:jc w:val="center"/>
                              <w:rPr>
                                <w:rFonts w:cs="Arial"/>
                                <w:b/>
                                <w:sz w:val="36"/>
                                <w:szCs w:val="36"/>
                              </w:rPr>
                            </w:pPr>
                            <w:r w:rsidRPr="003E5C19">
                              <w:rPr>
                                <w:b/>
                                <w:sz w:val="36"/>
                                <w:szCs w:val="36"/>
                              </w:rPr>
                              <w:t>Specification of Requirements</w:t>
                            </w:r>
                          </w:p>
                          <w:p w14:paraId="5EA87638" w14:textId="77777777" w:rsidR="00F60037" w:rsidRDefault="00F60037">
                            <w:pPr>
                              <w:pStyle w:val="Norma"/>
                            </w:pPr>
                          </w:p>
                          <w:p w14:paraId="5EA87639" w14:textId="77777777" w:rsidR="00F60037" w:rsidRDefault="00F60037">
                            <w:pPr>
                              <w:pStyle w:val="Norma"/>
                            </w:pPr>
                          </w:p>
                          <w:p w14:paraId="5EA8763A" w14:textId="1C512734" w:rsidR="00F60037" w:rsidRPr="005C4A3B" w:rsidRDefault="00F60037"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001330CF" w:rsidRPr="001F409F">
                              <w:rPr>
                                <w:sz w:val="24"/>
                                <w:szCs w:val="24"/>
                              </w:rPr>
                              <w:t>To provide updated projections of future water availability for the UK</w:t>
                            </w:r>
                          </w:p>
                          <w:p w14:paraId="5EA8763B" w14:textId="43912BE2" w:rsidR="00F60037" w:rsidRPr="005C4A3B" w:rsidRDefault="00F60037" w:rsidP="00405192">
                            <w:pPr>
                              <w:pStyle w:val="Norma"/>
                              <w:rPr>
                                <w:rFonts w:cs="Arial"/>
                                <w:sz w:val="24"/>
                                <w:szCs w:val="24"/>
                              </w:rPr>
                            </w:pPr>
                            <w:r w:rsidRPr="005C4A3B">
                              <w:rPr>
                                <w:rFonts w:cs="Arial"/>
                                <w:sz w:val="24"/>
                                <w:szCs w:val="24"/>
                              </w:rPr>
                              <w:t>Tender Reference Number:</w:t>
                            </w:r>
                            <w:r w:rsidR="00B524BE" w:rsidRPr="00B524BE">
                              <w:rPr>
                                <w:rFonts w:cs="Arial"/>
                                <w:color w:val="FF0000"/>
                                <w:sz w:val="36"/>
                                <w:szCs w:val="36"/>
                              </w:rPr>
                              <w:t xml:space="preserve"> </w:t>
                            </w:r>
                            <w:r w:rsidR="00B524BE">
                              <w:rPr>
                                <w:rFonts w:cs="Arial"/>
                                <w:color w:val="FF0000"/>
                                <w:sz w:val="36"/>
                                <w:szCs w:val="36"/>
                              </w:rPr>
                              <w:t>DS/0718[2]</w:t>
                            </w:r>
                          </w:p>
                          <w:p w14:paraId="5EA8763D" w14:textId="05A0F968" w:rsidR="00F60037" w:rsidRPr="005C4A3B" w:rsidRDefault="00F60037" w:rsidP="00790CE1">
                            <w:pPr>
                              <w:pStyle w:val="Norma"/>
                              <w:rPr>
                                <w:rFonts w:cs="Arial"/>
                                <w:color w:val="000000" w:themeColor="text1"/>
                                <w:sz w:val="24"/>
                                <w:szCs w:val="24"/>
                              </w:rPr>
                            </w:pPr>
                            <w:r w:rsidRPr="005C4A3B">
                              <w:rPr>
                                <w:rFonts w:cs="Arial"/>
                                <w:sz w:val="24"/>
                                <w:szCs w:val="24"/>
                              </w:rPr>
                              <w:t xml:space="preserve">Deadline for Tender Responses: </w:t>
                            </w:r>
                            <w:r w:rsidR="00EB32D6">
                              <w:rPr>
                                <w:rFonts w:cs="Arial"/>
                                <w:color w:val="000000" w:themeColor="text1"/>
                                <w:sz w:val="24"/>
                                <w:szCs w:val="24"/>
                              </w:rPr>
                              <w:t>2</w:t>
                            </w:r>
                            <w:r w:rsidR="00EE1923">
                              <w:rPr>
                                <w:rFonts w:cs="Arial"/>
                                <w:color w:val="000000" w:themeColor="text1"/>
                                <w:sz w:val="24"/>
                                <w:szCs w:val="24"/>
                              </w:rPr>
                              <w:t>4</w:t>
                            </w:r>
                            <w:r w:rsidR="002D0894">
                              <w:rPr>
                                <w:rFonts w:cs="Arial"/>
                                <w:color w:val="000000" w:themeColor="text1"/>
                                <w:sz w:val="24"/>
                                <w:szCs w:val="24"/>
                                <w:vertAlign w:val="superscript"/>
                              </w:rPr>
                              <w:t>th</w:t>
                            </w:r>
                            <w:r w:rsidR="00594142">
                              <w:rPr>
                                <w:rFonts w:cs="Arial"/>
                                <w:color w:val="000000" w:themeColor="text1"/>
                                <w:sz w:val="24"/>
                                <w:szCs w:val="24"/>
                                <w:vertAlign w:val="superscript"/>
                              </w:rPr>
                              <w:t xml:space="preserve"> </w:t>
                            </w:r>
                            <w:r w:rsidR="00EB32D6">
                              <w:rPr>
                                <w:rFonts w:cs="Arial"/>
                                <w:color w:val="000000" w:themeColor="text1"/>
                                <w:sz w:val="24"/>
                                <w:szCs w:val="24"/>
                              </w:rPr>
                              <w:t>September</w:t>
                            </w:r>
                            <w:r w:rsidR="00EB32D6" w:rsidRPr="00230D1F">
                              <w:rPr>
                                <w:rFonts w:cs="Arial"/>
                                <w:color w:val="000000" w:themeColor="text1"/>
                                <w:sz w:val="24"/>
                                <w:szCs w:val="24"/>
                              </w:rPr>
                              <w:t xml:space="preserve"> </w:t>
                            </w:r>
                            <w:r w:rsidR="001330CF" w:rsidRPr="00230D1F">
                              <w:rPr>
                                <w:rFonts w:cs="Arial"/>
                                <w:color w:val="000000" w:themeColor="text1"/>
                                <w:sz w:val="24"/>
                                <w:szCs w:val="24"/>
                              </w:rPr>
                              <w:t>2018</w:t>
                            </w:r>
                          </w:p>
                          <w:p w14:paraId="5EA8763E" w14:textId="77777777" w:rsidR="00F60037" w:rsidRDefault="00F60037" w:rsidP="00790CE1">
                            <w:pPr>
                              <w:pStyle w:val="Norma"/>
                              <w:rPr>
                                <w:rFonts w:cs="Arial"/>
                              </w:rPr>
                            </w:pPr>
                          </w:p>
                          <w:p w14:paraId="5EA8763F" w14:textId="77777777" w:rsidR="00F60037" w:rsidRPr="0000739E" w:rsidRDefault="00F60037" w:rsidP="00790CE1">
                            <w:pPr>
                              <w:pStyle w:val="Norma"/>
                              <w:rPr>
                                <w:rFonts w:cs="Arial"/>
                              </w:rPr>
                            </w:pPr>
                          </w:p>
                          <w:p w14:paraId="5EA87640" w14:textId="77777777" w:rsidR="00F60037" w:rsidRDefault="00F60037">
                            <w:pPr>
                              <w:pStyle w:val="Norma"/>
                            </w:pPr>
                          </w:p>
                          <w:p w14:paraId="5EA87641" w14:textId="77777777" w:rsidR="00F60037" w:rsidRDefault="00F60037">
                            <w:pPr>
                              <w:pStyle w:val="Norma"/>
                            </w:pPr>
                          </w:p>
                          <w:p w14:paraId="5EA87642" w14:textId="77777777" w:rsidR="00F60037" w:rsidRDefault="00F60037">
                            <w:pPr>
                              <w:pStyle w:val="Norma"/>
                            </w:pPr>
                          </w:p>
                          <w:p w14:paraId="5EA87643" w14:textId="77777777" w:rsidR="00F60037" w:rsidRDefault="00F60037">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60037" w:rsidRDefault="00F60037" w:rsidP="003E5C19">
                      <w:pPr>
                        <w:pStyle w:val="Norma"/>
                        <w:jc w:val="center"/>
                        <w:rPr>
                          <w:b/>
                          <w:sz w:val="28"/>
                          <w:szCs w:val="28"/>
                        </w:rPr>
                      </w:pPr>
                    </w:p>
                    <w:p w14:paraId="5EA87636" w14:textId="77777777" w:rsidR="00F60037" w:rsidRDefault="00F60037" w:rsidP="003E5C19">
                      <w:pPr>
                        <w:pStyle w:val="Norma"/>
                        <w:jc w:val="center"/>
                        <w:rPr>
                          <w:b/>
                          <w:sz w:val="28"/>
                          <w:szCs w:val="28"/>
                        </w:rPr>
                      </w:pPr>
                    </w:p>
                    <w:p w14:paraId="5EA87637" w14:textId="77777777" w:rsidR="00F60037" w:rsidRPr="003E5C19" w:rsidRDefault="00F60037" w:rsidP="003E5C19">
                      <w:pPr>
                        <w:pStyle w:val="Norma"/>
                        <w:jc w:val="center"/>
                        <w:rPr>
                          <w:rFonts w:cs="Arial"/>
                          <w:b/>
                          <w:sz w:val="36"/>
                          <w:szCs w:val="36"/>
                        </w:rPr>
                      </w:pPr>
                      <w:r w:rsidRPr="003E5C19">
                        <w:rPr>
                          <w:b/>
                          <w:sz w:val="36"/>
                          <w:szCs w:val="36"/>
                        </w:rPr>
                        <w:t>Specification of Requirements</w:t>
                      </w:r>
                    </w:p>
                    <w:p w14:paraId="5EA87638" w14:textId="77777777" w:rsidR="00F60037" w:rsidRDefault="00F60037">
                      <w:pPr>
                        <w:pStyle w:val="Norma"/>
                      </w:pPr>
                    </w:p>
                    <w:p w14:paraId="5EA87639" w14:textId="77777777" w:rsidR="00F60037" w:rsidRDefault="00F60037">
                      <w:pPr>
                        <w:pStyle w:val="Norma"/>
                      </w:pPr>
                    </w:p>
                    <w:p w14:paraId="5EA8763A" w14:textId="1C512734" w:rsidR="00F60037" w:rsidRPr="005C4A3B" w:rsidRDefault="00F60037"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001330CF" w:rsidRPr="001F409F">
                        <w:rPr>
                          <w:sz w:val="24"/>
                          <w:szCs w:val="24"/>
                        </w:rPr>
                        <w:t>To provide updated projections of future water availability for the UK</w:t>
                      </w:r>
                    </w:p>
                    <w:p w14:paraId="5EA8763B" w14:textId="43912BE2" w:rsidR="00F60037" w:rsidRPr="005C4A3B" w:rsidRDefault="00F60037" w:rsidP="00405192">
                      <w:pPr>
                        <w:pStyle w:val="Norma"/>
                        <w:rPr>
                          <w:rFonts w:cs="Arial"/>
                          <w:sz w:val="24"/>
                          <w:szCs w:val="24"/>
                        </w:rPr>
                      </w:pPr>
                      <w:r w:rsidRPr="005C4A3B">
                        <w:rPr>
                          <w:rFonts w:cs="Arial"/>
                          <w:sz w:val="24"/>
                          <w:szCs w:val="24"/>
                        </w:rPr>
                        <w:t>Tender Reference Number:</w:t>
                      </w:r>
                      <w:r w:rsidR="00B524BE" w:rsidRPr="00B524BE">
                        <w:rPr>
                          <w:rFonts w:cs="Arial"/>
                          <w:color w:val="FF0000"/>
                          <w:sz w:val="36"/>
                          <w:szCs w:val="36"/>
                        </w:rPr>
                        <w:t xml:space="preserve"> </w:t>
                      </w:r>
                      <w:r w:rsidR="00B524BE">
                        <w:rPr>
                          <w:rFonts w:cs="Arial"/>
                          <w:color w:val="FF0000"/>
                          <w:sz w:val="36"/>
                          <w:szCs w:val="36"/>
                        </w:rPr>
                        <w:t>DS/0718[2]</w:t>
                      </w:r>
                    </w:p>
                    <w:p w14:paraId="5EA8763D" w14:textId="05A0F968" w:rsidR="00F60037" w:rsidRPr="005C4A3B" w:rsidRDefault="00F60037" w:rsidP="00790CE1">
                      <w:pPr>
                        <w:pStyle w:val="Norma"/>
                        <w:rPr>
                          <w:rFonts w:cs="Arial"/>
                          <w:color w:val="000000" w:themeColor="text1"/>
                          <w:sz w:val="24"/>
                          <w:szCs w:val="24"/>
                        </w:rPr>
                      </w:pPr>
                      <w:r w:rsidRPr="005C4A3B">
                        <w:rPr>
                          <w:rFonts w:cs="Arial"/>
                          <w:sz w:val="24"/>
                          <w:szCs w:val="24"/>
                        </w:rPr>
                        <w:t xml:space="preserve">Deadline for Tender Responses: </w:t>
                      </w:r>
                      <w:r w:rsidR="00EB32D6">
                        <w:rPr>
                          <w:rFonts w:cs="Arial"/>
                          <w:color w:val="000000" w:themeColor="text1"/>
                          <w:sz w:val="24"/>
                          <w:szCs w:val="24"/>
                        </w:rPr>
                        <w:t>2</w:t>
                      </w:r>
                      <w:r w:rsidR="00EE1923">
                        <w:rPr>
                          <w:rFonts w:cs="Arial"/>
                          <w:color w:val="000000" w:themeColor="text1"/>
                          <w:sz w:val="24"/>
                          <w:szCs w:val="24"/>
                        </w:rPr>
                        <w:t>4</w:t>
                      </w:r>
                      <w:r w:rsidR="002D0894">
                        <w:rPr>
                          <w:rFonts w:cs="Arial"/>
                          <w:color w:val="000000" w:themeColor="text1"/>
                          <w:sz w:val="24"/>
                          <w:szCs w:val="24"/>
                          <w:vertAlign w:val="superscript"/>
                        </w:rPr>
                        <w:t>th</w:t>
                      </w:r>
                      <w:r w:rsidR="00594142">
                        <w:rPr>
                          <w:rFonts w:cs="Arial"/>
                          <w:color w:val="000000" w:themeColor="text1"/>
                          <w:sz w:val="24"/>
                          <w:szCs w:val="24"/>
                          <w:vertAlign w:val="superscript"/>
                        </w:rPr>
                        <w:t xml:space="preserve"> </w:t>
                      </w:r>
                      <w:r w:rsidR="00EB32D6">
                        <w:rPr>
                          <w:rFonts w:cs="Arial"/>
                          <w:color w:val="000000" w:themeColor="text1"/>
                          <w:sz w:val="24"/>
                          <w:szCs w:val="24"/>
                        </w:rPr>
                        <w:t>September</w:t>
                      </w:r>
                      <w:r w:rsidR="00EB32D6" w:rsidRPr="00230D1F">
                        <w:rPr>
                          <w:rFonts w:cs="Arial"/>
                          <w:color w:val="000000" w:themeColor="text1"/>
                          <w:sz w:val="24"/>
                          <w:szCs w:val="24"/>
                        </w:rPr>
                        <w:t xml:space="preserve"> </w:t>
                      </w:r>
                      <w:r w:rsidR="001330CF" w:rsidRPr="00230D1F">
                        <w:rPr>
                          <w:rFonts w:cs="Arial"/>
                          <w:color w:val="000000" w:themeColor="text1"/>
                          <w:sz w:val="24"/>
                          <w:szCs w:val="24"/>
                        </w:rPr>
                        <w:t>2018</w:t>
                      </w:r>
                    </w:p>
                    <w:p w14:paraId="5EA8763E" w14:textId="77777777" w:rsidR="00F60037" w:rsidRDefault="00F60037" w:rsidP="00790CE1">
                      <w:pPr>
                        <w:pStyle w:val="Norma"/>
                        <w:rPr>
                          <w:rFonts w:cs="Arial"/>
                        </w:rPr>
                      </w:pPr>
                    </w:p>
                    <w:p w14:paraId="5EA8763F" w14:textId="77777777" w:rsidR="00F60037" w:rsidRPr="0000739E" w:rsidRDefault="00F60037" w:rsidP="00790CE1">
                      <w:pPr>
                        <w:pStyle w:val="Norma"/>
                        <w:rPr>
                          <w:rFonts w:cs="Arial"/>
                        </w:rPr>
                      </w:pPr>
                    </w:p>
                    <w:p w14:paraId="5EA87640" w14:textId="77777777" w:rsidR="00F60037" w:rsidRDefault="00F60037">
                      <w:pPr>
                        <w:pStyle w:val="Norma"/>
                      </w:pPr>
                    </w:p>
                    <w:p w14:paraId="5EA87641" w14:textId="77777777" w:rsidR="00F60037" w:rsidRDefault="00F60037">
                      <w:pPr>
                        <w:pStyle w:val="Norma"/>
                      </w:pPr>
                    </w:p>
                    <w:p w14:paraId="5EA87642" w14:textId="77777777" w:rsidR="00F60037" w:rsidRDefault="00F60037">
                      <w:pPr>
                        <w:pStyle w:val="Norma"/>
                      </w:pPr>
                    </w:p>
                    <w:p w14:paraId="5EA87643" w14:textId="77777777" w:rsidR="00F60037" w:rsidRDefault="00F60037">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47FC3958" w14:textId="77777777" w:rsidR="000A1826"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0A1826" w:rsidRPr="00756CEF">
        <w:rPr>
          <w:rFonts w:cs="Arial"/>
          <w:noProof/>
        </w:rPr>
        <w:t>1.</w:t>
      </w:r>
      <w:r w:rsidR="000A1826">
        <w:rPr>
          <w:rFonts w:asciiTheme="minorHAnsi" w:eastAsiaTheme="minorEastAsia" w:hAnsiTheme="minorHAnsi" w:cstheme="minorBidi"/>
          <w:noProof/>
        </w:rPr>
        <w:tab/>
      </w:r>
      <w:r w:rsidR="000A1826" w:rsidRPr="00756CEF">
        <w:rPr>
          <w:rFonts w:cs="Arial"/>
          <w:noProof/>
        </w:rPr>
        <w:t>Introduction and summary of requirements / Preamble</w:t>
      </w:r>
      <w:r w:rsidR="000A1826">
        <w:rPr>
          <w:noProof/>
        </w:rPr>
        <w:tab/>
      </w:r>
      <w:r w:rsidR="000A1826">
        <w:rPr>
          <w:noProof/>
        </w:rPr>
        <w:fldChar w:fldCharType="begin"/>
      </w:r>
      <w:r w:rsidR="000A1826">
        <w:rPr>
          <w:noProof/>
        </w:rPr>
        <w:instrText xml:space="preserve"> PAGEREF _Toc520373355 \h </w:instrText>
      </w:r>
      <w:r w:rsidR="000A1826">
        <w:rPr>
          <w:noProof/>
        </w:rPr>
      </w:r>
      <w:r w:rsidR="000A1826">
        <w:rPr>
          <w:noProof/>
        </w:rPr>
        <w:fldChar w:fldCharType="separate"/>
      </w:r>
      <w:r w:rsidR="000A1826">
        <w:rPr>
          <w:noProof/>
        </w:rPr>
        <w:t>3</w:t>
      </w:r>
      <w:r w:rsidR="000A1826">
        <w:rPr>
          <w:noProof/>
        </w:rPr>
        <w:fldChar w:fldCharType="end"/>
      </w:r>
    </w:p>
    <w:p w14:paraId="3230D164" w14:textId="77777777" w:rsidR="000A1826" w:rsidRDefault="000A1826">
      <w:pPr>
        <w:pStyle w:val="TOC1"/>
        <w:rPr>
          <w:rFonts w:asciiTheme="minorHAnsi" w:eastAsiaTheme="minorEastAsia" w:hAnsiTheme="minorHAnsi" w:cstheme="minorBidi"/>
          <w:noProof/>
        </w:rPr>
      </w:pPr>
      <w:r w:rsidRPr="00756CEF">
        <w:rPr>
          <w:rFonts w:cs="Arial"/>
          <w:noProof/>
        </w:rPr>
        <w:t>2.</w:t>
      </w:r>
      <w:r>
        <w:rPr>
          <w:rFonts w:asciiTheme="minorHAnsi" w:eastAsiaTheme="minorEastAsia" w:hAnsiTheme="minorHAnsi" w:cstheme="minorBidi"/>
          <w:noProof/>
        </w:rPr>
        <w:tab/>
      </w:r>
      <w:r w:rsidRPr="00756CEF">
        <w:rPr>
          <w:rFonts w:cs="Arial"/>
          <w:noProof/>
        </w:rPr>
        <w:t>Background</w:t>
      </w:r>
      <w:r>
        <w:rPr>
          <w:noProof/>
        </w:rPr>
        <w:tab/>
      </w:r>
      <w:r>
        <w:rPr>
          <w:noProof/>
        </w:rPr>
        <w:fldChar w:fldCharType="begin"/>
      </w:r>
      <w:r>
        <w:rPr>
          <w:noProof/>
        </w:rPr>
        <w:instrText xml:space="preserve"> PAGEREF _Toc520373356 \h </w:instrText>
      </w:r>
      <w:r>
        <w:rPr>
          <w:noProof/>
        </w:rPr>
      </w:r>
      <w:r>
        <w:rPr>
          <w:noProof/>
        </w:rPr>
        <w:fldChar w:fldCharType="separate"/>
      </w:r>
      <w:r>
        <w:rPr>
          <w:noProof/>
        </w:rPr>
        <w:t>3</w:t>
      </w:r>
      <w:r>
        <w:rPr>
          <w:noProof/>
        </w:rPr>
        <w:fldChar w:fldCharType="end"/>
      </w:r>
    </w:p>
    <w:p w14:paraId="15DDBCCD" w14:textId="77777777" w:rsidR="000A1826" w:rsidRDefault="000A1826">
      <w:pPr>
        <w:pStyle w:val="TOC1"/>
        <w:rPr>
          <w:rFonts w:asciiTheme="minorHAnsi" w:eastAsiaTheme="minorEastAsia" w:hAnsiTheme="minorHAnsi" w:cstheme="minorBidi"/>
          <w:noProof/>
        </w:rPr>
      </w:pPr>
      <w:r w:rsidRPr="00756CEF">
        <w:rPr>
          <w:rFonts w:cs="Arial"/>
          <w:noProof/>
        </w:rPr>
        <w:t>3.</w:t>
      </w:r>
      <w:r>
        <w:rPr>
          <w:rFonts w:asciiTheme="minorHAnsi" w:eastAsiaTheme="minorEastAsia" w:hAnsiTheme="minorHAnsi" w:cstheme="minorBidi"/>
          <w:noProof/>
        </w:rPr>
        <w:tab/>
      </w:r>
      <w:r w:rsidRPr="00756CEF">
        <w:rPr>
          <w:rFonts w:cs="Arial"/>
          <w:noProof/>
        </w:rPr>
        <w:t>Aims and Objectives</w:t>
      </w:r>
      <w:r>
        <w:rPr>
          <w:noProof/>
        </w:rPr>
        <w:tab/>
      </w:r>
      <w:r>
        <w:rPr>
          <w:noProof/>
        </w:rPr>
        <w:fldChar w:fldCharType="begin"/>
      </w:r>
      <w:r>
        <w:rPr>
          <w:noProof/>
        </w:rPr>
        <w:instrText xml:space="preserve"> PAGEREF _Toc520373357 \h </w:instrText>
      </w:r>
      <w:r>
        <w:rPr>
          <w:noProof/>
        </w:rPr>
      </w:r>
      <w:r>
        <w:rPr>
          <w:noProof/>
        </w:rPr>
        <w:fldChar w:fldCharType="separate"/>
      </w:r>
      <w:r>
        <w:rPr>
          <w:noProof/>
        </w:rPr>
        <w:t>4</w:t>
      </w:r>
      <w:r>
        <w:rPr>
          <w:noProof/>
        </w:rPr>
        <w:fldChar w:fldCharType="end"/>
      </w:r>
    </w:p>
    <w:p w14:paraId="76A0C548" w14:textId="77777777" w:rsidR="000A1826" w:rsidRDefault="000A1826">
      <w:pPr>
        <w:pStyle w:val="TOC1"/>
        <w:rPr>
          <w:rFonts w:asciiTheme="minorHAnsi" w:eastAsiaTheme="minorEastAsia" w:hAnsiTheme="minorHAnsi" w:cstheme="minorBidi"/>
          <w:noProof/>
        </w:rPr>
      </w:pPr>
      <w:r w:rsidRPr="00756CEF">
        <w:rPr>
          <w:rFonts w:cs="Arial"/>
          <w:noProof/>
        </w:rPr>
        <w:t>4</w:t>
      </w:r>
      <w:r>
        <w:rPr>
          <w:rFonts w:asciiTheme="minorHAnsi" w:eastAsiaTheme="minorEastAsia" w:hAnsiTheme="minorHAnsi" w:cstheme="minorBidi"/>
          <w:noProof/>
        </w:rPr>
        <w:tab/>
      </w:r>
      <w:r w:rsidRPr="00756CEF">
        <w:rPr>
          <w:rFonts w:cs="Arial"/>
          <w:noProof/>
        </w:rPr>
        <w:t>Methodology</w:t>
      </w:r>
      <w:r>
        <w:rPr>
          <w:noProof/>
        </w:rPr>
        <w:tab/>
      </w:r>
      <w:r>
        <w:rPr>
          <w:noProof/>
        </w:rPr>
        <w:fldChar w:fldCharType="begin"/>
      </w:r>
      <w:r>
        <w:rPr>
          <w:noProof/>
        </w:rPr>
        <w:instrText xml:space="preserve"> PAGEREF _Toc520373358 \h </w:instrText>
      </w:r>
      <w:r>
        <w:rPr>
          <w:noProof/>
        </w:rPr>
      </w:r>
      <w:r>
        <w:rPr>
          <w:noProof/>
        </w:rPr>
        <w:fldChar w:fldCharType="separate"/>
      </w:r>
      <w:r>
        <w:rPr>
          <w:noProof/>
        </w:rPr>
        <w:t>5</w:t>
      </w:r>
      <w:r>
        <w:rPr>
          <w:noProof/>
        </w:rPr>
        <w:fldChar w:fldCharType="end"/>
      </w:r>
    </w:p>
    <w:p w14:paraId="10BD5FEF" w14:textId="77777777" w:rsidR="000A1826" w:rsidRDefault="000A1826">
      <w:pPr>
        <w:pStyle w:val="TOC1"/>
        <w:rPr>
          <w:rFonts w:asciiTheme="minorHAnsi" w:eastAsiaTheme="minorEastAsia" w:hAnsiTheme="minorHAnsi" w:cstheme="minorBidi"/>
          <w:noProof/>
        </w:rPr>
      </w:pPr>
      <w:r w:rsidRPr="00756CEF">
        <w:rPr>
          <w:rFonts w:cs="Arial"/>
          <w:noProof/>
        </w:rPr>
        <w:t>5</w:t>
      </w:r>
      <w:r>
        <w:rPr>
          <w:rFonts w:asciiTheme="minorHAnsi" w:eastAsiaTheme="minorEastAsia" w:hAnsiTheme="minorHAnsi" w:cstheme="minorBidi"/>
          <w:noProof/>
        </w:rPr>
        <w:tab/>
      </w:r>
      <w:r w:rsidRPr="00756CEF">
        <w:rPr>
          <w:rFonts w:cs="Arial"/>
          <w:noProof/>
        </w:rPr>
        <w:t>Outputs Required</w:t>
      </w:r>
      <w:r>
        <w:rPr>
          <w:noProof/>
        </w:rPr>
        <w:tab/>
      </w:r>
      <w:r>
        <w:rPr>
          <w:noProof/>
        </w:rPr>
        <w:fldChar w:fldCharType="begin"/>
      </w:r>
      <w:r>
        <w:rPr>
          <w:noProof/>
        </w:rPr>
        <w:instrText xml:space="preserve"> PAGEREF _Toc520373359 \h </w:instrText>
      </w:r>
      <w:r>
        <w:rPr>
          <w:noProof/>
        </w:rPr>
      </w:r>
      <w:r>
        <w:rPr>
          <w:noProof/>
        </w:rPr>
        <w:fldChar w:fldCharType="separate"/>
      </w:r>
      <w:r>
        <w:rPr>
          <w:noProof/>
        </w:rPr>
        <w:t>5</w:t>
      </w:r>
      <w:r>
        <w:rPr>
          <w:noProof/>
        </w:rPr>
        <w:fldChar w:fldCharType="end"/>
      </w:r>
    </w:p>
    <w:p w14:paraId="4C160234" w14:textId="77777777" w:rsidR="000A1826" w:rsidRDefault="000A1826">
      <w:pPr>
        <w:pStyle w:val="TOC1"/>
        <w:rPr>
          <w:rFonts w:asciiTheme="minorHAnsi" w:eastAsiaTheme="minorEastAsia" w:hAnsiTheme="minorHAnsi" w:cstheme="minorBidi"/>
          <w:noProof/>
        </w:rPr>
      </w:pPr>
      <w:r w:rsidRPr="00756CEF">
        <w:rPr>
          <w:rFonts w:cs="Arial"/>
          <w:noProof/>
        </w:rPr>
        <w:t>6</w:t>
      </w:r>
      <w:r>
        <w:rPr>
          <w:rFonts w:asciiTheme="minorHAnsi" w:eastAsiaTheme="minorEastAsia" w:hAnsiTheme="minorHAnsi" w:cstheme="minorBidi"/>
          <w:noProof/>
        </w:rPr>
        <w:tab/>
      </w:r>
      <w:r w:rsidRPr="00756CEF">
        <w:rPr>
          <w:rFonts w:cs="Arial"/>
          <w:noProof/>
        </w:rPr>
        <w:t>Ownership and Publication</w:t>
      </w:r>
      <w:r>
        <w:rPr>
          <w:noProof/>
        </w:rPr>
        <w:tab/>
      </w:r>
      <w:r>
        <w:rPr>
          <w:noProof/>
        </w:rPr>
        <w:fldChar w:fldCharType="begin"/>
      </w:r>
      <w:r>
        <w:rPr>
          <w:noProof/>
        </w:rPr>
        <w:instrText xml:space="preserve"> PAGEREF _Toc520373360 \h </w:instrText>
      </w:r>
      <w:r>
        <w:rPr>
          <w:noProof/>
        </w:rPr>
      </w:r>
      <w:r>
        <w:rPr>
          <w:noProof/>
        </w:rPr>
        <w:fldChar w:fldCharType="separate"/>
      </w:r>
      <w:r>
        <w:rPr>
          <w:noProof/>
        </w:rPr>
        <w:t>6</w:t>
      </w:r>
      <w:r>
        <w:rPr>
          <w:noProof/>
        </w:rPr>
        <w:fldChar w:fldCharType="end"/>
      </w:r>
    </w:p>
    <w:p w14:paraId="035F6F71" w14:textId="77777777" w:rsidR="000A1826" w:rsidRDefault="000A1826">
      <w:pPr>
        <w:pStyle w:val="TOC1"/>
        <w:rPr>
          <w:rFonts w:asciiTheme="minorHAnsi" w:eastAsiaTheme="minorEastAsia" w:hAnsiTheme="minorHAnsi" w:cstheme="minorBidi"/>
          <w:noProof/>
        </w:rPr>
      </w:pPr>
      <w:r w:rsidRPr="00756CEF">
        <w:rPr>
          <w:rFonts w:cs="Arial"/>
          <w:noProof/>
        </w:rPr>
        <w:t>7</w:t>
      </w:r>
      <w:r>
        <w:rPr>
          <w:rFonts w:asciiTheme="minorHAnsi" w:eastAsiaTheme="minorEastAsia" w:hAnsiTheme="minorHAnsi" w:cstheme="minorBidi"/>
          <w:noProof/>
        </w:rPr>
        <w:tab/>
      </w:r>
      <w:r w:rsidRPr="00756CEF">
        <w:rPr>
          <w:rFonts w:cs="Arial"/>
          <w:noProof/>
        </w:rPr>
        <w:t>Quality Assurance</w:t>
      </w:r>
      <w:r>
        <w:rPr>
          <w:noProof/>
        </w:rPr>
        <w:tab/>
      </w:r>
      <w:r>
        <w:rPr>
          <w:noProof/>
        </w:rPr>
        <w:fldChar w:fldCharType="begin"/>
      </w:r>
      <w:r>
        <w:rPr>
          <w:noProof/>
        </w:rPr>
        <w:instrText xml:space="preserve"> PAGEREF _Toc520373361 \h </w:instrText>
      </w:r>
      <w:r>
        <w:rPr>
          <w:noProof/>
        </w:rPr>
      </w:r>
      <w:r>
        <w:rPr>
          <w:noProof/>
        </w:rPr>
        <w:fldChar w:fldCharType="separate"/>
      </w:r>
      <w:r>
        <w:rPr>
          <w:noProof/>
        </w:rPr>
        <w:t>6</w:t>
      </w:r>
      <w:r>
        <w:rPr>
          <w:noProof/>
        </w:rPr>
        <w:fldChar w:fldCharType="end"/>
      </w:r>
    </w:p>
    <w:p w14:paraId="7F4300C3" w14:textId="77777777" w:rsidR="000A1826" w:rsidRDefault="000A1826">
      <w:pPr>
        <w:pStyle w:val="TOC1"/>
        <w:rPr>
          <w:rFonts w:asciiTheme="minorHAnsi" w:eastAsiaTheme="minorEastAsia" w:hAnsiTheme="minorHAnsi" w:cstheme="minorBidi"/>
          <w:noProof/>
        </w:rPr>
      </w:pPr>
      <w:r w:rsidRPr="00756CEF">
        <w:rPr>
          <w:rFonts w:cs="Arial"/>
          <w:noProof/>
        </w:rPr>
        <w:t>8</w:t>
      </w:r>
      <w:r>
        <w:rPr>
          <w:rFonts w:asciiTheme="minorHAnsi" w:eastAsiaTheme="minorEastAsia" w:hAnsiTheme="minorHAnsi" w:cstheme="minorBidi"/>
          <w:noProof/>
        </w:rPr>
        <w:tab/>
      </w:r>
      <w:r w:rsidRPr="00756CEF">
        <w:rPr>
          <w:rFonts w:cs="Arial"/>
          <w:noProof/>
        </w:rPr>
        <w:t>Timetable</w:t>
      </w:r>
      <w:r>
        <w:rPr>
          <w:noProof/>
        </w:rPr>
        <w:tab/>
      </w:r>
      <w:r>
        <w:rPr>
          <w:noProof/>
        </w:rPr>
        <w:fldChar w:fldCharType="begin"/>
      </w:r>
      <w:r>
        <w:rPr>
          <w:noProof/>
        </w:rPr>
        <w:instrText xml:space="preserve"> PAGEREF _Toc520373362 \h </w:instrText>
      </w:r>
      <w:r>
        <w:rPr>
          <w:noProof/>
        </w:rPr>
      </w:r>
      <w:r>
        <w:rPr>
          <w:noProof/>
        </w:rPr>
        <w:fldChar w:fldCharType="separate"/>
      </w:r>
      <w:r>
        <w:rPr>
          <w:noProof/>
        </w:rPr>
        <w:t>7</w:t>
      </w:r>
      <w:r>
        <w:rPr>
          <w:noProof/>
        </w:rPr>
        <w:fldChar w:fldCharType="end"/>
      </w:r>
    </w:p>
    <w:p w14:paraId="48813A51" w14:textId="77777777" w:rsidR="000A1826" w:rsidRDefault="000A1826">
      <w:pPr>
        <w:pStyle w:val="TOC1"/>
        <w:rPr>
          <w:rFonts w:asciiTheme="minorHAnsi" w:eastAsiaTheme="minorEastAsia" w:hAnsiTheme="minorHAnsi" w:cstheme="minorBidi"/>
          <w:noProof/>
        </w:rPr>
      </w:pPr>
      <w:r w:rsidRPr="00756CEF">
        <w:rPr>
          <w:rFonts w:cs="Arial"/>
          <w:noProof/>
        </w:rPr>
        <w:t>9</w:t>
      </w:r>
      <w:r>
        <w:rPr>
          <w:rFonts w:asciiTheme="minorHAnsi" w:eastAsiaTheme="minorEastAsia" w:hAnsiTheme="minorHAnsi" w:cstheme="minorBidi"/>
          <w:noProof/>
        </w:rPr>
        <w:tab/>
      </w:r>
      <w:r w:rsidRPr="00756CEF">
        <w:rPr>
          <w:rFonts w:cs="Arial"/>
          <w:noProof/>
        </w:rPr>
        <w:t>Challenges</w:t>
      </w:r>
      <w:r>
        <w:rPr>
          <w:noProof/>
        </w:rPr>
        <w:tab/>
      </w:r>
      <w:r>
        <w:rPr>
          <w:noProof/>
        </w:rPr>
        <w:fldChar w:fldCharType="begin"/>
      </w:r>
      <w:r>
        <w:rPr>
          <w:noProof/>
        </w:rPr>
        <w:instrText xml:space="preserve"> PAGEREF _Toc520373363 \h </w:instrText>
      </w:r>
      <w:r>
        <w:rPr>
          <w:noProof/>
        </w:rPr>
      </w:r>
      <w:r>
        <w:rPr>
          <w:noProof/>
        </w:rPr>
        <w:fldChar w:fldCharType="separate"/>
      </w:r>
      <w:r>
        <w:rPr>
          <w:noProof/>
        </w:rPr>
        <w:t>7</w:t>
      </w:r>
      <w:r>
        <w:rPr>
          <w:noProof/>
        </w:rPr>
        <w:fldChar w:fldCharType="end"/>
      </w:r>
    </w:p>
    <w:p w14:paraId="20A70A79" w14:textId="77777777" w:rsidR="000A1826" w:rsidRDefault="000A1826">
      <w:pPr>
        <w:pStyle w:val="TOC1"/>
        <w:rPr>
          <w:rFonts w:asciiTheme="minorHAnsi" w:eastAsiaTheme="minorEastAsia" w:hAnsiTheme="minorHAnsi" w:cstheme="minorBidi"/>
          <w:noProof/>
        </w:rPr>
      </w:pPr>
      <w:r w:rsidRPr="00756CEF">
        <w:rPr>
          <w:rFonts w:cs="Arial"/>
          <w:noProof/>
        </w:rPr>
        <w:t>10</w:t>
      </w:r>
      <w:r>
        <w:rPr>
          <w:rFonts w:asciiTheme="minorHAnsi" w:eastAsiaTheme="minorEastAsia" w:hAnsiTheme="minorHAnsi" w:cstheme="minorBidi"/>
          <w:noProof/>
        </w:rPr>
        <w:tab/>
      </w:r>
      <w:r w:rsidRPr="00756CEF">
        <w:rPr>
          <w:rFonts w:cs="Arial"/>
          <w:noProof/>
        </w:rPr>
        <w:t>Ethics</w:t>
      </w:r>
      <w:r>
        <w:rPr>
          <w:noProof/>
        </w:rPr>
        <w:tab/>
      </w:r>
      <w:r>
        <w:rPr>
          <w:noProof/>
        </w:rPr>
        <w:fldChar w:fldCharType="begin"/>
      </w:r>
      <w:r>
        <w:rPr>
          <w:noProof/>
        </w:rPr>
        <w:instrText xml:space="preserve"> PAGEREF _Toc520373364 \h </w:instrText>
      </w:r>
      <w:r>
        <w:rPr>
          <w:noProof/>
        </w:rPr>
      </w:r>
      <w:r>
        <w:rPr>
          <w:noProof/>
        </w:rPr>
        <w:fldChar w:fldCharType="separate"/>
      </w:r>
      <w:r>
        <w:rPr>
          <w:noProof/>
        </w:rPr>
        <w:t>8</w:t>
      </w:r>
      <w:r>
        <w:rPr>
          <w:noProof/>
        </w:rPr>
        <w:fldChar w:fldCharType="end"/>
      </w:r>
    </w:p>
    <w:p w14:paraId="43497DA7" w14:textId="77777777" w:rsidR="000A1826" w:rsidRDefault="000A1826">
      <w:pPr>
        <w:pStyle w:val="TOC1"/>
        <w:rPr>
          <w:rFonts w:asciiTheme="minorHAnsi" w:eastAsiaTheme="minorEastAsia" w:hAnsiTheme="minorHAnsi" w:cstheme="minorBidi"/>
          <w:noProof/>
        </w:rPr>
      </w:pPr>
      <w:r w:rsidRPr="00756CEF">
        <w:rPr>
          <w:rFonts w:cs="Arial"/>
          <w:noProof/>
        </w:rPr>
        <w:t>11</w:t>
      </w:r>
      <w:r>
        <w:rPr>
          <w:rFonts w:asciiTheme="minorHAnsi" w:eastAsiaTheme="minorEastAsia" w:hAnsiTheme="minorHAnsi" w:cstheme="minorBidi"/>
          <w:noProof/>
        </w:rPr>
        <w:tab/>
      </w:r>
      <w:r w:rsidRPr="00756CEF">
        <w:rPr>
          <w:rFonts w:cs="Arial"/>
          <w:noProof/>
        </w:rPr>
        <w:t>Working Arrangements</w:t>
      </w:r>
      <w:r>
        <w:rPr>
          <w:noProof/>
        </w:rPr>
        <w:tab/>
      </w:r>
      <w:r>
        <w:rPr>
          <w:noProof/>
        </w:rPr>
        <w:fldChar w:fldCharType="begin"/>
      </w:r>
      <w:r>
        <w:rPr>
          <w:noProof/>
        </w:rPr>
        <w:instrText xml:space="preserve"> PAGEREF _Toc520373365 \h </w:instrText>
      </w:r>
      <w:r>
        <w:rPr>
          <w:noProof/>
        </w:rPr>
      </w:r>
      <w:r>
        <w:rPr>
          <w:noProof/>
        </w:rPr>
        <w:fldChar w:fldCharType="separate"/>
      </w:r>
      <w:r>
        <w:rPr>
          <w:noProof/>
        </w:rPr>
        <w:t>8</w:t>
      </w:r>
      <w:r>
        <w:rPr>
          <w:noProof/>
        </w:rPr>
        <w:fldChar w:fldCharType="end"/>
      </w:r>
    </w:p>
    <w:p w14:paraId="75664442" w14:textId="77777777" w:rsidR="000A1826" w:rsidRDefault="000A1826">
      <w:pPr>
        <w:pStyle w:val="TOC1"/>
        <w:rPr>
          <w:rFonts w:asciiTheme="minorHAnsi" w:eastAsiaTheme="minorEastAsia" w:hAnsiTheme="minorHAnsi" w:cstheme="minorBidi"/>
          <w:noProof/>
        </w:rPr>
      </w:pPr>
      <w:r w:rsidRPr="00756CEF">
        <w:rPr>
          <w:rFonts w:cs="Arial"/>
          <w:noProof/>
        </w:rPr>
        <w:t>12</w:t>
      </w:r>
      <w:r>
        <w:rPr>
          <w:rFonts w:asciiTheme="minorHAnsi" w:eastAsiaTheme="minorEastAsia" w:hAnsiTheme="minorHAnsi" w:cstheme="minorBidi"/>
          <w:noProof/>
        </w:rPr>
        <w:tab/>
      </w:r>
      <w:r w:rsidRPr="00756CEF">
        <w:rPr>
          <w:rFonts w:cs="Arial"/>
          <w:noProof/>
        </w:rPr>
        <w:t>Skills and experience</w:t>
      </w:r>
      <w:r>
        <w:rPr>
          <w:noProof/>
        </w:rPr>
        <w:tab/>
      </w:r>
      <w:r>
        <w:rPr>
          <w:noProof/>
        </w:rPr>
        <w:fldChar w:fldCharType="begin"/>
      </w:r>
      <w:r>
        <w:rPr>
          <w:noProof/>
        </w:rPr>
        <w:instrText xml:space="preserve"> PAGEREF _Toc520373366 \h </w:instrText>
      </w:r>
      <w:r>
        <w:rPr>
          <w:noProof/>
        </w:rPr>
      </w:r>
      <w:r>
        <w:rPr>
          <w:noProof/>
        </w:rPr>
        <w:fldChar w:fldCharType="separate"/>
      </w:r>
      <w:r>
        <w:rPr>
          <w:noProof/>
        </w:rPr>
        <w:t>8</w:t>
      </w:r>
      <w:r>
        <w:rPr>
          <w:noProof/>
        </w:rPr>
        <w:fldChar w:fldCharType="end"/>
      </w:r>
    </w:p>
    <w:p w14:paraId="6F559AF3" w14:textId="77777777" w:rsidR="000A1826" w:rsidRDefault="000A1826">
      <w:pPr>
        <w:pStyle w:val="TOC1"/>
        <w:rPr>
          <w:rFonts w:asciiTheme="minorHAnsi" w:eastAsiaTheme="minorEastAsia" w:hAnsiTheme="minorHAnsi" w:cstheme="minorBidi"/>
          <w:noProof/>
        </w:rPr>
      </w:pPr>
      <w:r w:rsidRPr="00756CEF">
        <w:rPr>
          <w:rFonts w:cs="Arial"/>
          <w:noProof/>
        </w:rPr>
        <w:t>13</w:t>
      </w:r>
      <w:r>
        <w:rPr>
          <w:rFonts w:asciiTheme="minorHAnsi" w:eastAsiaTheme="minorEastAsia" w:hAnsiTheme="minorHAnsi" w:cstheme="minorBidi"/>
          <w:noProof/>
        </w:rPr>
        <w:tab/>
      </w:r>
      <w:r w:rsidRPr="00756CEF">
        <w:rPr>
          <w:rFonts w:cs="Arial"/>
          <w:noProof/>
        </w:rPr>
        <w:t>Consortium Bids</w:t>
      </w:r>
      <w:r>
        <w:rPr>
          <w:noProof/>
        </w:rPr>
        <w:tab/>
      </w:r>
      <w:r>
        <w:rPr>
          <w:noProof/>
        </w:rPr>
        <w:fldChar w:fldCharType="begin"/>
      </w:r>
      <w:r>
        <w:rPr>
          <w:noProof/>
        </w:rPr>
        <w:instrText xml:space="preserve"> PAGEREF _Toc520373367 \h </w:instrText>
      </w:r>
      <w:r>
        <w:rPr>
          <w:noProof/>
        </w:rPr>
      </w:r>
      <w:r>
        <w:rPr>
          <w:noProof/>
        </w:rPr>
        <w:fldChar w:fldCharType="separate"/>
      </w:r>
      <w:r>
        <w:rPr>
          <w:noProof/>
        </w:rPr>
        <w:t>8</w:t>
      </w:r>
      <w:r>
        <w:rPr>
          <w:noProof/>
        </w:rPr>
        <w:fldChar w:fldCharType="end"/>
      </w:r>
    </w:p>
    <w:p w14:paraId="42264999" w14:textId="77777777" w:rsidR="000A1826" w:rsidRDefault="000A1826">
      <w:pPr>
        <w:pStyle w:val="TOC1"/>
        <w:rPr>
          <w:rFonts w:asciiTheme="minorHAnsi" w:eastAsiaTheme="minorEastAsia" w:hAnsiTheme="minorHAnsi" w:cstheme="minorBidi"/>
          <w:noProof/>
        </w:rPr>
      </w:pPr>
      <w:r w:rsidRPr="00756CEF">
        <w:rPr>
          <w:rFonts w:cs="Arial"/>
          <w:noProof/>
        </w:rPr>
        <w:t>14</w:t>
      </w:r>
      <w:r>
        <w:rPr>
          <w:rFonts w:asciiTheme="minorHAnsi" w:eastAsiaTheme="minorEastAsia" w:hAnsiTheme="minorHAnsi" w:cstheme="minorBidi"/>
          <w:noProof/>
        </w:rPr>
        <w:tab/>
      </w:r>
      <w:r w:rsidRPr="00756CEF">
        <w:rPr>
          <w:rFonts w:cs="Arial"/>
          <w:noProof/>
        </w:rPr>
        <w:t>Budget</w:t>
      </w:r>
      <w:r>
        <w:rPr>
          <w:noProof/>
        </w:rPr>
        <w:tab/>
      </w:r>
      <w:r>
        <w:rPr>
          <w:noProof/>
        </w:rPr>
        <w:fldChar w:fldCharType="begin"/>
      </w:r>
      <w:r>
        <w:rPr>
          <w:noProof/>
        </w:rPr>
        <w:instrText xml:space="preserve"> PAGEREF _Toc520373368 \h </w:instrText>
      </w:r>
      <w:r>
        <w:rPr>
          <w:noProof/>
        </w:rPr>
      </w:r>
      <w:r>
        <w:rPr>
          <w:noProof/>
        </w:rPr>
        <w:fldChar w:fldCharType="separate"/>
      </w:r>
      <w:r>
        <w:rPr>
          <w:noProof/>
        </w:rPr>
        <w:t>9</w:t>
      </w:r>
      <w:r>
        <w:rPr>
          <w:noProof/>
        </w:rPr>
        <w:fldChar w:fldCharType="end"/>
      </w:r>
    </w:p>
    <w:p w14:paraId="51E24D05" w14:textId="77777777" w:rsidR="000A1826" w:rsidRDefault="000A1826">
      <w:pPr>
        <w:pStyle w:val="TOC1"/>
        <w:rPr>
          <w:rFonts w:asciiTheme="minorHAnsi" w:eastAsiaTheme="minorEastAsia" w:hAnsiTheme="minorHAnsi" w:cstheme="minorBidi"/>
          <w:noProof/>
        </w:rPr>
      </w:pPr>
      <w:r w:rsidRPr="00756CEF">
        <w:rPr>
          <w:rFonts w:cs="Arial"/>
          <w:noProof/>
        </w:rPr>
        <w:t>15</w:t>
      </w:r>
      <w:r>
        <w:rPr>
          <w:rFonts w:asciiTheme="minorHAnsi" w:eastAsiaTheme="minorEastAsia" w:hAnsiTheme="minorHAnsi" w:cstheme="minorBidi"/>
          <w:noProof/>
        </w:rPr>
        <w:tab/>
      </w:r>
      <w:r w:rsidRPr="00756CEF">
        <w:rPr>
          <w:rFonts w:cs="Arial"/>
          <w:noProof/>
        </w:rPr>
        <w:t>Evaluation of Tenders</w:t>
      </w:r>
      <w:r>
        <w:rPr>
          <w:noProof/>
        </w:rPr>
        <w:tab/>
      </w:r>
      <w:r>
        <w:rPr>
          <w:noProof/>
        </w:rPr>
        <w:fldChar w:fldCharType="begin"/>
      </w:r>
      <w:r>
        <w:rPr>
          <w:noProof/>
        </w:rPr>
        <w:instrText xml:space="preserve"> PAGEREF _Toc520373369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520373355"/>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3F2E94A9" w14:textId="77777777" w:rsidR="00B5763D" w:rsidRDefault="00B5763D" w:rsidP="00B5763D">
      <w:pPr>
        <w:pStyle w:val="Norma"/>
      </w:pPr>
    </w:p>
    <w:p w14:paraId="4B323544" w14:textId="22400179" w:rsidR="003B7085" w:rsidRDefault="005E0777" w:rsidP="003B7085">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Under the Climate Change Act (2008) the ASC has two main roles.</w:t>
      </w:r>
    </w:p>
    <w:p w14:paraId="0C8552E1" w14:textId="77777777" w:rsidR="005E0777" w:rsidRDefault="005E0777" w:rsidP="003B7085">
      <w:pPr>
        <w:rPr>
          <w:rFonts w:ascii="Arial" w:hAnsi="Arial" w:cs="Arial"/>
          <w:sz w:val="22"/>
          <w:szCs w:val="22"/>
        </w:rPr>
      </w:pPr>
    </w:p>
    <w:p w14:paraId="7E42543E" w14:textId="1DA2EC53" w:rsidR="00C91E0C" w:rsidRPr="00832D8A" w:rsidRDefault="00182895" w:rsidP="009D5DE4">
      <w:pPr>
        <w:pStyle w:val="Norma"/>
        <w:numPr>
          <w:ilvl w:val="0"/>
          <w:numId w:val="5"/>
        </w:numPr>
        <w:rPr>
          <w:rFonts w:eastAsia="Calibri" w:cs="Arial"/>
        </w:rPr>
      </w:pPr>
      <w:r w:rsidRPr="00832D8A">
        <w:rPr>
          <w:rFonts w:eastAsia="Calibri" w:cs="Arial"/>
        </w:rPr>
        <w:t xml:space="preserve">To provide independent, expert advice on the UK </w:t>
      </w:r>
      <w:r w:rsidR="00832D8A" w:rsidRPr="00832D8A">
        <w:rPr>
          <w:rFonts w:eastAsia="Calibri" w:cs="Arial"/>
        </w:rPr>
        <w:t>climate change risk assessment</w:t>
      </w:r>
      <w:r w:rsidR="00AE2D05">
        <w:rPr>
          <w:rFonts w:eastAsia="Calibri" w:cs="Arial"/>
        </w:rPr>
        <w:t xml:space="preserve"> (CCRA)</w:t>
      </w:r>
      <w:r w:rsidR="00832D8A">
        <w:rPr>
          <w:rFonts w:eastAsia="Calibri" w:cs="Arial"/>
        </w:rPr>
        <w:t>.</w:t>
      </w:r>
      <w:r w:rsidR="00832D8A" w:rsidRPr="00832D8A">
        <w:rPr>
          <w:rFonts w:eastAsia="Calibri" w:cs="Arial"/>
        </w:rPr>
        <w:br/>
      </w:r>
      <w:r w:rsidRPr="00832D8A">
        <w:rPr>
          <w:rFonts w:eastAsia="Calibri" w:cs="Arial"/>
        </w:rPr>
        <w:t xml:space="preserve"> </w:t>
      </w:r>
    </w:p>
    <w:p w14:paraId="51A6BBC5" w14:textId="347A941C" w:rsidR="00C91E0C" w:rsidRPr="00832D8A" w:rsidRDefault="00182895" w:rsidP="009D5DE4">
      <w:pPr>
        <w:pStyle w:val="Norma"/>
        <w:numPr>
          <w:ilvl w:val="0"/>
          <w:numId w:val="5"/>
        </w:numPr>
        <w:rPr>
          <w:rFonts w:eastAsia="MS Mincho" w:cs="Arial"/>
          <w:lang w:eastAsia="en-US"/>
        </w:rPr>
      </w:pPr>
      <w:r w:rsidRPr="00832D8A">
        <w:rPr>
          <w:rFonts w:eastAsia="Calibri" w:cs="Arial"/>
        </w:rPr>
        <w:t xml:space="preserve">To report to Parliament on progress </w:t>
      </w:r>
      <w:r w:rsidR="00832D8A" w:rsidRPr="00832D8A">
        <w:rPr>
          <w:rFonts w:eastAsia="Calibri" w:cs="Arial"/>
        </w:rPr>
        <w:t>with implementation</w:t>
      </w:r>
      <w:r w:rsidR="00832D8A">
        <w:rPr>
          <w:rFonts w:eastAsia="MS Mincho" w:cs="Arial"/>
          <w:lang w:eastAsia="en-US"/>
        </w:rPr>
        <w:t xml:space="preserve"> of the National Adaptation Programme (England only).</w:t>
      </w:r>
    </w:p>
    <w:p w14:paraId="0EFE5872" w14:textId="77777777" w:rsidR="00B5763D" w:rsidRDefault="00B5763D" w:rsidP="00B5763D">
      <w:pPr>
        <w:pStyle w:val="Norma"/>
      </w:pPr>
    </w:p>
    <w:p w14:paraId="40C88A93" w14:textId="139AC207" w:rsidR="002B4895" w:rsidRDefault="003B7085" w:rsidP="00B5763D">
      <w:pPr>
        <w:pStyle w:val="Norma"/>
      </w:pPr>
      <w:r>
        <w:t xml:space="preserve">To do this the </w:t>
      </w:r>
      <w:r w:rsidR="002B4895" w:rsidRPr="00B5763D">
        <w:t>ASC conduct</w:t>
      </w:r>
      <w:r>
        <w:t>s</w:t>
      </w:r>
      <w:r w:rsidR="002B4895" w:rsidRPr="00B5763D">
        <w:t xml:space="preserve"> independent analysis into climate change science, economics and policy, and engage</w:t>
      </w:r>
      <w:r w:rsidR="00832D8A">
        <w:t>s</w:t>
      </w:r>
      <w:r w:rsidR="002B4895" w:rsidRPr="00B5763D">
        <w:t xml:space="preserve"> with a wide range of organisations and individuals to share evidence and analysis. The CCC and ASC’s past reports are available </w:t>
      </w:r>
      <w:r w:rsidR="0002645F">
        <w:t>at</w:t>
      </w:r>
      <w:r w:rsidR="002B4895" w:rsidRPr="00B5763D">
        <w:t xml:space="preserve"> </w:t>
      </w:r>
      <w:hyperlink r:id="rId11" w:history="1">
        <w:r w:rsidR="002B4895" w:rsidRPr="00B5763D">
          <w:rPr>
            <w:rStyle w:val="Hyperlink"/>
            <w:color w:val="auto"/>
            <w:u w:val="none"/>
          </w:rPr>
          <w:t>http://www.theccc.org.uk/publications/</w:t>
        </w:r>
      </w:hyperlink>
      <w:r w:rsidR="002B4895" w:rsidRPr="00B5763D">
        <w:t xml:space="preserve">. </w:t>
      </w:r>
    </w:p>
    <w:p w14:paraId="37E468EC" w14:textId="77777777" w:rsidR="001D1DE3" w:rsidRDefault="001D1DE3" w:rsidP="005731BE">
      <w:pPr>
        <w:rPr>
          <w:rFonts w:ascii="Arial" w:hAnsi="Arial" w:cs="Arial"/>
          <w:sz w:val="22"/>
          <w:szCs w:val="22"/>
        </w:rPr>
      </w:pPr>
    </w:p>
    <w:p w14:paraId="78AA0E37" w14:textId="5ECCD8E2" w:rsidR="00144BC8" w:rsidRDefault="003B16FA" w:rsidP="005731BE">
      <w:pPr>
        <w:rPr>
          <w:rFonts w:ascii="Arial" w:hAnsi="Arial" w:cs="Arial"/>
          <w:sz w:val="22"/>
          <w:szCs w:val="22"/>
        </w:rPr>
      </w:pPr>
      <w:r>
        <w:rPr>
          <w:rFonts w:ascii="Arial" w:hAnsi="Arial" w:cs="Arial"/>
          <w:sz w:val="22"/>
          <w:szCs w:val="22"/>
        </w:rPr>
        <w:t xml:space="preserve">To inform the ASC’s </w:t>
      </w:r>
      <w:r w:rsidR="00832D8A">
        <w:rPr>
          <w:rFonts w:ascii="Arial" w:hAnsi="Arial" w:cs="Arial"/>
          <w:sz w:val="22"/>
          <w:szCs w:val="22"/>
        </w:rPr>
        <w:t>E</w:t>
      </w:r>
      <w:r>
        <w:rPr>
          <w:rFonts w:ascii="Arial" w:hAnsi="Arial" w:cs="Arial"/>
          <w:sz w:val="22"/>
          <w:szCs w:val="22"/>
        </w:rPr>
        <w:t xml:space="preserve">vidence </w:t>
      </w:r>
      <w:r w:rsidR="00832D8A">
        <w:rPr>
          <w:rFonts w:ascii="Arial" w:hAnsi="Arial" w:cs="Arial"/>
          <w:sz w:val="22"/>
          <w:szCs w:val="22"/>
        </w:rPr>
        <w:t>R</w:t>
      </w:r>
      <w:r>
        <w:rPr>
          <w:rFonts w:ascii="Arial" w:hAnsi="Arial" w:cs="Arial"/>
          <w:sz w:val="22"/>
          <w:szCs w:val="22"/>
        </w:rPr>
        <w:t>eport</w:t>
      </w:r>
      <w:r w:rsidR="003B7085">
        <w:rPr>
          <w:rFonts w:ascii="Arial" w:hAnsi="Arial" w:cs="Arial"/>
          <w:sz w:val="22"/>
          <w:szCs w:val="22"/>
        </w:rPr>
        <w:t xml:space="preserve"> for the third UK CCRA, the ASC is commissioning a range of research projects </w:t>
      </w:r>
      <w:r w:rsidR="00230D1F">
        <w:rPr>
          <w:rFonts w:ascii="Arial" w:hAnsi="Arial" w:cs="Arial"/>
          <w:sz w:val="22"/>
          <w:szCs w:val="22"/>
        </w:rPr>
        <w:t>that</w:t>
      </w:r>
      <w:r w:rsidR="003B7085">
        <w:rPr>
          <w:rFonts w:ascii="Arial" w:hAnsi="Arial" w:cs="Arial"/>
          <w:sz w:val="22"/>
          <w:szCs w:val="22"/>
        </w:rPr>
        <w:t xml:space="preserve"> aim to improve the science and impact of the CCRA. </w:t>
      </w:r>
    </w:p>
    <w:p w14:paraId="7359D248" w14:textId="5CF4FBBD" w:rsidR="003B7085" w:rsidRDefault="00596A10" w:rsidP="005731BE">
      <w:pPr>
        <w:rPr>
          <w:rFonts w:ascii="Arial" w:hAnsi="Arial" w:cs="Arial"/>
          <w:sz w:val="22"/>
          <w:szCs w:val="22"/>
        </w:rPr>
      </w:pPr>
      <w:r w:rsidRPr="00230D1F">
        <w:rPr>
          <w:rFonts w:ascii="Arial" w:hAnsi="Arial" w:cs="Arial"/>
          <w:sz w:val="22"/>
          <w:szCs w:val="22"/>
        </w:rPr>
        <w:t>This project aims to provide update projections of future water availability for the UK</w:t>
      </w:r>
      <w:r w:rsidR="003B7085" w:rsidRPr="00230D1F">
        <w:rPr>
          <w:rFonts w:ascii="Arial" w:hAnsi="Arial" w:cs="Arial"/>
          <w:sz w:val="22"/>
          <w:szCs w:val="22"/>
        </w:rPr>
        <w:t>.</w:t>
      </w:r>
      <w:r w:rsidR="003B7085">
        <w:rPr>
          <w:rFonts w:ascii="Arial" w:hAnsi="Arial" w:cs="Arial"/>
          <w:sz w:val="22"/>
          <w:szCs w:val="22"/>
        </w:rPr>
        <w:t xml:space="preserve"> </w:t>
      </w: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520373356"/>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7006ABD4" w14:textId="2ABF9DCA" w:rsidR="00832D8A" w:rsidRDefault="00B465CE" w:rsidP="00832D8A">
      <w:pPr>
        <w:rPr>
          <w:rFonts w:ascii="Arial" w:hAnsi="Arial" w:cs="Arial"/>
          <w:sz w:val="22"/>
          <w:szCs w:val="22"/>
        </w:rPr>
      </w:pPr>
      <w:r>
        <w:rPr>
          <w:rFonts w:ascii="Arial" w:hAnsi="Arial" w:cs="Arial"/>
          <w:sz w:val="22"/>
          <w:szCs w:val="22"/>
        </w:rPr>
        <w:t xml:space="preserve">The </w:t>
      </w:r>
      <w:r w:rsidR="00832D8A">
        <w:rPr>
          <w:rFonts w:ascii="Arial" w:hAnsi="Arial" w:cs="Arial"/>
          <w:sz w:val="22"/>
          <w:szCs w:val="22"/>
        </w:rPr>
        <w:t xml:space="preserve">second CCRA (CCRA2) was published in 2017 and was supported by a comprehensive </w:t>
      </w:r>
      <w:r w:rsidR="00291F60">
        <w:rPr>
          <w:rFonts w:ascii="Arial" w:hAnsi="Arial" w:cs="Arial"/>
          <w:sz w:val="22"/>
          <w:szCs w:val="22"/>
        </w:rPr>
        <w:t>Evidence</w:t>
      </w:r>
      <w:r w:rsidR="00832D8A">
        <w:rPr>
          <w:rFonts w:ascii="Arial" w:hAnsi="Arial" w:cs="Arial"/>
          <w:sz w:val="22"/>
          <w:szCs w:val="22"/>
        </w:rPr>
        <w:t xml:space="preserve"> Report</w:t>
      </w:r>
      <w:r w:rsidR="00AA2BAC" w:rsidRPr="002133A0">
        <w:rPr>
          <w:rFonts w:ascii="Arial" w:hAnsi="Arial" w:cs="Arial"/>
          <w:sz w:val="22"/>
          <w:szCs w:val="22"/>
        </w:rPr>
        <w:t xml:space="preserve"> </w:t>
      </w:r>
      <w:r w:rsidR="00832D8A" w:rsidRPr="00291F60">
        <w:rPr>
          <w:rFonts w:ascii="Arial" w:hAnsi="Arial" w:cs="Arial"/>
          <w:sz w:val="22"/>
          <w:szCs w:val="22"/>
        </w:rPr>
        <w:t>from the Adaptation Sub-Committee (ASC).</w:t>
      </w:r>
      <w:r w:rsidR="00291F60">
        <w:rPr>
          <w:rFonts w:ascii="Arial" w:hAnsi="Arial" w:cs="Arial"/>
          <w:sz w:val="22"/>
          <w:szCs w:val="22"/>
        </w:rPr>
        <w:t xml:space="preserve"> </w:t>
      </w:r>
      <w:r w:rsidR="00832D8A" w:rsidRPr="00291F60">
        <w:rPr>
          <w:rFonts w:ascii="Arial" w:hAnsi="Arial" w:cs="Arial"/>
          <w:sz w:val="22"/>
          <w:szCs w:val="22"/>
        </w:rPr>
        <w:t xml:space="preserve">Defra and the devolved administrations are in the process of drafting updated national adaptation programmes in response to the risks and opportunities set out in the report. </w:t>
      </w:r>
    </w:p>
    <w:p w14:paraId="141516FE" w14:textId="77777777" w:rsidR="00291F60" w:rsidRDefault="00291F60" w:rsidP="00832D8A">
      <w:pPr>
        <w:rPr>
          <w:rFonts w:ascii="Arial" w:hAnsi="Arial" w:cs="Arial"/>
          <w:sz w:val="22"/>
          <w:szCs w:val="22"/>
        </w:rPr>
      </w:pPr>
    </w:p>
    <w:p w14:paraId="0DAB2831" w14:textId="6105728B" w:rsidR="005E0777" w:rsidRDefault="005E0777" w:rsidP="005E0777">
      <w:pPr>
        <w:rPr>
          <w:rFonts w:ascii="Arial" w:hAnsi="Arial" w:cs="Arial"/>
          <w:sz w:val="22"/>
          <w:szCs w:val="22"/>
        </w:rPr>
      </w:pPr>
      <w:r>
        <w:rPr>
          <w:rFonts w:ascii="Arial" w:hAnsi="Arial" w:cs="Arial"/>
          <w:sz w:val="22"/>
          <w:szCs w:val="22"/>
        </w:rPr>
        <w:t>T</w:t>
      </w:r>
      <w:r w:rsidRPr="00291F60">
        <w:rPr>
          <w:rFonts w:ascii="Arial" w:hAnsi="Arial" w:cs="Arial"/>
          <w:sz w:val="22"/>
          <w:szCs w:val="22"/>
        </w:rPr>
        <w:t xml:space="preserve">he </w:t>
      </w:r>
      <w:r>
        <w:rPr>
          <w:rFonts w:ascii="Arial" w:hAnsi="Arial" w:cs="Arial"/>
          <w:sz w:val="22"/>
          <w:szCs w:val="22"/>
        </w:rPr>
        <w:t>third CCRA</w:t>
      </w:r>
      <w:r w:rsidRPr="00291F60">
        <w:rPr>
          <w:rFonts w:ascii="Arial" w:hAnsi="Arial" w:cs="Arial"/>
          <w:sz w:val="22"/>
          <w:szCs w:val="22"/>
        </w:rPr>
        <w:t xml:space="preserve"> </w:t>
      </w:r>
      <w:r>
        <w:rPr>
          <w:rFonts w:ascii="Arial" w:hAnsi="Arial" w:cs="Arial"/>
          <w:sz w:val="22"/>
          <w:szCs w:val="22"/>
        </w:rPr>
        <w:t xml:space="preserve">will be published by the government in January 2022, and Defra have asked the ASC to produce an accompanying </w:t>
      </w:r>
      <w:r w:rsidRPr="00291F60">
        <w:rPr>
          <w:rFonts w:ascii="Arial" w:hAnsi="Arial" w:cs="Arial"/>
          <w:sz w:val="22"/>
          <w:szCs w:val="22"/>
        </w:rPr>
        <w:t xml:space="preserve">Evidence Report </w:t>
      </w:r>
      <w:r>
        <w:rPr>
          <w:rFonts w:ascii="Arial" w:hAnsi="Arial" w:cs="Arial"/>
          <w:sz w:val="22"/>
          <w:szCs w:val="22"/>
        </w:rPr>
        <w:t xml:space="preserve">by summer 2021.To inform this Evidence Report </w:t>
      </w:r>
      <w:r w:rsidRPr="00075B02">
        <w:rPr>
          <w:rFonts w:ascii="Arial" w:hAnsi="Arial" w:cs="Arial"/>
          <w:sz w:val="22"/>
          <w:szCs w:val="22"/>
        </w:rPr>
        <w:t xml:space="preserve">the ASC are commissioning </w:t>
      </w:r>
      <w:r>
        <w:rPr>
          <w:rFonts w:ascii="Arial" w:hAnsi="Arial" w:cs="Arial"/>
          <w:sz w:val="22"/>
          <w:szCs w:val="22"/>
        </w:rPr>
        <w:t xml:space="preserve">six research </w:t>
      </w:r>
      <w:r w:rsidRPr="00075B02">
        <w:rPr>
          <w:rFonts w:ascii="Arial" w:hAnsi="Arial" w:cs="Arial"/>
          <w:sz w:val="22"/>
          <w:szCs w:val="22"/>
        </w:rPr>
        <w:t xml:space="preserve">projects, funded by </w:t>
      </w:r>
      <w:r>
        <w:rPr>
          <w:rFonts w:ascii="Arial" w:hAnsi="Arial" w:cs="Arial"/>
          <w:sz w:val="22"/>
          <w:szCs w:val="22"/>
        </w:rPr>
        <w:t xml:space="preserve">Defra, the devolved administrations and </w:t>
      </w:r>
      <w:r w:rsidRPr="00075B02">
        <w:rPr>
          <w:rFonts w:ascii="Arial" w:hAnsi="Arial" w:cs="Arial"/>
          <w:sz w:val="22"/>
          <w:szCs w:val="22"/>
        </w:rPr>
        <w:t>the research councils</w:t>
      </w:r>
      <w:r w:rsidR="00C47A30">
        <w:rPr>
          <w:rFonts w:ascii="Arial" w:hAnsi="Arial" w:cs="Arial"/>
          <w:sz w:val="22"/>
          <w:szCs w:val="22"/>
        </w:rPr>
        <w:t xml:space="preserve"> (NERC, ESRC and EPSRC)</w:t>
      </w:r>
      <w:r w:rsidRPr="00075B02">
        <w:rPr>
          <w:rFonts w:ascii="Arial" w:hAnsi="Arial" w:cs="Arial"/>
          <w:sz w:val="22"/>
          <w:szCs w:val="22"/>
        </w:rPr>
        <w:t xml:space="preserve">. </w:t>
      </w:r>
    </w:p>
    <w:p w14:paraId="7A31881C" w14:textId="77777777" w:rsidR="005E0777" w:rsidRPr="00075B02" w:rsidRDefault="005E0777" w:rsidP="005E0777">
      <w:pPr>
        <w:rPr>
          <w:rFonts w:ascii="Arial" w:hAnsi="Arial" w:cs="Arial"/>
          <w:sz w:val="22"/>
          <w:szCs w:val="22"/>
        </w:rPr>
      </w:pPr>
    </w:p>
    <w:p w14:paraId="352E4C5B" w14:textId="2DFA4A44" w:rsidR="005E0777" w:rsidRDefault="000849D2" w:rsidP="00C814B8">
      <w:pPr>
        <w:rPr>
          <w:rFonts w:ascii="Arial" w:hAnsi="Arial" w:cs="Arial"/>
          <w:sz w:val="22"/>
          <w:szCs w:val="22"/>
        </w:rPr>
      </w:pPr>
      <w:r w:rsidRPr="005E0777">
        <w:rPr>
          <w:rFonts w:ascii="Arial" w:hAnsi="Arial" w:cs="Arial"/>
          <w:sz w:val="22"/>
          <w:szCs w:val="22"/>
        </w:rPr>
        <w:t xml:space="preserve">For </w:t>
      </w:r>
      <w:r w:rsidR="00596A10" w:rsidRPr="005E0777">
        <w:rPr>
          <w:rFonts w:ascii="Arial" w:hAnsi="Arial" w:cs="Arial"/>
          <w:sz w:val="22"/>
          <w:szCs w:val="22"/>
        </w:rPr>
        <w:t>CCRA2</w:t>
      </w:r>
      <w:r w:rsidRPr="005E0777">
        <w:rPr>
          <w:rFonts w:ascii="Arial" w:hAnsi="Arial" w:cs="Arial"/>
          <w:sz w:val="22"/>
          <w:szCs w:val="22"/>
        </w:rPr>
        <w:t xml:space="preserve">, a consortium of contractors led by HR Wallingford undertook </w:t>
      </w:r>
      <w:r w:rsidR="00C814B8" w:rsidRPr="005E0777">
        <w:rPr>
          <w:rFonts w:ascii="Arial" w:hAnsi="Arial" w:cs="Arial"/>
          <w:sz w:val="22"/>
          <w:szCs w:val="22"/>
        </w:rPr>
        <w:t>an assessment to improve upon existing projections of water availability.</w:t>
      </w:r>
      <w:r w:rsidR="003E17F9" w:rsidRPr="005E0777">
        <w:rPr>
          <w:rStyle w:val="FootnoteReference"/>
          <w:rFonts w:ascii="Arial" w:hAnsi="Arial" w:cs="Arial"/>
          <w:sz w:val="22"/>
          <w:szCs w:val="22"/>
        </w:rPr>
        <w:footnoteReference w:id="1"/>
      </w:r>
      <w:r w:rsidR="00C814B8" w:rsidRPr="005E0777">
        <w:rPr>
          <w:rFonts w:ascii="Arial" w:hAnsi="Arial" w:cs="Arial"/>
          <w:sz w:val="22"/>
          <w:szCs w:val="22"/>
        </w:rPr>
        <w:t xml:space="preserve"> It was designed to produce </w:t>
      </w:r>
      <w:r w:rsidR="005E0777" w:rsidRPr="005E0777">
        <w:rPr>
          <w:rFonts w:ascii="Arial" w:hAnsi="Arial" w:cs="Arial"/>
          <w:sz w:val="22"/>
          <w:szCs w:val="22"/>
        </w:rPr>
        <w:t>a range of metrics</w:t>
      </w:r>
      <w:r w:rsidR="00C814B8" w:rsidRPr="005E0777">
        <w:rPr>
          <w:rFonts w:ascii="Arial" w:hAnsi="Arial" w:cs="Arial"/>
          <w:sz w:val="22"/>
          <w:szCs w:val="22"/>
        </w:rPr>
        <w:t xml:space="preserve"> consistent</w:t>
      </w:r>
      <w:r w:rsidR="003F2817" w:rsidRPr="005E0777">
        <w:rPr>
          <w:rFonts w:ascii="Arial" w:hAnsi="Arial" w:cs="Arial"/>
          <w:sz w:val="22"/>
          <w:szCs w:val="22"/>
        </w:rPr>
        <w:t xml:space="preserve"> </w:t>
      </w:r>
      <w:r w:rsidR="004F63B9" w:rsidRPr="005E0777">
        <w:rPr>
          <w:rFonts w:ascii="Arial" w:hAnsi="Arial" w:cs="Arial"/>
          <w:sz w:val="22"/>
          <w:szCs w:val="22"/>
        </w:rPr>
        <w:t>with</w:t>
      </w:r>
      <w:r w:rsidR="00C814B8" w:rsidRPr="005E0777">
        <w:rPr>
          <w:rFonts w:ascii="Arial" w:hAnsi="Arial" w:cs="Arial"/>
          <w:sz w:val="22"/>
          <w:szCs w:val="22"/>
        </w:rPr>
        <w:t xml:space="preserve">, or at least </w:t>
      </w:r>
      <w:r w:rsidR="003F2817" w:rsidRPr="005E0777">
        <w:rPr>
          <w:rFonts w:ascii="Arial" w:hAnsi="Arial" w:cs="Arial"/>
          <w:sz w:val="22"/>
          <w:szCs w:val="22"/>
        </w:rPr>
        <w:t>recognisable to</w:t>
      </w:r>
      <w:r w:rsidR="00CB20CF" w:rsidRPr="005E0777">
        <w:rPr>
          <w:rFonts w:ascii="Arial" w:hAnsi="Arial" w:cs="Arial"/>
          <w:sz w:val="22"/>
          <w:szCs w:val="22"/>
        </w:rPr>
        <w:t xml:space="preserve">, </w:t>
      </w:r>
      <w:r w:rsidR="00C814B8" w:rsidRPr="005E0777">
        <w:rPr>
          <w:rFonts w:ascii="Arial" w:hAnsi="Arial" w:cs="Arial"/>
          <w:sz w:val="22"/>
          <w:szCs w:val="22"/>
        </w:rPr>
        <w:t>existing work undertaken by government agencies and bodies and water companies.</w:t>
      </w:r>
      <w:r w:rsidRPr="005E0777">
        <w:rPr>
          <w:rFonts w:ascii="Arial" w:hAnsi="Arial" w:cs="Arial"/>
          <w:sz w:val="22"/>
          <w:szCs w:val="22"/>
        </w:rPr>
        <w:t xml:space="preserve"> The approach and outputs of this analysis are set out in </w:t>
      </w:r>
      <w:r w:rsidR="00596A10" w:rsidRPr="005E0777">
        <w:rPr>
          <w:rFonts w:ascii="Arial" w:hAnsi="Arial" w:cs="Arial"/>
          <w:sz w:val="22"/>
          <w:szCs w:val="22"/>
        </w:rPr>
        <w:t>an individual research report and are used throughout the sections of CCRA2 which focus on water availability-related risks and opportunities</w:t>
      </w:r>
      <w:r w:rsidRPr="005E0777">
        <w:rPr>
          <w:rFonts w:ascii="Arial" w:hAnsi="Arial" w:cs="Arial"/>
          <w:sz w:val="22"/>
          <w:szCs w:val="22"/>
        </w:rPr>
        <w:t>.</w:t>
      </w:r>
      <w:r w:rsidR="00084E1D">
        <w:rPr>
          <w:rFonts w:ascii="Arial" w:hAnsi="Arial" w:cs="Arial"/>
          <w:sz w:val="22"/>
          <w:szCs w:val="22"/>
        </w:rPr>
        <w:t xml:space="preserve"> </w:t>
      </w:r>
      <w:r w:rsidR="005E0777">
        <w:rPr>
          <w:rFonts w:ascii="Arial" w:hAnsi="Arial" w:cs="Arial"/>
          <w:sz w:val="22"/>
          <w:szCs w:val="22"/>
        </w:rPr>
        <w:t>The main reasons for updating these projections at this time are:</w:t>
      </w:r>
    </w:p>
    <w:p w14:paraId="5F88012E" w14:textId="77777777" w:rsidR="005E0777" w:rsidRDefault="005E0777" w:rsidP="00C814B8">
      <w:pPr>
        <w:rPr>
          <w:rFonts w:ascii="Arial" w:hAnsi="Arial" w:cs="Arial"/>
          <w:sz w:val="22"/>
          <w:szCs w:val="22"/>
        </w:rPr>
      </w:pPr>
    </w:p>
    <w:p w14:paraId="7FA21BC5" w14:textId="621E8501" w:rsidR="005E0777" w:rsidRDefault="005E0777" w:rsidP="009D5DE4">
      <w:pPr>
        <w:pStyle w:val="ListParagraph"/>
        <w:numPr>
          <w:ilvl w:val="0"/>
          <w:numId w:val="8"/>
        </w:numPr>
        <w:rPr>
          <w:rFonts w:ascii="Arial" w:hAnsi="Arial" w:cs="Arial"/>
        </w:rPr>
      </w:pPr>
      <w:r>
        <w:rPr>
          <w:rFonts w:ascii="Arial" w:hAnsi="Arial" w:cs="Arial"/>
        </w:rPr>
        <w:t>w</w:t>
      </w:r>
      <w:r w:rsidRPr="005E0777">
        <w:rPr>
          <w:rFonts w:ascii="Arial" w:hAnsi="Arial" w:cs="Arial"/>
        </w:rPr>
        <w:t>ater companies are developing new water resource management plans (WRMPs)</w:t>
      </w:r>
      <w:r>
        <w:rPr>
          <w:rFonts w:ascii="Arial" w:hAnsi="Arial" w:cs="Arial"/>
        </w:rPr>
        <w:t xml:space="preserve"> including updated projections of deployable output and demand</w:t>
      </w:r>
      <w:r w:rsidRPr="005E0777">
        <w:rPr>
          <w:rFonts w:ascii="Arial" w:hAnsi="Arial" w:cs="Arial"/>
        </w:rPr>
        <w:t>;</w:t>
      </w:r>
    </w:p>
    <w:p w14:paraId="47E15E8A" w14:textId="0D754E1A" w:rsidR="005E0777" w:rsidRPr="005E0777" w:rsidRDefault="005E0777" w:rsidP="009D5DE4">
      <w:pPr>
        <w:pStyle w:val="ListParagraph"/>
        <w:numPr>
          <w:ilvl w:val="0"/>
          <w:numId w:val="8"/>
        </w:numPr>
        <w:rPr>
          <w:rFonts w:ascii="Arial" w:hAnsi="Arial" w:cs="Arial"/>
        </w:rPr>
      </w:pPr>
      <w:r>
        <w:rPr>
          <w:rFonts w:ascii="Arial" w:hAnsi="Arial" w:cs="Arial"/>
        </w:rPr>
        <w:t>new UK climate projections from the UKCP18 project are expected</w:t>
      </w:r>
      <w:r w:rsidR="00AE2D05">
        <w:rPr>
          <w:rFonts w:ascii="Arial" w:hAnsi="Arial" w:cs="Arial"/>
        </w:rPr>
        <w:t xml:space="preserve"> to be published in late 2018 and early 2019</w:t>
      </w:r>
      <w:r>
        <w:rPr>
          <w:rFonts w:ascii="Arial" w:hAnsi="Arial" w:cs="Arial"/>
        </w:rPr>
        <w:t>;</w:t>
      </w:r>
    </w:p>
    <w:p w14:paraId="2D826EEB" w14:textId="04DBF23A" w:rsidR="005E0777" w:rsidRDefault="005E0777" w:rsidP="009D5DE4">
      <w:pPr>
        <w:pStyle w:val="ListParagraph"/>
        <w:numPr>
          <w:ilvl w:val="0"/>
          <w:numId w:val="8"/>
        </w:numPr>
        <w:rPr>
          <w:rFonts w:ascii="Arial" w:hAnsi="Arial" w:cs="Arial"/>
        </w:rPr>
      </w:pPr>
      <w:r>
        <w:rPr>
          <w:rFonts w:ascii="Arial" w:hAnsi="Arial" w:cs="Arial"/>
        </w:rPr>
        <w:t xml:space="preserve">the </w:t>
      </w:r>
      <w:r w:rsidR="00594142">
        <w:rPr>
          <w:rFonts w:ascii="Arial" w:hAnsi="Arial" w:cs="Arial"/>
        </w:rPr>
        <w:t>UK Government provided further details on the options for reforming the water abstraction management system in January 2016 following formal consultation</w:t>
      </w:r>
      <w:r w:rsidR="00EC34EB">
        <w:rPr>
          <w:rFonts w:ascii="Arial" w:hAnsi="Arial" w:cs="Arial"/>
        </w:rPr>
        <w:t>; and</w:t>
      </w:r>
    </w:p>
    <w:p w14:paraId="6C839897" w14:textId="5853D2AD" w:rsidR="00EC34EB" w:rsidRDefault="00EC34EB" w:rsidP="009D5DE4">
      <w:pPr>
        <w:pStyle w:val="ListParagraph"/>
        <w:numPr>
          <w:ilvl w:val="0"/>
          <w:numId w:val="8"/>
        </w:numPr>
        <w:rPr>
          <w:rFonts w:ascii="Arial" w:hAnsi="Arial" w:cs="Arial"/>
        </w:rPr>
      </w:pPr>
      <w:r>
        <w:rPr>
          <w:rFonts w:ascii="Arial" w:hAnsi="Arial" w:cs="Arial"/>
        </w:rPr>
        <w:t>a number of water availability-related analyses and reports have been published, most notably:</w:t>
      </w:r>
    </w:p>
    <w:p w14:paraId="0620E1F8" w14:textId="268B67A7" w:rsidR="00EC34EB" w:rsidRPr="00EC34EB" w:rsidRDefault="00EC34EB" w:rsidP="009D5DE4">
      <w:pPr>
        <w:pStyle w:val="ListParagraph"/>
        <w:numPr>
          <w:ilvl w:val="0"/>
          <w:numId w:val="9"/>
        </w:numPr>
        <w:rPr>
          <w:rFonts w:ascii="Arial" w:hAnsi="Arial" w:cs="Arial"/>
        </w:rPr>
      </w:pPr>
      <w:r w:rsidRPr="00EC34EB">
        <w:rPr>
          <w:rFonts w:ascii="Arial" w:hAnsi="Arial" w:cs="Arial"/>
        </w:rPr>
        <w:lastRenderedPageBreak/>
        <w:t>Water resources long term planning framework (2015-2065) – Water UK, 201</w:t>
      </w:r>
      <w:r>
        <w:rPr>
          <w:rFonts w:ascii="Arial" w:hAnsi="Arial" w:cs="Arial"/>
        </w:rPr>
        <w:t>6.</w:t>
      </w:r>
      <w:r w:rsidRPr="00EC34EB">
        <w:rPr>
          <w:rStyle w:val="FootnoteReference"/>
          <w:rFonts w:ascii="Arial" w:hAnsi="Arial" w:cs="Arial"/>
        </w:rPr>
        <w:footnoteReference w:id="2"/>
      </w:r>
    </w:p>
    <w:p w14:paraId="368995C6" w14:textId="24B73363" w:rsidR="00EC34EB" w:rsidRPr="00EC34EB" w:rsidRDefault="00EC34EB" w:rsidP="009D5DE4">
      <w:pPr>
        <w:pStyle w:val="ListParagraph"/>
        <w:numPr>
          <w:ilvl w:val="0"/>
          <w:numId w:val="9"/>
        </w:numPr>
        <w:rPr>
          <w:rFonts w:ascii="Arial" w:hAnsi="Arial" w:cs="Arial"/>
        </w:rPr>
      </w:pPr>
      <w:r w:rsidRPr="00EC34EB">
        <w:rPr>
          <w:rFonts w:ascii="Arial" w:hAnsi="Arial" w:cs="Arial"/>
        </w:rPr>
        <w:t>Preparing for a drier future – National Infrastructure Commission, 2018</w:t>
      </w:r>
      <w:r>
        <w:rPr>
          <w:rFonts w:ascii="Arial" w:hAnsi="Arial" w:cs="Arial"/>
        </w:rPr>
        <w:t>.</w:t>
      </w:r>
      <w:r w:rsidRPr="00EC34EB">
        <w:rPr>
          <w:rStyle w:val="FootnoteReference"/>
          <w:rFonts w:ascii="Arial" w:hAnsi="Arial" w:cs="Arial"/>
        </w:rPr>
        <w:footnoteReference w:id="3"/>
      </w:r>
    </w:p>
    <w:p w14:paraId="23A4E462" w14:textId="5EBF3F76" w:rsidR="008445F5" w:rsidRPr="00A67901" w:rsidRDefault="00EC34EB" w:rsidP="009D5DE4">
      <w:pPr>
        <w:pStyle w:val="ListParagraph"/>
        <w:numPr>
          <w:ilvl w:val="0"/>
          <w:numId w:val="9"/>
        </w:numPr>
        <w:rPr>
          <w:rFonts w:ascii="Arial" w:hAnsi="Arial" w:cs="Arial"/>
        </w:rPr>
      </w:pPr>
      <w:r w:rsidRPr="00EC34EB">
        <w:rPr>
          <w:rFonts w:ascii="Arial" w:hAnsi="Arial" w:cs="Arial"/>
        </w:rPr>
        <w:t xml:space="preserve">The long term potential for deep reductions in household water demand – Artesia Consulting for </w:t>
      </w:r>
      <w:proofErr w:type="spellStart"/>
      <w:r w:rsidRPr="00EC34EB">
        <w:rPr>
          <w:rFonts w:ascii="Arial" w:hAnsi="Arial" w:cs="Arial"/>
        </w:rPr>
        <w:t>Ofwat</w:t>
      </w:r>
      <w:proofErr w:type="spellEnd"/>
      <w:r w:rsidRPr="00EC34EB">
        <w:rPr>
          <w:rFonts w:ascii="Arial" w:hAnsi="Arial" w:cs="Arial"/>
        </w:rPr>
        <w:t>, 2018</w:t>
      </w:r>
      <w:r>
        <w:rPr>
          <w:rFonts w:ascii="Arial" w:hAnsi="Arial" w:cs="Arial"/>
        </w:rPr>
        <w:t>.</w:t>
      </w:r>
      <w:r w:rsidRPr="00EC34EB">
        <w:rPr>
          <w:rStyle w:val="FootnoteReference"/>
          <w:rFonts w:ascii="Arial" w:hAnsi="Arial" w:cs="Arial"/>
        </w:rPr>
        <w:footnoteReference w:id="4"/>
      </w: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520373357"/>
      <w:r w:rsidRPr="007963DA">
        <w:rPr>
          <w:rFonts w:ascii="Arial" w:hAnsi="Arial" w:cs="Arial"/>
          <w:sz w:val="24"/>
          <w:szCs w:val="24"/>
        </w:rPr>
        <w:t>Aims and Objectives</w:t>
      </w:r>
      <w:bookmarkEnd w:id="13"/>
      <w:bookmarkEnd w:id="14"/>
      <w:bookmarkEnd w:id="15"/>
      <w:bookmarkEnd w:id="16"/>
    </w:p>
    <w:p w14:paraId="2CCDCE03" w14:textId="77777777" w:rsidR="00C1623B" w:rsidRDefault="00C1623B" w:rsidP="00C1623B">
      <w:pPr>
        <w:pStyle w:val="Norma"/>
      </w:pPr>
    </w:p>
    <w:p w14:paraId="476E3BD0" w14:textId="0C305D45" w:rsidR="00DF7380" w:rsidRDefault="00391056" w:rsidP="000849D2">
      <w:pPr>
        <w:jc w:val="both"/>
        <w:rPr>
          <w:rFonts w:ascii="Arial" w:eastAsia="MS Mincho" w:hAnsi="Arial" w:cs="Arial"/>
          <w:sz w:val="22"/>
          <w:szCs w:val="22"/>
          <w:lang w:eastAsia="en-US"/>
        </w:rPr>
      </w:pPr>
      <w:r>
        <w:rPr>
          <w:rFonts w:ascii="Arial" w:eastAsia="MS Mincho" w:hAnsi="Arial" w:cs="Arial"/>
          <w:sz w:val="22"/>
          <w:szCs w:val="22"/>
          <w:lang w:eastAsia="en-US"/>
        </w:rPr>
        <w:t>The aims of this project are to:</w:t>
      </w:r>
    </w:p>
    <w:p w14:paraId="3676E12E" w14:textId="59B23F91" w:rsidR="00391056" w:rsidRDefault="00391056" w:rsidP="009D5DE4">
      <w:pPr>
        <w:pStyle w:val="ListParagraph"/>
        <w:numPr>
          <w:ilvl w:val="0"/>
          <w:numId w:val="10"/>
        </w:numPr>
        <w:jc w:val="both"/>
        <w:rPr>
          <w:rFonts w:ascii="Arial" w:hAnsi="Arial" w:cs="Arial"/>
        </w:rPr>
      </w:pPr>
      <w:r w:rsidRPr="00DD0ABA">
        <w:rPr>
          <w:rFonts w:ascii="Arial" w:hAnsi="Arial" w:cs="Arial"/>
        </w:rPr>
        <w:t xml:space="preserve">Quantify future </w:t>
      </w:r>
      <w:r>
        <w:rPr>
          <w:rFonts w:ascii="Arial" w:hAnsi="Arial" w:cs="Arial"/>
        </w:rPr>
        <w:t>water availability (public water supply and water available for abstraction) over the 21</w:t>
      </w:r>
      <w:r w:rsidRPr="00013D7A">
        <w:rPr>
          <w:rFonts w:ascii="Arial" w:hAnsi="Arial" w:cs="Arial"/>
          <w:vertAlign w:val="superscript"/>
        </w:rPr>
        <w:t>st</w:t>
      </w:r>
      <w:r>
        <w:rPr>
          <w:rFonts w:ascii="Arial" w:hAnsi="Arial" w:cs="Arial"/>
        </w:rPr>
        <w:t xml:space="preserve"> Century (and beyond if possible) for</w:t>
      </w:r>
      <w:r w:rsidRPr="00DD0ABA">
        <w:rPr>
          <w:rFonts w:ascii="Arial" w:hAnsi="Arial" w:cs="Arial"/>
        </w:rPr>
        <w:t xml:space="preserve"> the </w:t>
      </w:r>
      <w:r>
        <w:rPr>
          <w:rFonts w:ascii="Arial" w:hAnsi="Arial" w:cs="Arial"/>
        </w:rPr>
        <w:t>UK as a whole; for England, Wales, Scotland and Northern Ireland; and for each water resource zone, for a range of climate and socioeconomic scenarios, on the basis of the current level of adaptation.</w:t>
      </w:r>
    </w:p>
    <w:p w14:paraId="6B723807" w14:textId="7B338FF3" w:rsidR="00CB1F35" w:rsidRPr="00391056" w:rsidRDefault="00391056" w:rsidP="009D5DE4">
      <w:pPr>
        <w:pStyle w:val="ListParagraph"/>
        <w:numPr>
          <w:ilvl w:val="0"/>
          <w:numId w:val="10"/>
        </w:numPr>
        <w:jc w:val="both"/>
        <w:rPr>
          <w:rFonts w:ascii="Arial" w:hAnsi="Arial" w:cs="Arial"/>
        </w:rPr>
      </w:pPr>
      <w:r>
        <w:rPr>
          <w:rFonts w:ascii="Arial" w:hAnsi="Arial" w:cs="Arial"/>
        </w:rPr>
        <w:t xml:space="preserve">Consider how additional adaptation could deal with any deficits identified. </w:t>
      </w:r>
    </w:p>
    <w:p w14:paraId="5EA8755C" w14:textId="77777777" w:rsidR="00C4141B" w:rsidRDefault="00E85ED1" w:rsidP="007248E4">
      <w:pPr>
        <w:pStyle w:val="Heading1"/>
        <w:numPr>
          <w:ilvl w:val="0"/>
          <w:numId w:val="3"/>
        </w:numPr>
        <w:rPr>
          <w:rFonts w:ascii="Arial" w:hAnsi="Arial" w:cs="Arial"/>
          <w:sz w:val="24"/>
          <w:szCs w:val="24"/>
        </w:rPr>
      </w:pPr>
      <w:bookmarkStart w:id="17" w:name="_Toc381969509"/>
      <w:bookmarkStart w:id="18" w:name="_Toc405888458"/>
      <w:bookmarkStart w:id="19" w:name="_Toc520373358"/>
      <w:r w:rsidRPr="00E85ED1">
        <w:rPr>
          <w:rFonts w:ascii="Arial" w:hAnsi="Arial" w:cs="Arial"/>
          <w:sz w:val="24"/>
          <w:szCs w:val="24"/>
        </w:rPr>
        <w:t>Methodology</w:t>
      </w:r>
      <w:bookmarkEnd w:id="17"/>
      <w:bookmarkEnd w:id="18"/>
      <w:bookmarkEnd w:id="19"/>
    </w:p>
    <w:p w14:paraId="5D8FA4CA" w14:textId="77777777" w:rsidR="00391056" w:rsidRDefault="00391056" w:rsidP="00391056">
      <w:pPr>
        <w:pStyle w:val="Norma"/>
      </w:pPr>
    </w:p>
    <w:p w14:paraId="745FEF3B" w14:textId="54AF6FE3" w:rsidR="00391056" w:rsidRPr="00391056" w:rsidRDefault="0086617D" w:rsidP="00391056">
      <w:pPr>
        <w:pStyle w:val="Norma"/>
      </w:pPr>
      <w:r w:rsidRPr="00230D1F">
        <w:t>Bid</w:t>
      </w:r>
      <w:r w:rsidR="005F71D1">
        <w:t>s</w:t>
      </w:r>
      <w:r w:rsidRPr="00230D1F">
        <w:t xml:space="preserve"> should propose a</w:t>
      </w:r>
      <w:r w:rsidR="00AE2D05">
        <w:t>n outline</w:t>
      </w:r>
      <w:r w:rsidRPr="00230D1F">
        <w:t xml:space="preserve"> methodology to address the above aims</w:t>
      </w:r>
      <w:r w:rsidR="008445F5">
        <w:t xml:space="preserve">. </w:t>
      </w:r>
      <w:r w:rsidR="00391056">
        <w:rPr>
          <w:rFonts w:eastAsia="MS Mincho" w:cs="Arial"/>
          <w:lang w:eastAsia="en-US"/>
        </w:rPr>
        <w:t>The analysis should do the following:</w:t>
      </w:r>
    </w:p>
    <w:p w14:paraId="1F699D4D" w14:textId="77777777" w:rsidR="00391056" w:rsidRPr="00EC34EB" w:rsidRDefault="00391056" w:rsidP="00391056">
      <w:pPr>
        <w:jc w:val="both"/>
        <w:rPr>
          <w:rFonts w:ascii="Arial" w:eastAsia="MS Mincho" w:hAnsi="Arial" w:cs="Arial"/>
          <w:sz w:val="22"/>
          <w:szCs w:val="22"/>
          <w:lang w:eastAsia="en-US"/>
        </w:rPr>
      </w:pPr>
    </w:p>
    <w:p w14:paraId="31C457FC" w14:textId="77777777" w:rsidR="00391056" w:rsidRPr="00EC34EB" w:rsidRDefault="00391056" w:rsidP="009D5DE4">
      <w:pPr>
        <w:pStyle w:val="ListParagraph"/>
        <w:numPr>
          <w:ilvl w:val="0"/>
          <w:numId w:val="6"/>
        </w:numPr>
        <w:jc w:val="both"/>
        <w:rPr>
          <w:rFonts w:ascii="Arial" w:hAnsi="Arial" w:cs="Arial"/>
        </w:rPr>
      </w:pPr>
      <w:r w:rsidRPr="00EC34EB">
        <w:rPr>
          <w:rFonts w:ascii="Arial" w:hAnsi="Arial" w:cs="Arial"/>
        </w:rPr>
        <w:t xml:space="preserve">Produce future water availability </w:t>
      </w:r>
      <w:r>
        <w:rPr>
          <w:rFonts w:ascii="Arial" w:hAnsi="Arial" w:cs="Arial"/>
        </w:rPr>
        <w:t>projections (public water supply and water available for abstraction)</w:t>
      </w:r>
      <w:r w:rsidRPr="00EC34EB">
        <w:rPr>
          <w:rFonts w:ascii="Arial" w:hAnsi="Arial" w:cs="Arial"/>
        </w:rPr>
        <w:t xml:space="preserve"> that cover the UK</w:t>
      </w:r>
      <w:r>
        <w:rPr>
          <w:rFonts w:ascii="Arial" w:hAnsi="Arial" w:cs="Arial"/>
        </w:rPr>
        <w:t xml:space="preserve"> including </w:t>
      </w:r>
      <w:r w:rsidRPr="00EC34EB">
        <w:rPr>
          <w:rFonts w:ascii="Arial" w:hAnsi="Arial" w:cs="Arial"/>
        </w:rPr>
        <w:t>England, Scotland, Wales and Northern Ireland</w:t>
      </w:r>
      <w:r>
        <w:rPr>
          <w:rFonts w:ascii="Arial" w:hAnsi="Arial" w:cs="Arial"/>
        </w:rPr>
        <w:t>,</w:t>
      </w:r>
      <w:r w:rsidRPr="00EC34EB">
        <w:rPr>
          <w:rFonts w:ascii="Arial" w:hAnsi="Arial" w:cs="Arial"/>
        </w:rPr>
        <w:t xml:space="preserve"> and by water re</w:t>
      </w:r>
      <w:r>
        <w:rPr>
          <w:rFonts w:ascii="Arial" w:hAnsi="Arial" w:cs="Arial"/>
        </w:rPr>
        <w:t>source zone within each country</w:t>
      </w:r>
      <w:r w:rsidRPr="00EC34EB">
        <w:rPr>
          <w:rFonts w:ascii="Arial" w:hAnsi="Arial" w:cs="Arial"/>
        </w:rPr>
        <w:t>.</w:t>
      </w:r>
    </w:p>
    <w:p w14:paraId="54701D30" w14:textId="263D7F16" w:rsidR="00391056" w:rsidRDefault="00391056" w:rsidP="009D5DE4">
      <w:pPr>
        <w:pStyle w:val="ListParagraph"/>
        <w:numPr>
          <w:ilvl w:val="0"/>
          <w:numId w:val="6"/>
        </w:numPr>
        <w:jc w:val="both"/>
        <w:rPr>
          <w:rFonts w:ascii="Arial" w:hAnsi="Arial" w:cs="Arial"/>
        </w:rPr>
      </w:pPr>
      <w:r>
        <w:rPr>
          <w:rFonts w:ascii="Arial" w:hAnsi="Arial" w:cs="Arial"/>
        </w:rPr>
        <w:t>I</w:t>
      </w:r>
      <w:r w:rsidRPr="00EC34EB">
        <w:rPr>
          <w:rFonts w:ascii="Arial" w:hAnsi="Arial" w:cs="Arial"/>
        </w:rPr>
        <w:t xml:space="preserve">nclude </w:t>
      </w:r>
      <w:r>
        <w:rPr>
          <w:rFonts w:ascii="Arial" w:hAnsi="Arial" w:cs="Arial"/>
        </w:rPr>
        <w:t xml:space="preserve">and present </w:t>
      </w:r>
      <w:r w:rsidRPr="00EC34EB">
        <w:rPr>
          <w:rFonts w:ascii="Arial" w:hAnsi="Arial" w:cs="Arial"/>
        </w:rPr>
        <w:t>results</w:t>
      </w:r>
      <w:r>
        <w:rPr>
          <w:rFonts w:ascii="Arial" w:hAnsi="Arial" w:cs="Arial"/>
        </w:rPr>
        <w:t xml:space="preserve"> between now and 2100</w:t>
      </w:r>
      <w:r w:rsidRPr="00EC34EB">
        <w:rPr>
          <w:rFonts w:ascii="Arial" w:hAnsi="Arial" w:cs="Arial"/>
        </w:rPr>
        <w:t xml:space="preserve"> </w:t>
      </w:r>
      <w:r>
        <w:rPr>
          <w:rFonts w:ascii="Arial" w:hAnsi="Arial" w:cs="Arial"/>
        </w:rPr>
        <w:t xml:space="preserve">(and beyond if possible) </w:t>
      </w:r>
      <w:r w:rsidRPr="00EC34EB">
        <w:rPr>
          <w:rFonts w:ascii="Arial" w:hAnsi="Arial" w:cs="Arial"/>
        </w:rPr>
        <w:t>cons</w:t>
      </w:r>
      <w:r>
        <w:rPr>
          <w:rFonts w:ascii="Arial" w:hAnsi="Arial" w:cs="Arial"/>
        </w:rPr>
        <w:t>istent with projected warming consistent with global temperature rises of</w:t>
      </w:r>
      <w:r w:rsidRPr="00EC34EB">
        <w:rPr>
          <w:rFonts w:ascii="Arial" w:hAnsi="Arial" w:cs="Arial"/>
        </w:rPr>
        <w:t xml:space="preserve"> 2</w:t>
      </w:r>
      <w:r w:rsidRPr="00EC34EB">
        <w:rPr>
          <w:rFonts w:ascii="Arial" w:hAnsi="Arial" w:cs="Arial"/>
          <w:vertAlign w:val="superscript"/>
        </w:rPr>
        <w:t>o</w:t>
      </w:r>
      <w:r w:rsidRPr="00EC34EB">
        <w:rPr>
          <w:rFonts w:ascii="Arial" w:hAnsi="Arial" w:cs="Arial"/>
        </w:rPr>
        <w:t>C and 4</w:t>
      </w:r>
      <w:r w:rsidRPr="00EC34EB">
        <w:rPr>
          <w:rFonts w:ascii="Arial" w:hAnsi="Arial" w:cs="Arial"/>
          <w:vertAlign w:val="superscript"/>
        </w:rPr>
        <w:t>o</w:t>
      </w:r>
      <w:r w:rsidRPr="00EC34EB">
        <w:rPr>
          <w:rFonts w:ascii="Arial" w:hAnsi="Arial" w:cs="Arial"/>
        </w:rPr>
        <w:t>C</w:t>
      </w:r>
      <w:r>
        <w:rPr>
          <w:rFonts w:ascii="Arial" w:hAnsi="Arial" w:cs="Arial"/>
        </w:rPr>
        <w:t>, using the new UK climate projections (UKCP18) where appropriate</w:t>
      </w:r>
      <w:r w:rsidRPr="00EC34EB">
        <w:rPr>
          <w:rFonts w:ascii="Arial" w:hAnsi="Arial" w:cs="Arial"/>
        </w:rPr>
        <w:t>.</w:t>
      </w:r>
    </w:p>
    <w:p w14:paraId="1E96C34C" w14:textId="77777777" w:rsidR="00391056" w:rsidRPr="00EC34EB" w:rsidRDefault="00391056" w:rsidP="009D5DE4">
      <w:pPr>
        <w:pStyle w:val="ListParagraph"/>
        <w:numPr>
          <w:ilvl w:val="0"/>
          <w:numId w:val="6"/>
        </w:numPr>
        <w:jc w:val="both"/>
        <w:rPr>
          <w:rFonts w:ascii="Arial" w:hAnsi="Arial" w:cs="Arial"/>
        </w:rPr>
      </w:pPr>
      <w:r>
        <w:rPr>
          <w:rFonts w:ascii="Arial" w:hAnsi="Arial" w:cs="Arial"/>
        </w:rPr>
        <w:t>P</w:t>
      </w:r>
      <w:r w:rsidRPr="00EC34EB">
        <w:rPr>
          <w:rFonts w:ascii="Arial" w:hAnsi="Arial" w:cs="Arial"/>
        </w:rPr>
        <w:t>rovide spatially coherent projections.</w:t>
      </w:r>
    </w:p>
    <w:p w14:paraId="18CEF415" w14:textId="77777777" w:rsidR="00391056" w:rsidRPr="00DF7380" w:rsidRDefault="00391056" w:rsidP="009D5DE4">
      <w:pPr>
        <w:pStyle w:val="ListParagraph"/>
        <w:numPr>
          <w:ilvl w:val="0"/>
          <w:numId w:val="6"/>
        </w:numPr>
        <w:jc w:val="both"/>
        <w:rPr>
          <w:rFonts w:ascii="Arial" w:hAnsi="Arial" w:cs="Arial"/>
        </w:rPr>
      </w:pPr>
      <w:r w:rsidRPr="00EC34EB">
        <w:rPr>
          <w:rFonts w:ascii="Arial" w:hAnsi="Arial" w:cs="Arial"/>
        </w:rPr>
        <w:t>Consider how supply and demand will vary across all sectors (public water supply, natural environment, business and industry including agriculture) together</w:t>
      </w:r>
      <w:r>
        <w:rPr>
          <w:rFonts w:ascii="Arial" w:hAnsi="Arial" w:cs="Arial"/>
        </w:rPr>
        <w:t>, including private water supplies</w:t>
      </w:r>
      <w:r w:rsidRPr="00EC34EB">
        <w:rPr>
          <w:rFonts w:ascii="Arial" w:hAnsi="Arial" w:cs="Arial"/>
        </w:rPr>
        <w:t>.</w:t>
      </w:r>
    </w:p>
    <w:p w14:paraId="3B24DAE4" w14:textId="2B0E84B8" w:rsidR="00391056" w:rsidRDefault="00391056" w:rsidP="009D5DE4">
      <w:pPr>
        <w:pStyle w:val="ListParagraph"/>
        <w:numPr>
          <w:ilvl w:val="0"/>
          <w:numId w:val="6"/>
        </w:numPr>
        <w:jc w:val="both"/>
        <w:rPr>
          <w:rFonts w:ascii="Arial" w:hAnsi="Arial" w:cs="Arial"/>
        </w:rPr>
      </w:pPr>
      <w:r w:rsidRPr="00EC34EB">
        <w:rPr>
          <w:rFonts w:ascii="Arial" w:hAnsi="Arial" w:cs="Arial"/>
        </w:rPr>
        <w:t>I</w:t>
      </w:r>
      <w:r>
        <w:rPr>
          <w:rFonts w:ascii="Arial" w:hAnsi="Arial" w:cs="Arial"/>
        </w:rPr>
        <w:t>nclude in the baseline</w:t>
      </w:r>
      <w:r w:rsidRPr="00EC34EB">
        <w:rPr>
          <w:rFonts w:ascii="Arial" w:hAnsi="Arial" w:cs="Arial"/>
        </w:rPr>
        <w:t xml:space="preserve"> assessment </w:t>
      </w:r>
      <w:r>
        <w:rPr>
          <w:rFonts w:ascii="Arial" w:hAnsi="Arial" w:cs="Arial"/>
        </w:rPr>
        <w:t xml:space="preserve">the effects of current levels of </w:t>
      </w:r>
      <w:r w:rsidRPr="00EC34EB">
        <w:rPr>
          <w:rFonts w:ascii="Arial" w:hAnsi="Arial" w:cs="Arial"/>
        </w:rPr>
        <w:t>adaptation</w:t>
      </w:r>
      <w:r>
        <w:rPr>
          <w:rFonts w:ascii="Arial" w:hAnsi="Arial" w:cs="Arial"/>
        </w:rPr>
        <w:t xml:space="preserve"> across different areas of the UK</w:t>
      </w:r>
      <w:r w:rsidRPr="00EC34EB">
        <w:rPr>
          <w:rFonts w:ascii="Arial" w:hAnsi="Arial" w:cs="Arial"/>
        </w:rPr>
        <w:t>.</w:t>
      </w:r>
      <w:r>
        <w:rPr>
          <w:rFonts w:ascii="Arial" w:hAnsi="Arial" w:cs="Arial"/>
        </w:rPr>
        <w:t xml:space="preserve"> This </w:t>
      </w:r>
      <w:r w:rsidRPr="00391056">
        <w:rPr>
          <w:rFonts w:ascii="Arial" w:hAnsi="Arial" w:cs="Arial"/>
        </w:rPr>
        <w:t>should include or consider analysis undertaken as part of the water resource management plans (UK-wide).  The method should consider how to deal with the differing climate change allowances built in to estimates of demand, supply and headroom across different WRMPs, and their treatment of future drought frequency.</w:t>
      </w:r>
    </w:p>
    <w:p w14:paraId="20EE1939" w14:textId="77777777" w:rsidR="00391056" w:rsidRDefault="00391056" w:rsidP="009D5DE4">
      <w:pPr>
        <w:pStyle w:val="ListParagraph"/>
        <w:numPr>
          <w:ilvl w:val="0"/>
          <w:numId w:val="6"/>
        </w:numPr>
        <w:jc w:val="both"/>
        <w:rPr>
          <w:rFonts w:ascii="Arial" w:hAnsi="Arial" w:cs="Arial"/>
        </w:rPr>
      </w:pPr>
      <w:r>
        <w:rPr>
          <w:rFonts w:ascii="Arial" w:hAnsi="Arial" w:cs="Arial"/>
        </w:rPr>
        <w:t xml:space="preserve">Consider and show the effects </w:t>
      </w:r>
      <w:r w:rsidRPr="00391056">
        <w:rPr>
          <w:rFonts w:ascii="Arial" w:hAnsi="Arial" w:cs="Arial"/>
        </w:rPr>
        <w:t xml:space="preserve">of potential future adaptation </w:t>
      </w:r>
      <w:r>
        <w:rPr>
          <w:rFonts w:ascii="Arial" w:hAnsi="Arial" w:cs="Arial"/>
        </w:rPr>
        <w:t xml:space="preserve">across different areas of the UK.  This </w:t>
      </w:r>
      <w:r w:rsidRPr="00391056">
        <w:rPr>
          <w:rFonts w:ascii="Arial" w:hAnsi="Arial" w:cs="Arial"/>
        </w:rPr>
        <w:t>should include consideration of how transformational change to industry location, structure of the economy, or energy mix could alter the future supply-demand balance.</w:t>
      </w:r>
    </w:p>
    <w:p w14:paraId="667F600D" w14:textId="77777777" w:rsidR="00391056" w:rsidRPr="00391056" w:rsidRDefault="00391056" w:rsidP="009D5DE4">
      <w:pPr>
        <w:pStyle w:val="ListParagraph"/>
        <w:numPr>
          <w:ilvl w:val="0"/>
          <w:numId w:val="6"/>
        </w:numPr>
        <w:jc w:val="both"/>
        <w:rPr>
          <w:rFonts w:ascii="Arial" w:hAnsi="Arial" w:cs="Arial"/>
        </w:rPr>
      </w:pPr>
      <w:r w:rsidRPr="00391056">
        <w:rPr>
          <w:rFonts w:ascii="Arial" w:hAnsi="Arial" w:cs="Arial"/>
        </w:rPr>
        <w:t>Undertake sensitivity analysis of the results for different assumptions related to climate, socioeconomic change and adaptation.</w:t>
      </w:r>
      <w:r w:rsidRPr="00391056">
        <w:rPr>
          <w:rFonts w:cs="Arial"/>
        </w:rPr>
        <w:t xml:space="preserve"> </w:t>
      </w:r>
    </w:p>
    <w:p w14:paraId="14EB2DE8" w14:textId="77777777" w:rsidR="00391056" w:rsidRDefault="008445F5" w:rsidP="00147C5E">
      <w:pPr>
        <w:pStyle w:val="Norma"/>
      </w:pPr>
      <w:r w:rsidRPr="00391056">
        <w:t xml:space="preserve">This methodology should be based on a number of defined steps, with further detail setting </w:t>
      </w:r>
      <w:r w:rsidRPr="00391056">
        <w:lastRenderedPageBreak/>
        <w:t xml:space="preserve">out what specifically will be done at each step. </w:t>
      </w:r>
    </w:p>
    <w:p w14:paraId="6AB1CF3E" w14:textId="77777777" w:rsidR="00391056" w:rsidRDefault="00391056" w:rsidP="00391056">
      <w:pPr>
        <w:ind w:left="142"/>
        <w:jc w:val="both"/>
        <w:rPr>
          <w:rFonts w:ascii="Arial" w:hAnsi="Arial" w:cs="Arial"/>
          <w:sz w:val="22"/>
          <w:szCs w:val="22"/>
        </w:rPr>
      </w:pPr>
    </w:p>
    <w:p w14:paraId="42687303" w14:textId="3C110CBC" w:rsidR="00391056" w:rsidRPr="00391056" w:rsidRDefault="00391056" w:rsidP="00391056">
      <w:pPr>
        <w:ind w:left="142"/>
        <w:jc w:val="both"/>
        <w:rPr>
          <w:rFonts w:ascii="Arial" w:hAnsi="Arial" w:cs="Arial"/>
          <w:b/>
          <w:sz w:val="22"/>
          <w:szCs w:val="22"/>
        </w:rPr>
      </w:pPr>
      <w:r w:rsidRPr="00391056">
        <w:rPr>
          <w:rFonts w:ascii="Arial" w:hAnsi="Arial" w:cs="Arial"/>
          <w:b/>
          <w:sz w:val="22"/>
          <w:szCs w:val="22"/>
        </w:rPr>
        <w:t>Other issues for consideration</w:t>
      </w:r>
    </w:p>
    <w:p w14:paraId="2708731E" w14:textId="77777777" w:rsidR="00391056" w:rsidRDefault="00391056" w:rsidP="00391056">
      <w:pPr>
        <w:ind w:left="142"/>
        <w:jc w:val="both"/>
        <w:rPr>
          <w:rFonts w:ascii="Arial" w:hAnsi="Arial" w:cs="Arial"/>
          <w:sz w:val="22"/>
          <w:szCs w:val="22"/>
        </w:rPr>
      </w:pPr>
    </w:p>
    <w:p w14:paraId="328C7846" w14:textId="3B4B1EC7" w:rsidR="00391056" w:rsidRDefault="008445F5" w:rsidP="00147C5E">
      <w:pPr>
        <w:pStyle w:val="Norma"/>
      </w:pPr>
      <w:r w:rsidRPr="00391056">
        <w:t>The project will also need to take into account the CCRA method (</w:t>
      </w:r>
      <w:r w:rsidR="009D5DE4">
        <w:t xml:space="preserve">an updated version </w:t>
      </w:r>
      <w:r w:rsidRPr="00391056">
        <w:t xml:space="preserve">to be published in </w:t>
      </w:r>
      <w:proofErr w:type="gramStart"/>
      <w:r w:rsidRPr="00391056">
        <w:t>Autumn</w:t>
      </w:r>
      <w:proofErr w:type="gramEnd"/>
      <w:r w:rsidRPr="00391056">
        <w:t xml:space="preserve"> 2018), making sure that results are presented in a fully consistent way with the</w:t>
      </w:r>
      <w:r w:rsidR="00391056">
        <w:t xml:space="preserve"> ASC’s</w:t>
      </w:r>
      <w:r w:rsidRPr="00391056">
        <w:t xml:space="preserve"> </w:t>
      </w:r>
      <w:hyperlink r:id="rId12" w:history="1">
        <w:r w:rsidRPr="00391056">
          <w:rPr>
            <w:rStyle w:val="Hyperlink"/>
            <w:rFonts w:cs="Arial"/>
          </w:rPr>
          <w:t>urgency scoring framework</w:t>
        </w:r>
      </w:hyperlink>
      <w:r w:rsidRPr="00391056">
        <w:t xml:space="preserve">. Bids should set out how the results of this project will feed into the ASC’s assessment of urgency for addressing climate change risks and opportunities. </w:t>
      </w:r>
    </w:p>
    <w:p w14:paraId="547551B9" w14:textId="77777777" w:rsidR="00391056" w:rsidRDefault="00391056" w:rsidP="00147C5E">
      <w:pPr>
        <w:pStyle w:val="Norma"/>
      </w:pPr>
    </w:p>
    <w:p w14:paraId="66F84D7E" w14:textId="77777777" w:rsidR="009D5DE4" w:rsidRDefault="00391056" w:rsidP="00147C5E">
      <w:pPr>
        <w:pStyle w:val="Norma"/>
      </w:pPr>
      <w:r w:rsidRPr="00391056">
        <w:t xml:space="preserve">Bids should set out how the project will use </w:t>
      </w:r>
      <w:r w:rsidR="000849D2" w:rsidRPr="00391056">
        <w:t xml:space="preserve">the information and data provided by the key projections and scenarios of water supply and demand used by policy makers; including the </w:t>
      </w:r>
      <w:r w:rsidR="0086617D" w:rsidRPr="00391056">
        <w:t>latest version of water company water resource management plans.</w:t>
      </w:r>
      <w:r w:rsidR="000849D2" w:rsidRPr="00391056">
        <w:t xml:space="preserve"> The review should include an assessment of the limitations and assumptions underpinning each source of evidence.</w:t>
      </w:r>
    </w:p>
    <w:p w14:paraId="4E1A1912" w14:textId="77777777" w:rsidR="009D5DE4" w:rsidRDefault="009D5DE4" w:rsidP="00147C5E">
      <w:pPr>
        <w:pStyle w:val="Norma"/>
      </w:pPr>
    </w:p>
    <w:p w14:paraId="4BE88C36" w14:textId="77777777" w:rsidR="009D5DE4" w:rsidRDefault="009D5DE4" w:rsidP="00147C5E">
      <w:pPr>
        <w:pStyle w:val="Norma"/>
      </w:pPr>
      <w:r w:rsidRPr="009D5DE4">
        <w:t xml:space="preserve">Bids should also set out </w:t>
      </w:r>
      <w:r w:rsidR="008E411E" w:rsidRPr="009D5DE4">
        <w:t>what metrics will be produced and how this will be done.</w:t>
      </w:r>
      <w:r w:rsidR="000849D2" w:rsidRPr="009D5DE4">
        <w:t xml:space="preserve"> </w:t>
      </w:r>
    </w:p>
    <w:p w14:paraId="4CF5B635" w14:textId="77777777" w:rsidR="009D5DE4" w:rsidRDefault="009D5DE4" w:rsidP="00147C5E">
      <w:pPr>
        <w:pStyle w:val="Norma"/>
      </w:pPr>
    </w:p>
    <w:p w14:paraId="3D18D88B" w14:textId="3357DE3E" w:rsidR="000849D2" w:rsidRPr="009D5DE4" w:rsidRDefault="000849D2" w:rsidP="00147C5E">
      <w:pPr>
        <w:pStyle w:val="Norma"/>
      </w:pPr>
      <w:r w:rsidRPr="009D5DE4">
        <w:t xml:space="preserve">The method should </w:t>
      </w:r>
      <w:r w:rsidR="004C2588" w:rsidRPr="009D5DE4">
        <w:t>consider</w:t>
      </w:r>
      <w:r w:rsidRPr="009D5DE4">
        <w:t xml:space="preserve"> existing as </w:t>
      </w:r>
      <w:r w:rsidR="00603E32" w:rsidRPr="009D5DE4">
        <w:t>well as new projections</w:t>
      </w:r>
      <w:r w:rsidRPr="009D5DE4">
        <w:t>,</w:t>
      </w:r>
      <w:r w:rsidR="00603E32" w:rsidRPr="009D5DE4">
        <w:t xml:space="preserve"> including climate projections from UKCP18,</w:t>
      </w:r>
      <w:r w:rsidRPr="009D5DE4">
        <w:t xml:space="preserve"> and seek to find a way of combining these datasets.</w:t>
      </w:r>
    </w:p>
    <w:p w14:paraId="1038EBD6" w14:textId="77777777" w:rsidR="009D5DE4" w:rsidRDefault="009D5DE4" w:rsidP="00147C5E">
      <w:pPr>
        <w:pStyle w:val="Norma"/>
      </w:pPr>
    </w:p>
    <w:p w14:paraId="3772C242" w14:textId="0F057B34" w:rsidR="009D5DE4" w:rsidRDefault="009D5DE4" w:rsidP="00147C5E">
      <w:pPr>
        <w:pStyle w:val="Norma"/>
      </w:pPr>
      <w:r>
        <w:t>This project should be undertaken in close collaboration with four other projects that will be commissioned simultaneously with this one, specifically:</w:t>
      </w:r>
    </w:p>
    <w:p w14:paraId="4893266F" w14:textId="77777777" w:rsidR="009D5DE4" w:rsidRDefault="009D5DE4" w:rsidP="009D5DE4">
      <w:pPr>
        <w:pStyle w:val="Norma1"/>
      </w:pPr>
    </w:p>
    <w:p w14:paraId="50363C9A" w14:textId="77777777" w:rsidR="009D5DE4" w:rsidRDefault="009D5DE4" w:rsidP="009D5DE4">
      <w:pPr>
        <w:pStyle w:val="Norma1"/>
        <w:numPr>
          <w:ilvl w:val="0"/>
          <w:numId w:val="11"/>
        </w:numPr>
      </w:pPr>
      <w:r w:rsidRPr="003E7562">
        <w:t xml:space="preserve">Climate driven </w:t>
      </w:r>
      <w:r w:rsidRPr="003E7562">
        <w:rPr>
          <w:i/>
        </w:rPr>
        <w:t>threshold effects</w:t>
      </w:r>
      <w:r w:rsidRPr="003E7562">
        <w:t xml:space="preserve"> in the natural environment </w:t>
      </w:r>
    </w:p>
    <w:p w14:paraId="4BBFB656" w14:textId="77777777" w:rsidR="009D5DE4" w:rsidRDefault="009D5DE4" w:rsidP="009D5DE4">
      <w:pPr>
        <w:pStyle w:val="Norma1"/>
        <w:numPr>
          <w:ilvl w:val="0"/>
          <w:numId w:val="11"/>
        </w:numPr>
      </w:pPr>
      <w:r w:rsidRPr="003E7562">
        <w:t xml:space="preserve">To understand how </w:t>
      </w:r>
      <w:r w:rsidRPr="003E7562">
        <w:rPr>
          <w:i/>
        </w:rPr>
        <w:t>behaviour change</w:t>
      </w:r>
      <w:r w:rsidRPr="003E7562">
        <w:t xml:space="preserve"> can influence climate change risks and opportunities </w:t>
      </w:r>
    </w:p>
    <w:p w14:paraId="14C2EBA5" w14:textId="77777777" w:rsidR="009D5DE4" w:rsidRPr="00F33A8D" w:rsidRDefault="009D5DE4" w:rsidP="009D5DE4">
      <w:pPr>
        <w:pStyle w:val="Norma1"/>
        <w:numPr>
          <w:ilvl w:val="0"/>
          <w:numId w:val="11"/>
        </w:numPr>
      </w:pPr>
      <w:r w:rsidRPr="009B50B8">
        <w:rPr>
          <w:rFonts w:cs="Arial"/>
        </w:rPr>
        <w:t xml:space="preserve">A consistent set of </w:t>
      </w:r>
      <w:r w:rsidRPr="003E7562">
        <w:rPr>
          <w:rFonts w:cs="Arial"/>
          <w:i/>
        </w:rPr>
        <w:t>socioeconomic dimensions</w:t>
      </w:r>
      <w:r w:rsidRPr="009B50B8">
        <w:rPr>
          <w:rFonts w:cs="Arial"/>
        </w:rPr>
        <w:t xml:space="preserve"> for the CCRA3 Evidence Report research projects</w:t>
      </w:r>
    </w:p>
    <w:p w14:paraId="14D6C9B9" w14:textId="77777777" w:rsidR="009D5DE4" w:rsidRDefault="009D5DE4" w:rsidP="009D5DE4">
      <w:pPr>
        <w:pStyle w:val="Norma1"/>
        <w:numPr>
          <w:ilvl w:val="0"/>
          <w:numId w:val="11"/>
        </w:numPr>
        <w:rPr>
          <w:i/>
        </w:rPr>
      </w:pPr>
      <w:r w:rsidRPr="00F33A8D">
        <w:rPr>
          <w:i/>
        </w:rPr>
        <w:t xml:space="preserve">Interacting risks </w:t>
      </w:r>
    </w:p>
    <w:p w14:paraId="17888A65" w14:textId="77777777" w:rsidR="009D5DE4" w:rsidRDefault="009D5DE4" w:rsidP="009D5DE4">
      <w:pPr>
        <w:pStyle w:val="Norma1"/>
        <w:rPr>
          <w:i/>
        </w:rPr>
      </w:pPr>
    </w:p>
    <w:p w14:paraId="53AE5F6E" w14:textId="77777777" w:rsidR="009D5DE4" w:rsidRDefault="009D5DE4" w:rsidP="009D5DE4">
      <w:pPr>
        <w:pStyle w:val="Norma"/>
      </w:pPr>
      <w:r w:rsidRPr="000A1826">
        <w:rPr>
          <w:rFonts w:cs="Arial"/>
        </w:rPr>
        <w:t>The socioeconomic dimensions driving the project analysis must, in the first instance, be taken from another project commissioned by the ASC entitled “A consistent set of socioeconomic dimensions for the CCRA3 Evidence Report research projects”. If a wider range of socioeconomic dimensions are required then the successful bidder should liaise with the ASC and the socioeconomic dimensions project staff to develop those required dimensions.</w:t>
      </w:r>
      <w:r w:rsidRPr="00230D1F">
        <w:t xml:space="preserve"> </w:t>
      </w:r>
    </w:p>
    <w:p w14:paraId="72BC28B6" w14:textId="77777777" w:rsidR="009D5DE4" w:rsidRDefault="009D5DE4" w:rsidP="00DF7380">
      <w:pPr>
        <w:pStyle w:val="Norma"/>
      </w:pPr>
    </w:p>
    <w:p w14:paraId="5EA8755E" w14:textId="77777777" w:rsidR="0034658D" w:rsidRDefault="0034658D" w:rsidP="007248E4">
      <w:pPr>
        <w:pStyle w:val="Heading1"/>
        <w:numPr>
          <w:ilvl w:val="0"/>
          <w:numId w:val="3"/>
        </w:numPr>
        <w:rPr>
          <w:rFonts w:ascii="Arial" w:hAnsi="Arial" w:cs="Arial"/>
          <w:sz w:val="24"/>
          <w:szCs w:val="24"/>
        </w:rPr>
      </w:pPr>
      <w:bookmarkStart w:id="20" w:name="_Ref357541705"/>
      <w:bookmarkStart w:id="21" w:name="_Toc381969510"/>
      <w:bookmarkStart w:id="22" w:name="_Toc405888459"/>
      <w:bookmarkStart w:id="23" w:name="_Toc520373359"/>
      <w:r w:rsidRPr="002D32D5">
        <w:rPr>
          <w:rFonts w:ascii="Arial" w:hAnsi="Arial" w:cs="Arial"/>
          <w:sz w:val="24"/>
          <w:szCs w:val="24"/>
        </w:rPr>
        <w:t xml:space="preserve">Outputs </w:t>
      </w:r>
      <w:r w:rsidR="00104197" w:rsidRPr="002D32D5">
        <w:rPr>
          <w:rFonts w:ascii="Arial" w:hAnsi="Arial" w:cs="Arial"/>
          <w:sz w:val="24"/>
          <w:szCs w:val="24"/>
        </w:rPr>
        <w:t>Required</w:t>
      </w:r>
      <w:bookmarkEnd w:id="20"/>
      <w:bookmarkEnd w:id="21"/>
      <w:bookmarkEnd w:id="22"/>
      <w:bookmarkEnd w:id="23"/>
    </w:p>
    <w:p w14:paraId="293B3F47" w14:textId="77777777" w:rsidR="001330CF" w:rsidRDefault="001330CF" w:rsidP="000849D2">
      <w:pPr>
        <w:pStyle w:val="Norma"/>
      </w:pPr>
    </w:p>
    <w:p w14:paraId="32464B45" w14:textId="77777777" w:rsidR="009D5DE4" w:rsidRDefault="000849D2" w:rsidP="000849D2">
      <w:pPr>
        <w:pStyle w:val="Norma"/>
      </w:pPr>
      <w:r w:rsidRPr="00230D1F">
        <w:t>Contractors must produce a report setting out the findin</w:t>
      </w:r>
      <w:r w:rsidR="009D5DE4">
        <w:t>gs of the research and include supporting appendices including</w:t>
      </w:r>
      <w:r w:rsidRPr="00230D1F">
        <w:t xml:space="preserve"> all underlying data used to produce the results.  The report should include an executive summary.  </w:t>
      </w:r>
    </w:p>
    <w:p w14:paraId="3793C5B9" w14:textId="77777777" w:rsidR="009D5DE4" w:rsidRDefault="009D5DE4" w:rsidP="000849D2">
      <w:pPr>
        <w:pStyle w:val="Norma"/>
      </w:pPr>
    </w:p>
    <w:p w14:paraId="3734BFAE" w14:textId="2AAA8E5D" w:rsidR="000849D2" w:rsidRPr="00230D1F" w:rsidRDefault="009D5DE4" w:rsidP="000849D2">
      <w:pPr>
        <w:pStyle w:val="Norma"/>
      </w:pPr>
      <w:r>
        <w:t xml:space="preserve">The final report should include: </w:t>
      </w:r>
    </w:p>
    <w:p w14:paraId="7DAA38AB" w14:textId="77777777" w:rsidR="000849D2" w:rsidRPr="00230D1F" w:rsidRDefault="000849D2" w:rsidP="000849D2">
      <w:pPr>
        <w:pStyle w:val="Norma"/>
      </w:pPr>
    </w:p>
    <w:p w14:paraId="58BCEF3D" w14:textId="54D7E8F6" w:rsidR="004758B4" w:rsidRPr="009D5DE4" w:rsidRDefault="004758B4" w:rsidP="009D5DE4">
      <w:pPr>
        <w:pStyle w:val="ListParagraph"/>
        <w:numPr>
          <w:ilvl w:val="0"/>
          <w:numId w:val="12"/>
        </w:numPr>
        <w:rPr>
          <w:rFonts w:ascii="Arial" w:hAnsi="Arial" w:cs="Arial"/>
        </w:rPr>
      </w:pPr>
      <w:r w:rsidRPr="009D5DE4">
        <w:rPr>
          <w:rFonts w:ascii="Arial" w:hAnsi="Arial" w:cs="Arial"/>
        </w:rPr>
        <w:t>a method statement</w:t>
      </w:r>
      <w:r w:rsidR="00B337A6" w:rsidRPr="009D5DE4">
        <w:rPr>
          <w:rFonts w:ascii="Arial" w:hAnsi="Arial" w:cs="Arial"/>
        </w:rPr>
        <w:t>, including details of how climate, hydrology and water availability projections will be approached,</w:t>
      </w:r>
      <w:r w:rsidRPr="009D5DE4">
        <w:rPr>
          <w:rFonts w:ascii="Arial" w:hAnsi="Arial" w:cs="Arial"/>
        </w:rPr>
        <w:t xml:space="preserve"> to be reviewed and agreed with the </w:t>
      </w:r>
      <w:r w:rsidR="0063050C" w:rsidRPr="009D5DE4">
        <w:rPr>
          <w:rFonts w:ascii="Arial" w:hAnsi="Arial" w:cs="Arial"/>
        </w:rPr>
        <w:t xml:space="preserve">ASC </w:t>
      </w:r>
      <w:r w:rsidR="008445F5" w:rsidRPr="009D5DE4">
        <w:rPr>
          <w:rFonts w:ascii="Arial" w:hAnsi="Arial" w:cs="Arial"/>
        </w:rPr>
        <w:t>and an expert stakeholder group (</w:t>
      </w:r>
      <w:r w:rsidR="009D5DE4" w:rsidRPr="009D5DE4">
        <w:rPr>
          <w:rFonts w:ascii="Arial" w:hAnsi="Arial" w:cs="Arial"/>
        </w:rPr>
        <w:t>see timescales</w:t>
      </w:r>
      <w:r w:rsidR="008445F5" w:rsidRPr="009D5DE4">
        <w:rPr>
          <w:rFonts w:ascii="Arial" w:hAnsi="Arial" w:cs="Arial"/>
        </w:rPr>
        <w:t>);</w:t>
      </w:r>
    </w:p>
    <w:p w14:paraId="474B39C3" w14:textId="69819128" w:rsidR="009D5DE4" w:rsidRPr="009D5DE4" w:rsidRDefault="009D5DE4" w:rsidP="009D5DE4">
      <w:pPr>
        <w:pStyle w:val="ListParagraph"/>
        <w:numPr>
          <w:ilvl w:val="0"/>
          <w:numId w:val="12"/>
        </w:numPr>
        <w:rPr>
          <w:rFonts w:ascii="Arial" w:hAnsi="Arial" w:cs="Arial"/>
        </w:rPr>
      </w:pPr>
      <w:proofErr w:type="gramStart"/>
      <w:r w:rsidRPr="009D5DE4">
        <w:rPr>
          <w:rFonts w:ascii="Arial" w:hAnsi="Arial" w:cs="Arial"/>
        </w:rPr>
        <w:t>an</w:t>
      </w:r>
      <w:proofErr w:type="gramEnd"/>
      <w:r w:rsidRPr="009D5DE4">
        <w:rPr>
          <w:rFonts w:ascii="Arial" w:hAnsi="Arial" w:cs="Arial"/>
        </w:rPr>
        <w:t xml:space="preserve"> appraisal of the robustness of the data sources and assumptions used, any weaknesses in the data or assumptions and the implications of these for the interpretation of the findings.</w:t>
      </w:r>
    </w:p>
    <w:p w14:paraId="4F96CB19" w14:textId="1638A157" w:rsidR="009D5DE4" w:rsidRPr="009D5DE4" w:rsidRDefault="009D5DE4" w:rsidP="009D5DE4">
      <w:pPr>
        <w:pStyle w:val="ListParagraph"/>
        <w:numPr>
          <w:ilvl w:val="0"/>
          <w:numId w:val="12"/>
        </w:numPr>
        <w:rPr>
          <w:rFonts w:ascii="Arial" w:hAnsi="Arial" w:cs="Arial"/>
        </w:rPr>
      </w:pPr>
      <w:r w:rsidRPr="009D5DE4">
        <w:rPr>
          <w:rFonts w:ascii="Arial" w:hAnsi="Arial" w:cs="Arial"/>
        </w:rPr>
        <w:lastRenderedPageBreak/>
        <w:t>an annex detailing how the consultants have addressed each of the review comments;</w:t>
      </w:r>
    </w:p>
    <w:p w14:paraId="2EFC1991" w14:textId="15923537" w:rsidR="00230D1F" w:rsidRPr="009D5DE4" w:rsidRDefault="00DC061E" w:rsidP="009D5DE4">
      <w:pPr>
        <w:pStyle w:val="ListParagraph"/>
        <w:numPr>
          <w:ilvl w:val="0"/>
          <w:numId w:val="12"/>
        </w:numPr>
        <w:rPr>
          <w:rFonts w:ascii="Arial" w:eastAsia="Times New Roman" w:hAnsi="Arial" w:cs="Arial"/>
        </w:rPr>
      </w:pPr>
      <w:proofErr w:type="gramStart"/>
      <w:r w:rsidRPr="009D5DE4">
        <w:rPr>
          <w:rFonts w:ascii="Arial" w:eastAsia="Times New Roman" w:hAnsi="Arial" w:cs="Arial"/>
        </w:rPr>
        <w:t>editable</w:t>
      </w:r>
      <w:proofErr w:type="gramEnd"/>
      <w:r w:rsidRPr="009D5DE4">
        <w:rPr>
          <w:rFonts w:ascii="Arial" w:eastAsia="Times New Roman" w:hAnsi="Arial" w:cs="Arial"/>
        </w:rPr>
        <w:t xml:space="preserve"> graphical representations, such as infographics, maps or charts that describe the results, with visuals optimised for use on social media. The ASC want</w:t>
      </w:r>
      <w:r w:rsidR="009D5DE4" w:rsidRPr="009D5DE4">
        <w:rPr>
          <w:rFonts w:ascii="Arial" w:eastAsia="Times New Roman" w:hAnsi="Arial" w:cs="Arial"/>
        </w:rPr>
        <w:t>s</w:t>
      </w:r>
      <w:r w:rsidRPr="009D5DE4">
        <w:rPr>
          <w:rFonts w:ascii="Arial" w:eastAsia="Times New Roman" w:hAnsi="Arial" w:cs="Arial"/>
        </w:rPr>
        <w:t xml:space="preserve"> access to the editable versions and to the text included, for example to allow for translated versions to be prepared</w:t>
      </w:r>
      <w:r w:rsidR="00230D1F" w:rsidRPr="009D5DE4">
        <w:rPr>
          <w:rFonts w:ascii="Arial" w:eastAsia="Times New Roman" w:hAnsi="Arial" w:cs="Arial"/>
        </w:rPr>
        <w:t xml:space="preserve">; and </w:t>
      </w:r>
    </w:p>
    <w:p w14:paraId="186D8ACC" w14:textId="77777777" w:rsidR="00230D1F" w:rsidRPr="009D5DE4" w:rsidRDefault="00230D1F" w:rsidP="009D5DE4">
      <w:pPr>
        <w:pStyle w:val="ListParagraph"/>
        <w:numPr>
          <w:ilvl w:val="0"/>
          <w:numId w:val="12"/>
        </w:numPr>
        <w:rPr>
          <w:rFonts w:ascii="Arial" w:eastAsia="Times New Roman" w:hAnsi="Arial" w:cs="Arial"/>
        </w:rPr>
      </w:pPr>
      <w:proofErr w:type="gramStart"/>
      <w:r w:rsidRPr="009D5DE4">
        <w:rPr>
          <w:rFonts w:ascii="Arial" w:hAnsi="Arial" w:cs="Arial"/>
        </w:rPr>
        <w:t>any</w:t>
      </w:r>
      <w:proofErr w:type="gramEnd"/>
      <w:r w:rsidRPr="009D5DE4">
        <w:rPr>
          <w:rFonts w:ascii="Arial" w:hAnsi="Arial" w:cs="Arial"/>
        </w:rPr>
        <w:t xml:space="preserve"> supporting data and annexes detailing the method or providing supplementary results.</w:t>
      </w:r>
    </w:p>
    <w:p w14:paraId="4CFBB222" w14:textId="439029DE" w:rsidR="00230D1F" w:rsidRDefault="00230D1F" w:rsidP="00230D1F">
      <w:pPr>
        <w:pStyle w:val="Norma"/>
      </w:pPr>
      <w:r w:rsidRPr="00010E2E">
        <w:t xml:space="preserve">The final report will be published on the ASC’s website </w:t>
      </w:r>
      <w:r>
        <w:t>in January</w:t>
      </w:r>
      <w:r w:rsidR="00EB32D6">
        <w:t>/February</w:t>
      </w:r>
      <w:r>
        <w:t xml:space="preserve"> 2020</w:t>
      </w:r>
      <w:r w:rsidRPr="00BE222D">
        <w:t>.</w:t>
      </w:r>
    </w:p>
    <w:p w14:paraId="5EA87560" w14:textId="77777777" w:rsidR="00936F29" w:rsidRDefault="00F042F9" w:rsidP="007248E4">
      <w:pPr>
        <w:pStyle w:val="Heading1"/>
        <w:numPr>
          <w:ilvl w:val="0"/>
          <w:numId w:val="3"/>
        </w:numPr>
        <w:rPr>
          <w:rFonts w:ascii="Arial" w:hAnsi="Arial" w:cs="Arial"/>
          <w:sz w:val="24"/>
          <w:szCs w:val="24"/>
        </w:rPr>
      </w:pPr>
      <w:bookmarkStart w:id="24" w:name="_Toc381969511"/>
      <w:bookmarkStart w:id="25" w:name="_Toc405888460"/>
      <w:bookmarkStart w:id="26" w:name="_Toc520373360"/>
      <w:bookmarkStart w:id="27" w:name="_Ref373505205"/>
      <w:bookmarkStart w:id="28" w:name="_Ref357541720"/>
      <w:r>
        <w:rPr>
          <w:rFonts w:ascii="Arial" w:hAnsi="Arial" w:cs="Arial"/>
          <w:sz w:val="24"/>
          <w:szCs w:val="24"/>
        </w:rPr>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52B905BA" w:rsidR="004B2557" w:rsidRDefault="004B2557" w:rsidP="004B2557">
      <w:pPr>
        <w:pStyle w:val="Norma"/>
        <w:rPr>
          <w:rFonts w:cs="Arial"/>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1741811" w14:textId="77777777" w:rsidR="00C331A0" w:rsidRDefault="00C331A0" w:rsidP="004B2557">
      <w:pPr>
        <w:pStyle w:val="Norma"/>
        <w:rPr>
          <w:rFonts w:cs="Arial"/>
        </w:rPr>
      </w:pPr>
    </w:p>
    <w:p w14:paraId="6DCC2984" w14:textId="178625AE" w:rsidR="00C331A0" w:rsidRDefault="00C331A0" w:rsidP="004B2557">
      <w:pPr>
        <w:pStyle w:val="Norma"/>
        <w:rPr>
          <w:rFonts w:cs="Arial"/>
        </w:rPr>
      </w:pPr>
      <w:r>
        <w:rPr>
          <w:rFonts w:cs="Arial"/>
        </w:rPr>
        <w:t>All research publications arising from the contract must include a statement on how the supporting data and any other relevant research materials can be accessed.</w:t>
      </w:r>
    </w:p>
    <w:p w14:paraId="1060445A" w14:textId="77777777" w:rsidR="00C331A0" w:rsidRPr="002133A0" w:rsidRDefault="00C331A0" w:rsidP="004B2557">
      <w:pPr>
        <w:pStyle w:val="Norma"/>
        <w:rPr>
          <w:rFonts w:cs="Arial"/>
          <w:color w:val="000000" w:themeColor="text1"/>
        </w:rPr>
      </w:pPr>
    </w:p>
    <w:p w14:paraId="5EA87562" w14:textId="77777777" w:rsidR="006700D3" w:rsidRDefault="00936F29" w:rsidP="007248E4">
      <w:pPr>
        <w:pStyle w:val="Heading1"/>
        <w:numPr>
          <w:ilvl w:val="0"/>
          <w:numId w:val="3"/>
        </w:numPr>
        <w:rPr>
          <w:rFonts w:ascii="Arial" w:hAnsi="Arial" w:cs="Arial"/>
          <w:sz w:val="24"/>
          <w:szCs w:val="24"/>
        </w:rPr>
      </w:pPr>
      <w:bookmarkStart w:id="29" w:name="_Toc520373361"/>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9D5DE4">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9D5DE4">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9D5DE4">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3F3EE58D"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analys</w:t>
      </w:r>
      <w:r>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520373362"/>
      <w:r w:rsidRPr="003D6551">
        <w:rPr>
          <w:rFonts w:ascii="Arial" w:hAnsi="Arial" w:cs="Arial"/>
          <w:sz w:val="24"/>
          <w:szCs w:val="24"/>
        </w:rPr>
        <w:lastRenderedPageBreak/>
        <w:t>Timetable</w:t>
      </w:r>
      <w:bookmarkEnd w:id="28"/>
      <w:bookmarkEnd w:id="30"/>
      <w:bookmarkEnd w:id="31"/>
      <w:bookmarkEnd w:id="32"/>
      <w:bookmarkEnd w:id="33"/>
    </w:p>
    <w:p w14:paraId="0F755DEB" w14:textId="77777777" w:rsidR="00DD521A" w:rsidRDefault="00DD521A" w:rsidP="00DD521A">
      <w:pPr>
        <w:pStyle w:val="Norma"/>
      </w:pPr>
    </w:p>
    <w:p w14:paraId="2AA4DE06" w14:textId="1677E98D" w:rsidR="004B2557"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4C7F4348" w14:textId="77777777" w:rsidR="001F409F" w:rsidRDefault="001F409F" w:rsidP="004B2557">
      <w:pPr>
        <w:spacing w:line="264" w:lineRule="auto"/>
        <w:rPr>
          <w:rFonts w:ascii="Arial" w:hAnsi="Arial"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1F409F" w:rsidRPr="00010E2E" w14:paraId="399739B0" w14:textId="77777777" w:rsidTr="00324B46">
        <w:trPr>
          <w:trHeight w:val="273"/>
          <w:tblHeader/>
        </w:trPr>
        <w:tc>
          <w:tcPr>
            <w:tcW w:w="1545" w:type="dxa"/>
            <w:tcBorders>
              <w:bottom w:val="single" w:sz="12" w:space="0" w:color="000000"/>
            </w:tcBorders>
            <w:shd w:val="solid" w:color="808080" w:fill="FFFFFF"/>
          </w:tcPr>
          <w:p w14:paraId="5A38577C" w14:textId="77777777" w:rsidR="001F409F" w:rsidRPr="00010E2E" w:rsidRDefault="001F409F" w:rsidP="00324B46">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Phase</w:t>
            </w:r>
          </w:p>
        </w:tc>
        <w:tc>
          <w:tcPr>
            <w:tcW w:w="4252" w:type="dxa"/>
            <w:tcBorders>
              <w:bottom w:val="single" w:sz="12" w:space="0" w:color="000000"/>
            </w:tcBorders>
            <w:shd w:val="solid" w:color="808080" w:fill="FFFFFF"/>
          </w:tcPr>
          <w:p w14:paraId="3E811474" w14:textId="77777777" w:rsidR="001F409F" w:rsidRPr="00010E2E" w:rsidRDefault="001F409F" w:rsidP="00324B46">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78FA68E6" w14:textId="77777777" w:rsidR="001F409F" w:rsidRPr="00010E2E" w:rsidRDefault="001F409F" w:rsidP="00324B46">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1F409F" w:rsidRPr="00010E2E" w14:paraId="7670A556" w14:textId="77777777" w:rsidTr="00324B46">
        <w:tc>
          <w:tcPr>
            <w:tcW w:w="1545" w:type="dxa"/>
            <w:shd w:val="clear" w:color="auto" w:fill="auto"/>
          </w:tcPr>
          <w:p w14:paraId="798CF1C5"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4252" w:type="dxa"/>
            <w:shd w:val="clear" w:color="auto" w:fill="auto"/>
          </w:tcPr>
          <w:p w14:paraId="2F2414CB"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Bids received</w:t>
            </w:r>
          </w:p>
        </w:tc>
        <w:tc>
          <w:tcPr>
            <w:tcW w:w="2675" w:type="dxa"/>
            <w:shd w:val="clear" w:color="auto" w:fill="auto"/>
          </w:tcPr>
          <w:p w14:paraId="163E7DE6" w14:textId="314C1D12" w:rsidR="001F409F" w:rsidRPr="00010E2E" w:rsidRDefault="00C42758" w:rsidP="00EE1923">
            <w:pPr>
              <w:keepNext/>
              <w:keepLines/>
              <w:spacing w:after="120" w:line="276" w:lineRule="auto"/>
              <w:jc w:val="both"/>
              <w:rPr>
                <w:rFonts w:ascii="Arial" w:hAnsi="Arial" w:cs="Arial"/>
                <w:sz w:val="22"/>
                <w:szCs w:val="22"/>
              </w:rPr>
            </w:pPr>
            <w:r>
              <w:rPr>
                <w:rFonts w:ascii="Arial" w:hAnsi="Arial" w:cs="Arial"/>
                <w:sz w:val="22"/>
                <w:szCs w:val="22"/>
              </w:rPr>
              <w:t>2</w:t>
            </w:r>
            <w:r w:rsidR="00EE1923">
              <w:rPr>
                <w:rFonts w:ascii="Arial" w:hAnsi="Arial" w:cs="Arial"/>
                <w:sz w:val="22"/>
                <w:szCs w:val="22"/>
              </w:rPr>
              <w:t>4</w:t>
            </w:r>
            <w:r w:rsidR="002D0894" w:rsidRPr="002D0894">
              <w:rPr>
                <w:rFonts w:ascii="Arial" w:hAnsi="Arial" w:cs="Arial"/>
                <w:sz w:val="22"/>
                <w:szCs w:val="22"/>
                <w:vertAlign w:val="superscript"/>
              </w:rPr>
              <w:t>th</w:t>
            </w:r>
            <w:r w:rsidR="002D0894">
              <w:rPr>
                <w:rFonts w:ascii="Arial" w:hAnsi="Arial" w:cs="Arial"/>
                <w:sz w:val="22"/>
                <w:szCs w:val="22"/>
              </w:rPr>
              <w:t xml:space="preserve"> </w:t>
            </w:r>
            <w:r>
              <w:rPr>
                <w:rFonts w:ascii="Arial" w:hAnsi="Arial" w:cs="Arial"/>
                <w:sz w:val="22"/>
                <w:szCs w:val="22"/>
              </w:rPr>
              <w:t>September</w:t>
            </w:r>
            <w:r w:rsidRPr="00010E2E">
              <w:rPr>
                <w:rFonts w:ascii="Arial" w:hAnsi="Arial" w:cs="Arial"/>
                <w:sz w:val="22"/>
                <w:szCs w:val="22"/>
              </w:rPr>
              <w:t xml:space="preserve"> </w:t>
            </w:r>
            <w:r w:rsidR="001F409F" w:rsidRPr="00010E2E">
              <w:rPr>
                <w:rFonts w:ascii="Arial" w:hAnsi="Arial" w:cs="Arial"/>
                <w:sz w:val="22"/>
                <w:szCs w:val="22"/>
              </w:rPr>
              <w:t>2018</w:t>
            </w:r>
          </w:p>
        </w:tc>
      </w:tr>
      <w:tr w:rsidR="001F409F" w:rsidRPr="00010E2E" w14:paraId="4C35215B" w14:textId="77777777" w:rsidTr="00324B46">
        <w:tc>
          <w:tcPr>
            <w:tcW w:w="1545" w:type="dxa"/>
            <w:shd w:val="clear" w:color="auto" w:fill="auto"/>
          </w:tcPr>
          <w:p w14:paraId="5A83CAB4" w14:textId="77777777" w:rsidR="001F409F" w:rsidRPr="00010E2E" w:rsidRDefault="001F409F" w:rsidP="00324B46">
            <w:pPr>
              <w:keepNext/>
              <w:keepLines/>
              <w:spacing w:after="120" w:line="276" w:lineRule="auto"/>
              <w:jc w:val="both"/>
              <w:rPr>
                <w:rFonts w:ascii="Arial" w:hAnsi="Arial" w:cs="Arial"/>
                <w:sz w:val="22"/>
                <w:szCs w:val="22"/>
              </w:rPr>
            </w:pPr>
          </w:p>
        </w:tc>
        <w:tc>
          <w:tcPr>
            <w:tcW w:w="4252" w:type="dxa"/>
            <w:shd w:val="clear" w:color="auto" w:fill="auto"/>
          </w:tcPr>
          <w:p w14:paraId="0D043BFA"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p>
        </w:tc>
        <w:tc>
          <w:tcPr>
            <w:tcW w:w="2675" w:type="dxa"/>
            <w:shd w:val="clear" w:color="auto" w:fill="auto"/>
          </w:tcPr>
          <w:p w14:paraId="767D9E77" w14:textId="3CC6820B" w:rsidR="001F409F" w:rsidRPr="00010E2E" w:rsidRDefault="001F409F" w:rsidP="002D0894">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sidR="002D0894">
              <w:rPr>
                <w:rFonts w:ascii="Arial" w:hAnsi="Arial" w:cs="Arial"/>
                <w:sz w:val="22"/>
                <w:szCs w:val="22"/>
              </w:rPr>
              <w:t>8</w:t>
            </w:r>
            <w:r w:rsidR="002D0894" w:rsidRPr="002D0894">
              <w:rPr>
                <w:rFonts w:ascii="Arial" w:hAnsi="Arial" w:cs="Arial"/>
                <w:sz w:val="22"/>
                <w:szCs w:val="22"/>
                <w:vertAlign w:val="superscript"/>
              </w:rPr>
              <w:t>th</w:t>
            </w:r>
            <w:r w:rsidR="002D0894">
              <w:rPr>
                <w:rFonts w:ascii="Arial" w:hAnsi="Arial" w:cs="Arial"/>
                <w:sz w:val="22"/>
                <w:szCs w:val="22"/>
              </w:rPr>
              <w:t xml:space="preserve"> </w:t>
            </w:r>
            <w:r w:rsidR="00C42758">
              <w:rPr>
                <w:rFonts w:ascii="Arial" w:hAnsi="Arial" w:cs="Arial"/>
                <w:sz w:val="22"/>
                <w:szCs w:val="22"/>
              </w:rPr>
              <w:t>October</w:t>
            </w:r>
            <w:r w:rsidR="00C42758" w:rsidRPr="00010E2E">
              <w:rPr>
                <w:rFonts w:ascii="Arial" w:hAnsi="Arial" w:cs="Arial"/>
                <w:sz w:val="22"/>
                <w:szCs w:val="22"/>
              </w:rPr>
              <w:t xml:space="preserve"> </w:t>
            </w:r>
            <w:r w:rsidRPr="00010E2E">
              <w:rPr>
                <w:rFonts w:ascii="Arial" w:hAnsi="Arial" w:cs="Arial"/>
                <w:sz w:val="22"/>
                <w:szCs w:val="22"/>
              </w:rPr>
              <w:t>2018</w:t>
            </w:r>
          </w:p>
        </w:tc>
      </w:tr>
      <w:tr w:rsidR="001F409F" w:rsidRPr="00010E2E" w14:paraId="50BB091C" w14:textId="77777777" w:rsidTr="00324B46">
        <w:tc>
          <w:tcPr>
            <w:tcW w:w="1545" w:type="dxa"/>
            <w:shd w:val="clear" w:color="auto" w:fill="auto"/>
          </w:tcPr>
          <w:p w14:paraId="2D4D9014" w14:textId="77777777" w:rsidR="001F409F" w:rsidRPr="00010E2E" w:rsidRDefault="001F409F" w:rsidP="00324B46">
            <w:pPr>
              <w:keepNext/>
              <w:keepLines/>
              <w:spacing w:after="120" w:line="276" w:lineRule="auto"/>
              <w:jc w:val="both"/>
              <w:rPr>
                <w:rFonts w:ascii="Arial" w:hAnsi="Arial" w:cs="Arial"/>
                <w:sz w:val="22"/>
                <w:szCs w:val="22"/>
              </w:rPr>
            </w:pPr>
          </w:p>
        </w:tc>
        <w:tc>
          <w:tcPr>
            <w:tcW w:w="4252" w:type="dxa"/>
            <w:shd w:val="clear" w:color="auto" w:fill="auto"/>
          </w:tcPr>
          <w:p w14:paraId="139D17F3"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2675" w:type="dxa"/>
            <w:shd w:val="clear" w:color="auto" w:fill="auto"/>
          </w:tcPr>
          <w:p w14:paraId="0CAC8019" w14:textId="593842E3" w:rsidR="001F409F" w:rsidRPr="00010E2E" w:rsidRDefault="002D0894" w:rsidP="00324B46">
            <w:pPr>
              <w:keepNext/>
              <w:keepLines/>
              <w:spacing w:after="120" w:line="276" w:lineRule="auto"/>
              <w:jc w:val="both"/>
              <w:rPr>
                <w:rFonts w:ascii="Arial" w:hAnsi="Arial" w:cs="Arial"/>
                <w:sz w:val="22"/>
                <w:szCs w:val="22"/>
              </w:rPr>
            </w:pPr>
            <w:r>
              <w:rPr>
                <w:rFonts w:ascii="Arial" w:hAnsi="Arial" w:cs="Arial"/>
                <w:sz w:val="22"/>
                <w:szCs w:val="22"/>
              </w:rPr>
              <w:t>12</w:t>
            </w:r>
            <w:r w:rsidR="00C42758" w:rsidRPr="00EB32D6">
              <w:rPr>
                <w:rFonts w:ascii="Arial" w:hAnsi="Arial" w:cs="Arial"/>
                <w:sz w:val="22"/>
                <w:szCs w:val="22"/>
                <w:vertAlign w:val="superscript"/>
              </w:rPr>
              <w:t>th</w:t>
            </w:r>
            <w:r w:rsidR="00C42758">
              <w:rPr>
                <w:rFonts w:ascii="Arial" w:hAnsi="Arial" w:cs="Arial"/>
                <w:sz w:val="22"/>
                <w:szCs w:val="22"/>
              </w:rPr>
              <w:t xml:space="preserve"> October</w:t>
            </w:r>
            <w:r w:rsidR="001F409F" w:rsidRPr="00010E2E">
              <w:rPr>
                <w:rFonts w:ascii="Arial" w:hAnsi="Arial" w:cs="Arial"/>
                <w:sz w:val="22"/>
                <w:szCs w:val="22"/>
              </w:rPr>
              <w:t xml:space="preserve"> 2018</w:t>
            </w:r>
          </w:p>
        </w:tc>
      </w:tr>
      <w:tr w:rsidR="001F409F" w:rsidRPr="00010E2E" w14:paraId="0D091884" w14:textId="77777777" w:rsidTr="00324B46">
        <w:tc>
          <w:tcPr>
            <w:tcW w:w="1545" w:type="dxa"/>
            <w:shd w:val="clear" w:color="auto" w:fill="auto"/>
          </w:tcPr>
          <w:p w14:paraId="325962B2" w14:textId="77777777" w:rsidR="001F409F" w:rsidRPr="00010E2E" w:rsidRDefault="001F409F" w:rsidP="00324B46">
            <w:pPr>
              <w:keepNext/>
              <w:keepLines/>
              <w:spacing w:after="120" w:line="276" w:lineRule="auto"/>
              <w:jc w:val="both"/>
              <w:rPr>
                <w:rFonts w:ascii="Arial" w:hAnsi="Arial" w:cs="Arial"/>
                <w:sz w:val="22"/>
                <w:szCs w:val="22"/>
              </w:rPr>
            </w:pPr>
          </w:p>
        </w:tc>
        <w:tc>
          <w:tcPr>
            <w:tcW w:w="4252" w:type="dxa"/>
            <w:shd w:val="clear" w:color="auto" w:fill="auto"/>
          </w:tcPr>
          <w:p w14:paraId="2A2C133E"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 xml:space="preserve">Kick-off meeting with ASC </w:t>
            </w:r>
          </w:p>
        </w:tc>
        <w:tc>
          <w:tcPr>
            <w:tcW w:w="2675" w:type="dxa"/>
            <w:shd w:val="clear" w:color="auto" w:fill="auto"/>
          </w:tcPr>
          <w:p w14:paraId="77EAFD6C" w14:textId="47EFAC5B" w:rsidR="001F409F" w:rsidRPr="00010E2E" w:rsidRDefault="001F409F" w:rsidP="002D0894">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sidR="002D0894">
              <w:rPr>
                <w:rFonts w:ascii="Arial" w:hAnsi="Arial" w:cs="Arial"/>
                <w:sz w:val="22"/>
                <w:szCs w:val="22"/>
              </w:rPr>
              <w:t>15</w:t>
            </w:r>
            <w:r w:rsidR="00C42758" w:rsidRPr="00EB32D6">
              <w:rPr>
                <w:rFonts w:ascii="Arial" w:hAnsi="Arial" w:cs="Arial"/>
                <w:sz w:val="22"/>
                <w:szCs w:val="22"/>
                <w:vertAlign w:val="superscript"/>
              </w:rPr>
              <w:t>th</w:t>
            </w:r>
            <w:r w:rsidR="00C42758">
              <w:rPr>
                <w:rFonts w:ascii="Arial" w:hAnsi="Arial" w:cs="Arial"/>
                <w:sz w:val="22"/>
                <w:szCs w:val="22"/>
              </w:rPr>
              <w:t xml:space="preserve"> </w:t>
            </w:r>
            <w:r w:rsidR="00C42758" w:rsidRPr="00010E2E">
              <w:rPr>
                <w:rFonts w:ascii="Arial" w:hAnsi="Arial" w:cs="Arial"/>
                <w:sz w:val="22"/>
                <w:szCs w:val="22"/>
              </w:rPr>
              <w:t xml:space="preserve"> </w:t>
            </w:r>
            <w:r w:rsidR="00C42758">
              <w:rPr>
                <w:rFonts w:ascii="Arial" w:hAnsi="Arial" w:cs="Arial"/>
                <w:sz w:val="22"/>
                <w:szCs w:val="22"/>
              </w:rPr>
              <w:t>October</w:t>
            </w:r>
            <w:r w:rsidR="00C42758" w:rsidRPr="00010E2E">
              <w:rPr>
                <w:rFonts w:ascii="Arial" w:hAnsi="Arial" w:cs="Arial"/>
                <w:sz w:val="22"/>
                <w:szCs w:val="22"/>
              </w:rPr>
              <w:t xml:space="preserve"> </w:t>
            </w:r>
            <w:r w:rsidRPr="00010E2E">
              <w:rPr>
                <w:rFonts w:ascii="Arial" w:hAnsi="Arial" w:cs="Arial"/>
                <w:sz w:val="22"/>
                <w:szCs w:val="22"/>
              </w:rPr>
              <w:t>2018</w:t>
            </w:r>
          </w:p>
        </w:tc>
      </w:tr>
      <w:tr w:rsidR="001F409F" w:rsidRPr="00010E2E" w14:paraId="3A372981" w14:textId="77777777" w:rsidTr="00324B46">
        <w:trPr>
          <w:trHeight w:val="406"/>
        </w:trPr>
        <w:tc>
          <w:tcPr>
            <w:tcW w:w="1545" w:type="dxa"/>
            <w:shd w:val="clear" w:color="auto" w:fill="auto"/>
          </w:tcPr>
          <w:p w14:paraId="30FE323B" w14:textId="77777777" w:rsidR="001F409F" w:rsidRPr="00010E2E" w:rsidRDefault="001F409F" w:rsidP="00324B46">
            <w:pPr>
              <w:keepNext/>
              <w:keepLines/>
              <w:spacing w:after="120" w:line="276" w:lineRule="auto"/>
              <w:rPr>
                <w:rFonts w:ascii="Arial" w:hAnsi="Arial" w:cs="Arial"/>
                <w:sz w:val="22"/>
                <w:szCs w:val="22"/>
              </w:rPr>
            </w:pPr>
            <w:r w:rsidRPr="00010E2E">
              <w:rPr>
                <w:rFonts w:ascii="Arial" w:hAnsi="Arial" w:cs="Arial"/>
                <w:sz w:val="22"/>
                <w:szCs w:val="22"/>
              </w:rPr>
              <w:t>Project development</w:t>
            </w:r>
          </w:p>
        </w:tc>
        <w:tc>
          <w:tcPr>
            <w:tcW w:w="4252" w:type="dxa"/>
            <w:tcBorders>
              <w:bottom w:val="single" w:sz="4" w:space="0" w:color="auto"/>
            </w:tcBorders>
            <w:shd w:val="clear" w:color="auto" w:fill="auto"/>
          </w:tcPr>
          <w:p w14:paraId="22D9D6B4"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1A0E85FE" w14:textId="6525BF30" w:rsidR="001F409F" w:rsidRPr="00010E2E" w:rsidRDefault="001F409F" w:rsidP="002D0894">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sidR="002D0894">
              <w:rPr>
                <w:rFonts w:ascii="Arial" w:hAnsi="Arial" w:cs="Arial"/>
                <w:sz w:val="22"/>
                <w:szCs w:val="22"/>
              </w:rPr>
              <w:t>5</w:t>
            </w:r>
            <w:r w:rsidR="00C42758" w:rsidRPr="00010E2E">
              <w:rPr>
                <w:rFonts w:ascii="Arial" w:hAnsi="Arial" w:cs="Arial"/>
                <w:sz w:val="22"/>
                <w:szCs w:val="22"/>
                <w:vertAlign w:val="superscript"/>
              </w:rPr>
              <w:t>th</w:t>
            </w:r>
            <w:r w:rsidR="00C42758" w:rsidRPr="00010E2E">
              <w:rPr>
                <w:rFonts w:ascii="Arial" w:hAnsi="Arial" w:cs="Arial"/>
                <w:sz w:val="22"/>
                <w:szCs w:val="22"/>
              </w:rPr>
              <w:t xml:space="preserve"> </w:t>
            </w:r>
            <w:r w:rsidR="002D0894">
              <w:rPr>
                <w:rFonts w:ascii="Arial" w:hAnsi="Arial" w:cs="Arial"/>
                <w:sz w:val="22"/>
                <w:szCs w:val="22"/>
              </w:rPr>
              <w:t>Novem</w:t>
            </w:r>
            <w:r w:rsidR="00C42758" w:rsidRPr="00010E2E">
              <w:rPr>
                <w:rFonts w:ascii="Arial" w:hAnsi="Arial" w:cs="Arial"/>
                <w:sz w:val="22"/>
                <w:szCs w:val="22"/>
              </w:rPr>
              <w:t xml:space="preserve">ber </w:t>
            </w:r>
            <w:r w:rsidRPr="00010E2E">
              <w:rPr>
                <w:rFonts w:ascii="Arial" w:hAnsi="Arial" w:cs="Arial"/>
                <w:sz w:val="22"/>
                <w:szCs w:val="22"/>
              </w:rPr>
              <w:t>2018</w:t>
            </w:r>
          </w:p>
        </w:tc>
      </w:tr>
      <w:tr w:rsidR="001F409F" w:rsidRPr="00010E2E" w14:paraId="74B44866" w14:textId="77777777" w:rsidTr="00324B46">
        <w:trPr>
          <w:trHeight w:val="406"/>
        </w:trPr>
        <w:tc>
          <w:tcPr>
            <w:tcW w:w="1545" w:type="dxa"/>
            <w:shd w:val="clear" w:color="auto" w:fill="auto"/>
          </w:tcPr>
          <w:p w14:paraId="71401799" w14:textId="77777777" w:rsidR="001F409F" w:rsidRPr="00010E2E" w:rsidRDefault="001F409F" w:rsidP="00324B4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42D62B56"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2D496BAB" w14:textId="37116FA9" w:rsidR="001F409F" w:rsidRPr="00010E2E" w:rsidRDefault="001F409F" w:rsidP="002D0894">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sidR="002D0894">
              <w:rPr>
                <w:rFonts w:ascii="Arial" w:hAnsi="Arial" w:cs="Arial"/>
                <w:sz w:val="22"/>
                <w:szCs w:val="22"/>
              </w:rPr>
              <w:t>26</w:t>
            </w:r>
            <w:r w:rsidR="00C42758" w:rsidRPr="00010E2E">
              <w:rPr>
                <w:rFonts w:ascii="Arial" w:hAnsi="Arial" w:cs="Arial"/>
                <w:sz w:val="22"/>
                <w:szCs w:val="22"/>
                <w:vertAlign w:val="superscript"/>
              </w:rPr>
              <w:t>th</w:t>
            </w:r>
            <w:r w:rsidR="00C42758" w:rsidRPr="00010E2E">
              <w:rPr>
                <w:rFonts w:ascii="Arial" w:hAnsi="Arial" w:cs="Arial"/>
                <w:sz w:val="22"/>
                <w:szCs w:val="22"/>
              </w:rPr>
              <w:t xml:space="preserve"> </w:t>
            </w:r>
            <w:r w:rsidR="00C42758">
              <w:rPr>
                <w:rFonts w:ascii="Arial" w:hAnsi="Arial" w:cs="Arial"/>
                <w:sz w:val="22"/>
                <w:szCs w:val="22"/>
              </w:rPr>
              <w:t>Novem</w:t>
            </w:r>
            <w:r w:rsidR="00C42758" w:rsidRPr="00010E2E">
              <w:rPr>
                <w:rFonts w:ascii="Arial" w:hAnsi="Arial" w:cs="Arial"/>
                <w:sz w:val="22"/>
                <w:szCs w:val="22"/>
              </w:rPr>
              <w:t xml:space="preserve">ber </w:t>
            </w:r>
            <w:r w:rsidRPr="00010E2E">
              <w:rPr>
                <w:rFonts w:ascii="Arial" w:hAnsi="Arial" w:cs="Arial"/>
                <w:sz w:val="22"/>
                <w:szCs w:val="22"/>
              </w:rPr>
              <w:t>2018</w:t>
            </w:r>
          </w:p>
        </w:tc>
      </w:tr>
      <w:tr w:rsidR="001F409F" w:rsidRPr="00010E2E" w14:paraId="568866E0" w14:textId="77777777" w:rsidTr="00324B46">
        <w:trPr>
          <w:trHeight w:val="406"/>
        </w:trPr>
        <w:tc>
          <w:tcPr>
            <w:tcW w:w="1545" w:type="dxa"/>
            <w:shd w:val="clear" w:color="auto" w:fill="auto"/>
          </w:tcPr>
          <w:p w14:paraId="434A639F" w14:textId="77777777" w:rsidR="001F409F" w:rsidRPr="00010E2E" w:rsidRDefault="001F409F" w:rsidP="00324B4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7DC9A43"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szCs w:val="22"/>
              </w:rPr>
              <w:t>Analysis undertaken</w:t>
            </w:r>
          </w:p>
        </w:tc>
        <w:tc>
          <w:tcPr>
            <w:tcW w:w="2675" w:type="dxa"/>
            <w:tcBorders>
              <w:bottom w:val="single" w:sz="4" w:space="0" w:color="auto"/>
            </w:tcBorders>
            <w:shd w:val="clear" w:color="auto" w:fill="auto"/>
          </w:tcPr>
          <w:p w14:paraId="0516CB78" w14:textId="7082B1D2" w:rsidR="001F409F" w:rsidRPr="00010E2E" w:rsidRDefault="002D0894" w:rsidP="002D0894">
            <w:pPr>
              <w:keepNext/>
              <w:keepLines/>
              <w:spacing w:after="120" w:line="276" w:lineRule="auto"/>
              <w:jc w:val="both"/>
              <w:rPr>
                <w:rFonts w:ascii="Arial" w:hAnsi="Arial" w:cs="Arial"/>
                <w:sz w:val="22"/>
                <w:szCs w:val="22"/>
              </w:rPr>
            </w:pPr>
            <w:r>
              <w:rPr>
                <w:rFonts w:ascii="Arial" w:hAnsi="Arial" w:cs="Arial"/>
                <w:sz w:val="22"/>
                <w:szCs w:val="22"/>
              </w:rPr>
              <w:t xml:space="preserve">December </w:t>
            </w:r>
            <w:r w:rsidR="001F409F" w:rsidRPr="00010E2E">
              <w:rPr>
                <w:rFonts w:ascii="Arial" w:hAnsi="Arial" w:cs="Arial"/>
                <w:sz w:val="22"/>
                <w:szCs w:val="22"/>
              </w:rPr>
              <w:t xml:space="preserve">2018 to </w:t>
            </w:r>
            <w:r w:rsidR="00C42758">
              <w:rPr>
                <w:rFonts w:ascii="Arial" w:hAnsi="Arial" w:cs="Arial"/>
                <w:sz w:val="22"/>
                <w:szCs w:val="22"/>
              </w:rPr>
              <w:t>September</w:t>
            </w:r>
            <w:r w:rsidR="00C42758" w:rsidRPr="00010E2E">
              <w:rPr>
                <w:rFonts w:ascii="Arial" w:hAnsi="Arial" w:cs="Arial"/>
                <w:sz w:val="22"/>
                <w:szCs w:val="22"/>
              </w:rPr>
              <w:t xml:space="preserve"> </w:t>
            </w:r>
            <w:r w:rsidR="001F409F" w:rsidRPr="00010E2E">
              <w:rPr>
                <w:rFonts w:ascii="Arial" w:hAnsi="Arial" w:cs="Arial"/>
                <w:sz w:val="22"/>
                <w:szCs w:val="22"/>
              </w:rPr>
              <w:t>2019</w:t>
            </w:r>
          </w:p>
        </w:tc>
      </w:tr>
      <w:tr w:rsidR="001F409F" w:rsidRPr="00010E2E" w14:paraId="28EEA5F9" w14:textId="77777777" w:rsidTr="00324B46">
        <w:trPr>
          <w:trHeight w:val="406"/>
        </w:trPr>
        <w:tc>
          <w:tcPr>
            <w:tcW w:w="1545" w:type="dxa"/>
            <w:shd w:val="clear" w:color="auto" w:fill="auto"/>
          </w:tcPr>
          <w:p w14:paraId="49DF86A0" w14:textId="77777777" w:rsidR="001F409F" w:rsidRPr="00010E2E" w:rsidRDefault="001F409F" w:rsidP="00324B46">
            <w:pPr>
              <w:keepNext/>
              <w:keepLines/>
              <w:spacing w:after="120" w:line="276" w:lineRule="auto"/>
              <w:rPr>
                <w:rFonts w:ascii="Arial" w:hAnsi="Arial" w:cs="Arial"/>
                <w:sz w:val="22"/>
                <w:szCs w:val="22"/>
              </w:rPr>
            </w:pPr>
            <w:r w:rsidRPr="00010E2E">
              <w:rPr>
                <w:rFonts w:ascii="Arial" w:hAnsi="Arial" w:cs="Arial"/>
                <w:sz w:val="22"/>
                <w:szCs w:val="22"/>
              </w:rPr>
              <w:t>Reporting</w:t>
            </w:r>
          </w:p>
        </w:tc>
        <w:tc>
          <w:tcPr>
            <w:tcW w:w="4252" w:type="dxa"/>
            <w:tcBorders>
              <w:bottom w:val="single" w:sz="4" w:space="0" w:color="auto"/>
            </w:tcBorders>
            <w:shd w:val="clear" w:color="auto" w:fill="auto"/>
          </w:tcPr>
          <w:p w14:paraId="1F3C8D81" w14:textId="5A37EFB8" w:rsidR="001F409F" w:rsidRPr="00010E2E" w:rsidRDefault="00FA6FAF" w:rsidP="00324B46">
            <w:pPr>
              <w:keepNext/>
              <w:keepLines/>
              <w:spacing w:after="120" w:line="276" w:lineRule="auto"/>
              <w:jc w:val="both"/>
              <w:rPr>
                <w:rFonts w:ascii="Arial" w:hAnsi="Arial" w:cs="Arial"/>
                <w:sz w:val="22"/>
                <w:szCs w:val="22"/>
              </w:rPr>
            </w:pPr>
            <w:r>
              <w:rPr>
                <w:rFonts w:ascii="Arial" w:hAnsi="Arial" w:cs="Arial"/>
                <w:sz w:val="22"/>
              </w:rPr>
              <w:t>Data and i</w:t>
            </w:r>
            <w:r w:rsidR="001F409F" w:rsidRPr="00010E2E">
              <w:rPr>
                <w:rFonts w:ascii="Arial" w:hAnsi="Arial" w:cs="Arial"/>
                <w:sz w:val="22"/>
              </w:rPr>
              <w:t>nitial draft report for comments by ASC</w:t>
            </w:r>
          </w:p>
        </w:tc>
        <w:tc>
          <w:tcPr>
            <w:tcW w:w="2675" w:type="dxa"/>
            <w:tcBorders>
              <w:bottom w:val="single" w:sz="4" w:space="0" w:color="auto"/>
            </w:tcBorders>
            <w:shd w:val="clear" w:color="auto" w:fill="auto"/>
          </w:tcPr>
          <w:p w14:paraId="710D5E7C" w14:textId="74059FAD" w:rsidR="001F409F" w:rsidRPr="00010E2E" w:rsidRDefault="002D0894" w:rsidP="00C42758">
            <w:pPr>
              <w:keepNext/>
              <w:keepLines/>
              <w:spacing w:after="120" w:line="276" w:lineRule="auto"/>
              <w:jc w:val="both"/>
              <w:rPr>
                <w:rFonts w:ascii="Arial" w:hAnsi="Arial" w:cs="Arial"/>
                <w:sz w:val="22"/>
                <w:szCs w:val="22"/>
              </w:rPr>
            </w:pPr>
            <w:r>
              <w:rPr>
                <w:rFonts w:ascii="Arial" w:hAnsi="Arial" w:cs="Arial"/>
                <w:sz w:val="22"/>
                <w:szCs w:val="22"/>
              </w:rPr>
              <w:t>11</w:t>
            </w:r>
            <w:r w:rsidR="00C42758" w:rsidRPr="00EB32D6">
              <w:rPr>
                <w:rFonts w:ascii="Arial" w:hAnsi="Arial" w:cs="Arial"/>
                <w:sz w:val="22"/>
                <w:szCs w:val="22"/>
                <w:vertAlign w:val="superscript"/>
              </w:rPr>
              <w:t>th</w:t>
            </w:r>
            <w:r w:rsidR="00C42758">
              <w:rPr>
                <w:rFonts w:ascii="Arial" w:hAnsi="Arial" w:cs="Arial"/>
                <w:sz w:val="22"/>
                <w:szCs w:val="22"/>
              </w:rPr>
              <w:t xml:space="preserve"> </w:t>
            </w:r>
            <w:r w:rsidR="00C42758" w:rsidRPr="00010E2E">
              <w:rPr>
                <w:rFonts w:ascii="Arial" w:hAnsi="Arial" w:cs="Arial"/>
                <w:sz w:val="22"/>
                <w:szCs w:val="22"/>
              </w:rPr>
              <w:t xml:space="preserve"> </w:t>
            </w:r>
            <w:r w:rsidR="00C42758">
              <w:rPr>
                <w:rFonts w:ascii="Arial" w:hAnsi="Arial" w:cs="Arial"/>
                <w:sz w:val="22"/>
                <w:szCs w:val="22"/>
              </w:rPr>
              <w:t xml:space="preserve"> October</w:t>
            </w:r>
            <w:r w:rsidR="001F409F" w:rsidRPr="00010E2E">
              <w:rPr>
                <w:rFonts w:ascii="Arial" w:hAnsi="Arial" w:cs="Arial"/>
                <w:sz w:val="22"/>
                <w:szCs w:val="22"/>
              </w:rPr>
              <w:t xml:space="preserve"> 2019</w:t>
            </w:r>
          </w:p>
        </w:tc>
      </w:tr>
      <w:tr w:rsidR="001F409F" w:rsidRPr="00010E2E" w14:paraId="496F515B" w14:textId="77777777" w:rsidTr="00324B46">
        <w:trPr>
          <w:trHeight w:val="406"/>
        </w:trPr>
        <w:tc>
          <w:tcPr>
            <w:tcW w:w="1545" w:type="dxa"/>
            <w:shd w:val="clear" w:color="auto" w:fill="auto"/>
          </w:tcPr>
          <w:p w14:paraId="6661FCB9" w14:textId="77777777" w:rsidR="001F409F" w:rsidRPr="00010E2E" w:rsidRDefault="001F409F" w:rsidP="00324B4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829390C" w14:textId="2CE10C64" w:rsidR="001F409F" w:rsidRPr="00010E2E" w:rsidRDefault="001F409F" w:rsidP="000B550C">
            <w:pPr>
              <w:keepNext/>
              <w:keepLines/>
              <w:spacing w:after="120" w:line="276" w:lineRule="auto"/>
              <w:jc w:val="both"/>
              <w:rPr>
                <w:rFonts w:ascii="Arial" w:hAnsi="Arial" w:cs="Arial"/>
                <w:sz w:val="22"/>
                <w:szCs w:val="22"/>
              </w:rPr>
            </w:pPr>
            <w:r w:rsidRPr="00010E2E">
              <w:rPr>
                <w:rFonts w:ascii="Arial" w:hAnsi="Arial" w:cs="Arial"/>
                <w:sz w:val="22"/>
              </w:rPr>
              <w:t xml:space="preserve">Draft report </w:t>
            </w:r>
            <w:r w:rsidR="00FA6FAF">
              <w:rPr>
                <w:rFonts w:ascii="Arial" w:hAnsi="Arial" w:cs="Arial"/>
                <w:sz w:val="22"/>
              </w:rPr>
              <w:t>with QA-</w:t>
            </w:r>
            <w:proofErr w:type="spellStart"/>
            <w:r w:rsidR="00FA6FAF">
              <w:rPr>
                <w:rFonts w:ascii="Arial" w:hAnsi="Arial" w:cs="Arial"/>
                <w:sz w:val="22"/>
              </w:rPr>
              <w:t>ed</w:t>
            </w:r>
            <w:proofErr w:type="spellEnd"/>
            <w:r w:rsidR="00FA6FAF">
              <w:rPr>
                <w:rFonts w:ascii="Arial" w:hAnsi="Arial" w:cs="Arial"/>
                <w:sz w:val="22"/>
              </w:rPr>
              <w:t xml:space="preserve"> data </w:t>
            </w:r>
            <w:r w:rsidRPr="00010E2E">
              <w:rPr>
                <w:rFonts w:ascii="Arial" w:hAnsi="Arial" w:cs="Arial"/>
                <w:sz w:val="22"/>
              </w:rPr>
              <w:t xml:space="preserve">submitted for review by </w:t>
            </w:r>
            <w:r w:rsidR="000B550C">
              <w:rPr>
                <w:rFonts w:ascii="Arial" w:hAnsi="Arial" w:cs="Arial"/>
                <w:sz w:val="22"/>
              </w:rPr>
              <w:t xml:space="preserve">ASC, CCRA authors, stakeholder </w:t>
            </w:r>
            <w:r w:rsidRPr="00010E2E">
              <w:rPr>
                <w:rFonts w:ascii="Arial" w:hAnsi="Arial" w:cs="Arial"/>
                <w:sz w:val="22"/>
              </w:rPr>
              <w:t>group and academic peer review</w:t>
            </w:r>
          </w:p>
        </w:tc>
        <w:tc>
          <w:tcPr>
            <w:tcW w:w="2675" w:type="dxa"/>
            <w:tcBorders>
              <w:bottom w:val="single" w:sz="4" w:space="0" w:color="auto"/>
            </w:tcBorders>
            <w:shd w:val="clear" w:color="auto" w:fill="auto"/>
          </w:tcPr>
          <w:p w14:paraId="407E5428" w14:textId="1D9E2660" w:rsidR="001F409F" w:rsidRPr="00010E2E" w:rsidRDefault="002D0894" w:rsidP="00C42758">
            <w:pPr>
              <w:keepNext/>
              <w:keepLines/>
              <w:spacing w:after="120" w:line="276" w:lineRule="auto"/>
              <w:jc w:val="both"/>
              <w:rPr>
                <w:rFonts w:ascii="Arial" w:hAnsi="Arial" w:cs="Arial"/>
                <w:sz w:val="22"/>
                <w:szCs w:val="22"/>
              </w:rPr>
            </w:pPr>
            <w:r>
              <w:rPr>
                <w:rFonts w:ascii="Arial" w:hAnsi="Arial" w:cs="Arial"/>
                <w:sz w:val="22"/>
                <w:szCs w:val="22"/>
              </w:rPr>
              <w:t>25</w:t>
            </w:r>
            <w:r w:rsidR="00C42758" w:rsidRPr="00010E2E">
              <w:rPr>
                <w:rFonts w:ascii="Arial" w:hAnsi="Arial" w:cs="Arial"/>
                <w:sz w:val="22"/>
                <w:szCs w:val="22"/>
                <w:vertAlign w:val="superscript"/>
              </w:rPr>
              <w:t>th</w:t>
            </w:r>
            <w:r w:rsidR="00C42758" w:rsidRPr="00010E2E">
              <w:rPr>
                <w:rFonts w:ascii="Arial" w:hAnsi="Arial" w:cs="Arial"/>
                <w:sz w:val="22"/>
                <w:szCs w:val="22"/>
              </w:rPr>
              <w:t xml:space="preserve"> </w:t>
            </w:r>
            <w:r w:rsidR="00C42758">
              <w:rPr>
                <w:rFonts w:ascii="Arial" w:hAnsi="Arial" w:cs="Arial"/>
                <w:sz w:val="22"/>
                <w:szCs w:val="22"/>
              </w:rPr>
              <w:t>Octo</w:t>
            </w:r>
            <w:r w:rsidR="00C42758" w:rsidRPr="00010E2E">
              <w:rPr>
                <w:rFonts w:ascii="Arial" w:hAnsi="Arial" w:cs="Arial"/>
                <w:sz w:val="22"/>
                <w:szCs w:val="22"/>
              </w:rPr>
              <w:t xml:space="preserve">ber </w:t>
            </w:r>
            <w:r w:rsidR="001F409F" w:rsidRPr="00010E2E">
              <w:rPr>
                <w:rFonts w:ascii="Arial" w:hAnsi="Arial" w:cs="Arial"/>
                <w:sz w:val="22"/>
                <w:szCs w:val="22"/>
              </w:rPr>
              <w:t>2019</w:t>
            </w:r>
          </w:p>
        </w:tc>
      </w:tr>
      <w:tr w:rsidR="001F409F" w:rsidRPr="00010E2E" w14:paraId="376D4604" w14:textId="77777777" w:rsidTr="00324B46">
        <w:trPr>
          <w:trHeight w:val="406"/>
        </w:trPr>
        <w:tc>
          <w:tcPr>
            <w:tcW w:w="1545" w:type="dxa"/>
            <w:shd w:val="clear" w:color="auto" w:fill="auto"/>
          </w:tcPr>
          <w:p w14:paraId="4E90ED32" w14:textId="77777777" w:rsidR="001F409F" w:rsidRPr="00010E2E" w:rsidRDefault="001F409F" w:rsidP="00324B4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28E8688A" w14:textId="50A520C8" w:rsidR="001F409F" w:rsidRPr="00010E2E" w:rsidRDefault="001F409F" w:rsidP="000B550C">
            <w:pPr>
              <w:keepNext/>
              <w:keepLines/>
              <w:spacing w:after="120" w:line="276" w:lineRule="auto"/>
              <w:jc w:val="both"/>
              <w:rPr>
                <w:rFonts w:ascii="Arial" w:hAnsi="Arial" w:cs="Arial"/>
                <w:sz w:val="22"/>
                <w:szCs w:val="22"/>
              </w:rPr>
            </w:pPr>
            <w:r w:rsidRPr="00010E2E">
              <w:rPr>
                <w:rFonts w:ascii="Arial" w:hAnsi="Arial" w:cs="Arial"/>
                <w:sz w:val="22"/>
              </w:rPr>
              <w:t>Final draft report submitted for review by ASC following peer review</w:t>
            </w:r>
          </w:p>
        </w:tc>
        <w:tc>
          <w:tcPr>
            <w:tcW w:w="2675" w:type="dxa"/>
            <w:tcBorders>
              <w:bottom w:val="single" w:sz="4" w:space="0" w:color="auto"/>
            </w:tcBorders>
            <w:shd w:val="clear" w:color="auto" w:fill="auto"/>
          </w:tcPr>
          <w:p w14:paraId="76FF33A5" w14:textId="55F947AB" w:rsidR="001F409F" w:rsidRPr="00010E2E" w:rsidRDefault="002D0894" w:rsidP="00C42758">
            <w:pPr>
              <w:keepNext/>
              <w:keepLines/>
              <w:spacing w:after="120" w:line="276" w:lineRule="auto"/>
              <w:jc w:val="both"/>
              <w:rPr>
                <w:rFonts w:ascii="Arial" w:hAnsi="Arial" w:cs="Arial"/>
                <w:sz w:val="22"/>
                <w:szCs w:val="22"/>
              </w:rPr>
            </w:pPr>
            <w:r>
              <w:rPr>
                <w:rFonts w:ascii="Arial" w:hAnsi="Arial" w:cs="Arial"/>
                <w:sz w:val="22"/>
                <w:szCs w:val="22"/>
              </w:rPr>
              <w:t>14</w:t>
            </w:r>
            <w:r w:rsidR="00EB32D6" w:rsidRPr="00010E2E">
              <w:rPr>
                <w:rFonts w:ascii="Arial" w:hAnsi="Arial" w:cs="Arial"/>
                <w:sz w:val="22"/>
                <w:szCs w:val="22"/>
                <w:vertAlign w:val="superscript"/>
              </w:rPr>
              <w:t>th</w:t>
            </w:r>
            <w:r w:rsidR="00EB32D6" w:rsidRPr="00010E2E">
              <w:rPr>
                <w:rFonts w:ascii="Arial" w:hAnsi="Arial" w:cs="Arial"/>
                <w:sz w:val="22"/>
                <w:szCs w:val="22"/>
              </w:rPr>
              <w:t xml:space="preserve"> </w:t>
            </w:r>
            <w:r w:rsidR="00C42758">
              <w:rPr>
                <w:rFonts w:ascii="Arial" w:hAnsi="Arial" w:cs="Arial"/>
                <w:sz w:val="22"/>
                <w:szCs w:val="22"/>
              </w:rPr>
              <w:t>December</w:t>
            </w:r>
            <w:r w:rsidR="00C42758" w:rsidRPr="00010E2E">
              <w:rPr>
                <w:rFonts w:ascii="Arial" w:hAnsi="Arial" w:cs="Arial"/>
                <w:sz w:val="22"/>
                <w:szCs w:val="22"/>
              </w:rPr>
              <w:t xml:space="preserve"> </w:t>
            </w:r>
            <w:r w:rsidR="001F409F" w:rsidRPr="00010E2E">
              <w:rPr>
                <w:rFonts w:ascii="Arial" w:hAnsi="Arial" w:cs="Arial"/>
                <w:sz w:val="22"/>
                <w:szCs w:val="22"/>
              </w:rPr>
              <w:t>2019</w:t>
            </w:r>
          </w:p>
        </w:tc>
      </w:tr>
      <w:tr w:rsidR="001F409F" w:rsidRPr="00010E2E" w14:paraId="33B8CFA2" w14:textId="77777777" w:rsidTr="00324B46">
        <w:trPr>
          <w:trHeight w:val="406"/>
        </w:trPr>
        <w:tc>
          <w:tcPr>
            <w:tcW w:w="1545" w:type="dxa"/>
            <w:shd w:val="clear" w:color="auto" w:fill="auto"/>
          </w:tcPr>
          <w:p w14:paraId="7623D1B4" w14:textId="77777777" w:rsidR="001F409F" w:rsidRPr="00010E2E" w:rsidRDefault="001F409F" w:rsidP="00324B4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730E6D1" w14:textId="77777777" w:rsidR="001F409F" w:rsidRPr="00010E2E" w:rsidRDefault="001F409F" w:rsidP="00324B46">
            <w:pPr>
              <w:keepNext/>
              <w:keepLines/>
              <w:spacing w:after="120" w:line="276" w:lineRule="auto"/>
              <w:jc w:val="both"/>
              <w:rPr>
                <w:rFonts w:ascii="Arial" w:hAnsi="Arial" w:cs="Arial"/>
                <w:sz w:val="22"/>
                <w:szCs w:val="22"/>
              </w:rPr>
            </w:pPr>
            <w:r w:rsidRPr="00010E2E">
              <w:rPr>
                <w:rFonts w:ascii="Arial" w:hAnsi="Arial" w:cs="Arial"/>
                <w:sz w:val="22"/>
              </w:rPr>
              <w:t>Final report submitted – project completed</w:t>
            </w:r>
          </w:p>
        </w:tc>
        <w:tc>
          <w:tcPr>
            <w:tcW w:w="2675" w:type="dxa"/>
            <w:tcBorders>
              <w:bottom w:val="single" w:sz="4" w:space="0" w:color="auto"/>
            </w:tcBorders>
            <w:shd w:val="clear" w:color="auto" w:fill="auto"/>
          </w:tcPr>
          <w:p w14:paraId="0A13C6A8" w14:textId="118AA420" w:rsidR="001F409F" w:rsidRPr="00010E2E" w:rsidRDefault="002D0894" w:rsidP="002E04E4">
            <w:pPr>
              <w:keepNext/>
              <w:keepLines/>
              <w:spacing w:after="120" w:line="276" w:lineRule="auto"/>
              <w:jc w:val="both"/>
              <w:rPr>
                <w:rFonts w:ascii="Arial" w:hAnsi="Arial" w:cs="Arial"/>
                <w:sz w:val="22"/>
                <w:szCs w:val="22"/>
              </w:rPr>
            </w:pPr>
            <w:r>
              <w:rPr>
                <w:rFonts w:ascii="Arial" w:hAnsi="Arial" w:cs="Arial"/>
                <w:sz w:val="22"/>
                <w:szCs w:val="22"/>
              </w:rPr>
              <w:t>25</w:t>
            </w:r>
            <w:r w:rsidR="00C42758">
              <w:rPr>
                <w:rFonts w:ascii="Arial" w:hAnsi="Arial" w:cs="Arial"/>
                <w:sz w:val="22"/>
                <w:szCs w:val="22"/>
              </w:rPr>
              <w:t>th January</w:t>
            </w:r>
            <w:r w:rsidR="001F409F" w:rsidRPr="00010E2E">
              <w:rPr>
                <w:rFonts w:ascii="Arial" w:hAnsi="Arial" w:cs="Arial"/>
                <w:sz w:val="22"/>
                <w:szCs w:val="22"/>
              </w:rPr>
              <w:t xml:space="preserve"> </w:t>
            </w:r>
            <w:r w:rsidR="002E04E4" w:rsidRPr="00010E2E">
              <w:rPr>
                <w:rFonts w:ascii="Arial" w:hAnsi="Arial" w:cs="Arial"/>
                <w:sz w:val="22"/>
                <w:szCs w:val="22"/>
              </w:rPr>
              <w:t>20</w:t>
            </w:r>
            <w:r w:rsidR="002E04E4">
              <w:rPr>
                <w:rFonts w:ascii="Arial" w:hAnsi="Arial" w:cs="Arial"/>
                <w:sz w:val="22"/>
                <w:szCs w:val="22"/>
              </w:rPr>
              <w:t>20</w:t>
            </w:r>
          </w:p>
        </w:tc>
      </w:tr>
    </w:tbl>
    <w:p w14:paraId="4410F94A" w14:textId="77777777" w:rsidR="001F409F" w:rsidRDefault="001F409F" w:rsidP="004B2557">
      <w:pPr>
        <w:spacing w:line="264" w:lineRule="auto"/>
        <w:rPr>
          <w:rFonts w:ascii="Arial" w:hAnsi="Arial" w:cs="Arial"/>
          <w:sz w:val="22"/>
          <w:szCs w:val="22"/>
        </w:rPr>
      </w:pPr>
    </w:p>
    <w:p w14:paraId="7A7FAE36" w14:textId="2F52750C" w:rsidR="00D828F3" w:rsidRPr="00C47A30" w:rsidRDefault="00C47A30" w:rsidP="00C47A30">
      <w:pPr>
        <w:pStyle w:val="Heading1"/>
        <w:rPr>
          <w:rFonts w:ascii="Arial" w:hAnsi="Arial" w:cs="Arial"/>
          <w:b w:val="0"/>
          <w:bCs w:val="0"/>
          <w:kern w:val="0"/>
          <w:sz w:val="22"/>
          <w:szCs w:val="22"/>
        </w:rPr>
      </w:pPr>
      <w:bookmarkStart w:id="34" w:name="_Toc520708793"/>
      <w:bookmarkStart w:id="35" w:name="_Ref357541731"/>
      <w:bookmarkStart w:id="36" w:name="_Toc381969514"/>
      <w:bookmarkStart w:id="37" w:name="_Toc40588846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r>
        <w:rPr>
          <w:rFonts w:ascii="Arial" w:hAnsi="Arial" w:cs="Arial"/>
          <w:b w:val="0"/>
          <w:bCs w:val="0"/>
          <w:kern w:val="0"/>
          <w:sz w:val="22"/>
          <w:szCs w:val="22"/>
        </w:rPr>
        <w:t xml:space="preserve"> We would expect this to include at least five face-to face meetings between the contractor and the ASC secretariat, and at least five face-to-face meetings with CCRA authors and other project teams.</w:t>
      </w:r>
      <w:bookmarkEnd w:id="34"/>
    </w:p>
    <w:p w14:paraId="0C6BE537" w14:textId="77777777" w:rsidR="00C47A30" w:rsidRDefault="00C47A30" w:rsidP="000A1826">
      <w:pPr>
        <w:pStyle w:val="Norma"/>
        <w:rPr>
          <w:bCs/>
        </w:rPr>
      </w:pPr>
    </w:p>
    <w:p w14:paraId="49417413" w14:textId="77777777" w:rsidR="00C47A30" w:rsidRPr="00922218" w:rsidRDefault="00C47A30" w:rsidP="00C47A30">
      <w:pPr>
        <w:pStyle w:val="Norma0"/>
        <w:rPr>
          <w:rFonts w:ascii="Arial" w:hAnsi="Arial" w:cs="Arial"/>
          <w:sz w:val="22"/>
          <w:szCs w:val="22"/>
        </w:rPr>
      </w:pPr>
      <w:r w:rsidRPr="00922218">
        <w:rPr>
          <w:rFonts w:ascii="Arial" w:hAnsi="Arial" w:cs="Arial"/>
          <w:sz w:val="22"/>
          <w:szCs w:val="22"/>
        </w:rPr>
        <w:t>In addition, the ASC will put together a stakeholder group of representatives of the funding organisations and wider customers of the CCRA (government departments, agencies and adaptation practitioners). Bids should price in attendance of the project team and taking minutes at three meetings of this group; one to discuss the method; one to show the interim results, and one other to be agreed.  The ASC will lead on chairing the meetings and putting agendas together.</w:t>
      </w:r>
    </w:p>
    <w:p w14:paraId="50E0559E" w14:textId="77777777" w:rsidR="00C47A30" w:rsidRDefault="00C47A30" w:rsidP="000A1826">
      <w:pPr>
        <w:pStyle w:val="Norma"/>
        <w:rPr>
          <w:bCs/>
        </w:rPr>
      </w:pPr>
    </w:p>
    <w:p w14:paraId="5EA87566" w14:textId="77777777" w:rsidR="002F59AC" w:rsidRDefault="004C7039" w:rsidP="007248E4">
      <w:pPr>
        <w:pStyle w:val="Heading1"/>
        <w:numPr>
          <w:ilvl w:val="0"/>
          <w:numId w:val="3"/>
        </w:numPr>
        <w:rPr>
          <w:rFonts w:ascii="Arial" w:hAnsi="Arial" w:cs="Arial"/>
          <w:sz w:val="24"/>
          <w:szCs w:val="24"/>
        </w:rPr>
      </w:pPr>
      <w:bookmarkStart w:id="38" w:name="_Toc520373363"/>
      <w:r w:rsidRPr="002D32D5">
        <w:rPr>
          <w:rFonts w:ascii="Arial" w:hAnsi="Arial" w:cs="Arial"/>
          <w:sz w:val="24"/>
          <w:szCs w:val="24"/>
        </w:rPr>
        <w:lastRenderedPageBreak/>
        <w:t>C</w:t>
      </w:r>
      <w:r w:rsidR="002F59AC" w:rsidRPr="002D32D5">
        <w:rPr>
          <w:rFonts w:ascii="Arial" w:hAnsi="Arial" w:cs="Arial"/>
          <w:sz w:val="24"/>
          <w:szCs w:val="24"/>
        </w:rPr>
        <w:t>hallenges</w:t>
      </w:r>
      <w:bookmarkEnd w:id="35"/>
      <w:bookmarkEnd w:id="36"/>
      <w:bookmarkEnd w:id="37"/>
      <w:bookmarkEnd w:id="38"/>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3310BEE2" w14:textId="2A720101" w:rsidR="009C22F5" w:rsidRDefault="009C22F5" w:rsidP="000849D2">
      <w:pPr>
        <w:pStyle w:val="Norma"/>
        <w:jc w:val="both"/>
        <w:rPr>
          <w:rFonts w:cs="Arial"/>
          <w:bCs/>
          <w:iCs/>
          <w:szCs w:val="24"/>
        </w:rPr>
      </w:pPr>
    </w:p>
    <w:p w14:paraId="356CA67F" w14:textId="55CA4AFE" w:rsidR="004758B4" w:rsidRPr="001F409F" w:rsidRDefault="004758B4" w:rsidP="009D5DE4">
      <w:pPr>
        <w:pStyle w:val="Norma"/>
        <w:numPr>
          <w:ilvl w:val="0"/>
          <w:numId w:val="7"/>
        </w:numPr>
        <w:jc w:val="both"/>
        <w:rPr>
          <w:rFonts w:cs="Arial"/>
          <w:bCs/>
          <w:iCs/>
          <w:szCs w:val="24"/>
        </w:rPr>
      </w:pPr>
      <w:r w:rsidRPr="001F409F">
        <w:rPr>
          <w:rFonts w:cs="Arial"/>
          <w:bCs/>
          <w:iCs/>
          <w:szCs w:val="24"/>
        </w:rPr>
        <w:t>Accessing relevant datasets and information, including those that are not yet available.</w:t>
      </w:r>
    </w:p>
    <w:p w14:paraId="1BC94F07" w14:textId="12B38C2B" w:rsidR="00F00FA9" w:rsidRPr="001F409F" w:rsidRDefault="00F00FA9" w:rsidP="009D5DE4">
      <w:pPr>
        <w:pStyle w:val="Norma"/>
        <w:numPr>
          <w:ilvl w:val="0"/>
          <w:numId w:val="7"/>
        </w:numPr>
        <w:jc w:val="both"/>
        <w:rPr>
          <w:rFonts w:cs="Arial"/>
          <w:bCs/>
          <w:iCs/>
          <w:szCs w:val="24"/>
        </w:rPr>
      </w:pPr>
      <w:r w:rsidRPr="001F409F">
        <w:rPr>
          <w:rFonts w:cs="Arial"/>
          <w:bCs/>
          <w:iCs/>
          <w:szCs w:val="24"/>
        </w:rPr>
        <w:t>Addressing challenges of overlapping and potentially conflicting datasets and projections, and potentially choosing between them.</w:t>
      </w:r>
    </w:p>
    <w:p w14:paraId="45FEAFC1" w14:textId="0EBF5EEC" w:rsidR="00F00FA9" w:rsidRPr="001F409F" w:rsidRDefault="00F00FA9" w:rsidP="009D5DE4">
      <w:pPr>
        <w:pStyle w:val="Norma"/>
        <w:numPr>
          <w:ilvl w:val="0"/>
          <w:numId w:val="7"/>
        </w:numPr>
        <w:jc w:val="both"/>
        <w:rPr>
          <w:rFonts w:cs="Arial"/>
          <w:bCs/>
          <w:iCs/>
          <w:szCs w:val="24"/>
        </w:rPr>
      </w:pPr>
      <w:r w:rsidRPr="001F409F">
        <w:rPr>
          <w:rFonts w:cs="Arial"/>
          <w:bCs/>
          <w:iCs/>
          <w:szCs w:val="24"/>
        </w:rPr>
        <w:t>Aggregating projections of future flows and water demands to produce credible water availability scenarios.</w:t>
      </w:r>
      <w:r w:rsidRPr="001F409F">
        <w:t xml:space="preserve"> </w:t>
      </w:r>
    </w:p>
    <w:p w14:paraId="04636CFA" w14:textId="0A76086E" w:rsidR="000849D2" w:rsidRDefault="000849D2" w:rsidP="009D5DE4">
      <w:pPr>
        <w:pStyle w:val="Norma"/>
        <w:numPr>
          <w:ilvl w:val="0"/>
          <w:numId w:val="7"/>
        </w:numPr>
        <w:jc w:val="both"/>
        <w:rPr>
          <w:rFonts w:cs="Arial"/>
          <w:bCs/>
          <w:iCs/>
          <w:szCs w:val="24"/>
        </w:rPr>
      </w:pPr>
      <w:r w:rsidRPr="001F409F">
        <w:rPr>
          <w:rFonts w:cs="Arial"/>
          <w:bCs/>
          <w:iCs/>
          <w:szCs w:val="24"/>
        </w:rPr>
        <w:t>Ensuring that a consistent methodology can be applied across all geographic areas</w:t>
      </w:r>
      <w:r w:rsidR="0032157E" w:rsidRPr="001F409F">
        <w:rPr>
          <w:rFonts w:cs="Arial"/>
          <w:bCs/>
          <w:iCs/>
          <w:szCs w:val="24"/>
        </w:rPr>
        <w:t>.</w:t>
      </w:r>
    </w:p>
    <w:p w14:paraId="69E78B4B" w14:textId="72D7B900" w:rsidR="000B550C" w:rsidRPr="001F409F" w:rsidRDefault="000B550C" w:rsidP="009D5DE4">
      <w:pPr>
        <w:pStyle w:val="Norma"/>
        <w:numPr>
          <w:ilvl w:val="0"/>
          <w:numId w:val="7"/>
        </w:numPr>
        <w:jc w:val="both"/>
        <w:rPr>
          <w:rFonts w:cs="Arial"/>
          <w:bCs/>
          <w:iCs/>
          <w:szCs w:val="24"/>
        </w:rPr>
      </w:pPr>
      <w:r>
        <w:rPr>
          <w:rFonts w:cs="Arial"/>
          <w:bCs/>
          <w:iCs/>
          <w:szCs w:val="24"/>
        </w:rPr>
        <w:t>Making sensible assumptions about projecting forward current planned adaptation, and assessing how far additional adaptation could manage the risk.</w:t>
      </w:r>
    </w:p>
    <w:p w14:paraId="3B38440E" w14:textId="77777777" w:rsidR="004758B4" w:rsidRPr="004758B4" w:rsidRDefault="004758B4" w:rsidP="004758B4">
      <w:pPr>
        <w:pStyle w:val="Norma"/>
        <w:ind w:left="720"/>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39" w:name="_Toc381969515"/>
      <w:bookmarkStart w:id="40" w:name="_Toc405888464"/>
      <w:bookmarkStart w:id="41" w:name="_Toc520373364"/>
      <w:bookmarkStart w:id="42" w:name="_Toc271272913"/>
      <w:r w:rsidRPr="002D32D5">
        <w:rPr>
          <w:rFonts w:ascii="Arial" w:hAnsi="Arial" w:cs="Arial"/>
          <w:sz w:val="24"/>
          <w:szCs w:val="24"/>
        </w:rPr>
        <w:t>Ethics</w:t>
      </w:r>
      <w:bookmarkEnd w:id="39"/>
      <w:bookmarkEnd w:id="40"/>
      <w:bookmarkEnd w:id="41"/>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147C5E">
      <w:pPr>
        <w:pStyle w:val="Norma"/>
      </w:pPr>
      <w:r w:rsidRPr="002133A0">
        <w:t>All applicants will need to identify and propose arrangements for initial scrutiny and on-going monitoring of ethical issues.</w:t>
      </w:r>
      <w:r w:rsidR="00BF74E5" w:rsidRPr="002133A0">
        <w:t xml:space="preserve"> </w:t>
      </w:r>
      <w:r w:rsidR="005C0467" w:rsidRPr="002133A0">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147C5E">
      <w:pPr>
        <w:pStyle w:val="Norma"/>
      </w:pPr>
    </w:p>
    <w:p w14:paraId="5EA8756C" w14:textId="12128550" w:rsidR="00D75586" w:rsidRPr="000F78E0" w:rsidRDefault="00BF74E5" w:rsidP="00147C5E">
      <w:pPr>
        <w:pStyle w:val="Norma"/>
      </w:pPr>
      <w:r w:rsidRPr="000F78E0">
        <w:t>We expect contractors to adhere to the</w:t>
      </w:r>
      <w:r w:rsidR="00D75586" w:rsidRPr="000F78E0">
        <w:t xml:space="preserve"> following</w:t>
      </w:r>
      <w:r w:rsidRPr="000F78E0">
        <w:t xml:space="preserve"> GSR</w:t>
      </w:r>
      <w:r w:rsidR="00D75586" w:rsidRPr="000F78E0">
        <w:t xml:space="preserve"> Princip</w:t>
      </w:r>
      <w:r w:rsidR="00185DE8">
        <w:t>le</w:t>
      </w:r>
      <w:r w:rsidR="00D75586" w:rsidRPr="000F78E0">
        <w:t>s:</w:t>
      </w:r>
    </w:p>
    <w:p w14:paraId="5EA8756D" w14:textId="77777777" w:rsidR="00D75586" w:rsidRPr="000F78E0" w:rsidRDefault="00D75586" w:rsidP="00147C5E">
      <w:pPr>
        <w:pStyle w:val="Norma"/>
        <w:numPr>
          <w:ilvl w:val="0"/>
          <w:numId w:val="15"/>
        </w:numPr>
        <w:rPr>
          <w:iCs/>
        </w:rPr>
      </w:pPr>
      <w:r w:rsidRPr="000F78E0">
        <w:rPr>
          <w:iCs/>
        </w:rPr>
        <w:t>Sound application</w:t>
      </w:r>
      <w:r w:rsidR="009E2B4B" w:rsidRPr="000F78E0">
        <w:rPr>
          <w:iCs/>
        </w:rPr>
        <w:t xml:space="preserve"> and conduct of social research </w:t>
      </w:r>
      <w:r w:rsidRPr="000F78E0">
        <w:rPr>
          <w:iCs/>
        </w:rPr>
        <w:t>methods and appropriate dissemination and utilisation of findings</w:t>
      </w:r>
    </w:p>
    <w:p w14:paraId="5EA8756E" w14:textId="77777777" w:rsidR="00D75586" w:rsidRPr="000F78E0" w:rsidRDefault="00D75586" w:rsidP="00147C5E">
      <w:pPr>
        <w:pStyle w:val="Norma"/>
        <w:numPr>
          <w:ilvl w:val="0"/>
          <w:numId w:val="15"/>
        </w:numPr>
        <w:rPr>
          <w:iCs/>
        </w:rPr>
      </w:pPr>
      <w:r w:rsidRPr="000F78E0">
        <w:rPr>
          <w:iCs/>
        </w:rPr>
        <w:t>Participation based on valid consent</w:t>
      </w:r>
    </w:p>
    <w:p w14:paraId="5EA8756F" w14:textId="77777777" w:rsidR="00D75586" w:rsidRPr="000F78E0" w:rsidRDefault="00D75586" w:rsidP="00147C5E">
      <w:pPr>
        <w:pStyle w:val="Norma"/>
        <w:numPr>
          <w:ilvl w:val="0"/>
          <w:numId w:val="15"/>
        </w:numPr>
        <w:rPr>
          <w:iCs/>
        </w:rPr>
      </w:pPr>
      <w:r w:rsidRPr="000F78E0">
        <w:rPr>
          <w:iCs/>
        </w:rPr>
        <w:t>Enabling participation</w:t>
      </w:r>
    </w:p>
    <w:p w14:paraId="5EA87570" w14:textId="77777777" w:rsidR="00D75586" w:rsidRPr="000F78E0" w:rsidRDefault="00D75586" w:rsidP="00147C5E">
      <w:pPr>
        <w:pStyle w:val="Norma"/>
        <w:numPr>
          <w:ilvl w:val="0"/>
          <w:numId w:val="15"/>
        </w:numPr>
        <w:rPr>
          <w:iCs/>
        </w:rPr>
      </w:pPr>
      <w:r w:rsidRPr="000F78E0">
        <w:rPr>
          <w:iCs/>
        </w:rPr>
        <w:t>Avoidance of personal harm</w:t>
      </w:r>
    </w:p>
    <w:p w14:paraId="5EA87571" w14:textId="77777777" w:rsidR="00D75586" w:rsidRPr="000F78E0" w:rsidRDefault="00D75586" w:rsidP="00147C5E">
      <w:pPr>
        <w:pStyle w:val="Norma"/>
        <w:numPr>
          <w:ilvl w:val="0"/>
          <w:numId w:val="15"/>
        </w:numPr>
        <w:rPr>
          <w:iCs/>
        </w:rPr>
      </w:pPr>
      <w:r w:rsidRPr="000F78E0">
        <w:rPr>
          <w:iCs/>
        </w:rPr>
        <w:t>Non-disclosure of identity and personal information</w:t>
      </w:r>
    </w:p>
    <w:p w14:paraId="5EA87573" w14:textId="17FD61C0" w:rsidR="00E070AD" w:rsidRPr="002D32D5" w:rsidRDefault="00E070AD" w:rsidP="00147C5E">
      <w:pPr>
        <w:pStyle w:val="Heading1"/>
        <w:numPr>
          <w:ilvl w:val="0"/>
          <w:numId w:val="3"/>
        </w:numPr>
        <w:rPr>
          <w:rFonts w:ascii="Arial" w:hAnsi="Arial" w:cs="Arial"/>
          <w:sz w:val="24"/>
          <w:szCs w:val="24"/>
        </w:rPr>
      </w:pPr>
      <w:bookmarkStart w:id="43" w:name="_Ref338852517"/>
      <w:bookmarkStart w:id="44" w:name="_Toc381969516"/>
      <w:bookmarkStart w:id="45" w:name="_Toc405888465"/>
      <w:bookmarkStart w:id="46" w:name="_Toc520373365"/>
      <w:bookmarkEnd w:id="42"/>
      <w:r w:rsidRPr="002D32D5">
        <w:rPr>
          <w:rFonts w:ascii="Arial" w:hAnsi="Arial" w:cs="Arial"/>
          <w:sz w:val="24"/>
          <w:szCs w:val="24"/>
        </w:rPr>
        <w:t>Working Arrangements</w:t>
      </w:r>
      <w:bookmarkEnd w:id="43"/>
      <w:bookmarkEnd w:id="44"/>
      <w:bookmarkEnd w:id="45"/>
      <w:bookmarkEnd w:id="46"/>
    </w:p>
    <w:p w14:paraId="5EA87574" w14:textId="77777777" w:rsidR="00AA62E8" w:rsidRPr="000F78E0" w:rsidRDefault="00AA62E8" w:rsidP="005A7FBC">
      <w:pPr>
        <w:pStyle w:val="Norma"/>
        <w:jc w:val="both"/>
        <w:rPr>
          <w:rFonts w:cs="Arial"/>
          <w:b/>
          <w:bCs/>
          <w:iCs/>
        </w:rPr>
      </w:pPr>
    </w:p>
    <w:p w14:paraId="5EA87578" w14:textId="3889F2B5" w:rsidR="00AA62E8" w:rsidRPr="00147C5E" w:rsidRDefault="00AA62E8" w:rsidP="00147C5E">
      <w:pPr>
        <w:pStyle w:val="Norma"/>
      </w:pPr>
      <w:r w:rsidRPr="00147C5E">
        <w:t>The successful contractor will be expected to identify one named point of contract through</w:t>
      </w:r>
      <w:r w:rsidR="005A7FBC" w:rsidRPr="00147C5E">
        <w:t xml:space="preserve"> </w:t>
      </w:r>
      <w:r w:rsidRPr="00147C5E">
        <w:t>whom all e</w:t>
      </w:r>
      <w:r w:rsidR="004C4D20" w:rsidRPr="00147C5E">
        <w:t>nquiries can be filtered. A</w:t>
      </w:r>
      <w:r w:rsidR="00D14531" w:rsidRPr="00147C5E">
        <w:t>n</w:t>
      </w:r>
      <w:r w:rsidR="004C4D20" w:rsidRPr="00147C5E">
        <w:t xml:space="preserve"> ASC</w:t>
      </w:r>
      <w:r w:rsidRPr="00147C5E">
        <w:t xml:space="preserve"> project manager will be assigned to the project and will be the central point of contact. </w:t>
      </w:r>
    </w:p>
    <w:p w14:paraId="5EA87579" w14:textId="77777777" w:rsidR="003C1CE8" w:rsidRPr="002D32D5" w:rsidRDefault="007A7010" w:rsidP="00147C5E">
      <w:pPr>
        <w:pStyle w:val="Heading1"/>
        <w:numPr>
          <w:ilvl w:val="0"/>
          <w:numId w:val="3"/>
        </w:numPr>
        <w:rPr>
          <w:rFonts w:ascii="Arial" w:hAnsi="Arial" w:cs="Arial"/>
          <w:sz w:val="24"/>
          <w:szCs w:val="24"/>
        </w:rPr>
      </w:pPr>
      <w:bookmarkStart w:id="47" w:name="_Toc520373366"/>
      <w:r>
        <w:rPr>
          <w:rFonts w:ascii="Arial" w:hAnsi="Arial" w:cs="Arial"/>
          <w:sz w:val="24"/>
          <w:szCs w:val="24"/>
        </w:rPr>
        <w:t>Skills and experience</w:t>
      </w:r>
      <w:bookmarkEnd w:id="47"/>
    </w:p>
    <w:p w14:paraId="5EA8757A" w14:textId="77777777" w:rsidR="00427AFA" w:rsidRPr="000F78E0" w:rsidRDefault="00427AFA" w:rsidP="00B960BC">
      <w:pPr>
        <w:pStyle w:val="Norma"/>
        <w:ind w:left="360"/>
        <w:jc w:val="both"/>
        <w:rPr>
          <w:rFonts w:cs="Arial"/>
        </w:rPr>
      </w:pPr>
    </w:p>
    <w:p w14:paraId="5EA8757B" w14:textId="17814D9C" w:rsidR="00FA702B" w:rsidRPr="000F78E0" w:rsidRDefault="008B0B0B" w:rsidP="00147C5E">
      <w:pPr>
        <w:pStyle w:val="Norma"/>
        <w:rPr>
          <w:highlight w:val="yellow"/>
        </w:rPr>
      </w:pPr>
      <w:r>
        <w:t>The ASC</w:t>
      </w:r>
      <w:r w:rsidR="004B3AD5" w:rsidRPr="000F78E0">
        <w:t xml:space="preserve"> </w:t>
      </w:r>
      <w:r w:rsidR="007A7010" w:rsidRPr="000F78E0">
        <w:t xml:space="preserve">would like you to demonstrate that you have </w:t>
      </w:r>
      <w:r w:rsidR="009F7CC0" w:rsidRPr="000F78E0">
        <w:t>the experience and capabilities to undertake the project</w:t>
      </w:r>
      <w:r w:rsidR="007A7010" w:rsidRPr="000F78E0">
        <w:t xml:space="preserve">. Your tender response should include a summary of </w:t>
      </w:r>
      <w:r w:rsidR="009F7CC0" w:rsidRPr="000F78E0">
        <w:t>each proposed team member</w:t>
      </w:r>
      <w:r w:rsidR="00C62E6E">
        <w:t>’</w:t>
      </w:r>
      <w:r w:rsidR="009F7CC0" w:rsidRPr="000F78E0">
        <w:t>s experience</w:t>
      </w:r>
      <w:r w:rsidR="007A7010" w:rsidRPr="000F78E0">
        <w:t xml:space="preserve"> </w:t>
      </w:r>
      <w:r w:rsidR="009F7CC0" w:rsidRPr="000F78E0">
        <w:t>and capabilities</w:t>
      </w:r>
      <w:r w:rsidR="007A7010" w:rsidRPr="000F78E0">
        <w:t>.</w:t>
      </w:r>
      <w:r w:rsidR="00816371" w:rsidRPr="000F78E0">
        <w:rPr>
          <w:highlight w:val="yellow"/>
        </w:rPr>
        <w:t xml:space="preserve"> </w:t>
      </w:r>
    </w:p>
    <w:p w14:paraId="5EA8757C" w14:textId="77777777" w:rsidR="00FA702B" w:rsidRPr="000F78E0" w:rsidRDefault="00FA702B" w:rsidP="00147C5E">
      <w:pPr>
        <w:pStyle w:val="Norma"/>
      </w:pPr>
    </w:p>
    <w:p w14:paraId="5EA8757D" w14:textId="01172E12" w:rsidR="003C1CE8" w:rsidRPr="000F78E0" w:rsidRDefault="003C1CE8" w:rsidP="00147C5E">
      <w:pPr>
        <w:pStyle w:val="Norma"/>
      </w:pPr>
      <w:r w:rsidRPr="000F78E0">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147C5E">
      <w:pPr>
        <w:pStyle w:val="Norma"/>
      </w:pPr>
    </w:p>
    <w:p w14:paraId="5EA8757F" w14:textId="77777777" w:rsidR="00D64BB0" w:rsidRPr="000F78E0" w:rsidRDefault="003C1CE8" w:rsidP="00147C5E">
      <w:pPr>
        <w:pStyle w:val="Norma"/>
      </w:pPr>
      <w:r w:rsidRPr="000F78E0">
        <w:t>Contractors should identify the individual(s) who will be responsible for managing the project.</w:t>
      </w:r>
      <w:bookmarkStart w:id="48" w:name="_Ref338852499"/>
    </w:p>
    <w:p w14:paraId="5EA87581" w14:textId="77777777" w:rsidR="003043AD" w:rsidRPr="002D32D5" w:rsidRDefault="00D64BB0" w:rsidP="00147C5E">
      <w:pPr>
        <w:pStyle w:val="Heading1"/>
        <w:numPr>
          <w:ilvl w:val="0"/>
          <w:numId w:val="3"/>
        </w:numPr>
        <w:rPr>
          <w:rFonts w:ascii="Arial" w:hAnsi="Arial" w:cs="Arial"/>
          <w:sz w:val="24"/>
          <w:szCs w:val="24"/>
        </w:rPr>
      </w:pPr>
      <w:bookmarkStart w:id="49" w:name="_Ref373505239"/>
      <w:bookmarkStart w:id="50" w:name="_Toc381969518"/>
      <w:bookmarkStart w:id="51" w:name="_Toc405888467"/>
      <w:bookmarkStart w:id="52" w:name="_Toc520373367"/>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bookmarkEnd w:id="52"/>
    </w:p>
    <w:p w14:paraId="5EA87582" w14:textId="77777777" w:rsidR="00D64BB0" w:rsidRPr="000F78E0" w:rsidRDefault="00D64BB0" w:rsidP="00E4650D">
      <w:pPr>
        <w:pStyle w:val="Norma"/>
        <w:jc w:val="both"/>
        <w:rPr>
          <w:rFonts w:cs="Arial"/>
        </w:rPr>
      </w:pPr>
    </w:p>
    <w:p w14:paraId="5EA87583" w14:textId="77777777" w:rsidR="00D65A99" w:rsidRPr="00147C5E" w:rsidRDefault="003043AD" w:rsidP="00147C5E">
      <w:pPr>
        <w:pStyle w:val="Norma"/>
      </w:pPr>
      <w:r w:rsidRPr="00147C5E">
        <w:t xml:space="preserve">In the case of a consortium tender, only one submission covering all of the partners is required but consortia are advised to make clear the proposed role that each partner will </w:t>
      </w:r>
      <w:r w:rsidRPr="00147C5E">
        <w:lastRenderedPageBreak/>
        <w:t>play in performing the contract as per the requirements of the technical specification.</w:t>
      </w:r>
      <w:r w:rsidR="00D65A99" w:rsidRPr="00147C5E">
        <w:t xml:space="preserve">  We expect the bidder to indicate who in the consortium will be th</w:t>
      </w:r>
      <w:r w:rsidR="00CD651A" w:rsidRPr="00147C5E">
        <w:t>e lead contact for this project, and the organisation and governance associated with the consortia.</w:t>
      </w:r>
    </w:p>
    <w:p w14:paraId="5EA87584" w14:textId="77777777" w:rsidR="003043AD" w:rsidRPr="00147C5E" w:rsidRDefault="003043AD" w:rsidP="00147C5E">
      <w:pPr>
        <w:pStyle w:val="Norma"/>
      </w:pPr>
    </w:p>
    <w:p w14:paraId="5EA87585" w14:textId="77777777" w:rsidR="003043AD" w:rsidRPr="00147C5E" w:rsidRDefault="003043AD" w:rsidP="00147C5E">
      <w:pPr>
        <w:pStyle w:val="Norma"/>
      </w:pPr>
      <w:r w:rsidRPr="00147C5E">
        <w:t>Contractors must provide details as to how they will manage any sub-contractors and what percentage of the tendered activity (in terms of monetary value) will be sub-contracted.</w:t>
      </w:r>
    </w:p>
    <w:p w14:paraId="5EA87586" w14:textId="77777777" w:rsidR="003043AD" w:rsidRPr="00147C5E" w:rsidRDefault="003043AD" w:rsidP="00147C5E">
      <w:pPr>
        <w:pStyle w:val="Norma"/>
      </w:pPr>
    </w:p>
    <w:p w14:paraId="5EA87587" w14:textId="79EB2CDE" w:rsidR="00AD130E" w:rsidRPr="00147C5E" w:rsidRDefault="00AD130E" w:rsidP="00147C5E">
      <w:pPr>
        <w:pStyle w:val="Norma"/>
      </w:pPr>
      <w:r w:rsidRPr="00147C5E">
        <w:t>If a consortium is not proposing to form a corporate entity, full details of alternative proposed arran</w:t>
      </w:r>
      <w:r w:rsidR="007A11CB" w:rsidRPr="00147C5E">
        <w:t>gements should be provided</w:t>
      </w:r>
      <w:r w:rsidR="0097210C" w:rsidRPr="00147C5E">
        <w:t>. However, please note C</w:t>
      </w:r>
      <w:r w:rsidRPr="00147C5E">
        <w:t xml:space="preserve">CC reserves the right to require a successful consortium to form a single legal entity in accordance with Regulation 28 of the Public Contracts Regulations 2006. </w:t>
      </w:r>
    </w:p>
    <w:p w14:paraId="5EA87588" w14:textId="77777777" w:rsidR="00AD130E" w:rsidRPr="00147C5E" w:rsidRDefault="00AD130E" w:rsidP="00147C5E">
      <w:pPr>
        <w:pStyle w:val="Norma"/>
      </w:pPr>
    </w:p>
    <w:p w14:paraId="5EA87589" w14:textId="40024243" w:rsidR="00AD130E" w:rsidRPr="00147C5E" w:rsidRDefault="0097210C" w:rsidP="00147C5E">
      <w:pPr>
        <w:pStyle w:val="Norma"/>
      </w:pPr>
      <w:r w:rsidRPr="00147C5E">
        <w:t>C</w:t>
      </w:r>
      <w:r w:rsidR="00AD130E" w:rsidRPr="00147C5E">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147C5E">
        <w:t>consortia must be notified to C</w:t>
      </w:r>
      <w:r w:rsidR="00AD130E" w:rsidRPr="00147C5E">
        <w:t xml:space="preserve">CC so that it can make a further assessment by applying the selection criteria to the new information provided. </w:t>
      </w:r>
    </w:p>
    <w:p w14:paraId="5EA8758B" w14:textId="77777777" w:rsidR="00F0291F" w:rsidRPr="002D32D5" w:rsidRDefault="00F0291F" w:rsidP="00147C5E">
      <w:pPr>
        <w:pStyle w:val="Heading1"/>
        <w:numPr>
          <w:ilvl w:val="0"/>
          <w:numId w:val="3"/>
        </w:numPr>
        <w:rPr>
          <w:rFonts w:ascii="Arial" w:hAnsi="Arial" w:cs="Arial"/>
          <w:sz w:val="24"/>
          <w:szCs w:val="24"/>
        </w:rPr>
      </w:pPr>
      <w:bookmarkStart w:id="53" w:name="_Ref357541811"/>
      <w:bookmarkStart w:id="54" w:name="_Toc381969519"/>
      <w:bookmarkStart w:id="55" w:name="_Toc405888468"/>
      <w:bookmarkStart w:id="56" w:name="_Toc520373368"/>
      <w:bookmarkStart w:id="57" w:name="_Toc246831559"/>
      <w:bookmarkStart w:id="58" w:name="_Toc271272917"/>
      <w:bookmarkStart w:id="59" w:name="_Ref338852577"/>
      <w:bookmarkEnd w:id="48"/>
      <w:r w:rsidRPr="002D32D5">
        <w:rPr>
          <w:rFonts w:ascii="Arial" w:hAnsi="Arial" w:cs="Arial"/>
          <w:sz w:val="24"/>
          <w:szCs w:val="24"/>
        </w:rPr>
        <w:t>Budget</w:t>
      </w:r>
      <w:bookmarkEnd w:id="53"/>
      <w:bookmarkEnd w:id="54"/>
      <w:bookmarkEnd w:id="55"/>
      <w:bookmarkEnd w:id="56"/>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0E3705F9" w14:textId="4B3E8188" w:rsidR="000A18E3" w:rsidRPr="00147C5E" w:rsidRDefault="003C1CE8" w:rsidP="000B550C">
      <w:pPr>
        <w:pStyle w:val="Norma"/>
        <w:rPr>
          <w:b/>
        </w:rPr>
      </w:pPr>
      <w:r w:rsidRPr="00147C5E">
        <w:rPr>
          <w:b/>
        </w:rPr>
        <w:t xml:space="preserve">The budget for this project is </w:t>
      </w:r>
      <w:r w:rsidR="003F50A3" w:rsidRPr="00147C5E">
        <w:rPr>
          <w:b/>
        </w:rPr>
        <w:t xml:space="preserve">up to </w:t>
      </w:r>
      <w:r w:rsidR="00504A98">
        <w:rPr>
          <w:b/>
        </w:rPr>
        <w:t>£80K excluding VAT</w:t>
      </w:r>
      <w:r w:rsidR="00504A98" w:rsidRPr="00147C5E">
        <w:rPr>
          <w:b/>
        </w:rPr>
        <w:t xml:space="preserve"> </w:t>
      </w:r>
      <w:r w:rsidR="00504A98">
        <w:rPr>
          <w:b/>
        </w:rPr>
        <w:t>(</w:t>
      </w:r>
      <w:r w:rsidR="003F50A3" w:rsidRPr="00147C5E">
        <w:rPr>
          <w:b/>
        </w:rPr>
        <w:t>£</w:t>
      </w:r>
      <w:r w:rsidR="00F66767" w:rsidRPr="00147C5E">
        <w:rPr>
          <w:b/>
        </w:rPr>
        <w:t>100,000</w:t>
      </w:r>
      <w:r w:rsidR="00685B87" w:rsidRPr="00147C5E">
        <w:rPr>
          <w:b/>
        </w:rPr>
        <w:t xml:space="preserve"> </w:t>
      </w:r>
      <w:r w:rsidR="00B5763D" w:rsidRPr="00147C5E">
        <w:rPr>
          <w:b/>
        </w:rPr>
        <w:t>in</w:t>
      </w:r>
      <w:r w:rsidR="00685B87" w:rsidRPr="00147C5E">
        <w:rPr>
          <w:b/>
        </w:rPr>
        <w:t>cluding VAT</w:t>
      </w:r>
      <w:r w:rsidR="00504A98">
        <w:rPr>
          <w:b/>
        </w:rPr>
        <w:t>)</w:t>
      </w:r>
      <w:r w:rsidR="000B550C" w:rsidRPr="00147C5E">
        <w:rPr>
          <w:b/>
        </w:rPr>
        <w:t xml:space="preserve">; 40% of the payments for </w:t>
      </w:r>
      <w:r w:rsidR="000A18E3" w:rsidRPr="00147C5E">
        <w:rPr>
          <w:b/>
        </w:rPr>
        <w:t>this</w:t>
      </w:r>
      <w:r w:rsidR="000B550C" w:rsidRPr="00147C5E">
        <w:rPr>
          <w:b/>
        </w:rPr>
        <w:t xml:space="preserve"> </w:t>
      </w:r>
      <w:r w:rsidR="000A18E3" w:rsidRPr="00147C5E">
        <w:rPr>
          <w:b/>
        </w:rPr>
        <w:t>project need to be made in the financial year 2018/2019</w:t>
      </w:r>
      <w:r w:rsidR="000B550C" w:rsidRPr="00147C5E">
        <w:rPr>
          <w:b/>
        </w:rPr>
        <w:t xml:space="preserve"> and 60%</w:t>
      </w:r>
      <w:r w:rsidR="000A18E3" w:rsidRPr="00147C5E">
        <w:rPr>
          <w:b/>
        </w:rPr>
        <w:t xml:space="preserve"> in the financial year</w:t>
      </w:r>
      <w:r w:rsidR="00147C5E">
        <w:rPr>
          <w:b/>
        </w:rPr>
        <w:t xml:space="preserve"> </w:t>
      </w:r>
      <w:r w:rsidR="000A18E3" w:rsidRPr="00147C5E">
        <w:rPr>
          <w:b/>
        </w:rPr>
        <w:t>2019/2020.</w:t>
      </w:r>
    </w:p>
    <w:p w14:paraId="6FECC92B" w14:textId="77777777" w:rsidR="000A18E3" w:rsidRPr="000F78E0" w:rsidRDefault="000A18E3" w:rsidP="000B550C">
      <w:pPr>
        <w:pStyle w:val="Norma"/>
        <w:rPr>
          <w:rFonts w:cs="Arial"/>
        </w:rPr>
      </w:pPr>
    </w:p>
    <w:p w14:paraId="69EE5ACC" w14:textId="77777777" w:rsidR="000A18E3" w:rsidRPr="000F78E0" w:rsidRDefault="000A18E3" w:rsidP="000B550C">
      <w:pPr>
        <w:pStyle w:val="Norma"/>
        <w:rPr>
          <w:rFonts w:cs="Arial"/>
        </w:rPr>
      </w:pPr>
      <w:r w:rsidRPr="000F78E0">
        <w:rPr>
          <w:rFonts w:cs="Arial"/>
        </w:rPr>
        <w:t xml:space="preserve">Contractors should provide a full and detailed breakdown of costs (including options where appropriate). This </w:t>
      </w:r>
      <w:r>
        <w:rPr>
          <w:rFonts w:cs="Arial"/>
        </w:rPr>
        <w:t xml:space="preserve">MUST </w:t>
      </w:r>
      <w:r w:rsidRPr="000F78E0">
        <w:rPr>
          <w:rFonts w:cs="Arial"/>
        </w:rPr>
        <w:t>include</w:t>
      </w:r>
      <w:r>
        <w:rPr>
          <w:rFonts w:cs="Arial"/>
        </w:rPr>
        <w:t xml:space="preserve"> the funding allocated by each task as well as by person.</w:t>
      </w:r>
      <w:r w:rsidRPr="000F78E0">
        <w:rPr>
          <w:rFonts w:cs="Arial"/>
        </w:rPr>
        <w:t xml:space="preserve"> </w:t>
      </w:r>
      <w:r>
        <w:rPr>
          <w:rFonts w:cs="Arial"/>
        </w:rPr>
        <w:t>Please include the number of days in the unpriced bid.</w:t>
      </w:r>
    </w:p>
    <w:bookmarkEnd w:id="57"/>
    <w:bookmarkEnd w:id="58"/>
    <w:bookmarkEnd w:id="59"/>
    <w:p w14:paraId="5EA87590" w14:textId="77777777" w:rsidR="00272E19" w:rsidRPr="000F78E0" w:rsidRDefault="00272E19" w:rsidP="000B550C">
      <w:pPr>
        <w:pStyle w:val="Norma"/>
        <w:rPr>
          <w:rFonts w:cs="Arial"/>
        </w:rPr>
      </w:pPr>
    </w:p>
    <w:p w14:paraId="5EA87591" w14:textId="3D0A577D" w:rsidR="00220792" w:rsidRPr="000F78E0" w:rsidRDefault="00220792" w:rsidP="000B550C">
      <w:pPr>
        <w:pStyle w:val="Norma"/>
        <w:rPr>
          <w:rFonts w:cs="Arial"/>
          <w:b/>
          <w:color w:val="FF0000"/>
        </w:rPr>
      </w:pPr>
      <w:r w:rsidRPr="000F78E0">
        <w:rPr>
          <w:rFonts w:cs="Arial"/>
        </w:rPr>
        <w:t>Cost will be a criterion against wh</w:t>
      </w:r>
      <w:r w:rsidR="006A7480">
        <w:rPr>
          <w:rFonts w:cs="Arial"/>
        </w:rPr>
        <w:t>ich bids which will be ass</w:t>
      </w:r>
      <w:r w:rsidR="00BB4C3F">
        <w:rPr>
          <w:rFonts w:cs="Arial"/>
        </w:rPr>
        <w:t>ess</w:t>
      </w:r>
      <w:r w:rsidR="00C20EAE" w:rsidRPr="000F78E0">
        <w:rPr>
          <w:rFonts w:cs="Arial"/>
        </w:rPr>
        <w:t>ed</w:t>
      </w:r>
      <w:r w:rsidR="002133A0" w:rsidRPr="00CF718E">
        <w:rPr>
          <w:rFonts w:cs="Arial"/>
        </w:rPr>
        <w:t>.</w:t>
      </w:r>
    </w:p>
    <w:p w14:paraId="5EA87592" w14:textId="77777777" w:rsidR="00220792" w:rsidRPr="000F78E0" w:rsidRDefault="00220792" w:rsidP="000B550C">
      <w:pPr>
        <w:pStyle w:val="Norma"/>
        <w:rPr>
          <w:rFonts w:cs="Arial"/>
        </w:rPr>
      </w:pPr>
    </w:p>
    <w:p w14:paraId="5EA87593" w14:textId="0EC71966" w:rsidR="00272E19" w:rsidRPr="000F78E0" w:rsidRDefault="00272E19" w:rsidP="000B550C">
      <w:pPr>
        <w:pStyle w:val="Norma"/>
        <w:rPr>
          <w:rFonts w:cs="Arial"/>
        </w:rPr>
      </w:pPr>
      <w:r w:rsidRPr="000F78E0">
        <w:rPr>
          <w:rFonts w:cs="Arial"/>
        </w:rPr>
        <w:t xml:space="preserve">Payments will be linked to delivery of key milestones. The indicative milestones and phasing of payments </w:t>
      </w:r>
      <w:r w:rsidR="00DC39C6" w:rsidRPr="000F78E0">
        <w:rPr>
          <w:rFonts w:cs="Arial"/>
        </w:rPr>
        <w:t>can be adjusted and agreed with the contractor</w:t>
      </w:r>
      <w:r w:rsidR="007A11CB" w:rsidRPr="000F78E0">
        <w:rPr>
          <w:rFonts w:cs="Arial"/>
        </w:rPr>
        <w:t xml:space="preserve"> and Project Manager. </w:t>
      </w:r>
      <w:r w:rsidR="00E41E71" w:rsidRPr="000F78E0">
        <w:rPr>
          <w:rFonts w:cs="Arial"/>
        </w:rPr>
        <w:t>P</w:t>
      </w:r>
      <w:r w:rsidR="00DC39C6" w:rsidRPr="000F78E0">
        <w:rPr>
          <w:rFonts w:cs="Arial"/>
        </w:rPr>
        <w:t>lease advise in your tender response how this breakdown reflects your usual payment processes</w:t>
      </w:r>
      <w:r w:rsidR="00796CF2">
        <w:rPr>
          <w:rFonts w:cs="Arial"/>
        </w:rPr>
        <w:t>.</w:t>
      </w:r>
    </w:p>
    <w:p w14:paraId="5EA87594" w14:textId="77777777" w:rsidR="00DC39C6" w:rsidRPr="000F78E0" w:rsidRDefault="00DC39C6" w:rsidP="000B550C">
      <w:pPr>
        <w:pStyle w:val="Norma"/>
        <w:rPr>
          <w:rFonts w:cs="Arial"/>
        </w:rPr>
      </w:pPr>
    </w:p>
    <w:p w14:paraId="5EA87595" w14:textId="77777777" w:rsidR="008261E0" w:rsidRPr="000F78E0" w:rsidRDefault="003C06AA" w:rsidP="000B550C">
      <w:pPr>
        <w:pStyle w:val="Norma"/>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0B550C">
      <w:pPr>
        <w:pStyle w:val="Norma"/>
        <w:rPr>
          <w:rFonts w:eastAsia="MS Mincho" w:cs="Arial"/>
          <w:lang w:eastAsia="en-US"/>
        </w:rPr>
      </w:pPr>
    </w:p>
    <w:p w14:paraId="5EA87597" w14:textId="56E6681C" w:rsidR="00443DE6" w:rsidRPr="000F78E0" w:rsidRDefault="00796CF2" w:rsidP="000B550C">
      <w:pPr>
        <w:pStyle w:val="Norma"/>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9" w14:textId="77777777" w:rsidR="003C1CE8" w:rsidRPr="002D32D5" w:rsidRDefault="005C6FBA" w:rsidP="00147C5E">
      <w:pPr>
        <w:pStyle w:val="Heading1"/>
        <w:numPr>
          <w:ilvl w:val="0"/>
          <w:numId w:val="3"/>
        </w:numPr>
        <w:rPr>
          <w:rFonts w:ascii="Arial" w:hAnsi="Arial" w:cs="Arial"/>
          <w:sz w:val="24"/>
          <w:szCs w:val="24"/>
        </w:rPr>
      </w:pPr>
      <w:bookmarkStart w:id="60" w:name="_Ref357541836"/>
      <w:bookmarkStart w:id="61" w:name="_Toc381969520"/>
      <w:bookmarkStart w:id="62" w:name="_Toc405888469"/>
      <w:bookmarkStart w:id="63" w:name="_Toc520373369"/>
      <w:r w:rsidRPr="002D32D5">
        <w:rPr>
          <w:rFonts w:ascii="Arial" w:hAnsi="Arial" w:cs="Arial"/>
          <w:sz w:val="24"/>
          <w:szCs w:val="24"/>
        </w:rPr>
        <w:t>Evaluation of Tenders</w:t>
      </w:r>
      <w:bookmarkEnd w:id="60"/>
      <w:bookmarkEnd w:id="61"/>
      <w:bookmarkEnd w:id="62"/>
      <w:bookmarkEnd w:id="63"/>
    </w:p>
    <w:p w14:paraId="5EA8759A" w14:textId="77777777" w:rsidR="003C1CE8" w:rsidRPr="00E4650D" w:rsidRDefault="003C1CE8" w:rsidP="00E4650D">
      <w:pPr>
        <w:pStyle w:val="Norma"/>
        <w:jc w:val="both"/>
        <w:rPr>
          <w:rFonts w:cs="Arial"/>
          <w:sz w:val="24"/>
          <w:szCs w:val="24"/>
        </w:rPr>
      </w:pPr>
    </w:p>
    <w:p w14:paraId="40EED5E8" w14:textId="77777777" w:rsidR="000A18E3" w:rsidRPr="000F78E0" w:rsidRDefault="000A18E3" w:rsidP="000B550C">
      <w:pPr>
        <w:pStyle w:val="Norma"/>
      </w:pPr>
      <w:r w:rsidRPr="000F78E0">
        <w:t>Contractors are invited to submit full tenders of no more than</w:t>
      </w:r>
      <w:r w:rsidRPr="000F78E0">
        <w:rPr>
          <w:color w:val="0000FF"/>
        </w:rPr>
        <w:t xml:space="preserve"> </w:t>
      </w:r>
      <w:r>
        <w:rPr>
          <w:color w:val="000000" w:themeColor="text1"/>
        </w:rPr>
        <w:t>35</w:t>
      </w:r>
      <w:r w:rsidRPr="000F78E0">
        <w:rPr>
          <w:color w:val="FF0000"/>
        </w:rPr>
        <w:t xml:space="preserve"> </w:t>
      </w:r>
      <w:r w:rsidRPr="000F78E0">
        <w:t>pages, excluding declarations. Tenders will be evaluated by at least three</w:t>
      </w:r>
      <w:r>
        <w:t xml:space="preserve"> reviewers</w:t>
      </w:r>
      <w:r w:rsidRPr="000F78E0">
        <w:t>.</w:t>
      </w:r>
    </w:p>
    <w:p w14:paraId="5EA8759C" w14:textId="77777777" w:rsidR="00E4650D" w:rsidRPr="000F78E0" w:rsidRDefault="00E4650D" w:rsidP="000B550C">
      <w:pPr>
        <w:pStyle w:val="Norma"/>
      </w:pPr>
    </w:p>
    <w:p w14:paraId="5EA8759F" w14:textId="01609AEE" w:rsidR="00002825" w:rsidRPr="000F78E0" w:rsidRDefault="001A33AF" w:rsidP="000B550C">
      <w:pPr>
        <w:pStyle w:val="Norma"/>
      </w:pPr>
      <w:r>
        <w:t>The ASC</w:t>
      </w:r>
      <w:r w:rsidR="003C54D5" w:rsidRPr="000F78E0">
        <w:t xml:space="preserve"> will select the bidder that </w:t>
      </w:r>
      <w:r w:rsidR="007C2B17" w:rsidRPr="000F78E0">
        <w:t>scores highest against the</w:t>
      </w:r>
      <w:r w:rsidR="003C54D5" w:rsidRPr="000F78E0">
        <w:t xml:space="preserve"> crit</w:t>
      </w:r>
      <w:r w:rsidR="00804221" w:rsidRPr="000F78E0">
        <w:t>eria and weighting listed below, s</w:t>
      </w:r>
      <w:r w:rsidR="00002825" w:rsidRPr="000F78E0">
        <w:t xml:space="preserve">ee </w:t>
      </w:r>
      <w:r w:rsidR="00EE50B0" w:rsidRPr="000F78E0">
        <w:t>the ITT</w:t>
      </w:r>
      <w:r w:rsidR="00002825" w:rsidRPr="000F78E0">
        <w:t xml:space="preserve"> for further information</w:t>
      </w:r>
      <w:r w:rsidR="00804221" w:rsidRPr="000F78E0">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0A1826">
      <w:pPr>
        <w:pStyle w:val="Norma"/>
        <w:keepNext/>
        <w:keepLines/>
        <w:spacing w:line="276" w:lineRule="auto"/>
        <w:ind w:left="360"/>
        <w:rPr>
          <w:rFonts w:cs="Arial"/>
          <w:b/>
        </w:rPr>
      </w:pPr>
      <w:r>
        <w:rPr>
          <w:rFonts w:cs="Arial"/>
          <w:b/>
        </w:rPr>
        <w:lastRenderedPageBreak/>
        <w:t>EVALUATION CRITERIA AND SCORING METHODOLOGY</w:t>
      </w:r>
    </w:p>
    <w:p w14:paraId="5EA875A3" w14:textId="77777777" w:rsidR="001623B7" w:rsidRDefault="001623B7" w:rsidP="000A1826">
      <w:pPr>
        <w:pStyle w:val="Norma"/>
        <w:keepNext/>
        <w:keepLines/>
        <w:spacing w:line="276" w:lineRule="auto"/>
        <w:rPr>
          <w:rFonts w:cs="Arial"/>
          <w:b/>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7051"/>
        <w:gridCol w:w="1280"/>
      </w:tblGrid>
      <w:tr w:rsidR="001F409F" w:rsidRPr="00F7796D" w14:paraId="021D034F" w14:textId="77777777" w:rsidTr="00084E1D">
        <w:tc>
          <w:tcPr>
            <w:tcW w:w="1133" w:type="dxa"/>
          </w:tcPr>
          <w:p w14:paraId="268ADC07" w14:textId="77777777" w:rsidR="001F409F" w:rsidRPr="000A1826" w:rsidRDefault="001F409F" w:rsidP="000A1826">
            <w:pPr>
              <w:pStyle w:val="Norma"/>
              <w:keepNext/>
              <w:keepLines/>
              <w:rPr>
                <w:b/>
              </w:rPr>
            </w:pPr>
            <w:bookmarkStart w:id="64" w:name="p2"/>
            <w:r w:rsidRPr="000A1826">
              <w:rPr>
                <w:b/>
              </w:rPr>
              <w:t>Criterion</w:t>
            </w:r>
            <w:bookmarkEnd w:id="64"/>
          </w:p>
        </w:tc>
        <w:tc>
          <w:tcPr>
            <w:tcW w:w="7051" w:type="dxa"/>
            <w:shd w:val="clear" w:color="auto" w:fill="auto"/>
          </w:tcPr>
          <w:p w14:paraId="3827B336" w14:textId="77777777" w:rsidR="001F409F" w:rsidRPr="000A1826" w:rsidRDefault="001F409F" w:rsidP="000A1826">
            <w:pPr>
              <w:pStyle w:val="Norma"/>
              <w:keepNext/>
              <w:keepLines/>
              <w:rPr>
                <w:b/>
              </w:rPr>
            </w:pPr>
            <w:r w:rsidRPr="000A1826">
              <w:rPr>
                <w:b/>
              </w:rPr>
              <w:t>Description</w:t>
            </w:r>
          </w:p>
        </w:tc>
        <w:tc>
          <w:tcPr>
            <w:tcW w:w="1280" w:type="dxa"/>
            <w:shd w:val="clear" w:color="auto" w:fill="auto"/>
          </w:tcPr>
          <w:p w14:paraId="66130112" w14:textId="77777777" w:rsidR="001F409F" w:rsidRPr="000A1826" w:rsidRDefault="001F409F" w:rsidP="000A1826">
            <w:pPr>
              <w:pStyle w:val="Norma"/>
              <w:keepNext/>
              <w:keepLines/>
              <w:rPr>
                <w:b/>
              </w:rPr>
            </w:pPr>
            <w:r w:rsidRPr="000A1826">
              <w:rPr>
                <w:b/>
              </w:rPr>
              <w:t>Weighting</w:t>
            </w:r>
          </w:p>
        </w:tc>
      </w:tr>
      <w:tr w:rsidR="001F409F" w:rsidRPr="00F7796D" w14:paraId="694A6BDB" w14:textId="77777777" w:rsidTr="00084E1D">
        <w:tc>
          <w:tcPr>
            <w:tcW w:w="1133" w:type="dxa"/>
          </w:tcPr>
          <w:p w14:paraId="2E14932A" w14:textId="77777777" w:rsidR="001F409F" w:rsidRPr="00F7796D" w:rsidRDefault="001F409F" w:rsidP="000A1826">
            <w:pPr>
              <w:pStyle w:val="Norma"/>
              <w:keepNext/>
              <w:keepLines/>
              <w:rPr>
                <w:rFonts w:cs="Arial"/>
              </w:rPr>
            </w:pPr>
            <w:r>
              <w:rPr>
                <w:rFonts w:cs="Arial"/>
              </w:rPr>
              <w:t>1</w:t>
            </w:r>
          </w:p>
        </w:tc>
        <w:tc>
          <w:tcPr>
            <w:tcW w:w="7051" w:type="dxa"/>
            <w:shd w:val="clear" w:color="auto" w:fill="auto"/>
          </w:tcPr>
          <w:p w14:paraId="665E8534" w14:textId="1E9CA7B8" w:rsidR="001F409F" w:rsidRPr="00F7796D" w:rsidRDefault="001F409F" w:rsidP="000A1826">
            <w:pPr>
              <w:pStyle w:val="Norma"/>
              <w:keepNext/>
              <w:keepLines/>
              <w:rPr>
                <w:rFonts w:cs="Arial"/>
              </w:rPr>
            </w:pPr>
            <w:r w:rsidRPr="00334AEE">
              <w:rPr>
                <w:rFonts w:ascii="Calibri" w:hAnsi="Calibri"/>
                <w:b/>
              </w:rPr>
              <w:t>RELEVANT EXPERIENCE</w:t>
            </w:r>
            <w:r>
              <w:rPr>
                <w:rFonts w:ascii="Calibri" w:hAnsi="Calibri"/>
                <w:b/>
              </w:rPr>
              <w:t xml:space="preserve"> / DEMONSTRATION OF CA</w:t>
            </w:r>
            <w:r w:rsidR="00FA6FAF">
              <w:rPr>
                <w:rFonts w:ascii="Calibri" w:hAnsi="Calibri"/>
                <w:b/>
              </w:rPr>
              <w:t>P</w:t>
            </w:r>
            <w:r>
              <w:rPr>
                <w:rFonts w:ascii="Calibri" w:hAnsi="Calibri"/>
                <w:b/>
              </w:rPr>
              <w:t>ABILITY OF THE PROPOSED PROJECT TEAM</w:t>
            </w:r>
          </w:p>
        </w:tc>
        <w:tc>
          <w:tcPr>
            <w:tcW w:w="1280" w:type="dxa"/>
            <w:shd w:val="clear" w:color="auto" w:fill="auto"/>
            <w:vAlign w:val="center"/>
          </w:tcPr>
          <w:p w14:paraId="53290FA7" w14:textId="77777777" w:rsidR="001F409F" w:rsidRPr="00F7796D" w:rsidRDefault="001F409F" w:rsidP="00084E1D">
            <w:pPr>
              <w:pStyle w:val="Norma"/>
              <w:keepNext/>
              <w:keepLines/>
              <w:jc w:val="right"/>
              <w:rPr>
                <w:rFonts w:cs="Arial"/>
              </w:rPr>
            </w:pPr>
            <w:r>
              <w:rPr>
                <w:rFonts w:cs="Arial"/>
              </w:rPr>
              <w:t>30%</w:t>
            </w:r>
          </w:p>
        </w:tc>
      </w:tr>
      <w:tr w:rsidR="001F409F" w:rsidRPr="00F7796D" w14:paraId="490D34C1" w14:textId="77777777" w:rsidTr="00084E1D">
        <w:tc>
          <w:tcPr>
            <w:tcW w:w="1133" w:type="dxa"/>
          </w:tcPr>
          <w:p w14:paraId="6718A9DE" w14:textId="77777777" w:rsidR="001F409F" w:rsidRPr="00F7796D" w:rsidRDefault="001F409F" w:rsidP="000A1826">
            <w:pPr>
              <w:pStyle w:val="Norma"/>
              <w:keepNext/>
              <w:keepLines/>
              <w:rPr>
                <w:rFonts w:cs="Arial"/>
              </w:rPr>
            </w:pPr>
            <w:r>
              <w:rPr>
                <w:rFonts w:cs="Arial"/>
              </w:rPr>
              <w:t>2</w:t>
            </w:r>
          </w:p>
        </w:tc>
        <w:tc>
          <w:tcPr>
            <w:tcW w:w="7051" w:type="dxa"/>
            <w:shd w:val="clear" w:color="auto" w:fill="auto"/>
          </w:tcPr>
          <w:p w14:paraId="38398669" w14:textId="77777777" w:rsidR="001F409F" w:rsidRPr="00F7796D" w:rsidRDefault="001F409F" w:rsidP="000A1826">
            <w:pPr>
              <w:pStyle w:val="Norma"/>
              <w:keepNext/>
              <w:keepLines/>
              <w:rPr>
                <w:rFonts w:cs="Arial"/>
              </w:rPr>
            </w:pPr>
            <w:r w:rsidRPr="00334AEE">
              <w:rPr>
                <w:rFonts w:ascii="Calibri" w:hAnsi="Calibri"/>
                <w:b/>
              </w:rPr>
              <w:t>QUALITY ASSURING THE SERVICES YOU PROVIDE</w:t>
            </w:r>
          </w:p>
        </w:tc>
        <w:tc>
          <w:tcPr>
            <w:tcW w:w="1280" w:type="dxa"/>
            <w:shd w:val="clear" w:color="auto" w:fill="auto"/>
            <w:vAlign w:val="center"/>
          </w:tcPr>
          <w:p w14:paraId="11E63F0B" w14:textId="77777777" w:rsidR="001F409F" w:rsidRPr="00F7796D" w:rsidRDefault="001F409F" w:rsidP="00084E1D">
            <w:pPr>
              <w:pStyle w:val="Norma"/>
              <w:keepNext/>
              <w:keepLines/>
              <w:jc w:val="right"/>
              <w:rPr>
                <w:rFonts w:cs="Arial"/>
              </w:rPr>
            </w:pPr>
            <w:r>
              <w:rPr>
                <w:rFonts w:cs="Arial"/>
              </w:rPr>
              <w:t>5%</w:t>
            </w:r>
          </w:p>
        </w:tc>
      </w:tr>
      <w:tr w:rsidR="001F409F" w:rsidRPr="00F7796D" w14:paraId="1060B57B" w14:textId="77777777" w:rsidTr="00084E1D">
        <w:tc>
          <w:tcPr>
            <w:tcW w:w="1133" w:type="dxa"/>
          </w:tcPr>
          <w:p w14:paraId="1AADACF4" w14:textId="77777777" w:rsidR="001F409F" w:rsidRPr="00F7796D" w:rsidRDefault="001F409F" w:rsidP="000A1826">
            <w:pPr>
              <w:pStyle w:val="Norma"/>
              <w:keepNext/>
              <w:keepLines/>
              <w:rPr>
                <w:rFonts w:cs="Arial"/>
              </w:rPr>
            </w:pPr>
            <w:r>
              <w:rPr>
                <w:rFonts w:cs="Arial"/>
              </w:rPr>
              <w:t>3</w:t>
            </w:r>
          </w:p>
        </w:tc>
        <w:tc>
          <w:tcPr>
            <w:tcW w:w="7051" w:type="dxa"/>
            <w:shd w:val="clear" w:color="auto" w:fill="auto"/>
          </w:tcPr>
          <w:p w14:paraId="13D0C224" w14:textId="77777777" w:rsidR="001F409F" w:rsidRPr="00F7796D" w:rsidRDefault="001F409F" w:rsidP="000A1826">
            <w:pPr>
              <w:pStyle w:val="Norma"/>
              <w:keepNext/>
              <w:keepLines/>
              <w:rPr>
                <w:rFonts w:cs="Arial"/>
              </w:rPr>
            </w:pPr>
            <w:r w:rsidRPr="00334AEE">
              <w:rPr>
                <w:rFonts w:ascii="Calibri" w:hAnsi="Calibri"/>
                <w:b/>
              </w:rPr>
              <w:t>MANAGEMENT STRUCTURE</w:t>
            </w:r>
            <w:r>
              <w:rPr>
                <w:rFonts w:ascii="Calibri" w:hAnsi="Calibri"/>
                <w:b/>
              </w:rPr>
              <w:t xml:space="preserve"> AND MANAGING RELATIONSHIP WITH THE CCC</w:t>
            </w:r>
          </w:p>
        </w:tc>
        <w:tc>
          <w:tcPr>
            <w:tcW w:w="1280" w:type="dxa"/>
            <w:shd w:val="clear" w:color="auto" w:fill="auto"/>
            <w:vAlign w:val="center"/>
          </w:tcPr>
          <w:p w14:paraId="4AB4AD14" w14:textId="77777777" w:rsidR="001F409F" w:rsidRPr="00F7796D" w:rsidRDefault="001F409F" w:rsidP="00084E1D">
            <w:pPr>
              <w:pStyle w:val="Norma"/>
              <w:keepNext/>
              <w:keepLines/>
              <w:jc w:val="right"/>
              <w:rPr>
                <w:rFonts w:cs="Arial"/>
              </w:rPr>
            </w:pPr>
            <w:r>
              <w:rPr>
                <w:rFonts w:cs="Arial"/>
              </w:rPr>
              <w:t>10%</w:t>
            </w:r>
          </w:p>
        </w:tc>
      </w:tr>
      <w:tr w:rsidR="001F409F" w:rsidRPr="00F7796D" w14:paraId="6A146F58" w14:textId="77777777" w:rsidTr="00084E1D">
        <w:tc>
          <w:tcPr>
            <w:tcW w:w="1133" w:type="dxa"/>
          </w:tcPr>
          <w:p w14:paraId="691EE1A9" w14:textId="77777777" w:rsidR="001F409F" w:rsidRPr="00F7796D" w:rsidRDefault="001F409F" w:rsidP="000A1826">
            <w:pPr>
              <w:pStyle w:val="Norma"/>
              <w:keepNext/>
              <w:keepLines/>
              <w:rPr>
                <w:rFonts w:cs="Arial"/>
              </w:rPr>
            </w:pPr>
            <w:r>
              <w:rPr>
                <w:rFonts w:cs="Arial"/>
              </w:rPr>
              <w:t>4</w:t>
            </w:r>
          </w:p>
        </w:tc>
        <w:tc>
          <w:tcPr>
            <w:tcW w:w="7051" w:type="dxa"/>
            <w:shd w:val="clear" w:color="auto" w:fill="auto"/>
          </w:tcPr>
          <w:p w14:paraId="60C3F027" w14:textId="77777777" w:rsidR="001F409F" w:rsidRPr="00F7796D" w:rsidRDefault="001F409F" w:rsidP="000A1826">
            <w:pPr>
              <w:pStyle w:val="Norma"/>
              <w:keepNext/>
              <w:keepLines/>
              <w:rPr>
                <w:rFonts w:cs="Arial"/>
              </w:rPr>
            </w:pPr>
            <w:r w:rsidRPr="00334AEE">
              <w:rPr>
                <w:rFonts w:ascii="Calibri" w:hAnsi="Calibri"/>
                <w:b/>
              </w:rPr>
              <w:t>METHOD</w:t>
            </w:r>
          </w:p>
        </w:tc>
        <w:tc>
          <w:tcPr>
            <w:tcW w:w="1280" w:type="dxa"/>
            <w:shd w:val="clear" w:color="auto" w:fill="auto"/>
            <w:vAlign w:val="center"/>
          </w:tcPr>
          <w:p w14:paraId="57E0E740" w14:textId="77777777" w:rsidR="001F409F" w:rsidRPr="00F7796D" w:rsidRDefault="001F409F" w:rsidP="00084E1D">
            <w:pPr>
              <w:pStyle w:val="Norma"/>
              <w:keepNext/>
              <w:keepLines/>
              <w:jc w:val="right"/>
              <w:rPr>
                <w:rFonts w:cs="Arial"/>
              </w:rPr>
            </w:pPr>
            <w:r>
              <w:rPr>
                <w:rFonts w:cs="Arial"/>
              </w:rPr>
              <w:t>35%</w:t>
            </w:r>
          </w:p>
        </w:tc>
      </w:tr>
      <w:tr w:rsidR="001F409F" w:rsidRPr="00F7796D" w14:paraId="49D8F44F" w14:textId="77777777" w:rsidTr="00084E1D">
        <w:tc>
          <w:tcPr>
            <w:tcW w:w="1133" w:type="dxa"/>
          </w:tcPr>
          <w:p w14:paraId="2D006ECB" w14:textId="77777777" w:rsidR="001F409F" w:rsidRPr="00F7796D" w:rsidRDefault="001F409F" w:rsidP="000A1826">
            <w:pPr>
              <w:pStyle w:val="Norma"/>
              <w:keepNext/>
              <w:keepLines/>
              <w:rPr>
                <w:rFonts w:cs="Arial"/>
              </w:rPr>
            </w:pPr>
            <w:r>
              <w:rPr>
                <w:rFonts w:cs="Arial"/>
              </w:rPr>
              <w:t>5</w:t>
            </w:r>
          </w:p>
        </w:tc>
        <w:tc>
          <w:tcPr>
            <w:tcW w:w="7051" w:type="dxa"/>
            <w:shd w:val="clear" w:color="auto" w:fill="auto"/>
          </w:tcPr>
          <w:p w14:paraId="04A723D6" w14:textId="77777777" w:rsidR="001F409F" w:rsidRPr="00F7796D" w:rsidRDefault="001F409F" w:rsidP="000A1826">
            <w:pPr>
              <w:pStyle w:val="Norma"/>
              <w:keepNext/>
              <w:keepLines/>
              <w:rPr>
                <w:rFonts w:cs="Arial"/>
              </w:rPr>
            </w:pPr>
            <w:r w:rsidRPr="00334AEE">
              <w:rPr>
                <w:rFonts w:ascii="Calibri" w:hAnsi="Calibri"/>
                <w:b/>
              </w:rPr>
              <w:t>UNDERSTANDING OF REQUIREMENTS</w:t>
            </w:r>
          </w:p>
        </w:tc>
        <w:tc>
          <w:tcPr>
            <w:tcW w:w="1280" w:type="dxa"/>
            <w:shd w:val="clear" w:color="auto" w:fill="auto"/>
            <w:vAlign w:val="center"/>
          </w:tcPr>
          <w:p w14:paraId="1B16842A" w14:textId="77777777" w:rsidR="001F409F" w:rsidRPr="00F7796D" w:rsidRDefault="001F409F" w:rsidP="00084E1D">
            <w:pPr>
              <w:pStyle w:val="Norma"/>
              <w:keepNext/>
              <w:keepLines/>
              <w:jc w:val="right"/>
              <w:rPr>
                <w:rFonts w:cs="Arial"/>
              </w:rPr>
            </w:pPr>
            <w:r>
              <w:rPr>
                <w:rFonts w:cs="Arial"/>
              </w:rPr>
              <w:t>10%</w:t>
            </w:r>
          </w:p>
        </w:tc>
      </w:tr>
      <w:tr w:rsidR="001F409F" w:rsidRPr="00F7796D" w14:paraId="14CDC8EF" w14:textId="77777777" w:rsidTr="00084E1D">
        <w:tc>
          <w:tcPr>
            <w:tcW w:w="1133" w:type="dxa"/>
          </w:tcPr>
          <w:p w14:paraId="23214541" w14:textId="77777777" w:rsidR="001F409F" w:rsidRPr="00F7796D" w:rsidRDefault="001F409F" w:rsidP="000A1826">
            <w:pPr>
              <w:pStyle w:val="Norma"/>
              <w:keepNext/>
              <w:keepLines/>
              <w:rPr>
                <w:rFonts w:cs="Arial"/>
              </w:rPr>
            </w:pPr>
            <w:r>
              <w:rPr>
                <w:rFonts w:cs="Arial"/>
              </w:rPr>
              <w:t>6</w:t>
            </w:r>
          </w:p>
        </w:tc>
        <w:tc>
          <w:tcPr>
            <w:tcW w:w="7051" w:type="dxa"/>
            <w:shd w:val="clear" w:color="auto" w:fill="auto"/>
          </w:tcPr>
          <w:p w14:paraId="4E6A9E30" w14:textId="77777777" w:rsidR="001F409F" w:rsidRPr="00F7796D" w:rsidRDefault="001F409F" w:rsidP="000A1826">
            <w:pPr>
              <w:pStyle w:val="Norma"/>
              <w:keepNext/>
              <w:keepLines/>
              <w:rPr>
                <w:rFonts w:cs="Arial"/>
              </w:rPr>
            </w:pPr>
            <w:r>
              <w:rPr>
                <w:rFonts w:ascii="Calibri" w:hAnsi="Calibri"/>
                <w:b/>
              </w:rPr>
              <w:t xml:space="preserve">RISK AND </w:t>
            </w:r>
            <w:r w:rsidRPr="00334AEE">
              <w:rPr>
                <w:rFonts w:ascii="Calibri" w:hAnsi="Calibri"/>
                <w:b/>
              </w:rPr>
              <w:t>CHALLENGES</w:t>
            </w:r>
          </w:p>
        </w:tc>
        <w:tc>
          <w:tcPr>
            <w:tcW w:w="1280" w:type="dxa"/>
            <w:shd w:val="clear" w:color="auto" w:fill="auto"/>
            <w:vAlign w:val="center"/>
          </w:tcPr>
          <w:p w14:paraId="6B436D87" w14:textId="77777777" w:rsidR="001F409F" w:rsidRPr="00F7796D" w:rsidRDefault="001F409F" w:rsidP="00084E1D">
            <w:pPr>
              <w:pStyle w:val="Norma"/>
              <w:keepNext/>
              <w:keepLines/>
              <w:jc w:val="right"/>
              <w:rPr>
                <w:rFonts w:cs="Arial"/>
              </w:rPr>
            </w:pPr>
            <w:r>
              <w:rPr>
                <w:rFonts w:cs="Arial"/>
              </w:rPr>
              <w:t>10%</w:t>
            </w:r>
          </w:p>
        </w:tc>
      </w:tr>
      <w:tr w:rsidR="001F409F" w:rsidRPr="00F7796D" w14:paraId="1344E66B" w14:textId="77777777" w:rsidTr="00084E1D">
        <w:tc>
          <w:tcPr>
            <w:tcW w:w="1133" w:type="dxa"/>
          </w:tcPr>
          <w:p w14:paraId="35A23A16" w14:textId="77777777" w:rsidR="001F409F" w:rsidRPr="00F7796D" w:rsidRDefault="001F409F" w:rsidP="000A1826">
            <w:pPr>
              <w:pStyle w:val="Norma"/>
              <w:keepNext/>
              <w:keepLines/>
              <w:rPr>
                <w:rFonts w:cs="Arial"/>
              </w:rPr>
            </w:pPr>
          </w:p>
        </w:tc>
        <w:tc>
          <w:tcPr>
            <w:tcW w:w="7051" w:type="dxa"/>
            <w:shd w:val="clear" w:color="auto" w:fill="auto"/>
          </w:tcPr>
          <w:p w14:paraId="2B9B3FDA" w14:textId="77777777" w:rsidR="001F409F" w:rsidRPr="00F7796D" w:rsidRDefault="001F409F" w:rsidP="000A1826">
            <w:pPr>
              <w:pStyle w:val="Norma"/>
              <w:keepNext/>
              <w:keepLines/>
              <w:rPr>
                <w:rFonts w:cs="Arial"/>
              </w:rPr>
            </w:pPr>
          </w:p>
        </w:tc>
        <w:tc>
          <w:tcPr>
            <w:tcW w:w="1280" w:type="dxa"/>
            <w:shd w:val="clear" w:color="auto" w:fill="auto"/>
          </w:tcPr>
          <w:p w14:paraId="7DED4A36" w14:textId="77777777" w:rsidR="001F409F" w:rsidRPr="00F7796D" w:rsidRDefault="001F409F" w:rsidP="000A1826">
            <w:pPr>
              <w:pStyle w:val="Norma"/>
              <w:keepNext/>
              <w:keepLines/>
              <w:rPr>
                <w:rFonts w:cs="Arial"/>
              </w:rPr>
            </w:pPr>
          </w:p>
        </w:tc>
      </w:tr>
      <w:tr w:rsidR="001F409F" w:rsidRPr="00F7796D" w14:paraId="03930830" w14:textId="77777777" w:rsidTr="00084E1D">
        <w:tc>
          <w:tcPr>
            <w:tcW w:w="8184" w:type="dxa"/>
            <w:gridSpan w:val="2"/>
          </w:tcPr>
          <w:p w14:paraId="55484075" w14:textId="77777777" w:rsidR="001F409F" w:rsidRPr="000A1826" w:rsidRDefault="001F409F" w:rsidP="000A1826">
            <w:pPr>
              <w:pStyle w:val="Norma"/>
              <w:keepNext/>
              <w:keepLines/>
              <w:rPr>
                <w:rFonts w:cs="Arial"/>
                <w:u w:val="single"/>
              </w:rPr>
            </w:pPr>
          </w:p>
        </w:tc>
        <w:tc>
          <w:tcPr>
            <w:tcW w:w="1280" w:type="dxa"/>
            <w:shd w:val="clear" w:color="auto" w:fill="auto"/>
          </w:tcPr>
          <w:p w14:paraId="4FDD9B13" w14:textId="77777777" w:rsidR="001F409F" w:rsidRPr="000A1826" w:rsidRDefault="001F409F" w:rsidP="00E14CD0">
            <w:pPr>
              <w:pStyle w:val="Norma"/>
              <w:keepNext/>
              <w:keepLines/>
              <w:jc w:val="right"/>
              <w:rPr>
                <w:rFonts w:cs="Arial"/>
              </w:rPr>
            </w:pPr>
            <w:r w:rsidRPr="000A1826">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5" w14:textId="77777777" w:rsidR="004A2B75" w:rsidRPr="000F78E0" w:rsidRDefault="004A2B75" w:rsidP="00E4650D">
      <w:pPr>
        <w:pStyle w:val="Norma"/>
        <w:jc w:val="both"/>
        <w:rPr>
          <w:rFonts w:cs="Arial"/>
          <w:b/>
        </w:rPr>
      </w:pPr>
      <w:bookmarkStart w:id="65" w:name="nine01"/>
      <w:bookmarkEnd w:id="65"/>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725B3C25"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0B550C">
        <w:rPr>
          <w:rFonts w:eastAsia="Calibri" w:cs="Arial"/>
          <w:lang w:eastAsia="en-US"/>
        </w:rPr>
        <w:t>specifying the daily rates</w:t>
      </w:r>
      <w:r w:rsidR="00D648EC" w:rsidRPr="000F78E0">
        <w:rPr>
          <w:rFonts w:eastAsia="Calibri" w:cs="Arial"/>
          <w:lang w:eastAsia="en-US"/>
        </w:rPr>
        <w:t xml:space="preserve">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30A90FC1"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w:t>
      </w:r>
      <w:r w:rsidR="001F409F">
        <w:rPr>
          <w:rFonts w:cs="Arial"/>
          <w:color w:val="000000" w:themeColor="text1"/>
          <w:szCs w:val="24"/>
        </w:rPr>
        <w:t xml:space="preserve"> </w:t>
      </w:r>
      <w:r w:rsidR="00FF7D24">
        <w:rPr>
          <w:rFonts w:cs="Arial"/>
          <w:color w:val="000000" w:themeColor="text1"/>
          <w:szCs w:val="24"/>
        </w:rPr>
        <w:t>8</w:t>
      </w:r>
      <w:r w:rsidR="00FF7D24" w:rsidRPr="00FF7D24">
        <w:rPr>
          <w:rFonts w:cs="Arial"/>
          <w:color w:val="000000" w:themeColor="text1"/>
          <w:szCs w:val="24"/>
          <w:vertAlign w:val="superscript"/>
        </w:rPr>
        <w:t>th</w:t>
      </w:r>
      <w:r w:rsidR="00FF7D24">
        <w:rPr>
          <w:rFonts w:cs="Arial"/>
          <w:color w:val="000000" w:themeColor="text1"/>
          <w:szCs w:val="24"/>
        </w:rPr>
        <w:t xml:space="preserve"> </w:t>
      </w:r>
      <w:r w:rsidR="004D15F3">
        <w:rPr>
          <w:rFonts w:cs="Arial"/>
          <w:color w:val="000000" w:themeColor="text1"/>
          <w:szCs w:val="24"/>
        </w:rPr>
        <w:t>October</w:t>
      </w:r>
      <w:r w:rsidR="004D15F3" w:rsidRPr="000A0DA4">
        <w:rPr>
          <w:rFonts w:cs="Arial"/>
          <w:color w:val="000000" w:themeColor="text1"/>
          <w:szCs w:val="24"/>
        </w:rPr>
        <w:t xml:space="preserve"> 2018</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BFCD7E" w16cid:durableId="1EED00E4"/>
  <w16cid:commentId w16cid:paraId="77D6AE25" w16cid:durableId="1EEC63E2"/>
  <w16cid:commentId w16cid:paraId="3427B7AF" w16cid:durableId="1EEC6A01"/>
  <w16cid:commentId w16cid:paraId="1649F690" w16cid:durableId="1EEC63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2B77E" w14:textId="77777777" w:rsidR="00943D0B" w:rsidRDefault="00943D0B" w:rsidP="00EB43D8">
      <w:pPr>
        <w:pStyle w:val="Norma"/>
      </w:pPr>
      <w:r>
        <w:separator/>
      </w:r>
    </w:p>
  </w:endnote>
  <w:endnote w:type="continuationSeparator" w:id="0">
    <w:p w14:paraId="64F9B491" w14:textId="77777777" w:rsidR="00943D0B" w:rsidRDefault="00943D0B"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041FA" w14:textId="77777777" w:rsidR="00A34D7F" w:rsidRDefault="00A34D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60037" w:rsidRDefault="00F60037" w:rsidP="00602CDD">
    <w:pPr>
      <w:pStyle w:val="Footer"/>
      <w:pBdr>
        <w:top w:val="single" w:sz="4" w:space="1" w:color="D9D9D9"/>
      </w:pBdr>
      <w:jc w:val="right"/>
    </w:pPr>
    <w:r>
      <w:fldChar w:fldCharType="begin"/>
    </w:r>
    <w:r>
      <w:instrText xml:space="preserve"> PAGE   \* MERGEFORMAT </w:instrText>
    </w:r>
    <w:r>
      <w:fldChar w:fldCharType="separate"/>
    </w:r>
    <w:r w:rsidR="00B524BE">
      <w:rPr>
        <w:noProof/>
      </w:rPr>
      <w:t>11</w:t>
    </w:r>
    <w:r>
      <w:rPr>
        <w:noProof/>
      </w:rPr>
      <w:fldChar w:fldCharType="end"/>
    </w:r>
    <w:r>
      <w:t xml:space="preserve"> | </w:t>
    </w:r>
    <w:r w:rsidRPr="00602CDD">
      <w:rPr>
        <w:color w:val="808080"/>
        <w:spacing w:val="60"/>
      </w:rPr>
      <w:t>Page</w:t>
    </w:r>
  </w:p>
  <w:p w14:paraId="5EA87631" w14:textId="77777777" w:rsidR="00F60037" w:rsidRDefault="00F60037"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BA1AD" w14:textId="77777777" w:rsidR="00A34D7F" w:rsidRDefault="00A34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BCC3A" w14:textId="77777777" w:rsidR="00943D0B" w:rsidRDefault="00943D0B" w:rsidP="00EB43D8">
      <w:pPr>
        <w:pStyle w:val="Norma"/>
      </w:pPr>
      <w:r>
        <w:separator/>
      </w:r>
    </w:p>
  </w:footnote>
  <w:footnote w:type="continuationSeparator" w:id="0">
    <w:p w14:paraId="3AB5D247" w14:textId="77777777" w:rsidR="00943D0B" w:rsidRDefault="00943D0B" w:rsidP="00EB43D8">
      <w:pPr>
        <w:pStyle w:val="Norma"/>
      </w:pPr>
      <w:r>
        <w:continuationSeparator/>
      </w:r>
    </w:p>
  </w:footnote>
  <w:footnote w:id="1">
    <w:p w14:paraId="2863B3E7" w14:textId="2D808C23" w:rsidR="003E17F9" w:rsidRDefault="003E17F9">
      <w:pPr>
        <w:pStyle w:val="FootnoteText"/>
      </w:pPr>
      <w:r>
        <w:rPr>
          <w:rStyle w:val="FootnoteReference"/>
        </w:rPr>
        <w:footnoteRef/>
      </w:r>
      <w:r>
        <w:t xml:space="preserve"> CCRA2: </w:t>
      </w:r>
      <w:r w:rsidRPr="003E17F9">
        <w:t>Updated projections for water availability for the UK</w:t>
      </w:r>
      <w:r>
        <w:t xml:space="preserve"> Final Report. </w:t>
      </w:r>
      <w:hyperlink r:id="rId1" w:history="1">
        <w:r w:rsidRPr="00216B88">
          <w:rPr>
            <w:rStyle w:val="Hyperlink"/>
          </w:rPr>
          <w:t>https://www.theccc.org.uk/publication/climate-change-risk-assessment-ii-updated-projections-for-water-availability-for-the-uk/</w:t>
        </w:r>
      </w:hyperlink>
    </w:p>
  </w:footnote>
  <w:footnote w:id="2">
    <w:p w14:paraId="5A503A81" w14:textId="77777777" w:rsidR="00EC34EB" w:rsidRDefault="00EC34EB" w:rsidP="00EC34EB">
      <w:pPr>
        <w:pStyle w:val="FootnoteText"/>
      </w:pPr>
      <w:r>
        <w:rPr>
          <w:rStyle w:val="FootnoteReference"/>
        </w:rPr>
        <w:footnoteRef/>
      </w:r>
      <w:r>
        <w:t xml:space="preserve"> </w:t>
      </w:r>
      <w:hyperlink r:id="rId2" w:history="1">
        <w:r w:rsidRPr="00216B88">
          <w:rPr>
            <w:rStyle w:val="Hyperlink"/>
          </w:rPr>
          <w:t>https://www.water.org.uk/water-resources-long-term-planning-framework</w:t>
        </w:r>
      </w:hyperlink>
    </w:p>
  </w:footnote>
  <w:footnote w:id="3">
    <w:p w14:paraId="52E14379" w14:textId="77777777" w:rsidR="00EC34EB" w:rsidRDefault="00EC34EB" w:rsidP="00EC34EB">
      <w:pPr>
        <w:pStyle w:val="FootnoteText"/>
      </w:pPr>
      <w:r>
        <w:rPr>
          <w:rStyle w:val="FootnoteReference"/>
        </w:rPr>
        <w:footnoteRef/>
      </w:r>
      <w:r>
        <w:t xml:space="preserve"> </w:t>
      </w:r>
      <w:hyperlink r:id="rId3" w:history="1">
        <w:r w:rsidRPr="00216B88">
          <w:rPr>
            <w:rStyle w:val="Hyperlink"/>
          </w:rPr>
          <w:t>https://www.nic.org.uk/publications/preparing-for-a-drier-future-englands-water-infrastructure-needs/</w:t>
        </w:r>
      </w:hyperlink>
    </w:p>
  </w:footnote>
  <w:footnote w:id="4">
    <w:p w14:paraId="26E66647" w14:textId="77777777" w:rsidR="00EC34EB" w:rsidRDefault="00EC34EB" w:rsidP="00EC34EB">
      <w:pPr>
        <w:pStyle w:val="FootnoteText"/>
      </w:pPr>
      <w:r>
        <w:rPr>
          <w:rStyle w:val="FootnoteReference"/>
        </w:rPr>
        <w:footnoteRef/>
      </w:r>
      <w:r>
        <w:t xml:space="preserve"> </w:t>
      </w:r>
      <w:hyperlink r:id="rId4" w:history="1">
        <w:r w:rsidRPr="00216B88">
          <w:rPr>
            <w:rStyle w:val="Hyperlink"/>
          </w:rPr>
          <w:t>https://www.ofwat.gov.uk/publication/long-term-potential-deep-reductions-household-water-demand-report-artesia-consulting/</w:t>
        </w:r>
      </w:hyperlink>
    </w:p>
    <w:p w14:paraId="6FEE8C27" w14:textId="77777777" w:rsidR="00EC34EB" w:rsidRDefault="00EC34EB" w:rsidP="00EC34E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8500B" w14:textId="77777777" w:rsidR="00A34D7F" w:rsidRDefault="00A34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24691" w14:textId="77777777" w:rsidR="00A34D7F" w:rsidRDefault="00A34D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60037" w:rsidRDefault="00F60037"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478"/>
    <w:multiLevelType w:val="hybridMultilevel"/>
    <w:tmpl w:val="A9F8FE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D290E65"/>
    <w:multiLevelType w:val="hybridMultilevel"/>
    <w:tmpl w:val="EB860164"/>
    <w:lvl w:ilvl="0" w:tplc="08090001">
      <w:start w:val="1"/>
      <w:numFmt w:val="bullet"/>
      <w:lvlText w:val=""/>
      <w:lvlJc w:val="left"/>
      <w:pPr>
        <w:ind w:left="720" w:hanging="360"/>
      </w:pPr>
      <w:rPr>
        <w:rFonts w:ascii="Symbol" w:hAnsi="Symbo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E33F1"/>
    <w:multiLevelType w:val="hybridMultilevel"/>
    <w:tmpl w:val="29F2924C"/>
    <w:lvl w:ilvl="0" w:tplc="CFA2141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A33BCF"/>
    <w:multiLevelType w:val="hybridMultilevel"/>
    <w:tmpl w:val="60AA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D7569"/>
    <w:multiLevelType w:val="hybridMultilevel"/>
    <w:tmpl w:val="F66045B0"/>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F794E"/>
    <w:multiLevelType w:val="hybridMultilevel"/>
    <w:tmpl w:val="08AE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115B6"/>
    <w:multiLevelType w:val="hybridMultilevel"/>
    <w:tmpl w:val="1D3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E23F1"/>
    <w:multiLevelType w:val="hybridMultilevel"/>
    <w:tmpl w:val="F66045B0"/>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77ADB"/>
    <w:multiLevelType w:val="hybridMultilevel"/>
    <w:tmpl w:val="FD6E024E"/>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51C0D"/>
    <w:multiLevelType w:val="hybridMultilevel"/>
    <w:tmpl w:val="AF26DA6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4" w15:restartNumberingAfterBreak="0">
    <w:nsid w:val="78743E24"/>
    <w:multiLevelType w:val="hybridMultilevel"/>
    <w:tmpl w:val="77D8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13"/>
  </w:num>
  <w:num w:numId="6">
    <w:abstractNumId w:val="12"/>
  </w:num>
  <w:num w:numId="7">
    <w:abstractNumId w:val="3"/>
  </w:num>
  <w:num w:numId="8">
    <w:abstractNumId w:val="0"/>
  </w:num>
  <w:num w:numId="9">
    <w:abstractNumId w:val="2"/>
  </w:num>
  <w:num w:numId="10">
    <w:abstractNumId w:val="14"/>
  </w:num>
  <w:num w:numId="11">
    <w:abstractNumId w:val="6"/>
  </w:num>
  <w:num w:numId="12">
    <w:abstractNumId w:val="5"/>
  </w:num>
  <w:num w:numId="13">
    <w:abstractNumId w:val="11"/>
  </w:num>
  <w:num w:numId="14">
    <w:abstractNumId w:val="4"/>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867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276FD"/>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49D2"/>
    <w:rsid w:val="00084E1D"/>
    <w:rsid w:val="000850B3"/>
    <w:rsid w:val="000851D0"/>
    <w:rsid w:val="0008720B"/>
    <w:rsid w:val="000874B4"/>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1826"/>
    <w:rsid w:val="000A18E3"/>
    <w:rsid w:val="000A2028"/>
    <w:rsid w:val="000A36AE"/>
    <w:rsid w:val="000A3759"/>
    <w:rsid w:val="000A3E1A"/>
    <w:rsid w:val="000A413E"/>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550C"/>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4059"/>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63"/>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0CF"/>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47C5E"/>
    <w:rsid w:val="00150308"/>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E2F"/>
    <w:rsid w:val="00167EA2"/>
    <w:rsid w:val="00170B81"/>
    <w:rsid w:val="00171F7F"/>
    <w:rsid w:val="00172803"/>
    <w:rsid w:val="00172956"/>
    <w:rsid w:val="00172A29"/>
    <w:rsid w:val="00172F14"/>
    <w:rsid w:val="00174855"/>
    <w:rsid w:val="00176556"/>
    <w:rsid w:val="00177003"/>
    <w:rsid w:val="0018093D"/>
    <w:rsid w:val="00180A58"/>
    <w:rsid w:val="00182296"/>
    <w:rsid w:val="001825DA"/>
    <w:rsid w:val="00182895"/>
    <w:rsid w:val="0018341F"/>
    <w:rsid w:val="00183D41"/>
    <w:rsid w:val="00183E6B"/>
    <w:rsid w:val="00185DE8"/>
    <w:rsid w:val="00186D9B"/>
    <w:rsid w:val="00187A2E"/>
    <w:rsid w:val="0019065C"/>
    <w:rsid w:val="001911B4"/>
    <w:rsid w:val="001914C9"/>
    <w:rsid w:val="00192A40"/>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DE3"/>
    <w:rsid w:val="001D26F4"/>
    <w:rsid w:val="001D28C6"/>
    <w:rsid w:val="001D2E3F"/>
    <w:rsid w:val="001D4DDF"/>
    <w:rsid w:val="001D5D04"/>
    <w:rsid w:val="001D5D56"/>
    <w:rsid w:val="001D62B9"/>
    <w:rsid w:val="001D6493"/>
    <w:rsid w:val="001D7041"/>
    <w:rsid w:val="001E014D"/>
    <w:rsid w:val="001E0589"/>
    <w:rsid w:val="001E07A7"/>
    <w:rsid w:val="001E0B6F"/>
    <w:rsid w:val="001E15AD"/>
    <w:rsid w:val="001E219F"/>
    <w:rsid w:val="001E29B8"/>
    <w:rsid w:val="001E3BA2"/>
    <w:rsid w:val="001E3D66"/>
    <w:rsid w:val="001E47FA"/>
    <w:rsid w:val="001E4BE7"/>
    <w:rsid w:val="001E52C2"/>
    <w:rsid w:val="001E58A8"/>
    <w:rsid w:val="001E66BE"/>
    <w:rsid w:val="001E749C"/>
    <w:rsid w:val="001F085F"/>
    <w:rsid w:val="001F0E06"/>
    <w:rsid w:val="001F1F20"/>
    <w:rsid w:val="001F2F89"/>
    <w:rsid w:val="001F3CF9"/>
    <w:rsid w:val="001F409F"/>
    <w:rsid w:val="001F4630"/>
    <w:rsid w:val="001F4DA0"/>
    <w:rsid w:val="001F4F20"/>
    <w:rsid w:val="001F644B"/>
    <w:rsid w:val="001F75AB"/>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3703"/>
    <w:rsid w:val="002240C8"/>
    <w:rsid w:val="0022531F"/>
    <w:rsid w:val="00225A9F"/>
    <w:rsid w:val="002275B7"/>
    <w:rsid w:val="00227600"/>
    <w:rsid w:val="00230D1F"/>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AE0"/>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894"/>
    <w:rsid w:val="002D09B9"/>
    <w:rsid w:val="002D17C1"/>
    <w:rsid w:val="002D2073"/>
    <w:rsid w:val="002D233F"/>
    <w:rsid w:val="002D32D5"/>
    <w:rsid w:val="002D34FA"/>
    <w:rsid w:val="002D3ECE"/>
    <w:rsid w:val="002D4038"/>
    <w:rsid w:val="002D42C1"/>
    <w:rsid w:val="002D5B89"/>
    <w:rsid w:val="002D6DE8"/>
    <w:rsid w:val="002D743D"/>
    <w:rsid w:val="002D7BBA"/>
    <w:rsid w:val="002E04E4"/>
    <w:rsid w:val="002E14D0"/>
    <w:rsid w:val="002E16AA"/>
    <w:rsid w:val="002E198B"/>
    <w:rsid w:val="002E29D6"/>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BAD"/>
    <w:rsid w:val="003075E1"/>
    <w:rsid w:val="0030765F"/>
    <w:rsid w:val="00307D7F"/>
    <w:rsid w:val="003100B6"/>
    <w:rsid w:val="003110E9"/>
    <w:rsid w:val="00312155"/>
    <w:rsid w:val="00314744"/>
    <w:rsid w:val="0031585F"/>
    <w:rsid w:val="00320234"/>
    <w:rsid w:val="00320516"/>
    <w:rsid w:val="00320902"/>
    <w:rsid w:val="0032157E"/>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46"/>
    <w:rsid w:val="00386582"/>
    <w:rsid w:val="003874FF"/>
    <w:rsid w:val="00390503"/>
    <w:rsid w:val="00390748"/>
    <w:rsid w:val="00391056"/>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17F9"/>
    <w:rsid w:val="003E3803"/>
    <w:rsid w:val="003E482D"/>
    <w:rsid w:val="003E546D"/>
    <w:rsid w:val="003E59CB"/>
    <w:rsid w:val="003E5C19"/>
    <w:rsid w:val="003E6534"/>
    <w:rsid w:val="003E6A7A"/>
    <w:rsid w:val="003F0792"/>
    <w:rsid w:val="003F0A2B"/>
    <w:rsid w:val="003F0A32"/>
    <w:rsid w:val="003F1149"/>
    <w:rsid w:val="003F11DD"/>
    <w:rsid w:val="003F2817"/>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58B4"/>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17C"/>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588"/>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15F3"/>
    <w:rsid w:val="004D1B92"/>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3B9"/>
    <w:rsid w:val="004F66E4"/>
    <w:rsid w:val="0050136D"/>
    <w:rsid w:val="005015C6"/>
    <w:rsid w:val="00501946"/>
    <w:rsid w:val="0050316D"/>
    <w:rsid w:val="00503679"/>
    <w:rsid w:val="00503CF7"/>
    <w:rsid w:val="0050409E"/>
    <w:rsid w:val="00504A30"/>
    <w:rsid w:val="00504A98"/>
    <w:rsid w:val="005062F1"/>
    <w:rsid w:val="00506C08"/>
    <w:rsid w:val="005107B1"/>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57F"/>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DF6"/>
    <w:rsid w:val="00554FE6"/>
    <w:rsid w:val="005553CF"/>
    <w:rsid w:val="0055732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42"/>
    <w:rsid w:val="005941F7"/>
    <w:rsid w:val="00595B7B"/>
    <w:rsid w:val="005965FC"/>
    <w:rsid w:val="00596A10"/>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0777"/>
    <w:rsid w:val="005E1AA2"/>
    <w:rsid w:val="005E1D7F"/>
    <w:rsid w:val="005E2414"/>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1D1"/>
    <w:rsid w:val="005F738A"/>
    <w:rsid w:val="006013E3"/>
    <w:rsid w:val="00602659"/>
    <w:rsid w:val="00602CDD"/>
    <w:rsid w:val="00603A52"/>
    <w:rsid w:val="00603E3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67A"/>
    <w:rsid w:val="0062767B"/>
    <w:rsid w:val="00627801"/>
    <w:rsid w:val="00627A81"/>
    <w:rsid w:val="00630034"/>
    <w:rsid w:val="0063050C"/>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2F3"/>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51A"/>
    <w:rsid w:val="006A5B86"/>
    <w:rsid w:val="006A5EB2"/>
    <w:rsid w:val="006A645E"/>
    <w:rsid w:val="006A739E"/>
    <w:rsid w:val="006A7480"/>
    <w:rsid w:val="006B18F4"/>
    <w:rsid w:val="006B1EE2"/>
    <w:rsid w:val="006B1EFC"/>
    <w:rsid w:val="006B4A3D"/>
    <w:rsid w:val="006B4A86"/>
    <w:rsid w:val="006B50F4"/>
    <w:rsid w:val="006B5381"/>
    <w:rsid w:val="006B6AB5"/>
    <w:rsid w:val="006B7F63"/>
    <w:rsid w:val="006C0BF1"/>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03B"/>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682"/>
    <w:rsid w:val="00754FAF"/>
    <w:rsid w:val="007550AC"/>
    <w:rsid w:val="00757B63"/>
    <w:rsid w:val="0076051C"/>
    <w:rsid w:val="0076184E"/>
    <w:rsid w:val="007618B0"/>
    <w:rsid w:val="007640DA"/>
    <w:rsid w:val="00764A61"/>
    <w:rsid w:val="00764F78"/>
    <w:rsid w:val="00765912"/>
    <w:rsid w:val="00766B47"/>
    <w:rsid w:val="00767424"/>
    <w:rsid w:val="007677D3"/>
    <w:rsid w:val="00767953"/>
    <w:rsid w:val="00767E9C"/>
    <w:rsid w:val="0077193C"/>
    <w:rsid w:val="007739A3"/>
    <w:rsid w:val="007744DF"/>
    <w:rsid w:val="0077585D"/>
    <w:rsid w:val="007762E4"/>
    <w:rsid w:val="00776BDD"/>
    <w:rsid w:val="00777503"/>
    <w:rsid w:val="00777A99"/>
    <w:rsid w:val="00780375"/>
    <w:rsid w:val="0078042F"/>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D8A"/>
    <w:rsid w:val="00832EDB"/>
    <w:rsid w:val="00833CDD"/>
    <w:rsid w:val="008345A4"/>
    <w:rsid w:val="008355FB"/>
    <w:rsid w:val="00835685"/>
    <w:rsid w:val="00835D18"/>
    <w:rsid w:val="00835E67"/>
    <w:rsid w:val="00837CE6"/>
    <w:rsid w:val="00840193"/>
    <w:rsid w:val="00841AA1"/>
    <w:rsid w:val="00841B2E"/>
    <w:rsid w:val="00841DBC"/>
    <w:rsid w:val="008425F7"/>
    <w:rsid w:val="0084292C"/>
    <w:rsid w:val="00842A67"/>
    <w:rsid w:val="00843767"/>
    <w:rsid w:val="00843A65"/>
    <w:rsid w:val="00843F6D"/>
    <w:rsid w:val="0084400E"/>
    <w:rsid w:val="008445F5"/>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45"/>
    <w:rsid w:val="00864E69"/>
    <w:rsid w:val="0086617D"/>
    <w:rsid w:val="00866EC8"/>
    <w:rsid w:val="0087007A"/>
    <w:rsid w:val="008713F1"/>
    <w:rsid w:val="00871742"/>
    <w:rsid w:val="0087177D"/>
    <w:rsid w:val="008717A6"/>
    <w:rsid w:val="00872AB4"/>
    <w:rsid w:val="00874231"/>
    <w:rsid w:val="00874A97"/>
    <w:rsid w:val="00874B33"/>
    <w:rsid w:val="00875202"/>
    <w:rsid w:val="008763C9"/>
    <w:rsid w:val="0087767F"/>
    <w:rsid w:val="00877829"/>
    <w:rsid w:val="0088086D"/>
    <w:rsid w:val="00881417"/>
    <w:rsid w:val="008814A2"/>
    <w:rsid w:val="008827BF"/>
    <w:rsid w:val="00883A82"/>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CC4"/>
    <w:rsid w:val="008E411E"/>
    <w:rsid w:val="008E4129"/>
    <w:rsid w:val="008E4C96"/>
    <w:rsid w:val="008E4CC9"/>
    <w:rsid w:val="008E5033"/>
    <w:rsid w:val="008E5C56"/>
    <w:rsid w:val="008E60B7"/>
    <w:rsid w:val="008E66CC"/>
    <w:rsid w:val="008E72F4"/>
    <w:rsid w:val="008E76A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3D0B"/>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869"/>
    <w:rsid w:val="00956BBC"/>
    <w:rsid w:val="0096045F"/>
    <w:rsid w:val="0096082B"/>
    <w:rsid w:val="0096099B"/>
    <w:rsid w:val="00960D10"/>
    <w:rsid w:val="00961904"/>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37DC"/>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2F5"/>
    <w:rsid w:val="009C25E7"/>
    <w:rsid w:val="009C2990"/>
    <w:rsid w:val="009C2D5F"/>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5DE4"/>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301B3"/>
    <w:rsid w:val="00A304E0"/>
    <w:rsid w:val="00A30D84"/>
    <w:rsid w:val="00A30D9B"/>
    <w:rsid w:val="00A31117"/>
    <w:rsid w:val="00A31498"/>
    <w:rsid w:val="00A33517"/>
    <w:rsid w:val="00A3372C"/>
    <w:rsid w:val="00A34D7F"/>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901"/>
    <w:rsid w:val="00A67A81"/>
    <w:rsid w:val="00A706C2"/>
    <w:rsid w:val="00A707F4"/>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0ADE"/>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E109F"/>
    <w:rsid w:val="00AE11EF"/>
    <w:rsid w:val="00AE18A3"/>
    <w:rsid w:val="00AE2D05"/>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4A18"/>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7A6"/>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4BE"/>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2CDB"/>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5082"/>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1A0"/>
    <w:rsid w:val="00C33DAA"/>
    <w:rsid w:val="00C348BE"/>
    <w:rsid w:val="00C34C05"/>
    <w:rsid w:val="00C351B1"/>
    <w:rsid w:val="00C3568E"/>
    <w:rsid w:val="00C36870"/>
    <w:rsid w:val="00C3703E"/>
    <w:rsid w:val="00C41317"/>
    <w:rsid w:val="00C4141B"/>
    <w:rsid w:val="00C41A19"/>
    <w:rsid w:val="00C42758"/>
    <w:rsid w:val="00C4360B"/>
    <w:rsid w:val="00C43AB5"/>
    <w:rsid w:val="00C44D67"/>
    <w:rsid w:val="00C45977"/>
    <w:rsid w:val="00C45B14"/>
    <w:rsid w:val="00C466B9"/>
    <w:rsid w:val="00C46AA7"/>
    <w:rsid w:val="00C47A30"/>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4B8"/>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1E0C"/>
    <w:rsid w:val="00C9269B"/>
    <w:rsid w:val="00C92893"/>
    <w:rsid w:val="00C92C33"/>
    <w:rsid w:val="00C93D5D"/>
    <w:rsid w:val="00C94BA7"/>
    <w:rsid w:val="00C97182"/>
    <w:rsid w:val="00CA02C7"/>
    <w:rsid w:val="00CA0371"/>
    <w:rsid w:val="00CA107F"/>
    <w:rsid w:val="00CA19E0"/>
    <w:rsid w:val="00CA1E75"/>
    <w:rsid w:val="00CA23BC"/>
    <w:rsid w:val="00CA4031"/>
    <w:rsid w:val="00CA4FC1"/>
    <w:rsid w:val="00CA7099"/>
    <w:rsid w:val="00CA7619"/>
    <w:rsid w:val="00CB0762"/>
    <w:rsid w:val="00CB12E7"/>
    <w:rsid w:val="00CB1F35"/>
    <w:rsid w:val="00CB20CF"/>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7D9"/>
    <w:rsid w:val="00CF5A5B"/>
    <w:rsid w:val="00CF6A64"/>
    <w:rsid w:val="00CF6C2F"/>
    <w:rsid w:val="00CF7103"/>
    <w:rsid w:val="00CF718E"/>
    <w:rsid w:val="00CF7A4A"/>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5C0"/>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1E"/>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16DB"/>
    <w:rsid w:val="00DF1F16"/>
    <w:rsid w:val="00DF235E"/>
    <w:rsid w:val="00DF2365"/>
    <w:rsid w:val="00DF2877"/>
    <w:rsid w:val="00DF4220"/>
    <w:rsid w:val="00DF43B7"/>
    <w:rsid w:val="00DF56F7"/>
    <w:rsid w:val="00DF5FD5"/>
    <w:rsid w:val="00DF7380"/>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4CD0"/>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AC6"/>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64"/>
    <w:rsid w:val="00E91FB7"/>
    <w:rsid w:val="00E9212F"/>
    <w:rsid w:val="00E93CED"/>
    <w:rsid w:val="00E95DAA"/>
    <w:rsid w:val="00E95E37"/>
    <w:rsid w:val="00E96739"/>
    <w:rsid w:val="00E967D0"/>
    <w:rsid w:val="00E96881"/>
    <w:rsid w:val="00E96AC4"/>
    <w:rsid w:val="00E96B80"/>
    <w:rsid w:val="00E96CD3"/>
    <w:rsid w:val="00E972E3"/>
    <w:rsid w:val="00E97872"/>
    <w:rsid w:val="00EA0827"/>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B0B"/>
    <w:rsid w:val="00EB32D6"/>
    <w:rsid w:val="00EB43D8"/>
    <w:rsid w:val="00EB4875"/>
    <w:rsid w:val="00EB4BC1"/>
    <w:rsid w:val="00EB4EDF"/>
    <w:rsid w:val="00EB584C"/>
    <w:rsid w:val="00EB6286"/>
    <w:rsid w:val="00EB63F0"/>
    <w:rsid w:val="00EB6ED1"/>
    <w:rsid w:val="00EB7361"/>
    <w:rsid w:val="00EC11BA"/>
    <w:rsid w:val="00EC257A"/>
    <w:rsid w:val="00EC2A78"/>
    <w:rsid w:val="00EC305B"/>
    <w:rsid w:val="00EC33D1"/>
    <w:rsid w:val="00EC34EB"/>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923"/>
    <w:rsid w:val="00EE1BFC"/>
    <w:rsid w:val="00EE2734"/>
    <w:rsid w:val="00EE3653"/>
    <w:rsid w:val="00EE3F23"/>
    <w:rsid w:val="00EE4463"/>
    <w:rsid w:val="00EE50B0"/>
    <w:rsid w:val="00EE5E2D"/>
    <w:rsid w:val="00EE6927"/>
    <w:rsid w:val="00EF0CD5"/>
    <w:rsid w:val="00EF197F"/>
    <w:rsid w:val="00EF21A0"/>
    <w:rsid w:val="00EF23E7"/>
    <w:rsid w:val="00EF39A2"/>
    <w:rsid w:val="00EF432A"/>
    <w:rsid w:val="00EF4948"/>
    <w:rsid w:val="00EF6D9C"/>
    <w:rsid w:val="00EF70E8"/>
    <w:rsid w:val="00EF7161"/>
    <w:rsid w:val="00EF7248"/>
    <w:rsid w:val="00EF7A19"/>
    <w:rsid w:val="00F000A0"/>
    <w:rsid w:val="00F001C6"/>
    <w:rsid w:val="00F00FA9"/>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BDF"/>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7E2"/>
    <w:rsid w:val="00F51100"/>
    <w:rsid w:val="00F51779"/>
    <w:rsid w:val="00F52CF7"/>
    <w:rsid w:val="00F533AB"/>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5962"/>
    <w:rsid w:val="00F65D1E"/>
    <w:rsid w:val="00F66767"/>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A9D"/>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0FE"/>
    <w:rsid w:val="00FA64CC"/>
    <w:rsid w:val="00FA6A45"/>
    <w:rsid w:val="00FA6FAF"/>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48"/>
    <w:rsid w:val="00FF2A8A"/>
    <w:rsid w:val="00FF4DBE"/>
    <w:rsid w:val="00FF5974"/>
    <w:rsid w:val="00FF61C2"/>
    <w:rsid w:val="00FF7471"/>
    <w:rsid w:val="00FF79C6"/>
    <w:rsid w:val="00FF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7FAF6970-32B0-5343-858C-5172F393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 w:type="paragraph" w:customStyle="1" w:styleId="Norma1">
    <w:name w:val="Norma1"/>
    <w:qFormat/>
    <w:rsid w:val="009D5DE4"/>
    <w:pPr>
      <w:widowControl w:val="0"/>
      <w:overflowPunct w:val="0"/>
      <w:autoSpaceDE w:val="0"/>
      <w:autoSpaceDN w:val="0"/>
      <w:adjustRightInd w:val="0"/>
      <w:textAlignment w:val="baseline"/>
    </w:pPr>
    <w:rPr>
      <w:rFonts w:ascii="Arial" w:eastAsia="Times New Roman"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7647720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8287066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cc.org.uk/tackling-climate-change/preparing-for-climate-change/uk-climate-change-risk-assessment-2017/ccra-chapters/approach-and-contex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ic.org.uk/publications/preparing-for-a-drier-future-englands-water-infrastructure-needs/" TargetMode="External"/><Relationship Id="rId2" Type="http://schemas.openxmlformats.org/officeDocument/2006/relationships/hyperlink" Target="https://www.water.org.uk/water-resources-long-term-planning-framework" TargetMode="External"/><Relationship Id="rId1" Type="http://schemas.openxmlformats.org/officeDocument/2006/relationships/hyperlink" Target="https://www.theccc.org.uk/publication/climate-change-risk-assessment-ii-updated-projections-for-water-availability-for-the-uk/" TargetMode="External"/><Relationship Id="rId4" Type="http://schemas.openxmlformats.org/officeDocument/2006/relationships/hyperlink" Target="https://www.ofwat.gov.uk/publication/long-term-potential-deep-reductions-household-water-demand-report-artesia-consul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6930A-847E-4C64-BC40-A31E33DB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Style, David (CCC)</dc:creator>
  <cp:lastModifiedBy>Taylor, Sean</cp:lastModifiedBy>
  <cp:revision>2</cp:revision>
  <dcterms:created xsi:type="dcterms:W3CDTF">2018-07-31T09:29:00Z</dcterms:created>
  <dcterms:modified xsi:type="dcterms:W3CDTF">2018-07-31T09:29:00Z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GEAAO+/T9t20xwmnQ3LFEIvsgoQOmozGlZsFLiM1rwPX8UGGKrWGP73nmKl/0EtRVbtpwNwKxgNTRS1y
jwzb7Ngz//kRGhVbBKcpd5AgpbE80Qy9MEAN7+Ur/4vQ2u8nSNfXp3Fd1+nYXol4YXcVl0jphJ/r
Q46g1YbtwTIsJqDkTreCRh6ucLUyMBUsgvW2OjpGf6bLT9HTk+YKQ7L+cuWzcC4jInE+cPI1z2LI
OTm3QgbAnmAtfv7CH</vt:lpwstr>
  </property>
  <property fmtid="{D5CDD505-2E9C-101B-9397-08002B2CF9AE}" pid="3" name="MAIL_MSG_ID2">
    <vt:lpwstr>LIArJbDPqN7</vt:lpwstr>
  </property>
  <property fmtid="{D5CDD505-2E9C-101B-9397-08002B2CF9AE}" pid="4" name="RESPONSE_SENDER_NAME">
    <vt:lpwstr>gAAAdya76B99d4hLGUR1rQ+8TxTv0GGEPdix</vt:lpwstr>
  </property>
  <property fmtid="{D5CDD505-2E9C-101B-9397-08002B2CF9AE}" pid="5" name="EMAIL_OWNER_ADDRESS">
    <vt:lpwstr>ABAAmJ+7jnJ2eOUw1IrKLUe7t84MY4dOqZT5DB1LjnN1I9SSNqE1SIRSjIdZArC1+7jD</vt:lpwstr>
  </property>
</Properties>
</file>