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AA5F" w14:textId="77777777" w:rsidR="00A1578D" w:rsidRDefault="00F67787" w:rsidP="006637D9">
      <w:pPr>
        <w:jc w:val="center"/>
        <w:rPr>
          <w:b/>
          <w:sz w:val="28"/>
          <w:szCs w:val="28"/>
        </w:rPr>
      </w:pPr>
      <w:r>
        <w:rPr>
          <w:b/>
          <w:noProof/>
          <w:sz w:val="28"/>
          <w:szCs w:val="28"/>
        </w:rPr>
        <w:drawing>
          <wp:anchor distT="0" distB="0" distL="114300" distR="114300" simplePos="0" relativeHeight="251658240" behindDoc="0" locked="1" layoutInCell="0" allowOverlap="1" wp14:anchorId="5607B234" wp14:editId="004C69B5">
            <wp:simplePos x="0" y="0"/>
            <wp:positionH relativeFrom="page">
              <wp:posOffset>330835</wp:posOffset>
            </wp:positionH>
            <wp:positionV relativeFrom="topMargin">
              <wp:align>bottom</wp:align>
            </wp:positionV>
            <wp:extent cx="2292350" cy="502285"/>
            <wp:effectExtent l="0" t="0" r="0" b="0"/>
            <wp:wrapNone/>
            <wp:docPr id="1" name="Picture 1" descr="Procurement_logo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curement_logo_b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2350" cy="502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BC8D8" w14:textId="77777777" w:rsidR="00136562" w:rsidRPr="00A72C00" w:rsidRDefault="00136562" w:rsidP="00136562">
      <w:pPr>
        <w:tabs>
          <w:tab w:val="right" w:pos="9354"/>
        </w:tabs>
        <w:spacing w:before="120" w:after="120"/>
        <w:jc w:val="center"/>
        <w:rPr>
          <w:rFonts w:ascii="Helvetica" w:hAnsi="Helvetica" w:cs="Calibri"/>
          <w:b/>
          <w:color w:val="000000" w:themeColor="text1"/>
        </w:rPr>
      </w:pPr>
      <w:r w:rsidRPr="00A72C00">
        <w:rPr>
          <w:rFonts w:ascii="Helvetica" w:hAnsi="Helvetica" w:cs="Calibri"/>
          <w:b/>
          <w:color w:val="000000" w:themeColor="text1"/>
        </w:rPr>
        <w:t>Contract Award Report</w:t>
      </w:r>
    </w:p>
    <w:p w14:paraId="0D24C124" w14:textId="1F694D73" w:rsidR="00A1578D" w:rsidRPr="00A72C00" w:rsidRDefault="00165967" w:rsidP="00A1578D">
      <w:pPr>
        <w:jc w:val="center"/>
        <w:rPr>
          <w:b/>
          <w:color w:val="000000" w:themeColor="text1"/>
          <w:sz w:val="28"/>
          <w:szCs w:val="28"/>
        </w:rPr>
      </w:pPr>
      <w:bookmarkStart w:id="0" w:name="_GoBack"/>
      <w:r w:rsidRPr="00165967">
        <w:rPr>
          <w:rFonts w:ascii="Helvetica" w:hAnsi="Helvetica" w:cs="Calibri"/>
          <w:b/>
          <w:color w:val="000000" w:themeColor="text1"/>
        </w:rPr>
        <w:t>prj_4742</w:t>
      </w:r>
      <w:r>
        <w:rPr>
          <w:rFonts w:ascii="Helvetica" w:hAnsi="Helvetica" w:cs="Calibri"/>
          <w:b/>
          <w:color w:val="000000" w:themeColor="text1"/>
        </w:rPr>
        <w:t xml:space="preserve"> </w:t>
      </w:r>
      <w:bookmarkEnd w:id="0"/>
      <w:r w:rsidR="00A1578D" w:rsidRPr="00A72C00">
        <w:rPr>
          <w:rFonts w:ascii="Helvetica" w:hAnsi="Helvetica" w:cs="Calibri"/>
          <w:b/>
          <w:color w:val="000000" w:themeColor="text1"/>
        </w:rPr>
        <w:t>MoJ Digital &amp; Technology - Accessibility Testing &amp; Quality Assurance Service</w:t>
      </w:r>
    </w:p>
    <w:p w14:paraId="56123E2B" w14:textId="77777777" w:rsidR="00A1578D" w:rsidRPr="00A72C00" w:rsidRDefault="00A1578D" w:rsidP="006637D9">
      <w:pPr>
        <w:jc w:val="center"/>
        <w:rPr>
          <w:b/>
          <w:color w:val="000000" w:themeColor="text1"/>
          <w:sz w:val="28"/>
          <w:szCs w:val="28"/>
        </w:rPr>
      </w:pPr>
    </w:p>
    <w:p w14:paraId="14E7EB63" w14:textId="77777777" w:rsidR="00A1578D" w:rsidRPr="00A72C00" w:rsidRDefault="00A1578D" w:rsidP="001E2BF3">
      <w:pPr>
        <w:jc w:val="both"/>
        <w:rPr>
          <w:b/>
          <w:color w:val="000000" w:themeColor="text1"/>
        </w:rPr>
      </w:pPr>
    </w:p>
    <w:p w14:paraId="05B13EB2" w14:textId="77777777" w:rsidR="00FD597D" w:rsidRPr="00A72C00" w:rsidRDefault="00A04CC8" w:rsidP="00FD597D">
      <w:pPr>
        <w:jc w:val="both"/>
        <w:rPr>
          <w:b/>
          <w:color w:val="000000" w:themeColor="text1"/>
        </w:rPr>
      </w:pPr>
      <w:r w:rsidRPr="00A72C00">
        <w:rPr>
          <w:b/>
          <w:color w:val="000000" w:themeColor="text1"/>
        </w:rPr>
        <w:t>Executive Summary</w:t>
      </w:r>
    </w:p>
    <w:p w14:paraId="7BBEE90F" w14:textId="15222DA1" w:rsidR="00A04CC8" w:rsidRPr="00A72C00" w:rsidRDefault="00A04CC8" w:rsidP="00FD597D">
      <w:pPr>
        <w:jc w:val="both"/>
        <w:rPr>
          <w:rFonts w:ascii="Calibri" w:eastAsia="Times New Roman" w:hAnsi="Calibri" w:cs="Calibri"/>
          <w:color w:val="000000" w:themeColor="text1"/>
          <w:lang w:eastAsia="en-GB"/>
        </w:rPr>
      </w:pPr>
      <w:r w:rsidRPr="00A72C00">
        <w:rPr>
          <w:rFonts w:ascii="Calibri" w:eastAsia="Times New Roman" w:hAnsi="Calibri" w:cs="Calibri"/>
          <w:color w:val="000000" w:themeColor="text1"/>
          <w:lang w:eastAsia="en-GB"/>
        </w:rPr>
        <w:t xml:space="preserve">The purpose of this document is to report the outcome of a </w:t>
      </w:r>
      <w:r w:rsidR="00AC7278">
        <w:rPr>
          <w:rFonts w:ascii="Calibri" w:eastAsia="Times New Roman" w:hAnsi="Calibri" w:cs="Calibri"/>
          <w:color w:val="000000" w:themeColor="text1"/>
          <w:lang w:eastAsia="en-GB"/>
        </w:rPr>
        <w:t xml:space="preserve">procurement </w:t>
      </w:r>
      <w:r w:rsidRPr="00A72C00">
        <w:rPr>
          <w:rFonts w:ascii="Calibri" w:eastAsia="Times New Roman" w:hAnsi="Calibri" w:cs="Calibri"/>
          <w:color w:val="000000" w:themeColor="text1"/>
          <w:lang w:eastAsia="en-GB"/>
        </w:rPr>
        <w:t xml:space="preserve">for the provision of a central digital accessibility contract </w:t>
      </w:r>
      <w:r w:rsidR="00CB0DD6" w:rsidRPr="00A72C00">
        <w:rPr>
          <w:rFonts w:ascii="Calibri" w:eastAsia="Times New Roman" w:hAnsi="Calibri" w:cs="Calibri"/>
          <w:color w:val="000000" w:themeColor="text1"/>
          <w:lang w:eastAsia="en-GB"/>
        </w:rPr>
        <w:t>and to</w:t>
      </w:r>
      <w:r w:rsidRPr="00A72C00">
        <w:rPr>
          <w:rFonts w:ascii="Calibri" w:eastAsia="Times New Roman" w:hAnsi="Calibri" w:cs="Calibri"/>
          <w:color w:val="000000" w:themeColor="text1"/>
          <w:lang w:eastAsia="en-GB"/>
        </w:rPr>
        <w:t xml:space="preserve"> </w:t>
      </w:r>
      <w:r w:rsidR="00A72C00">
        <w:rPr>
          <w:rFonts w:ascii="Calibri" w:eastAsia="Times New Roman" w:hAnsi="Calibri" w:cs="Calibri"/>
          <w:color w:val="000000" w:themeColor="text1"/>
          <w:lang w:eastAsia="en-GB"/>
        </w:rPr>
        <w:t xml:space="preserve">confirm the winning bidder </w:t>
      </w:r>
      <w:r w:rsidR="00AC7278">
        <w:rPr>
          <w:rFonts w:ascii="Calibri" w:eastAsia="Times New Roman" w:hAnsi="Calibri" w:cs="Calibri"/>
          <w:color w:val="000000" w:themeColor="text1"/>
          <w:lang w:eastAsia="en-GB"/>
        </w:rPr>
        <w:t xml:space="preserve">as </w:t>
      </w:r>
      <w:r w:rsidRPr="00EE1829">
        <w:rPr>
          <w:rFonts w:ascii="Calibri" w:eastAsia="Times New Roman" w:hAnsi="Calibri" w:cs="Calibri"/>
          <w:b/>
          <w:color w:val="000000" w:themeColor="text1"/>
          <w:lang w:eastAsia="en-GB"/>
        </w:rPr>
        <w:t>Digital Accessibility Centre Ltd</w:t>
      </w:r>
      <w:r w:rsidRPr="00A72C00">
        <w:rPr>
          <w:rFonts w:ascii="Calibri" w:eastAsia="Times New Roman" w:hAnsi="Calibri" w:cs="Calibri"/>
          <w:color w:val="000000" w:themeColor="text1"/>
          <w:lang w:eastAsia="en-GB"/>
        </w:rPr>
        <w:t xml:space="preserve">.  The contract has been </w:t>
      </w:r>
      <w:r w:rsidR="00AC7278">
        <w:rPr>
          <w:rFonts w:ascii="Calibri" w:eastAsia="Times New Roman" w:hAnsi="Calibri" w:cs="Calibri"/>
          <w:color w:val="000000" w:themeColor="text1"/>
          <w:lang w:eastAsia="en-GB"/>
        </w:rPr>
        <w:t xml:space="preserve">procured </w:t>
      </w:r>
      <w:r w:rsidRPr="00A72C00">
        <w:rPr>
          <w:rFonts w:ascii="Calibri" w:eastAsia="Times New Roman" w:hAnsi="Calibri" w:cs="Calibri"/>
          <w:color w:val="000000" w:themeColor="text1"/>
          <w:lang w:eastAsia="en-GB"/>
        </w:rPr>
        <w:t>and will be awarded as a call off under the Crown Commercial Service Framework, G-Cloud 11 Framework Agreement (RM1557.11).</w:t>
      </w:r>
    </w:p>
    <w:p w14:paraId="65FFDFB4" w14:textId="77777777" w:rsidR="00822FA5" w:rsidRPr="00A72C00" w:rsidRDefault="00822FA5" w:rsidP="00FD597D">
      <w:pPr>
        <w:jc w:val="both"/>
        <w:rPr>
          <w:rFonts w:ascii="Calibri" w:eastAsia="Times New Roman" w:hAnsi="Calibri" w:cs="Calibri"/>
          <w:color w:val="000000" w:themeColor="text1"/>
          <w:lang w:eastAsia="en-GB"/>
        </w:rPr>
      </w:pPr>
    </w:p>
    <w:p w14:paraId="2435F4F4" w14:textId="77777777" w:rsidR="00822FA5" w:rsidRPr="00A72C00" w:rsidRDefault="00822FA5" w:rsidP="00822FA5">
      <w:pPr>
        <w:autoSpaceDE w:val="0"/>
        <w:autoSpaceDN w:val="0"/>
        <w:adjustRightInd w:val="0"/>
        <w:rPr>
          <w:rFonts w:ascii="Calibri" w:eastAsia="Times New Roman" w:hAnsi="Calibri" w:cs="Calibri"/>
          <w:color w:val="000000" w:themeColor="text1"/>
          <w:lang w:eastAsia="en-GB"/>
        </w:rPr>
      </w:pPr>
      <w:r w:rsidRPr="00A72C00">
        <w:rPr>
          <w:color w:val="000000" w:themeColor="text1"/>
        </w:rPr>
        <w:t>The requirement for this procurement is to ensure compliance wi</w:t>
      </w:r>
      <w:r w:rsidRPr="00A72C00">
        <w:rPr>
          <w:rFonts w:ascii="Calibri" w:eastAsia="Times New Roman" w:hAnsi="Calibri" w:cs="Calibri"/>
          <w:color w:val="000000" w:themeColor="text1"/>
          <w:lang w:eastAsia="en-GB"/>
        </w:rPr>
        <w:t>th Public Sector Bodies (Websites and Mobile Applications) (No. 2) Accessibility Regulations 2018</w:t>
      </w:r>
      <w:r w:rsidR="00A72C00">
        <w:rPr>
          <w:rFonts w:ascii="Calibri" w:eastAsia="Times New Roman" w:hAnsi="Calibri" w:cs="Calibri"/>
          <w:color w:val="000000" w:themeColor="text1"/>
          <w:lang w:eastAsia="en-GB"/>
        </w:rPr>
        <w:t>. To comply with these regulations</w:t>
      </w:r>
      <w:r w:rsidRPr="00A72C00">
        <w:rPr>
          <w:rFonts w:ascii="Calibri" w:eastAsia="Times New Roman" w:hAnsi="Calibri" w:cs="Calibri"/>
          <w:color w:val="000000" w:themeColor="text1"/>
          <w:lang w:eastAsia="en-GB"/>
        </w:rPr>
        <w:t xml:space="preserve"> the Ministry of Justice needs to ensure that its websites and mobile applications meet the international WCAG 2.1 AA accessibility standard. This standard ensures that Government digital services and websites can be successfully accessed by users of assistive technology. Key dates below:</w:t>
      </w:r>
    </w:p>
    <w:p w14:paraId="4502F215" w14:textId="77777777" w:rsidR="00822FA5" w:rsidRPr="00A72C00" w:rsidRDefault="00822FA5" w:rsidP="00822FA5">
      <w:pPr>
        <w:autoSpaceDE w:val="0"/>
        <w:autoSpaceDN w:val="0"/>
        <w:adjustRightInd w:val="0"/>
        <w:rPr>
          <w:rFonts w:ascii="Calibri" w:eastAsia="Times New Roman" w:hAnsi="Calibri" w:cs="Calibri"/>
          <w:color w:val="000000" w:themeColor="text1"/>
          <w:lang w:eastAsia="en-GB"/>
        </w:rPr>
      </w:pPr>
    </w:p>
    <w:p w14:paraId="1D0DE75F" w14:textId="77777777" w:rsidR="00822FA5" w:rsidRPr="00A72C00" w:rsidRDefault="00822FA5" w:rsidP="00822FA5">
      <w:pPr>
        <w:pStyle w:val="ListParagraph"/>
        <w:numPr>
          <w:ilvl w:val="0"/>
          <w:numId w:val="11"/>
        </w:numPr>
        <w:autoSpaceDE w:val="0"/>
        <w:autoSpaceDN w:val="0"/>
        <w:adjustRightInd w:val="0"/>
        <w:rPr>
          <w:rFonts w:ascii="Calibri" w:eastAsia="Times New Roman" w:hAnsi="Calibri" w:cs="Calibri"/>
          <w:color w:val="000000" w:themeColor="text1"/>
          <w:lang w:eastAsia="en-GB"/>
        </w:rPr>
      </w:pPr>
      <w:r w:rsidRPr="00A72C00">
        <w:rPr>
          <w:rFonts w:ascii="Calibri" w:eastAsia="Times New Roman" w:hAnsi="Calibri" w:cs="Calibri"/>
          <w:color w:val="000000" w:themeColor="text1"/>
          <w:lang w:eastAsia="en-GB"/>
        </w:rPr>
        <w:t>Public sector websites created before 23 September 2018 will need to comply with the requirements from 23 September 2020.</w:t>
      </w:r>
    </w:p>
    <w:p w14:paraId="3971F5E3" w14:textId="77777777" w:rsidR="00822FA5" w:rsidRPr="00A72C00" w:rsidRDefault="00822FA5" w:rsidP="00822FA5">
      <w:pPr>
        <w:pStyle w:val="ListParagraph"/>
        <w:numPr>
          <w:ilvl w:val="0"/>
          <w:numId w:val="11"/>
        </w:numPr>
        <w:autoSpaceDE w:val="0"/>
        <w:autoSpaceDN w:val="0"/>
        <w:adjustRightInd w:val="0"/>
        <w:rPr>
          <w:rFonts w:ascii="Calibri" w:eastAsia="Times New Roman" w:hAnsi="Calibri" w:cs="Calibri"/>
          <w:color w:val="000000" w:themeColor="text1"/>
          <w:lang w:eastAsia="en-GB"/>
        </w:rPr>
      </w:pPr>
      <w:r w:rsidRPr="00A72C00">
        <w:rPr>
          <w:rFonts w:ascii="Calibri" w:eastAsia="Times New Roman" w:hAnsi="Calibri" w:cs="Calibri"/>
          <w:color w:val="000000" w:themeColor="text1"/>
          <w:lang w:eastAsia="en-GB"/>
        </w:rPr>
        <w:t>Public sector mobile applications will need to comply with the requirements from 23 June 2021.</w:t>
      </w:r>
    </w:p>
    <w:p w14:paraId="63F2DF27" w14:textId="77777777" w:rsidR="00822FA5" w:rsidRPr="00A72C00" w:rsidRDefault="00822FA5" w:rsidP="00822FA5">
      <w:pPr>
        <w:autoSpaceDE w:val="0"/>
        <w:autoSpaceDN w:val="0"/>
        <w:adjustRightInd w:val="0"/>
        <w:rPr>
          <w:rFonts w:ascii="Calibri" w:eastAsia="Times New Roman" w:hAnsi="Calibri" w:cs="Calibri"/>
          <w:color w:val="000000" w:themeColor="text1"/>
          <w:lang w:eastAsia="en-GB"/>
        </w:rPr>
      </w:pPr>
    </w:p>
    <w:p w14:paraId="7767C543" w14:textId="77777777" w:rsidR="00822FA5" w:rsidRPr="00A72C00" w:rsidRDefault="00822FA5" w:rsidP="00822FA5">
      <w:pPr>
        <w:autoSpaceDE w:val="0"/>
        <w:autoSpaceDN w:val="0"/>
        <w:adjustRightInd w:val="0"/>
        <w:rPr>
          <w:rFonts w:ascii="Calibri" w:eastAsia="Times New Roman" w:hAnsi="Calibri" w:cs="Calibri"/>
          <w:color w:val="000000" w:themeColor="text1"/>
          <w:lang w:eastAsia="en-GB"/>
        </w:rPr>
      </w:pPr>
      <w:r w:rsidRPr="00A72C00">
        <w:rPr>
          <w:rFonts w:ascii="Calibri" w:eastAsia="Times New Roman" w:hAnsi="Calibri" w:cs="Calibri"/>
          <w:color w:val="000000" w:themeColor="text1"/>
          <w:lang w:eastAsia="en-GB"/>
        </w:rPr>
        <w:t>MOJ Digital and Technology do not have the skills and expertise in-house to carry out WCAG 2.1 audits. Procuring these services on a case-by-case basis will be time-consuming and put our ability to have our highest profile / traffic services compliant by the September 2020 deadline. Delivery of new services will likewise be delayed if teams are required to procure individual assessments.</w:t>
      </w:r>
    </w:p>
    <w:p w14:paraId="6307A355" w14:textId="77777777" w:rsidR="00822FA5" w:rsidRPr="00A72C00" w:rsidRDefault="00822FA5" w:rsidP="00FD597D">
      <w:pPr>
        <w:jc w:val="both"/>
        <w:rPr>
          <w:rFonts w:ascii="Calibri" w:eastAsia="Times New Roman" w:hAnsi="Calibri" w:cs="Calibri"/>
          <w:color w:val="000000" w:themeColor="text1"/>
          <w:lang w:eastAsia="en-GB"/>
        </w:rPr>
      </w:pPr>
    </w:p>
    <w:p w14:paraId="44F63083" w14:textId="3D77DE8B" w:rsidR="00A04CC8" w:rsidRPr="00A72C00" w:rsidRDefault="00A04CC8" w:rsidP="00FD597D">
      <w:pPr>
        <w:jc w:val="both"/>
        <w:rPr>
          <w:b/>
          <w:color w:val="000000" w:themeColor="text1"/>
        </w:rPr>
      </w:pPr>
      <w:r w:rsidRPr="00A72C00">
        <w:rPr>
          <w:rFonts w:ascii="Calibri" w:eastAsia="Times New Roman" w:hAnsi="Calibri" w:cs="Calibri"/>
          <w:color w:val="000000" w:themeColor="text1"/>
          <w:lang w:eastAsia="en-GB"/>
        </w:rPr>
        <w:t>As the requirement was for a short, flexible Cloud-</w:t>
      </w:r>
      <w:r w:rsidR="00CB0DD6" w:rsidRPr="00A72C00">
        <w:rPr>
          <w:rFonts w:ascii="Calibri" w:eastAsia="Times New Roman" w:hAnsi="Calibri" w:cs="Calibri"/>
          <w:color w:val="000000" w:themeColor="text1"/>
          <w:lang w:eastAsia="en-GB"/>
        </w:rPr>
        <w:t>based service</w:t>
      </w:r>
      <w:r w:rsidRPr="00A72C00">
        <w:rPr>
          <w:rFonts w:ascii="Calibri" w:eastAsia="Times New Roman" w:hAnsi="Calibri" w:cs="Calibri"/>
          <w:color w:val="000000" w:themeColor="text1"/>
          <w:lang w:eastAsia="en-GB"/>
        </w:rPr>
        <w:t xml:space="preserve"> the G Cloud framework was selected as the procurement route.</w:t>
      </w:r>
      <w:r w:rsidR="00CB0DD6" w:rsidRPr="00A72C00">
        <w:rPr>
          <w:rFonts w:ascii="Calibri" w:eastAsia="Times New Roman" w:hAnsi="Calibri" w:cs="Calibri"/>
          <w:color w:val="000000" w:themeColor="text1"/>
          <w:lang w:eastAsia="en-GB"/>
        </w:rPr>
        <w:t xml:space="preserve"> The choice was made to undertake a ‘Desk top’ Benchmarking exercise </w:t>
      </w:r>
      <w:r w:rsidR="00AC7278">
        <w:rPr>
          <w:rFonts w:ascii="Calibri" w:eastAsia="Times New Roman" w:hAnsi="Calibri" w:cs="Calibri"/>
          <w:color w:val="000000" w:themeColor="text1"/>
          <w:lang w:eastAsia="en-GB"/>
        </w:rPr>
        <w:t xml:space="preserve">to determine the best fit service offering. </w:t>
      </w:r>
    </w:p>
    <w:p w14:paraId="33AFDC4B" w14:textId="6CCD3396" w:rsidR="00822FA5" w:rsidRPr="00A72C00" w:rsidRDefault="00822FA5" w:rsidP="00822FA5">
      <w:pPr>
        <w:jc w:val="both"/>
        <w:rPr>
          <w:rFonts w:ascii="Calibri" w:eastAsia="Times New Roman" w:hAnsi="Calibri" w:cs="Calibri"/>
          <w:color w:val="000000" w:themeColor="text1"/>
          <w:lang w:eastAsia="en-GB"/>
        </w:rPr>
      </w:pPr>
      <w:r w:rsidRPr="00A72C00">
        <w:rPr>
          <w:rFonts w:ascii="Calibri" w:eastAsia="Times New Roman" w:hAnsi="Calibri" w:cs="Calibri"/>
          <w:color w:val="000000" w:themeColor="text1"/>
          <w:lang w:eastAsia="en-GB"/>
        </w:rPr>
        <w:t xml:space="preserve">Twenty Nine G Cloud </w:t>
      </w:r>
      <w:r w:rsidR="00AC7278">
        <w:rPr>
          <w:rFonts w:ascii="Calibri" w:eastAsia="Times New Roman" w:hAnsi="Calibri" w:cs="Calibri"/>
          <w:color w:val="000000" w:themeColor="text1"/>
          <w:lang w:eastAsia="en-GB"/>
        </w:rPr>
        <w:t xml:space="preserve">services </w:t>
      </w:r>
      <w:r w:rsidRPr="00A72C00">
        <w:rPr>
          <w:rFonts w:ascii="Calibri" w:eastAsia="Times New Roman" w:hAnsi="Calibri" w:cs="Calibri"/>
          <w:color w:val="000000" w:themeColor="text1"/>
          <w:lang w:eastAsia="en-GB"/>
        </w:rPr>
        <w:t>were long listed for comparison.</w:t>
      </w:r>
      <w:r w:rsidR="00743293">
        <w:rPr>
          <w:rFonts w:ascii="Calibri" w:eastAsia="Times New Roman" w:hAnsi="Calibri" w:cs="Calibri"/>
          <w:color w:val="000000" w:themeColor="text1"/>
          <w:lang w:eastAsia="en-GB"/>
        </w:rPr>
        <w:t xml:space="preserve"> Service offerings </w:t>
      </w:r>
      <w:r w:rsidR="00FD1F47">
        <w:rPr>
          <w:rFonts w:ascii="Calibri" w:eastAsia="Times New Roman" w:hAnsi="Calibri" w:cs="Calibri"/>
          <w:color w:val="000000" w:themeColor="text1"/>
          <w:lang w:eastAsia="en-GB"/>
        </w:rPr>
        <w:t xml:space="preserve">that could </w:t>
      </w:r>
      <w:r w:rsidR="00743293">
        <w:rPr>
          <w:rFonts w:ascii="Calibri" w:eastAsia="Times New Roman" w:hAnsi="Calibri" w:cs="Calibri"/>
          <w:color w:val="000000" w:themeColor="text1"/>
          <w:lang w:eastAsia="en-GB"/>
        </w:rPr>
        <w:t xml:space="preserve">were not </w:t>
      </w:r>
      <w:r w:rsidRPr="00A72C00">
        <w:rPr>
          <w:rFonts w:ascii="Calibri" w:eastAsia="Times New Roman" w:hAnsi="Calibri" w:cs="Calibri"/>
          <w:color w:val="000000" w:themeColor="text1"/>
          <w:lang w:eastAsia="en-GB"/>
        </w:rPr>
        <w:t xml:space="preserve">able to provide real users with accessibility needs to test the services </w:t>
      </w:r>
      <w:r w:rsidR="00743293">
        <w:rPr>
          <w:rFonts w:ascii="Calibri" w:eastAsia="Times New Roman" w:hAnsi="Calibri" w:cs="Calibri"/>
          <w:color w:val="000000" w:themeColor="text1"/>
          <w:lang w:eastAsia="en-GB"/>
        </w:rPr>
        <w:t>(</w:t>
      </w:r>
      <w:r w:rsidRPr="00A72C00">
        <w:rPr>
          <w:rFonts w:ascii="Calibri" w:eastAsia="Times New Roman" w:hAnsi="Calibri" w:cs="Calibri"/>
          <w:color w:val="000000" w:themeColor="text1"/>
          <w:lang w:eastAsia="en-GB"/>
        </w:rPr>
        <w:t>rather than solely relying on automated accessibility testing tools</w:t>
      </w:r>
      <w:r w:rsidR="00743293">
        <w:rPr>
          <w:rFonts w:ascii="Calibri" w:eastAsia="Times New Roman" w:hAnsi="Calibri" w:cs="Calibri"/>
          <w:color w:val="000000" w:themeColor="text1"/>
          <w:lang w:eastAsia="en-GB"/>
        </w:rPr>
        <w:t>) were deselected. The final short listed services included the following:</w:t>
      </w:r>
      <w:r w:rsidRPr="00A72C00">
        <w:rPr>
          <w:rFonts w:ascii="Calibri" w:eastAsia="Times New Roman" w:hAnsi="Calibri" w:cs="Calibri"/>
          <w:color w:val="000000" w:themeColor="text1"/>
          <w:lang w:eastAsia="en-GB"/>
        </w:rPr>
        <w:t xml:space="preserve">. </w:t>
      </w:r>
    </w:p>
    <w:p w14:paraId="7CA306C1" w14:textId="77777777" w:rsidR="00F67787" w:rsidRDefault="00F67787" w:rsidP="00822FA5">
      <w:pPr>
        <w:jc w:val="both"/>
        <w:rPr>
          <w:rFonts w:ascii="Calibri" w:eastAsia="Times New Roman" w:hAnsi="Calibri" w:cs="Calibri"/>
          <w:color w:val="FF0000"/>
          <w:lang w:eastAsia="en-GB"/>
        </w:rPr>
      </w:pPr>
    </w:p>
    <w:tbl>
      <w:tblPr>
        <w:tblStyle w:val="TableGrid"/>
        <w:tblW w:w="0" w:type="auto"/>
        <w:tblLook w:val="04A0" w:firstRow="1" w:lastRow="0" w:firstColumn="1" w:lastColumn="0" w:noHBand="0" w:noVBand="1"/>
      </w:tblPr>
      <w:tblGrid>
        <w:gridCol w:w="1484"/>
        <w:gridCol w:w="3970"/>
        <w:gridCol w:w="3556"/>
        <w:tblGridChange w:id="1">
          <w:tblGrid>
            <w:gridCol w:w="1484"/>
            <w:gridCol w:w="3970"/>
            <w:gridCol w:w="3556"/>
          </w:tblGrid>
        </w:tblGridChange>
      </w:tblGrid>
      <w:tr w:rsidR="00165967" w:rsidRPr="00165967" w14:paraId="6BD973E4" w14:textId="77777777" w:rsidTr="00165967">
        <w:trPr>
          <w:trHeight w:val="495"/>
        </w:trPr>
        <w:tc>
          <w:tcPr>
            <w:tcW w:w="1700" w:type="dxa"/>
            <w:shd w:val="clear" w:color="auto" w:fill="D9E2F3" w:themeFill="accent1" w:themeFillTint="33"/>
            <w:hideMark/>
          </w:tcPr>
          <w:p w14:paraId="6690663F" w14:textId="77777777" w:rsidR="00165967" w:rsidRPr="00165967" w:rsidRDefault="00165967" w:rsidP="00165967">
            <w:pPr>
              <w:jc w:val="both"/>
              <w:rPr>
                <w:rFonts w:ascii="Calibri" w:eastAsia="Times New Roman" w:hAnsi="Calibri" w:cs="Calibri"/>
                <w:color w:val="000000" w:themeColor="text1"/>
                <w:lang w:eastAsia="en-GB"/>
              </w:rPr>
            </w:pPr>
            <w:r w:rsidRPr="00165967">
              <w:rPr>
                <w:rFonts w:ascii="Calibri" w:eastAsia="Times New Roman" w:hAnsi="Calibri" w:cs="Calibri"/>
                <w:color w:val="000000" w:themeColor="text1"/>
                <w:lang w:eastAsia="en-GB"/>
              </w:rPr>
              <w:t xml:space="preserve">Supplier </w:t>
            </w:r>
          </w:p>
        </w:tc>
        <w:tc>
          <w:tcPr>
            <w:tcW w:w="5420" w:type="dxa"/>
            <w:shd w:val="clear" w:color="auto" w:fill="D9E2F3" w:themeFill="accent1" w:themeFillTint="33"/>
            <w:hideMark/>
          </w:tcPr>
          <w:p w14:paraId="4CAF6F5B" w14:textId="77777777" w:rsidR="00165967" w:rsidRPr="00165967" w:rsidRDefault="00165967" w:rsidP="00165967">
            <w:pPr>
              <w:jc w:val="both"/>
              <w:rPr>
                <w:rFonts w:ascii="Calibri" w:eastAsia="Times New Roman" w:hAnsi="Calibri" w:cs="Calibri"/>
                <w:color w:val="000000" w:themeColor="text1"/>
                <w:lang w:eastAsia="en-GB"/>
              </w:rPr>
            </w:pPr>
            <w:r w:rsidRPr="00165967">
              <w:rPr>
                <w:rFonts w:ascii="Calibri" w:eastAsia="Times New Roman" w:hAnsi="Calibri" w:cs="Calibri"/>
                <w:color w:val="000000" w:themeColor="text1"/>
                <w:lang w:eastAsia="en-GB"/>
              </w:rPr>
              <w:t xml:space="preserve">Service </w:t>
            </w:r>
          </w:p>
        </w:tc>
        <w:tc>
          <w:tcPr>
            <w:tcW w:w="4520" w:type="dxa"/>
            <w:shd w:val="clear" w:color="auto" w:fill="D9E2F3" w:themeFill="accent1" w:themeFillTint="33"/>
            <w:hideMark/>
          </w:tcPr>
          <w:p w14:paraId="014FC231" w14:textId="77777777" w:rsidR="00165967" w:rsidRPr="00165967" w:rsidRDefault="00165967" w:rsidP="00165967">
            <w:pPr>
              <w:jc w:val="both"/>
              <w:rPr>
                <w:rFonts w:ascii="Calibri" w:eastAsia="Times New Roman" w:hAnsi="Calibri" w:cs="Calibri"/>
                <w:color w:val="000000" w:themeColor="text1"/>
                <w:lang w:eastAsia="en-GB"/>
              </w:rPr>
            </w:pPr>
            <w:r w:rsidRPr="00165967">
              <w:rPr>
                <w:rFonts w:ascii="Calibri" w:eastAsia="Times New Roman" w:hAnsi="Calibri" w:cs="Calibri"/>
                <w:color w:val="000000" w:themeColor="text1"/>
                <w:lang w:eastAsia="en-GB"/>
              </w:rPr>
              <w:t>Service ID</w:t>
            </w:r>
          </w:p>
        </w:tc>
      </w:tr>
      <w:tr w:rsidR="00165967" w:rsidRPr="00165967" w14:paraId="7A82345D" w14:textId="77777777" w:rsidTr="00165967">
        <w:trPr>
          <w:trHeight w:val="675"/>
        </w:trPr>
        <w:tc>
          <w:tcPr>
            <w:tcW w:w="1700" w:type="dxa"/>
            <w:hideMark/>
          </w:tcPr>
          <w:p w14:paraId="103FE479" w14:textId="77777777" w:rsidR="00165967" w:rsidRPr="00165967" w:rsidRDefault="00165967" w:rsidP="00165967">
            <w:pPr>
              <w:jc w:val="both"/>
              <w:rPr>
                <w:rFonts w:ascii="Calibri" w:eastAsia="Times New Roman" w:hAnsi="Calibri" w:cs="Calibri"/>
                <w:color w:val="000000" w:themeColor="text1"/>
                <w:sz w:val="22"/>
                <w:lang w:eastAsia="en-GB"/>
              </w:rPr>
            </w:pPr>
            <w:r w:rsidRPr="00165967">
              <w:rPr>
                <w:rFonts w:ascii="Calibri" w:eastAsia="Times New Roman" w:hAnsi="Calibri" w:cs="Calibri"/>
                <w:color w:val="000000" w:themeColor="text1"/>
                <w:sz w:val="22"/>
                <w:lang w:eastAsia="en-GB"/>
              </w:rPr>
              <w:t>DAC</w:t>
            </w:r>
          </w:p>
        </w:tc>
        <w:tc>
          <w:tcPr>
            <w:tcW w:w="5420" w:type="dxa"/>
            <w:hideMark/>
          </w:tcPr>
          <w:p w14:paraId="7E2CB186" w14:textId="77777777" w:rsidR="00165967" w:rsidRPr="00165967" w:rsidRDefault="00165967" w:rsidP="00165967">
            <w:pPr>
              <w:jc w:val="both"/>
              <w:rPr>
                <w:rFonts w:ascii="Calibri" w:eastAsia="Times New Roman" w:hAnsi="Calibri" w:cs="Calibri"/>
                <w:color w:val="000000" w:themeColor="text1"/>
                <w:sz w:val="22"/>
                <w:lang w:eastAsia="en-GB"/>
              </w:rPr>
            </w:pPr>
            <w:r w:rsidRPr="00165967">
              <w:rPr>
                <w:rFonts w:ascii="Calibri" w:eastAsia="Times New Roman" w:hAnsi="Calibri" w:cs="Calibri"/>
                <w:color w:val="000000" w:themeColor="text1"/>
                <w:sz w:val="22"/>
                <w:lang w:eastAsia="en-GB"/>
              </w:rPr>
              <w:t>WCAG 2.1 AA level accessibility user and technical testing/audits</w:t>
            </w:r>
          </w:p>
        </w:tc>
        <w:tc>
          <w:tcPr>
            <w:tcW w:w="4520" w:type="dxa"/>
            <w:hideMark/>
          </w:tcPr>
          <w:p w14:paraId="13A34B08" w14:textId="77777777" w:rsidR="00165967" w:rsidRPr="00165967" w:rsidRDefault="00165967" w:rsidP="00165967">
            <w:pPr>
              <w:jc w:val="both"/>
              <w:rPr>
                <w:rFonts w:ascii="Calibri" w:eastAsia="Times New Roman" w:hAnsi="Calibri" w:cs="Calibri"/>
                <w:color w:val="000000" w:themeColor="text1"/>
                <w:sz w:val="22"/>
                <w:lang w:eastAsia="en-GB"/>
              </w:rPr>
            </w:pPr>
            <w:r w:rsidRPr="00165967">
              <w:rPr>
                <w:rFonts w:ascii="Calibri" w:eastAsia="Times New Roman" w:hAnsi="Calibri" w:cs="Calibri"/>
                <w:color w:val="000000" w:themeColor="text1"/>
                <w:sz w:val="22"/>
                <w:lang w:eastAsia="en-GB"/>
              </w:rPr>
              <w:t>463267400141628</w:t>
            </w:r>
          </w:p>
        </w:tc>
      </w:tr>
      <w:tr w:rsidR="00165967" w:rsidRPr="00165967" w14:paraId="19173729" w14:textId="77777777" w:rsidTr="00165967">
        <w:trPr>
          <w:trHeight w:val="405"/>
        </w:trPr>
        <w:tc>
          <w:tcPr>
            <w:tcW w:w="1700" w:type="dxa"/>
            <w:hideMark/>
          </w:tcPr>
          <w:p w14:paraId="701FD868" w14:textId="77777777" w:rsidR="00165967" w:rsidRPr="00165967" w:rsidRDefault="00165967" w:rsidP="00165967">
            <w:pPr>
              <w:jc w:val="both"/>
              <w:rPr>
                <w:rFonts w:ascii="Calibri" w:eastAsia="Times New Roman" w:hAnsi="Calibri" w:cs="Calibri"/>
                <w:color w:val="000000" w:themeColor="text1"/>
                <w:sz w:val="22"/>
                <w:lang w:eastAsia="en-GB"/>
              </w:rPr>
            </w:pPr>
            <w:r w:rsidRPr="00165967">
              <w:rPr>
                <w:rFonts w:ascii="Calibri" w:eastAsia="Times New Roman" w:hAnsi="Calibri" w:cs="Calibri"/>
                <w:color w:val="000000" w:themeColor="text1"/>
                <w:sz w:val="22"/>
                <w:lang w:eastAsia="en-GB"/>
              </w:rPr>
              <w:t>Nomensa Ltd</w:t>
            </w:r>
          </w:p>
        </w:tc>
        <w:tc>
          <w:tcPr>
            <w:tcW w:w="5420" w:type="dxa"/>
            <w:hideMark/>
          </w:tcPr>
          <w:p w14:paraId="10BDFB1B" w14:textId="77777777" w:rsidR="00165967" w:rsidRPr="00165967" w:rsidRDefault="00165967" w:rsidP="00165967">
            <w:pPr>
              <w:jc w:val="both"/>
              <w:rPr>
                <w:rFonts w:ascii="Calibri" w:eastAsia="Times New Roman" w:hAnsi="Calibri" w:cs="Calibri"/>
                <w:color w:val="000000" w:themeColor="text1"/>
                <w:sz w:val="22"/>
                <w:lang w:eastAsia="en-GB"/>
              </w:rPr>
            </w:pPr>
            <w:r w:rsidRPr="00165967">
              <w:rPr>
                <w:rFonts w:ascii="Calibri" w:eastAsia="Times New Roman" w:hAnsi="Calibri" w:cs="Calibri"/>
                <w:color w:val="000000" w:themeColor="text1"/>
                <w:sz w:val="22"/>
                <w:lang w:eastAsia="en-GB"/>
              </w:rPr>
              <w:t>Accessibility services</w:t>
            </w:r>
          </w:p>
        </w:tc>
        <w:tc>
          <w:tcPr>
            <w:tcW w:w="4520" w:type="dxa"/>
            <w:hideMark/>
          </w:tcPr>
          <w:p w14:paraId="6356EEE2" w14:textId="77777777" w:rsidR="00165967" w:rsidRPr="00165967" w:rsidRDefault="00165967" w:rsidP="00165967">
            <w:pPr>
              <w:jc w:val="both"/>
              <w:rPr>
                <w:rFonts w:ascii="Calibri" w:eastAsia="Times New Roman" w:hAnsi="Calibri" w:cs="Calibri"/>
                <w:color w:val="000000" w:themeColor="text1"/>
                <w:sz w:val="22"/>
                <w:lang w:eastAsia="en-GB"/>
              </w:rPr>
            </w:pPr>
            <w:r w:rsidRPr="00165967">
              <w:rPr>
                <w:rFonts w:ascii="Calibri" w:eastAsia="Times New Roman" w:hAnsi="Calibri" w:cs="Calibri"/>
                <w:color w:val="000000" w:themeColor="text1"/>
                <w:sz w:val="22"/>
                <w:lang w:eastAsia="en-GB"/>
              </w:rPr>
              <w:t>683794289737643</w:t>
            </w:r>
          </w:p>
        </w:tc>
      </w:tr>
      <w:tr w:rsidR="00165967" w:rsidRPr="00165967" w14:paraId="6DA441D6" w14:textId="77777777" w:rsidTr="00165967">
        <w:trPr>
          <w:trHeight w:val="330"/>
        </w:trPr>
        <w:tc>
          <w:tcPr>
            <w:tcW w:w="1700" w:type="dxa"/>
            <w:hideMark/>
          </w:tcPr>
          <w:p w14:paraId="2AABD851" w14:textId="77777777" w:rsidR="00165967" w:rsidRPr="00165967" w:rsidRDefault="00165967" w:rsidP="00165967">
            <w:pPr>
              <w:jc w:val="both"/>
              <w:rPr>
                <w:rFonts w:ascii="Calibri" w:eastAsia="Times New Roman" w:hAnsi="Calibri" w:cs="Calibri"/>
                <w:color w:val="000000" w:themeColor="text1"/>
                <w:sz w:val="22"/>
                <w:lang w:eastAsia="en-GB"/>
              </w:rPr>
            </w:pPr>
            <w:r w:rsidRPr="00165967">
              <w:rPr>
                <w:rFonts w:ascii="Calibri" w:eastAsia="Times New Roman" w:hAnsi="Calibri" w:cs="Calibri"/>
                <w:color w:val="000000" w:themeColor="text1"/>
                <w:sz w:val="22"/>
                <w:lang w:eastAsia="en-GB"/>
              </w:rPr>
              <w:t>AbilityNet</w:t>
            </w:r>
          </w:p>
        </w:tc>
        <w:tc>
          <w:tcPr>
            <w:tcW w:w="5420" w:type="dxa"/>
            <w:hideMark/>
          </w:tcPr>
          <w:p w14:paraId="1D966CA7" w14:textId="77777777" w:rsidR="00165967" w:rsidRPr="00165967" w:rsidRDefault="00165967" w:rsidP="00165967">
            <w:pPr>
              <w:jc w:val="both"/>
              <w:rPr>
                <w:rFonts w:ascii="Calibri" w:eastAsia="Times New Roman" w:hAnsi="Calibri" w:cs="Calibri"/>
                <w:color w:val="000000" w:themeColor="text1"/>
                <w:sz w:val="22"/>
                <w:lang w:eastAsia="en-GB"/>
              </w:rPr>
            </w:pPr>
            <w:r w:rsidRPr="00165967">
              <w:rPr>
                <w:rFonts w:ascii="Calibri" w:eastAsia="Times New Roman" w:hAnsi="Calibri" w:cs="Calibri"/>
                <w:color w:val="000000" w:themeColor="text1"/>
                <w:sz w:val="22"/>
                <w:lang w:eastAsia="en-GB"/>
              </w:rPr>
              <w:t>Digital Accessibility Services</w:t>
            </w:r>
          </w:p>
        </w:tc>
        <w:tc>
          <w:tcPr>
            <w:tcW w:w="4520" w:type="dxa"/>
            <w:hideMark/>
          </w:tcPr>
          <w:p w14:paraId="2ED2F240" w14:textId="77777777" w:rsidR="00165967" w:rsidRPr="00165967" w:rsidRDefault="00165967" w:rsidP="00165967">
            <w:pPr>
              <w:jc w:val="both"/>
              <w:rPr>
                <w:rFonts w:ascii="Calibri" w:eastAsia="Times New Roman" w:hAnsi="Calibri" w:cs="Calibri"/>
                <w:color w:val="000000" w:themeColor="text1"/>
                <w:sz w:val="22"/>
                <w:lang w:eastAsia="en-GB"/>
              </w:rPr>
            </w:pPr>
            <w:r w:rsidRPr="00165967">
              <w:rPr>
                <w:rFonts w:ascii="Calibri" w:eastAsia="Times New Roman" w:hAnsi="Calibri" w:cs="Calibri"/>
                <w:color w:val="000000" w:themeColor="text1"/>
                <w:sz w:val="22"/>
                <w:lang w:eastAsia="en-GB"/>
              </w:rPr>
              <w:t>427190438667701</w:t>
            </w:r>
          </w:p>
        </w:tc>
      </w:tr>
    </w:tbl>
    <w:p w14:paraId="15470E54" w14:textId="77777777" w:rsidR="00F67787" w:rsidRDefault="00F67787" w:rsidP="00822FA5">
      <w:pPr>
        <w:jc w:val="both"/>
        <w:rPr>
          <w:rFonts w:ascii="Calibri" w:eastAsia="Times New Roman" w:hAnsi="Calibri" w:cs="Calibri"/>
          <w:color w:val="FF0000"/>
          <w:lang w:eastAsia="en-GB"/>
        </w:rPr>
      </w:pPr>
    </w:p>
    <w:p w14:paraId="61FD7BDD" w14:textId="77777777" w:rsidR="00F67787" w:rsidRDefault="00F67787" w:rsidP="00822FA5">
      <w:pPr>
        <w:jc w:val="both"/>
        <w:rPr>
          <w:rFonts w:ascii="Calibri" w:eastAsia="Times New Roman" w:hAnsi="Calibri" w:cs="Calibri"/>
          <w:color w:val="FF0000"/>
          <w:lang w:eastAsia="en-GB"/>
        </w:rPr>
      </w:pPr>
    </w:p>
    <w:p w14:paraId="204274E6" w14:textId="77777777" w:rsidR="00F600F8" w:rsidRDefault="00F600F8" w:rsidP="00822FA5">
      <w:pPr>
        <w:jc w:val="both"/>
        <w:rPr>
          <w:rFonts w:ascii="Calibri" w:eastAsia="Times New Roman" w:hAnsi="Calibri" w:cs="Calibri"/>
          <w:color w:val="FF0000"/>
          <w:lang w:eastAsia="en-GB"/>
        </w:rPr>
      </w:pPr>
    </w:p>
    <w:p w14:paraId="308B5B52" w14:textId="3418D958" w:rsidR="00FF27F5" w:rsidRPr="00A72C00" w:rsidRDefault="00AC7278" w:rsidP="00FF27F5">
      <w:pPr>
        <w:jc w:val="both"/>
        <w:rPr>
          <w:color w:val="000000" w:themeColor="text1"/>
        </w:rPr>
      </w:pPr>
      <w:r>
        <w:rPr>
          <w:color w:val="000000" w:themeColor="text1"/>
        </w:rPr>
        <w:t xml:space="preserve">Through an assessment of each of the Supplier Service offerings (which included emails and telephone calls), </w:t>
      </w:r>
      <w:r w:rsidR="00FF27F5" w:rsidRPr="00A72C00">
        <w:rPr>
          <w:color w:val="000000" w:themeColor="text1"/>
        </w:rPr>
        <w:t xml:space="preserve">The Digital Accessibility Centre Ltd met all the MoJ requirements, </w:t>
      </w:r>
      <w:r w:rsidR="00743293">
        <w:rPr>
          <w:color w:val="000000" w:themeColor="text1"/>
        </w:rPr>
        <w:t xml:space="preserve">was determined as a best fit service as it </w:t>
      </w:r>
      <w:r w:rsidR="00FF27F5" w:rsidRPr="00A72C00">
        <w:rPr>
          <w:color w:val="000000" w:themeColor="text1"/>
        </w:rPr>
        <w:t>offer</w:t>
      </w:r>
      <w:r w:rsidR="00743293">
        <w:rPr>
          <w:color w:val="000000" w:themeColor="text1"/>
        </w:rPr>
        <w:t>ed</w:t>
      </w:r>
      <w:r w:rsidR="00FF27F5" w:rsidRPr="00A72C00">
        <w:rPr>
          <w:color w:val="000000" w:themeColor="text1"/>
        </w:rPr>
        <w:t xml:space="preserve"> a flexible and user focused approach to testing along with being the best value for money</w:t>
      </w:r>
      <w:r w:rsidR="00BE6ADD" w:rsidRPr="00A72C00">
        <w:rPr>
          <w:b/>
          <w:color w:val="000000" w:themeColor="text1"/>
        </w:rPr>
        <w:t xml:space="preserve"> </w:t>
      </w:r>
      <w:r w:rsidR="00A72C00" w:rsidRPr="00A72C00">
        <w:rPr>
          <w:color w:val="000000" w:themeColor="text1"/>
        </w:rPr>
        <w:t>not</w:t>
      </w:r>
      <w:r w:rsidR="00A72C00">
        <w:rPr>
          <w:b/>
          <w:color w:val="000000" w:themeColor="text1"/>
        </w:rPr>
        <w:t xml:space="preserve"> </w:t>
      </w:r>
      <w:r w:rsidR="00BE6ADD" w:rsidRPr="00A72C00">
        <w:rPr>
          <w:color w:val="000000" w:themeColor="text1"/>
        </w:rPr>
        <w:t xml:space="preserve">only in terms of price (lower than the two alternatives) but also against our other key criteria. DAC provide the most diverse testing team </w:t>
      </w:r>
      <w:r w:rsidR="00A3631C" w:rsidRPr="00A72C00">
        <w:rPr>
          <w:color w:val="000000" w:themeColor="text1"/>
        </w:rPr>
        <w:t>and</w:t>
      </w:r>
      <w:r w:rsidR="00BE6ADD" w:rsidRPr="00A72C00">
        <w:rPr>
          <w:color w:val="000000" w:themeColor="text1"/>
        </w:rPr>
        <w:t xml:space="preserve"> </w:t>
      </w:r>
      <w:r w:rsidR="00A3631C">
        <w:rPr>
          <w:color w:val="000000" w:themeColor="text1"/>
        </w:rPr>
        <w:t>can</w:t>
      </w:r>
      <w:r w:rsidR="00BE6ADD" w:rsidRPr="00A72C00">
        <w:rPr>
          <w:color w:val="000000" w:themeColor="text1"/>
        </w:rPr>
        <w:t xml:space="preserve"> accommodate our teams being present during the testing (which is helpful in terms of being able to make immediate fixes and reduce overall remediation time). </w:t>
      </w:r>
      <w:r w:rsidR="00FF27F5" w:rsidRPr="00A72C00">
        <w:rPr>
          <w:color w:val="000000" w:themeColor="text1"/>
        </w:rPr>
        <w:t>It should also be noted that Digital Accessibility Centre Ltd have previously run a successful accessibility and testing contract in HMCTS.</w:t>
      </w:r>
    </w:p>
    <w:p w14:paraId="6D3B225E" w14:textId="77777777" w:rsidR="00BE6ADD" w:rsidRPr="00A72C00" w:rsidRDefault="00BE6ADD" w:rsidP="00FF27F5">
      <w:pPr>
        <w:jc w:val="both"/>
        <w:rPr>
          <w:color w:val="000000" w:themeColor="text1"/>
        </w:rPr>
      </w:pPr>
    </w:p>
    <w:p w14:paraId="10A2583A" w14:textId="77777777" w:rsidR="00FF27F5" w:rsidRPr="00A72C00" w:rsidRDefault="00FF27F5" w:rsidP="00822FA5">
      <w:pPr>
        <w:jc w:val="both"/>
        <w:rPr>
          <w:rFonts w:ascii="Calibri" w:eastAsia="Times New Roman" w:hAnsi="Calibri" w:cs="Calibri"/>
          <w:color w:val="000000" w:themeColor="text1"/>
          <w:lang w:eastAsia="en-GB"/>
        </w:rPr>
      </w:pPr>
    </w:p>
    <w:p w14:paraId="3F1F6816" w14:textId="77777777" w:rsidR="00822FA5" w:rsidRPr="00A72C00" w:rsidRDefault="00D47B60" w:rsidP="00986A09">
      <w:pPr>
        <w:autoSpaceDE w:val="0"/>
        <w:autoSpaceDN w:val="0"/>
        <w:adjustRightInd w:val="0"/>
        <w:rPr>
          <w:rFonts w:ascii="Calibri" w:eastAsia="Times New Roman" w:hAnsi="Calibri" w:cs="Calibri"/>
          <w:b/>
          <w:color w:val="000000" w:themeColor="text1"/>
          <w:lang w:eastAsia="en-GB"/>
        </w:rPr>
      </w:pPr>
      <w:r w:rsidRPr="00A72C00">
        <w:rPr>
          <w:rFonts w:ascii="Calibri" w:eastAsia="Times New Roman" w:hAnsi="Calibri" w:cs="Calibri"/>
          <w:b/>
          <w:color w:val="000000" w:themeColor="text1"/>
          <w:lang w:eastAsia="en-GB"/>
        </w:rPr>
        <w:t>Contract and Commercial summary</w:t>
      </w:r>
    </w:p>
    <w:p w14:paraId="32E8E49E" w14:textId="66DE5B6A" w:rsidR="00BE6ADD" w:rsidRDefault="00BE6ADD" w:rsidP="00986A09">
      <w:pPr>
        <w:autoSpaceDE w:val="0"/>
        <w:autoSpaceDN w:val="0"/>
        <w:adjustRightInd w:val="0"/>
        <w:rPr>
          <w:color w:val="000000" w:themeColor="text1"/>
        </w:rPr>
      </w:pPr>
      <w:r w:rsidRPr="00A72C00">
        <w:rPr>
          <w:color w:val="000000" w:themeColor="text1"/>
        </w:rPr>
        <w:t xml:space="preserve">The contract period is 2 years with the options of two further </w:t>
      </w:r>
      <w:r w:rsidR="00A3631C" w:rsidRPr="00A72C00">
        <w:rPr>
          <w:color w:val="000000" w:themeColor="text1"/>
        </w:rPr>
        <w:t>12-month</w:t>
      </w:r>
      <w:r w:rsidRPr="00A72C00">
        <w:rPr>
          <w:color w:val="000000" w:themeColor="text1"/>
        </w:rPr>
        <w:t xml:space="preserve"> extensions as per the standard G Cloud framework terms and conditions. The requirement will be split into separate work packages</w:t>
      </w:r>
      <w:r w:rsidR="00A3631C">
        <w:rPr>
          <w:color w:val="000000" w:themeColor="text1"/>
        </w:rPr>
        <w:t>,</w:t>
      </w:r>
      <w:r w:rsidRPr="00A72C00">
        <w:rPr>
          <w:color w:val="000000" w:themeColor="text1"/>
        </w:rPr>
        <w:t xml:space="preserve"> the deliverables</w:t>
      </w:r>
      <w:r w:rsidR="00A3631C">
        <w:rPr>
          <w:color w:val="000000" w:themeColor="text1"/>
        </w:rPr>
        <w:t xml:space="preserve"> and </w:t>
      </w:r>
      <w:r w:rsidRPr="00A72C00">
        <w:rPr>
          <w:color w:val="000000" w:themeColor="text1"/>
        </w:rPr>
        <w:t xml:space="preserve">duration of which will be agreed in advance. </w:t>
      </w:r>
      <w:r w:rsidR="00A72C00" w:rsidRPr="00A72C00">
        <w:rPr>
          <w:color w:val="000000" w:themeColor="text1"/>
        </w:rPr>
        <w:t xml:space="preserve"> Costs for testing and analysis will be called of the </w:t>
      </w:r>
      <w:r w:rsidR="00A3631C">
        <w:rPr>
          <w:color w:val="000000" w:themeColor="text1"/>
        </w:rPr>
        <w:t xml:space="preserve">agreed </w:t>
      </w:r>
      <w:r w:rsidR="00A72C00" w:rsidRPr="00A72C00">
        <w:rPr>
          <w:color w:val="000000" w:themeColor="text1"/>
        </w:rPr>
        <w:t xml:space="preserve">rate card. </w:t>
      </w:r>
      <w:r w:rsidRPr="00A72C00">
        <w:rPr>
          <w:color w:val="000000" w:themeColor="text1"/>
        </w:rPr>
        <w:t>The contract value is capped at £120,000.</w:t>
      </w:r>
    </w:p>
    <w:p w14:paraId="7B65D280" w14:textId="0C496AB2" w:rsidR="00120E90" w:rsidRDefault="00120E90" w:rsidP="00986A09">
      <w:pPr>
        <w:autoSpaceDE w:val="0"/>
        <w:autoSpaceDN w:val="0"/>
        <w:adjustRightInd w:val="0"/>
        <w:rPr>
          <w:color w:val="000000" w:themeColor="text1"/>
        </w:rPr>
      </w:pPr>
    </w:p>
    <w:p w14:paraId="778EDB3E" w14:textId="3E7DDCA6" w:rsidR="00120E90" w:rsidRDefault="00120E90" w:rsidP="00986A09">
      <w:pPr>
        <w:autoSpaceDE w:val="0"/>
        <w:autoSpaceDN w:val="0"/>
        <w:adjustRightInd w:val="0"/>
        <w:rPr>
          <w:color w:val="000000" w:themeColor="text1"/>
        </w:rPr>
      </w:pPr>
    </w:p>
    <w:p w14:paraId="7D86A158" w14:textId="77777777" w:rsidR="00120E90" w:rsidRDefault="00120E90" w:rsidP="00986A09">
      <w:pPr>
        <w:autoSpaceDE w:val="0"/>
        <w:autoSpaceDN w:val="0"/>
        <w:adjustRightInd w:val="0"/>
        <w:rPr>
          <w:color w:val="000000" w:themeColor="text1"/>
        </w:rPr>
      </w:pPr>
    </w:p>
    <w:p w14:paraId="28AFA231" w14:textId="74EDF875" w:rsidR="000D2326" w:rsidRDefault="000D2326" w:rsidP="00986A09">
      <w:pPr>
        <w:autoSpaceDE w:val="0"/>
        <w:autoSpaceDN w:val="0"/>
        <w:adjustRightInd w:val="0"/>
        <w:rPr>
          <w:color w:val="000000" w:themeColor="text1"/>
        </w:rPr>
      </w:pPr>
    </w:p>
    <w:p w14:paraId="6861855B" w14:textId="28151E43" w:rsidR="000D2326" w:rsidRDefault="000D2326" w:rsidP="00986A09">
      <w:pPr>
        <w:autoSpaceDE w:val="0"/>
        <w:autoSpaceDN w:val="0"/>
        <w:adjustRightInd w:val="0"/>
        <w:rPr>
          <w:color w:val="000000" w:themeColor="text1"/>
        </w:rPr>
      </w:pPr>
      <w:r>
        <w:rPr>
          <w:color w:val="000000" w:themeColor="text1"/>
        </w:rPr>
        <w:t>Russell Turner</w:t>
      </w:r>
    </w:p>
    <w:p w14:paraId="4D36A889" w14:textId="56136DAB" w:rsidR="000D2326" w:rsidRDefault="000D2326" w:rsidP="00986A09">
      <w:pPr>
        <w:autoSpaceDE w:val="0"/>
        <w:autoSpaceDN w:val="0"/>
        <w:adjustRightInd w:val="0"/>
        <w:rPr>
          <w:color w:val="000000" w:themeColor="text1"/>
        </w:rPr>
      </w:pPr>
      <w:r>
        <w:rPr>
          <w:color w:val="000000" w:themeColor="text1"/>
        </w:rPr>
        <w:t>Commercial Manager</w:t>
      </w:r>
    </w:p>
    <w:p w14:paraId="695D2C65" w14:textId="77777777" w:rsidR="00652F72" w:rsidRPr="00652F72" w:rsidRDefault="00652F72" w:rsidP="00986A09">
      <w:pPr>
        <w:autoSpaceDE w:val="0"/>
        <w:autoSpaceDN w:val="0"/>
        <w:adjustRightInd w:val="0"/>
        <w:rPr>
          <w:color w:val="000000" w:themeColor="text1"/>
        </w:rPr>
      </w:pPr>
      <w:r w:rsidRPr="00652F72">
        <w:rPr>
          <w:color w:val="000000" w:themeColor="text1"/>
        </w:rPr>
        <w:t xml:space="preserve">Technology &amp; Digital Contract &amp; Commercial </w:t>
      </w:r>
    </w:p>
    <w:p w14:paraId="42631B5A" w14:textId="0730774B" w:rsidR="00652F72" w:rsidRPr="00A72C00" w:rsidRDefault="00652F72" w:rsidP="00986A09">
      <w:pPr>
        <w:autoSpaceDE w:val="0"/>
        <w:autoSpaceDN w:val="0"/>
        <w:adjustRightInd w:val="0"/>
        <w:rPr>
          <w:color w:val="000000" w:themeColor="text1"/>
        </w:rPr>
      </w:pPr>
      <w:r w:rsidRPr="00652F72">
        <w:rPr>
          <w:color w:val="000000" w:themeColor="text1"/>
        </w:rPr>
        <w:t>Management Directorate (TDCCM)</w:t>
      </w:r>
    </w:p>
    <w:p w14:paraId="2B9745F6" w14:textId="77777777" w:rsidR="00FD597D" w:rsidRPr="00FD597D" w:rsidRDefault="00FD597D" w:rsidP="00FD597D">
      <w:pPr>
        <w:jc w:val="both"/>
        <w:rPr>
          <w:b/>
          <w:color w:val="FF0000"/>
        </w:rPr>
      </w:pPr>
    </w:p>
    <w:p w14:paraId="6563A98F" w14:textId="77777777" w:rsidR="00FD597D" w:rsidRDefault="00FD597D" w:rsidP="001E2BF3">
      <w:pPr>
        <w:jc w:val="both"/>
      </w:pPr>
    </w:p>
    <w:p w14:paraId="3B6CBFD2" w14:textId="77777777" w:rsidR="006637D9" w:rsidRDefault="006637D9" w:rsidP="001E2BF3">
      <w:pPr>
        <w:jc w:val="both"/>
      </w:pPr>
    </w:p>
    <w:sectPr w:rsidR="006637D9" w:rsidSect="0069295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2D0FB" w14:textId="77777777" w:rsidR="000B757C" w:rsidRDefault="000B757C" w:rsidP="00822FA5">
      <w:r>
        <w:separator/>
      </w:r>
    </w:p>
  </w:endnote>
  <w:endnote w:type="continuationSeparator" w:id="0">
    <w:p w14:paraId="6A40F766" w14:textId="77777777" w:rsidR="000B757C" w:rsidRDefault="000B757C" w:rsidP="0082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D333B" w14:textId="77777777" w:rsidR="000B757C" w:rsidRDefault="000B757C" w:rsidP="00822FA5">
      <w:r>
        <w:separator/>
      </w:r>
    </w:p>
  </w:footnote>
  <w:footnote w:type="continuationSeparator" w:id="0">
    <w:p w14:paraId="23A67114" w14:textId="77777777" w:rsidR="000B757C" w:rsidRDefault="000B757C" w:rsidP="00822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2189"/>
    <w:multiLevelType w:val="hybridMultilevel"/>
    <w:tmpl w:val="765AB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E0113"/>
    <w:multiLevelType w:val="hybridMultilevel"/>
    <w:tmpl w:val="B676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A340C"/>
    <w:multiLevelType w:val="multilevel"/>
    <w:tmpl w:val="520055D8"/>
    <w:lvl w:ilvl="0">
      <w:start w:val="1"/>
      <w:numFmt w:val="decimal"/>
      <w:pStyle w:val="FITSHead1"/>
      <w:lvlText w:val="%1"/>
      <w:lvlJc w:val="left"/>
      <w:pPr>
        <w:tabs>
          <w:tab w:val="num" w:pos="0"/>
        </w:tabs>
        <w:ind w:left="1134" w:hanging="1134"/>
      </w:pPr>
      <w:rPr>
        <w:rFonts w:hint="default"/>
      </w:rPr>
    </w:lvl>
    <w:lvl w:ilvl="1">
      <w:start w:val="1"/>
      <w:numFmt w:val="decimal"/>
      <w:pStyle w:val="FITSHead2"/>
      <w:lvlText w:val="%1.%2"/>
      <w:lvlJc w:val="left"/>
      <w:pPr>
        <w:tabs>
          <w:tab w:val="num" w:pos="0"/>
        </w:tabs>
        <w:ind w:left="1134" w:hanging="1134"/>
      </w:pPr>
      <w:rPr>
        <w:rFonts w:hint="default"/>
      </w:rPr>
    </w:lvl>
    <w:lvl w:ilvl="2">
      <w:start w:val="1"/>
      <w:numFmt w:val="decimal"/>
      <w:pStyle w:val="FITSHead3"/>
      <w:lvlText w:val="%1.%2.%3"/>
      <w:lvlJc w:val="left"/>
      <w:pPr>
        <w:tabs>
          <w:tab w:val="num" w:pos="1134"/>
        </w:tabs>
        <w:ind w:left="1134" w:hanging="1134"/>
      </w:pPr>
      <w:rPr>
        <w:rFonts w:hint="default"/>
      </w:rPr>
    </w:lvl>
    <w:lvl w:ilvl="3">
      <w:start w:val="1"/>
      <w:numFmt w:val="decimal"/>
      <w:pStyle w:val="FITSHead4"/>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15:restartNumberingAfterBreak="0">
    <w:nsid w:val="1A421536"/>
    <w:multiLevelType w:val="hybridMultilevel"/>
    <w:tmpl w:val="2890A034"/>
    <w:lvl w:ilvl="0" w:tplc="B2422E94">
      <w:start w:val="1"/>
      <w:numFmt w:val="decimal"/>
      <w:pStyle w:val="FITSNumberList"/>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BDD1A53"/>
    <w:multiLevelType w:val="hybridMultilevel"/>
    <w:tmpl w:val="50983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55081A"/>
    <w:multiLevelType w:val="hybridMultilevel"/>
    <w:tmpl w:val="F4E2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24185"/>
    <w:multiLevelType w:val="hybridMultilevel"/>
    <w:tmpl w:val="28D6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368AA"/>
    <w:multiLevelType w:val="hybridMultilevel"/>
    <w:tmpl w:val="65DAB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4C4069"/>
    <w:multiLevelType w:val="hybridMultilevel"/>
    <w:tmpl w:val="7D54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C21D9"/>
    <w:multiLevelType w:val="hybridMultilevel"/>
    <w:tmpl w:val="79D2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C56DF"/>
    <w:multiLevelType w:val="hybridMultilevel"/>
    <w:tmpl w:val="DE26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3"/>
  </w:num>
  <w:num w:numId="5">
    <w:abstractNumId w:val="1"/>
  </w:num>
  <w:num w:numId="6">
    <w:abstractNumId w:val="0"/>
  </w:num>
  <w:num w:numId="7">
    <w:abstractNumId w:val="4"/>
  </w:num>
  <w:num w:numId="8">
    <w:abstractNumId w:val="9"/>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BF"/>
    <w:rsid w:val="00025574"/>
    <w:rsid w:val="00066C53"/>
    <w:rsid w:val="0007048D"/>
    <w:rsid w:val="000B1449"/>
    <w:rsid w:val="000B4B91"/>
    <w:rsid w:val="000B757C"/>
    <w:rsid w:val="000D2326"/>
    <w:rsid w:val="00120E90"/>
    <w:rsid w:val="0012246D"/>
    <w:rsid w:val="00136562"/>
    <w:rsid w:val="00165967"/>
    <w:rsid w:val="001E2BF3"/>
    <w:rsid w:val="00234703"/>
    <w:rsid w:val="00254D19"/>
    <w:rsid w:val="002A2BC3"/>
    <w:rsid w:val="00356EBB"/>
    <w:rsid w:val="00377AC0"/>
    <w:rsid w:val="003F5D02"/>
    <w:rsid w:val="00470B0C"/>
    <w:rsid w:val="004D1BDA"/>
    <w:rsid w:val="00523A57"/>
    <w:rsid w:val="00552A14"/>
    <w:rsid w:val="00554F4D"/>
    <w:rsid w:val="00560AF0"/>
    <w:rsid w:val="00586D08"/>
    <w:rsid w:val="00587F10"/>
    <w:rsid w:val="0060554E"/>
    <w:rsid w:val="00622F38"/>
    <w:rsid w:val="00652F72"/>
    <w:rsid w:val="006637D9"/>
    <w:rsid w:val="006909EC"/>
    <w:rsid w:val="0069295B"/>
    <w:rsid w:val="00692AB1"/>
    <w:rsid w:val="00697F70"/>
    <w:rsid w:val="006A79E5"/>
    <w:rsid w:val="006D1C8E"/>
    <w:rsid w:val="00716C28"/>
    <w:rsid w:val="00743293"/>
    <w:rsid w:val="007E2063"/>
    <w:rsid w:val="007E75E2"/>
    <w:rsid w:val="00822FA5"/>
    <w:rsid w:val="00836A09"/>
    <w:rsid w:val="00846D54"/>
    <w:rsid w:val="00852235"/>
    <w:rsid w:val="008D34E7"/>
    <w:rsid w:val="00955AC6"/>
    <w:rsid w:val="00986A09"/>
    <w:rsid w:val="009D168F"/>
    <w:rsid w:val="009E3113"/>
    <w:rsid w:val="00A00257"/>
    <w:rsid w:val="00A04CC8"/>
    <w:rsid w:val="00A118B5"/>
    <w:rsid w:val="00A1578D"/>
    <w:rsid w:val="00A16BCD"/>
    <w:rsid w:val="00A3631C"/>
    <w:rsid w:val="00A36CF1"/>
    <w:rsid w:val="00A72C00"/>
    <w:rsid w:val="00A81E62"/>
    <w:rsid w:val="00A8382D"/>
    <w:rsid w:val="00A871AA"/>
    <w:rsid w:val="00AC7278"/>
    <w:rsid w:val="00AF0058"/>
    <w:rsid w:val="00B01EBF"/>
    <w:rsid w:val="00B12B79"/>
    <w:rsid w:val="00BA3062"/>
    <w:rsid w:val="00BC720D"/>
    <w:rsid w:val="00BE0EAE"/>
    <w:rsid w:val="00BE6ADD"/>
    <w:rsid w:val="00BF5BE5"/>
    <w:rsid w:val="00C8472D"/>
    <w:rsid w:val="00CB0DD6"/>
    <w:rsid w:val="00CB22E5"/>
    <w:rsid w:val="00D06A74"/>
    <w:rsid w:val="00D43C6F"/>
    <w:rsid w:val="00D47B60"/>
    <w:rsid w:val="00D7254E"/>
    <w:rsid w:val="00D72DA8"/>
    <w:rsid w:val="00DB2EE1"/>
    <w:rsid w:val="00E25828"/>
    <w:rsid w:val="00E71234"/>
    <w:rsid w:val="00E76A74"/>
    <w:rsid w:val="00E8202E"/>
    <w:rsid w:val="00E91C3F"/>
    <w:rsid w:val="00EE1829"/>
    <w:rsid w:val="00F325C0"/>
    <w:rsid w:val="00F463DB"/>
    <w:rsid w:val="00F600F8"/>
    <w:rsid w:val="00F67787"/>
    <w:rsid w:val="00FB0FF3"/>
    <w:rsid w:val="00FD1F47"/>
    <w:rsid w:val="00FD597D"/>
    <w:rsid w:val="00FF2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E5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16C28"/>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BF3"/>
    <w:pPr>
      <w:ind w:left="720"/>
      <w:contextualSpacing/>
    </w:pPr>
  </w:style>
  <w:style w:type="paragraph" w:customStyle="1" w:styleId="FITSHead1">
    <w:name w:val="FITS Head 1"/>
    <w:basedOn w:val="Normal"/>
    <w:next w:val="Normal"/>
    <w:rsid w:val="00254D19"/>
    <w:pPr>
      <w:keepNext/>
      <w:keepLines/>
      <w:numPr>
        <w:numId w:val="3"/>
      </w:numPr>
      <w:tabs>
        <w:tab w:val="left" w:pos="720"/>
      </w:tabs>
      <w:overflowPunct w:val="0"/>
      <w:autoSpaceDE w:val="0"/>
      <w:autoSpaceDN w:val="0"/>
      <w:adjustRightInd w:val="0"/>
      <w:spacing w:before="240" w:after="240"/>
      <w:textAlignment w:val="baseline"/>
      <w:outlineLvl w:val="0"/>
    </w:pPr>
    <w:rPr>
      <w:rFonts w:ascii="Arial" w:eastAsia="Times New Roman" w:hAnsi="Arial" w:cs="Times New Roman"/>
      <w:b/>
      <w:caps/>
      <w:sz w:val="28"/>
      <w:szCs w:val="28"/>
    </w:rPr>
  </w:style>
  <w:style w:type="paragraph" w:customStyle="1" w:styleId="FITSHead2">
    <w:name w:val="FITS Head 2"/>
    <w:basedOn w:val="FITSHead1"/>
    <w:next w:val="Normal"/>
    <w:rsid w:val="00254D19"/>
    <w:pPr>
      <w:numPr>
        <w:ilvl w:val="1"/>
      </w:numPr>
      <w:outlineLvl w:val="1"/>
    </w:pPr>
    <w:rPr>
      <w:caps w:val="0"/>
      <w:sz w:val="24"/>
      <w:szCs w:val="24"/>
    </w:rPr>
  </w:style>
  <w:style w:type="paragraph" w:customStyle="1" w:styleId="FITSHead3">
    <w:name w:val="FITS Head 3"/>
    <w:basedOn w:val="FITSHead2"/>
    <w:next w:val="Normal"/>
    <w:rsid w:val="00254D19"/>
    <w:pPr>
      <w:numPr>
        <w:ilvl w:val="2"/>
      </w:numPr>
      <w:outlineLvl w:val="2"/>
    </w:pPr>
  </w:style>
  <w:style w:type="paragraph" w:customStyle="1" w:styleId="FITSHead4">
    <w:name w:val="FITS Head 4"/>
    <w:basedOn w:val="FITSHead3"/>
    <w:next w:val="Normal"/>
    <w:rsid w:val="00254D19"/>
    <w:pPr>
      <w:numPr>
        <w:ilvl w:val="3"/>
      </w:numPr>
      <w:tabs>
        <w:tab w:val="clear" w:pos="720"/>
        <w:tab w:val="left" w:pos="1134"/>
      </w:tabs>
      <w:outlineLvl w:val="3"/>
    </w:pPr>
  </w:style>
  <w:style w:type="paragraph" w:customStyle="1" w:styleId="FITSNumParaL3">
    <w:name w:val="FITS Num Para L3"/>
    <w:basedOn w:val="FITSHead3"/>
    <w:link w:val="FITSNumParaL3CharChar"/>
    <w:qFormat/>
    <w:rsid w:val="00254D19"/>
    <w:pPr>
      <w:spacing w:before="0"/>
    </w:pPr>
    <w:rPr>
      <w:b w:val="0"/>
      <w:sz w:val="22"/>
    </w:rPr>
  </w:style>
  <w:style w:type="character" w:customStyle="1" w:styleId="FITSNumParaL3CharChar">
    <w:name w:val="FITS Num Para L3 Char Char"/>
    <w:link w:val="FITSNumParaL3"/>
    <w:rsid w:val="00254D19"/>
    <w:rPr>
      <w:rFonts w:ascii="Arial" w:eastAsia="Times New Roman" w:hAnsi="Arial" w:cs="Times New Roman"/>
      <w:sz w:val="22"/>
    </w:rPr>
  </w:style>
  <w:style w:type="paragraph" w:customStyle="1" w:styleId="FITSNumberList">
    <w:name w:val="FITS Number List"/>
    <w:basedOn w:val="Normal"/>
    <w:qFormat/>
    <w:rsid w:val="00254D19"/>
    <w:pPr>
      <w:numPr>
        <w:numId w:val="4"/>
      </w:numPr>
      <w:tabs>
        <w:tab w:val="left" w:pos="1134"/>
      </w:tabs>
      <w:spacing w:before="60" w:after="60"/>
    </w:pPr>
    <w:rPr>
      <w:rFonts w:ascii="Arial" w:eastAsia="Times New Roman" w:hAnsi="Arial" w:cs="Times New Roman"/>
      <w:sz w:val="22"/>
      <w:szCs w:val="20"/>
      <w:lang w:eastAsia="en-GB"/>
    </w:rPr>
  </w:style>
  <w:style w:type="character" w:customStyle="1" w:styleId="Heading1Char">
    <w:name w:val="Heading 1 Char"/>
    <w:basedOn w:val="DefaultParagraphFont"/>
    <w:link w:val="Heading1"/>
    <w:uiPriority w:val="9"/>
    <w:rsid w:val="00716C28"/>
    <w:rPr>
      <w:rFonts w:ascii="Times New Roman" w:hAnsi="Times New Roman" w:cs="Times New Roman"/>
      <w:b/>
      <w:bCs/>
      <w:kern w:val="36"/>
      <w:sz w:val="48"/>
      <w:szCs w:val="48"/>
      <w:lang w:eastAsia="en-GB"/>
    </w:rPr>
  </w:style>
  <w:style w:type="paragraph" w:customStyle="1" w:styleId="bluebg">
    <w:name w:val="bluebg"/>
    <w:basedOn w:val="Normal"/>
    <w:rsid w:val="00716C28"/>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716C28"/>
    <w:rPr>
      <w:b/>
      <w:bCs/>
    </w:rPr>
  </w:style>
  <w:style w:type="character" w:customStyle="1" w:styleId="apple-converted-space">
    <w:name w:val="apple-converted-space"/>
    <w:basedOn w:val="DefaultParagraphFont"/>
    <w:rsid w:val="00716C28"/>
  </w:style>
  <w:style w:type="paragraph" w:styleId="BalloonText">
    <w:name w:val="Balloon Text"/>
    <w:basedOn w:val="Normal"/>
    <w:link w:val="BalloonTextChar"/>
    <w:uiPriority w:val="99"/>
    <w:semiHidden/>
    <w:unhideWhenUsed/>
    <w:rsid w:val="00560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AF0"/>
    <w:rPr>
      <w:rFonts w:ascii="Segoe UI" w:hAnsi="Segoe UI" w:cs="Segoe UI"/>
      <w:sz w:val="18"/>
      <w:szCs w:val="18"/>
    </w:rPr>
  </w:style>
  <w:style w:type="paragraph" w:styleId="Header">
    <w:name w:val="header"/>
    <w:basedOn w:val="Normal"/>
    <w:link w:val="HeaderChar"/>
    <w:uiPriority w:val="99"/>
    <w:unhideWhenUsed/>
    <w:rsid w:val="00F67787"/>
    <w:pPr>
      <w:tabs>
        <w:tab w:val="center" w:pos="4513"/>
        <w:tab w:val="right" w:pos="9026"/>
      </w:tabs>
    </w:pPr>
  </w:style>
  <w:style w:type="character" w:customStyle="1" w:styleId="HeaderChar">
    <w:name w:val="Header Char"/>
    <w:basedOn w:val="DefaultParagraphFont"/>
    <w:link w:val="Header"/>
    <w:uiPriority w:val="99"/>
    <w:rsid w:val="00F67787"/>
  </w:style>
  <w:style w:type="paragraph" w:styleId="Footer">
    <w:name w:val="footer"/>
    <w:basedOn w:val="Normal"/>
    <w:link w:val="FooterChar"/>
    <w:uiPriority w:val="99"/>
    <w:unhideWhenUsed/>
    <w:rsid w:val="00F67787"/>
    <w:pPr>
      <w:tabs>
        <w:tab w:val="center" w:pos="4513"/>
        <w:tab w:val="right" w:pos="9026"/>
      </w:tabs>
    </w:pPr>
  </w:style>
  <w:style w:type="character" w:customStyle="1" w:styleId="FooterChar">
    <w:name w:val="Footer Char"/>
    <w:basedOn w:val="DefaultParagraphFont"/>
    <w:link w:val="Footer"/>
    <w:uiPriority w:val="99"/>
    <w:rsid w:val="00F67787"/>
  </w:style>
  <w:style w:type="character" w:styleId="CommentReference">
    <w:name w:val="annotation reference"/>
    <w:basedOn w:val="DefaultParagraphFont"/>
    <w:uiPriority w:val="99"/>
    <w:semiHidden/>
    <w:unhideWhenUsed/>
    <w:rsid w:val="00AC7278"/>
    <w:rPr>
      <w:sz w:val="16"/>
      <w:szCs w:val="16"/>
    </w:rPr>
  </w:style>
  <w:style w:type="paragraph" w:styleId="CommentText">
    <w:name w:val="annotation text"/>
    <w:basedOn w:val="Normal"/>
    <w:link w:val="CommentTextChar"/>
    <w:uiPriority w:val="99"/>
    <w:semiHidden/>
    <w:unhideWhenUsed/>
    <w:rsid w:val="00AC7278"/>
    <w:rPr>
      <w:sz w:val="20"/>
      <w:szCs w:val="20"/>
    </w:rPr>
  </w:style>
  <w:style w:type="character" w:customStyle="1" w:styleId="CommentTextChar">
    <w:name w:val="Comment Text Char"/>
    <w:basedOn w:val="DefaultParagraphFont"/>
    <w:link w:val="CommentText"/>
    <w:uiPriority w:val="99"/>
    <w:semiHidden/>
    <w:rsid w:val="00AC7278"/>
    <w:rPr>
      <w:sz w:val="20"/>
      <w:szCs w:val="20"/>
    </w:rPr>
  </w:style>
  <w:style w:type="paragraph" w:styleId="CommentSubject">
    <w:name w:val="annotation subject"/>
    <w:basedOn w:val="CommentText"/>
    <w:next w:val="CommentText"/>
    <w:link w:val="CommentSubjectChar"/>
    <w:uiPriority w:val="99"/>
    <w:semiHidden/>
    <w:unhideWhenUsed/>
    <w:rsid w:val="00AC7278"/>
    <w:rPr>
      <w:b/>
      <w:bCs/>
    </w:rPr>
  </w:style>
  <w:style w:type="character" w:customStyle="1" w:styleId="CommentSubjectChar">
    <w:name w:val="Comment Subject Char"/>
    <w:basedOn w:val="CommentTextChar"/>
    <w:link w:val="CommentSubject"/>
    <w:uiPriority w:val="99"/>
    <w:semiHidden/>
    <w:rsid w:val="00AC7278"/>
    <w:rPr>
      <w:b/>
      <w:bCs/>
      <w:sz w:val="20"/>
      <w:szCs w:val="20"/>
    </w:rPr>
  </w:style>
  <w:style w:type="character" w:customStyle="1" w:styleId="govuk--margin-bottom-61">
    <w:name w:val="govuk-!-margin-bottom-61"/>
    <w:basedOn w:val="DefaultParagraphFont"/>
    <w:rsid w:val="00165967"/>
  </w:style>
  <w:style w:type="character" w:styleId="Hyperlink">
    <w:name w:val="Hyperlink"/>
    <w:basedOn w:val="DefaultParagraphFont"/>
    <w:uiPriority w:val="99"/>
    <w:semiHidden/>
    <w:unhideWhenUsed/>
    <w:rsid w:val="00165967"/>
    <w:rPr>
      <w:color w:val="0563C1"/>
      <w:u w:val="single"/>
    </w:rPr>
  </w:style>
  <w:style w:type="table" w:styleId="TableGrid">
    <w:name w:val="Table Grid"/>
    <w:basedOn w:val="TableNormal"/>
    <w:uiPriority w:val="39"/>
    <w:rsid w:val="0016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87213">
      <w:bodyDiv w:val="1"/>
      <w:marLeft w:val="0"/>
      <w:marRight w:val="0"/>
      <w:marTop w:val="0"/>
      <w:marBottom w:val="0"/>
      <w:divBdr>
        <w:top w:val="none" w:sz="0" w:space="0" w:color="auto"/>
        <w:left w:val="none" w:sz="0" w:space="0" w:color="auto"/>
        <w:bottom w:val="none" w:sz="0" w:space="0" w:color="auto"/>
        <w:right w:val="none" w:sz="0" w:space="0" w:color="auto"/>
      </w:divBdr>
    </w:div>
    <w:div w:id="770513412">
      <w:bodyDiv w:val="1"/>
      <w:marLeft w:val="0"/>
      <w:marRight w:val="0"/>
      <w:marTop w:val="0"/>
      <w:marBottom w:val="0"/>
      <w:divBdr>
        <w:top w:val="none" w:sz="0" w:space="0" w:color="auto"/>
        <w:left w:val="none" w:sz="0" w:space="0" w:color="auto"/>
        <w:bottom w:val="none" w:sz="0" w:space="0" w:color="auto"/>
        <w:right w:val="none" w:sz="0" w:space="0" w:color="auto"/>
      </w:divBdr>
    </w:div>
    <w:div w:id="895891203">
      <w:bodyDiv w:val="1"/>
      <w:marLeft w:val="0"/>
      <w:marRight w:val="0"/>
      <w:marTop w:val="0"/>
      <w:marBottom w:val="0"/>
      <w:divBdr>
        <w:top w:val="none" w:sz="0" w:space="0" w:color="auto"/>
        <w:left w:val="none" w:sz="0" w:space="0" w:color="auto"/>
        <w:bottom w:val="none" w:sz="0" w:space="0" w:color="auto"/>
        <w:right w:val="none" w:sz="0" w:space="0" w:color="auto"/>
      </w:divBdr>
    </w:div>
    <w:div w:id="1280643423">
      <w:bodyDiv w:val="1"/>
      <w:marLeft w:val="0"/>
      <w:marRight w:val="0"/>
      <w:marTop w:val="0"/>
      <w:marBottom w:val="0"/>
      <w:divBdr>
        <w:top w:val="none" w:sz="0" w:space="0" w:color="auto"/>
        <w:left w:val="none" w:sz="0" w:space="0" w:color="auto"/>
        <w:bottom w:val="none" w:sz="0" w:space="0" w:color="auto"/>
        <w:right w:val="none" w:sz="0" w:space="0" w:color="auto"/>
      </w:divBdr>
    </w:div>
    <w:div w:id="1817915033">
      <w:bodyDiv w:val="1"/>
      <w:marLeft w:val="0"/>
      <w:marRight w:val="0"/>
      <w:marTop w:val="0"/>
      <w:marBottom w:val="0"/>
      <w:divBdr>
        <w:top w:val="none" w:sz="0" w:space="0" w:color="auto"/>
        <w:left w:val="none" w:sz="0" w:space="0" w:color="auto"/>
        <w:bottom w:val="none" w:sz="0" w:space="0" w:color="auto"/>
        <w:right w:val="none" w:sz="0" w:space="0" w:color="auto"/>
      </w:divBdr>
      <w:divsChild>
        <w:div w:id="1581019060">
          <w:marLeft w:val="0"/>
          <w:marRight w:val="0"/>
          <w:marTop w:val="0"/>
          <w:marBottom w:val="0"/>
          <w:divBdr>
            <w:top w:val="none" w:sz="0" w:space="0" w:color="auto"/>
            <w:left w:val="none" w:sz="0" w:space="0" w:color="auto"/>
            <w:bottom w:val="none" w:sz="0" w:space="0" w:color="auto"/>
            <w:right w:val="none" w:sz="0" w:space="0" w:color="auto"/>
          </w:divBdr>
          <w:divsChild>
            <w:div w:id="15413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59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FB27137B64A40AAC96F0D498DB308" ma:contentTypeVersion="12" ma:contentTypeDescription="Create a new document." ma:contentTypeScope="" ma:versionID="f58e6e0429e8ff13bdeb8a8b5cd56fee">
  <xsd:schema xmlns:xsd="http://www.w3.org/2001/XMLSchema" xmlns:xs="http://www.w3.org/2001/XMLSchema" xmlns:p="http://schemas.microsoft.com/office/2006/metadata/properties" xmlns:ns3="e7c5bace-edcb-401c-9bbc-0d93d1eec1dc" xmlns:ns4="71aa4853-a2fe-4afd-b540-9ad113d7878f" targetNamespace="http://schemas.microsoft.com/office/2006/metadata/properties" ma:root="true" ma:fieldsID="e01e3ff4ba0003437ab1dad5afade57f" ns3:_="" ns4:_="">
    <xsd:import namespace="e7c5bace-edcb-401c-9bbc-0d93d1eec1dc"/>
    <xsd:import namespace="71aa4853-a2fe-4afd-b540-9ad113d787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5bace-edcb-401c-9bbc-0d93d1eec1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a4853-a2fe-4afd-b540-9ad113d7878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44840-FA64-4924-8514-E254697EDF32}">
  <ds:schemaRefs>
    <ds:schemaRef ds:uri="http://schemas.microsoft.com/sharepoint/v3/contenttype/forms"/>
  </ds:schemaRefs>
</ds:datastoreItem>
</file>

<file path=customXml/itemProps2.xml><?xml version="1.0" encoding="utf-8"?>
<ds:datastoreItem xmlns:ds="http://schemas.openxmlformats.org/officeDocument/2006/customXml" ds:itemID="{3ECC7657-5B19-4C50-B117-61014D6D9355}">
  <ds:schemaRefs>
    <ds:schemaRef ds:uri="http://purl.org/dc/dcmitype/"/>
    <ds:schemaRef ds:uri="71aa4853-a2fe-4afd-b540-9ad113d7878f"/>
    <ds:schemaRef ds:uri="http://purl.org/dc/elements/1.1/"/>
    <ds:schemaRef ds:uri="http://schemas.microsoft.com/office/2006/documentManagement/types"/>
    <ds:schemaRef ds:uri="e7c5bace-edcb-401c-9bbc-0d93d1eec1dc"/>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5CBEAE2-4472-40EE-9D8D-056D9C13D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5bace-edcb-401c-9bbc-0d93d1eec1dc"/>
    <ds:schemaRef ds:uri="71aa4853-a2fe-4afd-b540-9ad113d7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McMullan</dc:creator>
  <cp:keywords/>
  <dc:description/>
  <cp:lastModifiedBy>Turner, Russell</cp:lastModifiedBy>
  <cp:revision>2</cp:revision>
  <cp:lastPrinted>2019-07-02T11:24:00Z</cp:lastPrinted>
  <dcterms:created xsi:type="dcterms:W3CDTF">2020-05-18T20:51:00Z</dcterms:created>
  <dcterms:modified xsi:type="dcterms:W3CDTF">2020-05-18T20:51:00Z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0x010100A5AFB27137B64A40AAC96F0D498DB308</vt:lpwstr>
  </property>
</Properties>
</file>