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FAA" w:rsidRDefault="00E36FA6">
      <w:pPr>
        <w:widowControl w:val="0"/>
        <w:spacing w:line="240" w:lineRule="auto"/>
        <w:jc w:val="both"/>
      </w:pPr>
      <w:r>
        <w:rPr>
          <w:noProof/>
        </w:rPr>
        <w:drawing>
          <wp:inline distT="0" distB="0" distL="0" distR="0">
            <wp:extent cx="1828800" cy="97155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28800" cy="971550"/>
                    </a:xfrm>
                    <a:prstGeom prst="rect">
                      <a:avLst/>
                    </a:prstGeom>
                    <a:ln/>
                  </pic:spPr>
                </pic:pic>
              </a:graphicData>
            </a:graphic>
          </wp:inline>
        </w:drawing>
      </w:r>
    </w:p>
    <w:p w:rsidR="00AB4FAA" w:rsidRDefault="00E36FA6">
      <w:pPr>
        <w:widowControl w:val="0"/>
        <w:spacing w:line="240" w:lineRule="auto"/>
      </w:pPr>
      <w:r>
        <w:t xml:space="preserve"> </w:t>
      </w:r>
    </w:p>
    <w:p w:rsidR="00AB4FAA" w:rsidRDefault="00E36FA6">
      <w:pPr>
        <w:widowControl w:val="0"/>
        <w:spacing w:line="240" w:lineRule="auto"/>
      </w:pPr>
      <w:r>
        <w:t xml:space="preserve"> </w:t>
      </w:r>
    </w:p>
    <w:p w:rsidR="00AB4FAA" w:rsidRDefault="00E36FA6">
      <w:pPr>
        <w:widowControl w:val="0"/>
        <w:spacing w:line="240" w:lineRule="auto"/>
        <w:jc w:val="both"/>
      </w:pPr>
      <w:r>
        <w:rPr>
          <w:b/>
          <w:sz w:val="24"/>
          <w:szCs w:val="24"/>
        </w:rPr>
        <w:t>INVITATION TO TENDER LETTER</w:t>
      </w:r>
    </w:p>
    <w:p w:rsidR="00AB4FAA" w:rsidRDefault="00E36FA6">
      <w:pPr>
        <w:widowControl w:val="0"/>
        <w:spacing w:line="240" w:lineRule="auto"/>
      </w:pPr>
      <w:r>
        <w:t xml:space="preserve"> </w:t>
      </w:r>
    </w:p>
    <w:p w:rsidR="00AB4FAA" w:rsidRDefault="00E36FA6">
      <w:pPr>
        <w:widowControl w:val="0"/>
        <w:spacing w:line="240" w:lineRule="auto"/>
      </w:pPr>
      <w:r>
        <w:t>Social Mobility Commission</w:t>
      </w:r>
    </w:p>
    <w:p w:rsidR="00AB4FAA" w:rsidRDefault="00E36FA6">
      <w:pPr>
        <w:widowControl w:val="0"/>
        <w:spacing w:line="240" w:lineRule="auto"/>
      </w:pPr>
      <w:r>
        <w:t>Sanctuary Buildings,</w:t>
      </w:r>
    </w:p>
    <w:p w:rsidR="00AB4FAA" w:rsidRDefault="00E36FA6">
      <w:pPr>
        <w:widowControl w:val="0"/>
        <w:spacing w:line="240" w:lineRule="auto"/>
      </w:pPr>
      <w:r>
        <w:t>Westminster, SW1P 3BT</w:t>
      </w:r>
    </w:p>
    <w:p w:rsidR="00AB4FAA" w:rsidRDefault="00E36FA6">
      <w:pPr>
        <w:widowControl w:val="0"/>
        <w:spacing w:line="240" w:lineRule="auto"/>
      </w:pPr>
      <w:r>
        <w:t xml:space="preserve"> </w:t>
      </w:r>
    </w:p>
    <w:p w:rsidR="00AB4FAA" w:rsidRDefault="00E36FA6">
      <w:pPr>
        <w:widowControl w:val="0"/>
        <w:spacing w:line="240" w:lineRule="auto"/>
      </w:pPr>
      <w:r>
        <w:t xml:space="preserve"> </w:t>
      </w:r>
    </w:p>
    <w:p w:rsidR="00AB4FAA" w:rsidRDefault="00E36FA6">
      <w:pPr>
        <w:widowControl w:val="0"/>
        <w:spacing w:line="240" w:lineRule="auto"/>
        <w:rPr>
          <w:b/>
        </w:rPr>
      </w:pPr>
      <w:r>
        <w:t>Dear Researcher / Policy Professional,</w:t>
      </w:r>
      <w:r>
        <w:rPr>
          <w:b/>
        </w:rPr>
        <w:t xml:space="preserve"> </w:t>
      </w:r>
    </w:p>
    <w:p w:rsidR="00AB4FAA" w:rsidRDefault="00AB4FAA">
      <w:pPr>
        <w:widowControl w:val="0"/>
        <w:spacing w:line="240" w:lineRule="auto"/>
      </w:pPr>
    </w:p>
    <w:p w:rsidR="00AB4FAA" w:rsidRDefault="00E36FA6">
      <w:pPr>
        <w:widowControl w:val="0"/>
        <w:spacing w:line="240" w:lineRule="auto"/>
      </w:pPr>
      <w:r>
        <w:rPr>
          <w:b/>
        </w:rPr>
        <w:t>INVITATION TO TENDER (ITT) to be an expert adviser on the Social Mobility Commission’s Policy and Evidence Advisory Panel</w:t>
      </w:r>
    </w:p>
    <w:p w:rsidR="00AB4FAA" w:rsidRDefault="00E36FA6">
      <w:pPr>
        <w:widowControl w:val="0"/>
        <w:spacing w:line="240" w:lineRule="auto"/>
      </w:pPr>
      <w:r>
        <w:t xml:space="preserve"> </w:t>
      </w:r>
    </w:p>
    <w:p w:rsidR="00AB4FAA" w:rsidRDefault="00E36FA6">
      <w:pPr>
        <w:widowControl w:val="0"/>
        <w:spacing w:line="240" w:lineRule="auto"/>
      </w:pPr>
      <w:r>
        <w:t xml:space="preserve"> </w:t>
      </w:r>
    </w:p>
    <w:p w:rsidR="00AB4FAA" w:rsidRDefault="00E36FA6">
      <w:pPr>
        <w:widowControl w:val="0"/>
        <w:spacing w:line="240" w:lineRule="auto"/>
        <w:ind w:left="720"/>
      </w:pPr>
      <w:r>
        <w:t>1          You along with others are invited to offer a tender for provision of the above, to the specification outlined in the attached documents. Enclosed are:</w:t>
      </w:r>
    </w:p>
    <w:p w:rsidR="00AB4FAA" w:rsidRDefault="00E36FA6">
      <w:pPr>
        <w:widowControl w:val="0"/>
        <w:spacing w:line="240" w:lineRule="auto"/>
      </w:pPr>
      <w:r>
        <w:t xml:space="preserve"> </w:t>
      </w:r>
    </w:p>
    <w:p w:rsidR="00AB4FAA" w:rsidRDefault="00E36FA6">
      <w:pPr>
        <w:widowControl w:val="0"/>
        <w:spacing w:line="360" w:lineRule="auto"/>
      </w:pPr>
      <w:r>
        <w:t xml:space="preserve">            </w:t>
      </w:r>
      <w:hyperlink w:anchor="bookmark=id.gjdgxs">
        <w:r>
          <w:rPr>
            <w:color w:val="0000FF"/>
            <w:u w:val="single"/>
          </w:rPr>
          <w:t>Document 1    Specification of the requirement.</w:t>
        </w:r>
      </w:hyperlink>
    </w:p>
    <w:p w:rsidR="00AB4FAA" w:rsidRDefault="00E33A25">
      <w:pPr>
        <w:widowControl w:val="0"/>
        <w:spacing w:line="360" w:lineRule="auto"/>
        <w:ind w:left="720"/>
      </w:pPr>
      <w:hyperlink w:anchor="bookmark=id.1fob9te">
        <w:r w:rsidR="00E36FA6">
          <w:rPr>
            <w:color w:val="0000FF"/>
            <w:u w:val="single"/>
          </w:rPr>
          <w:t>Document 2    Instructions on the tendering procedures.</w:t>
        </w:r>
      </w:hyperlink>
    </w:p>
    <w:p w:rsidR="00AB4FAA" w:rsidRDefault="00E33A25">
      <w:pPr>
        <w:widowControl w:val="0"/>
        <w:spacing w:line="360" w:lineRule="auto"/>
        <w:ind w:left="720"/>
      </w:pPr>
      <w:hyperlink w:anchor="bookmark=id.tyjcwt">
        <w:r w:rsidR="00E36FA6">
          <w:rPr>
            <w:color w:val="0000FF"/>
            <w:u w:val="single"/>
          </w:rPr>
          <w:t>Document 3    Departmental standard requirements.</w:t>
        </w:r>
      </w:hyperlink>
    </w:p>
    <w:p w:rsidR="00AB4FAA" w:rsidRDefault="00E36FA6">
      <w:pPr>
        <w:widowControl w:val="0"/>
        <w:spacing w:line="360" w:lineRule="auto"/>
        <w:rPr>
          <w:color w:val="0000FF"/>
          <w:u w:val="single"/>
        </w:rPr>
      </w:pPr>
      <w:r>
        <w:t xml:space="preserve">           </w:t>
      </w:r>
      <w:r>
        <w:fldChar w:fldCharType="begin"/>
      </w:r>
      <w:r>
        <w:instrText xml:space="preserve"> HYPERLINK \l "bookmark=id.4d34og8" </w:instrText>
      </w:r>
      <w:r>
        <w:fldChar w:fldCharType="separate"/>
      </w:r>
      <w:r>
        <w:rPr>
          <w:color w:val="0000FF"/>
          <w:u w:val="single"/>
        </w:rPr>
        <w:t xml:space="preserve"> Document 4    List of attachments.</w:t>
      </w:r>
    </w:p>
    <w:p w:rsidR="00AB4FAA" w:rsidRDefault="00E36FA6">
      <w:pPr>
        <w:widowControl w:val="0"/>
        <w:spacing w:line="240" w:lineRule="auto"/>
      </w:pPr>
      <w:r>
        <w:fldChar w:fldCharType="end"/>
      </w:r>
      <w:r>
        <w:t xml:space="preserve">            </w:t>
      </w:r>
      <w:hyperlink w:anchor="bookmark=id.17dp8vu">
        <w:r>
          <w:rPr>
            <w:color w:val="0000FF"/>
            <w:u w:val="single"/>
          </w:rPr>
          <w:t>Document 5    Declaration and information to be provided by tenderer.</w:t>
        </w:r>
      </w:hyperlink>
    </w:p>
    <w:p w:rsidR="00AB4FAA" w:rsidRDefault="00AB4FAA">
      <w:pPr>
        <w:widowControl w:val="0"/>
        <w:spacing w:line="240" w:lineRule="auto"/>
        <w:rPr>
          <w:color w:val="0000FF"/>
          <w:u w:val="single"/>
        </w:rPr>
      </w:pPr>
    </w:p>
    <w:p w:rsidR="00AB4FAA" w:rsidRDefault="00E33A25">
      <w:pPr>
        <w:widowControl w:val="0"/>
        <w:spacing w:line="240" w:lineRule="auto"/>
        <w:ind w:left="2160" w:hanging="1440"/>
      </w:pPr>
      <w:hyperlink w:anchor="bookmark=id.1mrcu09">
        <w:r w:rsidR="00E36FA6">
          <w:rPr>
            <w:color w:val="0000FF"/>
            <w:u w:val="single"/>
          </w:rPr>
          <w:t>Attachments    Draft Terms and Conditions, Departmental Security Standards</w:t>
        </w:r>
      </w:hyperlink>
    </w:p>
    <w:p w:rsidR="00AB4FAA" w:rsidRDefault="00AB4FAA">
      <w:pPr>
        <w:widowControl w:val="0"/>
        <w:spacing w:line="240" w:lineRule="auto"/>
        <w:ind w:left="2160" w:hanging="1440"/>
      </w:pPr>
    </w:p>
    <w:p w:rsidR="00AB4FAA" w:rsidRDefault="00E33A25">
      <w:pPr>
        <w:widowControl w:val="0"/>
        <w:spacing w:line="240" w:lineRule="auto"/>
        <w:ind w:left="2160" w:hanging="1440"/>
      </w:pPr>
      <w:hyperlink w:anchor="bookmark=id.111kx3o">
        <w:r w:rsidR="00E36FA6">
          <w:rPr>
            <w:color w:val="0000FF"/>
            <w:u w:val="single"/>
          </w:rPr>
          <w:t>Annex 1</w:t>
        </w:r>
        <w:r w:rsidR="00E36FA6">
          <w:rPr>
            <w:color w:val="0000FF"/>
            <w:u w:val="single"/>
          </w:rPr>
          <w:tab/>
          <w:t>Conflicts of Interest</w:t>
        </w:r>
      </w:hyperlink>
    </w:p>
    <w:p w:rsidR="00AB4FAA" w:rsidRDefault="00E36FA6">
      <w:pPr>
        <w:widowControl w:val="0"/>
        <w:spacing w:line="240" w:lineRule="auto"/>
      </w:pPr>
      <w:r>
        <w:t xml:space="preserve">            </w:t>
      </w:r>
    </w:p>
    <w:p w:rsidR="00AB4FAA" w:rsidRDefault="00AB4FAA">
      <w:pPr>
        <w:widowControl w:val="0"/>
        <w:spacing w:line="240" w:lineRule="auto"/>
      </w:pPr>
    </w:p>
    <w:p w:rsidR="00AB4FAA" w:rsidRDefault="00E36FA6">
      <w:pPr>
        <w:widowControl w:val="0"/>
        <w:spacing w:line="240" w:lineRule="auto"/>
      </w:pPr>
      <w:r>
        <w:t xml:space="preserve">Please submit your bid to Colin Seymour </w:t>
      </w:r>
    </w:p>
    <w:p w:rsidR="00AB4FAA" w:rsidRDefault="00E36FA6">
      <w:pPr>
        <w:widowControl w:val="0"/>
        <w:spacing w:line="240" w:lineRule="auto"/>
        <w:rPr>
          <w:b/>
        </w:rPr>
      </w:pPr>
      <w:r>
        <w:t>(</w:t>
      </w:r>
      <w:hyperlink r:id="rId9">
        <w:r>
          <w:rPr>
            <w:color w:val="1155CC"/>
            <w:u w:val="single"/>
          </w:rPr>
          <w:t>Colin.Seymour@cabinetoffice.gov.uk</w:t>
        </w:r>
      </w:hyperlink>
      <w:r>
        <w:t xml:space="preserve"> ) by </w:t>
      </w:r>
      <w:r w:rsidR="00DC3FCF" w:rsidRPr="00DC3FCF">
        <w:rPr>
          <w:b/>
        </w:rPr>
        <w:t>1</w:t>
      </w:r>
      <w:r>
        <w:rPr>
          <w:b/>
        </w:rPr>
        <w:t>4 February 2022 at noon</w:t>
      </w: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EF7B94" w:rsidRDefault="00EF7B94">
      <w:pPr>
        <w:widowControl w:val="0"/>
        <w:spacing w:line="240" w:lineRule="auto"/>
      </w:pPr>
    </w:p>
    <w:p w:rsidR="00EF7B94" w:rsidRDefault="00EF7B94">
      <w:pPr>
        <w:widowControl w:val="0"/>
        <w:spacing w:line="240" w:lineRule="auto"/>
      </w:pPr>
    </w:p>
    <w:p w:rsidR="00EF7B94" w:rsidRDefault="00EF7B94">
      <w:pPr>
        <w:widowControl w:val="0"/>
        <w:spacing w:line="240" w:lineRule="auto"/>
      </w:pPr>
    </w:p>
    <w:p w:rsidR="00EF7B94" w:rsidRDefault="00EF7B94">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E36FA6">
      <w:pPr>
        <w:widowControl w:val="0"/>
        <w:spacing w:line="240" w:lineRule="auto"/>
        <w:jc w:val="right"/>
        <w:rPr>
          <w:b/>
        </w:rPr>
      </w:pPr>
      <w:bookmarkStart w:id="0" w:name="bookmark=id.gjdgxs" w:colFirst="0" w:colLast="0"/>
      <w:bookmarkEnd w:id="0"/>
      <w:r>
        <w:rPr>
          <w:b/>
        </w:rPr>
        <w:lastRenderedPageBreak/>
        <w:t>DOCUMENT 1</w:t>
      </w:r>
    </w:p>
    <w:p w:rsidR="00AB4FAA" w:rsidRDefault="00AB4FAA">
      <w:pPr>
        <w:widowControl w:val="0"/>
        <w:spacing w:line="240" w:lineRule="auto"/>
        <w:jc w:val="right"/>
      </w:pPr>
    </w:p>
    <w:p w:rsidR="00AB4FAA" w:rsidRDefault="00E36FA6">
      <w:pPr>
        <w:widowControl w:val="0"/>
        <w:spacing w:line="240" w:lineRule="auto"/>
      </w:pPr>
      <w:r>
        <w:rPr>
          <w:b/>
        </w:rPr>
        <w:t>SPECIFICATION</w:t>
      </w:r>
    </w:p>
    <w:p w:rsidR="00AB4FAA" w:rsidRDefault="00AB4FAA">
      <w:pPr>
        <w:widowControl w:val="0"/>
        <w:spacing w:line="240" w:lineRule="auto"/>
        <w:rPr>
          <w:b/>
        </w:rPr>
      </w:pPr>
    </w:p>
    <w:p w:rsidR="00AB4FAA" w:rsidRDefault="00E36FA6">
      <w:pPr>
        <w:widowControl w:val="0"/>
        <w:spacing w:line="240" w:lineRule="auto"/>
        <w:rPr>
          <w:b/>
        </w:rPr>
      </w:pPr>
      <w:r>
        <w:rPr>
          <w:b/>
        </w:rPr>
        <w:t xml:space="preserve"> 1         Introduction</w:t>
      </w:r>
    </w:p>
    <w:p w:rsidR="00AB4FAA" w:rsidRDefault="00AB4FAA">
      <w:pPr>
        <w:widowControl w:val="0"/>
        <w:spacing w:line="240" w:lineRule="auto"/>
        <w:rPr>
          <w:b/>
        </w:rPr>
      </w:pPr>
    </w:p>
    <w:p w:rsidR="00AB4FAA" w:rsidRDefault="00E36FA6">
      <w:pPr>
        <w:widowControl w:val="0"/>
        <w:spacing w:line="240" w:lineRule="auto"/>
        <w:rPr>
          <w:color w:val="FF0000"/>
        </w:rPr>
      </w:pPr>
      <w:r>
        <w:rPr>
          <w:color w:val="000000"/>
        </w:rPr>
        <w:t>The Social Mobility Commission</w:t>
      </w:r>
      <w:r>
        <w:t xml:space="preserve"> (SMC)</w:t>
      </w:r>
      <w:r>
        <w:rPr>
          <w:color w:val="000000"/>
        </w:rPr>
        <w:t xml:space="preserve"> monitors progress towards improving social mobility in the UK and promotes social mobility in England. It is an independent statutory body created by an Act of Parliament. </w:t>
      </w:r>
    </w:p>
    <w:p w:rsidR="00AB4FAA" w:rsidRDefault="00AB4FAA">
      <w:pPr>
        <w:widowControl w:val="0"/>
        <w:spacing w:line="240" w:lineRule="auto"/>
        <w:rPr>
          <w:color w:val="FF0000"/>
        </w:rPr>
      </w:pPr>
    </w:p>
    <w:p w:rsidR="00AB4FAA" w:rsidRDefault="00E36FA6">
      <w:pPr>
        <w:widowControl w:val="0"/>
        <w:shd w:val="clear" w:color="auto" w:fill="FFFFFF"/>
        <w:spacing w:line="240" w:lineRule="auto"/>
        <w:rPr>
          <w:color w:val="222222"/>
        </w:rPr>
      </w:pPr>
      <w:r>
        <w:rPr>
          <w:color w:val="222222"/>
        </w:rPr>
        <w:t xml:space="preserve">For information, please see the </w:t>
      </w:r>
      <w:hyperlink r:id="rId10">
        <w:r>
          <w:rPr>
            <w:color w:val="1155CC"/>
            <w:u w:val="single"/>
          </w:rPr>
          <w:t>2021 State of the Nation Report</w:t>
        </w:r>
      </w:hyperlink>
      <w:r>
        <w:rPr>
          <w:color w:val="222222"/>
        </w:rPr>
        <w:t xml:space="preserve">, which is our annual report as required by </w:t>
      </w:r>
      <w:hyperlink r:id="rId11">
        <w:r>
          <w:rPr>
            <w:color w:val="1155CC"/>
            <w:u w:val="single"/>
          </w:rPr>
          <w:t>statute</w:t>
        </w:r>
      </w:hyperlink>
      <w:r>
        <w:rPr>
          <w:color w:val="222222"/>
        </w:rPr>
        <w:t>.</w:t>
      </w:r>
    </w:p>
    <w:p w:rsidR="00AB4FAA" w:rsidRDefault="00AB4FAA">
      <w:pPr>
        <w:widowControl w:val="0"/>
        <w:spacing w:line="240" w:lineRule="auto"/>
        <w:rPr>
          <w:color w:val="FF0000"/>
        </w:rPr>
      </w:pPr>
    </w:p>
    <w:p w:rsidR="00AB4FAA" w:rsidRDefault="00E36FA6">
      <w:pPr>
        <w:widowControl w:val="0"/>
        <w:spacing w:line="240" w:lineRule="auto"/>
      </w:pPr>
      <w:r>
        <w:t>The SMC is establishing a Policy and Evidence Advisory Panel of subject-matter experts to provide advice on a range of issues that impact social mobility:</w:t>
      </w:r>
    </w:p>
    <w:p w:rsidR="00AB4FAA" w:rsidRDefault="00E36FA6">
      <w:pPr>
        <w:widowControl w:val="0"/>
        <w:spacing w:line="240" w:lineRule="auto"/>
      </w:pPr>
      <w:r>
        <w:t xml:space="preserve">     </w:t>
      </w:r>
    </w:p>
    <w:p w:rsidR="00AB4FAA" w:rsidRDefault="00E36FA6">
      <w:pPr>
        <w:widowControl w:val="0"/>
        <w:spacing w:line="240" w:lineRule="auto"/>
      </w:pPr>
      <w:r>
        <w:t>Academic roles:</w:t>
      </w:r>
    </w:p>
    <w:p w:rsidR="00AB4FAA" w:rsidRDefault="00E36FA6">
      <w:pPr>
        <w:widowControl w:val="0"/>
        <w:numPr>
          <w:ilvl w:val="0"/>
          <w:numId w:val="34"/>
        </w:numPr>
        <w:spacing w:line="240" w:lineRule="auto"/>
      </w:pPr>
      <w:r>
        <w:t>Education (Lot 1)</w:t>
      </w:r>
    </w:p>
    <w:p w:rsidR="00AB4FAA" w:rsidRDefault="00E36FA6">
      <w:pPr>
        <w:widowControl w:val="0"/>
        <w:numPr>
          <w:ilvl w:val="0"/>
          <w:numId w:val="34"/>
        </w:numPr>
        <w:spacing w:line="240" w:lineRule="auto"/>
      </w:pPr>
      <w:r>
        <w:t>Measurement (quantitative analysis) (Lot 2)</w:t>
      </w:r>
    </w:p>
    <w:p w:rsidR="00AB4FAA" w:rsidRDefault="00E36FA6">
      <w:pPr>
        <w:widowControl w:val="0"/>
        <w:numPr>
          <w:ilvl w:val="0"/>
          <w:numId w:val="34"/>
        </w:numPr>
        <w:spacing w:line="240" w:lineRule="auto"/>
      </w:pPr>
      <w:r>
        <w:t>Routes to employment and the labour market (Lot 3)</w:t>
      </w:r>
    </w:p>
    <w:p w:rsidR="00AB4FAA" w:rsidRDefault="00E36FA6">
      <w:pPr>
        <w:widowControl w:val="0"/>
        <w:numPr>
          <w:ilvl w:val="0"/>
          <w:numId w:val="34"/>
        </w:numPr>
        <w:spacing w:line="240" w:lineRule="auto"/>
      </w:pPr>
      <w:r>
        <w:t>Families expert (Lot 4)</w:t>
      </w:r>
    </w:p>
    <w:p w:rsidR="00AB4FAA" w:rsidRDefault="00E36FA6">
      <w:pPr>
        <w:widowControl w:val="0"/>
        <w:spacing w:line="240" w:lineRule="auto"/>
      </w:pPr>
      <w:r>
        <w:t xml:space="preserve">     </w:t>
      </w:r>
    </w:p>
    <w:p w:rsidR="00AB4FAA" w:rsidRDefault="00E36FA6">
      <w:pPr>
        <w:widowControl w:val="0"/>
        <w:spacing w:line="240" w:lineRule="auto"/>
      </w:pPr>
      <w:r>
        <w:t>Policy roles:</w:t>
      </w:r>
    </w:p>
    <w:p w:rsidR="00AB4FAA" w:rsidRDefault="00E36FA6">
      <w:pPr>
        <w:widowControl w:val="0"/>
        <w:numPr>
          <w:ilvl w:val="0"/>
          <w:numId w:val="34"/>
        </w:numPr>
        <w:spacing w:line="240" w:lineRule="auto"/>
      </w:pPr>
      <w:r>
        <w:t>Education (schools) (Lot 5)</w:t>
      </w:r>
    </w:p>
    <w:p w:rsidR="00AB4FAA" w:rsidRDefault="00E36FA6">
      <w:pPr>
        <w:widowControl w:val="0"/>
        <w:numPr>
          <w:ilvl w:val="0"/>
          <w:numId w:val="34"/>
        </w:numPr>
        <w:spacing w:line="240" w:lineRule="auto"/>
      </w:pPr>
      <w:r>
        <w:t>Education (further education) (Lot 6)</w:t>
      </w:r>
    </w:p>
    <w:p w:rsidR="00AB4FAA" w:rsidRDefault="00E36FA6">
      <w:pPr>
        <w:widowControl w:val="0"/>
        <w:numPr>
          <w:ilvl w:val="0"/>
          <w:numId w:val="34"/>
        </w:numPr>
        <w:spacing w:line="240" w:lineRule="auto"/>
      </w:pPr>
      <w:r>
        <w:t>Families expert (Lot 7)</w:t>
      </w:r>
    </w:p>
    <w:p w:rsidR="00AB4FAA" w:rsidRDefault="00E36FA6">
      <w:pPr>
        <w:widowControl w:val="0"/>
        <w:numPr>
          <w:ilvl w:val="0"/>
          <w:numId w:val="34"/>
        </w:numPr>
        <w:spacing w:line="240" w:lineRule="auto"/>
      </w:pPr>
      <w:r>
        <w:t>Levelling up - geographic/ place inequalities (Lot 8)</w:t>
      </w:r>
    </w:p>
    <w:p w:rsidR="00AB4FAA" w:rsidRDefault="00AB4FAA">
      <w:pPr>
        <w:widowControl w:val="0"/>
        <w:spacing w:line="240" w:lineRule="auto"/>
        <w:ind w:left="720"/>
      </w:pPr>
    </w:p>
    <w:p w:rsidR="00AB4FAA" w:rsidRDefault="00AB4FAA">
      <w:pPr>
        <w:widowControl w:val="0"/>
        <w:spacing w:line="240" w:lineRule="auto"/>
        <w:ind w:left="360"/>
      </w:pPr>
    </w:p>
    <w:p w:rsidR="00AB4FAA" w:rsidRDefault="00AB4FAA">
      <w:pPr>
        <w:widowControl w:val="0"/>
        <w:spacing w:line="240" w:lineRule="auto"/>
      </w:pPr>
    </w:p>
    <w:p w:rsidR="00AB4FAA" w:rsidRDefault="00E36FA6">
      <w:pPr>
        <w:widowControl w:val="0"/>
        <w:spacing w:line="240" w:lineRule="auto"/>
      </w:pPr>
      <w:r>
        <w:t>The panel will consist of both academic leaders in their field as well as seasoned policy experts. The final number of experts recruited will depend on the quality of bids received and budget considerations but is expected to be approximately 8 individuals.</w:t>
      </w:r>
    </w:p>
    <w:p w:rsidR="00AB4FAA" w:rsidRDefault="00AB4FAA">
      <w:pPr>
        <w:widowControl w:val="0"/>
        <w:pBdr>
          <w:top w:val="nil"/>
          <w:left w:val="nil"/>
          <w:bottom w:val="nil"/>
          <w:right w:val="nil"/>
          <w:between w:val="nil"/>
        </w:pBdr>
        <w:spacing w:line="240" w:lineRule="auto"/>
      </w:pPr>
    </w:p>
    <w:p w:rsidR="00AB4FAA" w:rsidRDefault="00E36FA6">
      <w:pPr>
        <w:widowControl w:val="0"/>
        <w:pBdr>
          <w:top w:val="nil"/>
          <w:left w:val="nil"/>
          <w:bottom w:val="nil"/>
          <w:right w:val="nil"/>
          <w:between w:val="nil"/>
        </w:pBdr>
        <w:spacing w:line="240" w:lineRule="auto"/>
        <w:rPr>
          <w:color w:val="000000"/>
        </w:rPr>
      </w:pPr>
      <w:r>
        <w:t xml:space="preserve">Being an expert on the Policy and Evidence Advisory Panel provides a unique opportunity to help shape the SMC’s mission of improving social mobility for all.  </w:t>
      </w:r>
      <w:r>
        <w:rPr>
          <w:color w:val="000000"/>
        </w:rPr>
        <w:t xml:space="preserve">We intend to use advice arising from this contract </w:t>
      </w:r>
      <w:proofErr w:type="gramStart"/>
      <w:r>
        <w:rPr>
          <w:color w:val="000000"/>
        </w:rPr>
        <w:t>to  inform</w:t>
      </w:r>
      <w:proofErr w:type="gramEnd"/>
      <w:r>
        <w:rPr>
          <w:color w:val="000000"/>
        </w:rPr>
        <w:t xml:space="preserve"> our thinking – we do not expect suppliers to engage on our behalf.</w:t>
      </w:r>
    </w:p>
    <w:p w:rsidR="00AB4FAA" w:rsidRDefault="00AB4FAA">
      <w:pPr>
        <w:widowControl w:val="0"/>
        <w:spacing w:line="240" w:lineRule="auto"/>
      </w:pPr>
    </w:p>
    <w:p w:rsidR="00AB4FAA" w:rsidRDefault="00E36FA6">
      <w:pPr>
        <w:widowControl w:val="0"/>
        <w:spacing w:line="240" w:lineRule="auto"/>
      </w:pPr>
      <w:r>
        <w:t xml:space="preserve">A key task will be to review and provide input into the Social Mobility Commission’s annual statutory report, </w:t>
      </w:r>
      <w:r>
        <w:rPr>
          <w:i/>
        </w:rPr>
        <w:t>The State of the Nation</w:t>
      </w:r>
      <w:r>
        <w:t xml:space="preserve">.  This is laid before Parliament each year.  In 2022 we expect to launch the report in April, so this will be one of the Panel’s first tasks.  On a more ongoing basis, we will request panel members to be a sounding board for us – on our research pipeline, our policy recommendations, as well as when we are scoping new areas that may have causal links to social mobility.  </w:t>
      </w:r>
    </w:p>
    <w:p w:rsidR="00AB4FAA" w:rsidRDefault="00AB4FAA">
      <w:pPr>
        <w:widowControl w:val="0"/>
        <w:spacing w:line="240" w:lineRule="auto"/>
        <w:ind w:left="720"/>
      </w:pPr>
    </w:p>
    <w:p w:rsidR="00AB4FAA" w:rsidRDefault="00E36FA6">
      <w:pPr>
        <w:spacing w:after="240" w:line="240" w:lineRule="auto"/>
      </w:pPr>
      <w:r>
        <w:t xml:space="preserve">Anyone holding a role on the panel </w:t>
      </w:r>
      <w:r>
        <w:rPr>
          <w:b/>
        </w:rPr>
        <w:t>will not be excluded from bidding for future contracts offered by the SMC</w:t>
      </w:r>
      <w:r>
        <w:t xml:space="preserve">. Nor will holding a role on the panel provide anyone with any advantages in being considered for future bids for SMC contracts. To avoid a conflict of interest, experts on the panel would not be expected to advise on work they have been separately contracted by the SMC to do. In this case, we would aim to allocate experts to work where there is no such conflict of interest.   </w:t>
      </w:r>
    </w:p>
    <w:p w:rsidR="00EF7B94" w:rsidRDefault="00EF7B94">
      <w:pPr>
        <w:spacing w:line="240" w:lineRule="auto"/>
        <w:rPr>
          <w:b/>
        </w:rPr>
      </w:pPr>
    </w:p>
    <w:p w:rsidR="00EF7B94" w:rsidRDefault="00EF7B94">
      <w:pPr>
        <w:spacing w:line="240" w:lineRule="auto"/>
        <w:rPr>
          <w:b/>
        </w:rPr>
      </w:pPr>
    </w:p>
    <w:p w:rsidR="00AB4FAA" w:rsidRDefault="00E36FA6">
      <w:pPr>
        <w:spacing w:line="240" w:lineRule="auto"/>
        <w:rPr>
          <w:b/>
        </w:rPr>
      </w:pPr>
      <w:r>
        <w:rPr>
          <w:b/>
        </w:rPr>
        <w:lastRenderedPageBreak/>
        <w:t xml:space="preserve">2          Objectives </w:t>
      </w:r>
    </w:p>
    <w:p w:rsidR="00AB4FAA" w:rsidRDefault="00AB4FAA">
      <w:pPr>
        <w:widowControl w:val="0"/>
        <w:spacing w:line="240" w:lineRule="auto"/>
        <w:rPr>
          <w:b/>
        </w:rPr>
      </w:pPr>
    </w:p>
    <w:p w:rsidR="00AB4FAA" w:rsidRDefault="00E36FA6">
      <w:pPr>
        <w:widowControl w:val="0"/>
        <w:spacing w:line="240" w:lineRule="auto"/>
      </w:pPr>
      <w:r>
        <w:t xml:space="preserve">The ultimate goal of the SMC is to help society to become more socially mobile. By providing scrutiny and challenge, policy and academic experts on the panel can help enhance the work done at the SMC through three distinct channels: </w:t>
      </w:r>
    </w:p>
    <w:p w:rsidR="00AB4FAA" w:rsidRDefault="00AB4FAA">
      <w:pPr>
        <w:widowControl w:val="0"/>
        <w:spacing w:line="240" w:lineRule="auto"/>
      </w:pPr>
    </w:p>
    <w:p w:rsidR="00AB4FAA" w:rsidRDefault="00AB4FAA">
      <w:pPr>
        <w:widowControl w:val="0"/>
        <w:spacing w:line="240" w:lineRule="auto"/>
      </w:pPr>
    </w:p>
    <w:p w:rsidR="00AB4FAA" w:rsidRDefault="00E36FA6">
      <w:pPr>
        <w:numPr>
          <w:ilvl w:val="0"/>
          <w:numId w:val="33"/>
        </w:numPr>
        <w:spacing w:line="240" w:lineRule="auto"/>
        <w:rPr>
          <w:b/>
          <w:color w:val="000000"/>
        </w:rPr>
      </w:pPr>
      <w:r>
        <w:rPr>
          <w:b/>
          <w:color w:val="000000"/>
        </w:rPr>
        <w:t>Quality assurance (QA):</w:t>
      </w:r>
    </w:p>
    <w:p w:rsidR="00AB4FAA" w:rsidRDefault="00E36FA6">
      <w:pPr>
        <w:spacing w:line="240" w:lineRule="auto"/>
        <w:ind w:left="1440"/>
        <w:rPr>
          <w:color w:val="000000"/>
        </w:rPr>
      </w:pPr>
      <w:r>
        <w:t>Both policy and academic e</w:t>
      </w:r>
      <w:r>
        <w:rPr>
          <w:color w:val="000000"/>
        </w:rPr>
        <w:t xml:space="preserve">xperts </w:t>
      </w:r>
      <w:r>
        <w:t>are expected to</w:t>
      </w:r>
      <w:r>
        <w:rPr>
          <w:color w:val="000000"/>
        </w:rPr>
        <w:t xml:space="preserve"> provide an extra layer of quality assurance (QA) on </w:t>
      </w:r>
      <w:r>
        <w:t xml:space="preserve">the statutory report and other research </w:t>
      </w:r>
      <w:r>
        <w:rPr>
          <w:color w:val="000000"/>
        </w:rPr>
        <w:t xml:space="preserve">projects. This would include both work which has been commissioned out to suppliers and work done internally. As this is an advisory role, experts would not be held responsible for the quality of the final product. </w:t>
      </w:r>
    </w:p>
    <w:p w:rsidR="00AB4FAA" w:rsidRDefault="00AB4FAA">
      <w:pPr>
        <w:spacing w:line="240" w:lineRule="auto"/>
      </w:pPr>
    </w:p>
    <w:p w:rsidR="00AB4FAA" w:rsidRDefault="00E36FA6">
      <w:pPr>
        <w:numPr>
          <w:ilvl w:val="0"/>
          <w:numId w:val="33"/>
        </w:numPr>
        <w:pBdr>
          <w:top w:val="nil"/>
          <w:left w:val="nil"/>
          <w:bottom w:val="nil"/>
          <w:right w:val="nil"/>
          <w:between w:val="nil"/>
        </w:pBdr>
        <w:spacing w:line="240" w:lineRule="auto"/>
        <w:rPr>
          <w:b/>
          <w:color w:val="000000"/>
        </w:rPr>
      </w:pPr>
      <w:r>
        <w:rPr>
          <w:b/>
          <w:color w:val="000000"/>
        </w:rPr>
        <w:t xml:space="preserve">Policy </w:t>
      </w:r>
      <w:r>
        <w:rPr>
          <w:b/>
        </w:rPr>
        <w:t>recommendations</w:t>
      </w:r>
      <w:r>
        <w:rPr>
          <w:b/>
          <w:color w:val="000000"/>
        </w:rPr>
        <w:t>:</w:t>
      </w:r>
    </w:p>
    <w:p w:rsidR="00AB4FAA" w:rsidRDefault="00E36FA6">
      <w:pPr>
        <w:spacing w:line="240" w:lineRule="auto"/>
        <w:ind w:left="1440"/>
        <w:rPr>
          <w:color w:val="000000"/>
        </w:rPr>
      </w:pPr>
      <w:r>
        <w:t xml:space="preserve">Both academic and policy experts are expected to input into proposed policy recommendations.  We will draw on panel members as a sounding board on areas of their expertise, and to provide additional policy context as needed.  The SMC will ultimately decide what final policy recommendations are.           </w:t>
      </w:r>
    </w:p>
    <w:p w:rsidR="00AB4FAA" w:rsidRDefault="00AB4FAA">
      <w:pPr>
        <w:spacing w:line="240" w:lineRule="auto"/>
      </w:pPr>
    </w:p>
    <w:p w:rsidR="00AB4FAA" w:rsidRDefault="00E36FA6">
      <w:pPr>
        <w:spacing w:line="240" w:lineRule="auto"/>
        <w:ind w:left="1440"/>
      </w:pPr>
      <w:r>
        <w:t>Academic experts will be expected to advise on the evidence underpinning policy recommendations.</w:t>
      </w:r>
    </w:p>
    <w:p w:rsidR="00AB4FAA" w:rsidRDefault="00AB4FAA">
      <w:pPr>
        <w:spacing w:line="240" w:lineRule="auto"/>
        <w:ind w:left="1440"/>
      </w:pPr>
    </w:p>
    <w:p w:rsidR="00AB4FAA" w:rsidRDefault="00E36FA6">
      <w:pPr>
        <w:numPr>
          <w:ilvl w:val="0"/>
          <w:numId w:val="23"/>
        </w:numPr>
        <w:spacing w:line="240" w:lineRule="auto"/>
        <w:rPr>
          <w:b/>
          <w:color w:val="000000"/>
        </w:rPr>
      </w:pPr>
      <w:r>
        <w:rPr>
          <w:b/>
          <w:color w:val="000000"/>
        </w:rPr>
        <w:t>Research scoping and methodology:</w:t>
      </w:r>
    </w:p>
    <w:p w:rsidR="00AB4FAA" w:rsidRDefault="00E36FA6">
      <w:pPr>
        <w:spacing w:line="240" w:lineRule="auto"/>
        <w:ind w:left="1440"/>
      </w:pPr>
      <w:r>
        <w:t>Experts will be expected to advise on the latest</w:t>
      </w:r>
      <w:r>
        <w:rPr>
          <w:color w:val="000000"/>
        </w:rPr>
        <w:t xml:space="preserve"> evidence related to social mobility in the area of their subject-matter expertise. This will also include informing us of where there are evidence gaps, or conflicting views.  </w:t>
      </w:r>
    </w:p>
    <w:p w:rsidR="00AB4FAA" w:rsidRDefault="00E36FA6">
      <w:pPr>
        <w:spacing w:line="240" w:lineRule="auto"/>
        <w:ind w:left="1440"/>
      </w:pPr>
      <w:r>
        <w:rPr>
          <w:color w:val="000000"/>
        </w:rPr>
        <w:t xml:space="preserve">Academic experts will be expected to </w:t>
      </w:r>
      <w:r>
        <w:t>advise</w:t>
      </w:r>
      <w:r>
        <w:rPr>
          <w:color w:val="000000"/>
        </w:rPr>
        <w:t xml:space="preserve"> if the most suitable literature is captured in an evidence review and that appropriate conclusions are drawn from it, based on the strength of evidence. </w:t>
      </w:r>
    </w:p>
    <w:p w:rsidR="00AB4FAA" w:rsidRDefault="00AB4FAA">
      <w:pPr>
        <w:spacing w:line="240" w:lineRule="auto"/>
        <w:ind w:left="1440"/>
      </w:pPr>
    </w:p>
    <w:p w:rsidR="00AB4FAA" w:rsidRDefault="00E36FA6">
      <w:pPr>
        <w:spacing w:line="240" w:lineRule="auto"/>
        <w:ind w:left="1440"/>
        <w:rPr>
          <w:color w:val="000000"/>
        </w:rPr>
      </w:pPr>
      <w:r>
        <w:t>Both academic and policy experts are expected to act as a sounding board on</w:t>
      </w:r>
      <w:r>
        <w:rPr>
          <w:color w:val="000000"/>
        </w:rPr>
        <w:t xml:space="preserve"> knowledge gaps and ideas for future research. </w:t>
      </w:r>
    </w:p>
    <w:p w:rsidR="00AB4FAA" w:rsidRDefault="00AB4FAA">
      <w:pPr>
        <w:widowControl w:val="0"/>
        <w:spacing w:line="240" w:lineRule="auto"/>
      </w:pPr>
    </w:p>
    <w:p w:rsidR="00AB4FAA" w:rsidRDefault="00E36FA6">
      <w:pPr>
        <w:widowControl w:val="0"/>
        <w:rPr>
          <w:b/>
        </w:rPr>
      </w:pPr>
      <w:r>
        <w:rPr>
          <w:b/>
        </w:rPr>
        <w:t>3          Deliverables</w:t>
      </w:r>
    </w:p>
    <w:p w:rsidR="00AB4FAA" w:rsidRDefault="00AB4FAA">
      <w:pPr>
        <w:widowControl w:val="0"/>
        <w:rPr>
          <w:b/>
        </w:rPr>
      </w:pPr>
    </w:p>
    <w:p w:rsidR="00AB4FAA" w:rsidRDefault="00E36FA6">
      <w:pPr>
        <w:widowControl w:val="0"/>
      </w:pPr>
      <w:r>
        <w:t>Members of the Policy &amp; Evidence Technical Advisory Panel are expected to deliver the following outputs:</w:t>
      </w:r>
    </w:p>
    <w:p w:rsidR="00AB4FAA" w:rsidRDefault="00AB4FAA">
      <w:pPr>
        <w:widowControl w:val="0"/>
        <w:rPr>
          <w:b/>
        </w:rPr>
      </w:pPr>
    </w:p>
    <w:p w:rsidR="00AB4FAA" w:rsidRDefault="00E36FA6">
      <w:pPr>
        <w:widowControl w:val="0"/>
        <w:spacing w:after="240" w:line="240" w:lineRule="auto"/>
      </w:pPr>
      <w:r>
        <w:rPr>
          <w:u w:val="single"/>
        </w:rPr>
        <w:t>Deliverable 1: Provide quality advice on areas of their subject-matter expertise</w:t>
      </w:r>
    </w:p>
    <w:p w:rsidR="00AB4FAA" w:rsidRDefault="00E36FA6">
      <w:pPr>
        <w:widowControl w:val="0"/>
        <w:spacing w:after="240" w:line="240" w:lineRule="auto"/>
      </w:pPr>
      <w:r>
        <w:t>The SMC will request individual panel members for views on potential research projects, evidence gaps, policy recommendations and any risks in framing based on their subject matter expertise.  This will be through calls, emails and potential face to face meetings.</w:t>
      </w:r>
    </w:p>
    <w:p w:rsidR="00AB4FAA" w:rsidRDefault="00E36FA6">
      <w:pPr>
        <w:widowControl w:val="0"/>
        <w:spacing w:after="240" w:line="240" w:lineRule="auto"/>
        <w:rPr>
          <w:u w:val="single"/>
        </w:rPr>
      </w:pPr>
      <w:r>
        <w:rPr>
          <w:u w:val="single"/>
        </w:rPr>
        <w:t>Deliverable 2: Provide quality assurance</w:t>
      </w:r>
    </w:p>
    <w:p w:rsidR="00AB4FAA" w:rsidRDefault="00E36FA6">
      <w:pPr>
        <w:widowControl w:val="0"/>
        <w:spacing w:line="240" w:lineRule="auto"/>
      </w:pPr>
      <w:r>
        <w:t xml:space="preserve">The SMC will request individual panel members to provide feedback on draft research reports, policy briefs and their recommendations. This will include the statutory report, </w:t>
      </w:r>
      <w:r>
        <w:rPr>
          <w:i/>
        </w:rPr>
        <w:t>State of the Nation</w:t>
      </w:r>
      <w:r>
        <w:t xml:space="preserve">, but will also extend to other research or policy briefings in the area of a panel member’s subject-matter expertise. </w:t>
      </w:r>
    </w:p>
    <w:p w:rsidR="00AB4FAA" w:rsidRDefault="00AB4FAA">
      <w:pPr>
        <w:widowControl w:val="0"/>
        <w:spacing w:line="240" w:lineRule="auto"/>
      </w:pPr>
    </w:p>
    <w:p w:rsidR="00EF7B94" w:rsidRDefault="00EF7B94">
      <w:pPr>
        <w:widowControl w:val="0"/>
        <w:spacing w:after="240" w:line="240" w:lineRule="auto"/>
        <w:rPr>
          <w:u w:val="single"/>
        </w:rPr>
      </w:pPr>
    </w:p>
    <w:p w:rsidR="00AB4FAA" w:rsidRDefault="00E36FA6">
      <w:pPr>
        <w:widowControl w:val="0"/>
        <w:spacing w:after="240" w:line="240" w:lineRule="auto"/>
      </w:pPr>
      <w:r>
        <w:rPr>
          <w:u w:val="single"/>
        </w:rPr>
        <w:lastRenderedPageBreak/>
        <w:t xml:space="preserve">Deliverable 3: Provide thought leadership and upskilling </w:t>
      </w:r>
    </w:p>
    <w:p w:rsidR="00AB4FAA" w:rsidRDefault="00E36FA6">
      <w:pPr>
        <w:widowControl w:val="0"/>
        <w:spacing w:line="240" w:lineRule="auto"/>
      </w:pPr>
      <w:r>
        <w:t xml:space="preserve">The SMC may from time to time ask panel members to present to the Secretariat or its Commissioners on the latest policy or evidence in the area of their subject-matter expertise.  </w:t>
      </w:r>
    </w:p>
    <w:p w:rsidR="00AB4FAA" w:rsidRDefault="00AB4FAA">
      <w:pPr>
        <w:widowControl w:val="0"/>
        <w:spacing w:line="240" w:lineRule="auto"/>
        <w:ind w:left="720"/>
        <w:rPr>
          <w:b/>
        </w:rPr>
      </w:pPr>
    </w:p>
    <w:p w:rsidR="00AB4FAA" w:rsidRDefault="00E36FA6">
      <w:pPr>
        <w:widowControl w:val="0"/>
        <w:spacing w:line="240" w:lineRule="auto"/>
        <w:rPr>
          <w:b/>
        </w:rPr>
      </w:pPr>
      <w:r>
        <w:rPr>
          <w:b/>
        </w:rPr>
        <w:t>4          Approach and Specification/Selection Criteria</w:t>
      </w:r>
    </w:p>
    <w:p w:rsidR="00AB4FAA" w:rsidRDefault="00AB4FAA">
      <w:pPr>
        <w:widowControl w:val="0"/>
        <w:spacing w:line="240" w:lineRule="auto"/>
      </w:pPr>
    </w:p>
    <w:p w:rsidR="00AB4FAA" w:rsidRDefault="00E36FA6">
      <w:pPr>
        <w:widowControl w:val="0"/>
        <w:spacing w:line="240" w:lineRule="auto"/>
      </w:pPr>
      <w:r>
        <w:rPr>
          <w:b/>
        </w:rPr>
        <w:t>Time commitment</w:t>
      </w:r>
    </w:p>
    <w:p w:rsidR="00AB4FAA" w:rsidRDefault="00AB4FAA">
      <w:pPr>
        <w:widowControl w:val="0"/>
        <w:spacing w:line="240" w:lineRule="auto"/>
      </w:pPr>
    </w:p>
    <w:p w:rsidR="00AB4FAA" w:rsidRDefault="00E36FA6">
      <w:pPr>
        <w:widowControl w:val="0"/>
        <w:spacing w:line="240" w:lineRule="auto"/>
      </w:pPr>
      <w:r>
        <w:t xml:space="preserve">The expectation is that an expert will provide </w:t>
      </w:r>
      <w:r>
        <w:rPr>
          <w:b/>
        </w:rPr>
        <w:t>on average one working day (7.5 hours) a month</w:t>
      </w:r>
      <w:r>
        <w:t xml:space="preserve"> of services to the SMC. This will average out throughout the period of the contract, which is expected to last 12 months - with the potential for a further </w:t>
      </w:r>
      <w:proofErr w:type="gramStart"/>
      <w:r>
        <w:t>6-12 month</w:t>
      </w:r>
      <w:proofErr w:type="gramEnd"/>
      <w:r>
        <w:t xml:space="preserve"> extension. However, suppliers will be expected to provide an amount of time and total cost in their bids and may choose to offer more or less time for a given cost. </w:t>
      </w:r>
    </w:p>
    <w:p w:rsidR="00AB4FAA" w:rsidRDefault="00AB4FAA">
      <w:pPr>
        <w:widowControl w:val="0"/>
        <w:spacing w:line="240" w:lineRule="auto"/>
      </w:pPr>
    </w:p>
    <w:p w:rsidR="00AB4FAA" w:rsidRDefault="00E36FA6">
      <w:pPr>
        <w:widowControl w:val="0"/>
        <w:spacing w:line="240" w:lineRule="auto"/>
        <w:rPr>
          <w:b/>
        </w:rPr>
      </w:pPr>
      <w:r>
        <w:rPr>
          <w:b/>
        </w:rPr>
        <w:t>Types of panel experts required</w:t>
      </w:r>
    </w:p>
    <w:p w:rsidR="00AB4FAA" w:rsidRDefault="00AB4FAA">
      <w:pPr>
        <w:widowControl w:val="0"/>
        <w:spacing w:line="240" w:lineRule="auto"/>
      </w:pPr>
    </w:p>
    <w:p w:rsidR="00AB4FAA" w:rsidRDefault="00E36FA6">
      <w:pPr>
        <w:widowControl w:val="0"/>
        <w:spacing w:line="240" w:lineRule="auto"/>
      </w:pPr>
      <w:r>
        <w:t xml:space="preserve">As stated, the panel will be split into two broad categories of expert roles: academic and policy. Within each category, the SMC is seeking to recruit experts in certain specialisms on which they can advise – ideally one per area of thematic interest to the SMC. The expected responsibilities of the role may differ by specialism and time may differ based on the extent to which this thematic area grows as an area of priority for the Commission. </w:t>
      </w:r>
    </w:p>
    <w:p w:rsidR="00AB4FAA" w:rsidRDefault="00AB4FAA">
      <w:pPr>
        <w:widowControl w:val="0"/>
        <w:spacing w:line="240" w:lineRule="auto"/>
      </w:pPr>
    </w:p>
    <w:p w:rsidR="00AB4FAA" w:rsidRDefault="00E36FA6">
      <w:pPr>
        <w:widowControl w:val="0"/>
        <w:spacing w:line="240" w:lineRule="auto"/>
      </w:pPr>
      <w:r>
        <w:t>It would be desirable if candidates have prior experience of holding an advisory role: on a panel, an advisory board with a government body, or with a research institute.</w:t>
      </w:r>
    </w:p>
    <w:p w:rsidR="00AB4FAA" w:rsidRDefault="00AB4FAA">
      <w:pPr>
        <w:widowControl w:val="0"/>
        <w:spacing w:line="240" w:lineRule="auto"/>
        <w:rPr>
          <w:b/>
        </w:rPr>
      </w:pPr>
    </w:p>
    <w:p w:rsidR="00AB4FAA" w:rsidRDefault="00E36FA6">
      <w:pPr>
        <w:widowControl w:val="0"/>
        <w:numPr>
          <w:ilvl w:val="0"/>
          <w:numId w:val="35"/>
        </w:numPr>
        <w:spacing w:line="240" w:lineRule="auto"/>
        <w:rPr>
          <w:b/>
        </w:rPr>
      </w:pPr>
      <w:r>
        <w:rPr>
          <w:b/>
        </w:rPr>
        <w:t>Category: Academic</w:t>
      </w:r>
    </w:p>
    <w:p w:rsidR="00AB4FAA" w:rsidRDefault="00AB4FAA">
      <w:pPr>
        <w:widowControl w:val="0"/>
        <w:spacing w:line="240" w:lineRule="auto"/>
        <w:rPr>
          <w:b/>
        </w:rPr>
      </w:pPr>
    </w:p>
    <w:p w:rsidR="00AB4FAA" w:rsidRDefault="00E36FA6">
      <w:pPr>
        <w:widowControl w:val="0"/>
        <w:spacing w:line="240" w:lineRule="auto"/>
      </w:pPr>
      <w:r>
        <w:t xml:space="preserve">The SMC is seeking to recruit academic experts with substantial experience in published academic research.   A suitable candidate will be known as a thought-leader in their subject area. The type of research a suitable candidate would have specialised in will be on one of the specialisms listed below </w:t>
      </w:r>
      <w:r>
        <w:rPr>
          <w:u w:val="single"/>
        </w:rPr>
        <w:t>and its link to social mobility</w:t>
      </w:r>
      <w:r>
        <w:t>.</w:t>
      </w:r>
    </w:p>
    <w:p w:rsidR="00AB4FAA" w:rsidRDefault="00AB4FAA">
      <w:pPr>
        <w:widowControl w:val="0"/>
        <w:spacing w:line="240" w:lineRule="auto"/>
      </w:pPr>
    </w:p>
    <w:p w:rsidR="00AB4FAA" w:rsidRDefault="00E36FA6">
      <w:pPr>
        <w:widowControl w:val="0"/>
        <w:spacing w:line="240" w:lineRule="auto"/>
      </w:pPr>
      <w:r>
        <w:t xml:space="preserve">It would be highly desirable for a candidate to have published in peer-reviewed journals and to have experience of using their research to influence government policy. </w:t>
      </w:r>
    </w:p>
    <w:p w:rsidR="00AB4FAA" w:rsidRDefault="00AB4FAA">
      <w:pPr>
        <w:widowControl w:val="0"/>
        <w:spacing w:line="240" w:lineRule="auto"/>
        <w:rPr>
          <w:b/>
        </w:rPr>
      </w:pPr>
    </w:p>
    <w:p w:rsidR="00AB4FAA" w:rsidRDefault="00E36FA6">
      <w:pPr>
        <w:widowControl w:val="0"/>
        <w:spacing w:line="240" w:lineRule="auto"/>
        <w:rPr>
          <w:b/>
        </w:rPr>
      </w:pPr>
      <w:r>
        <w:rPr>
          <w:b/>
        </w:rPr>
        <w:t>Specialisms for Academic roles in Social Mobility</w:t>
      </w:r>
    </w:p>
    <w:p w:rsidR="00AB4FAA" w:rsidRDefault="00AB4FAA">
      <w:pPr>
        <w:widowControl w:val="0"/>
        <w:spacing w:line="240" w:lineRule="auto"/>
        <w:rPr>
          <w:b/>
        </w:rPr>
      </w:pPr>
    </w:p>
    <w:p w:rsidR="00AB4FAA" w:rsidRDefault="00E36FA6">
      <w:pPr>
        <w:widowControl w:val="0"/>
        <w:pBdr>
          <w:top w:val="nil"/>
          <w:left w:val="nil"/>
          <w:bottom w:val="nil"/>
          <w:right w:val="nil"/>
          <w:between w:val="nil"/>
        </w:pBdr>
        <w:spacing w:line="240" w:lineRule="auto"/>
        <w:rPr>
          <w:color w:val="000000"/>
        </w:rPr>
      </w:pPr>
      <w:r>
        <w:rPr>
          <w:color w:val="000000"/>
        </w:rPr>
        <w:t>A suitable candidate would have a thorough understanding of the evidence base on intergenerational mobility in the UK and its determinants. Each Social Mobility expert would be expected to have also published research related to one of the four topics:</w:t>
      </w:r>
    </w:p>
    <w:p w:rsidR="00AB4FAA" w:rsidRDefault="00AB4FAA">
      <w:pPr>
        <w:widowControl w:val="0"/>
        <w:spacing w:line="240" w:lineRule="auto"/>
        <w:rPr>
          <w:b/>
        </w:rPr>
      </w:pPr>
    </w:p>
    <w:p w:rsidR="00AB4FAA" w:rsidRDefault="00E36FA6">
      <w:pPr>
        <w:widowControl w:val="0"/>
        <w:numPr>
          <w:ilvl w:val="0"/>
          <w:numId w:val="24"/>
        </w:numPr>
        <w:pBdr>
          <w:top w:val="nil"/>
          <w:left w:val="nil"/>
          <w:bottom w:val="nil"/>
          <w:right w:val="nil"/>
          <w:between w:val="nil"/>
        </w:pBdr>
        <w:spacing w:line="240" w:lineRule="auto"/>
        <w:rPr>
          <w:b/>
          <w:color w:val="000000"/>
        </w:rPr>
      </w:pPr>
      <w:r>
        <w:rPr>
          <w:b/>
          <w:color w:val="000000"/>
        </w:rPr>
        <w:t>Education (schools/</w:t>
      </w:r>
      <w:r>
        <w:rPr>
          <w:b/>
        </w:rPr>
        <w:t xml:space="preserve"> further education</w:t>
      </w:r>
      <w:r>
        <w:rPr>
          <w:b/>
          <w:color w:val="000000"/>
        </w:rPr>
        <w:t>)</w:t>
      </w: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 xml:space="preserve">Have an expert understanding of the evidence on the role of educational outcomes and social mobility in the UK. </w:t>
      </w: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This may include any of: the school years (early years, primary and secondary education and further education).</w:t>
      </w:r>
    </w:p>
    <w:p w:rsidR="00AB4FAA" w:rsidRDefault="00AB4FAA">
      <w:pPr>
        <w:widowControl w:val="0"/>
        <w:pBdr>
          <w:top w:val="nil"/>
          <w:left w:val="nil"/>
          <w:bottom w:val="nil"/>
          <w:right w:val="nil"/>
          <w:between w:val="nil"/>
        </w:pBdr>
        <w:spacing w:line="240" w:lineRule="auto"/>
      </w:pPr>
    </w:p>
    <w:p w:rsidR="00AB4FAA" w:rsidRDefault="00E36FA6">
      <w:pPr>
        <w:widowControl w:val="0"/>
        <w:numPr>
          <w:ilvl w:val="0"/>
          <w:numId w:val="24"/>
        </w:numPr>
        <w:spacing w:line="240" w:lineRule="auto"/>
        <w:rPr>
          <w:b/>
        </w:rPr>
      </w:pPr>
      <w:r>
        <w:rPr>
          <w:b/>
        </w:rPr>
        <w:t xml:space="preserve">Measurement (Quantitative analysis): </w:t>
      </w:r>
    </w:p>
    <w:p w:rsidR="00AB4FAA" w:rsidRDefault="00AB4FAA">
      <w:pPr>
        <w:widowControl w:val="0"/>
        <w:spacing w:line="240" w:lineRule="auto"/>
        <w:rPr>
          <w:b/>
        </w:rPr>
      </w:pPr>
    </w:p>
    <w:p w:rsidR="00AB4FAA" w:rsidRDefault="00E36FA6">
      <w:pPr>
        <w:widowControl w:val="0"/>
        <w:spacing w:line="240" w:lineRule="auto"/>
      </w:pPr>
      <w:r>
        <w:t>We are seeking at least 1 panel member who can offer the following skills and experience to advise the SMC on which data to use in their research:</w:t>
      </w:r>
    </w:p>
    <w:p w:rsidR="00AB4FAA" w:rsidRDefault="00AB4FAA">
      <w:pPr>
        <w:widowControl w:val="0"/>
        <w:spacing w:line="240" w:lineRule="auto"/>
      </w:pPr>
    </w:p>
    <w:p w:rsidR="00AB4FAA" w:rsidRDefault="00E36FA6">
      <w:pPr>
        <w:widowControl w:val="0"/>
        <w:numPr>
          <w:ilvl w:val="0"/>
          <w:numId w:val="22"/>
        </w:numPr>
        <w:spacing w:line="240" w:lineRule="auto"/>
      </w:pPr>
      <w:r>
        <w:t xml:space="preserve">Be highly competent with the quantitative methods used to measure and </w:t>
      </w:r>
      <w:r>
        <w:lastRenderedPageBreak/>
        <w:t xml:space="preserve">study social mobility in the UK. This may include econometric analysis to estimate the causal effect of determinants of social mobility. Knowledge of the UNIDIFF and Constant Social Fluidity models would also be desirable. </w:t>
      </w:r>
    </w:p>
    <w:p w:rsidR="00AB4FAA" w:rsidRDefault="00AB4FAA">
      <w:pPr>
        <w:widowControl w:val="0"/>
        <w:numPr>
          <w:ilvl w:val="0"/>
          <w:numId w:val="22"/>
        </w:numPr>
        <w:spacing w:line="240" w:lineRule="auto"/>
      </w:pPr>
    </w:p>
    <w:p w:rsidR="00AB4FAA" w:rsidRDefault="00E36FA6">
      <w:pPr>
        <w:widowControl w:val="0"/>
        <w:spacing w:line="240" w:lineRule="auto"/>
        <w:ind w:left="1800"/>
      </w:pPr>
      <w:r>
        <w:t xml:space="preserve">A suitable candidate would have published quantitative research of this kind in peer-reviewed journals. </w:t>
      </w:r>
    </w:p>
    <w:p w:rsidR="00AB4FAA" w:rsidRDefault="00AB4FAA">
      <w:pPr>
        <w:widowControl w:val="0"/>
        <w:spacing w:line="240" w:lineRule="auto"/>
        <w:ind w:left="1800"/>
        <w:rPr>
          <w:b/>
        </w:rPr>
      </w:pPr>
    </w:p>
    <w:p w:rsidR="00AB4FAA" w:rsidRDefault="00E36FA6">
      <w:pPr>
        <w:widowControl w:val="0"/>
        <w:numPr>
          <w:ilvl w:val="0"/>
          <w:numId w:val="22"/>
        </w:numPr>
        <w:spacing w:line="240" w:lineRule="auto"/>
      </w:pPr>
      <w:r>
        <w:t>They would also be expected to have knowledge of the various methods for measuring social mobility and be keeping up to date on developments in the available data (such as household surveys (in particular the Labour Force Survey and the Understanding Society (UKHLS)).</w:t>
      </w:r>
    </w:p>
    <w:p w:rsidR="00AB4FAA" w:rsidRDefault="00AB4FAA">
      <w:pPr>
        <w:widowControl w:val="0"/>
        <w:spacing w:line="240" w:lineRule="auto"/>
        <w:ind w:left="1800"/>
        <w:rPr>
          <w:b/>
        </w:rPr>
      </w:pPr>
    </w:p>
    <w:p w:rsidR="00AB4FAA" w:rsidRDefault="00E36FA6">
      <w:pPr>
        <w:widowControl w:val="0"/>
        <w:numPr>
          <w:ilvl w:val="0"/>
          <w:numId w:val="22"/>
        </w:numPr>
        <w:spacing w:line="240" w:lineRule="auto"/>
      </w:pPr>
      <w:r>
        <w:t xml:space="preserve">The SMC would be expecting to seek advice from the measurement expert on quantitative research methods including suggestions on which data to use on their research projects. </w:t>
      </w:r>
    </w:p>
    <w:p w:rsidR="00AB4FAA" w:rsidRDefault="00AB4FAA">
      <w:pPr>
        <w:widowControl w:val="0"/>
        <w:pBdr>
          <w:top w:val="nil"/>
          <w:left w:val="nil"/>
          <w:bottom w:val="nil"/>
          <w:right w:val="nil"/>
          <w:between w:val="nil"/>
        </w:pBdr>
        <w:spacing w:line="240" w:lineRule="auto"/>
        <w:rPr>
          <w:b/>
          <w:color w:val="000000"/>
        </w:rPr>
      </w:pPr>
    </w:p>
    <w:p w:rsidR="00AB4FAA" w:rsidRDefault="00E36FA6">
      <w:pPr>
        <w:widowControl w:val="0"/>
        <w:numPr>
          <w:ilvl w:val="0"/>
          <w:numId w:val="24"/>
        </w:numPr>
        <w:pBdr>
          <w:top w:val="nil"/>
          <w:left w:val="nil"/>
          <w:bottom w:val="nil"/>
          <w:right w:val="nil"/>
          <w:between w:val="nil"/>
        </w:pBdr>
        <w:spacing w:line="240" w:lineRule="auto"/>
        <w:rPr>
          <w:b/>
          <w:color w:val="000000"/>
        </w:rPr>
      </w:pPr>
      <w:r>
        <w:rPr>
          <w:b/>
          <w:color w:val="000000"/>
        </w:rPr>
        <w:t>Routes to employment and the labour market</w:t>
      </w: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numPr>
          <w:ilvl w:val="1"/>
          <w:numId w:val="9"/>
        </w:numPr>
        <w:pBdr>
          <w:top w:val="nil"/>
          <w:left w:val="nil"/>
          <w:bottom w:val="nil"/>
          <w:right w:val="nil"/>
          <w:between w:val="nil"/>
        </w:pBdr>
        <w:spacing w:line="240" w:lineRule="auto"/>
        <w:rPr>
          <w:color w:val="000000"/>
        </w:rPr>
      </w:pPr>
      <w:r>
        <w:rPr>
          <w:color w:val="000000"/>
        </w:rPr>
        <w:t>Have an expert understanding on social mobility through the perspective of how routes to employment and the UK’s labour market impact social mobility outcomes.</w:t>
      </w: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A suitable candidate may have a published literature on how apprenticeships impact social mobility outcomes.</w:t>
      </w:r>
    </w:p>
    <w:p w:rsidR="00AB4FAA" w:rsidRDefault="00E36FA6">
      <w:pPr>
        <w:widowControl w:val="0"/>
        <w:numPr>
          <w:ilvl w:val="1"/>
          <w:numId w:val="9"/>
        </w:numPr>
        <w:pBdr>
          <w:top w:val="nil"/>
          <w:left w:val="nil"/>
          <w:bottom w:val="nil"/>
          <w:right w:val="nil"/>
          <w:between w:val="nil"/>
        </w:pBdr>
        <w:spacing w:line="240" w:lineRule="auto"/>
      </w:pPr>
      <w:r>
        <w:rPr>
          <w:color w:val="000000"/>
        </w:rPr>
        <w:t xml:space="preserve">A suitable candidate may have published literature on labour economics in peer-reviewed journals and have done some research on the distribution of labour market outcomes across people in the UK. </w:t>
      </w:r>
    </w:p>
    <w:p w:rsidR="00AB4FAA" w:rsidRDefault="00E36FA6">
      <w:pPr>
        <w:widowControl w:val="0"/>
        <w:numPr>
          <w:ilvl w:val="1"/>
          <w:numId w:val="9"/>
        </w:numPr>
        <w:pBdr>
          <w:top w:val="nil"/>
          <w:left w:val="nil"/>
          <w:bottom w:val="nil"/>
          <w:right w:val="nil"/>
          <w:between w:val="nil"/>
        </w:pBdr>
        <w:spacing w:line="240" w:lineRule="auto"/>
      </w:pPr>
      <w:r>
        <w:t xml:space="preserve">It would be desirable for an expert to </w:t>
      </w:r>
      <w:proofErr w:type="gramStart"/>
      <w:r>
        <w:t>have an understanding of</w:t>
      </w:r>
      <w:proofErr w:type="gramEnd"/>
      <w:r>
        <w:t xml:space="preserve"> the evidence base on the role of regulation of professions / industries on social mobility.</w:t>
      </w:r>
    </w:p>
    <w:p w:rsidR="00AB4FAA" w:rsidRDefault="00AB4FAA">
      <w:pPr>
        <w:widowControl w:val="0"/>
        <w:pBdr>
          <w:top w:val="nil"/>
          <w:left w:val="nil"/>
          <w:bottom w:val="nil"/>
          <w:right w:val="nil"/>
          <w:between w:val="nil"/>
        </w:pBdr>
        <w:spacing w:line="240" w:lineRule="auto"/>
      </w:pPr>
    </w:p>
    <w:p w:rsidR="00AB4FAA" w:rsidRDefault="00AB4FAA">
      <w:pPr>
        <w:widowControl w:val="0"/>
        <w:pBdr>
          <w:top w:val="nil"/>
          <w:left w:val="nil"/>
          <w:bottom w:val="nil"/>
          <w:right w:val="nil"/>
          <w:between w:val="nil"/>
        </w:pBdr>
        <w:spacing w:line="240" w:lineRule="auto"/>
      </w:pPr>
    </w:p>
    <w:p w:rsidR="00AB4FAA" w:rsidRDefault="00AB4FAA">
      <w:pPr>
        <w:widowControl w:val="0"/>
        <w:spacing w:line="240" w:lineRule="auto"/>
        <w:ind w:left="1800"/>
        <w:rPr>
          <w:b/>
        </w:rPr>
      </w:pPr>
    </w:p>
    <w:p w:rsidR="00AB4FAA" w:rsidRDefault="00E36FA6">
      <w:pPr>
        <w:widowControl w:val="0"/>
        <w:spacing w:line="240" w:lineRule="auto"/>
        <w:rPr>
          <w:b/>
        </w:rPr>
      </w:pPr>
      <w:r>
        <w:rPr>
          <w:b/>
        </w:rPr>
        <w:t xml:space="preserve">For the academic experts on families, a track record of publishing on intergenerational outcomes is not essential. </w:t>
      </w:r>
    </w:p>
    <w:p w:rsidR="00AB4FAA" w:rsidRDefault="00AB4FAA">
      <w:pPr>
        <w:widowControl w:val="0"/>
        <w:spacing w:line="240" w:lineRule="auto"/>
      </w:pPr>
    </w:p>
    <w:p w:rsidR="00AB4FAA" w:rsidRDefault="00AB4FAA">
      <w:pPr>
        <w:widowControl w:val="0"/>
        <w:pBdr>
          <w:top w:val="nil"/>
          <w:left w:val="nil"/>
          <w:bottom w:val="nil"/>
          <w:right w:val="nil"/>
          <w:between w:val="nil"/>
        </w:pBdr>
        <w:spacing w:line="240" w:lineRule="auto"/>
      </w:pPr>
    </w:p>
    <w:p w:rsidR="00AB4FAA" w:rsidRDefault="00E36FA6">
      <w:pPr>
        <w:widowControl w:val="0"/>
        <w:numPr>
          <w:ilvl w:val="0"/>
          <w:numId w:val="24"/>
        </w:numPr>
        <w:pBdr>
          <w:top w:val="nil"/>
          <w:left w:val="nil"/>
          <w:bottom w:val="nil"/>
          <w:right w:val="nil"/>
          <w:between w:val="nil"/>
        </w:pBdr>
        <w:spacing w:line="240" w:lineRule="auto"/>
        <w:rPr>
          <w:b/>
          <w:color w:val="000000"/>
        </w:rPr>
      </w:pPr>
      <w:r>
        <w:rPr>
          <w:b/>
          <w:color w:val="000000"/>
        </w:rPr>
        <w:t>Famil</w:t>
      </w:r>
      <w:r>
        <w:rPr>
          <w:b/>
        </w:rPr>
        <w:t>ies</w:t>
      </w:r>
      <w:r>
        <w:rPr>
          <w:b/>
          <w:color w:val="000000"/>
        </w:rPr>
        <w:t xml:space="preserve"> expert</w:t>
      </w:r>
    </w:p>
    <w:p w:rsidR="00AB4FAA" w:rsidRDefault="00AB4FAA">
      <w:pPr>
        <w:widowControl w:val="0"/>
        <w:spacing w:line="240" w:lineRule="auto"/>
      </w:pPr>
    </w:p>
    <w:p w:rsidR="00AB4FAA" w:rsidRDefault="00E36FA6">
      <w:pPr>
        <w:widowControl w:val="0"/>
        <w:numPr>
          <w:ilvl w:val="0"/>
          <w:numId w:val="32"/>
        </w:numPr>
        <w:pBdr>
          <w:top w:val="nil"/>
          <w:left w:val="nil"/>
          <w:bottom w:val="nil"/>
          <w:right w:val="nil"/>
          <w:between w:val="nil"/>
        </w:pBdr>
        <w:spacing w:line="240" w:lineRule="auto"/>
        <w:rPr>
          <w:color w:val="000000"/>
        </w:rPr>
      </w:pPr>
      <w:r>
        <w:t>Have an expert understanding of how the family environment and parenting practices (especially but not limited to in the early years) can impact on social mobility outcomes.</w:t>
      </w:r>
    </w:p>
    <w:p w:rsidR="00AB4FAA" w:rsidRDefault="00E36FA6">
      <w:pPr>
        <w:widowControl w:val="0"/>
        <w:numPr>
          <w:ilvl w:val="0"/>
          <w:numId w:val="32"/>
        </w:numPr>
        <w:pBdr>
          <w:top w:val="nil"/>
          <w:left w:val="nil"/>
          <w:bottom w:val="nil"/>
          <w:right w:val="nil"/>
          <w:between w:val="nil"/>
        </w:pBdr>
        <w:spacing w:line="240" w:lineRule="auto"/>
        <w:rPr>
          <w:b/>
          <w:color w:val="000000"/>
        </w:rPr>
      </w:pPr>
      <w:r>
        <w:t xml:space="preserve">Have an expert understanding on how family circumstances shape outcomes related to social mobility (such as educational attainment of parents and/or income). </w:t>
      </w:r>
    </w:p>
    <w:p w:rsidR="00AB4FAA" w:rsidRDefault="00E36FA6">
      <w:pPr>
        <w:widowControl w:val="0"/>
        <w:numPr>
          <w:ilvl w:val="0"/>
          <w:numId w:val="32"/>
        </w:numPr>
        <w:spacing w:line="240" w:lineRule="auto"/>
      </w:pPr>
      <w:r>
        <w:t xml:space="preserve">It would also be particularly desirable (but not </w:t>
      </w:r>
      <w:proofErr w:type="gramStart"/>
      <w:r>
        <w:t>essential)  if</w:t>
      </w:r>
      <w:proofErr w:type="gramEnd"/>
      <w:r>
        <w:t xml:space="preserve"> the expert has some experience with the evidence base on the role of digital devices and media on outcomes related to social mobility, such as educational attainment and wellbeing. </w:t>
      </w:r>
    </w:p>
    <w:p w:rsidR="00AB4FAA" w:rsidRDefault="00E36FA6">
      <w:pPr>
        <w:widowControl w:val="0"/>
        <w:pBdr>
          <w:top w:val="nil"/>
          <w:left w:val="nil"/>
          <w:bottom w:val="nil"/>
          <w:right w:val="nil"/>
          <w:between w:val="nil"/>
        </w:pBdr>
        <w:spacing w:line="240" w:lineRule="auto"/>
        <w:ind w:left="1800"/>
        <w:rPr>
          <w:b/>
          <w:color w:val="000000"/>
        </w:rPr>
      </w:pPr>
      <w:r>
        <w:rPr>
          <w:color w:val="000000"/>
        </w:rPr>
        <w:t xml:space="preserve"> </w:t>
      </w: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spacing w:line="240" w:lineRule="auto"/>
      </w:pPr>
      <w:r>
        <w:rPr>
          <w:b/>
        </w:rPr>
        <w:t xml:space="preserve">The detailed responsibilities of the academic experts will include: </w:t>
      </w:r>
    </w:p>
    <w:p w:rsidR="00AB4FAA" w:rsidRDefault="00AB4FAA">
      <w:pPr>
        <w:widowControl w:val="0"/>
        <w:spacing w:line="240" w:lineRule="auto"/>
      </w:pPr>
    </w:p>
    <w:p w:rsidR="00AB4FAA" w:rsidRDefault="00E36FA6">
      <w:pPr>
        <w:widowControl w:val="0"/>
        <w:numPr>
          <w:ilvl w:val="0"/>
          <w:numId w:val="24"/>
        </w:numPr>
        <w:pBdr>
          <w:top w:val="nil"/>
          <w:left w:val="nil"/>
          <w:bottom w:val="nil"/>
          <w:right w:val="nil"/>
          <w:between w:val="nil"/>
        </w:pBdr>
        <w:spacing w:line="240" w:lineRule="auto"/>
      </w:pPr>
      <w:r>
        <w:rPr>
          <w:color w:val="000000"/>
        </w:rPr>
        <w:t>To provide advice in the form of feedback and challenge on research report drafts. The feedback may include the following:</w:t>
      </w:r>
    </w:p>
    <w:p w:rsidR="00AB4FAA" w:rsidRDefault="00E36FA6">
      <w:pPr>
        <w:widowControl w:val="0"/>
        <w:numPr>
          <w:ilvl w:val="1"/>
          <w:numId w:val="24"/>
        </w:numPr>
        <w:pBdr>
          <w:top w:val="nil"/>
          <w:left w:val="nil"/>
          <w:bottom w:val="nil"/>
          <w:right w:val="nil"/>
          <w:between w:val="nil"/>
        </w:pBdr>
        <w:spacing w:line="240" w:lineRule="auto"/>
      </w:pPr>
      <w:r>
        <w:rPr>
          <w:color w:val="000000"/>
        </w:rPr>
        <w:t>Advising on the scoping of a research project</w:t>
      </w:r>
    </w:p>
    <w:p w:rsidR="00AB4FAA" w:rsidRDefault="00E36FA6">
      <w:pPr>
        <w:widowControl w:val="0"/>
        <w:numPr>
          <w:ilvl w:val="1"/>
          <w:numId w:val="24"/>
        </w:numPr>
        <w:pBdr>
          <w:top w:val="nil"/>
          <w:left w:val="nil"/>
          <w:bottom w:val="nil"/>
          <w:right w:val="nil"/>
          <w:between w:val="nil"/>
        </w:pBdr>
        <w:spacing w:line="240" w:lineRule="auto"/>
      </w:pPr>
      <w:r>
        <w:rPr>
          <w:color w:val="000000"/>
        </w:rPr>
        <w:lastRenderedPageBreak/>
        <w:t xml:space="preserve">Advice on the scope of the literature reviewed and advising on whether there is any further literature not in scope which may be relevant. </w:t>
      </w:r>
    </w:p>
    <w:p w:rsidR="00AB4FAA" w:rsidRDefault="00E36FA6">
      <w:pPr>
        <w:widowControl w:val="0"/>
        <w:numPr>
          <w:ilvl w:val="1"/>
          <w:numId w:val="24"/>
        </w:numPr>
        <w:pBdr>
          <w:top w:val="nil"/>
          <w:left w:val="nil"/>
          <w:bottom w:val="nil"/>
          <w:right w:val="nil"/>
          <w:between w:val="nil"/>
        </w:pBdr>
        <w:spacing w:line="240" w:lineRule="auto"/>
      </w:pPr>
      <w:r>
        <w:rPr>
          <w:color w:val="000000"/>
        </w:rPr>
        <w:t>Advice on the methodology proposed to tackle a given research question.</w:t>
      </w:r>
    </w:p>
    <w:p w:rsidR="00AB4FAA" w:rsidRDefault="00E36FA6">
      <w:pPr>
        <w:widowControl w:val="0"/>
        <w:numPr>
          <w:ilvl w:val="1"/>
          <w:numId w:val="24"/>
        </w:numPr>
        <w:pBdr>
          <w:top w:val="nil"/>
          <w:left w:val="nil"/>
          <w:bottom w:val="nil"/>
          <w:right w:val="nil"/>
          <w:between w:val="nil"/>
        </w:pBdr>
        <w:spacing w:line="240" w:lineRule="auto"/>
      </w:pPr>
      <w:r>
        <w:t>Providing feedback on</w:t>
      </w:r>
      <w:r>
        <w:rPr>
          <w:color w:val="000000"/>
        </w:rPr>
        <w:t xml:space="preserve"> the conclusions drawn from the draft report and providing advice on the recommendations made. </w:t>
      </w:r>
    </w:p>
    <w:p w:rsidR="00AB4FAA" w:rsidRDefault="00E36FA6">
      <w:pPr>
        <w:widowControl w:val="0"/>
        <w:numPr>
          <w:ilvl w:val="0"/>
          <w:numId w:val="24"/>
        </w:numPr>
        <w:pBdr>
          <w:top w:val="nil"/>
          <w:left w:val="nil"/>
          <w:bottom w:val="nil"/>
          <w:right w:val="nil"/>
          <w:between w:val="nil"/>
        </w:pBdr>
        <w:spacing w:line="240" w:lineRule="auto"/>
      </w:pPr>
      <w:r>
        <w:rPr>
          <w:color w:val="000000"/>
        </w:rPr>
        <w:t>Engaging in debate and provid</w:t>
      </w:r>
      <w:r>
        <w:t>ing</w:t>
      </w:r>
      <w:r>
        <w:rPr>
          <w:color w:val="000000"/>
        </w:rPr>
        <w:t xml:space="preserve"> challenge on work </w:t>
      </w:r>
      <w:r>
        <w:t xml:space="preserve">conducted </w:t>
      </w:r>
      <w:r>
        <w:rPr>
          <w:color w:val="000000"/>
        </w:rPr>
        <w:t xml:space="preserve">at the SMC. </w:t>
      </w:r>
    </w:p>
    <w:p w:rsidR="00AB4FAA" w:rsidRDefault="00E36FA6">
      <w:pPr>
        <w:widowControl w:val="0"/>
        <w:numPr>
          <w:ilvl w:val="0"/>
          <w:numId w:val="24"/>
        </w:numPr>
        <w:pBdr>
          <w:top w:val="nil"/>
          <w:left w:val="nil"/>
          <w:bottom w:val="nil"/>
          <w:right w:val="nil"/>
          <w:between w:val="nil"/>
        </w:pBdr>
        <w:spacing w:line="240" w:lineRule="auto"/>
      </w:pPr>
      <w:r>
        <w:rPr>
          <w:color w:val="000000"/>
        </w:rPr>
        <w:t xml:space="preserve">Providing quality assurance on SMC research done </w:t>
      </w:r>
      <w:r>
        <w:t>in-house</w:t>
      </w:r>
      <w:r>
        <w:rPr>
          <w:color w:val="000000"/>
        </w:rPr>
        <w:t xml:space="preserve"> and received by external suppliers. </w:t>
      </w:r>
    </w:p>
    <w:p w:rsidR="00AB4FAA" w:rsidRDefault="00AB4FAA">
      <w:pPr>
        <w:widowControl w:val="0"/>
        <w:spacing w:line="240" w:lineRule="auto"/>
      </w:pPr>
    </w:p>
    <w:p w:rsidR="00AB4FAA" w:rsidRDefault="00E36FA6">
      <w:pPr>
        <w:widowControl w:val="0"/>
        <w:numPr>
          <w:ilvl w:val="0"/>
          <w:numId w:val="30"/>
        </w:numPr>
        <w:spacing w:line="240" w:lineRule="auto"/>
        <w:rPr>
          <w:b/>
        </w:rPr>
      </w:pPr>
      <w:r>
        <w:rPr>
          <w:b/>
        </w:rPr>
        <w:t>Category: Policy</w:t>
      </w:r>
    </w:p>
    <w:p w:rsidR="00AB4FAA" w:rsidRDefault="00AB4FAA">
      <w:pPr>
        <w:widowControl w:val="0"/>
        <w:spacing w:line="240" w:lineRule="auto"/>
        <w:rPr>
          <w:b/>
        </w:rPr>
      </w:pPr>
    </w:p>
    <w:p w:rsidR="00AB4FAA" w:rsidRDefault="00E36FA6">
      <w:pPr>
        <w:widowControl w:val="0"/>
        <w:spacing w:line="240" w:lineRule="auto"/>
      </w:pPr>
      <w:r>
        <w:t xml:space="preserve">The SMC is seeking to recruit social mobility policy experts. A policy expert would be expected to provide advice on the current policy context of their policy area. This may include helping the SMC understand the history of the policy area and the current political environment surrounding it. </w:t>
      </w:r>
    </w:p>
    <w:p w:rsidR="00AB4FAA" w:rsidRDefault="00AB4FAA">
      <w:pPr>
        <w:widowControl w:val="0"/>
        <w:spacing w:line="240" w:lineRule="auto"/>
      </w:pPr>
    </w:p>
    <w:p w:rsidR="00AB4FAA" w:rsidRDefault="00E36FA6">
      <w:pPr>
        <w:widowControl w:val="0"/>
        <w:spacing w:line="240" w:lineRule="auto"/>
      </w:pPr>
      <w:r>
        <w:t>A suitable policy expert would likely have worked in government before or have acted as an adviser to them, or have significant experience in influencing policy from outside. They would have knowledge of the current policy context of their area and have recently been involved in producing advice to government or a third party on their area of specialism.  A suitable expert may also have significant experience from working at a consultancy firm, think tank or research institution which has published policy papers with recommendations for government. All policy experts are therefore expected to have a strong knowledge of the government’s priorities and ambitions in their area of subject matter expertise and an understanding of the historical policy context.</w:t>
      </w:r>
    </w:p>
    <w:p w:rsidR="00AB4FAA" w:rsidRDefault="00AB4FAA">
      <w:pPr>
        <w:widowControl w:val="0"/>
        <w:spacing w:line="240" w:lineRule="auto"/>
      </w:pPr>
    </w:p>
    <w:p w:rsidR="00AB4FAA" w:rsidRDefault="00E36FA6">
      <w:pPr>
        <w:widowControl w:val="0"/>
        <w:spacing w:line="240" w:lineRule="auto"/>
      </w:pPr>
      <w:r>
        <w:t xml:space="preserve">The four areas of subject-matter expertise required are below.  </w:t>
      </w:r>
    </w:p>
    <w:p w:rsidR="00AB4FAA" w:rsidRDefault="00AB4FAA">
      <w:pPr>
        <w:widowControl w:val="0"/>
        <w:spacing w:line="240" w:lineRule="auto"/>
        <w:rPr>
          <w:b/>
        </w:rPr>
      </w:pPr>
    </w:p>
    <w:p w:rsidR="00AB4FAA" w:rsidRDefault="00E36FA6">
      <w:pPr>
        <w:widowControl w:val="0"/>
        <w:pBdr>
          <w:top w:val="nil"/>
          <w:left w:val="nil"/>
          <w:bottom w:val="nil"/>
          <w:right w:val="nil"/>
          <w:between w:val="nil"/>
        </w:pBdr>
        <w:spacing w:line="240" w:lineRule="auto"/>
        <w:rPr>
          <w:b/>
          <w:color w:val="000000"/>
        </w:rPr>
      </w:pPr>
      <w:r>
        <w:rPr>
          <w:b/>
        </w:rPr>
        <w:t xml:space="preserve"> </w:t>
      </w:r>
      <w:r>
        <w:rPr>
          <w:b/>
          <w:color w:val="000000"/>
        </w:rPr>
        <w:t>1.Education (schools)</w:t>
      </w: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 xml:space="preserve">Have an expert understanding of the role of children’s educational outcomes on social mobility in the UK </w:t>
      </w:r>
    </w:p>
    <w:p w:rsidR="00AB4FAA" w:rsidRDefault="00E36FA6">
      <w:pPr>
        <w:widowControl w:val="0"/>
        <w:numPr>
          <w:ilvl w:val="1"/>
          <w:numId w:val="9"/>
        </w:numPr>
        <w:pBdr>
          <w:top w:val="nil"/>
          <w:left w:val="nil"/>
          <w:bottom w:val="nil"/>
          <w:right w:val="nil"/>
          <w:between w:val="nil"/>
        </w:pBdr>
        <w:spacing w:line="240" w:lineRule="auto"/>
      </w:pPr>
      <w:r>
        <w:t>A suitable candidate may have experience influencing education policy for improving social mobility outcomes.</w:t>
      </w: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This may include any of: the school years (early years, primary and secondary education).</w:t>
      </w:r>
    </w:p>
    <w:p w:rsidR="00AB4FAA" w:rsidRDefault="00AB4FAA">
      <w:pPr>
        <w:widowControl w:val="0"/>
        <w:pBdr>
          <w:top w:val="nil"/>
          <w:left w:val="nil"/>
          <w:bottom w:val="nil"/>
          <w:right w:val="nil"/>
          <w:between w:val="nil"/>
        </w:pBdr>
        <w:spacing w:line="240" w:lineRule="auto"/>
        <w:ind w:left="1800"/>
        <w:rPr>
          <w:b/>
          <w:color w:val="000000"/>
        </w:rPr>
      </w:pP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numPr>
          <w:ilvl w:val="0"/>
          <w:numId w:val="25"/>
        </w:numPr>
        <w:pBdr>
          <w:top w:val="nil"/>
          <w:left w:val="nil"/>
          <w:bottom w:val="nil"/>
          <w:right w:val="nil"/>
          <w:between w:val="nil"/>
        </w:pBdr>
        <w:spacing w:line="240" w:lineRule="auto"/>
        <w:rPr>
          <w:b/>
          <w:color w:val="000000"/>
        </w:rPr>
      </w:pPr>
      <w:r>
        <w:rPr>
          <w:b/>
        </w:rPr>
        <w:t xml:space="preserve">Further </w:t>
      </w:r>
      <w:r>
        <w:rPr>
          <w:b/>
          <w:color w:val="000000"/>
        </w:rPr>
        <w:t>Education Policy Expert with a focus on technical education</w:t>
      </w:r>
    </w:p>
    <w:p w:rsidR="00AB4FAA" w:rsidRDefault="00AB4FAA">
      <w:pPr>
        <w:widowControl w:val="0"/>
        <w:pBdr>
          <w:top w:val="nil"/>
          <w:left w:val="nil"/>
          <w:bottom w:val="nil"/>
          <w:right w:val="nil"/>
          <w:between w:val="nil"/>
        </w:pBdr>
        <w:spacing w:line="240" w:lineRule="auto"/>
        <w:rPr>
          <w:color w:val="000000"/>
        </w:rPr>
      </w:pPr>
    </w:p>
    <w:p w:rsidR="00AB4FAA" w:rsidRDefault="00E36FA6">
      <w:pPr>
        <w:widowControl w:val="0"/>
        <w:numPr>
          <w:ilvl w:val="0"/>
          <w:numId w:val="2"/>
        </w:numPr>
        <w:pBdr>
          <w:top w:val="nil"/>
          <w:left w:val="nil"/>
          <w:bottom w:val="nil"/>
          <w:right w:val="nil"/>
          <w:between w:val="nil"/>
        </w:pBdr>
        <w:spacing w:line="240" w:lineRule="auto"/>
        <w:rPr>
          <w:color w:val="000000"/>
        </w:rPr>
      </w:pPr>
      <w:r>
        <w:rPr>
          <w:color w:val="000000"/>
        </w:rPr>
        <w:t xml:space="preserve">Have an expert understanding of the role of further education opportunities on social mobility in the UK </w:t>
      </w:r>
    </w:p>
    <w:p w:rsidR="00AB4FAA" w:rsidRDefault="00E36FA6">
      <w:pPr>
        <w:widowControl w:val="0"/>
        <w:numPr>
          <w:ilvl w:val="0"/>
          <w:numId w:val="2"/>
        </w:numPr>
        <w:pBdr>
          <w:top w:val="nil"/>
          <w:left w:val="nil"/>
          <w:bottom w:val="nil"/>
          <w:right w:val="nil"/>
          <w:between w:val="nil"/>
        </w:pBdr>
        <w:spacing w:line="240" w:lineRule="auto"/>
        <w:rPr>
          <w:color w:val="000000"/>
        </w:rPr>
      </w:pPr>
      <w:r>
        <w:rPr>
          <w:color w:val="000000"/>
        </w:rPr>
        <w:t xml:space="preserve">A suitable candidate may have experience influencing further education policy for improving social mobility outcomes.  </w:t>
      </w:r>
    </w:p>
    <w:p w:rsidR="00AB4FAA" w:rsidRDefault="00E36FA6">
      <w:pPr>
        <w:widowControl w:val="0"/>
        <w:numPr>
          <w:ilvl w:val="0"/>
          <w:numId w:val="2"/>
        </w:numPr>
        <w:pBdr>
          <w:top w:val="nil"/>
          <w:left w:val="nil"/>
          <w:bottom w:val="nil"/>
          <w:right w:val="nil"/>
          <w:between w:val="nil"/>
        </w:pBdr>
        <w:spacing w:line="240" w:lineRule="auto"/>
        <w:rPr>
          <w:color w:val="000000"/>
        </w:rPr>
      </w:pPr>
      <w:r>
        <w:rPr>
          <w:color w:val="000000"/>
        </w:rPr>
        <w:t>This may include technical education, apprenticeships and wider skills development.</w:t>
      </w:r>
    </w:p>
    <w:p w:rsidR="00AB4FAA" w:rsidRDefault="00AB4FAA">
      <w:pPr>
        <w:widowControl w:val="0"/>
        <w:pBdr>
          <w:top w:val="nil"/>
          <w:left w:val="nil"/>
          <w:bottom w:val="nil"/>
          <w:right w:val="nil"/>
          <w:between w:val="nil"/>
        </w:pBdr>
        <w:spacing w:line="240" w:lineRule="auto"/>
        <w:rPr>
          <w:b/>
          <w:color w:val="000000"/>
        </w:rPr>
      </w:pPr>
    </w:p>
    <w:p w:rsidR="00AB4FAA" w:rsidRDefault="00E36FA6">
      <w:pPr>
        <w:widowControl w:val="0"/>
        <w:numPr>
          <w:ilvl w:val="0"/>
          <w:numId w:val="25"/>
        </w:numPr>
        <w:pBdr>
          <w:top w:val="nil"/>
          <w:left w:val="nil"/>
          <w:bottom w:val="nil"/>
          <w:right w:val="nil"/>
          <w:between w:val="nil"/>
        </w:pBdr>
        <w:spacing w:line="240" w:lineRule="auto"/>
        <w:rPr>
          <w:b/>
          <w:color w:val="000000"/>
        </w:rPr>
      </w:pPr>
      <w:r>
        <w:rPr>
          <w:b/>
        </w:rPr>
        <w:t>Families expert</w:t>
      </w:r>
    </w:p>
    <w:p w:rsidR="00AB4FAA" w:rsidRDefault="00AB4FAA">
      <w:pPr>
        <w:widowControl w:val="0"/>
        <w:spacing w:line="240" w:lineRule="auto"/>
        <w:rPr>
          <w:b/>
        </w:rPr>
      </w:pPr>
    </w:p>
    <w:p w:rsidR="00AB4FAA" w:rsidRDefault="00E36FA6">
      <w:pPr>
        <w:widowControl w:val="0"/>
        <w:numPr>
          <w:ilvl w:val="0"/>
          <w:numId w:val="32"/>
        </w:numPr>
        <w:pBdr>
          <w:top w:val="nil"/>
          <w:left w:val="nil"/>
          <w:bottom w:val="nil"/>
          <w:right w:val="nil"/>
          <w:between w:val="nil"/>
        </w:pBdr>
        <w:spacing w:line="240" w:lineRule="auto"/>
        <w:rPr>
          <w:b/>
          <w:color w:val="000000"/>
        </w:rPr>
      </w:pPr>
      <w:r>
        <w:rPr>
          <w:color w:val="000000"/>
        </w:rPr>
        <w:t>Have an expert understanding on the government’s policy approach to families and how this may influence outcomes related to social mobility. This would include a focus on child development and outcomes and the role of family circumstances, the home environment and parental engagement.</w:t>
      </w:r>
    </w:p>
    <w:p w:rsidR="00AB4FAA" w:rsidRDefault="00E36FA6">
      <w:pPr>
        <w:widowControl w:val="0"/>
        <w:numPr>
          <w:ilvl w:val="0"/>
          <w:numId w:val="32"/>
        </w:numPr>
        <w:pBdr>
          <w:top w:val="nil"/>
          <w:left w:val="nil"/>
          <w:bottom w:val="nil"/>
          <w:right w:val="nil"/>
          <w:between w:val="nil"/>
        </w:pBdr>
        <w:spacing w:line="240" w:lineRule="auto"/>
        <w:rPr>
          <w:color w:val="000000"/>
        </w:rPr>
      </w:pPr>
      <w:r>
        <w:t xml:space="preserve">Have an expert understanding on how family circumstances shape </w:t>
      </w:r>
      <w:r>
        <w:lastRenderedPageBreak/>
        <w:t xml:space="preserve">outcomes related to social mobility (such as educational attainment of parents and/or income). </w:t>
      </w:r>
    </w:p>
    <w:p w:rsidR="00AB4FAA" w:rsidRDefault="00E36FA6">
      <w:pPr>
        <w:widowControl w:val="0"/>
        <w:numPr>
          <w:ilvl w:val="0"/>
          <w:numId w:val="32"/>
        </w:numPr>
        <w:spacing w:line="240" w:lineRule="auto"/>
      </w:pPr>
      <w:r>
        <w:t xml:space="preserve">It would also be particularly desirable (but not </w:t>
      </w:r>
      <w:proofErr w:type="gramStart"/>
      <w:r>
        <w:t>essential)  if</w:t>
      </w:r>
      <w:proofErr w:type="gramEnd"/>
      <w:r>
        <w:t xml:space="preserve"> the expert has some experience with the evidence base on the role of digital devices and media on outcomes related to social mobility, such as educational attainment and wellbeing. </w:t>
      </w:r>
    </w:p>
    <w:p w:rsidR="00AB4FAA" w:rsidRDefault="00AB4FAA">
      <w:pPr>
        <w:widowControl w:val="0"/>
        <w:spacing w:line="240" w:lineRule="auto"/>
        <w:rPr>
          <w:b/>
        </w:rPr>
      </w:pPr>
    </w:p>
    <w:p w:rsidR="00AB4FAA" w:rsidRDefault="00E36FA6">
      <w:pPr>
        <w:widowControl w:val="0"/>
        <w:numPr>
          <w:ilvl w:val="0"/>
          <w:numId w:val="25"/>
        </w:numPr>
        <w:pBdr>
          <w:top w:val="nil"/>
          <w:left w:val="nil"/>
          <w:bottom w:val="nil"/>
          <w:right w:val="nil"/>
          <w:between w:val="nil"/>
        </w:pBdr>
        <w:spacing w:line="240" w:lineRule="auto"/>
        <w:rPr>
          <w:b/>
          <w:color w:val="000000"/>
        </w:rPr>
      </w:pPr>
      <w:r>
        <w:t xml:space="preserve">      </w:t>
      </w:r>
      <w:r>
        <w:rPr>
          <w:b/>
        </w:rPr>
        <w:t>Levelling up - geographic/ place inequalities</w:t>
      </w:r>
      <w:r>
        <w:rPr>
          <w:b/>
          <w:color w:val="000000"/>
        </w:rPr>
        <w:t xml:space="preserve"> </w:t>
      </w:r>
    </w:p>
    <w:p w:rsidR="00AB4FAA" w:rsidRDefault="00AB4FAA">
      <w:pPr>
        <w:widowControl w:val="0"/>
        <w:spacing w:line="240" w:lineRule="auto"/>
        <w:rPr>
          <w:b/>
        </w:rPr>
      </w:pPr>
    </w:p>
    <w:p w:rsidR="00AB4FAA" w:rsidRDefault="00E36FA6">
      <w:pPr>
        <w:widowControl w:val="0"/>
        <w:numPr>
          <w:ilvl w:val="0"/>
          <w:numId w:val="4"/>
        </w:numPr>
        <w:pBdr>
          <w:top w:val="nil"/>
          <w:left w:val="nil"/>
          <w:bottom w:val="nil"/>
          <w:right w:val="nil"/>
          <w:between w:val="nil"/>
        </w:pBdr>
        <w:spacing w:line="240" w:lineRule="auto"/>
        <w:rPr>
          <w:color w:val="000000"/>
        </w:rPr>
      </w:pPr>
      <w:r>
        <w:rPr>
          <w:color w:val="000000"/>
        </w:rPr>
        <w:t>Have an expert understanding of how the Levelling Up agenda is likely to impact social mobility in the UK and how the SMC may best position itself to influence the agenda.</w:t>
      </w:r>
    </w:p>
    <w:p w:rsidR="00AB4FAA" w:rsidRDefault="00E36FA6">
      <w:pPr>
        <w:widowControl w:val="0"/>
        <w:numPr>
          <w:ilvl w:val="0"/>
          <w:numId w:val="4"/>
        </w:numPr>
        <w:spacing w:line="240" w:lineRule="auto"/>
        <w:rPr>
          <w:b/>
          <w:color w:val="000000"/>
        </w:rPr>
      </w:pPr>
      <w:r>
        <w:t xml:space="preserve">A suitable policy expert would likely have experience working on geographic/ place-related inequalities and have a sound understanding of the political context behind the policy area. </w:t>
      </w:r>
    </w:p>
    <w:p w:rsidR="00AB4FAA" w:rsidRDefault="00AB4FAA">
      <w:pPr>
        <w:widowControl w:val="0"/>
        <w:spacing w:line="240" w:lineRule="auto"/>
        <w:rPr>
          <w:b/>
        </w:rPr>
      </w:pPr>
    </w:p>
    <w:p w:rsidR="00AB4FAA" w:rsidRDefault="00AB4FAA">
      <w:pPr>
        <w:widowControl w:val="0"/>
        <w:spacing w:line="240" w:lineRule="auto"/>
      </w:pPr>
    </w:p>
    <w:p w:rsidR="00AB4FAA" w:rsidRDefault="00E36FA6">
      <w:pPr>
        <w:widowControl w:val="0"/>
        <w:pBdr>
          <w:top w:val="nil"/>
          <w:left w:val="nil"/>
          <w:bottom w:val="nil"/>
          <w:right w:val="nil"/>
          <w:between w:val="nil"/>
        </w:pBdr>
        <w:spacing w:line="240" w:lineRule="auto"/>
        <w:rPr>
          <w:b/>
        </w:rPr>
      </w:pPr>
      <w:r>
        <w:rPr>
          <w:b/>
        </w:rPr>
        <w:t xml:space="preserve">The detailed responsibilities of the policy experts will include: </w:t>
      </w:r>
    </w:p>
    <w:p w:rsidR="00AB4FAA" w:rsidRDefault="00AB4FAA"/>
    <w:p w:rsidR="00AB4FAA" w:rsidRDefault="00E36FA6">
      <w:pPr>
        <w:widowControl w:val="0"/>
        <w:numPr>
          <w:ilvl w:val="0"/>
          <w:numId w:val="12"/>
        </w:numPr>
        <w:pBdr>
          <w:top w:val="nil"/>
          <w:left w:val="nil"/>
          <w:bottom w:val="nil"/>
          <w:right w:val="nil"/>
          <w:between w:val="nil"/>
        </w:pBdr>
        <w:spacing w:line="240" w:lineRule="auto"/>
        <w:rPr>
          <w:color w:val="000000"/>
        </w:rPr>
      </w:pPr>
      <w:r>
        <w:rPr>
          <w:color w:val="000000"/>
        </w:rPr>
        <w:t>Provide advice to help shape policy recommendations.</w:t>
      </w:r>
    </w:p>
    <w:p w:rsidR="00AB4FAA" w:rsidRDefault="00E36FA6">
      <w:pPr>
        <w:widowControl w:val="0"/>
        <w:numPr>
          <w:ilvl w:val="0"/>
          <w:numId w:val="12"/>
        </w:numPr>
        <w:pBdr>
          <w:top w:val="nil"/>
          <w:left w:val="nil"/>
          <w:bottom w:val="nil"/>
          <w:right w:val="nil"/>
          <w:between w:val="nil"/>
        </w:pBdr>
        <w:spacing w:line="240" w:lineRule="auto"/>
        <w:rPr>
          <w:color w:val="000000"/>
        </w:rPr>
      </w:pPr>
      <w:r>
        <w:rPr>
          <w:color w:val="000000"/>
        </w:rPr>
        <w:t>Advise on the scope of a research project to ensure the questions posed are relevant for influencing the wider policy debate.</w:t>
      </w:r>
    </w:p>
    <w:p w:rsidR="00AB4FAA" w:rsidRDefault="00E36FA6">
      <w:pPr>
        <w:widowControl w:val="0"/>
        <w:numPr>
          <w:ilvl w:val="0"/>
          <w:numId w:val="12"/>
        </w:numPr>
        <w:spacing w:line="240" w:lineRule="auto"/>
        <w:rPr>
          <w:color w:val="000000"/>
        </w:rPr>
      </w:pPr>
      <w:r>
        <w:t>Provide advice on the policy context and recent history of their area of expertise</w:t>
      </w:r>
    </w:p>
    <w:p w:rsidR="00AB4FAA" w:rsidRDefault="00E36FA6">
      <w:pPr>
        <w:widowControl w:val="0"/>
        <w:numPr>
          <w:ilvl w:val="0"/>
          <w:numId w:val="12"/>
        </w:numPr>
        <w:pBdr>
          <w:top w:val="nil"/>
          <w:left w:val="nil"/>
          <w:bottom w:val="nil"/>
          <w:right w:val="nil"/>
          <w:between w:val="nil"/>
        </w:pBdr>
        <w:spacing w:line="240" w:lineRule="auto"/>
        <w:rPr>
          <w:color w:val="000000"/>
        </w:rPr>
      </w:pPr>
      <w:r>
        <w:rPr>
          <w:color w:val="000000"/>
        </w:rPr>
        <w:t>Provide feedback on the conclusions drawn from research by the SMC.</w:t>
      </w:r>
    </w:p>
    <w:p w:rsidR="00AB4FAA" w:rsidRDefault="00AB4FAA">
      <w:pPr>
        <w:widowControl w:val="0"/>
        <w:spacing w:line="240" w:lineRule="auto"/>
      </w:pPr>
    </w:p>
    <w:p w:rsidR="00AB4FAA" w:rsidRDefault="00E36FA6">
      <w:pPr>
        <w:widowControl w:val="0"/>
        <w:spacing w:line="240" w:lineRule="auto"/>
        <w:rPr>
          <w:b/>
        </w:rPr>
      </w:pPr>
      <w:r>
        <w:rPr>
          <w:b/>
        </w:rPr>
        <w:t>What all tender applications must include</w:t>
      </w:r>
    </w:p>
    <w:p w:rsidR="00AB4FAA" w:rsidRDefault="00AB4FAA">
      <w:pPr>
        <w:widowControl w:val="0"/>
        <w:spacing w:line="240" w:lineRule="auto"/>
        <w:rPr>
          <w:b/>
        </w:rPr>
      </w:pPr>
    </w:p>
    <w:p w:rsidR="00AB4FAA" w:rsidRDefault="00E36FA6">
      <w:pPr>
        <w:widowControl w:val="0"/>
        <w:numPr>
          <w:ilvl w:val="0"/>
          <w:numId w:val="6"/>
        </w:numPr>
        <w:spacing w:line="240" w:lineRule="auto"/>
      </w:pPr>
      <w:r>
        <w:t xml:space="preserve">Which role an </w:t>
      </w:r>
      <w:proofErr w:type="gramStart"/>
      <w:r>
        <w:t>individual wishes</w:t>
      </w:r>
      <w:proofErr w:type="gramEnd"/>
      <w:r>
        <w:t xml:space="preserve"> to be considered for (specify whether it is an academic or policy role and the specialism within that category).</w:t>
      </w:r>
    </w:p>
    <w:p w:rsidR="00AB4FAA" w:rsidRDefault="00E36FA6">
      <w:pPr>
        <w:widowControl w:val="0"/>
        <w:numPr>
          <w:ilvl w:val="0"/>
          <w:numId w:val="6"/>
        </w:numPr>
        <w:spacing w:line="240" w:lineRule="auto"/>
      </w:pPr>
      <w:r>
        <w:t>How their experience and expertise meet the expectations of the role they are applying for.</w:t>
      </w:r>
    </w:p>
    <w:p w:rsidR="00AB4FAA" w:rsidRDefault="00E36FA6">
      <w:pPr>
        <w:widowControl w:val="0"/>
        <w:numPr>
          <w:ilvl w:val="0"/>
          <w:numId w:val="6"/>
        </w:numPr>
        <w:spacing w:line="240" w:lineRule="auto"/>
      </w:pPr>
      <w:r>
        <w:t xml:space="preserve">Relevant pieces of academic research or policy advice they have been involved in. </w:t>
      </w:r>
    </w:p>
    <w:p w:rsidR="00AB4FAA" w:rsidRDefault="00E36FA6">
      <w:pPr>
        <w:widowControl w:val="0"/>
        <w:numPr>
          <w:ilvl w:val="0"/>
          <w:numId w:val="6"/>
        </w:numPr>
        <w:spacing w:line="240" w:lineRule="auto"/>
      </w:pPr>
      <w:r>
        <w:t xml:space="preserve">To demonstrate how they have a competent understanding and knowledge of the evidence base / policy context for the role they are applying for. </w:t>
      </w:r>
    </w:p>
    <w:p w:rsidR="00AB4FAA" w:rsidRDefault="00E36FA6">
      <w:pPr>
        <w:widowControl w:val="0"/>
        <w:numPr>
          <w:ilvl w:val="0"/>
          <w:numId w:val="6"/>
        </w:numPr>
        <w:pBdr>
          <w:top w:val="nil"/>
          <w:left w:val="nil"/>
          <w:bottom w:val="nil"/>
          <w:right w:val="nil"/>
          <w:between w:val="nil"/>
        </w:pBdr>
        <w:spacing w:line="240" w:lineRule="auto"/>
        <w:rPr>
          <w:color w:val="000000"/>
        </w:rPr>
      </w:pPr>
      <w:r>
        <w:rPr>
          <w:color w:val="000000"/>
        </w:rPr>
        <w:t>Time they are able to provide.</w:t>
      </w:r>
    </w:p>
    <w:p w:rsidR="00AB4FAA" w:rsidRDefault="00AB4FAA">
      <w:pPr>
        <w:widowControl w:val="0"/>
        <w:spacing w:line="240" w:lineRule="auto"/>
        <w:ind w:left="720"/>
      </w:pPr>
    </w:p>
    <w:p w:rsidR="00AB4FAA" w:rsidRDefault="00AB4FAA">
      <w:pPr>
        <w:widowControl w:val="0"/>
        <w:spacing w:line="240" w:lineRule="auto"/>
        <w:rPr>
          <w:b/>
        </w:rPr>
      </w:pPr>
    </w:p>
    <w:p w:rsidR="00AB4FAA" w:rsidRDefault="00E36FA6">
      <w:pPr>
        <w:spacing w:line="240" w:lineRule="auto"/>
        <w:rPr>
          <w:rFonts w:ascii="Times New Roman" w:eastAsia="Times New Roman" w:hAnsi="Times New Roman" w:cs="Times New Roman"/>
          <w:sz w:val="24"/>
          <w:szCs w:val="24"/>
        </w:rPr>
      </w:pPr>
      <w:r>
        <w:rPr>
          <w:b/>
          <w:color w:val="000000"/>
        </w:rPr>
        <w:t>Flexibility provision</w:t>
      </w:r>
    </w:p>
    <w:p w:rsidR="00AB4FAA" w:rsidRDefault="00AB4FAA">
      <w:pPr>
        <w:spacing w:line="240" w:lineRule="auto"/>
        <w:rPr>
          <w:rFonts w:ascii="Times New Roman" w:eastAsia="Times New Roman" w:hAnsi="Times New Roman" w:cs="Times New Roman"/>
          <w:sz w:val="24"/>
          <w:szCs w:val="24"/>
        </w:rPr>
      </w:pPr>
    </w:p>
    <w:p w:rsidR="00AB4FAA" w:rsidRDefault="00E36FA6">
      <w:pPr>
        <w:spacing w:line="240" w:lineRule="auto"/>
        <w:rPr>
          <w:color w:val="000000"/>
        </w:rPr>
      </w:pPr>
      <w:r>
        <w:rPr>
          <w:color w:val="000000"/>
        </w:rPr>
        <w:t xml:space="preserve">While we hope to find a supplier for each of the roles, we recognise some suppliers may have specialties in overlapping areas. Suppliers can bid for one or more roles, if they could also add value in other policy areas. Please ensure your proposal clearly </w:t>
      </w:r>
      <w:r>
        <w:t xml:space="preserve">outlines </w:t>
      </w:r>
      <w:r>
        <w:rPr>
          <w:color w:val="000000"/>
        </w:rPr>
        <w:t>the amount of time you are willing to provide and the associated costs.</w:t>
      </w:r>
    </w:p>
    <w:p w:rsidR="00AB4FAA" w:rsidRDefault="00AB4FAA">
      <w:pPr>
        <w:spacing w:line="240" w:lineRule="auto"/>
        <w:ind w:left="720"/>
        <w:rPr>
          <w:rFonts w:ascii="Times New Roman" w:eastAsia="Times New Roman" w:hAnsi="Times New Roman" w:cs="Times New Roman"/>
          <w:sz w:val="24"/>
          <w:szCs w:val="24"/>
        </w:rPr>
      </w:pPr>
    </w:p>
    <w:p w:rsidR="00AB4FAA" w:rsidRDefault="00E36FA6">
      <w:pPr>
        <w:widowControl w:val="0"/>
        <w:spacing w:line="240" w:lineRule="auto"/>
        <w:rPr>
          <w:b/>
        </w:rPr>
      </w:pPr>
      <w:r>
        <w:rPr>
          <w:b/>
        </w:rPr>
        <w:t>5         Audience</w:t>
      </w:r>
    </w:p>
    <w:p w:rsidR="00AB4FAA" w:rsidRDefault="00E36FA6">
      <w:pPr>
        <w:widowControl w:val="0"/>
        <w:spacing w:line="240" w:lineRule="auto"/>
      </w:pPr>
      <w:r>
        <w:tab/>
      </w:r>
    </w:p>
    <w:p w:rsidR="00AB4FAA" w:rsidRDefault="00E36FA6">
      <w:pPr>
        <w:pBdr>
          <w:top w:val="nil"/>
          <w:left w:val="nil"/>
          <w:bottom w:val="nil"/>
          <w:right w:val="nil"/>
          <w:between w:val="nil"/>
        </w:pBdr>
        <w:spacing w:line="240" w:lineRule="auto"/>
        <w:ind w:left="720"/>
        <w:rPr>
          <w:color w:val="000000"/>
        </w:rPr>
      </w:pPr>
      <w:r>
        <w:rPr>
          <w:color w:val="000000"/>
        </w:rPr>
        <w:t>All advice provided is only for the SMC internally and cannot be shared publicly or beyond the SMC without formal agreement from the SMC. This relationship will be, by nature, collaborative with us taking your advice and you taking our steers. We expect the expert to be able to distinguish their own organisation’s positions and priorities from those of SMC and its remit. You should expect lively debates and questions from the team as we test your thinking in meetings. All communications will be confidential, allowing a spirit of free discussion.</w:t>
      </w:r>
    </w:p>
    <w:p w:rsidR="00AB4FAA" w:rsidRDefault="00AB4FAA">
      <w:pPr>
        <w:pBdr>
          <w:top w:val="nil"/>
          <w:left w:val="nil"/>
          <w:bottom w:val="nil"/>
          <w:right w:val="nil"/>
          <w:between w:val="nil"/>
        </w:pBdr>
        <w:spacing w:line="240" w:lineRule="auto"/>
        <w:ind w:left="720"/>
      </w:pPr>
    </w:p>
    <w:p w:rsidR="00AB4FAA" w:rsidRDefault="00E36FA6">
      <w:pPr>
        <w:spacing w:after="240" w:line="240" w:lineRule="auto"/>
        <w:rPr>
          <w:b/>
        </w:rPr>
      </w:pPr>
      <w:r>
        <w:rPr>
          <w:b/>
        </w:rPr>
        <w:lastRenderedPageBreak/>
        <w:t>6         Management Information and ways of working</w:t>
      </w:r>
    </w:p>
    <w:p w:rsidR="00AB4FAA" w:rsidRDefault="00E36FA6">
      <w:pPr>
        <w:spacing w:after="240" w:line="240" w:lineRule="auto"/>
        <w:ind w:left="720"/>
      </w:pPr>
      <w:r>
        <w:t xml:space="preserve">As this work plan is collaborative in nature, there will be a significant level of interaction with SMC. </w:t>
      </w:r>
      <w:r>
        <w:rPr>
          <w:u w:val="single"/>
        </w:rPr>
        <w:t>At a minimum</w:t>
      </w:r>
      <w:r>
        <w:t>, the successful applicant will be asked to:</w:t>
      </w:r>
    </w:p>
    <w:p w:rsidR="00AB4FAA" w:rsidRDefault="00E36FA6">
      <w:pPr>
        <w:numPr>
          <w:ilvl w:val="0"/>
          <w:numId w:val="7"/>
        </w:numPr>
        <w:spacing w:after="240" w:line="240" w:lineRule="auto"/>
      </w:pPr>
      <w:r>
        <w:t>Attend a project kick-off meeting</w:t>
      </w:r>
    </w:p>
    <w:p w:rsidR="00AB4FAA" w:rsidRDefault="00E36FA6">
      <w:pPr>
        <w:numPr>
          <w:ilvl w:val="0"/>
          <w:numId w:val="7"/>
        </w:numPr>
        <w:spacing w:after="240" w:line="240" w:lineRule="auto"/>
      </w:pPr>
      <w:r>
        <w:t xml:space="preserve">Review the </w:t>
      </w:r>
      <w:r>
        <w:rPr>
          <w:i/>
        </w:rPr>
        <w:t>State of the Nation</w:t>
      </w:r>
      <w:r>
        <w:t xml:space="preserve"> statutory report drafts (all)</w:t>
      </w:r>
    </w:p>
    <w:p w:rsidR="00AB4FAA" w:rsidRDefault="00E36FA6">
      <w:pPr>
        <w:numPr>
          <w:ilvl w:val="0"/>
          <w:numId w:val="7"/>
        </w:numPr>
        <w:spacing w:after="240" w:line="240" w:lineRule="auto"/>
      </w:pPr>
      <w:r>
        <w:t>Review research project drafts where it is on an area of your subject-matter expertise</w:t>
      </w:r>
    </w:p>
    <w:p w:rsidR="00AB4FAA" w:rsidRDefault="00E36FA6">
      <w:pPr>
        <w:numPr>
          <w:ilvl w:val="0"/>
          <w:numId w:val="7"/>
        </w:numPr>
        <w:spacing w:after="240" w:line="240" w:lineRule="auto"/>
      </w:pPr>
      <w:r>
        <w:t>Attend meetings with the Secretariat to provide advice</w:t>
      </w:r>
    </w:p>
    <w:p w:rsidR="00AB4FAA" w:rsidRDefault="00E36FA6">
      <w:pPr>
        <w:numPr>
          <w:ilvl w:val="0"/>
          <w:numId w:val="7"/>
        </w:numPr>
        <w:spacing w:after="240" w:line="240" w:lineRule="auto"/>
      </w:pPr>
      <w:r>
        <w:t>Deliver presentations on areas of interest to the SMC for upskilling and encouraging internal debate on our policy direction.</w:t>
      </w:r>
    </w:p>
    <w:p w:rsidR="00AB4FAA" w:rsidRDefault="00E36FA6">
      <w:pPr>
        <w:spacing w:after="240" w:line="240" w:lineRule="auto"/>
        <w:rPr>
          <w:b/>
        </w:rPr>
      </w:pPr>
      <w:r>
        <w:rPr>
          <w:b/>
        </w:rPr>
        <w:t>7</w:t>
      </w:r>
      <w:r>
        <w:rPr>
          <w:b/>
        </w:rPr>
        <w:tab/>
        <w:t>Dependencies and Liaison</w:t>
      </w:r>
    </w:p>
    <w:p w:rsidR="00AB4FAA" w:rsidRDefault="00E36FA6">
      <w:pPr>
        <w:spacing w:after="240" w:line="240" w:lineRule="auto"/>
      </w:pPr>
      <w:r>
        <w:t>Tenderers should indicate if they are reliant on any third party with any information, data or undertaking any of the work specified.</w:t>
      </w:r>
    </w:p>
    <w:p w:rsidR="00AB4FAA" w:rsidRDefault="00E36FA6">
      <w:pPr>
        <w:spacing w:after="240" w:line="240" w:lineRule="auto"/>
        <w:rPr>
          <w:b/>
        </w:rPr>
      </w:pPr>
      <w:r>
        <w:rPr>
          <w:b/>
        </w:rPr>
        <w:t>8</w:t>
      </w:r>
      <w:r>
        <w:rPr>
          <w:b/>
        </w:rPr>
        <w:tab/>
        <w:t>Data Collection</w:t>
      </w:r>
    </w:p>
    <w:p w:rsidR="00AB4FAA" w:rsidRDefault="00E36FA6">
      <w:pPr>
        <w:widowControl w:val="0"/>
        <w:spacing w:after="240" w:line="240" w:lineRule="auto"/>
        <w:rPr>
          <w:b/>
        </w:rPr>
      </w:pPr>
      <w:r>
        <w:t xml:space="preserve">It is not expected that any data collection will be required for this role.  </w:t>
      </w:r>
    </w:p>
    <w:p w:rsidR="00AB4FAA" w:rsidRDefault="00E36FA6">
      <w:pPr>
        <w:spacing w:after="240" w:line="240" w:lineRule="auto"/>
        <w:rPr>
          <w:b/>
        </w:rPr>
      </w:pPr>
      <w:r>
        <w:rPr>
          <w:b/>
        </w:rPr>
        <w:t>9        Costs and Budget</w:t>
      </w:r>
    </w:p>
    <w:p w:rsidR="00AB4FAA" w:rsidRDefault="00E36FA6">
      <w:pPr>
        <w:rPr>
          <w:u w:val="single"/>
        </w:rPr>
      </w:pPr>
      <w:r>
        <w:t xml:space="preserve">Given the breadth of this project’s scope and methodology, we expect proposals to be </w:t>
      </w:r>
      <w:r>
        <w:rPr>
          <w:u w:val="single"/>
        </w:rPr>
        <w:t xml:space="preserve">up to £6000 per panel role, exclusive of VAT. (See section 3 Costing Example for further information on the VAT rules). </w:t>
      </w:r>
    </w:p>
    <w:p w:rsidR="00AB4FAA" w:rsidRDefault="00AB4FAA">
      <w:pPr>
        <w:ind w:left="720"/>
      </w:pPr>
    </w:p>
    <w:p w:rsidR="00AB4FAA" w:rsidRDefault="00E36FA6">
      <w:r>
        <w:t>All costs should be quoted exclusive of VAT but please indicate if the project will attract VAT. If your proposal includes costs for sub-contractors these costs must be shown inclusive of any VAT element (e.g. sub-contractor’s costs to you are £5,000 plus VAT, your proposal should show sub-contractors costs as £6,000 inclusive of VAT @ 20%).</w:t>
      </w:r>
    </w:p>
    <w:p w:rsidR="00AB4FAA" w:rsidRDefault="00AB4FAA">
      <w:pPr>
        <w:ind w:left="720"/>
      </w:pPr>
    </w:p>
    <w:p w:rsidR="00AB4FAA" w:rsidRDefault="00E36FA6">
      <w:pPr>
        <w:spacing w:after="240" w:line="240" w:lineRule="auto"/>
      </w:pPr>
      <w:r>
        <w:t>9.1</w:t>
      </w:r>
      <w:r>
        <w:tab/>
        <w:t xml:space="preserve">A detailed breakdown of costs is required within the proposal (excluding VAT).  </w:t>
      </w:r>
    </w:p>
    <w:p w:rsidR="00AB4FAA" w:rsidRDefault="00E36FA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 xml:space="preserve">Your tender should provide a detailed breakdown of costs on the basis of professional time. </w:t>
      </w:r>
    </w:p>
    <w:p w:rsidR="00AB4FAA" w:rsidRDefault="00AB4FAA">
      <w:pPr>
        <w:widowControl w:val="0"/>
        <w:tabs>
          <w:tab w:val="left" w:pos="360"/>
        </w:tabs>
        <w:spacing w:line="240" w:lineRule="auto"/>
        <w:ind w:left="720" w:hanging="360"/>
        <w:rPr>
          <w:i/>
          <w:color w:val="0000FF"/>
        </w:rPr>
      </w:pPr>
    </w:p>
    <w:p w:rsidR="00AB4FAA" w:rsidRDefault="00E36FA6">
      <w:pPr>
        <w:spacing w:after="240" w:line="240" w:lineRule="auto"/>
      </w:pPr>
      <w:r>
        <w:t>9.2</w:t>
      </w:r>
      <w:r>
        <w:tab/>
        <w:t>Payments will be made by BACS transfer following receipt of a valid invoice.</w:t>
      </w:r>
    </w:p>
    <w:p w:rsidR="00AB4FAA" w:rsidRDefault="00E36FA6">
      <w:pPr>
        <w:spacing w:after="240" w:line="240" w:lineRule="auto"/>
      </w:pPr>
      <w:r>
        <w:t>9.3</w:t>
      </w:r>
      <w:r>
        <w:tab/>
        <w:t>The successful tenderer should provide details of discounts for prompt payment.</w:t>
      </w:r>
    </w:p>
    <w:p w:rsidR="00AB4FAA" w:rsidRDefault="00AB4FAA">
      <w:pPr>
        <w:spacing w:line="240" w:lineRule="auto"/>
        <w:rPr>
          <w:b/>
        </w:rPr>
      </w:pPr>
    </w:p>
    <w:p w:rsidR="00AB4FAA" w:rsidRDefault="00E36FA6">
      <w:pPr>
        <w:spacing w:line="240" w:lineRule="auto"/>
        <w:rPr>
          <w:b/>
        </w:rPr>
      </w:pPr>
      <w:r>
        <w:rPr>
          <w:b/>
        </w:rPr>
        <w:t>10</w:t>
      </w:r>
      <w:r>
        <w:rPr>
          <w:b/>
        </w:rPr>
        <w:tab/>
        <w:t>VAT</w:t>
      </w:r>
    </w:p>
    <w:p w:rsidR="00AB4FAA" w:rsidRDefault="00AB4FAA">
      <w:pPr>
        <w:spacing w:line="240" w:lineRule="auto"/>
        <w:rPr>
          <w:b/>
        </w:rPr>
      </w:pPr>
    </w:p>
    <w:p w:rsidR="00AB4FAA" w:rsidRDefault="00E36FA6">
      <w:pPr>
        <w:spacing w:after="240" w:line="240" w:lineRule="auto"/>
      </w:pPr>
      <w:r>
        <w:t>10.1</w:t>
      </w:r>
      <w:r>
        <w:rPr>
          <w:b/>
        </w:rPr>
        <w:tab/>
      </w:r>
      <w:r>
        <w:t xml:space="preserve">Please state clearly when submitting prices whether or not VAT will be charged.  </w:t>
      </w:r>
    </w:p>
    <w:p w:rsidR="00AB4FAA" w:rsidRDefault="00E36FA6">
      <w:pPr>
        <w:spacing w:after="240" w:line="240" w:lineRule="auto"/>
      </w:pPr>
      <w:r>
        <w:t>10.2</w:t>
      </w:r>
      <w:r>
        <w:tab/>
        <w:t>Where the contract price agreed between SMC and contractor is inclusive of any VAT, further amounts will not be paid by SMC should a vatable supply claim be made at any later stage.</w:t>
      </w:r>
    </w:p>
    <w:p w:rsidR="00AB4FAA" w:rsidRDefault="00E36FA6">
      <w:pPr>
        <w:tabs>
          <w:tab w:val="left" w:pos="720"/>
          <w:tab w:val="left" w:pos="1440"/>
          <w:tab w:val="left" w:pos="2160"/>
          <w:tab w:val="left" w:pos="2880"/>
          <w:tab w:val="center" w:pos="4658"/>
        </w:tabs>
        <w:spacing w:after="240" w:line="240" w:lineRule="auto"/>
      </w:pPr>
      <w:r>
        <w:lastRenderedPageBreak/>
        <w:t>10.3</w:t>
      </w:r>
      <w:r>
        <w:tab/>
        <w:t>Where the overall contract price is exclusive of VAT, SMC will pay any VAT incurred at the prevailing rate (currently 20%).  If the VAT rate changes SMC will pay any VAT incurred at the new rate.</w:t>
      </w:r>
    </w:p>
    <w:p w:rsidR="00AB4FAA" w:rsidRDefault="00E36FA6">
      <w:pPr>
        <w:spacing w:after="240" w:line="240" w:lineRule="auto"/>
      </w:pPr>
      <w:r>
        <w:t>10.4</w:t>
      </w:r>
      <w:r>
        <w:tab/>
        <w:t xml:space="preserve">It is the responsibility of tenderers to check the VAT position with HMRC before submitting a bid.  </w:t>
      </w:r>
    </w:p>
    <w:p w:rsidR="00AB4FAA" w:rsidRDefault="00E36FA6">
      <w:pPr>
        <w:spacing w:after="240" w:line="240" w:lineRule="auto"/>
        <w:ind w:left="720"/>
        <w:jc w:val="right"/>
        <w:rPr>
          <w:b/>
        </w:rPr>
      </w:pPr>
      <w:bookmarkStart w:id="1" w:name="bookmark=id.30j0zll" w:colFirst="0" w:colLast="0"/>
      <w:bookmarkEnd w:id="1"/>
      <w:r>
        <w:br w:type="page"/>
      </w:r>
    </w:p>
    <w:p w:rsidR="00AB4FAA" w:rsidRDefault="00E36FA6">
      <w:pPr>
        <w:spacing w:after="240" w:line="240" w:lineRule="auto"/>
        <w:ind w:left="720"/>
        <w:jc w:val="right"/>
        <w:rPr>
          <w:b/>
        </w:rPr>
      </w:pPr>
      <w:bookmarkStart w:id="2" w:name="bookmark=id.1fob9te" w:colFirst="0" w:colLast="0"/>
      <w:bookmarkEnd w:id="2"/>
      <w:r>
        <w:rPr>
          <w:b/>
        </w:rPr>
        <w:lastRenderedPageBreak/>
        <w:t>DOCUMENT 2</w:t>
      </w:r>
    </w:p>
    <w:p w:rsidR="00AB4FAA" w:rsidRDefault="00E36FA6">
      <w:pPr>
        <w:spacing w:after="240" w:line="240" w:lineRule="auto"/>
      </w:pPr>
      <w:r>
        <w:rPr>
          <w:b/>
        </w:rPr>
        <w:t>INSTRUCTIONS ON TENDERING PROCEDURES</w:t>
      </w:r>
    </w:p>
    <w:p w:rsidR="00AB4FAA" w:rsidRDefault="00E36FA6">
      <w:pPr>
        <w:numPr>
          <w:ilvl w:val="0"/>
          <w:numId w:val="28"/>
        </w:numPr>
        <w:spacing w:after="240" w:line="240" w:lineRule="auto"/>
      </w:pPr>
      <w:r>
        <w:t xml:space="preserve">These instructions are designed to ensure that all tenders are given equal and fair consideration.  It is important therefore that you provide all the information asked for in the format and order specified.  </w:t>
      </w:r>
    </w:p>
    <w:p w:rsidR="00AB4FAA" w:rsidRDefault="00E36FA6">
      <w:pPr>
        <w:keepNext/>
        <w:numPr>
          <w:ilvl w:val="0"/>
          <w:numId w:val="28"/>
        </w:numPr>
        <w:spacing w:line="240" w:lineRule="auto"/>
      </w:pPr>
      <w:bookmarkStart w:id="3" w:name="_heading=h.3znysh7" w:colFirst="0" w:colLast="0"/>
      <w:bookmarkEnd w:id="3"/>
      <w:r>
        <w:t xml:space="preserve">Bidders must submit their Bids before </w:t>
      </w:r>
      <w:r>
        <w:rPr>
          <w:b/>
        </w:rPr>
        <w:t xml:space="preserve">12 Noon on </w:t>
      </w:r>
      <w:r w:rsidR="00E33A25">
        <w:rPr>
          <w:b/>
        </w:rPr>
        <w:t>Mond</w:t>
      </w:r>
      <w:r>
        <w:rPr>
          <w:b/>
        </w:rPr>
        <w:t xml:space="preserve">ay </w:t>
      </w:r>
      <w:r w:rsidR="00E33A25">
        <w:rPr>
          <w:b/>
        </w:rPr>
        <w:t>1</w:t>
      </w:r>
      <w:r>
        <w:rPr>
          <w:b/>
        </w:rPr>
        <w:t>4 February 2022.</w:t>
      </w:r>
      <w:r>
        <w:t xml:space="preserve">   All Bids must be submitted to </w:t>
      </w:r>
      <w:hyperlink r:id="rId12">
        <w:r>
          <w:rPr>
            <w:color w:val="0000FF"/>
            <w:u w:val="single"/>
          </w:rPr>
          <w:t>Colin.Seymour@cabinetoffice.gov.uk</w:t>
        </w:r>
      </w:hyperlink>
      <w:r>
        <w:t>. Failure to return Bids by the time and due date or in the required format may disqualify Bidders from consideration.</w:t>
      </w:r>
    </w:p>
    <w:p w:rsidR="00AB4FAA" w:rsidRDefault="00AB4FAA">
      <w:pPr>
        <w:keepNext/>
        <w:spacing w:line="240" w:lineRule="auto"/>
        <w:ind w:left="720"/>
      </w:pPr>
    </w:p>
    <w:p w:rsidR="00AB4FAA" w:rsidRDefault="00E36FA6">
      <w:pPr>
        <w:numPr>
          <w:ilvl w:val="0"/>
          <w:numId w:val="28"/>
        </w:numPr>
        <w:spacing w:line="240" w:lineRule="auto"/>
        <w:jc w:val="both"/>
      </w:pPr>
      <w:r>
        <w:t>A clarification process will operate during the ITT stage as explained below.  The objective of this process is to give Bidders the opportunity to submit questions to the Contracting Authority where they require clarification on the information provided. This is not an opportunity for Bidders to seek additional information to that already provided.</w:t>
      </w:r>
    </w:p>
    <w:p w:rsidR="00AB4FAA" w:rsidRDefault="00AB4FAA">
      <w:pPr>
        <w:spacing w:line="240" w:lineRule="auto"/>
        <w:ind w:left="720"/>
        <w:jc w:val="both"/>
        <w:rPr>
          <w:sz w:val="24"/>
          <w:szCs w:val="24"/>
        </w:rPr>
      </w:pPr>
    </w:p>
    <w:p w:rsidR="00AB4FAA" w:rsidRDefault="00E36FA6">
      <w:pPr>
        <w:spacing w:line="240" w:lineRule="auto"/>
        <w:ind w:left="720"/>
        <w:jc w:val="both"/>
      </w:pPr>
      <w:r>
        <w:t xml:space="preserve">Bidders should submit clarification questions via email to </w:t>
      </w:r>
      <w:hyperlink r:id="rId13">
        <w:r>
          <w:rPr>
            <w:color w:val="1155CC"/>
            <w:u w:val="single"/>
          </w:rPr>
          <w:t>Colin.Seymour@cabinetoffice.gov.uk</w:t>
        </w:r>
      </w:hyperlink>
      <w:r>
        <w:t>. Questions received by any other method will not receive a response.</w:t>
      </w:r>
    </w:p>
    <w:p w:rsidR="00AB4FAA" w:rsidRDefault="00AB4FAA">
      <w:pPr>
        <w:spacing w:line="240" w:lineRule="auto"/>
        <w:ind w:left="720"/>
        <w:jc w:val="both"/>
      </w:pPr>
    </w:p>
    <w:p w:rsidR="00AB4FAA" w:rsidRDefault="00E36FA6">
      <w:pPr>
        <w:spacing w:line="240" w:lineRule="auto"/>
        <w:ind w:left="720"/>
        <w:jc w:val="both"/>
      </w:pPr>
      <w:r>
        <w:t xml:space="preserve">The Contracting Authority will seek to answer questions within 5 working days following the day of receipt. Bidders are urged to review the ITT documentation immediately upon receipt and identify and submit any clarification questions as soon as possible and in any event no later than </w:t>
      </w:r>
      <w:r>
        <w:rPr>
          <w:b/>
        </w:rPr>
        <w:t xml:space="preserve">12 Noon on </w:t>
      </w:r>
      <w:r w:rsidR="00E33A25">
        <w:rPr>
          <w:b/>
        </w:rPr>
        <w:t>Tues</w:t>
      </w:r>
      <w:r>
        <w:rPr>
          <w:b/>
        </w:rPr>
        <w:t xml:space="preserve">day 8 </w:t>
      </w:r>
      <w:r w:rsidR="00E33A25">
        <w:rPr>
          <w:b/>
        </w:rPr>
        <w:t>Febr</w:t>
      </w:r>
      <w:r>
        <w:rPr>
          <w:b/>
        </w:rPr>
        <w:t>uary 2022</w:t>
      </w:r>
      <w:r>
        <w:t xml:space="preserve">. Any questions received after this time may not be answered. </w:t>
      </w:r>
    </w:p>
    <w:p w:rsidR="00AB4FAA" w:rsidRDefault="00AB4FAA">
      <w:pPr>
        <w:spacing w:line="240" w:lineRule="auto"/>
        <w:ind w:left="720"/>
        <w:jc w:val="both"/>
      </w:pPr>
    </w:p>
    <w:p w:rsidR="00AB4FAA" w:rsidRDefault="00E36FA6">
      <w:pPr>
        <w:spacing w:line="240" w:lineRule="auto"/>
        <w:ind w:left="720"/>
        <w:jc w:val="both"/>
      </w:pPr>
      <w:r>
        <w:t>If the Contracting Authority considers any question or request for clarification to be of general significance, both the question and the response will be communicated, in a suitably anonymous form, to all Bidders who have expressed an interest before the closing date for the submission of the ITT.</w:t>
      </w:r>
    </w:p>
    <w:p w:rsidR="00AB4FAA" w:rsidRDefault="00AB4FAA">
      <w:pPr>
        <w:spacing w:line="240" w:lineRule="auto"/>
        <w:ind w:left="720"/>
        <w:jc w:val="both"/>
      </w:pPr>
    </w:p>
    <w:p w:rsidR="00AB4FAA" w:rsidRDefault="00E36FA6">
      <w:pPr>
        <w:spacing w:line="240" w:lineRule="auto"/>
        <w:ind w:left="720"/>
        <w:jc w:val="both"/>
      </w:pPr>
      <w:r>
        <w:t xml:space="preserve">All responses received and any communication from Bidders will be treated in confidence and provision will be made for Bidders to request clarification in confidence (this request must be clearly marked at the outset of each question stating the reasons why such a question is commercial and in confidence), but in responding to such requests the Contracting Authority will reserve the right to act in what it considers a fair manner and in the best interests of the Procurement, which may include circulating the response to all Bidders. </w:t>
      </w:r>
    </w:p>
    <w:p w:rsidR="00AB4FAA" w:rsidRDefault="00AB4FAA">
      <w:pPr>
        <w:spacing w:line="240" w:lineRule="auto"/>
        <w:ind w:left="720"/>
        <w:jc w:val="both"/>
      </w:pPr>
    </w:p>
    <w:p w:rsidR="00AB4FAA" w:rsidRDefault="00E36FA6">
      <w:pPr>
        <w:spacing w:line="240" w:lineRule="auto"/>
        <w:ind w:left="720"/>
        <w:jc w:val="both"/>
      </w:pPr>
      <w:r>
        <w:t>Bidders should note that no further information in addition to that provided in the ITT documentation will be provided about the Procurement at this time. Under no circumstances should Bidders approach the Contracting Authority, their staff or advisors seeking further information in relation to the requirements of the Procurement. Any such approaches (direct or indirect) may result in the Bidder’s exclusion from further consideration in the Procurement process.</w:t>
      </w:r>
    </w:p>
    <w:p w:rsidR="00AB4FAA" w:rsidRDefault="00AB4FAA">
      <w:pPr>
        <w:keepNext/>
        <w:spacing w:line="240" w:lineRule="auto"/>
        <w:ind w:left="720"/>
        <w:rPr>
          <w:b/>
        </w:rPr>
      </w:pPr>
    </w:p>
    <w:p w:rsidR="00AB4FAA" w:rsidRDefault="00E36FA6">
      <w:pPr>
        <w:widowControl w:val="0"/>
        <w:spacing w:line="240" w:lineRule="auto"/>
        <w:ind w:left="720" w:hanging="360"/>
      </w:pPr>
      <w:r>
        <w:t>4</w:t>
      </w:r>
      <w:r>
        <w:tab/>
        <w:t xml:space="preserve">Please note that references to the 'Department' or “Social Mobility Commission” or “the Commission” throughout these documents mean </w:t>
      </w:r>
      <w:r>
        <w:rPr>
          <w:rFonts w:ascii="Calibri" w:eastAsia="Calibri" w:hAnsi="Calibri" w:cs="Calibri"/>
          <w:color w:val="201F1E"/>
          <w:highlight w:val="white"/>
        </w:rPr>
        <w:t> </w:t>
      </w:r>
      <w:hyperlink r:id="rId14">
        <w:r>
          <w:rPr>
            <w:color w:val="0000FF"/>
            <w:highlight w:val="white"/>
            <w:u w:val="single"/>
          </w:rPr>
          <w:t>Minister for the Cabinet Office’</w:t>
        </w:r>
      </w:hyperlink>
      <w:r>
        <w:rPr>
          <w:color w:val="201F1E"/>
          <w:highlight w:val="white"/>
        </w:rPr>
        <w:t>.</w:t>
      </w:r>
    </w:p>
    <w:p w:rsidR="00AB4FAA" w:rsidRDefault="00E36FA6">
      <w:pPr>
        <w:widowControl w:val="0"/>
        <w:spacing w:line="240" w:lineRule="auto"/>
      </w:pPr>
      <w:r>
        <w:tab/>
      </w:r>
    </w:p>
    <w:p w:rsidR="00AB4FAA" w:rsidRDefault="00E36FA6">
      <w:pPr>
        <w:widowControl w:val="0"/>
        <w:spacing w:line="240" w:lineRule="auto"/>
        <w:ind w:left="720" w:hanging="360"/>
      </w:pPr>
      <w:r>
        <w:t>5</w:t>
      </w:r>
      <w:r>
        <w:tab/>
        <w:t xml:space="preserve">SMC is happy to accept bids from single organisations or consortia of organisations. Where a consortium/Special Purpose Vehicle (SPV) is formed to submit a tender, this must only be submitted by and in the name of the supplier chosen as the “Lead” </w:t>
      </w:r>
      <w:r>
        <w:lastRenderedPageBreak/>
        <w:t>supplier for that consortium/SPV.</w:t>
      </w:r>
    </w:p>
    <w:p w:rsidR="00AB4FAA" w:rsidRDefault="00AB4FAA">
      <w:pPr>
        <w:widowControl w:val="0"/>
        <w:spacing w:line="240" w:lineRule="auto"/>
      </w:pPr>
    </w:p>
    <w:p w:rsidR="00AB4FAA" w:rsidRDefault="00E36FA6">
      <w:pPr>
        <w:spacing w:after="240" w:line="240" w:lineRule="auto"/>
        <w:rPr>
          <w:b/>
        </w:rPr>
      </w:pPr>
      <w:r>
        <w:rPr>
          <w:b/>
        </w:rPr>
        <w:t>Contract Period</w:t>
      </w:r>
    </w:p>
    <w:p w:rsidR="00AB4FAA" w:rsidRDefault="00E36FA6">
      <w:pPr>
        <w:spacing w:after="240" w:line="240" w:lineRule="auto"/>
        <w:ind w:left="357"/>
      </w:pPr>
      <w:r>
        <w:t>6</w:t>
      </w:r>
      <w:r>
        <w:tab/>
        <w:t xml:space="preserve">The contract is to be completed by </w:t>
      </w:r>
      <w:r w:rsidR="00E33A25">
        <w:t>7</w:t>
      </w:r>
      <w:r>
        <w:t xml:space="preserve">th </w:t>
      </w:r>
      <w:r w:rsidR="00E33A25">
        <w:t>March</w:t>
      </w:r>
      <w:r>
        <w:t xml:space="preserve"> 2023, with the possibility of a </w:t>
      </w:r>
      <w:proofErr w:type="gramStart"/>
      <w:r>
        <w:t>6-12 month</w:t>
      </w:r>
      <w:proofErr w:type="gramEnd"/>
      <w:r>
        <w:t xml:space="preserve"> extension.</w:t>
      </w:r>
    </w:p>
    <w:p w:rsidR="00AB4FAA" w:rsidRDefault="00E36FA6">
      <w:pPr>
        <w:spacing w:after="240" w:line="240" w:lineRule="auto"/>
        <w:rPr>
          <w:b/>
        </w:rPr>
      </w:pPr>
      <w:r>
        <w:rPr>
          <w:b/>
        </w:rPr>
        <w:t>Incomplete Tender</w:t>
      </w:r>
    </w:p>
    <w:p w:rsidR="00AB4FAA" w:rsidRDefault="00E36FA6">
      <w:pPr>
        <w:spacing w:after="240" w:line="240" w:lineRule="auto"/>
        <w:ind w:left="357"/>
      </w:pPr>
      <w:r>
        <w:t>7</w:t>
      </w:r>
      <w:r>
        <w:tab/>
        <w:t>These instructions are designed to ensure that all tenders are given equal and fair consideration. Tenders may be rejected if the information asked for in the ITT and Specification is not given at the time of tendering.</w:t>
      </w:r>
    </w:p>
    <w:p w:rsidR="00AB4FAA" w:rsidRDefault="00E36FA6">
      <w:pPr>
        <w:widowControl w:val="0"/>
        <w:spacing w:after="240" w:line="240" w:lineRule="auto"/>
        <w:rPr>
          <w:b/>
        </w:rPr>
      </w:pPr>
      <w:r>
        <w:rPr>
          <w:b/>
        </w:rPr>
        <w:t>Indicative procurement timetable</w:t>
      </w:r>
    </w:p>
    <w:p w:rsidR="00AB4FAA" w:rsidRDefault="00E36FA6">
      <w:pPr>
        <w:spacing w:after="240" w:line="240" w:lineRule="auto"/>
        <w:ind w:left="357"/>
      </w:pPr>
      <w:r>
        <w:t>8</w:t>
      </w:r>
      <w:r>
        <w:tab/>
        <w:t>The proposed timetable for this procurement process is as follows. This is intended as a guide and, while The Department does not intend to depart from the timetable, it reserves the right to do so at any time, including by shortening or lengthening any stage.:</w:t>
      </w:r>
    </w:p>
    <w:tbl>
      <w:tblPr>
        <w:tblStyle w:val="aff2"/>
        <w:tblW w:w="8121" w:type="dxa"/>
        <w:tblInd w:w="720" w:type="dxa"/>
        <w:tblLayout w:type="fixed"/>
        <w:tblLook w:val="0400" w:firstRow="0" w:lastRow="0" w:firstColumn="0" w:lastColumn="0" w:noHBand="0" w:noVBand="1"/>
      </w:tblPr>
      <w:tblGrid>
        <w:gridCol w:w="5527"/>
        <w:gridCol w:w="2594"/>
      </w:tblGrid>
      <w:tr w:rsidR="00AB4FAA">
        <w:tc>
          <w:tcPr>
            <w:tcW w:w="5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Tender documents issued</w:t>
            </w:r>
          </w:p>
        </w:tc>
        <w:tc>
          <w:tcPr>
            <w:tcW w:w="25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18 January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Last day for submission of clarifications</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3A25">
            <w:pPr>
              <w:spacing w:after="240" w:line="240" w:lineRule="auto"/>
              <w:rPr>
                <w:color w:val="201F1E"/>
              </w:rPr>
            </w:pPr>
            <w:r>
              <w:rPr>
                <w:color w:val="201F1E"/>
              </w:rPr>
              <w:t>8 February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Last day for SMC to respond to clarifications</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3A25">
            <w:pPr>
              <w:spacing w:after="240" w:line="240" w:lineRule="auto"/>
              <w:rPr>
                <w:color w:val="201F1E"/>
              </w:rPr>
            </w:pPr>
            <w:r w:rsidRPr="00E33A25">
              <w:rPr>
                <w:color w:val="201F1E"/>
              </w:rPr>
              <w:t>10 February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Deadline for tender responses (bids) to be received</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3A25">
            <w:pPr>
              <w:spacing w:after="240" w:line="240" w:lineRule="auto"/>
              <w:rPr>
                <w:color w:val="201F1E"/>
              </w:rPr>
            </w:pPr>
            <w:r>
              <w:rPr>
                <w:color w:val="201F1E"/>
              </w:rPr>
              <w:t>1</w:t>
            </w:r>
            <w:r w:rsidR="00E36FA6">
              <w:rPr>
                <w:color w:val="201F1E"/>
              </w:rPr>
              <w:t>4 February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Tender Evaluations</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3A25">
            <w:pPr>
              <w:spacing w:after="240" w:line="240" w:lineRule="auto"/>
              <w:rPr>
                <w:color w:val="201F1E"/>
              </w:rPr>
            </w:pPr>
            <w:r w:rsidRPr="00E33A25">
              <w:rPr>
                <w:color w:val="201F1E"/>
              </w:rPr>
              <w:t>15 February 2022 – 25 February</w:t>
            </w:r>
            <w:r>
              <w:rPr>
                <w:color w:val="201F1E"/>
              </w:rPr>
              <w:t xml:space="preserve"> 2022</w:t>
            </w:r>
          </w:p>
        </w:tc>
      </w:tr>
      <w:tr w:rsidR="00AB4FAA">
        <w:trPr>
          <w:trHeight w:val="525"/>
        </w:trPr>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SMC announcement of preferred bidders</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3A25">
            <w:pPr>
              <w:spacing w:after="240" w:line="240" w:lineRule="auto"/>
              <w:rPr>
                <w:color w:val="201F1E"/>
              </w:rPr>
            </w:pPr>
            <w:r w:rsidRPr="00E33A25">
              <w:rPr>
                <w:color w:val="201F1E"/>
              </w:rPr>
              <w:t>3 March 2022</w:t>
            </w:r>
          </w:p>
        </w:tc>
      </w:tr>
      <w:tr w:rsidR="00AB4FAA">
        <w:trPr>
          <w:trHeight w:val="495"/>
        </w:trPr>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Contract commencement</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3A25">
            <w:pPr>
              <w:spacing w:after="240" w:line="240" w:lineRule="auto"/>
              <w:rPr>
                <w:color w:val="201F1E"/>
              </w:rPr>
            </w:pPr>
            <w:r w:rsidRPr="00E33A25">
              <w:rPr>
                <w:color w:val="201F1E"/>
              </w:rPr>
              <w:t>w/c 7 March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Panel kick-off meeting</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3A25">
            <w:pPr>
              <w:spacing w:after="240" w:line="240" w:lineRule="auto"/>
              <w:rPr>
                <w:color w:val="201F1E"/>
              </w:rPr>
            </w:pPr>
            <w:r w:rsidRPr="00E33A25">
              <w:rPr>
                <w:color w:val="201F1E"/>
              </w:rPr>
              <w:t>w/c 7 March 2022</w:t>
            </w:r>
          </w:p>
        </w:tc>
      </w:tr>
    </w:tbl>
    <w:p w:rsidR="00AB4FAA" w:rsidRDefault="00AB4FAA">
      <w:pPr>
        <w:spacing w:after="240" w:line="240" w:lineRule="auto"/>
      </w:pPr>
    </w:p>
    <w:p w:rsidR="00AB4FAA" w:rsidRDefault="00E36FA6">
      <w:pPr>
        <w:spacing w:after="240" w:line="240" w:lineRule="auto"/>
        <w:rPr>
          <w:b/>
        </w:rPr>
      </w:pPr>
      <w:r>
        <w:rPr>
          <w:b/>
        </w:rPr>
        <w:t>Receipt of Tenders</w:t>
      </w:r>
    </w:p>
    <w:p w:rsidR="00AB4FAA" w:rsidRDefault="00E36FA6">
      <w:pPr>
        <w:spacing w:after="240" w:line="240" w:lineRule="auto"/>
        <w:ind w:left="357"/>
      </w:pPr>
      <w:r>
        <w:t>9</w:t>
      </w:r>
      <w:r>
        <w:tab/>
        <w:t xml:space="preserve">Tenders will be received up to the time and date stated.  Those received before the due date will be retained unopened until then.  Any Tender received after the Closing Time, and / or submitted by any means other than through </w:t>
      </w:r>
      <w:hyperlink r:id="rId15">
        <w:r>
          <w:rPr>
            <w:color w:val="0000FF"/>
            <w:u w:val="single"/>
          </w:rPr>
          <w:t>Colin.Seymour@cabinetoffice.gov.uk</w:t>
        </w:r>
      </w:hyperlink>
      <w:r>
        <w:t xml:space="preserve"> may be rejected by the Department.  It is the responsibility of the tenderer to ensure that their tender is delivered not later than the appointed time.</w:t>
      </w:r>
    </w:p>
    <w:p w:rsidR="00AB4FAA" w:rsidRDefault="00E36FA6">
      <w:pPr>
        <w:spacing w:after="240" w:line="240" w:lineRule="auto"/>
        <w:ind w:left="720"/>
      </w:pPr>
      <w:r>
        <w:rPr>
          <w:b/>
        </w:rPr>
        <w:t>Acceptance of Tenders</w:t>
      </w:r>
    </w:p>
    <w:p w:rsidR="00AB4FAA" w:rsidRDefault="00E36FA6">
      <w:pPr>
        <w:spacing w:after="240" w:line="240" w:lineRule="auto"/>
        <w:ind w:left="357"/>
      </w:pPr>
      <w:bookmarkStart w:id="4" w:name="_heading=h.gjdgxs" w:colFirst="0" w:colLast="0"/>
      <w:bookmarkEnd w:id="4"/>
      <w:r>
        <w:t>10</w:t>
      </w:r>
      <w:r>
        <w:tab/>
        <w:t>By issuing this invitation, the SMC is not bound in any way and does not have to accept the lowest or any tender, and reserves the right to accept a portion of any tender, unless the tenderer expressly stipulates otherwise in their tender.</w:t>
      </w:r>
    </w:p>
    <w:p w:rsidR="00EF7B94" w:rsidRDefault="00EF7B94">
      <w:pPr>
        <w:spacing w:after="240" w:line="240" w:lineRule="auto"/>
        <w:ind w:left="720"/>
        <w:rPr>
          <w:b/>
        </w:rPr>
      </w:pPr>
    </w:p>
    <w:p w:rsidR="00AB4FAA" w:rsidRDefault="00E36FA6">
      <w:pPr>
        <w:spacing w:after="240" w:line="240" w:lineRule="auto"/>
        <w:ind w:left="720"/>
        <w:rPr>
          <w:b/>
        </w:rPr>
      </w:pPr>
      <w:r>
        <w:rPr>
          <w:b/>
        </w:rPr>
        <w:lastRenderedPageBreak/>
        <w:t>Inducements</w:t>
      </w:r>
    </w:p>
    <w:p w:rsidR="00AB4FAA" w:rsidRDefault="00E36FA6">
      <w:pPr>
        <w:spacing w:after="240" w:line="240" w:lineRule="auto"/>
        <w:ind w:left="357"/>
      </w:pPr>
      <w:r>
        <w:t>11</w:t>
      </w:r>
      <w:r>
        <w:tab/>
        <w:t>Offering an inducement of any kind in relation to obtaining this or any other contract with SMC will disqualify your tender from being considered and may constitute a criminal offence.</w:t>
      </w:r>
    </w:p>
    <w:p w:rsidR="00AB4FAA" w:rsidRDefault="00E36FA6">
      <w:pPr>
        <w:spacing w:after="240" w:line="240" w:lineRule="auto"/>
      </w:pPr>
      <w:r>
        <w:rPr>
          <w:b/>
        </w:rPr>
        <w:t>Confidentiality of Tenders</w:t>
      </w:r>
    </w:p>
    <w:p w:rsidR="00AB4FAA" w:rsidRDefault="00E36FA6">
      <w:pPr>
        <w:spacing w:after="240" w:line="240" w:lineRule="auto"/>
        <w:ind w:left="357"/>
      </w:pPr>
      <w:r>
        <w:t>12</w:t>
      </w:r>
      <w:r>
        <w:tab/>
        <w:t>Please note the following requirements, you must not:</w:t>
      </w:r>
    </w:p>
    <w:p w:rsidR="00AB4FAA" w:rsidRDefault="00E36FA6">
      <w:pPr>
        <w:numPr>
          <w:ilvl w:val="0"/>
          <w:numId w:val="10"/>
        </w:numPr>
        <w:spacing w:after="240" w:line="240" w:lineRule="auto"/>
      </w:pPr>
      <w:r>
        <w:t>Tell anyone else what your tender price is or will be, before the time limit for delivery of tenders.</w:t>
      </w:r>
    </w:p>
    <w:p w:rsidR="00AB4FAA" w:rsidRDefault="00E36FA6">
      <w:pPr>
        <w:numPr>
          <w:ilvl w:val="0"/>
          <w:numId w:val="15"/>
        </w:numPr>
        <w:spacing w:after="240" w:line="240" w:lineRule="auto"/>
      </w:pPr>
      <w:r>
        <w:t>Try to obtain any information about anyone else's tender or proposed tender before the time limit for delivery of tenders.</w:t>
      </w:r>
    </w:p>
    <w:p w:rsidR="00AB4FAA" w:rsidRDefault="00E36FA6">
      <w:pPr>
        <w:numPr>
          <w:ilvl w:val="0"/>
          <w:numId w:val="11"/>
        </w:numPr>
        <w:spacing w:after="240" w:line="240" w:lineRule="auto"/>
      </w:pPr>
      <w:r>
        <w:t>Make any arrangements with another organisation about whether or not they should tender, or about their or your tender price.</w:t>
      </w:r>
    </w:p>
    <w:p w:rsidR="00AB4FAA" w:rsidRDefault="00E36FA6">
      <w:pPr>
        <w:spacing w:after="240" w:line="240" w:lineRule="auto"/>
        <w:ind w:left="720"/>
      </w:pPr>
      <w:r>
        <w:t>Failure to comply with these conditions may disqualify your tender.</w:t>
      </w:r>
    </w:p>
    <w:p w:rsidR="00AB4FAA" w:rsidRDefault="00E36FA6">
      <w:pPr>
        <w:spacing w:after="240" w:line="240" w:lineRule="auto"/>
        <w:rPr>
          <w:b/>
        </w:rPr>
      </w:pPr>
      <w:r>
        <w:rPr>
          <w:b/>
        </w:rPr>
        <w:t>Costs and Expenses</w:t>
      </w:r>
    </w:p>
    <w:p w:rsidR="00AB4FAA" w:rsidRDefault="00E36FA6">
      <w:pPr>
        <w:spacing w:after="240" w:line="240" w:lineRule="auto"/>
        <w:ind w:left="357"/>
      </w:pPr>
      <w:r>
        <w:t>13</w:t>
      </w:r>
      <w:r>
        <w:tab/>
        <w:t>You will not be entitled to claim from SMC any costs or expenses which you may incur in preparing your tender whether or not your tender is successful.</w:t>
      </w:r>
    </w:p>
    <w:p w:rsidR="00AB4FAA" w:rsidRDefault="00AB4FAA">
      <w:pPr>
        <w:spacing w:after="240" w:line="240" w:lineRule="auto"/>
        <w:rPr>
          <w:b/>
        </w:rPr>
      </w:pPr>
    </w:p>
    <w:p w:rsidR="00AB4FAA" w:rsidRDefault="00E36FA6">
      <w:pPr>
        <w:spacing w:after="240" w:line="240" w:lineRule="auto"/>
        <w:rPr>
          <w:b/>
        </w:rPr>
      </w:pPr>
      <w:r>
        <w:rPr>
          <w:b/>
        </w:rPr>
        <w:t>Debriefing</w:t>
      </w:r>
    </w:p>
    <w:p w:rsidR="00AB4FAA" w:rsidRDefault="00E36FA6">
      <w:pPr>
        <w:spacing w:after="240" w:line="240" w:lineRule="auto"/>
        <w:ind w:left="357"/>
      </w:pPr>
      <w:r>
        <w:t>14</w:t>
      </w:r>
      <w:r>
        <w:tab/>
        <w:t>Following the award of contract, debriefing will be available to unsuccessful tenderers on request.</w:t>
      </w:r>
    </w:p>
    <w:p w:rsidR="00AB4FAA" w:rsidRDefault="00AB4FAA">
      <w:pPr>
        <w:spacing w:after="240" w:line="240" w:lineRule="auto"/>
      </w:pPr>
    </w:p>
    <w:p w:rsidR="00AB4FAA" w:rsidRDefault="00E36FA6">
      <w:pPr>
        <w:spacing w:after="240" w:line="240" w:lineRule="auto"/>
      </w:pPr>
      <w:r>
        <w:rPr>
          <w:b/>
        </w:rPr>
        <w:t>Evaluation Criteria</w:t>
      </w:r>
    </w:p>
    <w:p w:rsidR="00AB4FAA" w:rsidRDefault="00E36FA6">
      <w:pPr>
        <w:spacing w:after="240" w:line="240" w:lineRule="auto"/>
        <w:ind w:left="357"/>
      </w:pPr>
      <w:r>
        <w:t>15</w:t>
      </w:r>
      <w:r>
        <w:tab/>
        <w:t>The tender process will be conducted in a manner that ensures tenders are evaluated fairly to ascertain the most economically advantageous tender.</w:t>
      </w:r>
    </w:p>
    <w:p w:rsidR="00AB4FAA" w:rsidRDefault="00E36FA6">
      <w:pPr>
        <w:spacing w:after="240" w:line="240" w:lineRule="auto"/>
        <w:ind w:left="357"/>
      </w:pPr>
      <w:r>
        <w:t>16</w:t>
      </w:r>
      <w:r>
        <w:tab/>
        <w:t>Your response to the tender specification will be evaluated using the criteria set out in Document 4 Section 2 - Evaluation Criteria.</w:t>
      </w:r>
    </w:p>
    <w:p w:rsidR="00AB4FAA" w:rsidRDefault="00E36FA6">
      <w:pPr>
        <w:spacing w:after="240" w:line="240" w:lineRule="auto"/>
      </w:pPr>
      <w:r>
        <w:rPr>
          <w:b/>
        </w:rPr>
        <w:t>Tender Period</w:t>
      </w:r>
    </w:p>
    <w:p w:rsidR="00AB4FAA" w:rsidRDefault="00E36FA6">
      <w:pPr>
        <w:spacing w:after="240" w:line="240" w:lineRule="auto"/>
        <w:ind w:left="357"/>
      </w:pPr>
      <w:r>
        <w:t>17</w:t>
      </w:r>
      <w:r>
        <w:tab/>
        <w:t>Due to the intensive evaluation process, SMC requires tenders to remain valid for a period specified in Document 5.</w:t>
      </w:r>
    </w:p>
    <w:p w:rsidR="00AB4FAA" w:rsidRDefault="00E36FA6">
      <w:pPr>
        <w:spacing w:after="240" w:line="240" w:lineRule="auto"/>
        <w:rPr>
          <w:b/>
        </w:rPr>
      </w:pPr>
      <w:r>
        <w:rPr>
          <w:b/>
        </w:rPr>
        <w:t>Basis of the Contract</w:t>
      </w:r>
    </w:p>
    <w:p w:rsidR="00AB4FAA" w:rsidRDefault="00E36FA6">
      <w:pPr>
        <w:spacing w:after="240" w:line="240" w:lineRule="auto"/>
        <w:ind w:left="357"/>
      </w:pPr>
      <w:r>
        <w:t>18</w:t>
      </w:r>
      <w:r>
        <w:tab/>
        <w:t xml:space="preserve">The specification in Document 1, and the terms and conditions in Document 4 Attachment 1, together with any special requirements, will form the basis of the contract between the successful tenderer and </w:t>
      </w:r>
      <w:hyperlink r:id="rId16">
        <w:r>
          <w:rPr>
            <w:highlight w:val="white"/>
          </w:rPr>
          <w:t>Minister for the Cabinet Office’</w:t>
        </w:r>
      </w:hyperlink>
      <w:r>
        <w:rPr>
          <w:highlight w:val="white"/>
        </w:rPr>
        <w:t>.</w:t>
      </w:r>
    </w:p>
    <w:p w:rsidR="00AB4FAA" w:rsidRDefault="00E36FA6">
      <w:pPr>
        <w:spacing w:after="240" w:line="240" w:lineRule="auto"/>
        <w:rPr>
          <w:b/>
        </w:rPr>
      </w:pPr>
      <w:r>
        <w:rPr>
          <w:b/>
        </w:rPr>
        <w:t>Format of Bids (should not exceed 2 pages per role, excluding: CV, publication</w:t>
      </w:r>
      <w:r w:rsidR="00EF7B94">
        <w:rPr>
          <w:b/>
        </w:rPr>
        <w:t>s</w:t>
      </w:r>
      <w:r>
        <w:rPr>
          <w:b/>
        </w:rPr>
        <w:t>, annex/declarations)</w:t>
      </w:r>
    </w:p>
    <w:p w:rsidR="00AB4FAA" w:rsidRDefault="00E36FA6">
      <w:pPr>
        <w:spacing w:after="240" w:line="240" w:lineRule="auto"/>
        <w:ind w:left="357"/>
      </w:pPr>
      <w:r>
        <w:lastRenderedPageBreak/>
        <w:t>19</w:t>
      </w:r>
      <w:r>
        <w:tab/>
        <w:t>Tenderers should present their proposals in the following format:</w:t>
      </w:r>
    </w:p>
    <w:p w:rsidR="00AB4FAA" w:rsidRDefault="00E36FA6">
      <w:pPr>
        <w:spacing w:after="240" w:line="240" w:lineRule="auto"/>
        <w:ind w:left="2160" w:hanging="1440"/>
        <w:rPr>
          <w:b/>
        </w:rPr>
      </w:pPr>
      <w:r>
        <w:rPr>
          <w:b/>
        </w:rPr>
        <w:t>Section 1</w:t>
      </w:r>
      <w:r>
        <w:rPr>
          <w:b/>
        </w:rPr>
        <w:tab/>
        <w:t>Summary of Proposal: outlining the role(s) on the panel wishing to be considered for</w:t>
      </w:r>
    </w:p>
    <w:p w:rsidR="00AB4FAA" w:rsidRDefault="00E36FA6">
      <w:pPr>
        <w:spacing w:after="240" w:line="240" w:lineRule="auto"/>
        <w:ind w:left="720"/>
      </w:pPr>
      <w:r>
        <w:rPr>
          <w:b/>
        </w:rPr>
        <w:t>Section 2a</w:t>
      </w:r>
      <w:r>
        <w:rPr>
          <w:b/>
        </w:rPr>
        <w:tab/>
        <w:t>Meeting the Selection Criteria (pages 3-6)</w:t>
      </w:r>
    </w:p>
    <w:p w:rsidR="00AB4FAA" w:rsidRDefault="00E36FA6">
      <w:pPr>
        <w:widowControl w:val="0"/>
        <w:numPr>
          <w:ilvl w:val="0"/>
          <w:numId w:val="27"/>
        </w:numPr>
        <w:spacing w:after="240" w:line="240" w:lineRule="auto"/>
        <w:ind w:left="1980" w:hanging="540"/>
      </w:pPr>
      <w:r>
        <w:t>Details of proposed experience, expertise and evidence of knowledge related to the role specified;</w:t>
      </w:r>
    </w:p>
    <w:p w:rsidR="00AB4FAA" w:rsidRDefault="00E36FA6">
      <w:pPr>
        <w:widowControl w:val="0"/>
        <w:numPr>
          <w:ilvl w:val="0"/>
          <w:numId w:val="31"/>
        </w:numPr>
        <w:spacing w:after="240" w:line="240" w:lineRule="auto"/>
        <w:ind w:left="1980" w:hanging="540"/>
      </w:pPr>
      <w:r>
        <w:t>Professional time. Tenderers should indicate how they will monitor their role on the panel to ensure it is delivered in terms of quality, timeliness and cost. This could be (for example), via a timesheet detailing work completed/advice given/meetings attended.</w:t>
      </w:r>
    </w:p>
    <w:p w:rsidR="00AB4FAA" w:rsidRDefault="00E36FA6">
      <w:pPr>
        <w:widowControl w:val="0"/>
        <w:numPr>
          <w:ilvl w:val="0"/>
          <w:numId w:val="31"/>
        </w:numPr>
        <w:spacing w:after="240" w:line="240" w:lineRule="auto"/>
        <w:ind w:left="1980" w:hanging="540"/>
      </w:pPr>
      <w:r>
        <w:t>Staffing, including short staff profiles covering examples of key relevant experience and individual/staff expertise and qualifications. Proposed distribution of duties should be clearly stated if the bid involves sub-contracting or collaboration between different providers; and</w:t>
      </w:r>
    </w:p>
    <w:p w:rsidR="00AB4FAA" w:rsidRDefault="00AB4FAA">
      <w:pPr>
        <w:widowControl w:val="0"/>
        <w:spacing w:after="240" w:line="240" w:lineRule="auto"/>
        <w:ind w:left="1980"/>
      </w:pPr>
    </w:p>
    <w:p w:rsidR="00AB4FAA" w:rsidRDefault="00E36FA6">
      <w:pPr>
        <w:spacing w:after="240" w:line="240" w:lineRule="auto"/>
        <w:ind w:left="720"/>
        <w:rPr>
          <w:b/>
        </w:rPr>
      </w:pPr>
      <w:r>
        <w:rPr>
          <w:b/>
        </w:rPr>
        <w:t>Section 2b</w:t>
      </w:r>
      <w:r>
        <w:rPr>
          <w:b/>
        </w:rPr>
        <w:tab/>
        <w:t xml:space="preserve">Curriculum Vitae (CV): </w:t>
      </w:r>
    </w:p>
    <w:p w:rsidR="00AB4FAA" w:rsidRDefault="00E36FA6">
      <w:pPr>
        <w:spacing w:after="240" w:line="240" w:lineRule="auto"/>
        <w:ind w:left="2160"/>
      </w:pPr>
      <w:r>
        <w:t xml:space="preserve">Of length no more than 2 pages (excluding publication list - see below). </w:t>
      </w:r>
    </w:p>
    <w:p w:rsidR="00AB4FAA" w:rsidRDefault="00E36FA6">
      <w:pPr>
        <w:spacing w:after="240" w:line="240" w:lineRule="auto"/>
        <w:ind w:left="2160"/>
      </w:pPr>
      <w:r>
        <w:t xml:space="preserve">For academic roles a list of relevant publications authored/co-authored </w:t>
      </w:r>
      <w:r>
        <w:rPr>
          <w:b/>
        </w:rPr>
        <w:t>must be included</w:t>
      </w:r>
      <w:r>
        <w:t xml:space="preserve"> and can be attached at the end of the CV. This list does not count towards the </w:t>
      </w:r>
      <w:proofErr w:type="gramStart"/>
      <w:r>
        <w:t>2 page</w:t>
      </w:r>
      <w:proofErr w:type="gramEnd"/>
      <w:r>
        <w:t xml:space="preserve"> limit. </w:t>
      </w:r>
    </w:p>
    <w:p w:rsidR="00AB4FAA" w:rsidRDefault="00E36FA6">
      <w:pPr>
        <w:spacing w:after="240" w:line="240" w:lineRule="auto"/>
        <w:ind w:left="2160"/>
      </w:pPr>
      <w:r>
        <w:t xml:space="preserve">For policy roles, the inclusion of a list of relevant publications an applicant has authored/co-authored is </w:t>
      </w:r>
      <w:r>
        <w:rPr>
          <w:b/>
        </w:rPr>
        <w:t xml:space="preserve">optional </w:t>
      </w:r>
      <w:r>
        <w:t xml:space="preserve">and can be attached at the end of the CV. </w:t>
      </w:r>
    </w:p>
    <w:p w:rsidR="00AB4FAA" w:rsidRDefault="00AB4FAA">
      <w:pPr>
        <w:spacing w:after="240" w:line="240" w:lineRule="auto"/>
        <w:ind w:left="720"/>
        <w:rPr>
          <w:b/>
        </w:rPr>
      </w:pPr>
    </w:p>
    <w:p w:rsidR="00AB4FAA" w:rsidRDefault="00E36FA6">
      <w:pPr>
        <w:spacing w:after="240" w:line="240" w:lineRule="auto"/>
        <w:ind w:left="720"/>
        <w:rPr>
          <w:b/>
        </w:rPr>
      </w:pPr>
      <w:r>
        <w:rPr>
          <w:b/>
        </w:rPr>
        <w:t>Section 3</w:t>
      </w:r>
      <w:r>
        <w:rPr>
          <w:b/>
        </w:rPr>
        <w:tab/>
        <w:t>Cost and Charging Arrangements</w:t>
      </w:r>
    </w:p>
    <w:p w:rsidR="00AB4FAA" w:rsidRDefault="00E36FA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Costs should be shown separately by financial year.</w:t>
      </w:r>
    </w:p>
    <w:p w:rsidR="00AB4FAA" w:rsidRDefault="00AB4FAA">
      <w:pPr>
        <w:widowControl w:val="0"/>
        <w:tabs>
          <w:tab w:val="left" w:pos="360"/>
        </w:tabs>
        <w:spacing w:line="240" w:lineRule="auto"/>
      </w:pPr>
    </w:p>
    <w:p w:rsidR="00AB4FAA" w:rsidRDefault="00E36FA6">
      <w:pPr>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pPr>
      <w:r>
        <w:t xml:space="preserve">Your tender should provide details of the costs. Costs should be split by financial year and should indicate if they are: </w:t>
      </w:r>
    </w:p>
    <w:p w:rsidR="00AB4FAA" w:rsidRDefault="00E36FA6">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t>Professional time</w:t>
      </w:r>
    </w:p>
    <w:p w:rsidR="00AB4FAA" w:rsidRDefault="00E36FA6">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t xml:space="preserve">Administrative costs </w:t>
      </w:r>
    </w:p>
    <w:p w:rsidR="00AB4FAA" w:rsidRDefault="00E36FA6">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t>Other</w:t>
      </w: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tab/>
      </w:r>
    </w:p>
    <w:p w:rsidR="00AB4FAA" w:rsidRDefault="00AB4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p>
    <w:p w:rsidR="00AB4FAA" w:rsidRDefault="00AB4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lastRenderedPageBreak/>
        <w:t>For example:</w:t>
      </w:r>
    </w:p>
    <w:tbl>
      <w:tblPr>
        <w:tblStyle w:val="aff3"/>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2280"/>
        <w:gridCol w:w="1305"/>
        <w:gridCol w:w="1110"/>
        <w:gridCol w:w="1140"/>
      </w:tblGrid>
      <w:tr w:rsidR="00AB4FAA">
        <w:trPr>
          <w:trHeight w:val="2093"/>
        </w:trPr>
        <w:tc>
          <w:tcPr>
            <w:tcW w:w="3450" w:type="dxa"/>
            <w:shd w:val="clear" w:color="auto" w:fill="auto"/>
            <w:vAlign w:val="center"/>
          </w:tcPr>
          <w:p w:rsidR="00AB4FAA" w:rsidRDefault="00E36FA6">
            <w:pPr>
              <w:widowControl w:val="0"/>
              <w:spacing w:after="240" w:line="240" w:lineRule="auto"/>
              <w:ind w:left="720" w:hanging="360"/>
              <w:jc w:val="center"/>
              <w:rPr>
                <w:b/>
                <w:sz w:val="20"/>
                <w:szCs w:val="20"/>
              </w:rPr>
            </w:pPr>
            <w:r>
              <w:rPr>
                <w:b/>
                <w:sz w:val="20"/>
                <w:szCs w:val="20"/>
              </w:rPr>
              <w:t>Activity</w:t>
            </w:r>
          </w:p>
        </w:tc>
        <w:tc>
          <w:tcPr>
            <w:tcW w:w="2280" w:type="dxa"/>
          </w:tcPr>
          <w:p w:rsidR="00AB4FAA" w:rsidRDefault="00E36FA6">
            <w:pPr>
              <w:widowControl w:val="0"/>
              <w:spacing w:after="240" w:line="240" w:lineRule="auto"/>
              <w:ind w:left="113" w:right="113" w:hanging="360"/>
              <w:jc w:val="center"/>
              <w:rPr>
                <w:b/>
                <w:sz w:val="20"/>
                <w:szCs w:val="20"/>
              </w:rPr>
            </w:pPr>
            <w:r>
              <w:rPr>
                <w:b/>
                <w:sz w:val="20"/>
                <w:szCs w:val="20"/>
              </w:rPr>
              <w:t xml:space="preserve">Type of cost </w:t>
            </w:r>
            <w:r>
              <w:rPr>
                <w:sz w:val="20"/>
                <w:szCs w:val="20"/>
              </w:rPr>
              <w:t>(i.e. professional costs or admin costs)</w:t>
            </w:r>
          </w:p>
        </w:tc>
        <w:tc>
          <w:tcPr>
            <w:tcW w:w="1305" w:type="dxa"/>
            <w:shd w:val="clear" w:color="auto" w:fill="FFE599"/>
            <w:vAlign w:val="center"/>
          </w:tcPr>
          <w:p w:rsidR="00AB4FAA" w:rsidRDefault="00E36FA6">
            <w:pPr>
              <w:widowControl w:val="0"/>
              <w:spacing w:after="240" w:line="240" w:lineRule="auto"/>
              <w:ind w:left="113" w:right="113" w:hanging="360"/>
              <w:jc w:val="right"/>
              <w:rPr>
                <w:b/>
                <w:sz w:val="20"/>
                <w:szCs w:val="20"/>
              </w:rPr>
            </w:pPr>
            <w:r>
              <w:rPr>
                <w:b/>
                <w:sz w:val="20"/>
                <w:szCs w:val="20"/>
              </w:rPr>
              <w:t>Personnel</w:t>
            </w:r>
          </w:p>
        </w:tc>
        <w:tc>
          <w:tcPr>
            <w:tcW w:w="1110" w:type="dxa"/>
            <w:shd w:val="clear" w:color="auto" w:fill="FFE599"/>
          </w:tcPr>
          <w:p w:rsidR="00AB4FAA" w:rsidRDefault="00E36FA6">
            <w:pPr>
              <w:widowControl w:val="0"/>
              <w:spacing w:after="240" w:line="240" w:lineRule="auto"/>
              <w:ind w:left="113" w:right="113" w:hanging="360"/>
              <w:jc w:val="center"/>
              <w:rPr>
                <w:b/>
                <w:sz w:val="20"/>
                <w:szCs w:val="20"/>
              </w:rPr>
            </w:pPr>
            <w:r>
              <w:rPr>
                <w:b/>
                <w:sz w:val="20"/>
                <w:szCs w:val="20"/>
              </w:rPr>
              <w:t>Total</w:t>
            </w:r>
          </w:p>
          <w:p w:rsidR="00AB4FAA" w:rsidRDefault="00E36FA6">
            <w:pPr>
              <w:widowControl w:val="0"/>
              <w:spacing w:after="240" w:line="240" w:lineRule="auto"/>
              <w:ind w:left="113" w:right="113" w:hanging="360"/>
              <w:jc w:val="center"/>
              <w:rPr>
                <w:b/>
                <w:sz w:val="20"/>
                <w:szCs w:val="20"/>
              </w:rPr>
            </w:pPr>
            <w:r>
              <w:rPr>
                <w:b/>
                <w:sz w:val="20"/>
                <w:szCs w:val="20"/>
              </w:rPr>
              <w:t>Days</w:t>
            </w:r>
          </w:p>
        </w:tc>
        <w:tc>
          <w:tcPr>
            <w:tcW w:w="1140" w:type="dxa"/>
            <w:shd w:val="clear" w:color="auto" w:fill="FFE599"/>
          </w:tcPr>
          <w:p w:rsidR="00AB4FAA" w:rsidRDefault="00E36FA6">
            <w:pPr>
              <w:widowControl w:val="0"/>
              <w:spacing w:after="240" w:line="240" w:lineRule="auto"/>
              <w:ind w:left="113" w:right="113" w:hanging="360"/>
              <w:jc w:val="center"/>
              <w:rPr>
                <w:b/>
                <w:sz w:val="20"/>
                <w:szCs w:val="20"/>
              </w:rPr>
            </w:pPr>
            <w:r>
              <w:rPr>
                <w:b/>
                <w:sz w:val="20"/>
                <w:szCs w:val="20"/>
              </w:rPr>
              <w:t>Total</w:t>
            </w:r>
          </w:p>
          <w:p w:rsidR="00AB4FAA" w:rsidRDefault="00E36FA6">
            <w:pPr>
              <w:widowControl w:val="0"/>
              <w:spacing w:after="240" w:line="240" w:lineRule="auto"/>
              <w:ind w:left="113" w:right="113" w:hanging="360"/>
              <w:jc w:val="center"/>
              <w:rPr>
                <w:b/>
                <w:sz w:val="20"/>
                <w:szCs w:val="20"/>
              </w:rPr>
            </w:pPr>
            <w:r>
              <w:rPr>
                <w:b/>
                <w:sz w:val="20"/>
                <w:szCs w:val="20"/>
              </w:rPr>
              <w:t xml:space="preserve"> Cost</w:t>
            </w:r>
          </w:p>
        </w:tc>
      </w:tr>
      <w:tr w:rsidR="00AB4FAA">
        <w:trPr>
          <w:trHeight w:val="415"/>
        </w:trPr>
        <w:tc>
          <w:tcPr>
            <w:tcW w:w="3450" w:type="dxa"/>
            <w:shd w:val="clear" w:color="auto" w:fill="auto"/>
            <w:vAlign w:val="center"/>
          </w:tcPr>
          <w:p w:rsidR="00AB4FAA" w:rsidRDefault="00E36FA6">
            <w:pPr>
              <w:widowControl w:val="0"/>
              <w:spacing w:after="240" w:line="240" w:lineRule="auto"/>
              <w:ind w:left="720" w:hanging="360"/>
              <w:rPr>
                <w:b/>
                <w:sz w:val="20"/>
                <w:szCs w:val="20"/>
              </w:rPr>
            </w:pPr>
            <w:r>
              <w:rPr>
                <w:b/>
                <w:sz w:val="20"/>
                <w:szCs w:val="20"/>
              </w:rPr>
              <w:t>Date rates:</w:t>
            </w:r>
          </w:p>
        </w:tc>
        <w:tc>
          <w:tcPr>
            <w:tcW w:w="2280" w:type="dxa"/>
          </w:tcPr>
          <w:p w:rsidR="00AB4FAA" w:rsidRDefault="00AB4FAA">
            <w:pPr>
              <w:widowControl w:val="0"/>
              <w:spacing w:after="240" w:line="240" w:lineRule="auto"/>
              <w:ind w:left="113" w:right="113" w:hanging="360"/>
              <w:jc w:val="center"/>
              <w:rPr>
                <w:b/>
                <w:sz w:val="20"/>
                <w:szCs w:val="20"/>
              </w:rPr>
            </w:pPr>
          </w:p>
        </w:tc>
        <w:tc>
          <w:tcPr>
            <w:tcW w:w="1305" w:type="dxa"/>
            <w:shd w:val="clear" w:color="auto" w:fill="FFE599"/>
            <w:vAlign w:val="center"/>
          </w:tcPr>
          <w:p w:rsidR="00AB4FAA" w:rsidRDefault="00AB4FAA">
            <w:pPr>
              <w:widowControl w:val="0"/>
              <w:spacing w:after="240" w:line="240" w:lineRule="auto"/>
              <w:ind w:left="113" w:right="113" w:hanging="360"/>
              <w:jc w:val="center"/>
              <w:rPr>
                <w:b/>
                <w:sz w:val="20"/>
                <w:szCs w:val="20"/>
              </w:rPr>
            </w:pPr>
          </w:p>
        </w:tc>
        <w:tc>
          <w:tcPr>
            <w:tcW w:w="1110" w:type="dxa"/>
            <w:shd w:val="clear" w:color="auto" w:fill="FFE599"/>
          </w:tcPr>
          <w:p w:rsidR="00AB4FAA" w:rsidRDefault="00AB4FAA">
            <w:pPr>
              <w:widowControl w:val="0"/>
              <w:spacing w:after="240" w:line="240" w:lineRule="auto"/>
              <w:ind w:left="113" w:right="113" w:hanging="360"/>
              <w:jc w:val="center"/>
              <w:rPr>
                <w:b/>
                <w:sz w:val="20"/>
                <w:szCs w:val="20"/>
              </w:rPr>
            </w:pPr>
          </w:p>
        </w:tc>
        <w:tc>
          <w:tcPr>
            <w:tcW w:w="1140" w:type="dxa"/>
            <w:shd w:val="clear" w:color="auto" w:fill="FFE599"/>
          </w:tcPr>
          <w:p w:rsidR="00AB4FAA" w:rsidRDefault="00AB4FAA">
            <w:pPr>
              <w:widowControl w:val="0"/>
              <w:spacing w:after="240" w:line="240" w:lineRule="auto"/>
              <w:ind w:left="113" w:right="113" w:hanging="360"/>
              <w:jc w:val="center"/>
              <w:rPr>
                <w:b/>
                <w:sz w:val="20"/>
                <w:szCs w:val="20"/>
              </w:rPr>
            </w:pPr>
          </w:p>
        </w:tc>
      </w:tr>
      <w:tr w:rsidR="00AB4FAA">
        <w:trPr>
          <w:trHeight w:val="556"/>
        </w:trPr>
        <w:tc>
          <w:tcPr>
            <w:tcW w:w="3450" w:type="dxa"/>
            <w:shd w:val="clear" w:color="auto" w:fill="auto"/>
            <w:vAlign w:val="center"/>
          </w:tcPr>
          <w:p w:rsidR="00AB4FAA" w:rsidRDefault="00AB4FAA">
            <w:pPr>
              <w:widowControl w:val="0"/>
              <w:spacing w:after="240" w:line="240" w:lineRule="auto"/>
              <w:ind w:left="720" w:hanging="360"/>
              <w:rPr>
                <w:b/>
                <w:sz w:val="20"/>
                <w:szCs w:val="20"/>
              </w:rPr>
            </w:pPr>
          </w:p>
        </w:tc>
        <w:tc>
          <w:tcPr>
            <w:tcW w:w="2280" w:type="dxa"/>
          </w:tcPr>
          <w:p w:rsidR="00AB4FAA" w:rsidRDefault="00AB4FAA">
            <w:pPr>
              <w:widowControl w:val="0"/>
              <w:spacing w:after="240" w:line="240" w:lineRule="auto"/>
              <w:ind w:left="113" w:right="113" w:hanging="360"/>
              <w:jc w:val="center"/>
              <w:rPr>
                <w:b/>
                <w:sz w:val="20"/>
                <w:szCs w:val="20"/>
              </w:rPr>
            </w:pPr>
          </w:p>
        </w:tc>
        <w:tc>
          <w:tcPr>
            <w:tcW w:w="1305" w:type="dxa"/>
            <w:shd w:val="clear" w:color="auto" w:fill="FFE599"/>
            <w:vAlign w:val="center"/>
          </w:tcPr>
          <w:p w:rsidR="00AB4FAA" w:rsidRDefault="00AB4FAA">
            <w:pPr>
              <w:widowControl w:val="0"/>
              <w:spacing w:after="240" w:line="240" w:lineRule="auto"/>
              <w:ind w:left="113" w:right="113" w:hanging="360"/>
              <w:jc w:val="center"/>
              <w:rPr>
                <w:b/>
                <w:sz w:val="20"/>
                <w:szCs w:val="20"/>
              </w:rPr>
            </w:pPr>
          </w:p>
        </w:tc>
        <w:tc>
          <w:tcPr>
            <w:tcW w:w="1110" w:type="dxa"/>
            <w:shd w:val="clear" w:color="auto" w:fill="FFE599"/>
          </w:tcPr>
          <w:p w:rsidR="00AB4FAA" w:rsidRDefault="00AB4FAA">
            <w:pPr>
              <w:widowControl w:val="0"/>
              <w:spacing w:after="240" w:line="240" w:lineRule="auto"/>
              <w:ind w:left="113" w:right="113" w:hanging="360"/>
              <w:jc w:val="center"/>
              <w:rPr>
                <w:b/>
                <w:sz w:val="20"/>
                <w:szCs w:val="20"/>
              </w:rPr>
            </w:pPr>
          </w:p>
        </w:tc>
        <w:tc>
          <w:tcPr>
            <w:tcW w:w="1140" w:type="dxa"/>
            <w:shd w:val="clear" w:color="auto" w:fill="FFE599"/>
          </w:tcPr>
          <w:p w:rsidR="00AB4FAA" w:rsidRDefault="00AB4FAA">
            <w:pPr>
              <w:widowControl w:val="0"/>
              <w:spacing w:after="240" w:line="240" w:lineRule="auto"/>
              <w:ind w:left="113" w:right="113" w:hanging="360"/>
              <w:jc w:val="center"/>
              <w:rPr>
                <w:b/>
                <w:sz w:val="20"/>
                <w:szCs w:val="20"/>
              </w:rPr>
            </w:pPr>
          </w:p>
        </w:tc>
      </w:tr>
      <w:tr w:rsidR="00AB4FAA">
        <w:tc>
          <w:tcPr>
            <w:tcW w:w="3450" w:type="dxa"/>
            <w:shd w:val="clear" w:color="auto" w:fill="auto"/>
            <w:vAlign w:val="center"/>
          </w:tcPr>
          <w:p w:rsidR="00AB4FAA" w:rsidRDefault="00AB4FAA">
            <w:pPr>
              <w:widowControl w:val="0"/>
              <w:spacing w:after="240" w:line="240" w:lineRule="auto"/>
              <w:ind w:left="720" w:hanging="360"/>
              <w:rPr>
                <w:sz w:val="20"/>
                <w:szCs w:val="20"/>
              </w:rPr>
            </w:pP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sz w:val="20"/>
                <w:szCs w:val="20"/>
              </w:rPr>
            </w:pPr>
          </w:p>
        </w:tc>
        <w:tc>
          <w:tcPr>
            <w:tcW w:w="1110" w:type="dxa"/>
            <w:shd w:val="clear" w:color="auto" w:fill="FFE599"/>
          </w:tcPr>
          <w:p w:rsidR="00AB4FAA" w:rsidRDefault="00AB4FAA">
            <w:pPr>
              <w:widowControl w:val="0"/>
              <w:spacing w:after="240" w:line="240" w:lineRule="auto"/>
              <w:ind w:left="720" w:hanging="360"/>
              <w:jc w:val="center"/>
              <w:rPr>
                <w:sz w:val="20"/>
                <w:szCs w:val="20"/>
              </w:rPr>
            </w:pPr>
          </w:p>
        </w:tc>
        <w:tc>
          <w:tcPr>
            <w:tcW w:w="1140" w:type="dxa"/>
            <w:shd w:val="clear" w:color="auto" w:fill="FFE599"/>
          </w:tcPr>
          <w:p w:rsidR="00AB4FAA" w:rsidRDefault="00AB4FAA">
            <w:pPr>
              <w:widowControl w:val="0"/>
              <w:spacing w:after="240" w:line="240" w:lineRule="auto"/>
              <w:ind w:left="720" w:hanging="360"/>
              <w:jc w:val="center"/>
              <w:rPr>
                <w:sz w:val="20"/>
                <w:szCs w:val="20"/>
              </w:rPr>
            </w:pPr>
          </w:p>
        </w:tc>
      </w:tr>
      <w:tr w:rsidR="00AB4FAA">
        <w:trPr>
          <w:trHeight w:val="454"/>
        </w:trPr>
        <w:tc>
          <w:tcPr>
            <w:tcW w:w="3450" w:type="dxa"/>
            <w:shd w:val="clear" w:color="auto" w:fill="auto"/>
            <w:vAlign w:val="center"/>
          </w:tcPr>
          <w:p w:rsidR="00AB4FAA" w:rsidRDefault="00AB4FAA">
            <w:pPr>
              <w:widowControl w:val="0"/>
              <w:spacing w:after="240" w:line="240" w:lineRule="auto"/>
              <w:jc w:val="both"/>
              <w:rPr>
                <w:sz w:val="20"/>
                <w:szCs w:val="20"/>
              </w:rPr>
            </w:pP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rPr>
                <w:sz w:val="20"/>
                <w:szCs w:val="20"/>
              </w:rPr>
            </w:pPr>
          </w:p>
        </w:tc>
        <w:tc>
          <w:tcPr>
            <w:tcW w:w="1110" w:type="dxa"/>
            <w:shd w:val="clear" w:color="auto" w:fill="FFE599"/>
          </w:tcPr>
          <w:p w:rsidR="00AB4FAA" w:rsidRDefault="00AB4FAA">
            <w:pPr>
              <w:widowControl w:val="0"/>
              <w:spacing w:after="240" w:line="240" w:lineRule="auto"/>
              <w:ind w:left="720" w:hanging="360"/>
              <w:rPr>
                <w:sz w:val="20"/>
                <w:szCs w:val="20"/>
              </w:rPr>
            </w:pPr>
          </w:p>
        </w:tc>
        <w:tc>
          <w:tcPr>
            <w:tcW w:w="1140" w:type="dxa"/>
            <w:shd w:val="clear" w:color="auto" w:fill="FFE599"/>
          </w:tcPr>
          <w:p w:rsidR="00AB4FAA" w:rsidRDefault="00AB4FAA">
            <w:pPr>
              <w:widowControl w:val="0"/>
              <w:spacing w:after="240" w:line="240" w:lineRule="auto"/>
              <w:ind w:left="720" w:hanging="360"/>
              <w:rPr>
                <w:sz w:val="20"/>
                <w:szCs w:val="20"/>
              </w:rPr>
            </w:pPr>
          </w:p>
        </w:tc>
      </w:tr>
      <w:tr w:rsidR="00AB4FAA">
        <w:trPr>
          <w:trHeight w:val="543"/>
        </w:trPr>
        <w:tc>
          <w:tcPr>
            <w:tcW w:w="3450" w:type="dxa"/>
            <w:shd w:val="clear" w:color="auto" w:fill="auto"/>
            <w:vAlign w:val="center"/>
          </w:tcPr>
          <w:p w:rsidR="00AB4FAA" w:rsidRDefault="00AB4FAA">
            <w:pPr>
              <w:widowControl w:val="0"/>
              <w:spacing w:after="240" w:line="240" w:lineRule="auto"/>
              <w:ind w:left="720" w:hanging="360"/>
              <w:rPr>
                <w:b/>
                <w:sz w:val="20"/>
                <w:szCs w:val="20"/>
              </w:rPr>
            </w:pPr>
          </w:p>
        </w:tc>
        <w:tc>
          <w:tcPr>
            <w:tcW w:w="2280" w:type="dxa"/>
          </w:tcPr>
          <w:p w:rsidR="00AB4FAA" w:rsidRDefault="00AB4FAA">
            <w:pPr>
              <w:widowControl w:val="0"/>
              <w:spacing w:after="240" w:line="240" w:lineRule="auto"/>
              <w:ind w:left="720" w:hanging="360"/>
              <w:jc w:val="center"/>
              <w:rPr>
                <w:b/>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b/>
                <w:sz w:val="20"/>
                <w:szCs w:val="20"/>
              </w:rPr>
            </w:pPr>
          </w:p>
        </w:tc>
        <w:tc>
          <w:tcPr>
            <w:tcW w:w="1110" w:type="dxa"/>
            <w:shd w:val="clear" w:color="auto" w:fill="FFE599"/>
          </w:tcPr>
          <w:p w:rsidR="00AB4FAA" w:rsidRDefault="00AB4FAA">
            <w:pPr>
              <w:widowControl w:val="0"/>
              <w:spacing w:after="240" w:line="240" w:lineRule="auto"/>
              <w:ind w:left="720" w:hanging="360"/>
              <w:jc w:val="center"/>
              <w:rPr>
                <w:b/>
                <w:sz w:val="20"/>
                <w:szCs w:val="20"/>
              </w:rPr>
            </w:pPr>
          </w:p>
        </w:tc>
        <w:tc>
          <w:tcPr>
            <w:tcW w:w="1140" w:type="dxa"/>
            <w:shd w:val="clear" w:color="auto" w:fill="FFE599"/>
          </w:tcPr>
          <w:p w:rsidR="00AB4FAA" w:rsidRDefault="00AB4FAA">
            <w:pPr>
              <w:widowControl w:val="0"/>
              <w:spacing w:after="240" w:line="240" w:lineRule="auto"/>
              <w:ind w:left="720" w:hanging="360"/>
              <w:jc w:val="center"/>
              <w:rPr>
                <w:b/>
                <w:sz w:val="20"/>
                <w:szCs w:val="20"/>
              </w:rPr>
            </w:pPr>
          </w:p>
        </w:tc>
      </w:tr>
      <w:tr w:rsidR="00AB4FAA">
        <w:tc>
          <w:tcPr>
            <w:tcW w:w="3450" w:type="dxa"/>
            <w:shd w:val="clear" w:color="auto" w:fill="auto"/>
            <w:vAlign w:val="center"/>
          </w:tcPr>
          <w:p w:rsidR="00AB4FAA" w:rsidRDefault="00AB4FAA">
            <w:pPr>
              <w:widowControl w:val="0"/>
              <w:spacing w:after="240" w:line="240" w:lineRule="auto"/>
              <w:ind w:left="720" w:hanging="360"/>
              <w:rPr>
                <w:sz w:val="20"/>
                <w:szCs w:val="20"/>
              </w:rPr>
            </w:pP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sz w:val="20"/>
                <w:szCs w:val="20"/>
              </w:rPr>
            </w:pPr>
          </w:p>
        </w:tc>
        <w:tc>
          <w:tcPr>
            <w:tcW w:w="1110" w:type="dxa"/>
            <w:shd w:val="clear" w:color="auto" w:fill="FFE599"/>
          </w:tcPr>
          <w:p w:rsidR="00AB4FAA" w:rsidRDefault="00AB4FAA">
            <w:pPr>
              <w:widowControl w:val="0"/>
              <w:spacing w:after="240" w:line="240" w:lineRule="auto"/>
              <w:ind w:left="720" w:hanging="360"/>
              <w:jc w:val="center"/>
              <w:rPr>
                <w:sz w:val="20"/>
                <w:szCs w:val="20"/>
              </w:rPr>
            </w:pPr>
          </w:p>
        </w:tc>
        <w:tc>
          <w:tcPr>
            <w:tcW w:w="1140" w:type="dxa"/>
            <w:shd w:val="clear" w:color="auto" w:fill="FFE599"/>
          </w:tcPr>
          <w:p w:rsidR="00AB4FAA" w:rsidRDefault="00AB4FAA">
            <w:pPr>
              <w:widowControl w:val="0"/>
              <w:spacing w:after="240" w:line="240" w:lineRule="auto"/>
              <w:ind w:left="720" w:hanging="360"/>
              <w:jc w:val="center"/>
              <w:rPr>
                <w:sz w:val="20"/>
                <w:szCs w:val="20"/>
              </w:rPr>
            </w:pPr>
          </w:p>
        </w:tc>
      </w:tr>
      <w:tr w:rsidR="00AB4FAA">
        <w:tc>
          <w:tcPr>
            <w:tcW w:w="3450" w:type="dxa"/>
            <w:shd w:val="clear" w:color="auto" w:fill="auto"/>
            <w:vAlign w:val="center"/>
          </w:tcPr>
          <w:p w:rsidR="00AB4FAA" w:rsidRDefault="00AB4FAA">
            <w:pPr>
              <w:widowControl w:val="0"/>
              <w:spacing w:after="240" w:line="240" w:lineRule="auto"/>
              <w:ind w:left="720" w:hanging="360"/>
              <w:rPr>
                <w:b/>
                <w:sz w:val="20"/>
                <w:szCs w:val="20"/>
              </w:rPr>
            </w:pPr>
          </w:p>
        </w:tc>
        <w:tc>
          <w:tcPr>
            <w:tcW w:w="2280" w:type="dxa"/>
          </w:tcPr>
          <w:p w:rsidR="00AB4FAA" w:rsidRDefault="00AB4FAA">
            <w:pPr>
              <w:widowControl w:val="0"/>
              <w:spacing w:after="240" w:line="240" w:lineRule="auto"/>
              <w:ind w:left="720" w:hanging="360"/>
              <w:jc w:val="center"/>
              <w:rPr>
                <w:b/>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b/>
                <w:sz w:val="20"/>
                <w:szCs w:val="20"/>
              </w:rPr>
            </w:pPr>
          </w:p>
        </w:tc>
        <w:tc>
          <w:tcPr>
            <w:tcW w:w="1110" w:type="dxa"/>
            <w:shd w:val="clear" w:color="auto" w:fill="FFE599"/>
          </w:tcPr>
          <w:p w:rsidR="00AB4FAA" w:rsidRDefault="00AB4FAA">
            <w:pPr>
              <w:widowControl w:val="0"/>
              <w:spacing w:after="240" w:line="240" w:lineRule="auto"/>
              <w:ind w:left="720" w:hanging="360"/>
              <w:jc w:val="center"/>
              <w:rPr>
                <w:b/>
                <w:sz w:val="20"/>
                <w:szCs w:val="20"/>
              </w:rPr>
            </w:pPr>
          </w:p>
        </w:tc>
        <w:tc>
          <w:tcPr>
            <w:tcW w:w="1140" w:type="dxa"/>
            <w:shd w:val="clear" w:color="auto" w:fill="FFE599"/>
          </w:tcPr>
          <w:p w:rsidR="00AB4FAA" w:rsidRDefault="00AB4FAA">
            <w:pPr>
              <w:widowControl w:val="0"/>
              <w:spacing w:after="240" w:line="240" w:lineRule="auto"/>
              <w:ind w:left="720" w:hanging="360"/>
              <w:jc w:val="center"/>
              <w:rPr>
                <w:b/>
                <w:sz w:val="20"/>
                <w:szCs w:val="20"/>
              </w:rPr>
            </w:pPr>
          </w:p>
        </w:tc>
      </w:tr>
      <w:tr w:rsidR="00AB4FAA">
        <w:tc>
          <w:tcPr>
            <w:tcW w:w="3450" w:type="dxa"/>
            <w:shd w:val="clear" w:color="auto" w:fill="auto"/>
            <w:vAlign w:val="center"/>
          </w:tcPr>
          <w:p w:rsidR="00AB4FAA" w:rsidRDefault="00AB4FAA">
            <w:pPr>
              <w:widowControl w:val="0"/>
              <w:spacing w:after="240" w:line="240" w:lineRule="auto"/>
              <w:ind w:left="720" w:hanging="360"/>
              <w:rPr>
                <w:sz w:val="20"/>
                <w:szCs w:val="20"/>
              </w:rPr>
            </w:pP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sz w:val="20"/>
                <w:szCs w:val="20"/>
              </w:rPr>
            </w:pPr>
          </w:p>
        </w:tc>
        <w:tc>
          <w:tcPr>
            <w:tcW w:w="1110" w:type="dxa"/>
            <w:shd w:val="clear" w:color="auto" w:fill="FFE599"/>
          </w:tcPr>
          <w:p w:rsidR="00AB4FAA" w:rsidRDefault="00AB4FAA">
            <w:pPr>
              <w:widowControl w:val="0"/>
              <w:spacing w:after="240" w:line="240" w:lineRule="auto"/>
              <w:ind w:left="720" w:hanging="360"/>
              <w:jc w:val="center"/>
              <w:rPr>
                <w:sz w:val="20"/>
                <w:szCs w:val="20"/>
              </w:rPr>
            </w:pPr>
          </w:p>
        </w:tc>
        <w:tc>
          <w:tcPr>
            <w:tcW w:w="1140" w:type="dxa"/>
            <w:shd w:val="clear" w:color="auto" w:fill="FFE599"/>
          </w:tcPr>
          <w:p w:rsidR="00AB4FAA" w:rsidRDefault="00AB4FAA">
            <w:pPr>
              <w:widowControl w:val="0"/>
              <w:spacing w:after="240" w:line="240" w:lineRule="auto"/>
              <w:ind w:left="720" w:hanging="360"/>
              <w:jc w:val="center"/>
              <w:rPr>
                <w:sz w:val="20"/>
                <w:szCs w:val="20"/>
              </w:rPr>
            </w:pPr>
          </w:p>
        </w:tc>
      </w:tr>
      <w:tr w:rsidR="00AB4FAA">
        <w:tc>
          <w:tcPr>
            <w:tcW w:w="3450" w:type="dxa"/>
            <w:shd w:val="clear" w:color="auto" w:fill="auto"/>
            <w:vAlign w:val="center"/>
          </w:tcPr>
          <w:p w:rsidR="00AB4FAA" w:rsidRDefault="00E36FA6">
            <w:pPr>
              <w:widowControl w:val="0"/>
              <w:spacing w:after="240" w:line="240" w:lineRule="auto"/>
              <w:ind w:left="720" w:hanging="360"/>
              <w:rPr>
                <w:b/>
                <w:sz w:val="20"/>
                <w:szCs w:val="20"/>
              </w:rPr>
            </w:pPr>
            <w:r>
              <w:rPr>
                <w:b/>
                <w:sz w:val="20"/>
                <w:szCs w:val="20"/>
              </w:rPr>
              <w:t>TOTAL ex VAT</w:t>
            </w: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sz w:val="20"/>
                <w:szCs w:val="20"/>
              </w:rPr>
            </w:pPr>
          </w:p>
        </w:tc>
        <w:tc>
          <w:tcPr>
            <w:tcW w:w="1110" w:type="dxa"/>
            <w:shd w:val="clear" w:color="auto" w:fill="FFE599"/>
          </w:tcPr>
          <w:p w:rsidR="00AB4FAA" w:rsidRDefault="00AB4FAA">
            <w:pPr>
              <w:widowControl w:val="0"/>
              <w:spacing w:after="240" w:line="240" w:lineRule="auto"/>
              <w:ind w:left="720" w:hanging="360"/>
              <w:jc w:val="center"/>
              <w:rPr>
                <w:sz w:val="20"/>
                <w:szCs w:val="20"/>
              </w:rPr>
            </w:pPr>
          </w:p>
        </w:tc>
        <w:tc>
          <w:tcPr>
            <w:tcW w:w="1140" w:type="dxa"/>
            <w:shd w:val="clear" w:color="auto" w:fill="FFE599"/>
          </w:tcPr>
          <w:p w:rsidR="00AB4FAA" w:rsidRDefault="00AB4FAA">
            <w:pPr>
              <w:widowControl w:val="0"/>
              <w:spacing w:after="240" w:line="240" w:lineRule="auto"/>
              <w:ind w:left="720" w:hanging="360"/>
              <w:jc w:val="center"/>
              <w:rPr>
                <w:sz w:val="20"/>
                <w:szCs w:val="20"/>
              </w:rPr>
            </w:pPr>
          </w:p>
        </w:tc>
      </w:tr>
    </w:tbl>
    <w:p w:rsidR="00AB4FAA" w:rsidRDefault="00AB4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pP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pPr>
      <w:r>
        <w:t xml:space="preserve">All costs should be quoted </w:t>
      </w:r>
      <w:r>
        <w:rPr>
          <w:u w:val="single"/>
        </w:rPr>
        <w:t>exclusive</w:t>
      </w:r>
      <w:r>
        <w:t xml:space="preserve"> of VAT but please indicate if the project will attract VAT.  </w:t>
      </w: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pPr>
      <w:r>
        <w:t xml:space="preserve">If your proposal includes costs for sub-contractors these costs must be shown </w:t>
      </w:r>
      <w:r>
        <w:rPr>
          <w:u w:val="single"/>
        </w:rPr>
        <w:t>inclusive</w:t>
      </w:r>
      <w:r>
        <w:t xml:space="preserve"> of any VAT element (e.g. sub-contractor’s costs to you are £10K plus VAT, your proposal should show sub-contractors costs as £12K inclusive of VAT @ 20%).</w:t>
      </w: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b/>
        </w:rPr>
      </w:pPr>
      <w:r>
        <w:t>The department will also conduct its own due diligence checks in relation to bidder’s financial viability and may request additional financial information to be provided as part of this process. Whilst the department will attempt to mitigate any financial risks it may, at its own discretion, reject a bid where it assesses the financial risk to be too great to proceed with the award of the contract.</w:t>
      </w:r>
    </w:p>
    <w:p w:rsidR="00AB4FAA" w:rsidRDefault="00E36FA6">
      <w:pPr>
        <w:spacing w:after="240" w:line="240" w:lineRule="auto"/>
        <w:ind w:left="720"/>
      </w:pPr>
      <w:r>
        <w:rPr>
          <w:b/>
        </w:rPr>
        <w:t>Section 4</w:t>
      </w:r>
      <w:r>
        <w:rPr>
          <w:b/>
        </w:rPr>
        <w:tab/>
        <w:t xml:space="preserve">Declarations, Undertakings and Attachments </w:t>
      </w:r>
      <w:r>
        <w:t>(see Document 5)</w:t>
      </w:r>
    </w:p>
    <w:p w:rsidR="00AB4FAA" w:rsidRDefault="00E36FA6">
      <w:pPr>
        <w:widowControl w:val="0"/>
        <w:rPr>
          <w:color w:val="000000"/>
        </w:rPr>
      </w:pPr>
      <w:r>
        <w:rPr>
          <w:color w:val="000000"/>
        </w:rPr>
        <w:t> </w:t>
      </w:r>
    </w:p>
    <w:p w:rsidR="00AB4FAA" w:rsidRDefault="00E36FA6">
      <w:pPr>
        <w:widowControl w:val="0"/>
        <w:rPr>
          <w:b/>
        </w:rPr>
      </w:pPr>
      <w:r>
        <w:rPr>
          <w:b/>
        </w:rPr>
        <w:t>Length of Bids</w:t>
      </w:r>
    </w:p>
    <w:p w:rsidR="00AB4FAA" w:rsidRDefault="00E36FA6">
      <w:pPr>
        <w:widowControl w:val="0"/>
        <w:numPr>
          <w:ilvl w:val="0"/>
          <w:numId w:val="29"/>
        </w:numPr>
      </w:pPr>
      <w:r>
        <w:t>Bids should not exceed a total of 2 pages per role (excluding CV, publication list, declarations/annex).</w:t>
      </w:r>
    </w:p>
    <w:p w:rsidR="00AB4FAA" w:rsidRDefault="00E36FA6">
      <w:pPr>
        <w:widowControl w:val="0"/>
        <w:numPr>
          <w:ilvl w:val="1"/>
          <w:numId w:val="29"/>
        </w:numPr>
      </w:pPr>
      <w:r>
        <w:t>Any bids above that will not be considered. The font size should not be smaller than 11. Embedded links or files will not be considered.</w:t>
      </w:r>
    </w:p>
    <w:p w:rsidR="00AB4FAA" w:rsidRDefault="00E36FA6">
      <w:pPr>
        <w:widowControl w:val="0"/>
        <w:numPr>
          <w:ilvl w:val="0"/>
          <w:numId w:val="29"/>
        </w:numPr>
      </w:pPr>
      <w:r>
        <w:t>Bidders must also please complete and submit the ‘Declarations’ (Document 5).</w:t>
      </w:r>
    </w:p>
    <w:p w:rsidR="00AB4FAA" w:rsidRDefault="00E36FA6">
      <w:pPr>
        <w:widowControl w:val="0"/>
        <w:numPr>
          <w:ilvl w:val="0"/>
          <w:numId w:val="29"/>
        </w:numPr>
      </w:pPr>
      <w:r>
        <w:t>Bidders must also complete and submit the ‘Conflict of Interest’ (Annex One).</w:t>
      </w:r>
    </w:p>
    <w:p w:rsidR="00AB4FAA" w:rsidRDefault="00AB4FAA">
      <w:pPr>
        <w:widowControl w:val="0"/>
        <w:ind w:left="720"/>
      </w:pPr>
    </w:p>
    <w:p w:rsidR="00AB4FAA" w:rsidRDefault="00E36FA6">
      <w:pPr>
        <w:spacing w:after="240" w:line="240" w:lineRule="auto"/>
        <w:ind w:left="357"/>
        <w:rPr>
          <w:rFonts w:ascii="Times New Roman" w:eastAsia="Times New Roman" w:hAnsi="Times New Roman" w:cs="Times New Roman"/>
          <w:sz w:val="24"/>
          <w:szCs w:val="24"/>
        </w:rPr>
      </w:pPr>
      <w:r>
        <w:rPr>
          <w:b/>
          <w:color w:val="000000"/>
        </w:rPr>
        <w:lastRenderedPageBreak/>
        <w:t>2</w:t>
      </w:r>
      <w:r>
        <w:rPr>
          <w:b/>
        </w:rPr>
        <w:t>0</w:t>
      </w:r>
      <w:r>
        <w:rPr>
          <w:b/>
          <w:color w:val="000000"/>
        </w:rPr>
        <w:tab/>
      </w:r>
      <w:r>
        <w:rPr>
          <w:b/>
        </w:rPr>
        <w:t>Award Criteria</w:t>
      </w:r>
      <w:r>
        <w:rPr>
          <w:b/>
          <w:color w:val="000000"/>
        </w:rPr>
        <w:t xml:space="preserve"> (for Academic roles)</w:t>
      </w:r>
    </w:p>
    <w:p w:rsidR="00AB4FAA" w:rsidRDefault="00E36FA6">
      <w:pPr>
        <w:spacing w:after="200" w:line="240" w:lineRule="auto"/>
        <w:rPr>
          <w:rFonts w:ascii="Times New Roman" w:eastAsia="Times New Roman" w:hAnsi="Times New Roman" w:cs="Times New Roman"/>
          <w:sz w:val="24"/>
          <w:szCs w:val="24"/>
        </w:rPr>
      </w:pPr>
      <w:r>
        <w:rPr>
          <w:color w:val="000000"/>
        </w:rPr>
        <w:t xml:space="preserve">Bids will be assessed against </w:t>
      </w:r>
      <w:r>
        <w:t>3</w:t>
      </w:r>
      <w:r>
        <w:rPr>
          <w:color w:val="000000"/>
        </w:rPr>
        <w:t xml:space="preserve"> questions. A maximum score is </w:t>
      </w:r>
      <w:r>
        <w:t>5</w:t>
      </w:r>
      <w:r>
        <w:rPr>
          <w:color w:val="000000"/>
        </w:rPr>
        <w:t>0. </w:t>
      </w:r>
    </w:p>
    <w:tbl>
      <w:tblPr>
        <w:tblStyle w:val="aff4"/>
        <w:tblW w:w="10425" w:type="dxa"/>
        <w:tblInd w:w="-570" w:type="dxa"/>
        <w:tblLayout w:type="fixed"/>
        <w:tblLook w:val="0400" w:firstRow="0" w:lastRow="0" w:firstColumn="0" w:lastColumn="0" w:noHBand="0" w:noVBand="1"/>
      </w:tblPr>
      <w:tblGrid>
        <w:gridCol w:w="2972"/>
        <w:gridCol w:w="4375"/>
        <w:gridCol w:w="250"/>
        <w:gridCol w:w="934"/>
        <w:gridCol w:w="1894"/>
      </w:tblGrid>
      <w:tr w:rsidR="00AB4FAA" w:rsidTr="00EF7B94">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b/>
                <w:color w:val="000000"/>
              </w:rPr>
              <w:t>Question </w:t>
            </w:r>
          </w:p>
        </w:tc>
        <w:tc>
          <w:tcPr>
            <w:tcW w:w="4375"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rPr>
                <w:rFonts w:ascii="Times New Roman" w:eastAsia="Times New Roman" w:hAnsi="Times New Roman" w:cs="Times New Roman"/>
                <w:sz w:val="24"/>
                <w:szCs w:val="24"/>
              </w:rPr>
            </w:pPr>
            <w:r>
              <w:rPr>
                <w:b/>
                <w:color w:val="000000"/>
              </w:rPr>
              <w:t xml:space="preserve"> </w:t>
            </w:r>
            <w:r>
              <w:rPr>
                <w:b/>
              </w:rPr>
              <w:t>Criteria</w:t>
            </w:r>
          </w:p>
        </w:tc>
        <w:tc>
          <w:tcPr>
            <w:tcW w:w="250"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b/>
                <w:color w:val="000000"/>
              </w:rPr>
              <w:t>Weight</w:t>
            </w:r>
          </w:p>
        </w:tc>
        <w:tc>
          <w:tcPr>
            <w:tcW w:w="1894"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Max possible score </w:t>
            </w:r>
          </w:p>
        </w:tc>
      </w:tr>
      <w:tr w:rsidR="00AB4FAA" w:rsidTr="00EF7B94">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color w:val="000000"/>
              </w:rPr>
              <w:t>1. Does the proposal provide sufficient evidence of experience for the role bid for?</w:t>
            </w:r>
          </w:p>
        </w:tc>
        <w:tc>
          <w:tcPr>
            <w:tcW w:w="4375"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20"/>
              </w:numPr>
              <w:spacing w:line="240" w:lineRule="auto"/>
              <w:ind w:left="360"/>
              <w:rPr>
                <w:rFonts w:ascii="Noto Sans Symbols" w:eastAsia="Noto Sans Symbols" w:hAnsi="Noto Sans Symbols" w:cs="Noto Sans Symbols"/>
                <w:color w:val="000000"/>
              </w:rPr>
            </w:pPr>
            <w:r>
              <w:rPr>
                <w:color w:val="000000"/>
              </w:rPr>
              <w:t xml:space="preserve">Demonstrates evidence of publishing on topics related to the role specialism in peer-reviewed journals. </w:t>
            </w:r>
          </w:p>
          <w:p w:rsidR="00AB4FAA" w:rsidRDefault="00AB4FAA">
            <w:pPr>
              <w:spacing w:line="240" w:lineRule="auto"/>
              <w:rPr>
                <w:rFonts w:ascii="Times New Roman" w:eastAsia="Times New Roman" w:hAnsi="Times New Roman" w:cs="Times New Roman"/>
                <w:sz w:val="24"/>
                <w:szCs w:val="24"/>
              </w:rPr>
            </w:pPr>
          </w:p>
          <w:p w:rsidR="00AB4FAA" w:rsidRDefault="00E36FA6">
            <w:pPr>
              <w:numPr>
                <w:ilvl w:val="0"/>
                <w:numId w:val="36"/>
              </w:numPr>
              <w:spacing w:line="240" w:lineRule="auto"/>
              <w:ind w:left="360"/>
              <w:rPr>
                <w:rFonts w:ascii="Noto Sans Symbols" w:eastAsia="Noto Sans Symbols" w:hAnsi="Noto Sans Symbols" w:cs="Noto Sans Symbols"/>
                <w:color w:val="000000"/>
              </w:rPr>
            </w:pPr>
            <w:r>
              <w:rPr>
                <w:color w:val="000000"/>
              </w:rPr>
              <w:t xml:space="preserve">Demonstrates experience of providing advice to government or a research institution on one or more topics related to the specialism of the role. </w:t>
            </w:r>
          </w:p>
        </w:tc>
        <w:tc>
          <w:tcPr>
            <w:tcW w:w="250"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4"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20</w:t>
            </w:r>
          </w:p>
        </w:tc>
      </w:tr>
      <w:tr w:rsidR="00AB4FAA" w:rsidTr="00EF7B94">
        <w:trPr>
          <w:trHeight w:val="1403"/>
        </w:trPr>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color w:val="000000"/>
              </w:rPr>
              <w:t>2. Skillset</w:t>
            </w:r>
          </w:p>
        </w:tc>
        <w:tc>
          <w:tcPr>
            <w:tcW w:w="4375"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38"/>
              </w:numPr>
              <w:spacing w:line="240" w:lineRule="auto"/>
              <w:ind w:left="360"/>
              <w:rPr>
                <w:rFonts w:ascii="Noto Sans Symbols" w:eastAsia="Noto Sans Symbols" w:hAnsi="Noto Sans Symbols" w:cs="Noto Sans Symbols"/>
                <w:color w:val="000000"/>
              </w:rPr>
            </w:pPr>
            <w:r>
              <w:rPr>
                <w:color w:val="000000"/>
              </w:rPr>
              <w:t xml:space="preserve">Demonstrate knowledge of the specialism of interest and understanding of the methods required to conduct research in that area. </w:t>
            </w:r>
          </w:p>
        </w:tc>
        <w:tc>
          <w:tcPr>
            <w:tcW w:w="250"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4"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20</w:t>
            </w:r>
          </w:p>
        </w:tc>
      </w:tr>
      <w:tr w:rsidR="00AB4FAA" w:rsidTr="00EF7B94">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t>3</w:t>
            </w:r>
            <w:r>
              <w:rPr>
                <w:color w:val="000000"/>
              </w:rPr>
              <w:t>. Value for money</w:t>
            </w:r>
          </w:p>
        </w:tc>
        <w:tc>
          <w:tcPr>
            <w:tcW w:w="4375"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17"/>
              </w:numPr>
              <w:spacing w:line="240" w:lineRule="auto"/>
              <w:ind w:left="360"/>
              <w:rPr>
                <w:rFonts w:ascii="Noto Sans Symbols" w:eastAsia="Noto Sans Symbols" w:hAnsi="Noto Sans Symbols" w:cs="Noto Sans Symbols"/>
                <w:color w:val="000000"/>
              </w:rPr>
            </w:pPr>
            <w:r>
              <w:rPr>
                <w:color w:val="000000"/>
              </w:rPr>
              <w:t>The cost is within budget</w:t>
            </w:r>
          </w:p>
          <w:p w:rsidR="00AB4FAA" w:rsidRDefault="00AB4FAA">
            <w:pPr>
              <w:spacing w:line="240" w:lineRule="auto"/>
              <w:rPr>
                <w:rFonts w:ascii="Times New Roman" w:eastAsia="Times New Roman" w:hAnsi="Times New Roman" w:cs="Times New Roman"/>
                <w:sz w:val="24"/>
                <w:szCs w:val="24"/>
              </w:rPr>
            </w:pPr>
          </w:p>
          <w:p w:rsidR="00AB4FAA" w:rsidRDefault="00E36FA6">
            <w:pPr>
              <w:numPr>
                <w:ilvl w:val="0"/>
                <w:numId w:val="39"/>
              </w:numPr>
              <w:spacing w:line="240" w:lineRule="auto"/>
              <w:ind w:left="360"/>
              <w:rPr>
                <w:rFonts w:ascii="Noto Sans Symbols" w:eastAsia="Noto Sans Symbols" w:hAnsi="Noto Sans Symbols" w:cs="Noto Sans Symbols"/>
                <w:color w:val="000000"/>
              </w:rPr>
            </w:pPr>
            <w:r>
              <w:rPr>
                <w:color w:val="000000"/>
              </w:rPr>
              <w:t>The cost is value for money for the services offered (given the time commitment offered in the bid)</w:t>
            </w:r>
          </w:p>
        </w:tc>
        <w:tc>
          <w:tcPr>
            <w:tcW w:w="250"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4"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10</w:t>
            </w:r>
          </w:p>
        </w:tc>
      </w:tr>
    </w:tbl>
    <w:p w:rsidR="00AB4FAA" w:rsidRDefault="00AB4FAA">
      <w:pPr>
        <w:spacing w:line="240" w:lineRule="auto"/>
        <w:rPr>
          <w:rFonts w:ascii="Times New Roman" w:eastAsia="Times New Roman" w:hAnsi="Times New Roman" w:cs="Times New Roman"/>
          <w:sz w:val="24"/>
          <w:szCs w:val="24"/>
        </w:rPr>
      </w:pPr>
    </w:p>
    <w:p w:rsidR="00AB4FAA" w:rsidRDefault="00AB4FAA">
      <w:pPr>
        <w:spacing w:after="240" w:line="240" w:lineRule="auto"/>
        <w:ind w:hanging="720"/>
        <w:rPr>
          <w:color w:val="000000"/>
        </w:rPr>
      </w:pPr>
    </w:p>
    <w:p w:rsidR="00AB4FAA" w:rsidRDefault="00E36FA6">
      <w:pPr>
        <w:spacing w:after="240" w:line="240" w:lineRule="auto"/>
        <w:ind w:left="357"/>
        <w:rPr>
          <w:rFonts w:ascii="Times New Roman" w:eastAsia="Times New Roman" w:hAnsi="Times New Roman" w:cs="Times New Roman"/>
          <w:sz w:val="24"/>
          <w:szCs w:val="24"/>
        </w:rPr>
      </w:pPr>
      <w:r>
        <w:rPr>
          <w:b/>
          <w:color w:val="000000"/>
        </w:rPr>
        <w:t>21</w:t>
      </w:r>
      <w:r>
        <w:rPr>
          <w:b/>
          <w:color w:val="000000"/>
        </w:rPr>
        <w:tab/>
      </w:r>
      <w:r>
        <w:rPr>
          <w:b/>
        </w:rPr>
        <w:t>Award Criteria</w:t>
      </w:r>
      <w:r>
        <w:rPr>
          <w:b/>
          <w:color w:val="000000"/>
        </w:rPr>
        <w:t xml:space="preserve"> (for Policy roles)</w:t>
      </w:r>
    </w:p>
    <w:p w:rsidR="00AB4FAA" w:rsidRDefault="00E36FA6">
      <w:pPr>
        <w:spacing w:after="200" w:line="240" w:lineRule="auto"/>
        <w:rPr>
          <w:rFonts w:ascii="Times New Roman" w:eastAsia="Times New Roman" w:hAnsi="Times New Roman" w:cs="Times New Roman"/>
          <w:sz w:val="24"/>
          <w:szCs w:val="24"/>
        </w:rPr>
      </w:pPr>
      <w:r>
        <w:rPr>
          <w:color w:val="000000"/>
        </w:rPr>
        <w:t xml:space="preserve">Bids will be assessed against </w:t>
      </w:r>
      <w:r>
        <w:t>3</w:t>
      </w:r>
      <w:r>
        <w:rPr>
          <w:color w:val="000000"/>
        </w:rPr>
        <w:t xml:space="preserve"> questions. A maximum score is </w:t>
      </w:r>
      <w:r>
        <w:t>50</w:t>
      </w:r>
      <w:r>
        <w:rPr>
          <w:color w:val="000000"/>
        </w:rPr>
        <w:t>. </w:t>
      </w:r>
    </w:p>
    <w:tbl>
      <w:tblPr>
        <w:tblStyle w:val="aff5"/>
        <w:tblW w:w="10380" w:type="dxa"/>
        <w:tblInd w:w="-555" w:type="dxa"/>
        <w:tblLayout w:type="fixed"/>
        <w:tblLook w:val="0400" w:firstRow="0" w:lastRow="0" w:firstColumn="0" w:lastColumn="0" w:noHBand="0" w:noVBand="1"/>
      </w:tblPr>
      <w:tblGrid>
        <w:gridCol w:w="2927"/>
        <w:gridCol w:w="4404"/>
        <w:gridCol w:w="250"/>
        <w:gridCol w:w="1200"/>
        <w:gridCol w:w="1599"/>
      </w:tblGrid>
      <w:tr w:rsidR="00AB4FAA">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b/>
                <w:color w:val="000000"/>
              </w:rPr>
              <w:t>Question </w:t>
            </w:r>
          </w:p>
        </w:tc>
        <w:tc>
          <w:tcPr>
            <w:tcW w:w="447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rPr>
                <w:rFonts w:ascii="Times New Roman" w:eastAsia="Times New Roman" w:hAnsi="Times New Roman" w:cs="Times New Roman"/>
                <w:sz w:val="24"/>
                <w:szCs w:val="24"/>
              </w:rPr>
            </w:pPr>
            <w:r>
              <w:rPr>
                <w:b/>
                <w:color w:val="000000"/>
              </w:rPr>
              <w:t xml:space="preserve"> </w:t>
            </w:r>
            <w:r>
              <w:rPr>
                <w:b/>
              </w:rPr>
              <w:t>Criteria</w:t>
            </w:r>
          </w:p>
        </w:tc>
        <w:tc>
          <w:tcPr>
            <w:tcW w:w="105"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b/>
                <w:color w:val="000000"/>
              </w:rPr>
              <w:t>Weight</w:t>
            </w:r>
          </w:p>
        </w:tc>
        <w:tc>
          <w:tcPr>
            <w:tcW w:w="162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Max possible score </w:t>
            </w:r>
          </w:p>
        </w:tc>
      </w:tr>
      <w:tr w:rsidR="00AB4FAA">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color w:val="000000"/>
              </w:rPr>
              <w:t>1. Does the proposal provide sufficient evidence of experience for the role bid for?</w:t>
            </w:r>
          </w:p>
        </w:tc>
        <w:tc>
          <w:tcPr>
            <w:tcW w:w="4470"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20"/>
              </w:numPr>
              <w:spacing w:line="240" w:lineRule="auto"/>
              <w:ind w:left="360"/>
              <w:rPr>
                <w:rFonts w:ascii="Noto Sans Symbols" w:eastAsia="Noto Sans Symbols" w:hAnsi="Noto Sans Symbols" w:cs="Noto Sans Symbols"/>
                <w:color w:val="000000"/>
              </w:rPr>
            </w:pPr>
            <w:r>
              <w:rPr>
                <w:color w:val="000000"/>
              </w:rPr>
              <w:t xml:space="preserve">Demonstrates evidence of working in the policy area of the specialism. </w:t>
            </w:r>
          </w:p>
          <w:p w:rsidR="00AB4FAA" w:rsidRDefault="00AB4FAA">
            <w:pPr>
              <w:spacing w:line="240" w:lineRule="auto"/>
              <w:rPr>
                <w:rFonts w:ascii="Times New Roman" w:eastAsia="Times New Roman" w:hAnsi="Times New Roman" w:cs="Times New Roman"/>
                <w:sz w:val="24"/>
                <w:szCs w:val="24"/>
              </w:rPr>
            </w:pPr>
          </w:p>
          <w:p w:rsidR="00AB4FAA" w:rsidRDefault="00E36FA6">
            <w:pPr>
              <w:numPr>
                <w:ilvl w:val="0"/>
                <w:numId w:val="36"/>
              </w:numPr>
              <w:spacing w:line="240" w:lineRule="auto"/>
              <w:ind w:left="360"/>
              <w:rPr>
                <w:rFonts w:ascii="Noto Sans Symbols" w:eastAsia="Noto Sans Symbols" w:hAnsi="Noto Sans Symbols" w:cs="Noto Sans Symbols"/>
                <w:color w:val="000000"/>
              </w:rPr>
            </w:pPr>
            <w:r>
              <w:rPr>
                <w:color w:val="000000"/>
              </w:rPr>
              <w:t>Demonstrates significant experience of providing</w:t>
            </w:r>
            <w:r>
              <w:t xml:space="preserve"> </w:t>
            </w:r>
            <w:r>
              <w:rPr>
                <w:color w:val="000000"/>
              </w:rPr>
              <w:t xml:space="preserve">advice to government or a research institution on </w:t>
            </w:r>
            <w:r>
              <w:t xml:space="preserve">one or more policies </w:t>
            </w:r>
            <w:r>
              <w:rPr>
                <w:color w:val="000000"/>
              </w:rPr>
              <w:t>related to the specialism of the role. Particularly desirable if this a</w:t>
            </w:r>
            <w:r>
              <w:t xml:space="preserve">dvice was requested by the government such as through a review. </w:t>
            </w:r>
          </w:p>
        </w:tc>
        <w:tc>
          <w:tcPr>
            <w:tcW w:w="105"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2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20</w:t>
            </w:r>
          </w:p>
        </w:tc>
      </w:tr>
      <w:tr w:rsidR="00AB4FAA">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color w:val="000000"/>
              </w:rPr>
              <w:t>2. Skillset</w:t>
            </w:r>
          </w:p>
        </w:tc>
        <w:tc>
          <w:tcPr>
            <w:tcW w:w="4470"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38"/>
              </w:numPr>
              <w:spacing w:line="240" w:lineRule="auto"/>
              <w:ind w:left="360"/>
              <w:rPr>
                <w:rFonts w:ascii="Noto Sans Symbols" w:eastAsia="Noto Sans Symbols" w:hAnsi="Noto Sans Symbols" w:cs="Noto Sans Symbols"/>
                <w:color w:val="000000"/>
              </w:rPr>
            </w:pPr>
            <w:r>
              <w:rPr>
                <w:color w:val="000000"/>
              </w:rPr>
              <w:t>Demonstrate knowledge of the policy context regarding the specialism of interest and understanding of the current government’s policy stance.</w:t>
            </w:r>
          </w:p>
        </w:tc>
        <w:tc>
          <w:tcPr>
            <w:tcW w:w="105"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2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20</w:t>
            </w:r>
          </w:p>
        </w:tc>
      </w:tr>
      <w:tr w:rsidR="00AB4FAA">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t>3</w:t>
            </w:r>
            <w:r>
              <w:rPr>
                <w:color w:val="000000"/>
              </w:rPr>
              <w:t>. Value for money</w:t>
            </w:r>
          </w:p>
        </w:tc>
        <w:tc>
          <w:tcPr>
            <w:tcW w:w="4470"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17"/>
              </w:numPr>
              <w:spacing w:line="240" w:lineRule="auto"/>
              <w:ind w:left="360"/>
              <w:rPr>
                <w:rFonts w:ascii="Noto Sans Symbols" w:eastAsia="Noto Sans Symbols" w:hAnsi="Noto Sans Symbols" w:cs="Noto Sans Symbols"/>
                <w:color w:val="000000"/>
              </w:rPr>
            </w:pPr>
            <w:r>
              <w:rPr>
                <w:color w:val="000000"/>
              </w:rPr>
              <w:t>The cost is within budget</w:t>
            </w:r>
          </w:p>
          <w:p w:rsidR="00AB4FAA" w:rsidRDefault="00AB4FAA">
            <w:pPr>
              <w:spacing w:line="240" w:lineRule="auto"/>
              <w:rPr>
                <w:rFonts w:ascii="Times New Roman" w:eastAsia="Times New Roman" w:hAnsi="Times New Roman" w:cs="Times New Roman"/>
                <w:sz w:val="24"/>
                <w:szCs w:val="24"/>
              </w:rPr>
            </w:pPr>
          </w:p>
          <w:p w:rsidR="00AB4FAA" w:rsidRDefault="00E36FA6">
            <w:pPr>
              <w:numPr>
                <w:ilvl w:val="0"/>
                <w:numId w:val="39"/>
              </w:numPr>
              <w:spacing w:line="240" w:lineRule="auto"/>
              <w:ind w:left="360"/>
              <w:rPr>
                <w:rFonts w:ascii="Noto Sans Symbols" w:eastAsia="Noto Sans Symbols" w:hAnsi="Noto Sans Symbols" w:cs="Noto Sans Symbols"/>
                <w:color w:val="000000"/>
              </w:rPr>
            </w:pPr>
            <w:r>
              <w:rPr>
                <w:color w:val="000000"/>
              </w:rPr>
              <w:t>The cost is value for money for the services offered (given the time commitment offered in the bid)</w:t>
            </w:r>
          </w:p>
        </w:tc>
        <w:tc>
          <w:tcPr>
            <w:tcW w:w="105"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2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10</w:t>
            </w:r>
          </w:p>
        </w:tc>
      </w:tr>
    </w:tbl>
    <w:p w:rsidR="00AB4FAA" w:rsidRDefault="00E36FA6">
      <w:pPr>
        <w:spacing w:after="240" w:line="240" w:lineRule="auto"/>
        <w:ind w:hanging="720"/>
        <w:rPr>
          <w:rFonts w:ascii="Times New Roman" w:eastAsia="Times New Roman" w:hAnsi="Times New Roman" w:cs="Times New Roman"/>
          <w:sz w:val="24"/>
          <w:szCs w:val="24"/>
        </w:rPr>
      </w:pPr>
      <w:r>
        <w:rPr>
          <w:color w:val="000000"/>
        </w:rPr>
        <w:lastRenderedPageBreak/>
        <w:t>Scoring scale</w:t>
      </w:r>
    </w:p>
    <w:tbl>
      <w:tblPr>
        <w:tblStyle w:val="aff6"/>
        <w:tblW w:w="10320" w:type="dxa"/>
        <w:tblInd w:w="-495" w:type="dxa"/>
        <w:tblLayout w:type="fixed"/>
        <w:tblLook w:val="0400" w:firstRow="0" w:lastRow="0" w:firstColumn="0" w:lastColumn="0" w:noHBand="0" w:noVBand="1"/>
      </w:tblPr>
      <w:tblGrid>
        <w:gridCol w:w="915"/>
        <w:gridCol w:w="9405"/>
      </w:tblGrid>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0 </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Nil or inadequate response. Fails to demonstrate an ability to meet the requirement.</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1 </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Response meets less than half the stated requirement. It is partially relevant but generally poor and lacks relevant detail.</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2</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 xml:space="preserve">Response meets some but not all of the stated </w:t>
            </w:r>
            <w:r>
              <w:t>requirements</w:t>
            </w:r>
            <w:r>
              <w:rPr>
                <w:color w:val="000000"/>
              </w:rPr>
              <w:t>. Lacks detail on how the requirement will be fulfilled in several areas.</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3 </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The response meets the stated requirement. Answers are relevant and acceptable but may lack some detail.</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4</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The response fully meets the stated requirement in all areas. Answers are clear, relevant and elements of the response exceed the requirement by offering some added value.</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5</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The response exceeds the requirement in all areas. Answers are comprehensive, unambiguous and offer significant added value to the requirement which benefits SMC.</w:t>
            </w:r>
          </w:p>
        </w:tc>
      </w:tr>
    </w:tbl>
    <w:p w:rsidR="00AB4FAA" w:rsidRDefault="00AB4FAA">
      <w:pPr>
        <w:spacing w:after="240" w:line="240" w:lineRule="auto"/>
        <w:rPr>
          <w:b/>
        </w:rPr>
      </w:pPr>
    </w:p>
    <w:p w:rsidR="00AB4FAA" w:rsidRDefault="00E36FA6">
      <w:pPr>
        <w:spacing w:after="240" w:line="240" w:lineRule="auto"/>
        <w:rPr>
          <w:b/>
        </w:rPr>
      </w:pPr>
      <w:r>
        <w:rPr>
          <w:b/>
        </w:rPr>
        <w:t>Evaluation method</w:t>
      </w:r>
    </w:p>
    <w:p w:rsidR="00AB4FAA" w:rsidRDefault="00E36FA6">
      <w:pPr>
        <w:spacing w:after="240" w:line="240" w:lineRule="auto"/>
      </w:pPr>
      <w:r>
        <w:t xml:space="preserve">Bids will be considered against the award criteria set out for each category. For questions 1 and 2 which cover experience and skillset respectively, there will be a minimum threshold of 24 points in total. Any bids in which the sum of the scores in questions 1 and 2 is below 24 points will not be considered further. </w:t>
      </w:r>
    </w:p>
    <w:p w:rsidR="00AB4FAA" w:rsidRDefault="00E36FA6">
      <w:pPr>
        <w:spacing w:after="240" w:line="240" w:lineRule="auto"/>
      </w:pPr>
      <w:r>
        <w:t xml:space="preserve">Of the remaining bids which pass the threshold, the highest scoring bid for each role will be determined to have won the bid. Afterwards, if the budget allows and if there are remaining bids which have passed the minimum threshold, the SMC may consider those bids and may select a number of the next highest scoring bids within each category (policy and academic). </w:t>
      </w:r>
    </w:p>
    <w:p w:rsidR="00AB4FAA" w:rsidRDefault="00AB4FAA">
      <w:pPr>
        <w:spacing w:after="240" w:line="240" w:lineRule="auto"/>
      </w:pPr>
    </w:p>
    <w:p w:rsidR="00AB4FAA" w:rsidRDefault="00AB4FAA">
      <w:pPr>
        <w:spacing w:after="240" w:line="240" w:lineRule="auto"/>
      </w:pPr>
    </w:p>
    <w:p w:rsidR="00AB4FAA" w:rsidRDefault="00E36FA6">
      <w:pPr>
        <w:spacing w:after="240" w:line="240" w:lineRule="auto"/>
        <w:rPr>
          <w:b/>
        </w:rPr>
      </w:pPr>
      <w:r>
        <w:rPr>
          <w:b/>
        </w:rPr>
        <w:t>Conclusions</w:t>
      </w:r>
    </w:p>
    <w:p w:rsidR="00AB4FAA" w:rsidRDefault="00E36FA6">
      <w:pPr>
        <w:spacing w:after="240" w:line="240" w:lineRule="auto"/>
        <w:ind w:left="357"/>
      </w:pPr>
      <w:r>
        <w:t>22</w:t>
      </w:r>
      <w:r>
        <w:tab/>
        <w:t>Whilst every endeavour has been made to give tenderers an accurate description of the Commission’s requirements, tenderers should make their own assessment about how to meet those requirements.</w:t>
      </w:r>
    </w:p>
    <w:p w:rsidR="00AB4FAA" w:rsidRDefault="00AB4FAA"/>
    <w:p w:rsidR="00AB4FAA" w:rsidRDefault="00AB4FAA"/>
    <w:p w:rsidR="00AB4FAA" w:rsidRDefault="00AB4FAA"/>
    <w:p w:rsidR="00AB4FAA" w:rsidRDefault="00AB4FAA"/>
    <w:p w:rsidR="00AB4FAA" w:rsidRDefault="00AB4FAA">
      <w:pPr>
        <w:ind w:left="720"/>
      </w:pPr>
    </w:p>
    <w:p w:rsidR="00EF7B94" w:rsidRDefault="00EF7B94">
      <w:pPr>
        <w:ind w:left="720"/>
      </w:pPr>
    </w:p>
    <w:p w:rsidR="00EF7B94" w:rsidRDefault="00EF7B94">
      <w:pPr>
        <w:ind w:left="720"/>
      </w:pPr>
    </w:p>
    <w:p w:rsidR="00EF7B94" w:rsidRDefault="00EF7B94">
      <w:pPr>
        <w:ind w:left="720"/>
      </w:pPr>
    </w:p>
    <w:p w:rsidR="00EF7B94" w:rsidRDefault="00EF7B94">
      <w:pPr>
        <w:ind w:left="720"/>
      </w:pPr>
    </w:p>
    <w:p w:rsidR="00EF7B94" w:rsidRDefault="00EF7B94">
      <w:pPr>
        <w:ind w:left="720"/>
      </w:pPr>
    </w:p>
    <w:p w:rsidR="00AB4FAA" w:rsidRDefault="00AB4FAA">
      <w:pPr>
        <w:ind w:left="720"/>
      </w:pPr>
    </w:p>
    <w:p w:rsidR="00AB4FAA" w:rsidRDefault="00AB4FAA">
      <w:pPr>
        <w:ind w:left="720"/>
      </w:pPr>
    </w:p>
    <w:p w:rsidR="00AB4FAA" w:rsidRDefault="00AB4FAA">
      <w:pPr>
        <w:ind w:left="720"/>
      </w:pPr>
    </w:p>
    <w:p w:rsidR="00AB4FAA" w:rsidRDefault="00AB4FAA">
      <w:pPr>
        <w:ind w:left="720"/>
      </w:pPr>
    </w:p>
    <w:p w:rsidR="00AB4FAA" w:rsidRDefault="00AB4FAA">
      <w:pPr>
        <w:ind w:left="720"/>
      </w:pPr>
    </w:p>
    <w:p w:rsidR="00AB4FAA" w:rsidRDefault="00E36FA6">
      <w:pPr>
        <w:spacing w:after="240" w:line="240" w:lineRule="auto"/>
        <w:ind w:left="6480" w:firstLine="720"/>
        <w:rPr>
          <w:b/>
        </w:rPr>
      </w:pPr>
      <w:bookmarkStart w:id="5" w:name="bookmark=id.tyjcwt" w:colFirst="0" w:colLast="0"/>
      <w:bookmarkEnd w:id="5"/>
      <w:r>
        <w:rPr>
          <w:b/>
        </w:rPr>
        <w:lastRenderedPageBreak/>
        <w:t>DOCUMENT 3</w:t>
      </w:r>
    </w:p>
    <w:p w:rsidR="00AB4FAA" w:rsidRDefault="00E36FA6">
      <w:pPr>
        <w:spacing w:after="240" w:line="240" w:lineRule="auto"/>
        <w:ind w:left="720"/>
        <w:rPr>
          <w:b/>
        </w:rPr>
      </w:pPr>
      <w:r>
        <w:rPr>
          <w:b/>
        </w:rPr>
        <w:t>DEPARTMENTAL STANDARD REQUIREMENTS</w:t>
      </w:r>
    </w:p>
    <w:p w:rsidR="00AB4FAA" w:rsidRDefault="00E36FA6">
      <w:pPr>
        <w:spacing w:after="240" w:line="240" w:lineRule="auto"/>
      </w:pPr>
      <w:r>
        <w:rPr>
          <w:b/>
        </w:rPr>
        <w:t>Freedom of Information</w:t>
      </w:r>
    </w:p>
    <w:p w:rsidR="00AB4FAA" w:rsidRDefault="00E36FA6">
      <w:pPr>
        <w:spacing w:after="240" w:line="240" w:lineRule="auto"/>
      </w:pPr>
      <w:r>
        <w:t>1</w:t>
      </w:r>
      <w:r>
        <w:tab/>
        <w:t xml:space="preserve">SMC is committed to open government and to meeting their responsibilities under the Freedom of Information Act 2000. Accordingly, all information submitted to SMC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SMC should not be taken to mean that we accept any duty of confidence by virtue of that marking. If a request is received, we may also be required to disclose details of unsuccessful tenders.  </w:t>
      </w:r>
    </w:p>
    <w:p w:rsidR="00AB4FAA" w:rsidRDefault="00E36FA6">
      <w:pPr>
        <w:spacing w:after="240" w:line="240" w:lineRule="auto"/>
        <w:rPr>
          <w:b/>
        </w:rPr>
      </w:pPr>
      <w:r>
        <w:rPr>
          <w:b/>
        </w:rPr>
        <w:t>Publication of Contract</w:t>
      </w:r>
    </w:p>
    <w:p w:rsidR="00AB4FAA" w:rsidRDefault="00E36FA6">
      <w:pPr>
        <w:spacing w:after="240" w:line="240" w:lineRule="auto"/>
      </w:pPr>
      <w:r>
        <w:t>2</w:t>
      </w:r>
      <w:r>
        <w:tab/>
        <w:t>Under the Government’s Transparency requirements we are obliged to publish the contract between SMC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See ‘</w:t>
      </w:r>
      <w:hyperlink r:id="rId17">
        <w:r>
          <w:rPr>
            <w:color w:val="0000FF"/>
            <w:u w:val="single"/>
          </w:rPr>
          <w:t>The Transparency of Suppliers and Government to the Public</w:t>
        </w:r>
      </w:hyperlink>
      <w:r>
        <w:t>’ for more detail.</w:t>
      </w:r>
    </w:p>
    <w:p w:rsidR="00AB4FAA" w:rsidRDefault="00E36FA6">
      <w:pPr>
        <w:spacing w:after="240" w:line="240" w:lineRule="auto"/>
      </w:pPr>
      <w:r>
        <w:rPr>
          <w:b/>
        </w:rPr>
        <w:t>Information Sharing Across Government</w:t>
      </w:r>
    </w:p>
    <w:p w:rsidR="00AB4FAA" w:rsidRDefault="00E36FA6">
      <w:pPr>
        <w:spacing w:after="240" w:line="240" w:lineRule="auto"/>
      </w:pPr>
      <w:r>
        <w:t>3</w:t>
      </w:r>
      <w:r>
        <w:tab/>
        <w:t xml:space="preserve">All Central Government Departments and their Executive Agencies and </w:t>
      </w:r>
      <w:proofErr w:type="gramStart"/>
      <w:r>
        <w:t>Non Departmental</w:t>
      </w:r>
      <w:proofErr w:type="gramEnd"/>
      <w: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AB4FAA" w:rsidRDefault="00E36FA6">
      <w:pPr>
        <w:spacing w:after="240" w:line="240" w:lineRule="auto"/>
      </w:pPr>
      <w:r>
        <w:t>4</w:t>
      </w:r>
      <w:r>
        <w:tab/>
        <w:t>For these purposes, SMC may disclose within Government any of the Contractor's documentation/information (including any that the Contractor considers to be confidential and/or commercially sensitive such as specific bid information) submitted by the Contractor to SMC during this Procurement. The information will not be disclosed outside Government. Contractors taking part in this competition consent to these terms as part of the competition process.”</w:t>
      </w:r>
    </w:p>
    <w:p w:rsidR="00AB4FAA" w:rsidRDefault="00E36FA6">
      <w:pPr>
        <w:spacing w:after="240" w:line="240" w:lineRule="auto"/>
        <w:rPr>
          <w:b/>
        </w:rPr>
      </w:pPr>
      <w:bookmarkStart w:id="6" w:name="_heading=h.3dy6vkm" w:colFirst="0" w:colLast="0"/>
      <w:bookmarkEnd w:id="6"/>
      <w:r>
        <w:rPr>
          <w:b/>
        </w:rPr>
        <w:t>Data Security Standards</w:t>
      </w:r>
    </w:p>
    <w:p w:rsidR="00AB4FAA" w:rsidRDefault="00E36FA6">
      <w:pPr>
        <w:spacing w:after="240" w:line="240" w:lineRule="auto"/>
      </w:pPr>
      <w:r>
        <w:t>5</w:t>
      </w:r>
      <w:r>
        <w:tab/>
        <w:t xml:space="preserve">For contracts which require the holding or processing of either personal data and/or OFFICIAL data the successful contractor will need to assure SMC that they can comply with the Department’s security standards.  </w:t>
      </w:r>
    </w:p>
    <w:p w:rsidR="00AB4FAA" w:rsidRDefault="00E36FA6">
      <w:pPr>
        <w:spacing w:after="240" w:line="240" w:lineRule="auto"/>
        <w:rPr>
          <w:b/>
          <w:i/>
        </w:rPr>
      </w:pPr>
      <w:r>
        <w:t>6</w:t>
      </w:r>
      <w:r>
        <w:tab/>
        <w:t xml:space="preserve">Departmental security standards are listed as contract clauses in an annex to this letter (see Document 4 – List of Attachments). </w:t>
      </w:r>
    </w:p>
    <w:p w:rsidR="00EF7B94" w:rsidRDefault="00EF7B94">
      <w:pPr>
        <w:spacing w:after="240" w:line="240" w:lineRule="auto"/>
        <w:rPr>
          <w:b/>
        </w:rPr>
      </w:pPr>
    </w:p>
    <w:p w:rsidR="00AB4FAA" w:rsidRDefault="00E36FA6">
      <w:pPr>
        <w:spacing w:after="240" w:line="240" w:lineRule="auto"/>
      </w:pPr>
      <w:r>
        <w:rPr>
          <w:b/>
        </w:rPr>
        <w:lastRenderedPageBreak/>
        <w:t>Prompt Payment Policy</w:t>
      </w:r>
    </w:p>
    <w:p w:rsidR="00AB4FAA" w:rsidRDefault="00E36FA6">
      <w:pPr>
        <w:spacing w:after="240" w:line="240" w:lineRule="auto"/>
      </w:pPr>
      <w:r>
        <w:t>7</w:t>
      </w:r>
      <w:r>
        <w:tab/>
        <w:t>Government’s aim is to pay 80% of all correctly submitted invoices within 5 days of receipt and we are 100% committed to paying correctly submitted invoices within 30 days of receipt from the day of physical or electronic arrival at the nominated address of the Department.</w:t>
      </w:r>
    </w:p>
    <w:p w:rsidR="00AB4FAA" w:rsidRDefault="00E36FA6">
      <w:pPr>
        <w:spacing w:after="240" w:line="240" w:lineRule="auto"/>
      </w:pPr>
      <w:r>
        <w:t>8</w:t>
      </w:r>
      <w:r>
        <w:tab/>
        <w:t xml:space="preserve">The payment period will be deemed to have started when a correctly submitted invoice reaches the nominated address or emailed to contact@cabinetoffice.gov.uk.  Contractors can assume receipt to be two days after mailing (by first class post). The thirty day “clock” therefore commences two days after mailing first class. </w:t>
      </w:r>
    </w:p>
    <w:p w:rsidR="00AB4FAA" w:rsidRDefault="00E36FA6">
      <w:pPr>
        <w:widowControl w:val="0"/>
        <w:spacing w:after="240" w:line="240" w:lineRule="auto"/>
      </w:pPr>
      <w:r>
        <w:t>9</w:t>
      </w:r>
      <w:r>
        <w:tab/>
        <w:t>A correct invoice is one that is:</w:t>
      </w:r>
    </w:p>
    <w:p w:rsidR="00AB4FAA" w:rsidRDefault="00E36FA6">
      <w:pPr>
        <w:numPr>
          <w:ilvl w:val="0"/>
          <w:numId w:val="13"/>
        </w:numPr>
      </w:pPr>
      <w:r>
        <w:t xml:space="preserve">delivered on time in accordance with the contract; </w:t>
      </w:r>
    </w:p>
    <w:p w:rsidR="00AB4FAA" w:rsidRDefault="00E36FA6">
      <w:pPr>
        <w:numPr>
          <w:ilvl w:val="0"/>
          <w:numId w:val="13"/>
        </w:numPr>
      </w:pPr>
      <w:r>
        <w:t xml:space="preserve">that is for the correct sum; </w:t>
      </w:r>
    </w:p>
    <w:p w:rsidR="00AB4FAA" w:rsidRDefault="00E36FA6">
      <w:pPr>
        <w:numPr>
          <w:ilvl w:val="0"/>
          <w:numId w:val="13"/>
        </w:numPr>
      </w:pPr>
      <w:r>
        <w:t xml:space="preserve">In respect of goods / services supplied or delivered to the required quality (or are expected to be at the required quality); </w:t>
      </w:r>
    </w:p>
    <w:p w:rsidR="00AB4FAA" w:rsidRDefault="00E36FA6">
      <w:pPr>
        <w:numPr>
          <w:ilvl w:val="0"/>
          <w:numId w:val="13"/>
        </w:numPr>
      </w:pPr>
      <w:r>
        <w:t>include the date, supplier name, contact details and bank details;</w:t>
      </w:r>
    </w:p>
    <w:p w:rsidR="00AB4FAA" w:rsidRDefault="00E36FA6">
      <w:pPr>
        <w:numPr>
          <w:ilvl w:val="0"/>
          <w:numId w:val="13"/>
        </w:numPr>
      </w:pPr>
      <w:r>
        <w:t>which quote the relevant purchase order / contract reference;</w:t>
      </w:r>
    </w:p>
    <w:p w:rsidR="00AB4FAA" w:rsidRDefault="00E36FA6">
      <w:pPr>
        <w:numPr>
          <w:ilvl w:val="0"/>
          <w:numId w:val="13"/>
        </w:numPr>
      </w:pPr>
      <w:r>
        <w:t>which has been delivered to the nominated address.</w:t>
      </w:r>
    </w:p>
    <w:p w:rsidR="00AB4FAA" w:rsidRDefault="00AB4FAA">
      <w:pPr>
        <w:ind w:left="1080"/>
      </w:pPr>
    </w:p>
    <w:p w:rsidR="00AB4FAA" w:rsidRDefault="00E36FA6">
      <w:pPr>
        <w:widowControl w:val="0"/>
        <w:spacing w:after="240" w:line="240" w:lineRule="auto"/>
      </w:pPr>
      <w:r>
        <w:t>10</w:t>
      </w:r>
      <w:r>
        <w:tab/>
        <w:t>Any correctly submitted invoices that are not paid within 30 days will be subject to the provisions of the Late Payment of Commercial Debt (Interest) Act 1998.</w:t>
      </w:r>
    </w:p>
    <w:p w:rsidR="00AB4FAA" w:rsidRDefault="00E36FA6">
      <w:pPr>
        <w:widowControl w:val="0"/>
        <w:spacing w:after="240" w:line="240" w:lineRule="auto"/>
        <w:rPr>
          <w:b/>
        </w:rPr>
      </w:pPr>
      <w:r>
        <w:rPr>
          <w:b/>
        </w:rPr>
        <w:t>Sub-contracting to Small and Medium Enterprises (SMEs)</w:t>
      </w:r>
    </w:p>
    <w:p w:rsidR="00AB4FAA" w:rsidRDefault="00E36FA6">
      <w:pPr>
        <w:widowControl w:val="0"/>
        <w:spacing w:line="240" w:lineRule="auto"/>
      </w:pPr>
      <w:r>
        <w:t>11</w:t>
      </w:r>
      <w:r>
        <w:tab/>
        <w:t xml:space="preserve">SMC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rsidR="00AB4FAA" w:rsidRDefault="00AB4FAA">
      <w:pPr>
        <w:widowControl w:val="0"/>
        <w:spacing w:line="240" w:lineRule="auto"/>
      </w:pPr>
    </w:p>
    <w:p w:rsidR="00AB4FAA" w:rsidRDefault="00E36FA6">
      <w:pPr>
        <w:widowControl w:val="0"/>
        <w:spacing w:line="240" w:lineRule="auto"/>
      </w:pPr>
      <w:r>
        <w:t>12</w:t>
      </w:r>
      <w:r>
        <w:tab/>
        <w:t>To help us measure the volume of business we do with SMEs, we will be asking SMC suppliers to provide us with information about the size of your own organisation and those in your supply chain.   We may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p>
    <w:p w:rsidR="00AB4FAA" w:rsidRDefault="00AB4FAA">
      <w:pPr>
        <w:widowControl w:val="0"/>
        <w:spacing w:line="240" w:lineRule="auto"/>
        <w:ind w:left="720"/>
        <w:rPr>
          <w:color w:val="4A452A"/>
        </w:rPr>
      </w:pPr>
    </w:p>
    <w:p w:rsidR="00AB4FAA" w:rsidRDefault="00E36FA6">
      <w:pPr>
        <w:widowControl w:val="0"/>
        <w:spacing w:after="240" w:line="240" w:lineRule="auto"/>
        <w:rPr>
          <w:b/>
        </w:rPr>
      </w:pPr>
      <w:r>
        <w:rPr>
          <w:b/>
        </w:rPr>
        <w:t>Armed Forces Covenant</w:t>
      </w:r>
    </w:p>
    <w:p w:rsidR="00AB4FAA" w:rsidRDefault="00E36FA6">
      <w:pPr>
        <w:widowControl w:val="0"/>
        <w:spacing w:after="240" w:line="240" w:lineRule="auto"/>
      </w:pPr>
      <w:r>
        <w:t>13</w:t>
      </w:r>
      <w:r>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AB4FAA" w:rsidRDefault="00E36FA6">
      <w:pPr>
        <w:widowControl w:val="0"/>
        <w:spacing w:after="240" w:line="240" w:lineRule="auto"/>
      </w:pPr>
      <w:r>
        <w:t>14</w:t>
      </w:r>
      <w:r>
        <w:tab/>
        <w:t>The Covenant’s 2 principles are that:</w:t>
      </w:r>
    </w:p>
    <w:p w:rsidR="00AB4FAA" w:rsidRDefault="00E36FA6">
      <w:pPr>
        <w:widowControl w:val="0"/>
        <w:spacing w:after="240" w:line="240" w:lineRule="auto"/>
      </w:pPr>
      <w:r>
        <w:t>• the armed forces community should not face disadvantages when compared to other citizens in the provision of public and commercial services.</w:t>
      </w:r>
    </w:p>
    <w:p w:rsidR="00AB4FAA" w:rsidRDefault="00E36FA6">
      <w:pPr>
        <w:widowControl w:val="0"/>
        <w:spacing w:after="240" w:line="240" w:lineRule="auto"/>
      </w:pPr>
      <w:r>
        <w:lastRenderedPageBreak/>
        <w:t>• special consideration is appropriate in some cases, especially for those who have given most such as the injured and the bereaved.</w:t>
      </w:r>
    </w:p>
    <w:p w:rsidR="00AB4FAA" w:rsidRDefault="00E36FA6">
      <w:pPr>
        <w:widowControl w:val="0"/>
        <w:spacing w:after="240" w:line="240" w:lineRule="auto"/>
      </w:pPr>
      <w:r>
        <w:t>15</w:t>
      </w:r>
      <w:r>
        <w:tab/>
        <w:t>The Department encourages all Tenderers, and their suppliers, to sign the Corporate Covenant, declaring their support for the Armed Forces community by displaying the values and behaviours set out therein.</w:t>
      </w:r>
    </w:p>
    <w:p w:rsidR="00AB4FAA" w:rsidRDefault="00E36FA6">
      <w:pPr>
        <w:widowControl w:val="0"/>
        <w:spacing w:after="240" w:line="240" w:lineRule="auto"/>
      </w:pPr>
      <w:r>
        <w:t>16</w:t>
      </w:r>
      <w:r>
        <w:tab/>
        <w:t xml:space="preserve">Guidance on the various ways you can demonstrate your support through the Corporate Covenant is at </w:t>
      </w:r>
      <w:hyperlink r:id="rId18">
        <w:r>
          <w:rPr>
            <w:color w:val="0000FF"/>
            <w:u w:val="single"/>
          </w:rPr>
          <w:t>The Corporate Covenant</w:t>
        </w:r>
      </w:hyperlink>
      <w:r>
        <w:t>.</w:t>
      </w:r>
    </w:p>
    <w:p w:rsidR="00AB4FAA" w:rsidRDefault="00E36FA6">
      <w:pPr>
        <w:widowControl w:val="0"/>
        <w:spacing w:after="240" w:line="240" w:lineRule="auto"/>
      </w:pPr>
      <w:r>
        <w:t>17</w:t>
      </w:r>
      <w: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AB4FAA" w:rsidRDefault="00E36FA6">
      <w:r>
        <w:t>Email address: covenant-mailbox@mod.uk</w:t>
      </w:r>
    </w:p>
    <w:p w:rsidR="00AB4FAA" w:rsidRDefault="00E36FA6">
      <w:r>
        <w:t>Address: Armed Forces Covenant Team</w:t>
      </w:r>
    </w:p>
    <w:p w:rsidR="00AB4FAA" w:rsidRDefault="00E36FA6">
      <w:r>
        <w:t>Zone D, 6th Floor, Ministry of Defence,</w:t>
      </w:r>
    </w:p>
    <w:p w:rsidR="00AB4FAA" w:rsidRDefault="00E36FA6">
      <w:r>
        <w:t>Main Building, Whitehall, London, SW1A 2HB</w:t>
      </w:r>
    </w:p>
    <w:p w:rsidR="00AB4FAA" w:rsidRDefault="00AB4FAA">
      <w:pPr>
        <w:widowControl w:val="0"/>
        <w:spacing w:after="240" w:line="240" w:lineRule="auto"/>
      </w:pPr>
    </w:p>
    <w:p w:rsidR="00AB4FAA" w:rsidRDefault="00E36FA6">
      <w:pPr>
        <w:widowControl w:val="0"/>
        <w:spacing w:after="240" w:line="240" w:lineRule="auto"/>
      </w:pPr>
      <w:r>
        <w:t>18</w:t>
      </w:r>
      <w:r>
        <w:tab/>
        <w:t>Paragraphs 20-25 above are not a condition of working with SMC now or in the future, nor will this issue form any part of the tender evaluation, contract award procedure or any resulting contract. However, SMC very much hopes you will want to provide your support.</w:t>
      </w:r>
    </w:p>
    <w:p w:rsidR="00AB4FAA" w:rsidRDefault="00E36FA6">
      <w:pPr>
        <w:spacing w:line="240" w:lineRule="auto"/>
        <w:ind w:right="-333"/>
        <w:jc w:val="both"/>
        <w:rPr>
          <w:rFonts w:ascii="Calibri" w:eastAsia="Calibri" w:hAnsi="Calibri" w:cs="Calibri"/>
        </w:rPr>
      </w:pPr>
      <w:r>
        <w:rPr>
          <w:b/>
        </w:rPr>
        <w:t>Conflicts of Interest</w:t>
      </w:r>
    </w:p>
    <w:p w:rsidR="00AB4FAA" w:rsidRDefault="00AB4FAA">
      <w:pPr>
        <w:spacing w:line="240" w:lineRule="auto"/>
        <w:ind w:right="-333"/>
        <w:jc w:val="both"/>
        <w:rPr>
          <w:rFonts w:ascii="Calibri" w:eastAsia="Calibri" w:hAnsi="Calibri" w:cs="Calibri"/>
        </w:rPr>
      </w:pPr>
    </w:p>
    <w:p w:rsidR="00AB4FAA" w:rsidRDefault="00E36FA6">
      <w:pPr>
        <w:spacing w:line="240" w:lineRule="auto"/>
        <w:jc w:val="both"/>
        <w:rPr>
          <w:rFonts w:ascii="Calibri" w:eastAsia="Calibri" w:hAnsi="Calibri" w:cs="Calibri"/>
        </w:rPr>
      </w:pPr>
      <w:r>
        <w:t>19</w:t>
      </w:r>
      <w:r>
        <w:tab/>
        <w:t xml:space="preserve">SMC may exclude an organisation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AB4FAA" w:rsidRDefault="00AB4FAA">
      <w:pPr>
        <w:spacing w:line="240" w:lineRule="auto"/>
        <w:jc w:val="both"/>
        <w:rPr>
          <w:rFonts w:ascii="Calibri" w:eastAsia="Calibri" w:hAnsi="Calibri" w:cs="Calibri"/>
        </w:rPr>
      </w:pPr>
    </w:p>
    <w:p w:rsidR="00AB4FAA" w:rsidRDefault="00E36FA6">
      <w:pPr>
        <w:spacing w:line="240" w:lineRule="auto"/>
        <w:jc w:val="both"/>
      </w:pPr>
      <w:r>
        <w:t>20</w:t>
      </w:r>
      <w:r>
        <w:tab/>
        <w:t>Where there is any indication that a conflict of interest exists or may arise then it is the responsibility of the organisation to inform SMC, detailing the conflict in a separate Appendix. Provided that it has been carried out in a transparent manner, routine pre-market engagement carried out by SMC should not represent a conflict of interest for the organisation.</w:t>
      </w:r>
    </w:p>
    <w:p w:rsidR="00AB4FAA" w:rsidRDefault="00AB4FAA">
      <w:pPr>
        <w:spacing w:line="240" w:lineRule="auto"/>
        <w:jc w:val="both"/>
      </w:pPr>
    </w:p>
    <w:p w:rsidR="00AB4FAA" w:rsidRDefault="00E36FA6">
      <w:pPr>
        <w:widowControl w:val="0"/>
        <w:spacing w:after="240" w:line="240" w:lineRule="auto"/>
        <w:rPr>
          <w:b/>
        </w:rPr>
      </w:pPr>
      <w:r>
        <w:rPr>
          <w:b/>
        </w:rPr>
        <w:t>Disability Confident Scheme</w:t>
      </w:r>
    </w:p>
    <w:p w:rsidR="00AB4FAA" w:rsidRDefault="00E36FA6">
      <w:pPr>
        <w:widowControl w:val="0"/>
        <w:spacing w:line="240" w:lineRule="auto"/>
      </w:pPr>
      <w:r>
        <w:t>21</w:t>
      </w:r>
      <w:r>
        <w:tab/>
        <w:t>The Cabinet Office is a Disability Confident leader. Through the Disability Confident campaign, the government is working with employers to remove barriers, increase understanding and ensure that disabled people have the opportunities to fulfil their potential and realise their aspirations.</w:t>
      </w:r>
    </w:p>
    <w:p w:rsidR="00AB4FAA" w:rsidRDefault="00AB4FAA">
      <w:pPr>
        <w:widowControl w:val="0"/>
        <w:spacing w:line="240" w:lineRule="auto"/>
      </w:pPr>
    </w:p>
    <w:p w:rsidR="00AB4FAA" w:rsidRDefault="00E36FA6">
      <w:pPr>
        <w:widowControl w:val="0"/>
        <w:spacing w:after="240" w:line="240" w:lineRule="auto"/>
      </w:pPr>
      <w:r>
        <w:t>22</w:t>
      </w:r>
      <w:r>
        <w:tab/>
        <w:t>SMC encourages other employers to sign up to the disability confident scheme. It is open to all employers and there are three levels ranging from ‘Committed’ to ‘Leader’ with employers having to meet certain criteria to reach each level.</w:t>
      </w:r>
    </w:p>
    <w:p w:rsidR="00AB4FAA" w:rsidRDefault="00E36FA6">
      <w:pPr>
        <w:widowControl w:val="0"/>
        <w:spacing w:line="240" w:lineRule="auto"/>
      </w:pPr>
      <w:r>
        <w:t>23</w:t>
      </w:r>
      <w:r>
        <w:tab/>
        <w:t xml:space="preserve">Employers who sign up to the disability confident scheme ensure that they can: </w:t>
      </w:r>
    </w:p>
    <w:p w:rsidR="00AB4FAA" w:rsidRDefault="00AB4FAA">
      <w:pPr>
        <w:widowControl w:val="0"/>
        <w:spacing w:line="240" w:lineRule="auto"/>
      </w:pPr>
    </w:p>
    <w:p w:rsidR="00AB4FAA" w:rsidRDefault="00E36FA6">
      <w:pPr>
        <w:numPr>
          <w:ilvl w:val="0"/>
          <w:numId w:val="19"/>
        </w:numPr>
        <w:spacing w:line="252" w:lineRule="auto"/>
        <w:ind w:left="360"/>
      </w:pPr>
      <w:r>
        <w:t xml:space="preserve">draw from the widest possible pool of talent; </w:t>
      </w:r>
    </w:p>
    <w:p w:rsidR="00AB4FAA" w:rsidRDefault="00E36FA6">
      <w:pPr>
        <w:numPr>
          <w:ilvl w:val="0"/>
          <w:numId w:val="19"/>
        </w:numPr>
        <w:spacing w:line="252" w:lineRule="auto"/>
        <w:ind w:left="360"/>
      </w:pPr>
      <w:r>
        <w:lastRenderedPageBreak/>
        <w:t xml:space="preserve">secure and retain high quality staff who are skilled, loyal and </w:t>
      </w:r>
      <w:proofErr w:type="spellStart"/>
      <w:r>
        <w:t>hard working</w:t>
      </w:r>
      <w:proofErr w:type="spellEnd"/>
      <w:r>
        <w:t xml:space="preserve">; </w:t>
      </w:r>
    </w:p>
    <w:p w:rsidR="00AB4FAA" w:rsidRDefault="00E36FA6">
      <w:pPr>
        <w:numPr>
          <w:ilvl w:val="0"/>
          <w:numId w:val="19"/>
        </w:numPr>
        <w:spacing w:line="252" w:lineRule="auto"/>
        <w:ind w:left="360"/>
      </w:pPr>
      <w:r>
        <w:t xml:space="preserve">save time and money on the costs of recruitment and training by reducing staff turnover; </w:t>
      </w:r>
    </w:p>
    <w:p w:rsidR="00AB4FAA" w:rsidRDefault="00E36FA6">
      <w:pPr>
        <w:numPr>
          <w:ilvl w:val="0"/>
          <w:numId w:val="19"/>
        </w:numPr>
        <w:spacing w:line="252" w:lineRule="auto"/>
        <w:ind w:left="360"/>
      </w:pPr>
      <w:r>
        <w:t xml:space="preserve">keep valuable skills and experience; </w:t>
      </w:r>
    </w:p>
    <w:p w:rsidR="00AB4FAA" w:rsidRDefault="00E36FA6">
      <w:pPr>
        <w:numPr>
          <w:ilvl w:val="0"/>
          <w:numId w:val="19"/>
        </w:numPr>
        <w:spacing w:line="252" w:lineRule="auto"/>
        <w:ind w:left="360"/>
      </w:pPr>
      <w:r>
        <w:t xml:space="preserve">reduce the levels and costs of sickness absences; improve employee morale and commitment by demonstrating that they treat all employees fairly. </w:t>
      </w:r>
    </w:p>
    <w:p w:rsidR="00AB4FAA" w:rsidRDefault="00AB4FAA">
      <w:pPr>
        <w:widowControl w:val="0"/>
        <w:spacing w:line="240" w:lineRule="auto"/>
      </w:pPr>
    </w:p>
    <w:p w:rsidR="00AB4FAA" w:rsidRDefault="00E36FA6">
      <w:pPr>
        <w:widowControl w:val="0"/>
        <w:spacing w:line="240" w:lineRule="auto"/>
      </w:pPr>
      <w:r>
        <w:t>24</w:t>
      </w:r>
      <w:r>
        <w:tab/>
        <w:t xml:space="preserve">Disability confident employers can use the disability confident branding in their communications and when advertising jobs. </w:t>
      </w:r>
    </w:p>
    <w:p w:rsidR="00AB4FAA" w:rsidRDefault="00AB4FAA">
      <w:pPr>
        <w:widowControl w:val="0"/>
        <w:spacing w:line="240" w:lineRule="auto"/>
      </w:pPr>
    </w:p>
    <w:p w:rsidR="00AB4FAA" w:rsidRDefault="00E36FA6">
      <w:pPr>
        <w:spacing w:line="240" w:lineRule="auto"/>
        <w:jc w:val="both"/>
      </w:pPr>
      <w:r>
        <w:t>25</w:t>
      </w:r>
      <w:r>
        <w:tab/>
        <w:t xml:space="preserve">Find out more about the aims of disability confident, why becoming a disability confident employer will be good for your business and how you will be supported through your journey to being a Disability Confident leader </w:t>
      </w:r>
      <w:hyperlink r:id="rId19">
        <w:r>
          <w:rPr>
            <w:color w:val="0000FF"/>
            <w:u w:val="single"/>
          </w:rPr>
          <w:t>here</w:t>
        </w:r>
      </w:hyperlink>
      <w:r>
        <w:t>.</w:t>
      </w:r>
    </w:p>
    <w:p w:rsidR="00AB4FAA" w:rsidRDefault="00AB4FAA">
      <w:pPr>
        <w:spacing w:line="240" w:lineRule="auto"/>
        <w:jc w:val="both"/>
      </w:pPr>
    </w:p>
    <w:p w:rsidR="00AB4FAA" w:rsidRDefault="00E36FA6">
      <w:pPr>
        <w:spacing w:line="240" w:lineRule="auto"/>
        <w:jc w:val="both"/>
        <w:rPr>
          <w:b/>
        </w:rPr>
      </w:pPr>
      <w:r>
        <w:rPr>
          <w:b/>
        </w:rPr>
        <w:t>Safeguarding Children and Vulnerable Adults</w:t>
      </w:r>
    </w:p>
    <w:p w:rsidR="00AB4FAA" w:rsidRDefault="00E36FA6">
      <w:pPr>
        <w:widowControl w:val="0"/>
        <w:spacing w:before="280" w:line="240" w:lineRule="auto"/>
      </w:pPr>
      <w:r>
        <w:t>26</w:t>
      </w:r>
      <w:r>
        <w:tab/>
        <w:t>The standard Terms and Conditions include provisions to put in place safeguards to protect children and vulnerable adults from a risk of significant harm which could arise from the performance of this Contract. The potential Contractor will agree these safeguards with SMC before commencing work on the Contract.</w:t>
      </w:r>
    </w:p>
    <w:p w:rsidR="00AB4FAA" w:rsidRDefault="00AB4FAA">
      <w:pPr>
        <w:widowControl w:val="0"/>
        <w:spacing w:line="240" w:lineRule="auto"/>
      </w:pPr>
    </w:p>
    <w:p w:rsidR="00AB4FAA" w:rsidRDefault="00E36FA6">
      <w:pPr>
        <w:widowControl w:val="0"/>
        <w:spacing w:after="120" w:line="240" w:lineRule="auto"/>
      </w:pPr>
      <w:r>
        <w:t>27</w:t>
      </w:r>
      <w:r>
        <w:tab/>
        <w:t>In addition, the potential Contractor will carry out checks with the Disclosure and Barring Service (DBS checks) on all staff employed on the Contract in a Regulated Activity. The DBS check must be completed before any of the Contractor’s employees work with children in Regulated Activity.</w:t>
      </w: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AB4FAA" w:rsidRDefault="00AB4FAA">
      <w:pPr>
        <w:ind w:left="720"/>
      </w:pPr>
    </w:p>
    <w:p w:rsidR="00AB4FAA" w:rsidRDefault="00E36FA6">
      <w:pPr>
        <w:widowControl w:val="0"/>
        <w:spacing w:after="240" w:line="240" w:lineRule="auto"/>
        <w:ind w:left="6480" w:firstLine="720"/>
        <w:rPr>
          <w:b/>
        </w:rPr>
      </w:pPr>
      <w:bookmarkStart w:id="7" w:name="bookmark=id.4d34og8" w:colFirst="0" w:colLast="0"/>
      <w:bookmarkEnd w:id="7"/>
      <w:r>
        <w:rPr>
          <w:b/>
        </w:rPr>
        <w:t>DOCUMENT 4</w:t>
      </w:r>
    </w:p>
    <w:p w:rsidR="00AB4FAA" w:rsidRDefault="00E36FA6">
      <w:pPr>
        <w:spacing w:after="240" w:line="240" w:lineRule="auto"/>
        <w:rPr>
          <w:b/>
        </w:rPr>
      </w:pPr>
      <w:r>
        <w:rPr>
          <w:b/>
        </w:rPr>
        <w:t>LIST OF ATTACHMENTS</w:t>
      </w:r>
    </w:p>
    <w:p w:rsidR="00AB4FAA" w:rsidRDefault="00E36FA6">
      <w:pPr>
        <w:numPr>
          <w:ilvl w:val="0"/>
          <w:numId w:val="18"/>
        </w:numPr>
        <w:spacing w:after="240" w:line="240" w:lineRule="auto"/>
      </w:pPr>
      <w:r>
        <w:t xml:space="preserve">DRAFT TERMS AND CONDITIONS </w:t>
      </w:r>
    </w:p>
    <w:p w:rsidR="00AB4FAA" w:rsidRDefault="00E36FA6">
      <w:pPr>
        <w:numPr>
          <w:ilvl w:val="0"/>
          <w:numId w:val="18"/>
        </w:numPr>
        <w:spacing w:line="240" w:lineRule="auto"/>
        <w:rPr>
          <w:i/>
        </w:rPr>
      </w:pPr>
      <w:r>
        <w:t>DEPARTMENTAL SECURITY STANDARDS</w:t>
      </w:r>
    </w:p>
    <w:p w:rsidR="00AB4FAA" w:rsidRDefault="00AB4FAA">
      <w:pPr>
        <w:spacing w:line="240" w:lineRule="auto"/>
        <w:ind w:left="720" w:hanging="360"/>
        <w:rPr>
          <w:b/>
        </w:rPr>
      </w:pPr>
    </w:p>
    <w:p w:rsidR="00AB4FAA" w:rsidRDefault="00AB4FAA">
      <w:pPr>
        <w:spacing w:after="240" w:line="240" w:lineRule="auto"/>
      </w:pPr>
    </w:p>
    <w:p w:rsidR="00AB4FAA" w:rsidRDefault="00E36FA6">
      <w:pPr>
        <w:spacing w:after="240" w:line="240" w:lineRule="auto"/>
        <w:jc w:val="right"/>
        <w:rPr>
          <w:b/>
        </w:rPr>
      </w:pPr>
      <w:bookmarkStart w:id="8" w:name="bookmark=id.2s8eyo1" w:colFirst="0" w:colLast="0"/>
      <w:bookmarkEnd w:id="8"/>
      <w:r>
        <w:br w:type="page"/>
      </w:r>
    </w:p>
    <w:p w:rsidR="00AB4FAA" w:rsidRDefault="00E36FA6">
      <w:pPr>
        <w:spacing w:after="240" w:line="240" w:lineRule="auto"/>
        <w:jc w:val="right"/>
        <w:rPr>
          <w:b/>
        </w:rPr>
      </w:pPr>
      <w:bookmarkStart w:id="9" w:name="bookmark=id.17dp8vu" w:colFirst="0" w:colLast="0"/>
      <w:bookmarkEnd w:id="9"/>
      <w:r>
        <w:rPr>
          <w:b/>
        </w:rPr>
        <w:lastRenderedPageBreak/>
        <w:t>DOCUMENT 5</w:t>
      </w:r>
    </w:p>
    <w:p w:rsidR="00AB4FAA" w:rsidRDefault="00E36FA6">
      <w:pPr>
        <w:spacing w:after="240" w:line="240" w:lineRule="auto"/>
      </w:pPr>
      <w:r>
        <w:rPr>
          <w:b/>
        </w:rPr>
        <w:t>DECLARATIONS AND INFORMATION TO BE PROVIDED BY THE TENDERER</w:t>
      </w:r>
    </w:p>
    <w:p w:rsidR="00AB4FAA" w:rsidRDefault="00E36FA6">
      <w:pPr>
        <w:spacing w:line="240" w:lineRule="auto"/>
        <w:jc w:val="both"/>
        <w:rPr>
          <w:b/>
        </w:rPr>
      </w:pPr>
      <w:r>
        <w:rPr>
          <w:b/>
        </w:rPr>
        <w:t>1</w:t>
      </w:r>
      <w:r>
        <w:rPr>
          <w:b/>
        </w:rPr>
        <w:tab/>
        <w:t>Grounds for mandatory exclusion</w:t>
      </w:r>
    </w:p>
    <w:p w:rsidR="00AB4FAA" w:rsidRDefault="00AB4FAA">
      <w:pPr>
        <w:spacing w:line="240" w:lineRule="auto"/>
        <w:jc w:val="both"/>
      </w:pPr>
    </w:p>
    <w:p w:rsidR="00AB4FAA" w:rsidRDefault="00E36FA6">
      <w:pPr>
        <w:spacing w:line="240" w:lineRule="auto"/>
        <w:jc w:val="both"/>
        <w:rPr>
          <w:rFonts w:ascii="Calibri" w:eastAsia="Calibri" w:hAnsi="Calibri" w:cs="Calibri"/>
        </w:rPr>
      </w:pPr>
      <w: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AB4FAA" w:rsidRDefault="00AB4FAA">
      <w:pPr>
        <w:spacing w:line="240" w:lineRule="auto"/>
        <w:jc w:val="both"/>
        <w:rPr>
          <w:rFonts w:ascii="Calibri" w:eastAsia="Calibri" w:hAnsi="Calibri" w:cs="Calibri"/>
        </w:rPr>
      </w:pPr>
    </w:p>
    <w:p w:rsidR="00AB4FAA" w:rsidRDefault="00E36FA6">
      <w:pPr>
        <w:spacing w:line="240" w:lineRule="auto"/>
        <w:jc w:val="both"/>
      </w:pPr>
      <w:r>
        <w:t>Please answer the following questions in full. Note that every organisation that is being relied on to meet the selection must complete and submit the self-declaration.</w:t>
      </w:r>
    </w:p>
    <w:p w:rsidR="00AB4FAA" w:rsidRDefault="00AB4FAA">
      <w:pPr>
        <w:spacing w:line="240" w:lineRule="auto"/>
        <w:jc w:val="both"/>
      </w:pPr>
    </w:p>
    <w:tbl>
      <w:tblPr>
        <w:tblStyle w:val="aff7"/>
        <w:tblW w:w="1035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5"/>
        <w:gridCol w:w="5400"/>
        <w:gridCol w:w="3585"/>
      </w:tblGrid>
      <w:tr w:rsidR="00AB4FAA">
        <w:trPr>
          <w:trHeight w:val="500"/>
        </w:trPr>
        <w:tc>
          <w:tcPr>
            <w:tcW w:w="1365" w:type="dxa"/>
            <w:tcBorders>
              <w:top w:val="single" w:sz="8"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 xml:space="preserve"> 2</w:t>
            </w:r>
          </w:p>
        </w:tc>
        <w:tc>
          <w:tcPr>
            <w:tcW w:w="8985" w:type="dxa"/>
            <w:gridSpan w:val="2"/>
            <w:tcBorders>
              <w:top w:val="single" w:sz="8"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Grounds for mandatory exclusion</w:t>
            </w:r>
          </w:p>
        </w:tc>
      </w:tr>
      <w:tr w:rsidR="00AB4FAA">
        <w:trPr>
          <w:trHeight w:val="40"/>
        </w:trPr>
        <w:tc>
          <w:tcPr>
            <w:tcW w:w="1365" w:type="dxa"/>
            <w:tcBorders>
              <w:top w:val="single" w:sz="6" w:space="0" w:color="000000"/>
              <w:bottom w:val="single" w:sz="6" w:space="0" w:color="000000"/>
            </w:tcBorders>
            <w:shd w:val="clear" w:color="auto" w:fill="CCFFFF"/>
          </w:tcPr>
          <w:p w:rsidR="00AB4FAA" w:rsidRDefault="00E36FA6">
            <w:pPr>
              <w:spacing w:before="100" w:line="240" w:lineRule="auto"/>
              <w:ind w:right="306"/>
              <w:jc w:val="both"/>
              <w:rPr>
                <w:rFonts w:ascii="Times New Roman" w:eastAsia="Times New Roman" w:hAnsi="Times New Roman" w:cs="Times New Roman"/>
                <w:sz w:val="24"/>
                <w:szCs w:val="24"/>
              </w:rPr>
            </w:pPr>
            <w:r>
              <w:rPr>
                <w:sz w:val="20"/>
                <w:szCs w:val="20"/>
              </w:rPr>
              <w:t>Question number</w:t>
            </w:r>
          </w:p>
        </w:tc>
        <w:tc>
          <w:tcPr>
            <w:tcW w:w="5400" w:type="dxa"/>
            <w:tcBorders>
              <w:top w:val="single" w:sz="6" w:space="0" w:color="000000"/>
              <w:bottom w:val="single" w:sz="6" w:space="0" w:color="000000"/>
            </w:tcBorders>
            <w:shd w:val="clear" w:color="auto" w:fill="CCFFFF"/>
          </w:tcPr>
          <w:p w:rsidR="00AB4FAA" w:rsidRDefault="00E36FA6">
            <w:pPr>
              <w:spacing w:before="100" w:line="240" w:lineRule="auto"/>
              <w:ind w:right="306"/>
              <w:jc w:val="both"/>
              <w:rPr>
                <w:rFonts w:ascii="Times New Roman" w:eastAsia="Times New Roman" w:hAnsi="Times New Roman" w:cs="Times New Roman"/>
                <w:sz w:val="24"/>
                <w:szCs w:val="24"/>
              </w:rPr>
            </w:pPr>
            <w:r>
              <w:rPr>
                <w:sz w:val="20"/>
                <w:szCs w:val="20"/>
              </w:rPr>
              <w:t>Question</w:t>
            </w:r>
          </w:p>
        </w:tc>
        <w:tc>
          <w:tcPr>
            <w:tcW w:w="3585" w:type="dxa"/>
            <w:tcBorders>
              <w:top w:val="single" w:sz="6"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rPr>
                <w:sz w:val="20"/>
                <w:szCs w:val="20"/>
              </w:rPr>
              <w:t>Response</w:t>
            </w:r>
          </w:p>
        </w:tc>
      </w:tr>
      <w:tr w:rsidR="00AB4FAA">
        <w:trPr>
          <w:trHeight w:val="1340"/>
        </w:trPr>
        <w:tc>
          <w:tcPr>
            <w:tcW w:w="1365" w:type="dxa"/>
            <w:tcBorders>
              <w:top w:val="single" w:sz="6" w:space="0" w:color="000000"/>
            </w:tcBorders>
          </w:tcPr>
          <w:p w:rsidR="00AB4FAA" w:rsidRDefault="00E36FA6">
            <w:pPr>
              <w:spacing w:before="100" w:line="240" w:lineRule="auto"/>
              <w:jc w:val="both"/>
              <w:rPr>
                <w:rFonts w:ascii="Times New Roman" w:eastAsia="Times New Roman" w:hAnsi="Times New Roman" w:cs="Times New Roman"/>
                <w:sz w:val="24"/>
                <w:szCs w:val="24"/>
              </w:rPr>
            </w:pPr>
            <w:r>
              <w:t>2.1(a)</w:t>
            </w:r>
          </w:p>
        </w:tc>
        <w:tc>
          <w:tcPr>
            <w:tcW w:w="8985" w:type="dxa"/>
            <w:gridSpan w:val="2"/>
            <w:tcBorders>
              <w:top w:val="single" w:sz="6" w:space="0" w:color="000000"/>
            </w:tcBorders>
          </w:tcPr>
          <w:p w:rsidR="00AB4FAA" w:rsidRDefault="00E36FA6">
            <w:pPr>
              <w:spacing w:line="240" w:lineRule="auto"/>
              <w:jc w:val="both"/>
              <w:rPr>
                <w:rFonts w:ascii="Times New Roman" w:eastAsia="Times New Roman" w:hAnsi="Times New Roman" w:cs="Times New Roman"/>
                <w:sz w:val="24"/>
                <w:szCs w:val="24"/>
              </w:rPr>
            </w:pPr>
            <w:r>
              <w:rPr>
                <w:b/>
              </w:rPr>
              <w:t xml:space="preserve">Regulations 57(1) and (2) </w:t>
            </w:r>
          </w:p>
          <w:p w:rsidR="00AB4FAA" w:rsidRDefault="00E36FA6">
            <w:pPr>
              <w:spacing w:line="240" w:lineRule="auto"/>
              <w:jc w:val="both"/>
              <w:rPr>
                <w:rFonts w:ascii="Times New Roman" w:eastAsia="Times New Roman" w:hAnsi="Times New Roman" w:cs="Times New Roman"/>
                <w:sz w:val="24"/>
                <w:szCs w:val="24"/>
              </w:rPr>
            </w:pPr>
            <w:r>
              <w:t xml:space="preserve">The detailed grounds for mandatory exclusion of an organisation are set out on this </w:t>
            </w:r>
            <w:hyperlink r:id="rId20">
              <w:r>
                <w:rPr>
                  <w:color w:val="0000FF"/>
                  <w:u w:val="single"/>
                </w:rPr>
                <w:t>web page</w:t>
              </w:r>
            </w:hyperlink>
            <w:r>
              <w:t xml:space="preserve">, which should be referred to before completing these questions. </w:t>
            </w:r>
          </w:p>
          <w:p w:rsidR="00AB4FAA" w:rsidRDefault="00E36FA6">
            <w:pPr>
              <w:spacing w:before="100" w:line="240" w:lineRule="auto"/>
              <w:jc w:val="both"/>
              <w:rPr>
                <w:rFonts w:ascii="Times New Roman" w:eastAsia="Times New Roman" w:hAnsi="Times New Roman" w:cs="Times New Roman"/>
                <w:sz w:val="24"/>
                <w:szCs w:val="24"/>
              </w:rPr>
            </w:pPr>
            <w:r>
              <w:t xml:space="preserve">Please indicate if, within the past five years you, your organisation or any other person who has powers of representation, decision or control in the organisation been convicted </w:t>
            </w:r>
            <w:r>
              <w:rPr>
                <w:color w:val="222222"/>
                <w:highlight w:val="white"/>
              </w:rPr>
              <w:t>anywhere in the world</w:t>
            </w:r>
            <w:r>
              <w:rPr>
                <w:color w:val="222222"/>
                <w:sz w:val="19"/>
                <w:szCs w:val="19"/>
                <w:highlight w:val="white"/>
              </w:rPr>
              <w:t xml:space="preserve"> </w:t>
            </w:r>
            <w:r>
              <w:t xml:space="preserve">of any of the offences within the summary below and listed on the </w:t>
            </w:r>
            <w:hyperlink r:id="rId21">
              <w:r>
                <w:rPr>
                  <w:color w:val="0000FF"/>
                  <w:u w:val="single"/>
                </w:rPr>
                <w:t>webpage</w:t>
              </w:r>
            </w:hyperlink>
            <w:r>
              <w:t>.</w:t>
            </w:r>
          </w:p>
        </w:tc>
      </w:tr>
      <w:tr w:rsidR="00AB4FAA">
        <w:tc>
          <w:tcPr>
            <w:tcW w:w="1365" w:type="dxa"/>
          </w:tcPr>
          <w:p w:rsidR="00AB4FAA" w:rsidRDefault="00AB4FAA">
            <w:pPr>
              <w:tabs>
                <w:tab w:val="left" w:pos="0"/>
              </w:tabs>
              <w:spacing w:before="100" w:line="240" w:lineRule="auto"/>
              <w:jc w:val="both"/>
              <w:rPr>
                <w:rFonts w:ascii="Times New Roman" w:eastAsia="Times New Roman" w:hAnsi="Times New Roman" w:cs="Times New Roman"/>
                <w:sz w:val="24"/>
                <w:szCs w:val="24"/>
              </w:rPr>
            </w:pPr>
          </w:p>
        </w:tc>
        <w:tc>
          <w:tcPr>
            <w:tcW w:w="5400" w:type="dxa"/>
          </w:tcPr>
          <w:p w:rsidR="00AB4FAA" w:rsidRDefault="00E36FA6">
            <w:pPr>
              <w:tabs>
                <w:tab w:val="left" w:pos="743"/>
              </w:tabs>
              <w:spacing w:before="100" w:line="240" w:lineRule="auto"/>
              <w:ind w:left="34"/>
              <w:jc w:val="both"/>
              <w:rPr>
                <w:rFonts w:ascii="Times New Roman" w:eastAsia="Times New Roman" w:hAnsi="Times New Roman" w:cs="Times New Roman"/>
                <w:sz w:val="24"/>
                <w:szCs w:val="24"/>
              </w:rPr>
            </w:pPr>
            <w:r>
              <w:t xml:space="preserve">Participation in a criminal organisation.  </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0" w:name="_heading=h.3rdcrjn" w:colFirst="0" w:colLast="0"/>
            <w:bookmarkEnd w:id="10"/>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1" w:name="_heading=h.26in1rg" w:colFirst="0" w:colLast="0"/>
            <w:bookmarkEnd w:id="11"/>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c>
          <w:tcPr>
            <w:tcW w:w="1365" w:type="dxa"/>
          </w:tcPr>
          <w:p w:rsidR="00AB4FAA" w:rsidRDefault="00AB4FAA">
            <w:pPr>
              <w:tabs>
                <w:tab w:val="left" w:pos="743"/>
              </w:tabs>
              <w:spacing w:before="100" w:line="240" w:lineRule="auto"/>
              <w:jc w:val="both"/>
              <w:rPr>
                <w:rFonts w:ascii="Times New Roman" w:eastAsia="Times New Roman" w:hAnsi="Times New Roman" w:cs="Times New Roman"/>
                <w:sz w:val="24"/>
                <w:szCs w:val="24"/>
              </w:rPr>
            </w:pPr>
          </w:p>
        </w:tc>
        <w:tc>
          <w:tcPr>
            <w:tcW w:w="5400" w:type="dxa"/>
          </w:tcPr>
          <w:p w:rsidR="00AB4FAA" w:rsidRDefault="00E36FA6">
            <w:pPr>
              <w:tabs>
                <w:tab w:val="left" w:pos="743"/>
              </w:tabs>
              <w:spacing w:before="100" w:line="240" w:lineRule="auto"/>
              <w:jc w:val="both"/>
              <w:rPr>
                <w:rFonts w:ascii="Times New Roman" w:eastAsia="Times New Roman" w:hAnsi="Times New Roman" w:cs="Times New Roman"/>
                <w:sz w:val="24"/>
                <w:szCs w:val="24"/>
              </w:rPr>
            </w:pPr>
            <w:r>
              <w:t xml:space="preserve">Corruption.  </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2" w:name="_heading=h.lnxbz9" w:colFirst="0" w:colLast="0"/>
            <w:bookmarkEnd w:id="12"/>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3" w:name="_heading=h.35nkun2" w:colFirst="0" w:colLast="0"/>
            <w:bookmarkEnd w:id="13"/>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rPr>
          <w:trHeight w:val="240"/>
        </w:trPr>
        <w:tc>
          <w:tcPr>
            <w:tcW w:w="1365" w:type="dxa"/>
          </w:tcPr>
          <w:p w:rsidR="00AB4FAA" w:rsidRDefault="00AB4FAA">
            <w:pPr>
              <w:tabs>
                <w:tab w:val="left" w:pos="34"/>
              </w:tabs>
              <w:spacing w:before="100" w:line="240" w:lineRule="auto"/>
              <w:jc w:val="both"/>
              <w:rPr>
                <w:rFonts w:ascii="Times New Roman" w:eastAsia="Times New Roman" w:hAnsi="Times New Roman" w:cs="Times New Roman"/>
                <w:sz w:val="24"/>
                <w:szCs w:val="24"/>
              </w:rPr>
            </w:pPr>
          </w:p>
        </w:tc>
        <w:tc>
          <w:tcPr>
            <w:tcW w:w="5400" w:type="dxa"/>
          </w:tcPr>
          <w:p w:rsidR="00AB4FAA" w:rsidRDefault="00E36FA6">
            <w:pPr>
              <w:tabs>
                <w:tab w:val="left" w:pos="34"/>
              </w:tabs>
              <w:spacing w:before="100" w:line="240" w:lineRule="auto"/>
              <w:jc w:val="both"/>
              <w:rPr>
                <w:rFonts w:ascii="Times New Roman" w:eastAsia="Times New Roman" w:hAnsi="Times New Roman" w:cs="Times New Roman"/>
                <w:sz w:val="24"/>
                <w:szCs w:val="24"/>
              </w:rPr>
            </w:pPr>
            <w:r>
              <w:t xml:space="preserve">Fraud. </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4" w:name="_heading=h.1ksv4uv" w:colFirst="0" w:colLast="0"/>
            <w:bookmarkEnd w:id="14"/>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5" w:name="_heading=h.44sinio" w:colFirst="0" w:colLast="0"/>
            <w:bookmarkEnd w:id="15"/>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c>
          <w:tcPr>
            <w:tcW w:w="1365" w:type="dxa"/>
          </w:tcPr>
          <w:p w:rsidR="00AB4FAA" w:rsidRDefault="00AB4FAA">
            <w:pPr>
              <w:spacing w:before="100" w:line="240" w:lineRule="auto"/>
              <w:jc w:val="both"/>
              <w:rPr>
                <w:rFonts w:ascii="Times New Roman" w:eastAsia="Times New Roman" w:hAnsi="Times New Roman" w:cs="Times New Roman"/>
                <w:sz w:val="24"/>
                <w:szCs w:val="24"/>
              </w:rPr>
            </w:pPr>
          </w:p>
        </w:tc>
        <w:tc>
          <w:tcPr>
            <w:tcW w:w="5400" w:type="dxa"/>
          </w:tcPr>
          <w:p w:rsidR="00AB4FAA" w:rsidRDefault="00E36FA6">
            <w:pPr>
              <w:spacing w:before="100" w:line="240" w:lineRule="auto"/>
              <w:jc w:val="both"/>
              <w:rPr>
                <w:rFonts w:ascii="Times New Roman" w:eastAsia="Times New Roman" w:hAnsi="Times New Roman" w:cs="Times New Roman"/>
                <w:sz w:val="24"/>
                <w:szCs w:val="24"/>
              </w:rPr>
            </w:pPr>
            <w:r>
              <w:t>Terrorist offences or offences linked to terrorist activities</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6" w:name="_heading=h.2jxsxqh" w:colFirst="0" w:colLast="0"/>
            <w:bookmarkEnd w:id="16"/>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7" w:name="_heading=h.z337ya" w:colFirst="0" w:colLast="0"/>
            <w:bookmarkEnd w:id="17"/>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c>
          <w:tcPr>
            <w:tcW w:w="1365" w:type="dxa"/>
          </w:tcPr>
          <w:p w:rsidR="00AB4FAA" w:rsidRDefault="00AB4FAA">
            <w:pPr>
              <w:spacing w:line="240" w:lineRule="auto"/>
              <w:jc w:val="both"/>
              <w:rPr>
                <w:rFonts w:ascii="Times New Roman" w:eastAsia="Times New Roman" w:hAnsi="Times New Roman" w:cs="Times New Roman"/>
                <w:sz w:val="24"/>
                <w:szCs w:val="24"/>
              </w:rPr>
            </w:pPr>
          </w:p>
        </w:tc>
        <w:tc>
          <w:tcPr>
            <w:tcW w:w="5400" w:type="dxa"/>
          </w:tcPr>
          <w:p w:rsidR="00AB4FAA" w:rsidRDefault="00E36FA6">
            <w:pPr>
              <w:spacing w:line="240" w:lineRule="auto"/>
              <w:jc w:val="both"/>
              <w:rPr>
                <w:rFonts w:ascii="Times New Roman" w:eastAsia="Times New Roman" w:hAnsi="Times New Roman" w:cs="Times New Roman"/>
                <w:sz w:val="24"/>
                <w:szCs w:val="24"/>
              </w:rPr>
            </w:pPr>
            <w:r>
              <w:t>Money laundering or terrorist financing</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8" w:name="_heading=h.3j2qqm3" w:colFirst="0" w:colLast="0"/>
            <w:bookmarkEnd w:id="18"/>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9" w:name="_heading=h.1y810tw" w:colFirst="0" w:colLast="0"/>
            <w:bookmarkEnd w:id="19"/>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rPr>
          <w:trHeight w:val="560"/>
        </w:trPr>
        <w:tc>
          <w:tcPr>
            <w:tcW w:w="1365" w:type="dxa"/>
          </w:tcPr>
          <w:p w:rsidR="00AB4FAA" w:rsidRDefault="00AB4FAA">
            <w:pPr>
              <w:spacing w:before="100" w:line="240" w:lineRule="auto"/>
              <w:ind w:right="317"/>
              <w:jc w:val="both"/>
              <w:rPr>
                <w:rFonts w:ascii="Times New Roman" w:eastAsia="Times New Roman" w:hAnsi="Times New Roman" w:cs="Times New Roman"/>
                <w:sz w:val="24"/>
                <w:szCs w:val="24"/>
              </w:rPr>
            </w:pPr>
          </w:p>
        </w:tc>
        <w:tc>
          <w:tcPr>
            <w:tcW w:w="5400" w:type="dxa"/>
          </w:tcPr>
          <w:p w:rsidR="00AB4FAA" w:rsidRDefault="00E36FA6">
            <w:pPr>
              <w:spacing w:before="100" w:line="240" w:lineRule="auto"/>
              <w:jc w:val="both"/>
              <w:rPr>
                <w:rFonts w:ascii="Times New Roman" w:eastAsia="Times New Roman" w:hAnsi="Times New Roman" w:cs="Times New Roman"/>
                <w:sz w:val="24"/>
                <w:szCs w:val="24"/>
              </w:rPr>
            </w:pPr>
            <w:r>
              <w:t>Child labour and other forms of trafficking in human beings</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20" w:name="_heading=h.4i7ojhp" w:colFirst="0" w:colLast="0"/>
            <w:bookmarkEnd w:id="20"/>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21" w:name="_heading=h.2xcytpi" w:colFirst="0" w:colLast="0"/>
            <w:bookmarkEnd w:id="21"/>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 xml:space="preserve">If Yes please provide details at 2.1(b) </w:t>
            </w:r>
            <w:r>
              <w:t xml:space="preserve"> </w:t>
            </w:r>
          </w:p>
        </w:tc>
      </w:tr>
      <w:tr w:rsidR="00AB4FAA">
        <w:tc>
          <w:tcPr>
            <w:tcW w:w="1365" w:type="dxa"/>
          </w:tcPr>
          <w:p w:rsidR="00AB4FAA" w:rsidRDefault="00E36FA6">
            <w:pPr>
              <w:keepLines/>
              <w:widowControl w:val="0"/>
              <w:spacing w:before="100" w:line="240" w:lineRule="auto"/>
              <w:jc w:val="both"/>
              <w:rPr>
                <w:rFonts w:ascii="Times New Roman" w:eastAsia="Times New Roman" w:hAnsi="Times New Roman" w:cs="Times New Roman"/>
                <w:sz w:val="24"/>
                <w:szCs w:val="24"/>
              </w:rPr>
            </w:pPr>
            <w:r>
              <w:t>2.1(b)</w:t>
            </w:r>
          </w:p>
        </w:tc>
        <w:tc>
          <w:tcPr>
            <w:tcW w:w="5400" w:type="dxa"/>
          </w:tcPr>
          <w:p w:rsidR="00AB4FAA" w:rsidRDefault="00E36FA6">
            <w:pPr>
              <w:keepLines/>
              <w:widowControl w:val="0"/>
              <w:spacing w:line="240" w:lineRule="auto"/>
              <w:jc w:val="both"/>
              <w:rPr>
                <w:rFonts w:ascii="Times New Roman" w:eastAsia="Times New Roman" w:hAnsi="Times New Roman" w:cs="Times New Roman"/>
                <w:sz w:val="24"/>
                <w:szCs w:val="24"/>
              </w:rPr>
            </w:pPr>
            <w:r>
              <w:t>If you have answered yes to question 2.1(a), please provide further details.</w:t>
            </w:r>
          </w:p>
          <w:p w:rsidR="00AB4FAA" w:rsidRDefault="00E36FA6">
            <w:pPr>
              <w:keepLines/>
              <w:widowControl w:val="0"/>
              <w:spacing w:before="100" w:line="240" w:lineRule="auto"/>
              <w:jc w:val="both"/>
              <w:rPr>
                <w:rFonts w:ascii="Times New Roman" w:eastAsia="Times New Roman" w:hAnsi="Times New Roman" w:cs="Times New Roman"/>
                <w:sz w:val="24"/>
                <w:szCs w:val="24"/>
              </w:rPr>
            </w:pPr>
            <w:r>
              <w:t>Date of conviction, specify which of the grounds listed the conviction was for, and the reasons for conviction,</w:t>
            </w:r>
          </w:p>
          <w:p w:rsidR="00AB4FAA" w:rsidRDefault="00E36FA6">
            <w:pPr>
              <w:keepLines/>
              <w:widowControl w:val="0"/>
              <w:spacing w:before="100" w:line="240" w:lineRule="auto"/>
              <w:jc w:val="both"/>
              <w:rPr>
                <w:rFonts w:ascii="Times New Roman" w:eastAsia="Times New Roman" w:hAnsi="Times New Roman" w:cs="Times New Roman"/>
                <w:sz w:val="24"/>
                <w:szCs w:val="24"/>
              </w:rPr>
            </w:pPr>
            <w:r>
              <w:t>Identity of who has been convicted</w:t>
            </w:r>
          </w:p>
          <w:p w:rsidR="00AB4FAA" w:rsidRDefault="00E36FA6">
            <w:pPr>
              <w:keepLines/>
              <w:widowControl w:val="0"/>
              <w:spacing w:before="100" w:line="240" w:lineRule="auto"/>
              <w:jc w:val="both"/>
              <w:rPr>
                <w:rFonts w:ascii="Times New Roman" w:eastAsia="Times New Roman" w:hAnsi="Times New Roman" w:cs="Times New Roman"/>
                <w:sz w:val="24"/>
                <w:szCs w:val="24"/>
              </w:rPr>
            </w:pPr>
            <w:r>
              <w:lastRenderedPageBreak/>
              <w:t>If the relevant documentation is available electronically please provide the web address, issuing authority, precise reference of the documents.</w:t>
            </w:r>
          </w:p>
        </w:tc>
        <w:tc>
          <w:tcPr>
            <w:tcW w:w="3585" w:type="dxa"/>
          </w:tcPr>
          <w:p w:rsidR="00AB4FAA" w:rsidRDefault="00AB4FAA">
            <w:pPr>
              <w:keepLines/>
              <w:widowControl w:val="0"/>
              <w:spacing w:line="240" w:lineRule="auto"/>
              <w:jc w:val="both"/>
              <w:rPr>
                <w:rFonts w:ascii="Times New Roman" w:eastAsia="Times New Roman" w:hAnsi="Times New Roman" w:cs="Times New Roman"/>
                <w:sz w:val="24"/>
                <w:szCs w:val="24"/>
              </w:rPr>
            </w:pPr>
          </w:p>
        </w:tc>
      </w:tr>
      <w:tr w:rsidR="00AB4FAA">
        <w:tc>
          <w:tcPr>
            <w:tcW w:w="1365" w:type="dxa"/>
          </w:tcPr>
          <w:p w:rsidR="00AB4FAA" w:rsidRDefault="00E36FA6">
            <w:pPr>
              <w:keepLines/>
              <w:widowControl w:val="0"/>
              <w:spacing w:before="100" w:line="240" w:lineRule="auto"/>
              <w:jc w:val="both"/>
              <w:rPr>
                <w:rFonts w:ascii="Times New Roman" w:eastAsia="Times New Roman" w:hAnsi="Times New Roman" w:cs="Times New Roman"/>
                <w:sz w:val="24"/>
                <w:szCs w:val="24"/>
              </w:rPr>
            </w:pPr>
            <w:r>
              <w:t>2.2</w:t>
            </w:r>
          </w:p>
        </w:tc>
        <w:tc>
          <w:tcPr>
            <w:tcW w:w="5400" w:type="dxa"/>
          </w:tcPr>
          <w:p w:rsidR="00AB4FAA" w:rsidRDefault="00E36FA6">
            <w:pPr>
              <w:keepLines/>
              <w:widowControl w:val="0"/>
              <w:spacing w:before="100" w:line="240" w:lineRule="auto"/>
              <w:jc w:val="both"/>
              <w:rPr>
                <w:rFonts w:ascii="Times New Roman" w:eastAsia="Times New Roman" w:hAnsi="Times New Roman" w:cs="Times New Roman"/>
                <w:sz w:val="24"/>
                <w:szCs w:val="24"/>
              </w:rPr>
            </w:pPr>
            <w:r>
              <w:t xml:space="preserve">If you have answered Yes to any of the points above, have measures been taken to demonstrate the reliability of the organisation despite the existence of a relevant ground for </w:t>
            </w:r>
            <w:proofErr w:type="gramStart"/>
            <w:r>
              <w:t>exclusion ?</w:t>
            </w:r>
            <w:proofErr w:type="gramEnd"/>
            <w:r>
              <w:t xml:space="preserve"> (</w:t>
            </w:r>
            <w:proofErr w:type="spellStart"/>
            <w:r>
              <w:t>Self Cleaning</w:t>
            </w:r>
            <w:proofErr w:type="spellEnd"/>
            <w:r>
              <w:t>)</w:t>
            </w:r>
          </w:p>
        </w:tc>
        <w:tc>
          <w:tcPr>
            <w:tcW w:w="3585" w:type="dxa"/>
          </w:tcPr>
          <w:p w:rsidR="00AB4FAA" w:rsidRDefault="00E36FA6">
            <w:pPr>
              <w:keepLines/>
              <w:widowControl w:val="0"/>
              <w:spacing w:line="240" w:lineRule="auto"/>
              <w:jc w:val="both"/>
              <w:rPr>
                <w:rFonts w:ascii="Times New Roman" w:eastAsia="Times New Roman" w:hAnsi="Times New Roman" w:cs="Times New Roman"/>
                <w:sz w:val="24"/>
                <w:szCs w:val="24"/>
              </w:rPr>
            </w:pPr>
            <w:bookmarkStart w:id="22" w:name="_heading=h.1ci93xb" w:colFirst="0" w:colLast="0"/>
            <w:bookmarkEnd w:id="22"/>
            <w:r>
              <w:rPr>
                <w:sz w:val="20"/>
                <w:szCs w:val="20"/>
              </w:rPr>
              <w:t xml:space="preserve">Yes </w:t>
            </w:r>
            <w:r>
              <w:rPr>
                <w:rFonts w:ascii="Menlo Regular" w:eastAsia="Menlo Regular" w:hAnsi="Menlo Regular" w:cs="Menlo Regular"/>
                <w:sz w:val="20"/>
                <w:szCs w:val="20"/>
              </w:rPr>
              <w:t>☐</w:t>
            </w:r>
          </w:p>
          <w:p w:rsidR="00AB4FAA" w:rsidRDefault="00E36FA6">
            <w:pPr>
              <w:keepLines/>
              <w:widowControl w:val="0"/>
              <w:spacing w:line="240" w:lineRule="auto"/>
              <w:jc w:val="both"/>
              <w:rPr>
                <w:rFonts w:ascii="Times New Roman" w:eastAsia="Times New Roman" w:hAnsi="Times New Roman" w:cs="Times New Roman"/>
                <w:sz w:val="24"/>
                <w:szCs w:val="24"/>
              </w:rPr>
            </w:pPr>
            <w:bookmarkStart w:id="23" w:name="_heading=h.3whwml4" w:colFirst="0" w:colLast="0"/>
            <w:bookmarkEnd w:id="23"/>
            <w:r>
              <w:rPr>
                <w:sz w:val="20"/>
                <w:szCs w:val="20"/>
              </w:rPr>
              <w:t xml:space="preserve">No   </w:t>
            </w:r>
            <w:r>
              <w:rPr>
                <w:rFonts w:ascii="Menlo Regular" w:eastAsia="Menlo Regular" w:hAnsi="Menlo Regular" w:cs="Menlo Regular"/>
                <w:sz w:val="20"/>
                <w:szCs w:val="20"/>
              </w:rPr>
              <w:t>☐</w:t>
            </w:r>
          </w:p>
          <w:p w:rsidR="00AB4FAA" w:rsidRDefault="00AB4FAA">
            <w:pPr>
              <w:keepLines/>
              <w:widowControl w:val="0"/>
              <w:spacing w:line="240" w:lineRule="auto"/>
              <w:jc w:val="both"/>
              <w:rPr>
                <w:rFonts w:ascii="Times New Roman" w:eastAsia="Times New Roman" w:hAnsi="Times New Roman" w:cs="Times New Roman"/>
                <w:sz w:val="24"/>
                <w:szCs w:val="24"/>
              </w:rPr>
            </w:pPr>
          </w:p>
        </w:tc>
      </w:tr>
      <w:tr w:rsidR="00AB4FAA">
        <w:tc>
          <w:tcPr>
            <w:tcW w:w="1365" w:type="dxa"/>
          </w:tcPr>
          <w:p w:rsidR="00AB4FAA" w:rsidRDefault="00E36FA6">
            <w:pPr>
              <w:spacing w:before="100" w:line="240" w:lineRule="auto"/>
              <w:jc w:val="both"/>
              <w:rPr>
                <w:rFonts w:ascii="Times New Roman" w:eastAsia="Times New Roman" w:hAnsi="Times New Roman" w:cs="Times New Roman"/>
                <w:sz w:val="24"/>
                <w:szCs w:val="24"/>
              </w:rPr>
            </w:pPr>
            <w:r>
              <w:t>2.3(a)</w:t>
            </w:r>
          </w:p>
        </w:tc>
        <w:tc>
          <w:tcPr>
            <w:tcW w:w="5400" w:type="dxa"/>
          </w:tcPr>
          <w:p w:rsidR="00AB4FAA" w:rsidRDefault="00E36FA6">
            <w:pPr>
              <w:spacing w:before="100" w:line="240" w:lineRule="auto"/>
              <w:jc w:val="both"/>
              <w:rPr>
                <w:rFonts w:ascii="Times New Roman" w:eastAsia="Times New Roman" w:hAnsi="Times New Roman" w:cs="Times New Roman"/>
                <w:sz w:val="24"/>
                <w:szCs w:val="24"/>
              </w:rPr>
            </w:pPr>
            <w:r>
              <w:rPr>
                <w:b/>
              </w:rPr>
              <w:t>Regulation 57(3)</w:t>
            </w:r>
          </w:p>
          <w:p w:rsidR="00AB4FAA" w:rsidRDefault="00E36FA6">
            <w:pPr>
              <w:spacing w:before="100" w:line="240" w:lineRule="auto"/>
              <w:jc w:val="both"/>
              <w:rPr>
                <w:rFonts w:ascii="Times New Roman" w:eastAsia="Times New Roman" w:hAnsi="Times New Roman" w:cs="Times New Roman"/>
                <w:sz w:val="24"/>
                <w:szCs w:val="24"/>
              </w:rPr>
            </w:pPr>
            <w: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AB4FAA" w:rsidRDefault="00AB4FAA">
            <w:pPr>
              <w:spacing w:before="100" w:line="240" w:lineRule="auto"/>
              <w:jc w:val="both"/>
              <w:rPr>
                <w:rFonts w:ascii="Times New Roman" w:eastAsia="Times New Roman" w:hAnsi="Times New Roman" w:cs="Times New Roman"/>
                <w:sz w:val="24"/>
                <w:szCs w:val="24"/>
              </w:rPr>
            </w:pP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24" w:name="_heading=h.2bn6wsx" w:colFirst="0" w:colLast="0"/>
            <w:bookmarkEnd w:id="24"/>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25" w:name="_heading=h.qsh70q" w:colFirst="0" w:colLast="0"/>
            <w:bookmarkEnd w:id="25"/>
            <w:r>
              <w:t xml:space="preserve">No   </w:t>
            </w:r>
            <w:r>
              <w:rPr>
                <w:rFonts w:ascii="Menlo Regular" w:eastAsia="Menlo Regular" w:hAnsi="Menlo Regular" w:cs="Menlo Regular"/>
              </w:rPr>
              <w:t>☐</w:t>
            </w:r>
          </w:p>
          <w:p w:rsidR="00AB4FAA" w:rsidRDefault="00AB4FAA">
            <w:pPr>
              <w:spacing w:line="240" w:lineRule="auto"/>
              <w:jc w:val="both"/>
              <w:rPr>
                <w:rFonts w:ascii="Times New Roman" w:eastAsia="Times New Roman" w:hAnsi="Times New Roman" w:cs="Times New Roman"/>
                <w:sz w:val="24"/>
                <w:szCs w:val="24"/>
              </w:rPr>
            </w:pPr>
          </w:p>
        </w:tc>
      </w:tr>
      <w:tr w:rsidR="00AB4FAA">
        <w:tc>
          <w:tcPr>
            <w:tcW w:w="1365" w:type="dxa"/>
          </w:tcPr>
          <w:p w:rsidR="00AB4FAA" w:rsidRDefault="00E36FA6">
            <w:pPr>
              <w:spacing w:before="100" w:line="240" w:lineRule="auto"/>
              <w:jc w:val="both"/>
              <w:rPr>
                <w:rFonts w:ascii="Times New Roman" w:eastAsia="Times New Roman" w:hAnsi="Times New Roman" w:cs="Times New Roman"/>
                <w:sz w:val="24"/>
                <w:szCs w:val="24"/>
              </w:rPr>
            </w:pPr>
            <w:r>
              <w:t>2.3(b)</w:t>
            </w:r>
          </w:p>
        </w:tc>
        <w:tc>
          <w:tcPr>
            <w:tcW w:w="5400" w:type="dxa"/>
          </w:tcPr>
          <w:p w:rsidR="00AB4FAA" w:rsidRDefault="00E36FA6">
            <w:pPr>
              <w:spacing w:before="100" w:line="240" w:lineRule="auto"/>
              <w:jc w:val="both"/>
              <w:rPr>
                <w:rFonts w:ascii="Times New Roman" w:eastAsia="Times New Roman" w:hAnsi="Times New Roman" w:cs="Times New Roman"/>
                <w:sz w:val="24"/>
                <w:szCs w:val="24"/>
              </w:rPr>
            </w:pPr>
            <w: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85" w:type="dxa"/>
          </w:tcPr>
          <w:p w:rsidR="00AB4FAA" w:rsidRDefault="00AB4FAA">
            <w:pPr>
              <w:spacing w:before="100" w:line="240" w:lineRule="auto"/>
              <w:jc w:val="both"/>
              <w:rPr>
                <w:rFonts w:ascii="Times New Roman" w:eastAsia="Times New Roman" w:hAnsi="Times New Roman" w:cs="Times New Roman"/>
                <w:sz w:val="24"/>
                <w:szCs w:val="24"/>
              </w:rPr>
            </w:pPr>
          </w:p>
        </w:tc>
      </w:tr>
    </w:tbl>
    <w:p w:rsidR="00AB4FAA" w:rsidRDefault="00AB4FAA">
      <w:pPr>
        <w:spacing w:line="240" w:lineRule="auto"/>
        <w:jc w:val="both"/>
        <w:rPr>
          <w:rFonts w:ascii="Calibri" w:eastAsia="Calibri" w:hAnsi="Calibri" w:cs="Calibri"/>
        </w:rPr>
      </w:pPr>
    </w:p>
    <w:p w:rsidR="00AB4FAA" w:rsidRDefault="00E36FA6">
      <w:pPr>
        <w:spacing w:after="160" w:line="240" w:lineRule="auto"/>
        <w:rPr>
          <w:rFonts w:ascii="Times New Roman" w:eastAsia="Times New Roman" w:hAnsi="Times New Roman" w:cs="Times New Roman"/>
          <w:sz w:val="24"/>
          <w:szCs w:val="24"/>
        </w:rPr>
      </w:pPr>
      <w:r>
        <w:t>Please Note: SMC reserves the right to use its discretion to exclude a potential supplier where it can demonstrate by any appropriate means that the potential supplier is in breach of its obligations relating to the non-payment of taxes or social security contributions.</w:t>
      </w:r>
    </w:p>
    <w:tbl>
      <w:tblPr>
        <w:tblStyle w:val="aff8"/>
        <w:tblW w:w="1036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5520"/>
        <w:gridCol w:w="3615"/>
      </w:tblGrid>
      <w:tr w:rsidR="00AB4FAA">
        <w:trPr>
          <w:trHeight w:val="400"/>
        </w:trPr>
        <w:tc>
          <w:tcPr>
            <w:tcW w:w="1230" w:type="dxa"/>
            <w:tcBorders>
              <w:top w:val="single" w:sz="8"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3</w:t>
            </w:r>
          </w:p>
        </w:tc>
        <w:tc>
          <w:tcPr>
            <w:tcW w:w="9135" w:type="dxa"/>
            <w:gridSpan w:val="2"/>
            <w:tcBorders>
              <w:top w:val="single" w:sz="8"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 xml:space="preserve">Grounds for discretionary exclusion </w:t>
            </w:r>
          </w:p>
        </w:tc>
      </w:tr>
      <w:tr w:rsidR="00AB4FAA">
        <w:trPr>
          <w:trHeight w:val="400"/>
        </w:trPr>
        <w:tc>
          <w:tcPr>
            <w:tcW w:w="1230" w:type="dxa"/>
            <w:tcBorders>
              <w:top w:val="single" w:sz="6" w:space="0" w:color="000000"/>
              <w:bottom w:val="single" w:sz="6" w:space="0" w:color="000000"/>
            </w:tcBorders>
            <w:shd w:val="clear" w:color="auto" w:fill="CCFFFF"/>
          </w:tcPr>
          <w:p w:rsidR="00AB4FAA" w:rsidRDefault="00AB4FAA">
            <w:pPr>
              <w:spacing w:before="100" w:line="240" w:lineRule="auto"/>
              <w:ind w:right="306"/>
              <w:rPr>
                <w:rFonts w:ascii="Times New Roman" w:eastAsia="Times New Roman" w:hAnsi="Times New Roman" w:cs="Times New Roman"/>
                <w:sz w:val="24"/>
                <w:szCs w:val="24"/>
              </w:rPr>
            </w:pPr>
          </w:p>
        </w:tc>
        <w:tc>
          <w:tcPr>
            <w:tcW w:w="5520" w:type="dxa"/>
            <w:tcBorders>
              <w:top w:val="single" w:sz="6" w:space="0" w:color="000000"/>
              <w:bottom w:val="single" w:sz="6" w:space="0" w:color="000000"/>
            </w:tcBorders>
            <w:shd w:val="clear" w:color="auto" w:fill="CCFFFF"/>
          </w:tcPr>
          <w:p w:rsidR="00AB4FAA" w:rsidRDefault="00E36FA6">
            <w:pPr>
              <w:spacing w:before="100" w:line="240" w:lineRule="auto"/>
              <w:ind w:right="306"/>
              <w:jc w:val="both"/>
              <w:rPr>
                <w:rFonts w:ascii="Times New Roman" w:eastAsia="Times New Roman" w:hAnsi="Times New Roman" w:cs="Times New Roman"/>
                <w:sz w:val="24"/>
                <w:szCs w:val="24"/>
              </w:rPr>
            </w:pPr>
            <w:r>
              <w:t>Question</w:t>
            </w:r>
          </w:p>
        </w:tc>
        <w:tc>
          <w:tcPr>
            <w:tcW w:w="3615" w:type="dxa"/>
            <w:tcBorders>
              <w:top w:val="single" w:sz="6"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Response</w:t>
            </w:r>
          </w:p>
        </w:tc>
      </w:tr>
      <w:tr w:rsidR="00AB4FAA">
        <w:trPr>
          <w:trHeight w:val="400"/>
        </w:trPr>
        <w:tc>
          <w:tcPr>
            <w:tcW w:w="1230" w:type="dxa"/>
            <w:tcBorders>
              <w:top w:val="single" w:sz="6" w:space="0" w:color="000000"/>
            </w:tcBorders>
          </w:tcPr>
          <w:p w:rsidR="00AB4FAA" w:rsidRDefault="00E36FA6">
            <w:pPr>
              <w:spacing w:before="100" w:line="240" w:lineRule="auto"/>
              <w:jc w:val="both"/>
              <w:rPr>
                <w:rFonts w:ascii="Times New Roman" w:eastAsia="Times New Roman" w:hAnsi="Times New Roman" w:cs="Times New Roman"/>
                <w:sz w:val="24"/>
                <w:szCs w:val="24"/>
              </w:rPr>
            </w:pPr>
            <w:r>
              <w:t>3.1</w:t>
            </w:r>
          </w:p>
        </w:tc>
        <w:tc>
          <w:tcPr>
            <w:tcW w:w="9135" w:type="dxa"/>
            <w:gridSpan w:val="2"/>
            <w:tcBorders>
              <w:top w:val="single" w:sz="6" w:space="0" w:color="000000"/>
            </w:tcBorders>
          </w:tcPr>
          <w:p w:rsidR="00AB4FAA" w:rsidRDefault="00E36FA6">
            <w:pPr>
              <w:spacing w:before="100" w:line="240" w:lineRule="auto"/>
              <w:jc w:val="both"/>
              <w:rPr>
                <w:rFonts w:ascii="Times New Roman" w:eastAsia="Times New Roman" w:hAnsi="Times New Roman" w:cs="Times New Roman"/>
                <w:sz w:val="24"/>
                <w:szCs w:val="24"/>
              </w:rPr>
            </w:pPr>
            <w:r>
              <w:rPr>
                <w:b/>
              </w:rPr>
              <w:t>Regulation 57 (8)</w:t>
            </w:r>
          </w:p>
          <w:p w:rsidR="00AB4FAA" w:rsidRDefault="00E36FA6">
            <w:pPr>
              <w:spacing w:before="100" w:line="240" w:lineRule="auto"/>
              <w:jc w:val="both"/>
              <w:rPr>
                <w:rFonts w:ascii="Times New Roman" w:eastAsia="Times New Roman" w:hAnsi="Times New Roman" w:cs="Times New Roman"/>
                <w:sz w:val="24"/>
                <w:szCs w:val="24"/>
              </w:rPr>
            </w:pPr>
            <w:r>
              <w:t xml:space="preserve">The detailed grounds for discretionary exclusion of an organisation are set out on this </w:t>
            </w:r>
            <w:hyperlink r:id="rId22">
              <w:r>
                <w:rPr>
                  <w:color w:val="0000FF"/>
                  <w:u w:val="single"/>
                </w:rPr>
                <w:t>web page</w:t>
              </w:r>
            </w:hyperlink>
            <w:r>
              <w:t xml:space="preserve">, which should be referred to before completing these questions. </w:t>
            </w:r>
          </w:p>
          <w:p w:rsidR="00AB4FAA" w:rsidRDefault="00E36FA6">
            <w:pPr>
              <w:spacing w:before="100" w:line="240" w:lineRule="auto"/>
              <w:jc w:val="both"/>
              <w:rPr>
                <w:rFonts w:ascii="Times New Roman" w:eastAsia="Times New Roman" w:hAnsi="Times New Roman" w:cs="Times New Roman"/>
                <w:sz w:val="24"/>
                <w:szCs w:val="24"/>
              </w:rPr>
            </w:pPr>
            <w:r>
              <w:t>Please indicate if, within the past three years, anywhere in the world any of the following situations have applied to you, your organisation or any other person who has powers of representation, decision or control in the organisation.</w:t>
            </w:r>
          </w:p>
        </w:tc>
      </w:tr>
      <w:tr w:rsidR="00AB4FAA">
        <w:tc>
          <w:tcPr>
            <w:tcW w:w="1230" w:type="dxa"/>
          </w:tcPr>
          <w:p w:rsidR="00AB4FAA" w:rsidRDefault="00E36FA6">
            <w:pPr>
              <w:tabs>
                <w:tab w:val="left" w:pos="0"/>
              </w:tabs>
              <w:spacing w:line="240" w:lineRule="auto"/>
              <w:jc w:val="both"/>
              <w:rPr>
                <w:rFonts w:ascii="Times New Roman" w:eastAsia="Times New Roman" w:hAnsi="Times New Roman" w:cs="Times New Roman"/>
                <w:sz w:val="24"/>
                <w:szCs w:val="24"/>
              </w:rPr>
            </w:pPr>
            <w:r>
              <w:t>3.1(a)</w:t>
            </w:r>
          </w:p>
          <w:p w:rsidR="00AB4FAA" w:rsidRDefault="00AB4FAA">
            <w:pPr>
              <w:tabs>
                <w:tab w:val="left" w:pos="0"/>
              </w:tabs>
              <w:spacing w:line="240" w:lineRule="auto"/>
              <w:jc w:val="both"/>
              <w:rPr>
                <w:rFonts w:ascii="Times New Roman" w:eastAsia="Times New Roman" w:hAnsi="Times New Roman" w:cs="Times New Roman"/>
                <w:sz w:val="24"/>
                <w:szCs w:val="24"/>
              </w:rPr>
            </w:pPr>
          </w:p>
          <w:p w:rsidR="00AB4FAA" w:rsidRDefault="00AB4FAA">
            <w:pPr>
              <w:tabs>
                <w:tab w:val="left" w:pos="0"/>
              </w:tabs>
              <w:spacing w:line="240" w:lineRule="auto"/>
              <w:jc w:val="both"/>
              <w:rPr>
                <w:rFonts w:ascii="Times New Roman" w:eastAsia="Times New Roman" w:hAnsi="Times New Roman" w:cs="Times New Roman"/>
                <w:sz w:val="24"/>
                <w:szCs w:val="24"/>
              </w:rPr>
            </w:pPr>
          </w:p>
        </w:tc>
        <w:tc>
          <w:tcPr>
            <w:tcW w:w="5520" w:type="dxa"/>
          </w:tcPr>
          <w:p w:rsidR="00AB4FAA" w:rsidRDefault="00E36FA6">
            <w:pPr>
              <w:spacing w:line="240" w:lineRule="auto"/>
              <w:jc w:val="both"/>
              <w:rPr>
                <w:rFonts w:ascii="Times New Roman" w:eastAsia="Times New Roman" w:hAnsi="Times New Roman" w:cs="Times New Roman"/>
                <w:sz w:val="24"/>
                <w:szCs w:val="24"/>
              </w:rPr>
            </w:pPr>
            <w:r>
              <w:t xml:space="preserve">Breach of environmental obligations? </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26" w:name="_heading=h.3as4poj" w:colFirst="0" w:colLast="0"/>
            <w:bookmarkEnd w:id="26"/>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27" w:name="_heading=h.1pxezwc" w:colFirst="0" w:colLast="0"/>
            <w:bookmarkEnd w:id="27"/>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tabs>
                <w:tab w:val="left" w:pos="0"/>
              </w:tabs>
              <w:spacing w:line="240" w:lineRule="auto"/>
              <w:jc w:val="both"/>
              <w:rPr>
                <w:rFonts w:ascii="Times New Roman" w:eastAsia="Times New Roman" w:hAnsi="Times New Roman" w:cs="Times New Roman"/>
                <w:sz w:val="24"/>
                <w:szCs w:val="24"/>
              </w:rPr>
            </w:pPr>
            <w:r>
              <w:t>3.1 (b)</w:t>
            </w:r>
          </w:p>
        </w:tc>
        <w:tc>
          <w:tcPr>
            <w:tcW w:w="5520" w:type="dxa"/>
          </w:tcPr>
          <w:p w:rsidR="00AB4FAA" w:rsidRDefault="00E36FA6">
            <w:pPr>
              <w:spacing w:line="240" w:lineRule="auto"/>
              <w:jc w:val="both"/>
              <w:rPr>
                <w:rFonts w:ascii="Times New Roman" w:eastAsia="Times New Roman" w:hAnsi="Times New Roman" w:cs="Times New Roman"/>
                <w:sz w:val="24"/>
                <w:szCs w:val="24"/>
              </w:rPr>
            </w:pPr>
            <w:r>
              <w:t xml:space="preserve">Breach of social obligations?  </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28" w:name="_heading=h.49x2ik5" w:colFirst="0" w:colLast="0"/>
            <w:bookmarkEnd w:id="28"/>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29" w:name="_heading=h.2p2csry" w:colFirst="0" w:colLast="0"/>
            <w:bookmarkEnd w:id="29"/>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tabs>
                <w:tab w:val="left" w:pos="0"/>
              </w:tabs>
              <w:spacing w:line="240" w:lineRule="auto"/>
              <w:jc w:val="both"/>
              <w:rPr>
                <w:rFonts w:ascii="Times New Roman" w:eastAsia="Times New Roman" w:hAnsi="Times New Roman" w:cs="Times New Roman"/>
                <w:sz w:val="24"/>
                <w:szCs w:val="24"/>
              </w:rPr>
            </w:pPr>
            <w:r>
              <w:t>3.1 (c)</w:t>
            </w:r>
          </w:p>
        </w:tc>
        <w:tc>
          <w:tcPr>
            <w:tcW w:w="5520" w:type="dxa"/>
          </w:tcPr>
          <w:p w:rsidR="00AB4FAA" w:rsidRDefault="00E36FA6">
            <w:pPr>
              <w:spacing w:line="240" w:lineRule="auto"/>
              <w:jc w:val="both"/>
              <w:rPr>
                <w:rFonts w:ascii="Times New Roman" w:eastAsia="Times New Roman" w:hAnsi="Times New Roman" w:cs="Times New Roman"/>
                <w:sz w:val="24"/>
                <w:szCs w:val="24"/>
              </w:rPr>
            </w:pPr>
            <w:r>
              <w:t xml:space="preserve">Breach of labour law obligations? </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0" w:name="_heading=h.147n2zr" w:colFirst="0" w:colLast="0"/>
            <w:bookmarkEnd w:id="30"/>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1" w:name="_heading=h.3o7alnk" w:colFirst="0" w:colLast="0"/>
            <w:bookmarkEnd w:id="31"/>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tabs>
                <w:tab w:val="left" w:pos="743"/>
              </w:tabs>
              <w:spacing w:before="100" w:line="240" w:lineRule="auto"/>
              <w:jc w:val="both"/>
              <w:rPr>
                <w:rFonts w:ascii="Times New Roman" w:eastAsia="Times New Roman" w:hAnsi="Times New Roman" w:cs="Times New Roman"/>
                <w:sz w:val="24"/>
                <w:szCs w:val="24"/>
              </w:rPr>
            </w:pPr>
            <w:r>
              <w:t>3.1(d)</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 xml:space="preserve">Bankrupt or is the subject of insolvency or winding-up proceedings, where the organisation’s assets are being administered by a liquidator or by the court, where it is </w:t>
            </w:r>
            <w:r>
              <w:lastRenderedPageBreak/>
              <w:t>in an arrangement with creditors, where its business activities are suspended or it is in any analogous situation arising from a similar procedure under the laws and regulations of any State?</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2" w:name="_heading=h.23ckvvd" w:colFirst="0" w:colLast="0"/>
            <w:bookmarkEnd w:id="32"/>
            <w:r>
              <w:lastRenderedPageBreak/>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3" w:name="_heading=h.ihv636" w:colFirst="0" w:colLast="0"/>
            <w:bookmarkEnd w:id="33"/>
            <w:r>
              <w:t xml:space="preserve">No   </w:t>
            </w:r>
            <w:r>
              <w:rPr>
                <w:rFonts w:ascii="Menlo Regular" w:eastAsia="Menlo Regular" w:hAnsi="Menlo Regular" w:cs="Menlo Regular"/>
              </w:rPr>
              <w:t>☐</w:t>
            </w:r>
          </w:p>
          <w:p w:rsidR="00AB4FAA" w:rsidRDefault="00E36FA6">
            <w:pPr>
              <w:spacing w:before="100" w:line="240" w:lineRule="auto"/>
              <w:jc w:val="both"/>
              <w:rPr>
                <w:rFonts w:ascii="Times New Roman" w:eastAsia="Times New Roman" w:hAnsi="Times New Roman" w:cs="Times New Roman"/>
                <w:sz w:val="24"/>
                <w:szCs w:val="24"/>
              </w:rPr>
            </w:pPr>
            <w:r>
              <w:lastRenderedPageBreak/>
              <w:t>If yes please provide details at 3.2</w:t>
            </w:r>
          </w:p>
          <w:p w:rsidR="00AB4FAA" w:rsidRDefault="00AB4FAA">
            <w:pPr>
              <w:spacing w:before="100" w:line="240" w:lineRule="auto"/>
              <w:jc w:val="both"/>
              <w:rPr>
                <w:rFonts w:ascii="Times New Roman" w:eastAsia="Times New Roman" w:hAnsi="Times New Roman" w:cs="Times New Roman"/>
                <w:sz w:val="24"/>
                <w:szCs w:val="24"/>
              </w:rPr>
            </w:pPr>
          </w:p>
          <w:p w:rsidR="00AB4FAA" w:rsidRDefault="00AB4FAA">
            <w:pPr>
              <w:spacing w:before="100" w:line="240" w:lineRule="auto"/>
              <w:jc w:val="both"/>
              <w:rPr>
                <w:rFonts w:ascii="Times New Roman" w:eastAsia="Times New Roman" w:hAnsi="Times New Roman" w:cs="Times New Roman"/>
                <w:sz w:val="24"/>
                <w:szCs w:val="24"/>
              </w:rPr>
            </w:pPr>
          </w:p>
        </w:tc>
      </w:tr>
      <w:tr w:rsidR="00AB4FAA">
        <w:trPr>
          <w:trHeight w:val="240"/>
        </w:trPr>
        <w:tc>
          <w:tcPr>
            <w:tcW w:w="1230" w:type="dxa"/>
          </w:tcPr>
          <w:p w:rsidR="00AB4FAA" w:rsidRDefault="00E36FA6">
            <w:pPr>
              <w:tabs>
                <w:tab w:val="left" w:pos="34"/>
              </w:tabs>
              <w:spacing w:before="100" w:line="240" w:lineRule="auto"/>
              <w:jc w:val="both"/>
              <w:rPr>
                <w:rFonts w:ascii="Times New Roman" w:eastAsia="Times New Roman" w:hAnsi="Times New Roman" w:cs="Times New Roman"/>
                <w:sz w:val="24"/>
                <w:szCs w:val="24"/>
              </w:rPr>
            </w:pPr>
            <w:r>
              <w:lastRenderedPageBreak/>
              <w:t>3.1(e)</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Guilty of grave professional misconduct?</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4" w:name="_heading=h.32hioqz" w:colFirst="0" w:colLast="0"/>
            <w:bookmarkEnd w:id="34"/>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5" w:name="_heading=h.1hmsyys" w:colFirst="0" w:colLast="0"/>
            <w:bookmarkEnd w:id="35"/>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spacing w:before="100" w:line="240" w:lineRule="auto"/>
              <w:jc w:val="both"/>
              <w:rPr>
                <w:rFonts w:ascii="Times New Roman" w:eastAsia="Times New Roman" w:hAnsi="Times New Roman" w:cs="Times New Roman"/>
                <w:sz w:val="24"/>
                <w:szCs w:val="24"/>
              </w:rPr>
            </w:pPr>
            <w:r>
              <w:t>3.1(f)</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Entered into agreements with other economic operators aimed at distorting competition?</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6" w:name="_heading=h.41mghml" w:colFirst="0" w:colLast="0"/>
            <w:bookmarkEnd w:id="36"/>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7" w:name="_heading=h.2grqrue" w:colFirst="0" w:colLast="0"/>
            <w:bookmarkEnd w:id="37"/>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spacing w:before="100" w:line="240" w:lineRule="auto"/>
              <w:jc w:val="both"/>
              <w:rPr>
                <w:rFonts w:ascii="Times New Roman" w:eastAsia="Times New Roman" w:hAnsi="Times New Roman" w:cs="Times New Roman"/>
                <w:sz w:val="24"/>
                <w:szCs w:val="24"/>
              </w:rPr>
            </w:pPr>
            <w:r>
              <w:t>3.1(g)</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Aware of any conflict of interest within the meaning of regulation 24 due to the participation in the procurement procedure?</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8" w:name="_heading=h.vx1227" w:colFirst="0" w:colLast="0"/>
            <w:bookmarkEnd w:id="38"/>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9" w:name="_heading=h.3fwokq0" w:colFirst="0" w:colLast="0"/>
            <w:bookmarkEnd w:id="39"/>
            <w:r>
              <w:t xml:space="preserve">No   </w:t>
            </w:r>
            <w:r>
              <w:rPr>
                <w:rFonts w:ascii="Menlo Regular" w:eastAsia="Menlo Regular" w:hAnsi="Menlo Regular" w:cs="Menlo Regular"/>
              </w:rPr>
              <w:t>☐</w:t>
            </w:r>
          </w:p>
          <w:p w:rsidR="00AB4FAA" w:rsidRDefault="00E36FA6">
            <w:pPr>
              <w:spacing w:before="100"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spacing w:before="100" w:line="240" w:lineRule="auto"/>
              <w:jc w:val="both"/>
              <w:rPr>
                <w:rFonts w:ascii="Times New Roman" w:eastAsia="Times New Roman" w:hAnsi="Times New Roman" w:cs="Times New Roman"/>
                <w:sz w:val="24"/>
                <w:szCs w:val="24"/>
              </w:rPr>
            </w:pPr>
            <w:r>
              <w:t>3.1(h)</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Been involved in the preparation of the procurement procedure?</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40" w:name="_heading=h.1v1yuxt" w:colFirst="0" w:colLast="0"/>
            <w:bookmarkEnd w:id="40"/>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41" w:name="_heading=h.4f1mdlm" w:colFirst="0" w:colLast="0"/>
            <w:bookmarkEnd w:id="41"/>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spacing w:before="100" w:line="240" w:lineRule="auto"/>
              <w:jc w:val="both"/>
              <w:rPr>
                <w:rFonts w:ascii="Times New Roman" w:eastAsia="Times New Roman" w:hAnsi="Times New Roman" w:cs="Times New Roman"/>
                <w:sz w:val="24"/>
                <w:szCs w:val="24"/>
              </w:rPr>
            </w:pPr>
            <w:r>
              <w:t>3.1(</w:t>
            </w:r>
            <w:proofErr w:type="spellStart"/>
            <w:r>
              <w:t>i</w:t>
            </w:r>
            <w:proofErr w:type="spellEnd"/>
            <w:r>
              <w:t>)</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42" w:name="_heading=h.2u6wntf" w:colFirst="0" w:colLast="0"/>
            <w:bookmarkEnd w:id="42"/>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43" w:name="_heading=h.19c6y18" w:colFirst="0" w:colLast="0"/>
            <w:bookmarkEnd w:id="43"/>
            <w:r>
              <w:t xml:space="preserve">No   </w:t>
            </w:r>
            <w:r>
              <w:rPr>
                <w:rFonts w:ascii="Menlo Regular" w:eastAsia="Menlo Regular" w:hAnsi="Menlo Regular" w:cs="Menlo Regular"/>
              </w:rPr>
              <w:t>☐</w:t>
            </w:r>
          </w:p>
          <w:p w:rsidR="00AB4FAA" w:rsidRDefault="00E36FA6">
            <w:pPr>
              <w:spacing w:before="100" w:line="240" w:lineRule="auto"/>
              <w:jc w:val="both"/>
              <w:rPr>
                <w:rFonts w:ascii="Times New Roman" w:eastAsia="Times New Roman" w:hAnsi="Times New Roman" w:cs="Times New Roman"/>
                <w:sz w:val="24"/>
                <w:szCs w:val="24"/>
              </w:rPr>
            </w:pPr>
            <w:r>
              <w:t>If yes please provide details at 3.2</w:t>
            </w:r>
          </w:p>
        </w:tc>
      </w:tr>
      <w:tr w:rsidR="00AB4FAA">
        <w:trPr>
          <w:trHeight w:val="580"/>
        </w:trPr>
        <w:tc>
          <w:tcPr>
            <w:tcW w:w="1230" w:type="dxa"/>
          </w:tcPr>
          <w:p w:rsidR="00AB4FAA" w:rsidRDefault="00E36FA6">
            <w:pPr>
              <w:spacing w:line="240" w:lineRule="auto"/>
              <w:jc w:val="both"/>
              <w:rPr>
                <w:rFonts w:ascii="Times New Roman" w:eastAsia="Times New Roman" w:hAnsi="Times New Roman" w:cs="Times New Roman"/>
                <w:sz w:val="24"/>
                <w:szCs w:val="24"/>
              </w:rPr>
            </w:pPr>
            <w:r>
              <w:t>3.1(j)</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3.1(j) - (</w:t>
            </w:r>
            <w:proofErr w:type="spellStart"/>
            <w:r>
              <w:t>i</w:t>
            </w:r>
            <w:proofErr w:type="spellEnd"/>
            <w:r>
              <w:t>)</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3.1(j) - (ii)</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3.1(j) –(iii)</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3.1(j)-(iv)</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tc>
        <w:tc>
          <w:tcPr>
            <w:tcW w:w="5520" w:type="dxa"/>
          </w:tcPr>
          <w:p w:rsidR="00AB4FAA" w:rsidRDefault="00E36FA6">
            <w:pPr>
              <w:spacing w:line="240" w:lineRule="auto"/>
              <w:jc w:val="both"/>
              <w:rPr>
                <w:rFonts w:ascii="Times New Roman" w:eastAsia="Times New Roman" w:hAnsi="Times New Roman" w:cs="Times New Roman"/>
                <w:sz w:val="24"/>
                <w:szCs w:val="24"/>
              </w:rPr>
            </w:pPr>
            <w:r>
              <w:t>Please answer the following statements</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The organisation is guilty of serious misrepresentation in supplying the information required for the verification of the absence of grounds for exclusion or the fulfilment of the selection criteria.</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The organisation has withheld such information.</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 xml:space="preserve"> The organisation is not able to submit supporting documents required under regulation 59 of the Public Contracts Regulations 2015.</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w:t>
            </w:r>
          </w:p>
        </w:tc>
        <w:tc>
          <w:tcPr>
            <w:tcW w:w="3615" w:type="dxa"/>
          </w:tcPr>
          <w:p w:rsidR="00AB4FAA" w:rsidRDefault="00AB4FAA">
            <w:pPr>
              <w:spacing w:before="100"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bookmarkStart w:id="44" w:name="_heading=h.3tbugp1" w:colFirst="0" w:colLast="0"/>
            <w:bookmarkEnd w:id="44"/>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45" w:name="_heading=h.28h4qwu" w:colFirst="0" w:colLast="0"/>
            <w:bookmarkEnd w:id="45"/>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bookmarkStart w:id="46" w:name="_heading=h.nmf14n" w:colFirst="0" w:colLast="0"/>
            <w:bookmarkEnd w:id="46"/>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47" w:name="_heading=h.37m2jsg" w:colFirst="0" w:colLast="0"/>
            <w:bookmarkEnd w:id="47"/>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tc>
      </w:tr>
    </w:tbl>
    <w:p w:rsidR="00AB4FAA" w:rsidRDefault="00AB4FAA">
      <w:pPr>
        <w:spacing w:line="240" w:lineRule="auto"/>
        <w:jc w:val="both"/>
        <w:rPr>
          <w:rFonts w:ascii="Calibri" w:eastAsia="Calibri" w:hAnsi="Calibri" w:cs="Calibri"/>
        </w:rPr>
      </w:pPr>
    </w:p>
    <w:tbl>
      <w:tblPr>
        <w:tblStyle w:val="aff9"/>
        <w:tblW w:w="1036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0"/>
        <w:gridCol w:w="5535"/>
        <w:gridCol w:w="3570"/>
      </w:tblGrid>
      <w:tr w:rsidR="00AB4FAA">
        <w:tc>
          <w:tcPr>
            <w:tcW w:w="1260" w:type="dxa"/>
          </w:tcPr>
          <w:p w:rsidR="00AB4FAA" w:rsidRDefault="00E36FA6">
            <w:pPr>
              <w:spacing w:before="100" w:line="240" w:lineRule="auto"/>
              <w:jc w:val="both"/>
              <w:rPr>
                <w:rFonts w:ascii="Times New Roman" w:eastAsia="Times New Roman" w:hAnsi="Times New Roman" w:cs="Times New Roman"/>
                <w:sz w:val="24"/>
                <w:szCs w:val="24"/>
              </w:rPr>
            </w:pPr>
            <w:r>
              <w:t>3.2</w:t>
            </w:r>
          </w:p>
        </w:tc>
        <w:tc>
          <w:tcPr>
            <w:tcW w:w="5535" w:type="dxa"/>
          </w:tcPr>
          <w:p w:rsidR="00AB4FAA" w:rsidRDefault="00E36FA6">
            <w:pPr>
              <w:spacing w:before="100" w:line="240" w:lineRule="auto"/>
              <w:jc w:val="both"/>
              <w:rPr>
                <w:rFonts w:ascii="Times New Roman" w:eastAsia="Times New Roman" w:hAnsi="Times New Roman" w:cs="Times New Roman"/>
                <w:sz w:val="24"/>
                <w:szCs w:val="24"/>
              </w:rPr>
            </w:pPr>
            <w:r>
              <w:t>If you have answered Yes to any of the above, explain what measures have been taken to demonstrate the reliability of the organisation despite the existence of a relevant ground for exclusion? (</w:t>
            </w:r>
            <w:proofErr w:type="spellStart"/>
            <w:r>
              <w:t>Self Cleaning</w:t>
            </w:r>
            <w:proofErr w:type="spellEnd"/>
            <w:r>
              <w:t>)</w:t>
            </w:r>
          </w:p>
        </w:tc>
        <w:tc>
          <w:tcPr>
            <w:tcW w:w="3570" w:type="dxa"/>
          </w:tcPr>
          <w:p w:rsidR="00AB4FAA" w:rsidRDefault="00AB4FAA">
            <w:pPr>
              <w:spacing w:before="100" w:line="240" w:lineRule="auto"/>
              <w:jc w:val="both"/>
              <w:rPr>
                <w:rFonts w:ascii="Times New Roman" w:eastAsia="Times New Roman" w:hAnsi="Times New Roman" w:cs="Times New Roman"/>
                <w:sz w:val="24"/>
                <w:szCs w:val="24"/>
              </w:rPr>
            </w:pPr>
          </w:p>
        </w:tc>
      </w:tr>
    </w:tbl>
    <w:p w:rsidR="00AB4FAA" w:rsidRDefault="00AB4FAA">
      <w:pPr>
        <w:spacing w:line="240" w:lineRule="auto"/>
        <w:jc w:val="both"/>
        <w:rPr>
          <w:rFonts w:ascii="Calibri" w:eastAsia="Calibri" w:hAnsi="Calibri" w:cs="Calibri"/>
        </w:rPr>
      </w:pPr>
    </w:p>
    <w:p w:rsidR="00AB4FAA" w:rsidRDefault="00E36FA6">
      <w:pPr>
        <w:spacing w:line="240" w:lineRule="auto"/>
        <w:ind w:right="-333"/>
        <w:jc w:val="both"/>
        <w:rPr>
          <w:rFonts w:ascii="Calibri" w:eastAsia="Calibri" w:hAnsi="Calibri" w:cs="Calibri"/>
        </w:rPr>
      </w:pPr>
      <w:r>
        <w:rPr>
          <w:b/>
        </w:rPr>
        <w:lastRenderedPageBreak/>
        <w:t>Taking Account of Bidders’ Past Performance</w:t>
      </w:r>
    </w:p>
    <w:p w:rsidR="00AB4FAA" w:rsidRDefault="00AB4FAA">
      <w:pPr>
        <w:spacing w:line="240" w:lineRule="auto"/>
        <w:ind w:right="-333"/>
        <w:jc w:val="both"/>
        <w:rPr>
          <w:rFonts w:ascii="Calibri" w:eastAsia="Calibri" w:hAnsi="Calibri" w:cs="Calibri"/>
        </w:rPr>
      </w:pPr>
    </w:p>
    <w:p w:rsidR="00AB4FAA" w:rsidRDefault="00E36FA6">
      <w:pPr>
        <w:spacing w:line="240" w:lineRule="auto"/>
        <w:jc w:val="both"/>
        <w:rPr>
          <w:rFonts w:ascii="Calibri" w:eastAsia="Calibri" w:hAnsi="Calibri" w:cs="Calibri"/>
        </w:rPr>
      </w:pPr>
      <w:r>
        <w:t xml:space="preserve">SMC may assess the past performance of a Supplier (through a Certificate of Performance provided by a Customer or other means of evidence). SMC may also assess whether specified minimum standards for reliability for such contracts are met. </w:t>
      </w:r>
    </w:p>
    <w:p w:rsidR="00AB4FAA" w:rsidRDefault="00AB4FAA">
      <w:pPr>
        <w:spacing w:line="240" w:lineRule="auto"/>
        <w:jc w:val="both"/>
        <w:rPr>
          <w:rFonts w:ascii="Calibri" w:eastAsia="Calibri" w:hAnsi="Calibri" w:cs="Calibri"/>
        </w:rPr>
      </w:pPr>
    </w:p>
    <w:p w:rsidR="00AB4FAA" w:rsidRDefault="00E36FA6">
      <w:pPr>
        <w:spacing w:line="240" w:lineRule="auto"/>
        <w:jc w:val="both"/>
      </w:pPr>
      <w:r>
        <w:t>In addition, SMC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AB4FAA" w:rsidRDefault="00AB4FAA">
      <w:pPr>
        <w:spacing w:line="240" w:lineRule="auto"/>
        <w:jc w:val="both"/>
      </w:pPr>
    </w:p>
    <w:p w:rsidR="00AB4FAA" w:rsidRDefault="00E36FA6">
      <w:pPr>
        <w:spacing w:line="240" w:lineRule="auto"/>
        <w:jc w:val="both"/>
        <w:rPr>
          <w:rFonts w:ascii="Calibri" w:eastAsia="Calibri" w:hAnsi="Calibri" w:cs="Calibri"/>
          <w:b/>
        </w:rPr>
      </w:pPr>
      <w:r>
        <w:rPr>
          <w:b/>
        </w:rPr>
        <w:t>Non-payment of taxes/social security contributions</w:t>
      </w:r>
    </w:p>
    <w:p w:rsidR="00AB4FAA" w:rsidRDefault="00AB4FAA">
      <w:pPr>
        <w:spacing w:line="240" w:lineRule="auto"/>
        <w:jc w:val="both"/>
        <w:rPr>
          <w:rFonts w:ascii="Calibri" w:eastAsia="Calibri" w:hAnsi="Calibri" w:cs="Calibri"/>
        </w:rPr>
      </w:pPr>
    </w:p>
    <w:p w:rsidR="00AB4FAA" w:rsidRDefault="00E36FA6">
      <w:pPr>
        <w:spacing w:line="240" w:lineRule="auto"/>
        <w:jc w:val="both"/>
        <w:rPr>
          <w:rFonts w:ascii="Calibri" w:eastAsia="Calibri" w:hAnsi="Calibri" w:cs="Calibri"/>
        </w:rPr>
      </w:pPr>
      <w:r>
        <w:t>SMC reserves the right to use its discretion to exclude a supplier where it can demonstrate the supplier’s non-payment of taxes/social security contributions where no binding legal decision has been taken.</w:t>
      </w:r>
    </w:p>
    <w:p w:rsidR="00AB4FAA" w:rsidRDefault="00AB4FAA">
      <w:pPr>
        <w:spacing w:line="240" w:lineRule="auto"/>
        <w:jc w:val="both"/>
        <w:rPr>
          <w:rFonts w:ascii="Calibri" w:eastAsia="Calibri" w:hAnsi="Calibri" w:cs="Calibri"/>
        </w:rPr>
      </w:pPr>
    </w:p>
    <w:p w:rsidR="00AB4FAA" w:rsidRDefault="00E36FA6">
      <w:pPr>
        <w:spacing w:line="240" w:lineRule="auto"/>
        <w:jc w:val="both"/>
        <w:rPr>
          <w:rFonts w:ascii="Calibri" w:eastAsia="Calibri" w:hAnsi="Calibri" w:cs="Calibri"/>
        </w:rPr>
      </w:pPr>
      <w:r>
        <w:t>Please note that this section relating to tax compliance only applies where SMC has indicated that the contract is over £5million in value.</w:t>
      </w:r>
    </w:p>
    <w:p w:rsidR="00AB4FAA" w:rsidRDefault="00AB4FAA">
      <w:pPr>
        <w:spacing w:line="240" w:lineRule="auto"/>
        <w:jc w:val="both"/>
        <w:rPr>
          <w:rFonts w:ascii="Calibri" w:eastAsia="Calibri" w:hAnsi="Calibri" w:cs="Calibri"/>
        </w:rPr>
      </w:pPr>
    </w:p>
    <w:p w:rsidR="00AB4FAA" w:rsidRDefault="00E36FA6">
      <w:pPr>
        <w:spacing w:line="240" w:lineRule="auto"/>
        <w:jc w:val="both"/>
        <w:rPr>
          <w:rFonts w:ascii="Calibri" w:eastAsia="Calibri" w:hAnsi="Calibri" w:cs="Calibri"/>
        </w:rPr>
      </w:pPr>
      <w:r>
        <w:t xml:space="preserve">“Occasion of Tax Non-Compliance” means: </w:t>
      </w:r>
    </w:p>
    <w:p w:rsidR="00AB4FAA" w:rsidRDefault="00AB4FAA">
      <w:pPr>
        <w:spacing w:line="240" w:lineRule="auto"/>
        <w:jc w:val="both"/>
        <w:rPr>
          <w:rFonts w:ascii="Calibri" w:eastAsia="Calibri" w:hAnsi="Calibri" w:cs="Calibri"/>
        </w:rPr>
      </w:pPr>
    </w:p>
    <w:p w:rsidR="00AB4FAA" w:rsidRDefault="00E36FA6">
      <w:pPr>
        <w:numPr>
          <w:ilvl w:val="0"/>
          <w:numId w:val="8"/>
        </w:numPr>
        <w:spacing w:after="200" w:line="240" w:lineRule="auto"/>
        <w:ind w:left="360" w:hanging="358"/>
        <w:jc w:val="both"/>
      </w:pPr>
      <w:r>
        <w:t xml:space="preserve">any tax return of the Supplier submitted to a Relevant Tax Authority on or after 1 October 2012 is found to be incorrect as a result of: </w:t>
      </w:r>
    </w:p>
    <w:p w:rsidR="00AB4FAA" w:rsidRDefault="00AB4FAA">
      <w:pPr>
        <w:spacing w:line="240" w:lineRule="auto"/>
        <w:jc w:val="both"/>
        <w:rPr>
          <w:rFonts w:ascii="Calibri" w:eastAsia="Calibri" w:hAnsi="Calibri" w:cs="Calibri"/>
        </w:rPr>
      </w:pPr>
    </w:p>
    <w:p w:rsidR="00AB4FAA" w:rsidRDefault="00E36FA6">
      <w:pPr>
        <w:numPr>
          <w:ilvl w:val="3"/>
          <w:numId w:val="21"/>
        </w:numPr>
        <w:spacing w:after="200" w:line="240" w:lineRule="auto"/>
        <w:ind w:left="924" w:hanging="357"/>
        <w:jc w:val="both"/>
      </w:pPr>
      <w: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AB4FAA" w:rsidRDefault="00E36FA6">
      <w:pPr>
        <w:numPr>
          <w:ilvl w:val="3"/>
          <w:numId w:val="21"/>
        </w:numPr>
        <w:spacing w:after="200" w:line="240" w:lineRule="auto"/>
        <w:ind w:left="924" w:hanging="357"/>
        <w:jc w:val="both"/>
      </w:pPr>
      <w:r>
        <w:t xml:space="preserve">the failure of an avoidance scheme which the Supplier was involved in, and which was, or should have been, notified to a Relevant Tax Authority under the DOTAS or any equivalent or similar regime; and/or </w:t>
      </w:r>
    </w:p>
    <w:p w:rsidR="00AB4FAA" w:rsidRDefault="00AB4FAA">
      <w:pPr>
        <w:spacing w:line="240" w:lineRule="auto"/>
        <w:ind w:left="414"/>
        <w:jc w:val="both"/>
        <w:rPr>
          <w:rFonts w:ascii="Calibri" w:eastAsia="Calibri" w:hAnsi="Calibri" w:cs="Calibri"/>
        </w:rPr>
      </w:pPr>
    </w:p>
    <w:p w:rsidR="00AB4FAA" w:rsidRDefault="00E36FA6">
      <w:pPr>
        <w:numPr>
          <w:ilvl w:val="0"/>
          <w:numId w:val="8"/>
        </w:numPr>
        <w:spacing w:after="200" w:line="240" w:lineRule="auto"/>
        <w:ind w:left="357" w:hanging="357"/>
        <w:jc w:val="both"/>
      </w:pPr>
      <w:r>
        <w:t>the Supplier’s tax affairs give rise on or after 1 April 2013 to a criminal conviction in any jurisdiction for tax related offences which is not spent at the Effective Date or to a penalty for civil fraud or evasion.</w:t>
      </w:r>
    </w:p>
    <w:p w:rsidR="00AB4FAA" w:rsidRDefault="00AB4FAA">
      <w:pPr>
        <w:spacing w:after="200" w:line="240" w:lineRule="auto"/>
        <w:jc w:val="both"/>
      </w:pPr>
    </w:p>
    <w:p w:rsidR="00AB4FAA" w:rsidRDefault="00AB4FAA">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tbl>
      <w:tblPr>
        <w:tblStyle w:val="affa"/>
        <w:tblW w:w="10035" w:type="dxa"/>
        <w:tblInd w:w="-438" w:type="dxa"/>
        <w:tblLayout w:type="fixed"/>
        <w:tblLook w:val="0000" w:firstRow="0" w:lastRow="0" w:firstColumn="0" w:lastColumn="0" w:noHBand="0" w:noVBand="0"/>
      </w:tblPr>
      <w:tblGrid>
        <w:gridCol w:w="1170"/>
        <w:gridCol w:w="7305"/>
        <w:gridCol w:w="1560"/>
      </w:tblGrid>
      <w:tr w:rsidR="00AB4FAA">
        <w:trPr>
          <w:trHeight w:val="820"/>
        </w:trPr>
        <w:tc>
          <w:tcPr>
            <w:tcW w:w="100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line="240" w:lineRule="auto"/>
              <w:jc w:val="both"/>
              <w:rPr>
                <w:rFonts w:ascii="Calibri" w:eastAsia="Calibri" w:hAnsi="Calibri" w:cs="Calibri"/>
              </w:rPr>
            </w:pPr>
            <w:r>
              <w:lastRenderedPageBreak/>
              <w:t>From 1 April 2013 onwards, have any of your company’s tax returns submitted on or after 1 October 2012; (Please indicate your answer by marking ‘X’ in the relevant box).</w:t>
            </w:r>
          </w:p>
        </w:tc>
      </w:tr>
      <w:tr w:rsidR="00AB4FAA">
        <w:trPr>
          <w:trHeight w:val="112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before="120" w:after="120" w:line="240" w:lineRule="auto"/>
              <w:rPr>
                <w:rFonts w:ascii="Calibri" w:eastAsia="Calibri" w:hAnsi="Calibri" w:cs="Calibri"/>
              </w:rPr>
            </w:pPr>
            <w:r>
              <w:t>3.1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line="240" w:lineRule="auto"/>
              <w:jc w:val="both"/>
              <w:rPr>
                <w:rFonts w:ascii="Calibri" w:eastAsia="Calibri" w:hAnsi="Calibri" w:cs="Calibri"/>
              </w:rPr>
            </w:pPr>
            <w:r>
              <w:t>Given rise to a criminal conviction for tax related offences which is unspent, or to a civil penalty for fraud or evasion;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tabs>
                <w:tab w:val="center" w:pos="4513"/>
                <w:tab w:val="right" w:pos="9026"/>
              </w:tabs>
              <w:spacing w:line="240" w:lineRule="auto"/>
              <w:rPr>
                <w:rFonts w:ascii="Calibri" w:eastAsia="Calibri" w:hAnsi="Calibri" w:cs="Calibri"/>
              </w:rPr>
            </w:pPr>
            <w:r>
              <w:rPr>
                <w:rFonts w:ascii="MS Gothic" w:eastAsia="MS Gothic" w:hAnsi="MS Gothic" w:cs="MS Gothic"/>
              </w:rPr>
              <w:t>▢</w:t>
            </w:r>
            <w:r>
              <w:t xml:space="preserve">   Yes</w:t>
            </w:r>
          </w:p>
          <w:p w:rsidR="00AB4FAA" w:rsidRDefault="00AB4FAA">
            <w:pPr>
              <w:tabs>
                <w:tab w:val="center" w:pos="4513"/>
                <w:tab w:val="right" w:pos="9026"/>
              </w:tabs>
              <w:spacing w:line="240" w:lineRule="auto"/>
              <w:rPr>
                <w:rFonts w:ascii="Calibri" w:eastAsia="Calibri" w:hAnsi="Calibri" w:cs="Calibri"/>
              </w:rPr>
            </w:pPr>
          </w:p>
          <w:p w:rsidR="00AB4FAA" w:rsidRDefault="00E36FA6">
            <w:pPr>
              <w:spacing w:line="240" w:lineRule="auto"/>
              <w:rPr>
                <w:rFonts w:ascii="Calibri" w:eastAsia="Calibri" w:hAnsi="Calibri" w:cs="Calibri"/>
              </w:rPr>
            </w:pPr>
            <w:r>
              <w:rPr>
                <w:rFonts w:ascii="MS Gothic" w:eastAsia="MS Gothic" w:hAnsi="MS Gothic" w:cs="MS Gothic"/>
              </w:rPr>
              <w:t>▢</w:t>
            </w:r>
            <w:r>
              <w:t xml:space="preserve">   No    </w:t>
            </w:r>
          </w:p>
        </w:tc>
      </w:tr>
      <w:tr w:rsidR="00AB4FAA">
        <w:trPr>
          <w:trHeight w:val="112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before="120" w:after="120" w:line="240" w:lineRule="auto"/>
              <w:rPr>
                <w:rFonts w:ascii="Calibri" w:eastAsia="Calibri" w:hAnsi="Calibri" w:cs="Calibri"/>
              </w:rPr>
            </w:pPr>
            <w:r>
              <w:t>3.2</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after="200" w:line="240" w:lineRule="auto"/>
              <w:jc w:val="both"/>
              <w:rPr>
                <w:rFonts w:ascii="Calibri" w:eastAsia="Calibri" w:hAnsi="Calibri" w:cs="Calibri"/>
              </w:rPr>
            </w:pPr>
            <w:r>
              <w:t>Been found to be incorrect as a result of:</w:t>
            </w:r>
          </w:p>
          <w:p w:rsidR="00AB4FAA" w:rsidRDefault="00E36FA6">
            <w:pPr>
              <w:numPr>
                <w:ilvl w:val="2"/>
                <w:numId w:val="40"/>
              </w:numPr>
              <w:spacing w:after="120" w:line="240" w:lineRule="auto"/>
              <w:ind w:left="742" w:hanging="281"/>
              <w:jc w:val="both"/>
              <w:rPr>
                <w:rFonts w:ascii="Calibri" w:eastAsia="Calibri" w:hAnsi="Calibri" w:cs="Calibri"/>
              </w:rPr>
            </w:pPr>
            <w:r>
              <w:t>HMRC successfully challenging it under the General Anti-Abuse Rule (GAAR) or the “Halifax” abuse principle; or</w:t>
            </w:r>
          </w:p>
          <w:p w:rsidR="00AB4FAA" w:rsidRDefault="00E36FA6">
            <w:pPr>
              <w:numPr>
                <w:ilvl w:val="2"/>
                <w:numId w:val="40"/>
              </w:numPr>
              <w:spacing w:after="120" w:line="240" w:lineRule="auto"/>
              <w:ind w:left="742" w:hanging="281"/>
              <w:jc w:val="both"/>
              <w:rPr>
                <w:rFonts w:ascii="Calibri" w:eastAsia="Calibri" w:hAnsi="Calibri" w:cs="Calibri"/>
              </w:rPr>
            </w:pPr>
            <w:r>
              <w:t xml:space="preserve">a tax authority in a jurisdiction in which the legal entity is established successfully challenging </w:t>
            </w:r>
            <w:proofErr w:type="gramStart"/>
            <w:r>
              <w:t>it  under</w:t>
            </w:r>
            <w:proofErr w:type="gramEnd"/>
            <w:r>
              <w:t xml:space="preserve"> any tax rules or legislation that have an effect equivalent or similar to the GAAR or the “Halifax” abuse principle; or</w:t>
            </w:r>
          </w:p>
          <w:p w:rsidR="00AB4FAA" w:rsidRDefault="00E36FA6">
            <w:pPr>
              <w:numPr>
                <w:ilvl w:val="2"/>
                <w:numId w:val="40"/>
              </w:numPr>
              <w:spacing w:after="120" w:line="240" w:lineRule="auto"/>
              <w:ind w:left="742" w:hanging="281"/>
              <w:jc w:val="both"/>
              <w:rPr>
                <w:rFonts w:ascii="Calibri" w:eastAsia="Calibri" w:hAnsi="Calibri" w:cs="Calibri"/>
              </w:rPr>
            </w:pPr>
            <w: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tabs>
                <w:tab w:val="center" w:pos="4513"/>
                <w:tab w:val="right" w:pos="9026"/>
              </w:tabs>
              <w:spacing w:line="240" w:lineRule="auto"/>
              <w:rPr>
                <w:rFonts w:ascii="Calibri" w:eastAsia="Calibri" w:hAnsi="Calibri" w:cs="Calibri"/>
              </w:rPr>
            </w:pPr>
            <w:r>
              <w:rPr>
                <w:rFonts w:ascii="MS Gothic" w:eastAsia="MS Gothic" w:hAnsi="MS Gothic" w:cs="MS Gothic"/>
              </w:rPr>
              <w:t>▢</w:t>
            </w:r>
            <w:r>
              <w:t xml:space="preserve">   Yes</w:t>
            </w:r>
          </w:p>
          <w:p w:rsidR="00AB4FAA" w:rsidRDefault="00AB4FAA">
            <w:pPr>
              <w:tabs>
                <w:tab w:val="center" w:pos="4513"/>
                <w:tab w:val="right" w:pos="9026"/>
              </w:tabs>
              <w:spacing w:line="240" w:lineRule="auto"/>
              <w:rPr>
                <w:rFonts w:ascii="Calibri" w:eastAsia="Calibri" w:hAnsi="Calibri" w:cs="Calibri"/>
              </w:rPr>
            </w:pPr>
          </w:p>
          <w:p w:rsidR="00AB4FAA" w:rsidRDefault="00E36FA6">
            <w:pPr>
              <w:spacing w:line="240" w:lineRule="auto"/>
              <w:rPr>
                <w:rFonts w:ascii="Calibri" w:eastAsia="Calibri" w:hAnsi="Calibri" w:cs="Calibri"/>
              </w:rPr>
            </w:pPr>
            <w:r>
              <w:rPr>
                <w:rFonts w:ascii="MS Gothic" w:eastAsia="MS Gothic" w:hAnsi="MS Gothic" w:cs="MS Gothic"/>
              </w:rPr>
              <w:t>▢</w:t>
            </w:r>
            <w:r>
              <w:t xml:space="preserve">   No    </w:t>
            </w:r>
          </w:p>
        </w:tc>
      </w:tr>
      <w:tr w:rsidR="00AB4FAA">
        <w:trPr>
          <w:trHeight w:val="1120"/>
        </w:trPr>
        <w:tc>
          <w:tcPr>
            <w:tcW w:w="100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AB4FAA">
            <w:pPr>
              <w:spacing w:after="120" w:line="240" w:lineRule="auto"/>
              <w:jc w:val="both"/>
              <w:rPr>
                <w:rFonts w:ascii="Calibri" w:eastAsia="Calibri" w:hAnsi="Calibri" w:cs="Calibri"/>
              </w:rPr>
            </w:pPr>
          </w:p>
          <w:p w:rsidR="00AB4FAA" w:rsidRDefault="00E36FA6">
            <w:pPr>
              <w:spacing w:after="120" w:line="240" w:lineRule="auto"/>
              <w:jc w:val="both"/>
              <w:rPr>
                <w:rFonts w:ascii="Calibri" w:eastAsia="Calibri" w:hAnsi="Calibri" w:cs="Calibri"/>
              </w:rPr>
            </w:pPr>
            <w:r>
              <w:t xml:space="preserve">If answering “Yes” to either 3.1 or 3.2 above, the Supplier may provide details of any mitigating factors that it considers relevant and that it wishes SMC to take into consideration.  This could include, for example: </w:t>
            </w:r>
          </w:p>
          <w:p w:rsidR="00AB4FAA" w:rsidRDefault="00E36FA6">
            <w:pPr>
              <w:numPr>
                <w:ilvl w:val="1"/>
                <w:numId w:val="40"/>
              </w:numPr>
              <w:spacing w:after="120" w:line="240" w:lineRule="auto"/>
              <w:ind w:left="1134" w:hanging="423"/>
              <w:jc w:val="both"/>
              <w:rPr>
                <w:rFonts w:ascii="Calibri" w:eastAsia="Calibri" w:hAnsi="Calibri" w:cs="Calibri"/>
              </w:rPr>
            </w:pPr>
            <w:r>
              <w:t>Corrective action undertaken by the Supplier to date;</w:t>
            </w:r>
          </w:p>
          <w:p w:rsidR="00AB4FAA" w:rsidRDefault="00E36FA6">
            <w:pPr>
              <w:numPr>
                <w:ilvl w:val="1"/>
                <w:numId w:val="40"/>
              </w:numPr>
              <w:spacing w:after="120" w:line="240" w:lineRule="auto"/>
              <w:ind w:left="1134" w:hanging="423"/>
              <w:jc w:val="both"/>
              <w:rPr>
                <w:rFonts w:ascii="Calibri" w:eastAsia="Calibri" w:hAnsi="Calibri" w:cs="Calibri"/>
              </w:rPr>
            </w:pPr>
            <w:r>
              <w:t xml:space="preserve">Planned corrective action to be taken; </w:t>
            </w:r>
          </w:p>
          <w:p w:rsidR="00AB4FAA" w:rsidRDefault="00E36FA6">
            <w:pPr>
              <w:numPr>
                <w:ilvl w:val="1"/>
                <w:numId w:val="40"/>
              </w:numPr>
              <w:spacing w:after="120" w:line="240" w:lineRule="auto"/>
              <w:ind w:left="1134" w:hanging="423"/>
              <w:jc w:val="both"/>
              <w:rPr>
                <w:rFonts w:ascii="Calibri" w:eastAsia="Calibri" w:hAnsi="Calibri" w:cs="Calibri"/>
              </w:rPr>
            </w:pPr>
            <w:r>
              <w:t>Changes in personnel or ownership since the Occasion of Non-Compliance (OONC); or</w:t>
            </w:r>
          </w:p>
          <w:p w:rsidR="00AB4FAA" w:rsidRDefault="00E36FA6">
            <w:pPr>
              <w:numPr>
                <w:ilvl w:val="1"/>
                <w:numId w:val="40"/>
              </w:numPr>
              <w:spacing w:after="120" w:line="240" w:lineRule="auto"/>
              <w:ind w:left="1134" w:hanging="423"/>
              <w:jc w:val="both"/>
              <w:rPr>
                <w:rFonts w:ascii="Calibri" w:eastAsia="Calibri" w:hAnsi="Calibri" w:cs="Calibri"/>
              </w:rPr>
            </w:pPr>
            <w:r>
              <w:t>Changes in financial, accounting, audit or management procedures since the OONC.</w:t>
            </w:r>
          </w:p>
          <w:p w:rsidR="00AB4FAA" w:rsidRDefault="00AB4FAA">
            <w:pPr>
              <w:tabs>
                <w:tab w:val="left" w:pos="1134"/>
                <w:tab w:val="left" w:pos="1701"/>
              </w:tabs>
              <w:spacing w:line="240" w:lineRule="auto"/>
              <w:jc w:val="both"/>
              <w:rPr>
                <w:rFonts w:ascii="Calibri" w:eastAsia="Calibri" w:hAnsi="Calibri" w:cs="Calibri"/>
              </w:rPr>
            </w:pPr>
          </w:p>
          <w:p w:rsidR="00AB4FAA" w:rsidRDefault="00E36FA6">
            <w:pPr>
              <w:spacing w:after="200" w:line="240" w:lineRule="auto"/>
              <w:jc w:val="both"/>
              <w:rPr>
                <w:rFonts w:ascii="Calibri" w:eastAsia="Calibri" w:hAnsi="Calibri" w:cs="Calibri"/>
              </w:rPr>
            </w:pPr>
            <w:r>
              <w:t>In order that SMC can consider any factors raised by the Supplier, the following information should be provided:</w:t>
            </w:r>
          </w:p>
          <w:p w:rsidR="00AB4FAA" w:rsidRDefault="00E36FA6">
            <w:pPr>
              <w:numPr>
                <w:ilvl w:val="0"/>
                <w:numId w:val="41"/>
              </w:numPr>
              <w:spacing w:after="120" w:line="240" w:lineRule="auto"/>
              <w:jc w:val="both"/>
              <w:rPr>
                <w:rFonts w:ascii="Calibri" w:eastAsia="Calibri" w:hAnsi="Calibri" w:cs="Calibri"/>
              </w:rPr>
            </w:pPr>
            <w:r>
              <w:t xml:space="preserve">A brief description of the occasion, the tax to which it applied, and the type of “non-compliance” e.g. whether HMRC or the foreign tax authority has challenged pursuant to the GAAR, the “Halifax” abuse principle etc. </w:t>
            </w:r>
          </w:p>
          <w:p w:rsidR="00AB4FAA" w:rsidRDefault="00E36FA6">
            <w:pPr>
              <w:numPr>
                <w:ilvl w:val="0"/>
                <w:numId w:val="41"/>
              </w:numPr>
              <w:spacing w:after="120" w:line="240" w:lineRule="auto"/>
              <w:jc w:val="both"/>
              <w:rPr>
                <w:rFonts w:ascii="Calibri" w:eastAsia="Calibri" w:hAnsi="Calibri" w:cs="Calibri"/>
              </w:rPr>
            </w:pPr>
            <w:r>
              <w:t>Where the OONC relates to a DOTAS, the number of the relevant scheme.</w:t>
            </w:r>
          </w:p>
          <w:p w:rsidR="00AB4FAA" w:rsidRDefault="00E36FA6">
            <w:pPr>
              <w:numPr>
                <w:ilvl w:val="0"/>
                <w:numId w:val="41"/>
              </w:numPr>
              <w:spacing w:after="120" w:line="240" w:lineRule="auto"/>
              <w:jc w:val="both"/>
              <w:rPr>
                <w:rFonts w:ascii="Calibri" w:eastAsia="Calibri" w:hAnsi="Calibri" w:cs="Calibri"/>
              </w:rPr>
            </w:pPr>
            <w:r>
              <w:t xml:space="preserve">The date of the original “non-compliance” and the date of any judgement against the Supplier, or date when the return was amended. </w:t>
            </w:r>
          </w:p>
          <w:p w:rsidR="00AB4FAA" w:rsidRDefault="00E36FA6">
            <w:pPr>
              <w:numPr>
                <w:ilvl w:val="0"/>
                <w:numId w:val="41"/>
              </w:numPr>
              <w:spacing w:after="120" w:line="240" w:lineRule="auto"/>
              <w:jc w:val="both"/>
              <w:rPr>
                <w:rFonts w:ascii="Calibri" w:eastAsia="Calibri" w:hAnsi="Calibri" w:cs="Calibri"/>
              </w:rPr>
            </w:pPr>
            <w:r>
              <w:t>The level of any penalty or criminal conviction applied.</w:t>
            </w:r>
          </w:p>
        </w:tc>
      </w:tr>
    </w:tbl>
    <w:p w:rsidR="00AB4FAA" w:rsidRDefault="00E36FA6">
      <w:pPr>
        <w:spacing w:after="240" w:line="240" w:lineRule="auto"/>
        <w:rPr>
          <w:b/>
        </w:rPr>
      </w:pPr>
      <w:r>
        <w:br w:type="page"/>
      </w:r>
      <w:r>
        <w:rPr>
          <w:b/>
        </w:rPr>
        <w:lastRenderedPageBreak/>
        <w:t xml:space="preserve">Defining Different Types of Organisations </w:t>
      </w:r>
    </w:p>
    <w:p w:rsidR="00AB4FAA" w:rsidRDefault="00E36FA6">
      <w:pPr>
        <w:widowControl w:val="0"/>
        <w:spacing w:line="240" w:lineRule="auto"/>
      </w:pPr>
      <w:r>
        <w:t>The Cabinet Office is keen to collect information about SMEs.  We are particularly interested in discovering how many SMEs apply for our contracts through the tendering process.  Completion of the table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rsidR="00AB4FAA" w:rsidRDefault="00AB4FAA">
      <w:pPr>
        <w:widowControl w:val="0"/>
        <w:spacing w:line="240" w:lineRule="auto"/>
      </w:pPr>
    </w:p>
    <w:p w:rsidR="00AB4FAA" w:rsidRDefault="00E36FA6">
      <w:pPr>
        <w:widowControl w:val="0"/>
        <w:spacing w:line="240" w:lineRule="auto"/>
      </w:pPr>
      <w:r>
        <w:t xml:space="preserve">A voluntary sector organisation may also be a SME if it has the same attributes. </w:t>
      </w:r>
    </w:p>
    <w:p w:rsidR="00AB4FAA" w:rsidRDefault="00AB4FAA">
      <w:pPr>
        <w:widowControl w:val="0"/>
        <w:spacing w:line="240" w:lineRule="auto"/>
      </w:pPr>
    </w:p>
    <w:p w:rsidR="00AB4FAA" w:rsidRDefault="00E36FA6">
      <w:pPr>
        <w:widowControl w:val="0"/>
        <w:spacing w:line="240" w:lineRule="auto"/>
        <w:rPr>
          <w:sz w:val="20"/>
          <w:szCs w:val="20"/>
        </w:rPr>
      </w:pPr>
      <w:proofErr w:type="spellStart"/>
      <w:r>
        <w:rPr>
          <w:sz w:val="20"/>
          <w:szCs w:val="20"/>
        </w:rPr>
        <w:t>Defn</w:t>
      </w:r>
      <w:proofErr w:type="spellEnd"/>
      <w:r>
        <w:rPr>
          <w:sz w:val="20"/>
          <w:szCs w:val="20"/>
        </w:rPr>
        <w:t xml:space="preserve">; A SME must be autonomous, an EU Company not owned or controlled by a </w:t>
      </w:r>
      <w:proofErr w:type="spellStart"/>
      <w:proofErr w:type="gramStart"/>
      <w:r>
        <w:rPr>
          <w:sz w:val="20"/>
          <w:szCs w:val="20"/>
        </w:rPr>
        <w:t>non EU</w:t>
      </w:r>
      <w:proofErr w:type="spellEnd"/>
      <w:proofErr w:type="gramEnd"/>
      <w:r>
        <w:rPr>
          <w:sz w:val="20"/>
          <w:szCs w:val="20"/>
        </w:rPr>
        <w:t xml:space="preserve"> parent, and employ less than 250 staff and have sales below €50million</w:t>
      </w:r>
    </w:p>
    <w:p w:rsidR="00AB4FAA" w:rsidRDefault="00E36FA6">
      <w:pPr>
        <w:widowControl w:val="0"/>
        <w:spacing w:line="240" w:lineRule="auto"/>
        <w:rPr>
          <w:sz w:val="20"/>
          <w:szCs w:val="20"/>
        </w:rPr>
      </w:pPr>
      <w:r>
        <w:rPr>
          <w:i/>
          <w:sz w:val="20"/>
          <w:szCs w:val="20"/>
        </w:rPr>
        <w:t>Source -</w:t>
      </w:r>
      <w:r>
        <w:rPr>
          <w:sz w:val="20"/>
          <w:szCs w:val="20"/>
        </w:rPr>
        <w:t>http://ec.europa.eu/enterprise/policies/sme/files/sme_definition/sme_report_2009_en.pdf</w:t>
      </w:r>
    </w:p>
    <w:p w:rsidR="00AB4FAA" w:rsidRDefault="00AB4FAA">
      <w:pPr>
        <w:widowControl w:val="0"/>
        <w:spacing w:line="240" w:lineRule="auto"/>
      </w:pPr>
    </w:p>
    <w:p w:rsidR="00AB4FAA" w:rsidRDefault="00E36FA6">
      <w:pPr>
        <w:widowControl w:val="0"/>
        <w:spacing w:line="240" w:lineRule="auto"/>
      </w:pPr>
      <w:r>
        <w:t xml:space="preserve">Please complete the table below.  </w:t>
      </w:r>
    </w:p>
    <w:p w:rsidR="00AB4FAA" w:rsidRDefault="00AB4FAA">
      <w:pPr>
        <w:widowControl w:val="0"/>
        <w:spacing w:line="240" w:lineRule="auto"/>
      </w:pPr>
    </w:p>
    <w:tbl>
      <w:tblPr>
        <w:tblStyle w:val="affb"/>
        <w:tblW w:w="9242" w:type="dxa"/>
        <w:tblLayout w:type="fixed"/>
        <w:tblLook w:val="0400" w:firstRow="0" w:lastRow="0" w:firstColumn="0" w:lastColumn="0" w:noHBand="0" w:noVBand="1"/>
      </w:tblPr>
      <w:tblGrid>
        <w:gridCol w:w="817"/>
        <w:gridCol w:w="4854"/>
        <w:gridCol w:w="3571"/>
      </w:tblGrid>
      <w:tr w:rsidR="00AB4FAA">
        <w:tc>
          <w:tcPr>
            <w:tcW w:w="9242" w:type="dxa"/>
            <w:gridSpan w:val="3"/>
            <w:tcBorders>
              <w:top w:val="single" w:sz="8" w:space="0" w:color="000000"/>
              <w:left w:val="single" w:sz="8" w:space="0" w:color="000000"/>
              <w:bottom w:val="single" w:sz="8" w:space="0" w:color="000000"/>
              <w:right w:val="single" w:sz="8" w:space="0" w:color="000000"/>
            </w:tcBorders>
            <w:shd w:val="clear" w:color="auto" w:fill="104F75"/>
            <w:tcMar>
              <w:top w:w="0" w:type="dxa"/>
              <w:left w:w="108" w:type="dxa"/>
              <w:bottom w:w="0" w:type="dxa"/>
              <w:right w:w="108" w:type="dxa"/>
            </w:tcMar>
          </w:tcPr>
          <w:p w:rsidR="00AB4FAA" w:rsidRDefault="00E36FA6">
            <w:pPr>
              <w:widowControl w:val="0"/>
              <w:spacing w:after="240" w:line="240" w:lineRule="auto"/>
              <w:jc w:val="center"/>
              <w:rPr>
                <w:b/>
                <w:color w:val="FFFFFF"/>
              </w:rPr>
            </w:pPr>
            <w:r>
              <w:rPr>
                <w:b/>
                <w:color w:val="FFFFFF"/>
              </w:rPr>
              <w:t>Describe your Organisation</w:t>
            </w:r>
          </w:p>
        </w:tc>
      </w:tr>
      <w:tr w:rsidR="00AB4FAA">
        <w:tc>
          <w:tcPr>
            <w:tcW w:w="56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rPr>
                <w:b/>
              </w:rPr>
            </w:pPr>
            <w:r>
              <w:rPr>
                <w:b/>
              </w:rPr>
              <w:t xml:space="preserve">What type of supply arrangement best describes you in relation to this bid. </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rPr>
                <w:b/>
              </w:rPr>
            </w:pPr>
            <w:r>
              <w:rPr>
                <w:b/>
              </w:rPr>
              <w:t xml:space="preserve">Delete as appropriate  </w:t>
            </w: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1.</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We are a SME by definition </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Yes/No </w:t>
            </w:r>
          </w:p>
        </w:tc>
      </w:tr>
      <w:tr w:rsidR="00AB4FAA">
        <w:trPr>
          <w:trHeight w:val="600"/>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2.</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We are a Charity or Voluntary Sector Organisation (VSO)</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Yes /No</w:t>
            </w: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3.</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We are a mutual organisation</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Yes/No</w:t>
            </w:r>
          </w:p>
        </w:tc>
      </w:tr>
      <w:tr w:rsidR="00AB4FAA">
        <w:trPr>
          <w:trHeight w:val="655"/>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4.</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We anticipate using a supply chain to deliver against this service. </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Yes/No</w:t>
            </w: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5.</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We estimate that that our service delivery will be i.e. 40% delivered by VSO’s/SMEs  </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w:t>
            </w: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6.</w:t>
            </w:r>
          </w:p>
        </w:tc>
        <w:tc>
          <w:tcPr>
            <w:tcW w:w="8425" w:type="dxa"/>
            <w:gridSpan w:val="2"/>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If none of the above applies please describe the type of organisation you are: </w:t>
            </w:r>
          </w:p>
          <w:p w:rsidR="00AB4FAA" w:rsidRDefault="00AB4FAA">
            <w:pPr>
              <w:widowControl w:val="0"/>
              <w:spacing w:after="240" w:line="240" w:lineRule="auto"/>
            </w:pP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7.</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Please provide us with your Dun and Bradstreet Number, or a consortium, the lead bidder’s number. </w:t>
            </w:r>
          </w:p>
          <w:p w:rsidR="00AB4FAA" w:rsidRDefault="00E33A25">
            <w:pPr>
              <w:widowControl w:val="0"/>
              <w:spacing w:after="240" w:line="240" w:lineRule="auto"/>
            </w:pPr>
            <w:hyperlink r:id="rId23">
              <w:r w:rsidR="00E36FA6">
                <w:rPr>
                  <w:color w:val="0000FF"/>
                  <w:u w:val="single"/>
                </w:rPr>
                <w:t>http://www.dnb.co.uk/dandb-duns-number</w:t>
              </w:r>
            </w:hyperlink>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AB4FAA">
            <w:pPr>
              <w:widowControl w:val="0"/>
              <w:spacing w:after="240" w:line="240" w:lineRule="auto"/>
            </w:pPr>
          </w:p>
        </w:tc>
      </w:tr>
    </w:tbl>
    <w:p w:rsidR="00AB4FAA" w:rsidRDefault="00E36FA6">
      <w:pPr>
        <w:spacing w:after="240" w:line="240" w:lineRule="auto"/>
      </w:pPr>
      <w:r>
        <w:t xml:space="preserve">The Department uses Dun and Bradstreet Numbers to manage its data around suppliers; we strongly encourage all suppliers to apply for a free Dunn’s numbers.   The link to apply </w:t>
      </w:r>
      <w:proofErr w:type="gramStart"/>
      <w:r>
        <w:t>is:-</w:t>
      </w:r>
      <w:proofErr w:type="gramEnd"/>
      <w:r>
        <w:fldChar w:fldCharType="begin"/>
      </w:r>
      <w:r>
        <w:instrText xml:space="preserve"> HYPERLINK "http://www.dnb.co.uk/myduns" \h </w:instrText>
      </w:r>
      <w:r>
        <w:fldChar w:fldCharType="separate"/>
      </w:r>
      <w:r>
        <w:rPr>
          <w:color w:val="0000FF"/>
          <w:u w:val="single"/>
        </w:rPr>
        <w:t>http://www.dnb.co.uk/myduns</w:t>
      </w:r>
      <w:r>
        <w:rPr>
          <w:color w:val="0000FF"/>
          <w:u w:val="single"/>
        </w:rPr>
        <w:fldChar w:fldCharType="end"/>
      </w:r>
      <w:r>
        <w:t xml:space="preserve"> - add ‘GOVERNMENT SUPPLIER’ as a reason for requesting your D&amp;B DUNS number.</w:t>
      </w:r>
    </w:p>
    <w:p w:rsidR="00AB4FAA" w:rsidRDefault="00E36FA6">
      <w:pPr>
        <w:spacing w:after="240" w:line="240" w:lineRule="auto"/>
      </w:pPr>
      <w:r>
        <w:t xml:space="preserve">Do not delay returning your tender if you do not already have a Dun and Bradstreet number, returning your tender within the deadline is more important. </w:t>
      </w:r>
    </w:p>
    <w:p w:rsidR="00EF7B94" w:rsidRDefault="00EF7B94">
      <w:pPr>
        <w:spacing w:after="240" w:line="240" w:lineRule="auto"/>
      </w:pPr>
    </w:p>
    <w:p w:rsidR="00AB4FAA" w:rsidRDefault="00E36FA6">
      <w:pPr>
        <w:spacing w:after="240" w:line="240" w:lineRule="auto"/>
      </w:pPr>
      <w:r>
        <w:lastRenderedPageBreak/>
        <w:t>Declarations</w:t>
      </w:r>
    </w:p>
    <w:p w:rsidR="00AB4FAA" w:rsidRDefault="00E36FA6">
      <w:pPr>
        <w:spacing w:after="240" w:line="240" w:lineRule="auto"/>
        <w:ind w:left="720"/>
      </w:pPr>
      <w:r>
        <w:t>1</w:t>
      </w:r>
      <w:r>
        <w:tab/>
        <w:t>...............................................……………………………. (Name of tenderer) declares that we accept SMC’s standard terms and conditions included at Document 4 Attachment 1 as the basis of the contract; and</w:t>
      </w:r>
    </w:p>
    <w:p w:rsidR="00AB4FAA" w:rsidRDefault="00E36FA6">
      <w:pPr>
        <w:spacing w:after="240" w:line="240" w:lineRule="auto"/>
        <w:ind w:left="720"/>
      </w:pPr>
      <w:r>
        <w:t>2</w:t>
      </w:r>
      <w:r>
        <w:tab/>
        <w:t>agree that SMC may disclose the Contractor's information/documentation (submitted to SMC during this Procurement) more widely within Government for the purpose of ensuring effective cross-Government procurement processes, including value for money and related purposes.</w:t>
      </w:r>
    </w:p>
    <w:p w:rsidR="00AB4FAA" w:rsidRDefault="00E36FA6">
      <w:pPr>
        <w:spacing w:after="240" w:line="240" w:lineRule="auto"/>
        <w:ind w:left="720"/>
      </w:pPr>
      <w:r>
        <w:t>3</w:t>
      </w:r>
      <w:r>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rsidR="00AB4FAA" w:rsidRDefault="00E36FA6">
      <w:pPr>
        <w:spacing w:after="240" w:line="240" w:lineRule="auto"/>
        <w:ind w:left="720"/>
      </w:pPr>
      <w:r>
        <w:t>4</w:t>
      </w:r>
      <w:r>
        <w:tab/>
        <w:t xml:space="preserve">declare that the tender will remain valid until </w:t>
      </w:r>
      <w:r w:rsidR="00DC3FCF">
        <w:rPr>
          <w:i/>
        </w:rPr>
        <w:t>7</w:t>
      </w:r>
      <w:r>
        <w:rPr>
          <w:i/>
        </w:rPr>
        <w:t xml:space="preserve"> </w:t>
      </w:r>
      <w:r w:rsidR="00DC3FCF">
        <w:rPr>
          <w:i/>
        </w:rPr>
        <w:t>March</w:t>
      </w:r>
      <w:r>
        <w:rPr>
          <w:i/>
        </w:rPr>
        <w:t xml:space="preserve"> 2022 </w:t>
      </w:r>
      <w:r>
        <w:t>and that we are not entitled to claim from SMC any costs or expenses incurred in</w:t>
      </w:r>
      <w:bookmarkStart w:id="48" w:name="_GoBack"/>
      <w:bookmarkEnd w:id="48"/>
      <w:r>
        <w:t xml:space="preserve"> preparing the tender or subsequent negotiations whether or not the tender is successful.</w:t>
      </w:r>
    </w:p>
    <w:p w:rsidR="00AB4FAA" w:rsidRDefault="00AB4FAA">
      <w:pPr>
        <w:spacing w:after="240" w:line="240" w:lineRule="auto"/>
      </w:pPr>
    </w:p>
    <w:p w:rsidR="00AB4FAA" w:rsidRDefault="00E36FA6">
      <w:pPr>
        <w:spacing w:after="240" w:line="240" w:lineRule="auto"/>
        <w:ind w:left="720"/>
      </w:pPr>
      <w:r>
        <w:t>signed on behalf of the Tenderer ..................................................................................</w:t>
      </w: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EF7B94" w:rsidRDefault="00EF7B94">
      <w:pPr>
        <w:spacing w:after="200" w:line="240" w:lineRule="auto"/>
        <w:jc w:val="center"/>
        <w:rPr>
          <w:b/>
        </w:rPr>
      </w:pPr>
      <w:bookmarkStart w:id="49" w:name="bookmark=id.1mrcu09" w:colFirst="0" w:colLast="0"/>
      <w:bookmarkStart w:id="50" w:name="bookmark=id.46r0co2" w:colFirst="0" w:colLast="0"/>
      <w:bookmarkEnd w:id="49"/>
      <w:bookmarkEnd w:id="50"/>
    </w:p>
    <w:p w:rsidR="00AB4FAA" w:rsidRDefault="00E36FA6">
      <w:pPr>
        <w:spacing w:after="200" w:line="240" w:lineRule="auto"/>
        <w:jc w:val="center"/>
        <w:rPr>
          <w:b/>
        </w:rPr>
      </w:pPr>
      <w:r>
        <w:rPr>
          <w:b/>
        </w:rPr>
        <w:lastRenderedPageBreak/>
        <w:t>Attachment 1</w:t>
      </w:r>
    </w:p>
    <w:p w:rsidR="00AB4FAA" w:rsidRDefault="00E36FA6">
      <w:pPr>
        <w:spacing w:after="200" w:line="240" w:lineRule="auto"/>
        <w:jc w:val="center"/>
        <w:rPr>
          <w:b/>
        </w:rPr>
      </w:pPr>
      <w:r>
        <w:rPr>
          <w:b/>
        </w:rPr>
        <w:t>Terms and Conditions</w:t>
      </w:r>
    </w:p>
    <w:p w:rsidR="00AB4FAA" w:rsidRDefault="00E36FA6">
      <w:pPr>
        <w:spacing w:after="240" w:line="240" w:lineRule="auto"/>
        <w:jc w:val="center"/>
      </w:pPr>
      <w:r>
        <w:rPr>
          <w:noProof/>
        </w:rPr>
        <w:drawing>
          <wp:inline distT="0" distB="0" distL="114300" distR="114300">
            <wp:extent cx="1069975" cy="69278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1069975" cy="692785"/>
                    </a:xfrm>
                    <a:prstGeom prst="rect">
                      <a:avLst/>
                    </a:prstGeom>
                    <a:ln/>
                  </pic:spPr>
                </pic:pic>
              </a:graphicData>
            </a:graphic>
          </wp:inline>
        </w:drawing>
      </w: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EF7B94" w:rsidRDefault="00EF7B94">
      <w:pPr>
        <w:spacing w:after="200" w:line="240" w:lineRule="auto"/>
        <w:jc w:val="center"/>
        <w:rPr>
          <w:b/>
        </w:rPr>
      </w:pPr>
    </w:p>
    <w:p w:rsidR="00EF7B94" w:rsidRDefault="00EF7B94">
      <w:pPr>
        <w:spacing w:after="200" w:line="240" w:lineRule="auto"/>
        <w:jc w:val="center"/>
        <w:rPr>
          <w:b/>
        </w:rPr>
      </w:pPr>
    </w:p>
    <w:p w:rsidR="00AB4FAA" w:rsidRDefault="00E36FA6">
      <w:pPr>
        <w:spacing w:after="200" w:line="240" w:lineRule="auto"/>
        <w:jc w:val="center"/>
        <w:rPr>
          <w:b/>
        </w:rPr>
      </w:pPr>
      <w:r>
        <w:rPr>
          <w:b/>
        </w:rPr>
        <w:lastRenderedPageBreak/>
        <w:t>Attachment 2</w:t>
      </w:r>
    </w:p>
    <w:p w:rsidR="00AB4FAA" w:rsidRDefault="00AB4FAA">
      <w:pPr>
        <w:widowControl w:val="0"/>
        <w:spacing w:line="240" w:lineRule="auto"/>
        <w:jc w:val="center"/>
        <w:rPr>
          <w:b/>
        </w:rPr>
      </w:pPr>
    </w:p>
    <w:p w:rsidR="00AB4FAA" w:rsidRDefault="00E36FA6">
      <w:pPr>
        <w:widowControl w:val="0"/>
        <w:spacing w:line="240" w:lineRule="auto"/>
        <w:jc w:val="center"/>
      </w:pPr>
      <w:r>
        <w:rPr>
          <w:b/>
        </w:rPr>
        <w:t>Departmental Security Standards</w:t>
      </w:r>
    </w:p>
    <w:p w:rsidR="00AB4FAA" w:rsidRDefault="00AB4FAA">
      <w:pPr>
        <w:widowControl w:val="0"/>
        <w:spacing w:line="240" w:lineRule="auto"/>
        <w:jc w:val="center"/>
      </w:pPr>
    </w:p>
    <w:p w:rsidR="00AB4FAA" w:rsidRDefault="00E36FA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i/>
        </w:rPr>
        <w:t xml:space="preserve"> </w:t>
      </w:r>
      <w:r>
        <w:rPr>
          <w:b/>
        </w:rPr>
        <w:t>Departmental Security Standards for Business Services and ICT Contracts</w:t>
      </w: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sz w:val="24"/>
          <w:szCs w:val="24"/>
        </w:rPr>
      </w:pPr>
    </w:p>
    <w:tbl>
      <w:tblPr>
        <w:tblStyle w:val="affc"/>
        <w:tblW w:w="106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7455"/>
      </w:tblGrid>
      <w:tr w:rsidR="00AB4FAA">
        <w:trPr>
          <w:trHeight w:val="85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“BPSS”</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“Baseline Personnel Security Standard”</w:t>
            </w:r>
          </w:p>
        </w:tc>
        <w:tc>
          <w:tcPr>
            <w:tcW w:w="7455" w:type="dxa"/>
            <w:shd w:val="clear" w:color="auto" w:fill="auto"/>
          </w:tcPr>
          <w:p w:rsidR="00AB4FAA" w:rsidRDefault="00E36FA6">
            <w:pPr>
              <w:spacing w:line="240" w:lineRule="auto"/>
            </w:pPr>
            <w:r>
              <w:t xml:space="preserve">a level of security clearance described as pre-employment checks in the National Vetting Policy. Further information can be found at: </w:t>
            </w:r>
            <w:hyperlink r:id="rId25">
              <w:r>
                <w:rPr>
                  <w:color w:val="0000FF"/>
                  <w:u w:val="single"/>
                </w:rPr>
                <w:t>https://www.gov.uk/government/publications/government-baseline-personnel-security-standard</w:t>
              </w:r>
            </w:hyperlink>
          </w:p>
        </w:tc>
      </w:tr>
      <w:tr w:rsidR="00AB4FAA">
        <w:trPr>
          <w:trHeight w:val="85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Cabinet Office</w:t>
            </w:r>
          </w:p>
        </w:tc>
        <w:tc>
          <w:tcPr>
            <w:tcW w:w="7455" w:type="dxa"/>
            <w:shd w:val="clear" w:color="auto" w:fill="auto"/>
          </w:tcPr>
          <w:p w:rsidR="00AB4FAA" w:rsidRDefault="00E36FA6">
            <w:pPr>
              <w:spacing w:line="240" w:lineRule="auto"/>
            </w:pPr>
            <w:r>
              <w:t>Supports the Prime Minister and ensures effective running of the UK Government.</w:t>
            </w:r>
          </w:p>
          <w:p w:rsidR="00AB4FAA" w:rsidRDefault="00E33A25">
            <w:pPr>
              <w:spacing w:line="240" w:lineRule="auto"/>
            </w:pPr>
            <w:hyperlink r:id="rId26">
              <w:r w:rsidR="00E36FA6">
                <w:rPr>
                  <w:color w:val="0000FF"/>
                  <w:u w:val="single"/>
                </w:rPr>
                <w:t>Cabinet Office - GOV.UK (www.gov.uk)</w:t>
              </w:r>
            </w:hyperlink>
          </w:p>
        </w:tc>
      </w:tr>
      <w:tr w:rsidR="00AB4FAA">
        <w:trPr>
          <w:trHeight w:val="1701"/>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“Cyber Essentials”</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“Cyber Essentials Plus”</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 xml:space="preserve">Cyber Essentials is the government backed, industry supported scheme to help organisations protect themselves against common cyber-attacks. Cyber Essentials and Cyber Essentials Plus are levels within the scheme. </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rPr>
                <w:color w:val="FF0000"/>
              </w:rPr>
            </w:pPr>
            <w:r>
              <w:t>There are a number of certification bodies that can be approached for further advice on the scheme; the link below points to one of these providers:</w:t>
            </w:r>
            <w:r>
              <w:rPr>
                <w:color w:val="FF0000"/>
              </w:rPr>
              <w:t xml:space="preserve"> </w:t>
            </w:r>
            <w:hyperlink r:id="rId27">
              <w:r>
                <w:rPr>
                  <w:color w:val="0000FF"/>
                  <w:u w:val="single"/>
                </w:rPr>
                <w:t>https://www.iasme.co.uk/apply-for-self-assessment/</w:t>
              </w:r>
            </w:hyperlink>
            <w:r>
              <w:t xml:space="preserve"> </w:t>
            </w:r>
          </w:p>
        </w:tc>
      </w:tr>
      <w:tr w:rsidR="00AB4FAA">
        <w:trPr>
          <w:trHeight w:val="2154"/>
        </w:trPr>
        <w:tc>
          <w:tcPr>
            <w:tcW w:w="3240"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“Data”</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“Data Controller”</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“Data Processor”</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“Personal Data”</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 xml:space="preserve">“Sensitive Personal Data” </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“Data Subject”, “Process” and “Processing”</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shall have the meanings given to those terms by the Data Protection Act 1998</w:t>
            </w:r>
          </w:p>
        </w:tc>
      </w:tr>
      <w:tr w:rsidR="00AB4FAA">
        <w:trPr>
          <w:trHeight w:val="907"/>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"Department’s Data"</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“Department’s Information”</w:t>
            </w:r>
          </w:p>
        </w:tc>
        <w:tc>
          <w:tcPr>
            <w:tcW w:w="7455" w:type="dxa"/>
            <w:shd w:val="clear" w:color="auto" w:fill="auto"/>
          </w:tcPr>
          <w:p w:rsidR="00AB4FAA" w:rsidRDefault="00E36FA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is any data or information owned or retained in order to meet departmental business objectives and tasks, including:</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ind w:left="34"/>
            </w:pPr>
            <w:r>
              <w:t>(a) any data, text, drawings, diagrams, images or sounds (together with any repository or database made up of any of these components) which are embodied in any electronic, magnetic, optical or tangible media, and which are:</w:t>
            </w:r>
          </w:p>
          <w:p w:rsidR="00AB4FAA" w:rsidRDefault="00E36FA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ind w:left="318"/>
            </w:pPr>
            <w:r>
              <w:t>(</w:t>
            </w:r>
            <w:proofErr w:type="spellStart"/>
            <w:r>
              <w:t>i</w:t>
            </w:r>
            <w:proofErr w:type="spellEnd"/>
            <w:r>
              <w:t xml:space="preserve">) supplied to the Contractor by or on behalf of the Department; or </w:t>
            </w:r>
          </w:p>
          <w:p w:rsidR="00AB4FAA" w:rsidRDefault="00E36FA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ind w:left="318"/>
            </w:pPr>
            <w:r>
              <w:t>(ii) which the Contractor is required to generate, process, store or transmit pursuant to this Contract; or</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ind w:left="34"/>
            </w:pPr>
            <w:r>
              <w:t>(b) any Personal Data for which the Department is the Data Controller;</w:t>
            </w:r>
          </w:p>
        </w:tc>
      </w:tr>
      <w:tr w:rsidR="00AB4FAA">
        <w:trPr>
          <w:trHeight w:val="84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“Departmental Security Standards”</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the Department’s security policy or any standards, procedures, process or specification for security that the Contractor is required to deliver.</w:t>
            </w:r>
          </w:p>
        </w:tc>
      </w:tr>
      <w:tr w:rsidR="00AB4FAA">
        <w:trPr>
          <w:trHeight w:val="72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“The Commission”</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“SMC”</w:t>
            </w: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the Social Mobility Commission</w:t>
            </w:r>
          </w:p>
        </w:tc>
      </w:tr>
      <w:tr w:rsidR="00AB4FAA">
        <w:trPr>
          <w:trHeight w:val="1191"/>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“FIPS 140-2”</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this is the Federal Information Processing Standard (FIPS) Publication 140-2, (FIPS PUB 140-2), entitled ‘Security Requirements for Cryptographic Modules’.  This document is the de facto security standard used for the accreditation of cryptographic modules.</w:t>
            </w:r>
          </w:p>
        </w:tc>
      </w:tr>
      <w:tr w:rsidR="00AB4FAA">
        <w:trPr>
          <w:trHeight w:val="1191"/>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lastRenderedPageBreak/>
              <w:t>“Good Industry Practice”</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“Industry Good Practice”</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the exercise of that degree of skill, care, prudence, efficiency, foresight and timeliness as would be expected from a leading company within the relevant industry or business sector.</w:t>
            </w:r>
          </w:p>
        </w:tc>
      </w:tr>
      <w:tr w:rsidR="00AB4FAA">
        <w:trPr>
          <w:trHeight w:val="1701"/>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“Good Industry Standard”</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“Industry Good Standard”</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the implementation of products and solutions, and the exercise of that degree of skill, care, prudence, efficiency, foresight and timeliness as would be expected from a leading company within the relevant industry or business sector.</w:t>
            </w:r>
          </w:p>
        </w:tc>
      </w:tr>
      <w:tr w:rsidR="00AB4FAA">
        <w:trPr>
          <w:trHeight w:val="1474"/>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“GSC”</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“GSCP”</w:t>
            </w: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 xml:space="preserve">means the Government Security Classification Policy which establishes the rules for classifying HMG information. The policy is available at: </w:t>
            </w:r>
            <w:hyperlink r:id="rId28">
              <w:r>
                <w:rPr>
                  <w:color w:val="0000FF"/>
                  <w:u w:val="single"/>
                </w:rPr>
                <w:t>https://www.gov.uk/government/publications/government-security-classifications</w:t>
              </w:r>
            </w:hyperlink>
            <w:r>
              <w:t xml:space="preserve"> </w:t>
            </w:r>
          </w:p>
        </w:tc>
      </w:tr>
      <w:tr w:rsidR="00AB4FAA">
        <w:trPr>
          <w:trHeight w:val="68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“HMG”</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Her Majesty’s Government</w:t>
            </w:r>
          </w:p>
        </w:tc>
      </w:tr>
      <w:tr w:rsidR="00AB4FAA">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“Need-to-Know”</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the Need-to-Know principle is employed within HMG to limit the distribution of classified information to those people with a clear ‘need to know’ in order to carry out their duties.</w:t>
            </w:r>
          </w:p>
        </w:tc>
      </w:tr>
      <w:tr w:rsidR="00AB4FAA">
        <w:trPr>
          <w:trHeight w:val="3118"/>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r>
              <w:t>“OFFICIAL”</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r>
              <w:t xml:space="preserve">“OFFICIAL-SENSITIVE” </w:t>
            </w:r>
          </w:p>
        </w:tc>
        <w:tc>
          <w:tcPr>
            <w:tcW w:w="7455" w:type="dxa"/>
            <w:shd w:val="clear" w:color="auto" w:fill="auto"/>
          </w:tcPr>
          <w:p w:rsidR="00AB4FAA" w:rsidRDefault="00E36FA6">
            <w:pPr>
              <w:spacing w:before="40" w:after="40" w:line="240" w:lineRule="auto"/>
            </w:pPr>
            <w: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AB4FAA">
        <w:trPr>
          <w:trHeight w:val="1124"/>
        </w:trPr>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r>
              <w:t>“Secure Sanitisation”</w:t>
            </w: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p>
        </w:tc>
        <w:tc>
          <w:tcPr>
            <w:tcW w:w="7455" w:type="dxa"/>
            <w:tcBorders>
              <w:top w:val="single" w:sz="4" w:space="0" w:color="000000"/>
              <w:left w:val="single" w:sz="4" w:space="0" w:color="000000"/>
              <w:bottom w:val="single" w:sz="4" w:space="0" w:color="000000"/>
              <w:right w:val="single" w:sz="4" w:space="0" w:color="000000"/>
            </w:tcBorders>
            <w:shd w:val="clear" w:color="auto" w:fill="auto"/>
          </w:tcPr>
          <w:p w:rsidR="00AB4FAA" w:rsidRDefault="00E36FA6">
            <w:pPr>
              <w:spacing w:before="40" w:after="40" w:line="240" w:lineRule="auto"/>
            </w:pPr>
            <w: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29">
              <w:r>
                <w:rPr>
                  <w:color w:val="0000FF"/>
                  <w:u w:val="single"/>
                </w:rPr>
                <w:t>https://www.ncsc.gov.uk/guidance/secure-sanitisation-storage-media</w:t>
              </w:r>
            </w:hyperlink>
            <w:r>
              <w:t xml:space="preserve"> </w:t>
            </w:r>
          </w:p>
          <w:p w:rsidR="00AB4FAA" w:rsidRDefault="00AB4FAA">
            <w:pPr>
              <w:spacing w:before="40" w:after="40" w:line="240" w:lineRule="auto"/>
            </w:pPr>
          </w:p>
          <w:p w:rsidR="00AB4FAA" w:rsidRDefault="00E36FA6">
            <w:pPr>
              <w:spacing w:before="40" w:after="40" w:line="240" w:lineRule="auto"/>
            </w:pPr>
            <w:r>
              <w:t>The disposal of physical documents and hardcopy materials advice can be found at:</w:t>
            </w:r>
            <w:r>
              <w:rPr>
                <w:rFonts w:ascii="Times New Roman" w:eastAsia="Times New Roman" w:hAnsi="Times New Roman" w:cs="Times New Roman"/>
              </w:rPr>
              <w:t xml:space="preserve"> </w:t>
            </w:r>
            <w:hyperlink r:id="rId30">
              <w:r>
                <w:rPr>
                  <w:color w:val="0000FF"/>
                  <w:u w:val="single"/>
                </w:rPr>
                <w:t>https://www.cpni.gov.uk/secure-destruction</w:t>
              </w:r>
            </w:hyperlink>
          </w:p>
        </w:tc>
      </w:tr>
      <w:tr w:rsidR="00AB4FAA">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“SPF”</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“HMG Security Policy Framework”</w:t>
            </w:r>
          </w:p>
        </w:tc>
        <w:tc>
          <w:tcPr>
            <w:tcW w:w="7455" w:type="dxa"/>
            <w:tcBorders>
              <w:top w:val="single" w:sz="4" w:space="0" w:color="000000"/>
              <w:left w:val="single" w:sz="4" w:space="0" w:color="000000"/>
              <w:bottom w:val="single" w:sz="4" w:space="0" w:color="000000"/>
              <w:right w:val="single" w:sz="4" w:space="0" w:color="000000"/>
            </w:tcBorders>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31">
              <w:r>
                <w:rPr>
                  <w:color w:val="0000FF"/>
                  <w:u w:val="single"/>
                </w:rPr>
                <w:t>https://www.gov.uk/government/publications/security-policy-framework</w:t>
              </w:r>
            </w:hyperlink>
            <w:r>
              <w:t xml:space="preserve"> </w:t>
            </w:r>
          </w:p>
        </w:tc>
      </w:tr>
    </w:tbl>
    <w:p w:rsidR="00AB4FAA" w:rsidRDefault="00E36FA6">
      <w:pPr>
        <w:keepNext/>
        <w:keepLines/>
        <w:numPr>
          <w:ilvl w:val="1"/>
          <w:numId w:val="26"/>
        </w:numPr>
        <w:spacing w:before="120" w:after="120" w:line="240" w:lineRule="auto"/>
        <w:ind w:left="709" w:hanging="851"/>
      </w:pPr>
      <w:r>
        <w:lastRenderedPageBreak/>
        <w:t xml:space="preserve">The Contractor shall comply with Departmental Security Standards for Contractors which include but are not constrained to the following clauses. </w:t>
      </w:r>
    </w:p>
    <w:p w:rsidR="00AB4FAA" w:rsidRDefault="00E36FA6">
      <w:pPr>
        <w:keepNext/>
        <w:keepLines/>
        <w:numPr>
          <w:ilvl w:val="1"/>
          <w:numId w:val="26"/>
        </w:numPr>
        <w:spacing w:before="120" w:after="120" w:line="240" w:lineRule="auto"/>
        <w:ind w:left="709" w:hanging="851"/>
      </w:pPr>
      <w:r>
        <w:t>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w:t>
      </w:r>
    </w:p>
    <w:p w:rsidR="00AB4FAA" w:rsidRDefault="00E36FA6">
      <w:pPr>
        <w:keepNext/>
        <w:keepLines/>
        <w:numPr>
          <w:ilvl w:val="1"/>
          <w:numId w:val="26"/>
        </w:numPr>
        <w:spacing w:before="120" w:after="120" w:line="240" w:lineRule="auto"/>
        <w:ind w:left="709" w:hanging="851"/>
      </w:pPr>
      <w:r>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12.10.</w:t>
      </w:r>
    </w:p>
    <w:p w:rsidR="00AB4FAA" w:rsidRDefault="00E36FA6">
      <w:pPr>
        <w:keepNext/>
        <w:keepLines/>
        <w:numPr>
          <w:ilvl w:val="1"/>
          <w:numId w:val="26"/>
        </w:numPr>
        <w:spacing w:before="120" w:after="120" w:line="240" w:lineRule="auto"/>
        <w:ind w:left="709" w:hanging="851"/>
      </w:pPr>
      <w:r>
        <w:t>The Contractor shall have in place and maintain an access control policy and process for the logical access (e.g. identification and authentication) to ICT systems to ensure only authorised personnel have access to Departmental Data.</w:t>
      </w:r>
    </w:p>
    <w:p w:rsidR="00AB4FAA" w:rsidRDefault="00E36FA6">
      <w:pPr>
        <w:keepNext/>
        <w:keepLines/>
        <w:numPr>
          <w:ilvl w:val="1"/>
          <w:numId w:val="26"/>
        </w:numPr>
        <w:spacing w:before="120" w:after="120" w:line="240" w:lineRule="auto"/>
        <w:ind w:left="709" w:hanging="851"/>
      </w:pPr>
      <w: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rsidR="00AB4FAA" w:rsidRDefault="00E36FA6">
      <w:pPr>
        <w:keepNext/>
        <w:keepLines/>
        <w:numPr>
          <w:ilvl w:val="1"/>
          <w:numId w:val="26"/>
        </w:numPr>
        <w:spacing w:before="120" w:after="120" w:line="240" w:lineRule="auto"/>
        <w:ind w:left="709" w:hanging="851"/>
      </w:pPr>
      <w:r>
        <w:t>Storage of Departmental Data on any portable devices or media shall be limited to the absolute minimum required to deliver the stated business requirement and shall be subject to Clause 12.7 and 12.8 below.</w:t>
      </w:r>
    </w:p>
    <w:p w:rsidR="00AB4FAA" w:rsidRDefault="00E36FA6">
      <w:pPr>
        <w:keepNext/>
        <w:keepLines/>
        <w:numPr>
          <w:ilvl w:val="1"/>
          <w:numId w:val="26"/>
        </w:numPr>
        <w:spacing w:before="120" w:after="120" w:line="240" w:lineRule="auto"/>
        <w:ind w:left="709" w:hanging="851"/>
      </w:pPr>
      <w: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rsidR="00AB4FAA" w:rsidRDefault="00E36FA6">
      <w:pPr>
        <w:keepNext/>
        <w:keepLines/>
        <w:numPr>
          <w:ilvl w:val="1"/>
          <w:numId w:val="26"/>
        </w:numPr>
        <w:spacing w:before="120" w:after="120" w:line="240" w:lineRule="auto"/>
        <w:ind w:left="709" w:hanging="851"/>
      </w:pPr>
      <w: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rsidR="00AB4FAA" w:rsidRDefault="00E36FA6">
      <w:pPr>
        <w:keepNext/>
        <w:keepLines/>
        <w:numPr>
          <w:ilvl w:val="1"/>
          <w:numId w:val="26"/>
        </w:numPr>
        <w:spacing w:before="120" w:after="120" w:line="240" w:lineRule="auto"/>
        <w:ind w:left="709" w:hanging="851"/>
      </w:pPr>
      <w: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rsidR="00AB4FAA" w:rsidRDefault="00E36FA6">
      <w:pPr>
        <w:keepNext/>
        <w:keepLines/>
        <w:numPr>
          <w:ilvl w:val="1"/>
          <w:numId w:val="26"/>
        </w:numPr>
        <w:spacing w:before="120" w:after="120" w:line="240" w:lineRule="auto"/>
        <w:ind w:left="709" w:hanging="851"/>
      </w:pPr>
      <w:r>
        <w:lastRenderedPageBreak/>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rsidR="00AB4FAA" w:rsidRDefault="00E36FA6">
      <w:pPr>
        <w:keepNext/>
        <w:keepLines/>
        <w:numPr>
          <w:ilvl w:val="1"/>
          <w:numId w:val="26"/>
        </w:numPr>
        <w:spacing w:before="120" w:after="120" w:line="240" w:lineRule="auto"/>
        <w:ind w:left="709" w:hanging="851"/>
      </w:pPr>
      <w: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w:t>
      </w:r>
      <w:r>
        <w:rPr>
          <w:color w:val="FF0000"/>
        </w:rPr>
        <w:t xml:space="preserve"> </w:t>
      </w:r>
      <w:r>
        <w:t xml:space="preserve">approved product or method. </w:t>
      </w:r>
    </w:p>
    <w:p w:rsidR="00AB4FAA" w:rsidRDefault="00E36FA6">
      <w:pPr>
        <w:keepNext/>
        <w:keepLines/>
        <w:numPr>
          <w:ilvl w:val="1"/>
          <w:numId w:val="26"/>
        </w:numPr>
        <w:spacing w:before="120" w:after="120" w:line="240" w:lineRule="auto"/>
        <w:ind w:left="709" w:hanging="851"/>
      </w:pPr>
      <w: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rsidR="00AB4FAA" w:rsidRDefault="00E36FA6">
      <w:pPr>
        <w:keepNext/>
        <w:keepLines/>
        <w:numPr>
          <w:ilvl w:val="1"/>
          <w:numId w:val="26"/>
        </w:numPr>
        <w:spacing w:before="120" w:after="120" w:line="240" w:lineRule="auto"/>
        <w:ind w:left="709" w:hanging="851"/>
      </w:pPr>
      <w:r>
        <w:t>All Contractor or sub-contractor employees who handle Departmental Data must have annual awareness training in protecting information.</w:t>
      </w:r>
    </w:p>
    <w:p w:rsidR="00AB4FAA" w:rsidRDefault="00E36FA6">
      <w:pPr>
        <w:keepNext/>
        <w:keepLines/>
        <w:numPr>
          <w:ilvl w:val="1"/>
          <w:numId w:val="26"/>
        </w:numPr>
        <w:spacing w:before="120" w:after="120" w:line="240" w:lineRule="auto"/>
        <w:ind w:left="709" w:hanging="851"/>
      </w:pPr>
      <w:r>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rsidR="00AB4FAA" w:rsidRDefault="00E36FA6">
      <w:pPr>
        <w:keepNext/>
        <w:keepLines/>
        <w:numPr>
          <w:ilvl w:val="1"/>
          <w:numId w:val="26"/>
        </w:numPr>
        <w:spacing w:before="120" w:after="120" w:line="240" w:lineRule="auto"/>
        <w:ind w:left="709" w:hanging="851"/>
      </w:pPr>
      <w: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rsidR="00AB4FAA" w:rsidRDefault="00E36FA6">
      <w:pPr>
        <w:keepNext/>
        <w:keepLines/>
        <w:numPr>
          <w:ilvl w:val="1"/>
          <w:numId w:val="26"/>
        </w:numPr>
        <w:spacing w:before="120" w:after="120" w:line="240" w:lineRule="auto"/>
        <w:ind w:left="709" w:hanging="851"/>
      </w:pPr>
      <w: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rsidR="00AB4FAA" w:rsidRDefault="00E36FA6">
      <w:pPr>
        <w:keepNext/>
        <w:keepLines/>
        <w:numPr>
          <w:ilvl w:val="1"/>
          <w:numId w:val="26"/>
        </w:numPr>
        <w:spacing w:before="120" w:after="120" w:line="240" w:lineRule="auto"/>
        <w:ind w:left="709" w:hanging="851"/>
      </w:pPr>
      <w:r>
        <w:t>The Contractor shall contractually enforce all these Departmental Security Standards for Contractors onto any third-party suppliers, sub-contractors or partners who could potentially access Departmental Data in the course of providing this service.</w:t>
      </w:r>
    </w:p>
    <w:p w:rsidR="00AB4FAA" w:rsidRDefault="00AB4FAA">
      <w:pPr>
        <w:tabs>
          <w:tab w:val="left" w:pos="720"/>
        </w:tabs>
        <w:spacing w:after="240" w:line="240" w:lineRule="auto"/>
      </w:pPr>
    </w:p>
    <w:p w:rsidR="00AB4FAA" w:rsidRDefault="00AB4FAA">
      <w:pPr>
        <w:tabs>
          <w:tab w:val="left" w:pos="720"/>
        </w:tabs>
        <w:spacing w:after="240" w:line="240" w:lineRule="auto"/>
      </w:pPr>
    </w:p>
    <w:p w:rsidR="00AB4FAA" w:rsidRDefault="00AB4FAA">
      <w:pPr>
        <w:tabs>
          <w:tab w:val="left" w:pos="720"/>
        </w:tabs>
        <w:spacing w:after="240" w:line="240" w:lineRule="auto"/>
      </w:pPr>
    </w:p>
    <w:p w:rsidR="00EF7B94" w:rsidRDefault="00EF7B94">
      <w:pPr>
        <w:tabs>
          <w:tab w:val="left" w:pos="720"/>
        </w:tabs>
        <w:spacing w:after="240" w:line="240" w:lineRule="auto"/>
      </w:pPr>
    </w:p>
    <w:p w:rsidR="00EF7B94" w:rsidRDefault="00EF7B94">
      <w:pPr>
        <w:tabs>
          <w:tab w:val="left" w:pos="720"/>
        </w:tabs>
        <w:spacing w:after="240" w:line="240" w:lineRule="auto"/>
      </w:pPr>
    </w:p>
    <w:p w:rsidR="00AB4FAA" w:rsidRDefault="00AB4FAA">
      <w:pPr>
        <w:widowControl w:val="0"/>
        <w:spacing w:after="240" w:line="240" w:lineRule="auto"/>
        <w:jc w:val="right"/>
        <w:rPr>
          <w:b/>
        </w:rPr>
      </w:pPr>
    </w:p>
    <w:p w:rsidR="00AB4FAA" w:rsidRDefault="00E36FA6">
      <w:pPr>
        <w:widowControl w:val="0"/>
        <w:spacing w:after="240" w:line="240" w:lineRule="auto"/>
        <w:rPr>
          <w:b/>
          <w:sz w:val="28"/>
          <w:szCs w:val="28"/>
        </w:rPr>
      </w:pPr>
      <w:bookmarkStart w:id="51" w:name="bookmark=id.111kx3o" w:colFirst="0" w:colLast="0"/>
      <w:bookmarkEnd w:id="51"/>
      <w:r>
        <w:rPr>
          <w:b/>
          <w:sz w:val="28"/>
          <w:szCs w:val="28"/>
        </w:rPr>
        <w:lastRenderedPageBreak/>
        <w:t>ANNEX ONE: CONFLICTS OF INTEREST</w:t>
      </w:r>
    </w:p>
    <w:p w:rsidR="00AB4FAA" w:rsidRDefault="00E36FA6">
      <w:pPr>
        <w:widowControl w:val="0"/>
        <w:spacing w:after="240" w:line="240" w:lineRule="auto"/>
      </w:pPr>
      <w:r>
        <w:t xml:space="preserve">For research and analysis, </w:t>
      </w:r>
      <w:r>
        <w:rPr>
          <w:b/>
        </w:rPr>
        <w:t>conflict of interest</w:t>
      </w:r>
      <w:r>
        <w:t xml:space="preserve"> is defined as the presence of an interest or involvement of the contractor, subcontractor (or consortium member) which could affect the actual or perceived impartiality of the research or analysis.</w:t>
      </w:r>
    </w:p>
    <w:p w:rsidR="00AB4FAA" w:rsidRDefault="00E36FA6">
      <w:pPr>
        <w:widowControl w:val="0"/>
        <w:spacing w:after="240" w:line="240" w:lineRule="auto"/>
      </w:pPr>
      <w:r>
        <w:rPr>
          <w:noProof/>
        </w:rPr>
        <mc:AlternateContent>
          <mc:Choice Requires="wps">
            <w:drawing>
              <wp:inline distT="0" distB="0" distL="0" distR="0">
                <wp:extent cx="5693410" cy="621030"/>
                <wp:effectExtent l="0" t="0" r="0" b="0"/>
                <wp:docPr id="10" name="Rectangle 10"/>
                <wp:cNvGraphicFramePr/>
                <a:graphic xmlns:a="http://schemas.openxmlformats.org/drawingml/2006/main">
                  <a:graphicData uri="http://schemas.microsoft.com/office/word/2010/wordprocessingShape">
                    <wps:wsp>
                      <wps:cNvSpPr/>
                      <wps:spPr>
                        <a:xfrm>
                          <a:off x="2518345" y="3488535"/>
                          <a:ext cx="5655310" cy="582930"/>
                        </a:xfrm>
                        <a:prstGeom prst="rect">
                          <a:avLst/>
                        </a:prstGeom>
                        <a:solidFill>
                          <a:srgbClr val="FFFFFF"/>
                        </a:solidFill>
                        <a:ln w="9525" cap="flat" cmpd="sng">
                          <a:solidFill>
                            <a:srgbClr val="FF0000"/>
                          </a:solidFill>
                          <a:prstDash val="solid"/>
                          <a:miter lim="800000"/>
                          <a:headEnd type="none" w="sm" len="sm"/>
                          <a:tailEnd type="none" w="sm" len="sm"/>
                        </a:ln>
                      </wps:spPr>
                      <wps:txbx>
                        <w:txbxContent>
                          <w:p w:rsidR="00E33A25" w:rsidRDefault="00E33A25">
                            <w:pPr>
                              <w:spacing w:line="240" w:lineRule="auto"/>
                              <w:textDirection w:val="btLr"/>
                            </w:pPr>
                            <w:r>
                              <w:rPr>
                                <w:i/>
                                <w:color w:val="000000"/>
                              </w:rPr>
                              <w:t>A conflict of interest for this project would include the circumstance in which a contractor, sub-contractor or member of a consortia has had prior involvement with the scheme which is being evaluated, either through governance or delivery of services</w:t>
                            </w:r>
                            <w:r>
                              <w:rPr>
                                <w:color w:val="000000"/>
                              </w:rPr>
                              <w:t>.</w:t>
                            </w:r>
                          </w:p>
                        </w:txbxContent>
                      </wps:txbx>
                      <wps:bodyPr spcFirstLastPara="1" wrap="square" lIns="91425" tIns="45700" rIns="91425" bIns="45700" anchor="t" anchorCtr="0">
                        <a:noAutofit/>
                      </wps:bodyPr>
                    </wps:wsp>
                  </a:graphicData>
                </a:graphic>
              </wp:inline>
            </w:drawing>
          </mc:Choice>
          <mc:Fallback>
            <w:pict>
              <v:rect id="Rectangle 10" o:spid="_x0000_s1026" style="width:448.3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" strokecolor="red">
                <v:stroke startarrowwidth="narrow" startarrowlength="short" endarrowwidth="narrow" endarrowlength="short"/>
                <v:textbox inset="2.53958mm,1.2694mm,2.53958mm,1.2694mm">
                  <w:txbxContent>
                    <w:p w:rsidR="00E33A25" w:rsidRDefault="00E33A25">
                      <w:pPr>
                        <w:spacing w:line="240" w:lineRule="auto"/>
                        <w:textDirection w:val="btLr"/>
                      </w:pPr>
                      <w:r>
                        <w:rPr>
                          <w:i/>
                          <w:color w:val="000000"/>
                        </w:rPr>
                        <w:t>A conflict of interest for this project would include the circumstance in which a contractor, sub-contractor or member of a consortia has had prior involvement with the scheme which is being evaluated, either through governance or delivery of services</w:t>
                      </w:r>
                      <w:r>
                        <w:rPr>
                          <w:color w:val="000000"/>
                        </w:rPr>
                        <w:t>.</w:t>
                      </w:r>
                    </w:p>
                  </w:txbxContent>
                </v:textbox>
                <w10:anchorlock/>
              </v:rect>
            </w:pict>
          </mc:Fallback>
        </mc:AlternateContent>
      </w:r>
    </w:p>
    <w:p w:rsidR="00AB4FAA" w:rsidRDefault="00E36FA6">
      <w:pPr>
        <w:widowControl w:val="0"/>
        <w:spacing w:after="240" w:line="240" w:lineRule="auto"/>
      </w:pPr>
      <w:r>
        <w:t>Where there may be a potential conflict of interest, it is suggested that the consortia or organisation designs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ensure an impartial approach to the project is maintained.</w:t>
      </w:r>
    </w:p>
    <w:p w:rsidR="00AB4FAA" w:rsidRDefault="00E36FA6">
      <w:pPr>
        <w:widowControl w:val="0"/>
        <w:spacing w:after="240" w:line="240" w:lineRule="auto"/>
      </w:pPr>
      <w:r>
        <w:t>The process by which this is managed in the procurement process is as follows:</w:t>
      </w:r>
    </w:p>
    <w:p w:rsidR="00AB4FAA" w:rsidRDefault="00E36FA6">
      <w:pPr>
        <w:numPr>
          <w:ilvl w:val="0"/>
          <w:numId w:val="1"/>
        </w:numPr>
        <w:spacing w:after="240" w:line="240" w:lineRule="auto"/>
        <w:jc w:val="both"/>
      </w:pPr>
      <w:r>
        <w:rPr>
          <w:b/>
        </w:rPr>
        <w:t>During the bidding process, organisations may contact the Cabinet Office to discuss whether or not their proposed arrangement is likely to yield a conflict of interest.</w:t>
      </w:r>
      <w:r>
        <w:t xml:space="preserve"> Any responses given to individual organisations or consortia will be shared with all tendering organisations (in a form which does not reveal the questioner’s identity). </w:t>
      </w:r>
    </w:p>
    <w:p w:rsidR="00AB4FAA" w:rsidRDefault="00E36FA6">
      <w:pPr>
        <w:numPr>
          <w:ilvl w:val="0"/>
          <w:numId w:val="1"/>
        </w:numPr>
        <w:spacing w:after="240" w:line="240" w:lineRule="auto"/>
        <w:jc w:val="both"/>
      </w:pPr>
      <w:r>
        <w:rPr>
          <w:b/>
        </w:rPr>
        <w:t>Contractors are asked to sign and return Annex One to indicate whether or not any conflict of interest may be, or be perceived to be, an issue.</w:t>
      </w:r>
      <w: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AB4FAA" w:rsidRDefault="00E36FA6">
      <w:pPr>
        <w:numPr>
          <w:ilvl w:val="0"/>
          <w:numId w:val="1"/>
        </w:numPr>
        <w:spacing w:after="240" w:line="240" w:lineRule="auto"/>
        <w:jc w:val="both"/>
      </w:pPr>
      <w:r>
        <w:rPr>
          <w:b/>
        </w:rPr>
        <w:t>When tenders are scored, this declaration will be subject to a pass/fail score</w:t>
      </w:r>
      <w:r>
        <w:t>, according to whether, on the basis of the information in the proposal and declaration, there remains a conflict of interest which may affect the impartiality of the research.</w:t>
      </w:r>
    </w:p>
    <w:p w:rsidR="00AB4FAA" w:rsidRDefault="00E36FA6">
      <w:pPr>
        <w:widowControl w:val="0"/>
        <w:spacing w:after="240" w:line="240" w:lineRule="auto"/>
      </w:pPr>
      <w:r>
        <w:t>Potential conflicts of interest may include (but are not restricted to);</w:t>
      </w:r>
    </w:p>
    <w:p w:rsidR="00AB4FAA" w:rsidRDefault="00E36FA6">
      <w:pPr>
        <w:numPr>
          <w:ilvl w:val="0"/>
          <w:numId w:val="37"/>
        </w:numPr>
      </w:pPr>
      <w:r>
        <w:t>For evaluation projects, a close working, governance, or commercial involvement in the project under evaluation</w:t>
      </w:r>
    </w:p>
    <w:p w:rsidR="00AB4FAA" w:rsidRDefault="00E36FA6">
      <w:pPr>
        <w:numPr>
          <w:ilvl w:val="0"/>
          <w:numId w:val="37"/>
        </w:numPr>
      </w:pPr>
      <w:r>
        <w:t xml:space="preserve">A professional or personal interest in the outcome of this research </w:t>
      </w:r>
    </w:p>
    <w:p w:rsidR="00AB4FAA" w:rsidRDefault="00E36FA6">
      <w:pPr>
        <w:numPr>
          <w:ilvl w:val="0"/>
          <w:numId w:val="37"/>
        </w:numPr>
      </w:pPr>
      <w:r>
        <w:t>Current or past employment with relevant organisations</w:t>
      </w:r>
    </w:p>
    <w:p w:rsidR="00AB4FAA" w:rsidRDefault="00E36FA6">
      <w:pPr>
        <w:numPr>
          <w:ilvl w:val="0"/>
          <w:numId w:val="37"/>
        </w:numPr>
      </w:pPr>
      <w:r>
        <w:t>Payment (cash or other) received or likely to be received from relevant organisations for goods or services provided (including consulting or advisory fees)</w:t>
      </w:r>
    </w:p>
    <w:p w:rsidR="00AB4FAA" w:rsidRDefault="00E36FA6">
      <w:pPr>
        <w:numPr>
          <w:ilvl w:val="0"/>
          <w:numId w:val="37"/>
        </w:numPr>
      </w:pPr>
      <w:r>
        <w:t>Gifts or entertainment received from relevant organisations</w:t>
      </w:r>
    </w:p>
    <w:p w:rsidR="00AB4FAA" w:rsidRDefault="00E36FA6">
      <w:pPr>
        <w:numPr>
          <w:ilvl w:val="0"/>
          <w:numId w:val="37"/>
        </w:numPr>
      </w:pPr>
      <w:r>
        <w:t>Shareholdings (excluding those within unit trusts, pension funds etc) in relevant organisations</w:t>
      </w:r>
    </w:p>
    <w:p w:rsidR="00AB4FAA" w:rsidRDefault="00E36FA6">
      <w:pPr>
        <w:numPr>
          <w:ilvl w:val="0"/>
          <w:numId w:val="37"/>
        </w:numPr>
      </w:pPr>
      <w:r>
        <w:t xml:space="preserve">Close personal relationship or friendships with individuals employed by or otherwise closely associated with relevant organisations </w:t>
      </w:r>
    </w:p>
    <w:p w:rsidR="00AB4FAA" w:rsidRDefault="00E36FA6">
      <w:pPr>
        <w:keepNext/>
        <w:keepLines/>
        <w:widowControl w:val="0"/>
        <w:spacing w:after="240" w:line="240" w:lineRule="auto"/>
        <w:rPr>
          <w:b/>
        </w:rPr>
      </w:pPr>
      <w:bookmarkStart w:id="52" w:name="_heading=h.3l18frh" w:colFirst="0" w:colLast="0"/>
      <w:bookmarkEnd w:id="52"/>
      <w:r>
        <w:br w:type="page"/>
      </w:r>
      <w:r>
        <w:rPr>
          <w:b/>
        </w:rPr>
        <w:lastRenderedPageBreak/>
        <w:t>Conflict of Interest Declaration Form</w:t>
      </w:r>
    </w:p>
    <w:p w:rsidR="00AB4FAA" w:rsidRDefault="00E36FA6">
      <w:pPr>
        <w:widowControl w:val="0"/>
        <w:spacing w:after="240" w:line="240" w:lineRule="auto"/>
      </w:pPr>
      <w:r>
        <w:t xml:space="preserve">Organisations </w:t>
      </w:r>
      <w:r>
        <w:rPr>
          <w:b/>
        </w:rPr>
        <w:t>must</w:t>
      </w:r>
      <w:r>
        <w:t xml:space="preserve"> complete either part 1 or 2.  Please return this form with your ITT documentation.</w:t>
      </w:r>
    </w:p>
    <w:p w:rsidR="00AB4FAA" w:rsidRDefault="00E36FA6">
      <w:pPr>
        <w:widowControl w:val="0"/>
        <w:spacing w:after="240" w:line="240" w:lineRule="auto"/>
        <w:rPr>
          <w:i/>
        </w:rPr>
      </w:pPr>
      <w:r>
        <w:rPr>
          <w:i/>
        </w:rPr>
        <w:t>A declaration of interest will not necessarily mean the individual or organisation cannot work on the project; but it is vital that any interest or conflict is declared so it can be considered openly.</w:t>
      </w:r>
    </w:p>
    <w:p w:rsidR="00AB4FAA" w:rsidRDefault="00E36FA6">
      <w:pPr>
        <w:widowControl w:val="0"/>
        <w:spacing w:after="240" w:line="240" w:lineRule="auto"/>
        <w:rPr>
          <w:i/>
        </w:rPr>
      </w:pPr>
      <w:r>
        <w:rPr>
          <w:i/>
        </w:rPr>
        <w:t>Failure to declare or avoid conflict of interest at this or a later stage may result in exclusion from the procurement competition, or in Cabinet Office exercising its right to terminate any contract awarded.</w:t>
      </w:r>
    </w:p>
    <w:p w:rsidR="00AB4FAA" w:rsidRDefault="00E36FA6">
      <w:pPr>
        <w:widowControl w:val="0"/>
        <w:spacing w:after="240" w:line="240" w:lineRule="auto"/>
        <w:rPr>
          <w:b/>
        </w:rPr>
      </w:pPr>
      <w:r>
        <w:rPr>
          <w:b/>
        </w:rPr>
        <w:t>Part 1</w:t>
      </w:r>
    </w:p>
    <w:p w:rsidR="00AB4FAA" w:rsidRDefault="00E36FA6">
      <w:pPr>
        <w:widowControl w:val="0"/>
        <w:spacing w:after="240" w:line="240" w:lineRule="auto"/>
      </w:pPr>
      <w: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rsidR="00AB4FAA" w:rsidRDefault="00E36FA6">
      <w:pPr>
        <w:widowControl w:val="0"/>
        <w:spacing w:after="240" w:line="240" w:lineRule="auto"/>
      </w:pPr>
      <w:r>
        <w:t>If my situation or that of my organisation changes during the project in terms of interests or conflicts, I will notify the Cabinet Office immediately.</w:t>
      </w:r>
    </w:p>
    <w:p w:rsidR="00AB4FAA" w:rsidRDefault="00E36FA6">
      <w:r>
        <w:t xml:space="preserve">Signed      </w:t>
      </w:r>
      <w:r>
        <w:tab/>
        <w:t>…………………………………….</w:t>
      </w:r>
    </w:p>
    <w:p w:rsidR="00AB4FAA" w:rsidRDefault="00E36FA6">
      <w:r>
        <w:t>Name</w:t>
      </w:r>
      <w:r>
        <w:tab/>
      </w:r>
      <w:r>
        <w:tab/>
        <w:t>…………………………………….</w:t>
      </w:r>
    </w:p>
    <w:p w:rsidR="00AB4FAA" w:rsidRDefault="00E36FA6">
      <w:r>
        <w:t xml:space="preserve">Position     </w:t>
      </w:r>
      <w:r>
        <w:tab/>
        <w:t>…………………………………….</w:t>
      </w:r>
    </w:p>
    <w:p w:rsidR="00AB4FAA" w:rsidRDefault="00E36FA6">
      <w:pPr>
        <w:widowControl w:val="0"/>
        <w:spacing w:after="240" w:line="240" w:lineRule="auto"/>
      </w:pPr>
      <w:r>
        <w:t>OR</w:t>
      </w:r>
    </w:p>
    <w:p w:rsidR="00AB4FAA" w:rsidRDefault="00E36FA6">
      <w:pPr>
        <w:widowControl w:val="0"/>
        <w:spacing w:after="240" w:line="240" w:lineRule="auto"/>
        <w:rPr>
          <w:b/>
        </w:rPr>
      </w:pPr>
      <w:r>
        <w:rPr>
          <w:b/>
        </w:rPr>
        <w:t>Part 2</w:t>
      </w:r>
    </w:p>
    <w:p w:rsidR="00AB4FAA" w:rsidRDefault="00E36FA6">
      <w:pPr>
        <w:widowControl w:val="0"/>
        <w:spacing w:after="240" w:line="240" w:lineRule="auto"/>
      </w:pPr>
      <w:r>
        <w:t>I wish to declare the following with respect to personal or professional interests related to relevant organisations (insert name(s) below):</w:t>
      </w:r>
    </w:p>
    <w:p w:rsidR="00AB4FAA" w:rsidRDefault="00E36FA6">
      <w:pPr>
        <w:numPr>
          <w:ilvl w:val="0"/>
          <w:numId w:val="5"/>
        </w:numPr>
      </w:pPr>
      <w:r>
        <w:tab/>
        <w:t>…………………………………….</w:t>
      </w:r>
    </w:p>
    <w:p w:rsidR="00AB4FAA" w:rsidRDefault="00E36FA6">
      <w:pPr>
        <w:numPr>
          <w:ilvl w:val="0"/>
          <w:numId w:val="5"/>
        </w:numPr>
      </w:pPr>
      <w:r>
        <w:tab/>
        <w:t>…………………………………….</w:t>
      </w:r>
    </w:p>
    <w:p w:rsidR="00AB4FAA" w:rsidRDefault="00E36FA6">
      <w:pPr>
        <w:widowControl w:val="0"/>
        <w:spacing w:after="240" w:line="240" w:lineRule="auto"/>
      </w:pPr>
      <w:r>
        <w:t xml:space="preserve">Where a potential conflict of interest has been declared for an individual or organisation within a </w:t>
      </w:r>
      <w:proofErr w:type="gramStart"/>
      <w:r>
        <w:t>consortia</w:t>
      </w:r>
      <w:proofErr w:type="gramEnd"/>
      <w:r>
        <w:t>, please clearly outline in your tender the role which this individual or organisation will play in the proposed project and how any conflict of interest has or will be mitigated.</w:t>
      </w:r>
    </w:p>
    <w:p w:rsidR="00AB4FAA" w:rsidRDefault="00E36FA6">
      <w:pPr>
        <w:widowControl w:val="0"/>
        <w:spacing w:after="240" w:line="240" w:lineRule="auto"/>
      </w:pPr>
      <w:r>
        <w:t>If my situation or that of my organisation changes during the project in terms of interests or conflicts, I will notify the Cabinet Office immediately.</w:t>
      </w:r>
    </w:p>
    <w:p w:rsidR="00AB4FAA" w:rsidRDefault="00AB4FAA">
      <w:pPr>
        <w:widowControl w:val="0"/>
        <w:spacing w:after="240" w:line="240" w:lineRule="auto"/>
      </w:pPr>
    </w:p>
    <w:p w:rsidR="00AB4FAA" w:rsidRDefault="00E36FA6">
      <w:r>
        <w:t xml:space="preserve">Signed      </w:t>
      </w:r>
      <w:r>
        <w:tab/>
        <w:t>……………………………………</w:t>
      </w:r>
    </w:p>
    <w:p w:rsidR="00AB4FAA" w:rsidRDefault="00E36FA6">
      <w:r>
        <w:t>Name</w:t>
      </w:r>
      <w:r>
        <w:tab/>
      </w:r>
      <w:r>
        <w:tab/>
        <w:t>……………………………………</w:t>
      </w:r>
    </w:p>
    <w:p w:rsidR="00AB4FAA" w:rsidRDefault="00E36FA6">
      <w:r>
        <w:t xml:space="preserve">Position   </w:t>
      </w:r>
      <w:r>
        <w:tab/>
        <w:t>……………………………………</w:t>
      </w:r>
    </w:p>
    <w:p w:rsidR="00AB4FAA" w:rsidRDefault="00AB4FAA"/>
    <w:sectPr w:rsidR="00AB4FAA">
      <w:footerReference w:type="default" r:id="rId3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D2D" w:rsidRDefault="00E16D2D">
      <w:pPr>
        <w:spacing w:line="240" w:lineRule="auto"/>
      </w:pPr>
      <w:r>
        <w:separator/>
      </w:r>
    </w:p>
  </w:endnote>
  <w:endnote w:type="continuationSeparator" w:id="0">
    <w:p w:rsidR="00E16D2D" w:rsidRDefault="00E16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Regula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A25" w:rsidRDefault="00E33A25">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D2D" w:rsidRDefault="00E16D2D">
      <w:pPr>
        <w:spacing w:line="240" w:lineRule="auto"/>
      </w:pPr>
      <w:r>
        <w:separator/>
      </w:r>
    </w:p>
  </w:footnote>
  <w:footnote w:type="continuationSeparator" w:id="0">
    <w:p w:rsidR="00E16D2D" w:rsidRDefault="00E16D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956"/>
    <w:multiLevelType w:val="multilevel"/>
    <w:tmpl w:val="1E74AC2C"/>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821C9D"/>
    <w:multiLevelType w:val="multilevel"/>
    <w:tmpl w:val="F7A4D07A"/>
    <w:lvl w:ilvl="0">
      <w:start w:val="1"/>
      <w:numFmt w:val="decimal"/>
      <w:lvlText w:val=""/>
      <w:lvlJc w:val="left"/>
      <w:pPr>
        <w:ind w:left="1003" w:hanging="283"/>
      </w:pPr>
      <w:rPr>
        <w:rFonts w:ascii="Noto Sans Symbols" w:eastAsia="Noto Sans Symbols" w:hAnsi="Noto Sans Symbols" w:cs="Noto Sans Symbols"/>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8470BF0"/>
    <w:multiLevelType w:val="multilevel"/>
    <w:tmpl w:val="4D2E45DE"/>
    <w:lvl w:ilvl="0">
      <w:start w:val="1"/>
      <w:numFmt w:val="decimal"/>
      <w:lvlText w:val=""/>
      <w:lvlJc w:val="left"/>
      <w:pPr>
        <w:ind w:left="244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E97309F"/>
    <w:multiLevelType w:val="multilevel"/>
    <w:tmpl w:val="F0B01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E9C7258"/>
    <w:multiLevelType w:val="multilevel"/>
    <w:tmpl w:val="C18000F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1004A0"/>
    <w:multiLevelType w:val="multilevel"/>
    <w:tmpl w:val="26526E50"/>
    <w:lvl w:ilvl="0">
      <w:start w:val="1"/>
      <w:numFmt w:val="bullet"/>
      <w:lvlText w:val="●"/>
      <w:lvlJc w:val="left"/>
      <w:pPr>
        <w:ind w:left="1800" w:firstLine="0"/>
      </w:pPr>
      <w:rPr>
        <w:rFonts w:ascii="Arial" w:eastAsia="Arial" w:hAnsi="Arial" w:cs="Arial"/>
      </w:rPr>
    </w:lvl>
    <w:lvl w:ilvl="1">
      <w:start w:val="1"/>
      <w:numFmt w:val="bullet"/>
      <w:lvlText w:val="●"/>
      <w:lvlJc w:val="left"/>
      <w:pPr>
        <w:ind w:left="3960" w:firstLine="0"/>
      </w:pPr>
      <w:rPr>
        <w:rFonts w:ascii="Arial" w:eastAsia="Arial" w:hAnsi="Arial" w:cs="Arial"/>
      </w:rPr>
    </w:lvl>
    <w:lvl w:ilvl="2">
      <w:start w:val="1"/>
      <w:numFmt w:val="bullet"/>
      <w:lvlText w:val="▪"/>
      <w:lvlJc w:val="left"/>
      <w:pPr>
        <w:ind w:left="6120" w:firstLine="0"/>
      </w:pPr>
      <w:rPr>
        <w:rFonts w:ascii="Arial" w:eastAsia="Arial" w:hAnsi="Arial" w:cs="Arial"/>
      </w:rPr>
    </w:lvl>
    <w:lvl w:ilvl="3">
      <w:start w:val="1"/>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26890B91"/>
    <w:multiLevelType w:val="multilevel"/>
    <w:tmpl w:val="BD3055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73B38DC"/>
    <w:multiLevelType w:val="multilevel"/>
    <w:tmpl w:val="1B863846"/>
    <w:lvl w:ilvl="0">
      <w:start w:val="12"/>
      <w:numFmt w:val="decimal"/>
      <w:lvlText w:val="%1."/>
      <w:lvlJc w:val="left"/>
      <w:pPr>
        <w:ind w:left="0" w:firstLine="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9F72897"/>
    <w:multiLevelType w:val="multilevel"/>
    <w:tmpl w:val="B01A80BC"/>
    <w:lvl w:ilvl="0">
      <w:start w:val="12"/>
      <w:numFmt w:val="decimal"/>
      <w:lvlText w:val="%1."/>
      <w:lvlJc w:val="left"/>
      <w:pPr>
        <w:ind w:left="0" w:firstLine="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CA5651"/>
    <w:multiLevelType w:val="multilevel"/>
    <w:tmpl w:val="670CA7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1B2564"/>
    <w:multiLevelType w:val="multilevel"/>
    <w:tmpl w:val="32B807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0590E3E"/>
    <w:multiLevelType w:val="multilevel"/>
    <w:tmpl w:val="283E297A"/>
    <w:lvl w:ilvl="0">
      <w:start w:val="1"/>
      <w:numFmt w:val="decimal"/>
      <w:lvlText w:val=""/>
      <w:lvlJc w:val="left"/>
      <w:pPr>
        <w:ind w:left="1003" w:hanging="283"/>
      </w:pPr>
      <w:rPr>
        <w:rFonts w:ascii="Noto Sans Symbols" w:eastAsia="Noto Sans Symbols" w:hAnsi="Noto Sans Symbols" w:cs="Noto Sans Symbols"/>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18B635D"/>
    <w:multiLevelType w:val="multilevel"/>
    <w:tmpl w:val="8064F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ED4CC8"/>
    <w:multiLevelType w:val="multilevel"/>
    <w:tmpl w:val="9530E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B37847"/>
    <w:multiLevelType w:val="multilevel"/>
    <w:tmpl w:val="2CE47B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3C7C2789"/>
    <w:multiLevelType w:val="multilevel"/>
    <w:tmpl w:val="D25498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28641FA"/>
    <w:multiLevelType w:val="multilevel"/>
    <w:tmpl w:val="C76059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1F230C"/>
    <w:multiLevelType w:val="multilevel"/>
    <w:tmpl w:val="81A623DA"/>
    <w:lvl w:ilvl="0">
      <w:start w:val="1"/>
      <w:numFmt w:val="bullet"/>
      <w:lvlText w:val="●"/>
      <w:lvlJc w:val="left"/>
      <w:pPr>
        <w:ind w:left="358" w:firstLine="0"/>
      </w:pPr>
      <w:rPr>
        <w:rFonts w:ascii="Arial" w:eastAsia="Arial" w:hAnsi="Arial" w:cs="Arial"/>
      </w:rPr>
    </w:lvl>
    <w:lvl w:ilvl="1">
      <w:start w:va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18" w15:restartNumberingAfterBreak="0">
    <w:nsid w:val="461029B5"/>
    <w:multiLevelType w:val="multilevel"/>
    <w:tmpl w:val="58C84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3F72A2"/>
    <w:multiLevelType w:val="multilevel"/>
    <w:tmpl w:val="EE1AF0A6"/>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88135B8"/>
    <w:multiLevelType w:val="multilevel"/>
    <w:tmpl w:val="1494E42A"/>
    <w:lvl w:ilvl="0">
      <w:start w:val="1"/>
      <w:numFmt w:val="decimal"/>
      <w:lvlText w:val=""/>
      <w:lvlJc w:val="left"/>
      <w:pPr>
        <w:ind w:left="1003" w:hanging="283"/>
      </w:pPr>
      <w:rPr>
        <w:rFonts w:ascii="Noto Sans Symbols" w:eastAsia="Noto Sans Symbols" w:hAnsi="Noto Sans Symbols" w:cs="Noto Sans Symbols"/>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971B22"/>
    <w:multiLevelType w:val="multilevel"/>
    <w:tmpl w:val="364091F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48EB124B"/>
    <w:multiLevelType w:val="multilevel"/>
    <w:tmpl w:val="E132B73A"/>
    <w:lvl w:ilvl="0">
      <w:start w:val="1"/>
      <w:numFmt w:val="decimal"/>
      <w:lvlText w:val=""/>
      <w:lvlJc w:val="left"/>
      <w:pPr>
        <w:ind w:left="244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E8743FC"/>
    <w:multiLevelType w:val="multilevel"/>
    <w:tmpl w:val="E01E7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DA12B8"/>
    <w:multiLevelType w:val="multilevel"/>
    <w:tmpl w:val="A9D8705A"/>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56484128"/>
    <w:multiLevelType w:val="multilevel"/>
    <w:tmpl w:val="9B76632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6" w15:restartNumberingAfterBreak="0">
    <w:nsid w:val="58B325EA"/>
    <w:multiLevelType w:val="multilevel"/>
    <w:tmpl w:val="95DCC88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59B779DD"/>
    <w:multiLevelType w:val="multilevel"/>
    <w:tmpl w:val="DFC88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CB6BEE"/>
    <w:multiLevelType w:val="multilevel"/>
    <w:tmpl w:val="BF6E67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60961F20"/>
    <w:multiLevelType w:val="multilevel"/>
    <w:tmpl w:val="8424E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C3214B"/>
    <w:multiLevelType w:val="multilevel"/>
    <w:tmpl w:val="D624D6AA"/>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1" w15:restartNumberingAfterBreak="0">
    <w:nsid w:val="63550DC4"/>
    <w:multiLevelType w:val="multilevel"/>
    <w:tmpl w:val="BA24799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2" w15:restartNumberingAfterBreak="0">
    <w:nsid w:val="639A58C3"/>
    <w:multiLevelType w:val="multilevel"/>
    <w:tmpl w:val="DA08019A"/>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3" w15:restartNumberingAfterBreak="0">
    <w:nsid w:val="651E095F"/>
    <w:multiLevelType w:val="multilevel"/>
    <w:tmpl w:val="6BD4226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4" w15:restartNumberingAfterBreak="0">
    <w:nsid w:val="695C29C9"/>
    <w:multiLevelType w:val="multilevel"/>
    <w:tmpl w:val="84E26EDC"/>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FE454F5"/>
    <w:multiLevelType w:val="multilevel"/>
    <w:tmpl w:val="0A9C79E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904437"/>
    <w:multiLevelType w:val="multilevel"/>
    <w:tmpl w:val="44BEAE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3FF411F"/>
    <w:multiLevelType w:val="multilevel"/>
    <w:tmpl w:val="1F0EE4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8" w15:restartNumberingAfterBreak="0">
    <w:nsid w:val="7BF706C7"/>
    <w:multiLevelType w:val="multilevel"/>
    <w:tmpl w:val="84A66940"/>
    <w:lvl w:ilvl="0">
      <w:start w:val="2"/>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B21089"/>
    <w:multiLevelType w:val="multilevel"/>
    <w:tmpl w:val="36E431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DE16BD6"/>
    <w:multiLevelType w:val="multilevel"/>
    <w:tmpl w:val="80B050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26"/>
  </w:num>
  <w:num w:numId="3">
    <w:abstractNumId w:val="14"/>
  </w:num>
  <w:num w:numId="4">
    <w:abstractNumId w:val="32"/>
  </w:num>
  <w:num w:numId="5">
    <w:abstractNumId w:val="35"/>
  </w:num>
  <w:num w:numId="6">
    <w:abstractNumId w:val="12"/>
  </w:num>
  <w:num w:numId="7">
    <w:abstractNumId w:val="28"/>
  </w:num>
  <w:num w:numId="8">
    <w:abstractNumId w:val="25"/>
  </w:num>
  <w:num w:numId="9">
    <w:abstractNumId w:val="34"/>
  </w:num>
  <w:num w:numId="10">
    <w:abstractNumId w:val="11"/>
  </w:num>
  <w:num w:numId="11">
    <w:abstractNumId w:val="20"/>
  </w:num>
  <w:num w:numId="12">
    <w:abstractNumId w:val="27"/>
  </w:num>
  <w:num w:numId="13">
    <w:abstractNumId w:val="31"/>
  </w:num>
  <w:num w:numId="14">
    <w:abstractNumId w:val="7"/>
  </w:num>
  <w:num w:numId="15">
    <w:abstractNumId w:val="1"/>
  </w:num>
  <w:num w:numId="16">
    <w:abstractNumId w:val="21"/>
  </w:num>
  <w:num w:numId="17">
    <w:abstractNumId w:val="6"/>
  </w:num>
  <w:num w:numId="18">
    <w:abstractNumId w:val="4"/>
  </w:num>
  <w:num w:numId="19">
    <w:abstractNumId w:val="16"/>
  </w:num>
  <w:num w:numId="20">
    <w:abstractNumId w:val="15"/>
  </w:num>
  <w:num w:numId="21">
    <w:abstractNumId w:val="33"/>
  </w:num>
  <w:num w:numId="22">
    <w:abstractNumId w:val="24"/>
  </w:num>
  <w:num w:numId="23">
    <w:abstractNumId w:val="19"/>
  </w:num>
  <w:num w:numId="24">
    <w:abstractNumId w:val="23"/>
  </w:num>
  <w:num w:numId="25">
    <w:abstractNumId w:val="38"/>
  </w:num>
  <w:num w:numId="26">
    <w:abstractNumId w:val="8"/>
  </w:num>
  <w:num w:numId="27">
    <w:abstractNumId w:val="2"/>
  </w:num>
  <w:num w:numId="28">
    <w:abstractNumId w:val="29"/>
  </w:num>
  <w:num w:numId="29">
    <w:abstractNumId w:val="40"/>
  </w:num>
  <w:num w:numId="30">
    <w:abstractNumId w:val="0"/>
  </w:num>
  <w:num w:numId="31">
    <w:abstractNumId w:val="22"/>
  </w:num>
  <w:num w:numId="32">
    <w:abstractNumId w:val="30"/>
  </w:num>
  <w:num w:numId="33">
    <w:abstractNumId w:val="37"/>
  </w:num>
  <w:num w:numId="34">
    <w:abstractNumId w:val="13"/>
  </w:num>
  <w:num w:numId="35">
    <w:abstractNumId w:val="36"/>
  </w:num>
  <w:num w:numId="36">
    <w:abstractNumId w:val="3"/>
  </w:num>
  <w:num w:numId="37">
    <w:abstractNumId w:val="9"/>
  </w:num>
  <w:num w:numId="38">
    <w:abstractNumId w:val="10"/>
  </w:num>
  <w:num w:numId="39">
    <w:abstractNumId w:val="39"/>
  </w:num>
  <w:num w:numId="40">
    <w:abstractNumId w:val="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AA"/>
    <w:rsid w:val="002834D8"/>
    <w:rsid w:val="00791FDA"/>
    <w:rsid w:val="00AB4FAA"/>
    <w:rsid w:val="00DC3FCF"/>
    <w:rsid w:val="00E16D2D"/>
    <w:rsid w:val="00E33A25"/>
    <w:rsid w:val="00E36FA6"/>
    <w:rsid w:val="00E843D9"/>
    <w:rsid w:val="00EF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31E6"/>
  <w15:docId w15:val="{514982C1-625B-4BDE-BCDF-AC32B9AA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A67F8"/>
    <w:rPr>
      <w:color w:val="0000FF" w:themeColor="hyperlink"/>
      <w:u w:val="single"/>
    </w:rPr>
  </w:style>
  <w:style w:type="character" w:styleId="UnresolvedMention">
    <w:name w:val="Unresolved Mention"/>
    <w:basedOn w:val="DefaultParagraphFont"/>
    <w:uiPriority w:val="99"/>
    <w:semiHidden/>
    <w:unhideWhenUsed/>
    <w:rsid w:val="00EA67F8"/>
    <w:rPr>
      <w:color w:val="605E5C"/>
      <w:shd w:val="clear" w:color="auto" w:fill="E1DFDD"/>
    </w:rPr>
  </w:style>
  <w:style w:type="paragraph" w:styleId="ListParagraph">
    <w:name w:val="List Paragraph"/>
    <w:basedOn w:val="Normal"/>
    <w:uiPriority w:val="34"/>
    <w:qFormat/>
    <w:rsid w:val="00370493"/>
    <w:pPr>
      <w:ind w:left="720"/>
      <w:contextualSpacing/>
    </w:pPr>
  </w:style>
  <w:style w:type="paragraph" w:styleId="NormalWeb">
    <w:name w:val="Normal (Web)"/>
    <w:basedOn w:val="Normal"/>
    <w:uiPriority w:val="99"/>
    <w:semiHidden/>
    <w:unhideWhenUsed/>
    <w:rsid w:val="003704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13A2"/>
    <w:rPr>
      <w:sz w:val="16"/>
      <w:szCs w:val="16"/>
    </w:rPr>
  </w:style>
  <w:style w:type="paragraph" w:styleId="CommentText">
    <w:name w:val="annotation text"/>
    <w:basedOn w:val="Normal"/>
    <w:link w:val="CommentTextChar"/>
    <w:uiPriority w:val="99"/>
    <w:semiHidden/>
    <w:unhideWhenUsed/>
    <w:rsid w:val="00FB13A2"/>
    <w:pPr>
      <w:spacing w:line="240" w:lineRule="auto"/>
    </w:pPr>
    <w:rPr>
      <w:sz w:val="20"/>
      <w:szCs w:val="20"/>
    </w:rPr>
  </w:style>
  <w:style w:type="character" w:customStyle="1" w:styleId="CommentTextChar">
    <w:name w:val="Comment Text Char"/>
    <w:basedOn w:val="DefaultParagraphFont"/>
    <w:link w:val="CommentText"/>
    <w:uiPriority w:val="99"/>
    <w:semiHidden/>
    <w:rsid w:val="00FB13A2"/>
    <w:rPr>
      <w:sz w:val="20"/>
      <w:szCs w:val="20"/>
    </w:rPr>
  </w:style>
  <w:style w:type="paragraph" w:styleId="CommentSubject">
    <w:name w:val="annotation subject"/>
    <w:basedOn w:val="CommentText"/>
    <w:next w:val="CommentText"/>
    <w:link w:val="CommentSubjectChar"/>
    <w:uiPriority w:val="99"/>
    <w:semiHidden/>
    <w:unhideWhenUsed/>
    <w:rsid w:val="00FB13A2"/>
    <w:rPr>
      <w:b/>
      <w:bCs/>
    </w:rPr>
  </w:style>
  <w:style w:type="character" w:customStyle="1" w:styleId="CommentSubjectChar">
    <w:name w:val="Comment Subject Char"/>
    <w:basedOn w:val="CommentTextChar"/>
    <w:link w:val="CommentSubject"/>
    <w:uiPriority w:val="99"/>
    <w:semiHidden/>
    <w:rsid w:val="00FB13A2"/>
    <w:rPr>
      <w:b/>
      <w:bCs/>
      <w:sz w:val="20"/>
      <w:szCs w:val="20"/>
    </w:rPr>
  </w:style>
  <w:style w:type="paragraph" w:styleId="BalloonText">
    <w:name w:val="Balloon Text"/>
    <w:basedOn w:val="Normal"/>
    <w:link w:val="BalloonTextChar"/>
    <w:uiPriority w:val="99"/>
    <w:semiHidden/>
    <w:unhideWhenUsed/>
    <w:rsid w:val="00FB13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A2"/>
    <w:rPr>
      <w:rFonts w:ascii="Segoe UI" w:hAnsi="Segoe UI" w:cs="Segoe UI"/>
      <w:sz w:val="18"/>
      <w:szCs w:val="18"/>
    </w:rPr>
  </w:style>
  <w:style w:type="character" w:customStyle="1" w:styleId="apple-tab-span">
    <w:name w:val="apple-tab-span"/>
    <w:basedOn w:val="DefaultParagraphFont"/>
    <w:rsid w:val="00FB13A2"/>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Revision">
    <w:name w:val="Revision"/>
    <w:hidden/>
    <w:uiPriority w:val="99"/>
    <w:semiHidden/>
    <w:rsid w:val="007908C4"/>
    <w:pPr>
      <w:spacing w:line="240" w:lineRule="auto"/>
    </w:pPr>
  </w:style>
  <w:style w:type="table" w:customStyle="1" w:styleId="af7">
    <w:basedOn w:val="TableNormal"/>
    <w:tblPr>
      <w:tblStyleRowBandSize w:val="1"/>
      <w:tblStyleColBandSize w:val="1"/>
      <w:tblCellMar>
        <w:top w:w="15" w:type="dxa"/>
        <w:left w:w="115" w:type="dxa"/>
        <w:bottom w:w="15" w:type="dxa"/>
        <w:right w:w="115" w:type="dxa"/>
      </w:tblCellMar>
    </w:tblPr>
  </w:style>
  <w:style w:type="table" w:customStyle="1" w:styleId="af8">
    <w:basedOn w:val="TableNormal"/>
    <w:tblPr>
      <w:tblStyleRowBandSize w:val="1"/>
      <w:tblStyleColBandSize w:val="1"/>
      <w:tblCellMar>
        <w:top w:w="15" w:type="dxa"/>
        <w:left w:w="115" w:type="dxa"/>
        <w:bottom w:w="15" w:type="dxa"/>
        <w:right w:w="115" w:type="dxa"/>
      </w:tblCellMar>
    </w:tblPr>
  </w:style>
  <w:style w:type="table" w:customStyle="1" w:styleId="af9">
    <w:basedOn w:val="TableNormal"/>
    <w:tblPr>
      <w:tblStyleRowBandSize w:val="1"/>
      <w:tblStyleColBandSize w:val="1"/>
      <w:tblCellMar>
        <w:top w:w="15" w:type="dxa"/>
        <w:left w:w="115" w:type="dxa"/>
        <w:bottom w:w="15" w:type="dxa"/>
        <w:right w:w="115" w:type="dxa"/>
      </w:tblCellMar>
    </w:tblPr>
  </w:style>
  <w:style w:type="table" w:customStyle="1" w:styleId="afa">
    <w:basedOn w:val="TableNormal"/>
    <w:tblPr>
      <w:tblStyleRowBandSize w:val="1"/>
      <w:tblStyleColBandSize w:val="1"/>
      <w:tblCellMar>
        <w:top w:w="15" w:type="dxa"/>
        <w:left w:w="115" w:type="dxa"/>
        <w:bottom w:w="15" w:type="dxa"/>
        <w:right w:w="115" w:type="dxa"/>
      </w:tblCellMar>
    </w:tblPr>
  </w:style>
  <w:style w:type="table" w:customStyle="1" w:styleId="afb">
    <w:basedOn w:val="TableNormal"/>
    <w:tblPr>
      <w:tblStyleRowBandSize w:val="1"/>
      <w:tblStyleColBandSize w:val="1"/>
      <w:tblCellMar>
        <w:top w:w="15" w:type="dxa"/>
        <w:left w:w="115" w:type="dxa"/>
        <w:bottom w:w="15" w:type="dxa"/>
        <w:right w:w="115" w:type="dxa"/>
      </w:tblCellMar>
    </w:tblPr>
  </w:style>
  <w:style w:type="table" w:customStyle="1" w:styleId="afc">
    <w:basedOn w:val="TableNormal"/>
    <w:tblPr>
      <w:tblStyleRowBandSize w:val="1"/>
      <w:tblStyleColBandSize w:val="1"/>
      <w:tblCellMar>
        <w:top w:w="15" w:type="dxa"/>
        <w:left w:w="115" w:type="dxa"/>
        <w:bottom w:w="15" w:type="dxa"/>
        <w:right w:w="115" w:type="dxa"/>
      </w:tblCellMar>
    </w:tblPr>
  </w:style>
  <w:style w:type="table" w:customStyle="1" w:styleId="afd">
    <w:basedOn w:val="TableNormal"/>
    <w:tblPr>
      <w:tblStyleRowBandSize w:val="1"/>
      <w:tblStyleColBandSize w:val="1"/>
      <w:tblCellMar>
        <w:top w:w="15" w:type="dxa"/>
        <w:left w:w="115" w:type="dxa"/>
        <w:bottom w:w="15" w:type="dxa"/>
        <w:right w:w="115" w:type="dxa"/>
      </w:tblCellMar>
    </w:tblPr>
  </w:style>
  <w:style w:type="table" w:customStyle="1" w:styleId="afe">
    <w:basedOn w:val="TableNormal"/>
    <w:tblPr>
      <w:tblStyleRowBandSize w:val="1"/>
      <w:tblStyleColBandSize w:val="1"/>
      <w:tblCellMar>
        <w:top w:w="15" w:type="dxa"/>
        <w:left w:w="115" w:type="dxa"/>
        <w:bottom w:w="15" w:type="dxa"/>
        <w:right w:w="115" w:type="dxa"/>
      </w:tblCellMar>
    </w:tblPr>
  </w:style>
  <w:style w:type="table" w:customStyle="1" w:styleId="aff">
    <w:basedOn w:val="TableNormal"/>
    <w:tblPr>
      <w:tblStyleRowBandSize w:val="1"/>
      <w:tblStyleColBandSize w:val="1"/>
      <w:tblCellMar>
        <w:top w:w="15" w:type="dxa"/>
        <w:left w:w="115" w:type="dxa"/>
        <w:bottom w:w="15" w:type="dxa"/>
        <w:right w:w="115" w:type="dxa"/>
      </w:tblCellMar>
    </w:tblPr>
  </w:style>
  <w:style w:type="table" w:customStyle="1" w:styleId="aff0">
    <w:basedOn w:val="TableNormal"/>
    <w:tblPr>
      <w:tblStyleRowBandSize w:val="1"/>
      <w:tblStyleColBandSize w:val="1"/>
      <w:tblCellMar>
        <w:top w:w="15" w:type="dxa"/>
        <w:left w:w="115" w:type="dxa"/>
        <w:bottom w:w="15" w:type="dxa"/>
        <w:right w:w="115" w:type="dxa"/>
      </w:tblCellMar>
    </w:tblPr>
  </w:style>
  <w:style w:type="table" w:customStyle="1" w:styleId="aff1">
    <w:basedOn w:val="TableNormal"/>
    <w:tblPr>
      <w:tblStyleRowBandSize w:val="1"/>
      <w:tblStyleColBandSize w:val="1"/>
      <w:tblCellMar>
        <w:top w:w="15" w:type="dxa"/>
        <w:left w:w="115" w:type="dxa"/>
        <w:bottom w:w="15" w:type="dxa"/>
        <w:right w:w="115" w:type="dxa"/>
      </w:tblCellMar>
    </w:tblPr>
  </w:style>
  <w:style w:type="table" w:customStyle="1" w:styleId="aff2">
    <w:basedOn w:val="TableNormal"/>
    <w:tblPr>
      <w:tblStyleRowBandSize w:val="1"/>
      <w:tblStyleColBandSize w:val="1"/>
      <w:tblCellMar>
        <w:top w:w="15" w:type="dxa"/>
        <w:left w:w="115" w:type="dxa"/>
        <w:bottom w:w="15" w:type="dxa"/>
        <w:right w:w="115" w:type="dxa"/>
      </w:tblCellMar>
    </w:tblPr>
  </w:style>
  <w:style w:type="table" w:customStyle="1" w:styleId="aff3">
    <w:basedOn w:val="TableNormal"/>
    <w:tblPr>
      <w:tblStyleRowBandSize w:val="1"/>
      <w:tblStyleColBandSize w:val="1"/>
      <w:tblCellMar>
        <w:top w:w="15" w:type="dxa"/>
        <w:left w:w="115" w:type="dxa"/>
        <w:bottom w:w="15" w:type="dxa"/>
        <w:right w:w="115" w:type="dxa"/>
      </w:tblCellMar>
    </w:tblPr>
  </w:style>
  <w:style w:type="table" w:customStyle="1" w:styleId="aff4">
    <w:basedOn w:val="TableNormal"/>
    <w:tblPr>
      <w:tblStyleRowBandSize w:val="1"/>
      <w:tblStyleColBandSize w:val="1"/>
      <w:tblCellMar>
        <w:top w:w="15" w:type="dxa"/>
        <w:left w:w="115" w:type="dxa"/>
        <w:bottom w:w="15" w:type="dxa"/>
        <w:right w:w="115" w:type="dxa"/>
      </w:tblCellMar>
    </w:tblPr>
  </w:style>
  <w:style w:type="table" w:customStyle="1" w:styleId="aff5">
    <w:basedOn w:val="TableNormal"/>
    <w:tblPr>
      <w:tblStyleRowBandSize w:val="1"/>
      <w:tblStyleColBandSize w:val="1"/>
      <w:tblCellMar>
        <w:top w:w="15" w:type="dxa"/>
        <w:left w:w="115" w:type="dxa"/>
        <w:bottom w:w="15" w:type="dxa"/>
        <w:right w:w="115" w:type="dxa"/>
      </w:tblCellMar>
    </w:tblPr>
  </w:style>
  <w:style w:type="table" w:customStyle="1" w:styleId="aff6">
    <w:basedOn w:val="TableNormal"/>
    <w:tblPr>
      <w:tblStyleRowBandSize w:val="1"/>
      <w:tblStyleColBandSize w:val="1"/>
      <w:tblCellMar>
        <w:top w:w="15" w:type="dxa"/>
        <w:left w:w="115" w:type="dxa"/>
        <w:bottom w:w="15" w:type="dxa"/>
        <w:right w:w="115" w:type="dxa"/>
      </w:tblCellMar>
    </w:tblPr>
  </w:style>
  <w:style w:type="table" w:customStyle="1" w:styleId="aff7">
    <w:basedOn w:val="TableNormal"/>
    <w:tblPr>
      <w:tblStyleRowBandSize w:val="1"/>
      <w:tblStyleColBandSize w:val="1"/>
      <w:tblCellMar>
        <w:top w:w="15" w:type="dxa"/>
        <w:left w:w="115" w:type="dxa"/>
        <w:bottom w:w="15" w:type="dxa"/>
        <w:right w:w="115" w:type="dxa"/>
      </w:tblCellMar>
    </w:tblPr>
  </w:style>
  <w:style w:type="table" w:customStyle="1" w:styleId="aff8">
    <w:basedOn w:val="TableNormal"/>
    <w:tblPr>
      <w:tblStyleRowBandSize w:val="1"/>
      <w:tblStyleColBandSize w:val="1"/>
      <w:tblCellMar>
        <w:top w:w="15" w:type="dxa"/>
        <w:left w:w="115" w:type="dxa"/>
        <w:bottom w:w="15" w:type="dxa"/>
        <w:right w:w="115" w:type="dxa"/>
      </w:tblCellMar>
    </w:tblPr>
  </w:style>
  <w:style w:type="table" w:customStyle="1" w:styleId="aff9">
    <w:basedOn w:val="TableNormal"/>
    <w:tblPr>
      <w:tblStyleRowBandSize w:val="1"/>
      <w:tblStyleColBandSize w:val="1"/>
      <w:tblCellMar>
        <w:top w:w="15" w:type="dxa"/>
        <w:left w:w="115" w:type="dxa"/>
        <w:bottom w:w="15" w:type="dxa"/>
        <w:right w:w="115" w:type="dxa"/>
      </w:tblCellMar>
    </w:tblPr>
  </w:style>
  <w:style w:type="table" w:customStyle="1" w:styleId="affa">
    <w:basedOn w:val="TableNormal"/>
    <w:tblPr>
      <w:tblStyleRowBandSize w:val="1"/>
      <w:tblStyleColBandSize w:val="1"/>
      <w:tblCellMar>
        <w:top w:w="15" w:type="dxa"/>
        <w:left w:w="115" w:type="dxa"/>
        <w:bottom w:w="15" w:type="dxa"/>
        <w:right w:w="115" w:type="dxa"/>
      </w:tblCellMar>
    </w:tblPr>
  </w:style>
  <w:style w:type="table" w:customStyle="1" w:styleId="affb">
    <w:basedOn w:val="TableNormal"/>
    <w:tblPr>
      <w:tblStyleRowBandSize w:val="1"/>
      <w:tblStyleColBandSize w:val="1"/>
      <w:tblCellMar>
        <w:top w:w="15" w:type="dxa"/>
        <w:left w:w="115" w:type="dxa"/>
        <w:bottom w:w="15" w:type="dxa"/>
        <w:right w:w="115" w:type="dxa"/>
      </w:tblCellMar>
    </w:tblPr>
  </w:style>
  <w:style w:type="table" w:customStyle="1" w:styleId="affc">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lin.Seymour@socialmobilitycommission.gov.uk" TargetMode="External"/><Relationship Id="rId18" Type="http://schemas.openxmlformats.org/officeDocument/2006/relationships/hyperlink" Target="https://www.gov.uk/government/policies/armed-forces-covenant" TargetMode="External"/><Relationship Id="rId26" Type="http://schemas.openxmlformats.org/officeDocument/2006/relationships/hyperlink" Target="https://www.gov.uk/government/organisations/cabinet-office"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lin.Seymour@cabinetoffice.gov.uk" TargetMode="External"/><Relationship Id="rId17" Type="http://schemas.openxmlformats.org/officeDocument/2006/relationships/hyperlink" Target="https://www.gov.uk/government/uploads/system/uploads/attachment_data/file/592358/TransparencyPrinciplesFebruary2017.pdf" TargetMode="External"/><Relationship Id="rId25" Type="http://schemas.openxmlformats.org/officeDocument/2006/relationships/hyperlink" Target="https://www.gov.uk/government/publications/government-baseline-personnel-security-standar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ministers/minister-for-the-cabinet-office"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hyperlink" Target="https://www.ncsc.gov.uk/guidance/secure-sanitisation-storage-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6/7/section/6/enacted" TargetMode="Externa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lin.Seymour@cabinetoffice.gov.uk" TargetMode="External"/><Relationship Id="rId23" Type="http://schemas.openxmlformats.org/officeDocument/2006/relationships/hyperlink" Target="http://www.dnb.co.uk/dandb-duns-number" TargetMode="External"/><Relationship Id="rId28" Type="http://schemas.openxmlformats.org/officeDocument/2006/relationships/hyperlink" Target="https://www.gov.uk/government/publications/government-security-classifications" TargetMode="External"/><Relationship Id="rId10" Type="http://schemas.openxmlformats.org/officeDocument/2006/relationships/hyperlink" Target="https://www.gov.uk/government/publications/state-of-the-nation-2021-social-mobility-and-the-pandemic" TargetMode="External"/><Relationship Id="rId19" Type="http://schemas.openxmlformats.org/officeDocument/2006/relationships/hyperlink" Target="https://www.gov.uk/guidance/disability-confident-how-to-sign-up-to-the-employer-scheme" TargetMode="External"/><Relationship Id="rId31"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mailto:Colin.Seymour@cabinetoffice.gov.uk" TargetMode="External"/><Relationship Id="rId14" Type="http://schemas.openxmlformats.org/officeDocument/2006/relationships/hyperlink" Target="https://www.gov.uk/government/ministers/minister-for-the-cabinet-office"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yperlink" Target="https://www.iasme.co.uk/apply-for-self-assessment/" TargetMode="External"/><Relationship Id="rId30" Type="http://schemas.openxmlformats.org/officeDocument/2006/relationships/hyperlink" Target="https://www.cpni.gov.uk/secure-destr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peE7boUBEz5WdRzvVqP6SrxmBw==">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11140</Words>
  <Characters>63504</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Seymour</dc:creator>
  <cp:lastModifiedBy>Colin Seymour</cp:lastModifiedBy>
  <cp:revision>3</cp:revision>
  <dcterms:created xsi:type="dcterms:W3CDTF">2022-02-03T18:37:00Z</dcterms:created>
  <dcterms:modified xsi:type="dcterms:W3CDTF">2022-02-03T18:59:00Z</dcterms:modified>
</cp:coreProperties>
</file>