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800"/>
      </w:tblGrid>
      <w:tr w:rsidR="00895337" w:rsidTr="006A3438">
        <w:tc>
          <w:tcPr>
            <w:tcW w:w="4442" w:type="dxa"/>
          </w:tcPr>
          <w:p w:rsidR="00895337" w:rsidRDefault="00895337" w:rsidP="006A3438">
            <w:pPr>
              <w:tabs>
                <w:tab w:val="left" w:pos="6660"/>
                <w:tab w:val="left" w:pos="7920"/>
              </w:tabs>
              <w:ind w:right="-110"/>
              <w:jc w:val="both"/>
              <w:rPr>
                <w:rFonts w:asciiTheme="minorHAnsi" w:hAnsiTheme="minorHAnsi" w:cstheme="minorHAnsi"/>
                <w:bCs/>
                <w:noProof/>
                <w:lang w:eastAsia="en-GB"/>
              </w:rPr>
            </w:pPr>
            <w:r>
              <w:rPr>
                <w:rFonts w:cstheme="minorHAnsi"/>
                <w:bCs/>
                <w:noProof/>
                <w:lang w:eastAsia="en-GB"/>
              </w:rPr>
              <w:drawing>
                <wp:inline distT="0" distB="0" distL="0" distR="0" wp14:anchorId="2B1F5D91" wp14:editId="6D555439">
                  <wp:extent cx="1579245" cy="6584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245" cy="658495"/>
                          </a:xfrm>
                          <a:prstGeom prst="rect">
                            <a:avLst/>
                          </a:prstGeom>
                          <a:noFill/>
                        </pic:spPr>
                      </pic:pic>
                    </a:graphicData>
                  </a:graphic>
                </wp:inline>
              </w:drawing>
            </w:r>
          </w:p>
        </w:tc>
        <w:tc>
          <w:tcPr>
            <w:tcW w:w="4800" w:type="dxa"/>
          </w:tcPr>
          <w:p w:rsidR="00895337" w:rsidRDefault="00895337" w:rsidP="006A3438">
            <w:pPr>
              <w:ind w:left="986" w:right="26"/>
              <w:jc w:val="right"/>
              <w:rPr>
                <w:rFonts w:asciiTheme="minorHAnsi" w:hAnsiTheme="minorHAnsi" w:cstheme="minorHAnsi"/>
                <w:lang w:eastAsia="en-GB"/>
              </w:rPr>
            </w:pPr>
            <w:r>
              <w:rPr>
                <w:rFonts w:asciiTheme="minorHAnsi" w:hAnsiTheme="minorHAnsi" w:cstheme="minorHAnsi"/>
                <w:lang w:eastAsia="en-GB"/>
              </w:rPr>
              <w:t>The Atrium Business Centre</w:t>
            </w:r>
          </w:p>
          <w:p w:rsidR="00895337" w:rsidRDefault="00895337" w:rsidP="006A3438">
            <w:pPr>
              <w:ind w:left="986" w:right="26"/>
              <w:jc w:val="right"/>
              <w:rPr>
                <w:rFonts w:asciiTheme="minorHAnsi" w:hAnsiTheme="minorHAnsi" w:cstheme="minorHAnsi"/>
                <w:lang w:eastAsia="en-GB"/>
              </w:rPr>
            </w:pPr>
            <w:r>
              <w:rPr>
                <w:rFonts w:asciiTheme="minorHAnsi" w:hAnsiTheme="minorHAnsi" w:cstheme="minorHAnsi"/>
                <w:lang w:eastAsia="en-GB"/>
              </w:rPr>
              <w:t>Curtis Road</w:t>
            </w:r>
          </w:p>
          <w:p w:rsidR="00895337" w:rsidRDefault="00895337" w:rsidP="006A3438">
            <w:pPr>
              <w:ind w:left="986" w:right="26"/>
              <w:jc w:val="right"/>
              <w:rPr>
                <w:rFonts w:asciiTheme="minorHAnsi" w:hAnsiTheme="minorHAnsi" w:cstheme="minorHAnsi"/>
                <w:lang w:eastAsia="en-GB"/>
              </w:rPr>
            </w:pPr>
            <w:r>
              <w:rPr>
                <w:rFonts w:asciiTheme="minorHAnsi" w:hAnsiTheme="minorHAnsi" w:cstheme="minorHAnsi"/>
                <w:lang w:eastAsia="en-GB"/>
              </w:rPr>
              <w:t>Dorking</w:t>
            </w:r>
          </w:p>
          <w:p w:rsidR="00895337" w:rsidRDefault="00895337" w:rsidP="006A3438">
            <w:pPr>
              <w:ind w:left="986" w:right="26"/>
              <w:jc w:val="right"/>
              <w:rPr>
                <w:rFonts w:asciiTheme="minorHAnsi" w:hAnsiTheme="minorHAnsi" w:cstheme="minorHAnsi"/>
                <w:lang w:eastAsia="en-GB"/>
              </w:rPr>
            </w:pPr>
            <w:r>
              <w:rPr>
                <w:rFonts w:asciiTheme="minorHAnsi" w:hAnsiTheme="minorHAnsi" w:cstheme="minorHAnsi"/>
                <w:lang w:eastAsia="en-GB"/>
              </w:rPr>
              <w:t>RH4 1XA</w:t>
            </w:r>
          </w:p>
          <w:p w:rsidR="00895337" w:rsidRDefault="00895337" w:rsidP="006A3438">
            <w:pPr>
              <w:ind w:left="986" w:right="26"/>
              <w:jc w:val="right"/>
              <w:rPr>
                <w:rFonts w:asciiTheme="minorHAnsi" w:hAnsiTheme="minorHAnsi" w:cstheme="minorHAnsi"/>
                <w:lang w:eastAsia="en-GB"/>
              </w:rPr>
            </w:pPr>
          </w:p>
          <w:p w:rsidR="00895337" w:rsidRDefault="00895337" w:rsidP="006A3438">
            <w:pPr>
              <w:ind w:left="986" w:right="26"/>
              <w:jc w:val="right"/>
              <w:rPr>
                <w:rFonts w:asciiTheme="minorHAnsi" w:hAnsiTheme="minorHAnsi" w:cstheme="minorHAnsi"/>
                <w:lang w:eastAsia="en-GB"/>
              </w:rPr>
            </w:pPr>
            <w:r>
              <w:rPr>
                <w:rFonts w:asciiTheme="minorHAnsi" w:hAnsiTheme="minorHAnsi" w:cstheme="minorHAnsi"/>
                <w:lang w:eastAsia="en-GB"/>
              </w:rPr>
              <w:t>Tel: 01306 646822</w:t>
            </w:r>
          </w:p>
          <w:p w:rsidR="00895337" w:rsidRDefault="00895337" w:rsidP="006A3438">
            <w:pPr>
              <w:ind w:left="986" w:right="26"/>
              <w:jc w:val="right"/>
              <w:rPr>
                <w:rFonts w:asciiTheme="minorHAnsi" w:hAnsiTheme="minorHAnsi" w:cstheme="minorHAnsi"/>
                <w:lang w:eastAsia="en-GB"/>
              </w:rPr>
            </w:pPr>
            <w:r>
              <w:rPr>
                <w:rFonts w:asciiTheme="minorHAnsi" w:hAnsiTheme="minorHAnsi" w:cstheme="minorHAnsi"/>
                <w:lang w:eastAsia="en-GB"/>
              </w:rPr>
              <w:t>Fax: 01306 646801</w:t>
            </w:r>
          </w:p>
          <w:p w:rsidR="00895337" w:rsidRDefault="008A082D" w:rsidP="006A3438">
            <w:pPr>
              <w:ind w:left="986" w:right="26"/>
              <w:jc w:val="right"/>
              <w:rPr>
                <w:lang w:eastAsia="en-GB"/>
              </w:rPr>
            </w:pPr>
            <w:hyperlink r:id="rId9" w:history="1">
              <w:r w:rsidR="00895337">
                <w:rPr>
                  <w:rStyle w:val="Hyperlink"/>
                  <w:rFonts w:asciiTheme="minorHAnsi" w:hAnsiTheme="minorHAnsi" w:cstheme="minorHAnsi"/>
                  <w:lang w:eastAsia="en-GB"/>
                </w:rPr>
                <w:t>www.commercialsolutions-sec.nhs.uk</w:t>
              </w:r>
            </w:hyperlink>
          </w:p>
          <w:p w:rsidR="00895337" w:rsidRDefault="00895337" w:rsidP="006A3438">
            <w:pPr>
              <w:ind w:left="986" w:right="26"/>
              <w:jc w:val="right"/>
              <w:rPr>
                <w:rFonts w:asciiTheme="minorHAnsi" w:hAnsiTheme="minorHAnsi" w:cstheme="minorHAnsi"/>
                <w:lang w:eastAsia="en-GB"/>
              </w:rPr>
            </w:pPr>
          </w:p>
          <w:p w:rsidR="00895337" w:rsidRDefault="00F07BFE" w:rsidP="00D15C9C">
            <w:pPr>
              <w:ind w:right="26"/>
              <w:jc w:val="right"/>
              <w:rPr>
                <w:rFonts w:asciiTheme="minorHAnsi" w:hAnsiTheme="minorHAnsi" w:cstheme="minorHAnsi"/>
                <w:noProof/>
                <w:lang w:eastAsia="en-GB"/>
              </w:rPr>
            </w:pPr>
            <w:r>
              <w:rPr>
                <w:rFonts w:asciiTheme="minorHAnsi" w:hAnsiTheme="minorHAnsi" w:cstheme="minorHAnsi"/>
                <w:noProof/>
                <w:lang w:eastAsia="en-GB"/>
              </w:rPr>
              <w:t>20</w:t>
            </w:r>
            <w:r w:rsidR="00EC1928">
              <w:rPr>
                <w:rFonts w:asciiTheme="minorHAnsi" w:hAnsiTheme="minorHAnsi" w:cstheme="minorHAnsi"/>
                <w:noProof/>
                <w:lang w:eastAsia="en-GB"/>
              </w:rPr>
              <w:t xml:space="preserve"> May</w:t>
            </w:r>
            <w:r w:rsidR="00142BAB">
              <w:rPr>
                <w:rFonts w:asciiTheme="minorHAnsi" w:hAnsiTheme="minorHAnsi" w:cstheme="minorHAnsi"/>
                <w:noProof/>
                <w:lang w:eastAsia="en-GB"/>
              </w:rPr>
              <w:t xml:space="preserve"> 2016</w:t>
            </w:r>
          </w:p>
        </w:tc>
      </w:tr>
    </w:tbl>
    <w:p w:rsidR="00895337" w:rsidRPr="00A63DA8" w:rsidRDefault="00142BAB" w:rsidP="00895337">
      <w:pPr>
        <w:rPr>
          <w:rFonts w:ascii="Arial" w:eastAsia="Calibri" w:hAnsi="Arial" w:cs="Arial"/>
        </w:rPr>
      </w:pPr>
      <w:r w:rsidRPr="00A63DA8">
        <w:rPr>
          <w:rFonts w:ascii="Arial" w:eastAsia="Calibri" w:hAnsi="Arial" w:cs="Arial"/>
        </w:rPr>
        <w:t>NHS Commercial Solutions</w:t>
      </w:r>
    </w:p>
    <w:p w:rsidR="00895337" w:rsidRPr="00A63DA8" w:rsidRDefault="00895337" w:rsidP="00895337">
      <w:pPr>
        <w:rPr>
          <w:rFonts w:ascii="Arial" w:eastAsia="Calibri" w:hAnsi="Arial" w:cs="Arial"/>
        </w:rPr>
      </w:pPr>
      <w:r w:rsidRPr="00A63DA8">
        <w:rPr>
          <w:rFonts w:ascii="Arial" w:eastAsia="Calibri" w:hAnsi="Arial" w:cs="Arial"/>
        </w:rPr>
        <w:t xml:space="preserve">For any queries please contact </w:t>
      </w:r>
      <w:r w:rsidR="00142BAB" w:rsidRPr="00A63DA8">
        <w:rPr>
          <w:rFonts w:ascii="Arial" w:eastAsia="Calibri" w:hAnsi="Arial" w:cs="Arial"/>
        </w:rPr>
        <w:t>Philip Spicer</w:t>
      </w:r>
      <w:r w:rsidRPr="00A63DA8">
        <w:rPr>
          <w:rFonts w:ascii="Arial" w:eastAsia="Calibri" w:hAnsi="Arial" w:cs="Arial"/>
        </w:rPr>
        <w:t xml:space="preserve">: </w:t>
      </w:r>
      <w:hyperlink r:id="rId10" w:history="1">
        <w:r w:rsidR="00D10F2C" w:rsidRPr="00A63DA8">
          <w:rPr>
            <w:rStyle w:val="Hyperlink"/>
            <w:rFonts w:ascii="Arial" w:hAnsi="Arial" w:cs="Arial"/>
          </w:rPr>
          <w:t>NHSCS.kmcsu@nhs.net</w:t>
        </w:r>
      </w:hyperlink>
      <w:r w:rsidR="00D10F2C" w:rsidRPr="00A63DA8">
        <w:rPr>
          <w:rFonts w:ascii="Arial" w:hAnsi="Arial" w:cs="Arial"/>
        </w:rPr>
        <w:t xml:space="preserve"> </w:t>
      </w:r>
      <w:r w:rsidR="00D10F2C" w:rsidRPr="00A63DA8">
        <w:rPr>
          <w:rFonts w:ascii="Arial" w:eastAsia="Calibri" w:hAnsi="Arial" w:cs="Arial"/>
        </w:rPr>
        <w:t>quoting the Reference number below.</w:t>
      </w:r>
      <w:r w:rsidR="00142BAB" w:rsidRPr="00A63DA8">
        <w:rPr>
          <w:rFonts w:ascii="Arial" w:eastAsia="Calibri" w:hAnsi="Arial" w:cs="Arial"/>
        </w:rPr>
        <w:t xml:space="preserve"> </w:t>
      </w:r>
    </w:p>
    <w:p w:rsidR="00895337" w:rsidRPr="00A63DA8" w:rsidRDefault="00EC1928" w:rsidP="00895337">
      <w:pPr>
        <w:rPr>
          <w:rFonts w:ascii="Arial" w:eastAsia="Calibri" w:hAnsi="Arial" w:cs="Arial"/>
        </w:rPr>
      </w:pPr>
      <w:r>
        <w:rPr>
          <w:rFonts w:ascii="Arial" w:eastAsia="Calibri" w:hAnsi="Arial" w:cs="Arial"/>
        </w:rPr>
        <w:t>Reference No: KMCSU-100516-1</w:t>
      </w:r>
    </w:p>
    <w:p w:rsidR="00895337" w:rsidRPr="00A63DA8" w:rsidRDefault="00895337" w:rsidP="00895337">
      <w:pPr>
        <w:rPr>
          <w:rFonts w:ascii="Arial" w:eastAsia="Calibri" w:hAnsi="Arial" w:cs="Arial"/>
          <w:color w:val="FF0000"/>
        </w:rPr>
      </w:pPr>
      <w:r w:rsidRPr="00A63DA8">
        <w:rPr>
          <w:rFonts w:ascii="Arial" w:eastAsia="Calibri" w:hAnsi="Arial" w:cs="Arial"/>
        </w:rPr>
        <w:t xml:space="preserve">Dear </w:t>
      </w:r>
      <w:r w:rsidR="00142BAB" w:rsidRPr="00A63DA8">
        <w:rPr>
          <w:rFonts w:ascii="Arial" w:eastAsia="Calibri" w:hAnsi="Arial" w:cs="Arial"/>
        </w:rPr>
        <w:t>Tenderer,</w:t>
      </w:r>
    </w:p>
    <w:p w:rsidR="00895337" w:rsidRDefault="00142BAB" w:rsidP="00895337">
      <w:pPr>
        <w:spacing w:after="0" w:line="240" w:lineRule="auto"/>
        <w:rPr>
          <w:rFonts w:ascii="Arial" w:eastAsia="Times New Roman" w:hAnsi="Arial" w:cs="Arial"/>
          <w:b/>
        </w:rPr>
      </w:pPr>
      <w:r w:rsidRPr="00A63DA8">
        <w:rPr>
          <w:rFonts w:ascii="Arial" w:eastAsia="Times New Roman" w:hAnsi="Arial" w:cs="Arial"/>
          <w:b/>
        </w:rPr>
        <w:t xml:space="preserve">Invitation to Quote: </w:t>
      </w:r>
      <w:r w:rsidR="00EC1928">
        <w:rPr>
          <w:rFonts w:ascii="Arial" w:eastAsia="Times New Roman" w:hAnsi="Arial" w:cs="Arial"/>
          <w:b/>
        </w:rPr>
        <w:t>Cleaning Services for</w:t>
      </w:r>
      <w:r w:rsidR="00714639" w:rsidRPr="00A63DA8">
        <w:rPr>
          <w:rFonts w:ascii="Arial" w:eastAsia="Times New Roman" w:hAnsi="Arial" w:cs="Arial"/>
          <w:b/>
        </w:rPr>
        <w:t xml:space="preserve"> Kent House, Station Road, Ashford, Kent. TN23 1PP</w:t>
      </w:r>
    </w:p>
    <w:p w:rsidR="0045028A" w:rsidRPr="00A63DA8" w:rsidRDefault="0045028A" w:rsidP="00895337">
      <w:pPr>
        <w:spacing w:after="0" w:line="240" w:lineRule="auto"/>
        <w:rPr>
          <w:rFonts w:ascii="Arial" w:eastAsia="Times New Roman" w:hAnsi="Arial" w:cs="Arial"/>
          <w:b/>
        </w:rPr>
      </w:pPr>
      <w:r>
        <w:rPr>
          <w:rFonts w:ascii="Arial" w:eastAsia="Times New Roman" w:hAnsi="Arial" w:cs="Arial"/>
          <w:b/>
        </w:rPr>
        <w:t>Contract Period: 2 years with an optional extension for a further 12 months.</w:t>
      </w:r>
    </w:p>
    <w:p w:rsidR="00895337" w:rsidRPr="00A63DA8" w:rsidRDefault="00142BAB" w:rsidP="00D15C9C">
      <w:pPr>
        <w:spacing w:before="120" w:after="120" w:line="240" w:lineRule="auto"/>
        <w:rPr>
          <w:rFonts w:ascii="Arial" w:eastAsia="Times New Roman" w:hAnsi="Arial" w:cs="Arial"/>
        </w:rPr>
      </w:pPr>
      <w:r w:rsidRPr="00A63DA8">
        <w:rPr>
          <w:rFonts w:ascii="Arial" w:eastAsia="Times New Roman" w:hAnsi="Arial" w:cs="Arial"/>
        </w:rPr>
        <w:t>NHS Commercial Solutions, on behalf of NHS South East CSU</w:t>
      </w:r>
      <w:r w:rsidR="00F07BFE">
        <w:rPr>
          <w:rFonts w:ascii="Arial" w:eastAsia="Times New Roman" w:hAnsi="Arial" w:cs="Arial"/>
        </w:rPr>
        <w:t xml:space="preserve"> (the Contracting Authority)</w:t>
      </w:r>
      <w:r w:rsidRPr="00A63DA8">
        <w:rPr>
          <w:rFonts w:ascii="Arial" w:eastAsia="Times New Roman" w:hAnsi="Arial" w:cs="Arial"/>
        </w:rPr>
        <w:t xml:space="preserve"> invites you to submit a quotation for carrying out the supply and services outlined below.</w:t>
      </w:r>
    </w:p>
    <w:p w:rsidR="00142BAB" w:rsidRPr="00A63DA8" w:rsidRDefault="00142BAB" w:rsidP="00D15C9C">
      <w:pPr>
        <w:spacing w:before="120" w:after="120" w:line="240" w:lineRule="auto"/>
        <w:rPr>
          <w:rFonts w:ascii="Arial" w:eastAsia="Times New Roman" w:hAnsi="Arial" w:cs="Arial"/>
        </w:rPr>
      </w:pPr>
      <w:r w:rsidRPr="00A63DA8">
        <w:rPr>
          <w:rFonts w:ascii="Arial" w:eastAsia="Times New Roman" w:hAnsi="Arial" w:cs="Arial"/>
        </w:rPr>
        <w:t xml:space="preserve">Please note that this Invitation to Quotation (ITQ) is subject UK Public Contracts Regulation 2015 and the opportunity is published through </w:t>
      </w:r>
      <w:proofErr w:type="spellStart"/>
      <w:r w:rsidRPr="00A63DA8">
        <w:rPr>
          <w:rFonts w:ascii="Arial" w:eastAsia="Times New Roman" w:hAnsi="Arial" w:cs="Arial"/>
        </w:rPr>
        <w:t>Govt</w:t>
      </w:r>
      <w:proofErr w:type="spellEnd"/>
      <w:r w:rsidRPr="00A63DA8">
        <w:rPr>
          <w:rFonts w:ascii="Arial" w:eastAsia="Times New Roman" w:hAnsi="Arial" w:cs="Arial"/>
        </w:rPr>
        <w:t xml:space="preserve"> procurement portals for maximising SME participation in public procurements. </w:t>
      </w:r>
      <w:r w:rsidR="00C84C89" w:rsidRPr="00A63DA8">
        <w:rPr>
          <w:rFonts w:ascii="Arial" w:eastAsia="Times New Roman" w:hAnsi="Arial" w:cs="Arial"/>
        </w:rPr>
        <w:t>Any offers submitted in response to this ITQ will go through a competitive tender evaluation process</w:t>
      </w:r>
      <w:r w:rsidR="00B01966" w:rsidRPr="00A63DA8">
        <w:rPr>
          <w:rFonts w:ascii="Arial" w:eastAsia="Times New Roman" w:hAnsi="Arial" w:cs="Arial"/>
        </w:rPr>
        <w:t xml:space="preserve"> </w:t>
      </w:r>
      <w:r w:rsidR="00815112">
        <w:rPr>
          <w:rFonts w:ascii="Arial" w:eastAsia="Times New Roman" w:hAnsi="Arial" w:cs="Arial"/>
        </w:rPr>
        <w:t>as per the evaluation matrix below</w:t>
      </w:r>
      <w:r w:rsidR="00C84C89" w:rsidRPr="00A63DA8">
        <w:rPr>
          <w:rFonts w:ascii="Arial" w:eastAsia="Times New Roman" w:hAnsi="Arial" w:cs="Arial"/>
        </w:rPr>
        <w:t>.</w:t>
      </w:r>
      <w:r w:rsidRPr="00A63DA8">
        <w:rPr>
          <w:rFonts w:ascii="Arial" w:eastAsia="Times New Roman" w:hAnsi="Arial" w:cs="Arial"/>
        </w:rPr>
        <w:t xml:space="preserve">   </w:t>
      </w:r>
    </w:p>
    <w:p w:rsidR="00895337" w:rsidRPr="00A63DA8" w:rsidRDefault="00895337" w:rsidP="00D15C9C">
      <w:pPr>
        <w:spacing w:before="120" w:after="120" w:line="240" w:lineRule="auto"/>
        <w:rPr>
          <w:rFonts w:ascii="Arial" w:eastAsia="Times New Roman" w:hAnsi="Arial" w:cs="Arial"/>
        </w:rPr>
      </w:pPr>
      <w:r w:rsidRPr="00A63DA8">
        <w:rPr>
          <w:rFonts w:ascii="Arial" w:eastAsia="Times New Roman" w:hAnsi="Arial" w:cs="Arial"/>
        </w:rPr>
        <w:t xml:space="preserve">We invite you to submit a formal quotation for </w:t>
      </w:r>
      <w:r w:rsidR="00EC1928">
        <w:rPr>
          <w:rFonts w:ascii="Arial" w:eastAsia="Times New Roman" w:hAnsi="Arial" w:cs="Arial"/>
        </w:rPr>
        <w:t>Cleaning Services for</w:t>
      </w:r>
      <w:r w:rsidR="00C84C89" w:rsidRPr="00A63DA8">
        <w:rPr>
          <w:rFonts w:ascii="Arial" w:eastAsia="Times New Roman" w:hAnsi="Arial" w:cs="Arial"/>
        </w:rPr>
        <w:t xml:space="preserve"> Kent House, Station Road, Ashford, </w:t>
      </w:r>
      <w:proofErr w:type="gramStart"/>
      <w:r w:rsidR="00C84C89" w:rsidRPr="00A63DA8">
        <w:rPr>
          <w:rFonts w:ascii="Arial" w:eastAsia="Times New Roman" w:hAnsi="Arial" w:cs="Arial"/>
        </w:rPr>
        <w:t>Kent</w:t>
      </w:r>
      <w:proofErr w:type="gramEnd"/>
      <w:r w:rsidR="00C84C89" w:rsidRPr="00A63DA8">
        <w:rPr>
          <w:rFonts w:ascii="Arial" w:eastAsia="Times New Roman" w:hAnsi="Arial" w:cs="Arial"/>
        </w:rPr>
        <w:t>, TN23 1PP</w:t>
      </w:r>
    </w:p>
    <w:p w:rsidR="00895337" w:rsidRPr="00A63DA8" w:rsidRDefault="00895337" w:rsidP="00895337">
      <w:pPr>
        <w:spacing w:after="0" w:line="240" w:lineRule="auto"/>
        <w:rPr>
          <w:rFonts w:ascii="Arial" w:eastAsia="Times New Roman" w:hAnsi="Arial" w:cs="Arial"/>
          <w:color w:val="FF0000"/>
        </w:rPr>
      </w:pPr>
    </w:p>
    <w:p w:rsidR="00895337" w:rsidRPr="00A63DA8" w:rsidRDefault="00895337" w:rsidP="00895337">
      <w:pPr>
        <w:spacing w:after="0" w:line="240" w:lineRule="auto"/>
        <w:rPr>
          <w:rFonts w:ascii="Arial" w:eastAsia="Times New Roman" w:hAnsi="Arial" w:cs="Arial"/>
          <w:b/>
          <w:u w:val="single"/>
        </w:rPr>
      </w:pPr>
      <w:r w:rsidRPr="00A63DA8">
        <w:rPr>
          <w:rFonts w:ascii="Arial" w:eastAsia="Times New Roman" w:hAnsi="Arial" w:cs="Arial"/>
          <w:b/>
          <w:u w:val="single"/>
        </w:rPr>
        <w:t>Quotation reference (</w:t>
      </w:r>
      <w:r w:rsidR="00EC1928">
        <w:rPr>
          <w:rFonts w:ascii="Arial" w:eastAsia="Times New Roman" w:hAnsi="Arial" w:cs="Arial"/>
          <w:b/>
          <w:u w:val="single"/>
        </w:rPr>
        <w:t>KMCSU-</w:t>
      </w:r>
      <w:r w:rsidR="00EC1928" w:rsidRPr="00EC1928">
        <w:rPr>
          <w:rFonts w:ascii="Arial" w:eastAsia="Times New Roman" w:hAnsi="Arial" w:cs="Arial"/>
          <w:b/>
          <w:u w:val="single"/>
        </w:rPr>
        <w:t>100516-1</w:t>
      </w:r>
      <w:r w:rsidRPr="00A63DA8">
        <w:rPr>
          <w:rFonts w:ascii="Arial" w:eastAsia="Times New Roman" w:hAnsi="Arial" w:cs="Arial"/>
          <w:b/>
          <w:u w:val="single"/>
        </w:rPr>
        <w:t>)</w:t>
      </w:r>
    </w:p>
    <w:p w:rsidR="00895337" w:rsidRPr="00A63DA8" w:rsidRDefault="00895337" w:rsidP="00895337">
      <w:pPr>
        <w:spacing w:after="0" w:line="240" w:lineRule="auto"/>
        <w:rPr>
          <w:rFonts w:ascii="Arial" w:eastAsia="Times New Roman" w:hAnsi="Arial" w:cs="Arial"/>
          <w:b/>
          <w:u w:val="single"/>
        </w:rPr>
      </w:pPr>
    </w:p>
    <w:p w:rsidR="0089785F" w:rsidRPr="00A63DA8" w:rsidRDefault="00D77BEC" w:rsidP="00895337">
      <w:pPr>
        <w:spacing w:after="0" w:line="240" w:lineRule="auto"/>
        <w:rPr>
          <w:rFonts w:ascii="Arial" w:eastAsia="Times New Roman" w:hAnsi="Arial" w:cs="Arial"/>
          <w:b/>
          <w:u w:val="single"/>
        </w:rPr>
      </w:pPr>
      <w:r w:rsidRPr="00A63DA8">
        <w:rPr>
          <w:rFonts w:ascii="Arial" w:eastAsia="Times New Roman" w:hAnsi="Arial" w:cs="Arial"/>
          <w:b/>
          <w:u w:val="single"/>
        </w:rPr>
        <w:t>Time-schedule</w:t>
      </w:r>
    </w:p>
    <w:p w:rsidR="00D77BEC" w:rsidRPr="00A63DA8" w:rsidRDefault="00D77BEC" w:rsidP="00895337">
      <w:pPr>
        <w:spacing w:after="0" w:line="240" w:lineRule="auto"/>
        <w:rPr>
          <w:rFonts w:ascii="Arial" w:eastAsia="Times New Roman" w:hAnsi="Arial" w:cs="Arial"/>
          <w:b/>
          <w:u w:val="single"/>
        </w:rPr>
      </w:pPr>
    </w:p>
    <w:p w:rsidR="00D77BEC" w:rsidRPr="00A63DA8" w:rsidRDefault="00D77BEC" w:rsidP="00895337">
      <w:pPr>
        <w:spacing w:after="0" w:line="240" w:lineRule="auto"/>
        <w:rPr>
          <w:rFonts w:ascii="Arial" w:eastAsia="Times New Roman" w:hAnsi="Arial" w:cs="Arial"/>
        </w:rPr>
      </w:pPr>
      <w:r w:rsidRPr="00A63DA8">
        <w:rPr>
          <w:rFonts w:ascii="Arial" w:eastAsia="Times New Roman" w:hAnsi="Arial" w:cs="Arial"/>
        </w:rPr>
        <w:t>NHS South East CSU or the Contracting Authority intends to award a contract to the successful Tenderer and commence the works as per the schedule provided below.</w:t>
      </w:r>
    </w:p>
    <w:p w:rsidR="00D77BEC" w:rsidRDefault="00D77BEC" w:rsidP="00895337">
      <w:pPr>
        <w:spacing w:after="0" w:line="240" w:lineRule="auto"/>
        <w:rPr>
          <w:rFonts w:ascii="Arial" w:eastAsia="Times New Roman" w:hAnsi="Arial" w:cs="Arial"/>
        </w:rPr>
      </w:pPr>
    </w:p>
    <w:tbl>
      <w:tblPr>
        <w:tblW w:w="0" w:type="auto"/>
        <w:tblCellMar>
          <w:left w:w="0" w:type="dxa"/>
          <w:right w:w="0" w:type="dxa"/>
        </w:tblCellMar>
        <w:tblLook w:val="04A0" w:firstRow="1" w:lastRow="0" w:firstColumn="1" w:lastColumn="0" w:noHBand="0" w:noVBand="1"/>
      </w:tblPr>
      <w:tblGrid>
        <w:gridCol w:w="2376"/>
        <w:gridCol w:w="6866"/>
      </w:tblGrid>
      <w:tr w:rsidR="00D15C9C" w:rsidRPr="00D15C9C" w:rsidTr="00CC57EC">
        <w:tc>
          <w:tcPr>
            <w:tcW w:w="2376"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Mar>
              <w:top w:w="0" w:type="dxa"/>
              <w:left w:w="108" w:type="dxa"/>
              <w:bottom w:w="0" w:type="dxa"/>
              <w:right w:w="108" w:type="dxa"/>
            </w:tcMar>
            <w:hideMark/>
          </w:tcPr>
          <w:p w:rsidR="00CC57EC" w:rsidRPr="00D15C9C" w:rsidRDefault="00CC57EC">
            <w:pPr>
              <w:jc w:val="center"/>
              <w:rPr>
                <w:rFonts w:ascii="Arial" w:hAnsi="Arial" w:cs="Arial"/>
                <w:b/>
                <w:bCs/>
                <w:color w:val="000000" w:themeColor="text1"/>
              </w:rPr>
            </w:pPr>
            <w:r w:rsidRPr="00D15C9C">
              <w:rPr>
                <w:rFonts w:ascii="Arial" w:hAnsi="Arial" w:cs="Arial"/>
                <w:b/>
                <w:bCs/>
                <w:color w:val="000000" w:themeColor="text1"/>
              </w:rPr>
              <w:t>Key Dates</w:t>
            </w:r>
          </w:p>
        </w:tc>
        <w:tc>
          <w:tcPr>
            <w:tcW w:w="6866" w:type="dxa"/>
            <w:tcBorders>
              <w:top w:val="single" w:sz="8" w:space="0" w:color="000000"/>
              <w:left w:val="nil"/>
              <w:bottom w:val="single" w:sz="8" w:space="0" w:color="000000"/>
              <w:right w:val="single" w:sz="8" w:space="0" w:color="000000"/>
            </w:tcBorders>
            <w:shd w:val="clear" w:color="auto" w:fill="548DD4" w:themeFill="text2" w:themeFillTint="99"/>
            <w:tcMar>
              <w:top w:w="0" w:type="dxa"/>
              <w:left w:w="108" w:type="dxa"/>
              <w:bottom w:w="0" w:type="dxa"/>
              <w:right w:w="108" w:type="dxa"/>
            </w:tcMar>
            <w:hideMark/>
          </w:tcPr>
          <w:p w:rsidR="00CC57EC" w:rsidRPr="00D15C9C" w:rsidRDefault="00CC57EC">
            <w:pPr>
              <w:jc w:val="center"/>
              <w:rPr>
                <w:rFonts w:ascii="Arial" w:hAnsi="Arial" w:cs="Arial"/>
                <w:b/>
                <w:bCs/>
                <w:color w:val="000000" w:themeColor="text1"/>
              </w:rPr>
            </w:pPr>
            <w:r w:rsidRPr="00D15C9C">
              <w:rPr>
                <w:rFonts w:ascii="Arial" w:hAnsi="Arial" w:cs="Arial"/>
                <w:b/>
                <w:bCs/>
                <w:color w:val="000000" w:themeColor="text1"/>
              </w:rPr>
              <w:t>Description</w:t>
            </w:r>
          </w:p>
        </w:tc>
      </w:tr>
      <w:tr w:rsidR="00D15C9C" w:rsidRPr="00D15C9C" w:rsidTr="00CC57EC">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57EC" w:rsidRPr="00D15C9C" w:rsidRDefault="002962F4">
            <w:pPr>
              <w:rPr>
                <w:rFonts w:ascii="Arial" w:hAnsi="Arial" w:cs="Arial"/>
                <w:color w:val="000000" w:themeColor="text1"/>
              </w:rPr>
            </w:pPr>
            <w:r w:rsidRPr="00D15C9C">
              <w:rPr>
                <w:rFonts w:ascii="Arial" w:hAnsi="Arial" w:cs="Arial"/>
                <w:color w:val="000000" w:themeColor="text1"/>
              </w:rPr>
              <w:t>20</w:t>
            </w:r>
            <w:r w:rsidR="00CC57EC" w:rsidRPr="00D15C9C">
              <w:rPr>
                <w:rFonts w:ascii="Arial" w:hAnsi="Arial" w:cs="Arial"/>
                <w:color w:val="000000" w:themeColor="text1"/>
              </w:rPr>
              <w:t xml:space="preserve"> May 2016</w:t>
            </w:r>
          </w:p>
        </w:tc>
        <w:tc>
          <w:tcPr>
            <w:tcW w:w="6866" w:type="dxa"/>
            <w:tcBorders>
              <w:top w:val="nil"/>
              <w:left w:val="nil"/>
              <w:bottom w:val="single" w:sz="8" w:space="0" w:color="000000"/>
              <w:right w:val="single" w:sz="8" w:space="0" w:color="000000"/>
            </w:tcBorders>
            <w:tcMar>
              <w:top w:w="0" w:type="dxa"/>
              <w:left w:w="108" w:type="dxa"/>
              <w:bottom w:w="0" w:type="dxa"/>
              <w:right w:w="108" w:type="dxa"/>
            </w:tcMar>
            <w:hideMark/>
          </w:tcPr>
          <w:p w:rsidR="00CC57EC" w:rsidRPr="00D15C9C" w:rsidRDefault="00CC57EC">
            <w:pPr>
              <w:rPr>
                <w:rFonts w:ascii="Arial" w:hAnsi="Arial" w:cs="Arial"/>
                <w:color w:val="000000" w:themeColor="text1"/>
              </w:rPr>
            </w:pPr>
            <w:r w:rsidRPr="00D15C9C">
              <w:rPr>
                <w:rFonts w:ascii="Arial" w:hAnsi="Arial" w:cs="Arial"/>
                <w:color w:val="000000" w:themeColor="text1"/>
              </w:rPr>
              <w:t>ITQ released</w:t>
            </w:r>
          </w:p>
        </w:tc>
      </w:tr>
      <w:tr w:rsidR="00D15C9C" w:rsidRPr="00D15C9C" w:rsidTr="00CC57EC">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57EC" w:rsidRPr="00D15C9C" w:rsidRDefault="002962F4">
            <w:pPr>
              <w:rPr>
                <w:rFonts w:ascii="Arial" w:hAnsi="Arial" w:cs="Arial"/>
                <w:color w:val="000000" w:themeColor="text1"/>
              </w:rPr>
            </w:pPr>
            <w:r w:rsidRPr="00D15C9C">
              <w:rPr>
                <w:rFonts w:ascii="Arial" w:hAnsi="Arial" w:cs="Arial"/>
                <w:color w:val="000000" w:themeColor="text1"/>
              </w:rPr>
              <w:t>06 – 10 June</w:t>
            </w:r>
            <w:r w:rsidR="00CC57EC" w:rsidRPr="00D15C9C">
              <w:rPr>
                <w:rFonts w:ascii="Arial" w:hAnsi="Arial" w:cs="Arial"/>
                <w:color w:val="000000" w:themeColor="text1"/>
              </w:rPr>
              <w:t xml:space="preserve"> 2016</w:t>
            </w:r>
          </w:p>
        </w:tc>
        <w:tc>
          <w:tcPr>
            <w:tcW w:w="6866" w:type="dxa"/>
            <w:tcBorders>
              <w:top w:val="nil"/>
              <w:left w:val="nil"/>
              <w:bottom w:val="single" w:sz="8" w:space="0" w:color="000000"/>
              <w:right w:val="single" w:sz="8" w:space="0" w:color="000000"/>
            </w:tcBorders>
            <w:tcMar>
              <w:top w:w="0" w:type="dxa"/>
              <w:left w:w="108" w:type="dxa"/>
              <w:bottom w:w="0" w:type="dxa"/>
              <w:right w:w="108" w:type="dxa"/>
            </w:tcMar>
            <w:hideMark/>
          </w:tcPr>
          <w:p w:rsidR="00CC57EC" w:rsidRPr="00D15C9C" w:rsidRDefault="00CC57EC">
            <w:pPr>
              <w:rPr>
                <w:rFonts w:ascii="Arial" w:hAnsi="Arial" w:cs="Arial"/>
                <w:color w:val="000000" w:themeColor="text1"/>
              </w:rPr>
            </w:pPr>
            <w:r w:rsidRPr="00D15C9C">
              <w:rPr>
                <w:rFonts w:ascii="Arial" w:hAnsi="Arial" w:cs="Arial"/>
                <w:color w:val="000000" w:themeColor="text1"/>
              </w:rPr>
              <w:t>Site visits</w:t>
            </w:r>
          </w:p>
        </w:tc>
      </w:tr>
      <w:tr w:rsidR="00D15C9C" w:rsidRPr="00D15C9C" w:rsidTr="00CC57EC">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57EC" w:rsidRPr="00D15C9C" w:rsidRDefault="002962F4">
            <w:pPr>
              <w:rPr>
                <w:rFonts w:ascii="Arial" w:hAnsi="Arial" w:cs="Arial"/>
                <w:color w:val="000000" w:themeColor="text1"/>
              </w:rPr>
            </w:pPr>
            <w:r w:rsidRPr="00D15C9C">
              <w:rPr>
                <w:rFonts w:ascii="Arial" w:hAnsi="Arial" w:cs="Arial"/>
                <w:color w:val="000000" w:themeColor="text1"/>
              </w:rPr>
              <w:t>17 June</w:t>
            </w:r>
            <w:r w:rsidR="00CC57EC" w:rsidRPr="00D15C9C">
              <w:rPr>
                <w:rFonts w:ascii="Arial" w:hAnsi="Arial" w:cs="Arial"/>
                <w:color w:val="000000" w:themeColor="text1"/>
              </w:rPr>
              <w:t xml:space="preserve"> 2016</w:t>
            </w:r>
          </w:p>
        </w:tc>
        <w:tc>
          <w:tcPr>
            <w:tcW w:w="6866" w:type="dxa"/>
            <w:tcBorders>
              <w:top w:val="nil"/>
              <w:left w:val="nil"/>
              <w:bottom w:val="single" w:sz="8" w:space="0" w:color="000000"/>
              <w:right w:val="single" w:sz="8" w:space="0" w:color="000000"/>
            </w:tcBorders>
            <w:tcMar>
              <w:top w:w="0" w:type="dxa"/>
              <w:left w:w="108" w:type="dxa"/>
              <w:bottom w:w="0" w:type="dxa"/>
              <w:right w:w="108" w:type="dxa"/>
            </w:tcMar>
            <w:hideMark/>
          </w:tcPr>
          <w:p w:rsidR="00CC57EC" w:rsidRPr="00D15C9C" w:rsidRDefault="00CC57EC">
            <w:pPr>
              <w:rPr>
                <w:rFonts w:ascii="Arial" w:hAnsi="Arial" w:cs="Arial"/>
                <w:color w:val="000000" w:themeColor="text1"/>
              </w:rPr>
            </w:pPr>
            <w:r w:rsidRPr="00D15C9C">
              <w:rPr>
                <w:rFonts w:ascii="Arial" w:hAnsi="Arial" w:cs="Arial"/>
                <w:color w:val="000000" w:themeColor="text1"/>
              </w:rPr>
              <w:t>ITT return deadline</w:t>
            </w:r>
          </w:p>
        </w:tc>
      </w:tr>
      <w:tr w:rsidR="00D15C9C" w:rsidRPr="00D15C9C" w:rsidTr="00CC57EC">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57EC" w:rsidRPr="00D15C9C" w:rsidRDefault="002962F4">
            <w:pPr>
              <w:rPr>
                <w:rFonts w:ascii="Arial" w:hAnsi="Arial" w:cs="Arial"/>
                <w:color w:val="000000" w:themeColor="text1"/>
              </w:rPr>
            </w:pPr>
            <w:r w:rsidRPr="00D15C9C">
              <w:rPr>
                <w:rFonts w:ascii="Arial" w:hAnsi="Arial" w:cs="Arial"/>
                <w:color w:val="000000" w:themeColor="text1"/>
              </w:rPr>
              <w:t xml:space="preserve">24 </w:t>
            </w:r>
            <w:r w:rsidR="00CC57EC" w:rsidRPr="00D15C9C">
              <w:rPr>
                <w:rFonts w:ascii="Arial" w:hAnsi="Arial" w:cs="Arial"/>
                <w:color w:val="000000" w:themeColor="text1"/>
              </w:rPr>
              <w:t>June 2016</w:t>
            </w:r>
          </w:p>
        </w:tc>
        <w:tc>
          <w:tcPr>
            <w:tcW w:w="6866" w:type="dxa"/>
            <w:tcBorders>
              <w:top w:val="nil"/>
              <w:left w:val="nil"/>
              <w:bottom w:val="single" w:sz="8" w:space="0" w:color="000000"/>
              <w:right w:val="single" w:sz="8" w:space="0" w:color="000000"/>
            </w:tcBorders>
            <w:tcMar>
              <w:top w:w="0" w:type="dxa"/>
              <w:left w:w="108" w:type="dxa"/>
              <w:bottom w:w="0" w:type="dxa"/>
              <w:right w:w="108" w:type="dxa"/>
            </w:tcMar>
            <w:hideMark/>
          </w:tcPr>
          <w:p w:rsidR="00CC57EC" w:rsidRPr="00D15C9C" w:rsidRDefault="00CC57EC">
            <w:pPr>
              <w:rPr>
                <w:rFonts w:ascii="Arial" w:hAnsi="Arial" w:cs="Arial"/>
                <w:color w:val="000000" w:themeColor="text1"/>
              </w:rPr>
            </w:pPr>
            <w:r w:rsidRPr="00D15C9C">
              <w:rPr>
                <w:rFonts w:ascii="Arial" w:hAnsi="Arial" w:cs="Arial"/>
                <w:color w:val="000000" w:themeColor="text1"/>
              </w:rPr>
              <w:t>Responses evaluated</w:t>
            </w:r>
          </w:p>
        </w:tc>
      </w:tr>
      <w:tr w:rsidR="00D15C9C" w:rsidRPr="00D15C9C" w:rsidTr="00CC57EC">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57EC" w:rsidRPr="00D15C9C" w:rsidRDefault="002962F4">
            <w:pPr>
              <w:rPr>
                <w:rFonts w:ascii="Arial" w:hAnsi="Arial" w:cs="Arial"/>
                <w:color w:val="000000" w:themeColor="text1"/>
              </w:rPr>
            </w:pPr>
            <w:r w:rsidRPr="00D15C9C">
              <w:rPr>
                <w:rFonts w:ascii="Arial" w:hAnsi="Arial" w:cs="Arial"/>
                <w:color w:val="000000" w:themeColor="text1"/>
              </w:rPr>
              <w:t>01 July</w:t>
            </w:r>
            <w:r w:rsidR="00CC57EC" w:rsidRPr="00D15C9C">
              <w:rPr>
                <w:rFonts w:ascii="Arial" w:hAnsi="Arial" w:cs="Arial"/>
                <w:color w:val="000000" w:themeColor="text1"/>
              </w:rPr>
              <w:t xml:space="preserve"> 2016</w:t>
            </w:r>
          </w:p>
        </w:tc>
        <w:tc>
          <w:tcPr>
            <w:tcW w:w="68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57EC" w:rsidRPr="00D15C9C" w:rsidRDefault="00CC57EC">
            <w:pPr>
              <w:rPr>
                <w:rFonts w:ascii="Arial" w:hAnsi="Arial" w:cs="Arial"/>
                <w:color w:val="000000" w:themeColor="text1"/>
              </w:rPr>
            </w:pPr>
            <w:r w:rsidRPr="00D15C9C">
              <w:rPr>
                <w:rFonts w:ascii="Arial" w:hAnsi="Arial" w:cs="Arial"/>
                <w:color w:val="000000" w:themeColor="text1"/>
              </w:rPr>
              <w:t>Contract award</w:t>
            </w:r>
          </w:p>
        </w:tc>
      </w:tr>
      <w:tr w:rsidR="00D15C9C" w:rsidRPr="00D15C9C" w:rsidTr="00CC57EC">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57EC" w:rsidRPr="00D15C9C" w:rsidRDefault="00CC57EC">
            <w:pPr>
              <w:rPr>
                <w:rFonts w:ascii="Arial" w:hAnsi="Arial" w:cs="Arial"/>
                <w:color w:val="000000" w:themeColor="text1"/>
              </w:rPr>
            </w:pPr>
            <w:r w:rsidRPr="00D15C9C">
              <w:rPr>
                <w:rFonts w:ascii="Arial" w:hAnsi="Arial" w:cs="Arial"/>
                <w:color w:val="000000" w:themeColor="text1"/>
              </w:rPr>
              <w:t>25</w:t>
            </w:r>
            <w:r w:rsidRPr="00D15C9C">
              <w:rPr>
                <w:rFonts w:ascii="Arial" w:hAnsi="Arial" w:cs="Arial"/>
                <w:color w:val="000000" w:themeColor="text1"/>
                <w:vertAlign w:val="superscript"/>
              </w:rPr>
              <w:t>th</w:t>
            </w:r>
            <w:r w:rsidRPr="00D15C9C">
              <w:rPr>
                <w:rFonts w:ascii="Arial" w:hAnsi="Arial" w:cs="Arial"/>
                <w:color w:val="000000" w:themeColor="text1"/>
              </w:rPr>
              <w:t xml:space="preserve"> July 2016</w:t>
            </w:r>
          </w:p>
        </w:tc>
        <w:tc>
          <w:tcPr>
            <w:tcW w:w="68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57EC" w:rsidRPr="00D15C9C" w:rsidRDefault="00CC57EC">
            <w:pPr>
              <w:rPr>
                <w:rFonts w:ascii="Arial" w:hAnsi="Arial" w:cs="Arial"/>
                <w:color w:val="000000" w:themeColor="text1"/>
              </w:rPr>
            </w:pPr>
            <w:r w:rsidRPr="00D15C9C">
              <w:rPr>
                <w:rFonts w:ascii="Arial" w:hAnsi="Arial" w:cs="Arial"/>
                <w:color w:val="000000" w:themeColor="text1"/>
              </w:rPr>
              <w:t>Contract Commencement</w:t>
            </w:r>
          </w:p>
        </w:tc>
      </w:tr>
    </w:tbl>
    <w:p w:rsidR="00D15C9C" w:rsidRDefault="00D15C9C" w:rsidP="00BE0DA8">
      <w:pPr>
        <w:rPr>
          <w:rFonts w:ascii="Arial" w:eastAsia="Times New Roman" w:hAnsi="Arial" w:cs="Arial"/>
          <w:b/>
          <w:u w:val="single"/>
        </w:rPr>
      </w:pPr>
    </w:p>
    <w:p w:rsidR="00895337" w:rsidRPr="00A63DA8" w:rsidRDefault="00D77BEC" w:rsidP="00BE0DA8">
      <w:pPr>
        <w:rPr>
          <w:rFonts w:ascii="Arial" w:eastAsia="Times New Roman" w:hAnsi="Arial" w:cs="Arial"/>
          <w:b/>
          <w:u w:val="single"/>
        </w:rPr>
      </w:pPr>
      <w:r w:rsidRPr="00A63DA8">
        <w:rPr>
          <w:rFonts w:ascii="Arial" w:eastAsia="Times New Roman" w:hAnsi="Arial" w:cs="Arial"/>
          <w:b/>
          <w:u w:val="single"/>
        </w:rPr>
        <w:lastRenderedPageBreak/>
        <w:t>The Requirement</w:t>
      </w:r>
    </w:p>
    <w:p w:rsidR="00895337" w:rsidRPr="00A63DA8" w:rsidRDefault="00D77BEC" w:rsidP="00D15C9C">
      <w:pPr>
        <w:spacing w:before="120" w:after="120" w:line="240" w:lineRule="auto"/>
        <w:rPr>
          <w:rFonts w:ascii="Arial" w:eastAsia="Times New Roman" w:hAnsi="Arial" w:cs="Arial"/>
        </w:rPr>
      </w:pPr>
      <w:r w:rsidRPr="00A63DA8">
        <w:rPr>
          <w:rFonts w:ascii="Arial" w:eastAsia="Times New Roman" w:hAnsi="Arial" w:cs="Arial"/>
        </w:rPr>
        <w:t>Details of the works to be carried out are provided in the attachments below. You are requested to access these documents and submit your queries, if any, to the defined contact personnel below, prior to the submission of the quotations.</w:t>
      </w:r>
    </w:p>
    <w:p w:rsidR="00E215DD" w:rsidRPr="00A63DA8" w:rsidRDefault="00E215DD" w:rsidP="00D15C9C">
      <w:pPr>
        <w:spacing w:before="120" w:after="120" w:line="240" w:lineRule="auto"/>
        <w:rPr>
          <w:rFonts w:ascii="Arial" w:eastAsia="Times New Roman" w:hAnsi="Arial" w:cs="Arial"/>
        </w:rPr>
      </w:pPr>
      <w:r w:rsidRPr="00A63DA8">
        <w:rPr>
          <w:rFonts w:ascii="Arial" w:eastAsia="Times New Roman" w:hAnsi="Arial" w:cs="Arial"/>
        </w:rPr>
        <w:t>All quotations must remain valid for 90 calendar days from the date of submission.</w:t>
      </w:r>
    </w:p>
    <w:p w:rsidR="00D77BEC" w:rsidRPr="00A63DA8" w:rsidRDefault="00D77BEC" w:rsidP="00D77BEC">
      <w:pPr>
        <w:pStyle w:val="Default"/>
        <w:jc w:val="both"/>
        <w:rPr>
          <w:bCs/>
          <w:color w:val="auto"/>
          <w:sz w:val="22"/>
          <w:szCs w:val="22"/>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621"/>
        <w:gridCol w:w="4621"/>
      </w:tblGrid>
      <w:tr w:rsidR="00D77BEC" w:rsidRPr="00A63DA8" w:rsidTr="00D77BEC">
        <w:tc>
          <w:tcPr>
            <w:tcW w:w="4621" w:type="dxa"/>
            <w:tcBorders>
              <w:top w:val="single" w:sz="18" w:space="0" w:color="auto"/>
              <w:bottom w:val="single" w:sz="4" w:space="0" w:color="auto"/>
            </w:tcBorders>
            <w:shd w:val="clear" w:color="auto" w:fill="8DB3E2" w:themeFill="text2" w:themeFillTint="66"/>
          </w:tcPr>
          <w:p w:rsidR="00D77BEC" w:rsidRPr="00A63DA8" w:rsidRDefault="00D77BEC" w:rsidP="00D77BEC">
            <w:pPr>
              <w:jc w:val="center"/>
              <w:rPr>
                <w:rFonts w:ascii="Arial" w:eastAsia="Times New Roman" w:hAnsi="Arial" w:cs="Arial"/>
                <w:b/>
                <w:sz w:val="22"/>
                <w:szCs w:val="22"/>
              </w:rPr>
            </w:pPr>
            <w:r w:rsidRPr="00A63DA8">
              <w:rPr>
                <w:rFonts w:ascii="Arial" w:eastAsia="Times New Roman" w:hAnsi="Arial" w:cs="Arial"/>
                <w:b/>
                <w:sz w:val="22"/>
                <w:szCs w:val="22"/>
              </w:rPr>
              <w:t>Document name</w:t>
            </w:r>
          </w:p>
        </w:tc>
        <w:tc>
          <w:tcPr>
            <w:tcW w:w="4621" w:type="dxa"/>
            <w:tcBorders>
              <w:top w:val="single" w:sz="18" w:space="0" w:color="auto"/>
              <w:bottom w:val="single" w:sz="4" w:space="0" w:color="auto"/>
            </w:tcBorders>
            <w:shd w:val="clear" w:color="auto" w:fill="8DB3E2" w:themeFill="text2" w:themeFillTint="66"/>
          </w:tcPr>
          <w:p w:rsidR="00D77BEC" w:rsidRPr="00A63DA8" w:rsidRDefault="00D77BEC" w:rsidP="00D77BEC">
            <w:pPr>
              <w:jc w:val="center"/>
              <w:rPr>
                <w:rFonts w:ascii="Arial" w:eastAsia="Times New Roman" w:hAnsi="Arial" w:cs="Arial"/>
                <w:b/>
                <w:sz w:val="22"/>
                <w:szCs w:val="22"/>
              </w:rPr>
            </w:pPr>
            <w:r w:rsidRPr="00A63DA8">
              <w:rPr>
                <w:rFonts w:ascii="Arial" w:eastAsia="Times New Roman" w:hAnsi="Arial" w:cs="Arial"/>
                <w:b/>
                <w:sz w:val="22"/>
                <w:szCs w:val="22"/>
              </w:rPr>
              <w:t>Attachment</w:t>
            </w:r>
          </w:p>
        </w:tc>
      </w:tr>
      <w:tr w:rsidR="00D77BEC" w:rsidRPr="00A63DA8" w:rsidTr="00D77BEC">
        <w:tc>
          <w:tcPr>
            <w:tcW w:w="4621" w:type="dxa"/>
            <w:tcBorders>
              <w:top w:val="single" w:sz="4" w:space="0" w:color="auto"/>
            </w:tcBorders>
          </w:tcPr>
          <w:p w:rsidR="00BE0DA8" w:rsidRPr="00A63DA8" w:rsidRDefault="00EC1928" w:rsidP="00BE0DA8">
            <w:pPr>
              <w:pStyle w:val="Default"/>
              <w:jc w:val="both"/>
              <w:rPr>
                <w:bCs/>
                <w:color w:val="auto"/>
                <w:sz w:val="22"/>
                <w:szCs w:val="22"/>
              </w:rPr>
            </w:pPr>
            <w:r>
              <w:rPr>
                <w:bCs/>
                <w:color w:val="auto"/>
                <w:sz w:val="22"/>
                <w:szCs w:val="22"/>
              </w:rPr>
              <w:t>Cleaning Contract Specification</w:t>
            </w:r>
          </w:p>
        </w:tc>
        <w:tc>
          <w:tcPr>
            <w:tcW w:w="4621" w:type="dxa"/>
            <w:tcBorders>
              <w:top w:val="single" w:sz="4" w:space="0" w:color="auto"/>
            </w:tcBorders>
          </w:tcPr>
          <w:p w:rsidR="00D77BEC" w:rsidRPr="00A63DA8" w:rsidRDefault="00E10FAF" w:rsidP="00D77BEC">
            <w:pPr>
              <w:jc w:val="center"/>
              <w:rPr>
                <w:rFonts w:ascii="Arial" w:eastAsia="Times New Roman" w:hAnsi="Arial" w:cs="Arial"/>
                <w:sz w:val="22"/>
                <w:szCs w:val="22"/>
              </w:rPr>
            </w:pPr>
            <w:r>
              <w:rPr>
                <w:rFonts w:ascii="Arial" w:eastAsia="Times New Roman" w:hAnsi="Arial" w:cs="Arial"/>
                <w:sz w:val="22"/>
                <w:szCs w:val="22"/>
              </w:rP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66.75pt" o:ole="">
                  <v:imagedata r:id="rId11" o:title=""/>
                </v:shape>
                <o:OLEObject Type="Embed" ProgID="AcroExch.Document.11" ShapeID="_x0000_i1025" DrawAspect="Icon" ObjectID="_1525247326" r:id="rId12"/>
              </w:object>
            </w:r>
          </w:p>
        </w:tc>
      </w:tr>
      <w:tr w:rsidR="00714639" w:rsidRPr="00A63DA8" w:rsidTr="00D77BEC">
        <w:tc>
          <w:tcPr>
            <w:tcW w:w="4621" w:type="dxa"/>
          </w:tcPr>
          <w:p w:rsidR="00714639" w:rsidRDefault="00BE0DA8" w:rsidP="008875D1">
            <w:pPr>
              <w:pStyle w:val="Default"/>
              <w:jc w:val="both"/>
              <w:rPr>
                <w:bCs/>
                <w:color w:val="auto"/>
                <w:sz w:val="22"/>
                <w:szCs w:val="22"/>
              </w:rPr>
            </w:pPr>
            <w:r w:rsidRPr="00BE0DA8">
              <w:rPr>
                <w:bCs/>
                <w:color w:val="auto"/>
                <w:sz w:val="22"/>
                <w:szCs w:val="22"/>
              </w:rPr>
              <w:t>Commercial Schedule V1.0</w:t>
            </w:r>
          </w:p>
          <w:p w:rsidR="00BE0DA8" w:rsidRPr="00A63DA8" w:rsidRDefault="00BE0DA8" w:rsidP="008875D1">
            <w:pPr>
              <w:pStyle w:val="Default"/>
              <w:jc w:val="both"/>
              <w:rPr>
                <w:bCs/>
                <w:color w:val="auto"/>
                <w:sz w:val="22"/>
                <w:szCs w:val="22"/>
              </w:rPr>
            </w:pPr>
            <w:r>
              <w:rPr>
                <w:bCs/>
                <w:color w:val="auto"/>
                <w:sz w:val="22"/>
                <w:szCs w:val="22"/>
              </w:rPr>
              <w:t>All offers must be submitted using this template</w:t>
            </w:r>
          </w:p>
        </w:tc>
        <w:tc>
          <w:tcPr>
            <w:tcW w:w="4621" w:type="dxa"/>
          </w:tcPr>
          <w:p w:rsidR="00714639" w:rsidRPr="00A63DA8" w:rsidRDefault="00F07BFE" w:rsidP="008875D1">
            <w:pPr>
              <w:jc w:val="center"/>
              <w:rPr>
                <w:rFonts w:ascii="Arial" w:eastAsia="Times New Roman" w:hAnsi="Arial" w:cs="Arial"/>
                <w:sz w:val="22"/>
                <w:szCs w:val="22"/>
              </w:rPr>
            </w:pPr>
            <w:r>
              <w:rPr>
                <w:rFonts w:ascii="Arial" w:eastAsia="Times New Roman" w:hAnsi="Arial" w:cs="Arial"/>
                <w:sz w:val="22"/>
                <w:szCs w:val="22"/>
              </w:rPr>
              <w:object w:dxaOrig="1550" w:dyaOrig="991">
                <v:shape id="_x0000_i1033" type="#_x0000_t75" style="width:77.25pt;height:49.5pt" o:ole="">
                  <v:imagedata r:id="rId13" o:title=""/>
                </v:shape>
                <o:OLEObject Type="Embed" ProgID="Excel.Sheet.12" ShapeID="_x0000_i1033" DrawAspect="Icon" ObjectID="_1525247327" r:id="rId14"/>
              </w:object>
            </w:r>
          </w:p>
        </w:tc>
      </w:tr>
    </w:tbl>
    <w:p w:rsidR="00714639" w:rsidRPr="00A63DA8" w:rsidRDefault="00714639" w:rsidP="00B01966">
      <w:pPr>
        <w:spacing w:after="0" w:line="240" w:lineRule="auto"/>
        <w:rPr>
          <w:rFonts w:ascii="Arial" w:eastAsia="Times New Roman" w:hAnsi="Arial" w:cs="Arial"/>
          <w:b/>
          <w:u w:val="single"/>
        </w:rPr>
      </w:pPr>
    </w:p>
    <w:p w:rsidR="00895337" w:rsidRPr="00A63DA8" w:rsidRDefault="00B01966" w:rsidP="00B01966">
      <w:pPr>
        <w:spacing w:after="0" w:line="240" w:lineRule="auto"/>
        <w:rPr>
          <w:rFonts w:ascii="Arial" w:eastAsia="Times New Roman" w:hAnsi="Arial" w:cs="Arial"/>
          <w:b/>
          <w:u w:val="single"/>
        </w:rPr>
      </w:pPr>
      <w:r w:rsidRPr="00A63DA8">
        <w:rPr>
          <w:rFonts w:ascii="Arial" w:eastAsia="Times New Roman" w:hAnsi="Arial" w:cs="Arial"/>
          <w:b/>
          <w:u w:val="single"/>
        </w:rPr>
        <w:t>The Suppliers’ qualifications</w:t>
      </w:r>
    </w:p>
    <w:p w:rsidR="00B01966" w:rsidRPr="00A63DA8" w:rsidRDefault="00B01966" w:rsidP="00B01966">
      <w:pPr>
        <w:spacing w:before="120" w:after="120" w:line="240" w:lineRule="auto"/>
        <w:rPr>
          <w:rFonts w:ascii="Arial" w:eastAsia="Calibri" w:hAnsi="Arial" w:cs="Arial"/>
        </w:rPr>
      </w:pPr>
      <w:r w:rsidRPr="00A63DA8">
        <w:rPr>
          <w:rFonts w:ascii="Arial" w:eastAsia="Calibri" w:hAnsi="Arial" w:cs="Arial"/>
        </w:rPr>
        <w:t xml:space="preserve">The following qualifying criteria must be met by submitting documented evidences as a part of this tender submission. </w:t>
      </w:r>
    </w:p>
    <w:p w:rsidR="00B01966" w:rsidRPr="00A63DA8" w:rsidRDefault="00B01966" w:rsidP="00E215DD">
      <w:pPr>
        <w:pStyle w:val="ListParagraph"/>
        <w:numPr>
          <w:ilvl w:val="0"/>
          <w:numId w:val="9"/>
        </w:numPr>
        <w:spacing w:after="0"/>
        <w:rPr>
          <w:rFonts w:ascii="Arial" w:eastAsia="Calibri" w:hAnsi="Arial" w:cs="Arial"/>
          <w:b/>
          <w:u w:val="single"/>
        </w:rPr>
      </w:pPr>
      <w:r w:rsidRPr="00A63DA8">
        <w:rPr>
          <w:rFonts w:ascii="Arial" w:hAnsi="Arial" w:cs="Arial"/>
          <w:bCs/>
        </w:rPr>
        <w:t>Appropriate levels of insurance (</w:t>
      </w:r>
      <w:r w:rsidR="00E215DD" w:rsidRPr="00A63DA8">
        <w:rPr>
          <w:rFonts w:ascii="Arial" w:hAnsi="Arial" w:cs="Arial"/>
          <w:bCs/>
        </w:rPr>
        <w:t>Employer’s (Compulsory) Liability Insurance = £5 million, Public Liability Insurance = £5 million, Professional Indemnity Insurance = £5 million, Product Liability Insurance = £5 million</w:t>
      </w:r>
      <w:r w:rsidRPr="00A63DA8">
        <w:rPr>
          <w:rFonts w:ascii="Arial" w:hAnsi="Arial" w:cs="Arial"/>
          <w:bCs/>
        </w:rPr>
        <w:t xml:space="preserve">), </w:t>
      </w:r>
    </w:p>
    <w:p w:rsidR="00E10FAF" w:rsidRPr="00E10FAF" w:rsidRDefault="00B01966" w:rsidP="00E10FAF">
      <w:pPr>
        <w:pStyle w:val="ListParagraph"/>
        <w:numPr>
          <w:ilvl w:val="0"/>
          <w:numId w:val="9"/>
        </w:numPr>
        <w:spacing w:after="0"/>
        <w:rPr>
          <w:rFonts w:ascii="Arial" w:eastAsia="Calibri" w:hAnsi="Arial" w:cs="Arial"/>
          <w:b/>
          <w:u w:val="single"/>
        </w:rPr>
      </w:pPr>
      <w:r w:rsidRPr="00A63DA8">
        <w:rPr>
          <w:rFonts w:ascii="Arial" w:hAnsi="Arial" w:cs="Arial"/>
          <w:bCs/>
        </w:rPr>
        <w:t xml:space="preserve">Certificates of competencies to undertake the works accompanied with a statement of the methodology to be applied to the works; </w:t>
      </w:r>
    </w:p>
    <w:p w:rsidR="00B01966" w:rsidRPr="00A63DA8" w:rsidRDefault="00B01966" w:rsidP="00B01966">
      <w:pPr>
        <w:pStyle w:val="ListParagraph"/>
        <w:numPr>
          <w:ilvl w:val="0"/>
          <w:numId w:val="9"/>
        </w:numPr>
        <w:spacing w:after="0"/>
        <w:rPr>
          <w:rFonts w:ascii="Arial" w:eastAsia="Calibri" w:hAnsi="Arial" w:cs="Arial"/>
          <w:b/>
          <w:u w:val="single"/>
        </w:rPr>
      </w:pPr>
      <w:r w:rsidRPr="00A63DA8">
        <w:rPr>
          <w:rFonts w:ascii="Arial" w:hAnsi="Arial" w:cs="Arial"/>
          <w:bCs/>
        </w:rPr>
        <w:t xml:space="preserve">A full risk assessment; </w:t>
      </w:r>
    </w:p>
    <w:p w:rsidR="00B01966" w:rsidRPr="00A63DA8" w:rsidRDefault="00B01966" w:rsidP="00B01966">
      <w:pPr>
        <w:pStyle w:val="ListParagraph"/>
        <w:numPr>
          <w:ilvl w:val="0"/>
          <w:numId w:val="9"/>
        </w:numPr>
        <w:spacing w:after="0"/>
        <w:rPr>
          <w:rFonts w:ascii="Arial" w:eastAsia="Calibri" w:hAnsi="Arial" w:cs="Arial"/>
          <w:b/>
          <w:u w:val="single"/>
        </w:rPr>
      </w:pPr>
      <w:r w:rsidRPr="00A63DA8">
        <w:rPr>
          <w:rFonts w:ascii="Arial" w:hAnsi="Arial" w:cs="Arial"/>
          <w:bCs/>
        </w:rPr>
        <w:t xml:space="preserve">Health and safety plan; and </w:t>
      </w:r>
    </w:p>
    <w:p w:rsidR="00D77BEC" w:rsidRPr="00A63DA8" w:rsidRDefault="00B01966" w:rsidP="00B01966">
      <w:pPr>
        <w:pStyle w:val="ListParagraph"/>
        <w:numPr>
          <w:ilvl w:val="0"/>
          <w:numId w:val="9"/>
        </w:numPr>
        <w:spacing w:after="0"/>
        <w:rPr>
          <w:rFonts w:ascii="Arial" w:eastAsia="Calibri" w:hAnsi="Arial" w:cs="Arial"/>
          <w:b/>
          <w:u w:val="single"/>
        </w:rPr>
      </w:pPr>
      <w:r w:rsidRPr="00A63DA8">
        <w:rPr>
          <w:rFonts w:ascii="Arial" w:hAnsi="Arial" w:cs="Arial"/>
          <w:bCs/>
        </w:rPr>
        <w:t>Any other documentation that can be reasonably requested by South East CSU</w:t>
      </w:r>
    </w:p>
    <w:p w:rsidR="00E60E08" w:rsidRPr="00A63DA8" w:rsidRDefault="00E60E08">
      <w:pPr>
        <w:rPr>
          <w:rFonts w:ascii="Arial" w:eastAsia="Calibri" w:hAnsi="Arial" w:cs="Arial"/>
          <w:b/>
          <w:u w:val="single"/>
        </w:rPr>
      </w:pPr>
    </w:p>
    <w:p w:rsidR="00D77BEC" w:rsidRPr="00A63DA8" w:rsidRDefault="00E215DD" w:rsidP="00E215DD">
      <w:pPr>
        <w:spacing w:after="0"/>
        <w:rPr>
          <w:rFonts w:ascii="Arial" w:eastAsia="Calibri" w:hAnsi="Arial" w:cs="Arial"/>
          <w:b/>
          <w:u w:val="single"/>
        </w:rPr>
      </w:pPr>
      <w:r w:rsidRPr="00A63DA8">
        <w:rPr>
          <w:rFonts w:ascii="Arial" w:eastAsia="Calibri" w:hAnsi="Arial" w:cs="Arial"/>
          <w:b/>
          <w:u w:val="single"/>
        </w:rPr>
        <w:t>Contact points</w:t>
      </w:r>
    </w:p>
    <w:p w:rsidR="00E215DD" w:rsidRPr="00A63DA8" w:rsidRDefault="00E215DD" w:rsidP="00E215DD">
      <w:pPr>
        <w:pStyle w:val="Default"/>
        <w:jc w:val="both"/>
        <w:rPr>
          <w:bCs/>
          <w:color w:val="auto"/>
          <w:sz w:val="22"/>
          <w:szCs w:val="22"/>
        </w:rPr>
      </w:pPr>
      <w:r w:rsidRPr="00A63DA8">
        <w:rPr>
          <w:bCs/>
          <w:color w:val="auto"/>
          <w:sz w:val="22"/>
          <w:szCs w:val="22"/>
        </w:rPr>
        <w:t>Any tender queries and request for arranging site visits must be directed to -</w:t>
      </w:r>
    </w:p>
    <w:p w:rsidR="00E215DD" w:rsidRPr="00A63DA8" w:rsidRDefault="00E215DD" w:rsidP="00E215DD">
      <w:pPr>
        <w:pStyle w:val="Default"/>
        <w:jc w:val="both"/>
        <w:rPr>
          <w:bCs/>
          <w:color w:val="auto"/>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5529"/>
        <w:gridCol w:w="1851"/>
      </w:tblGrid>
      <w:tr w:rsidR="00E215DD" w:rsidRPr="00A63DA8" w:rsidTr="00D15C9C">
        <w:trPr>
          <w:trHeight w:val="262"/>
        </w:trPr>
        <w:tc>
          <w:tcPr>
            <w:tcW w:w="1809" w:type="dxa"/>
            <w:shd w:val="clear" w:color="auto" w:fill="548DD4" w:themeFill="text2" w:themeFillTint="99"/>
          </w:tcPr>
          <w:p w:rsidR="00E215DD" w:rsidRPr="00A63DA8" w:rsidRDefault="00E215DD" w:rsidP="00E215DD">
            <w:pPr>
              <w:pStyle w:val="Default"/>
              <w:jc w:val="both"/>
              <w:rPr>
                <w:b/>
                <w:bCs/>
                <w:color w:val="auto"/>
                <w:sz w:val="22"/>
                <w:szCs w:val="22"/>
              </w:rPr>
            </w:pPr>
            <w:r w:rsidRPr="00A63DA8">
              <w:rPr>
                <w:b/>
                <w:bCs/>
                <w:color w:val="auto"/>
                <w:sz w:val="22"/>
                <w:szCs w:val="22"/>
              </w:rPr>
              <w:t>Name</w:t>
            </w:r>
          </w:p>
        </w:tc>
        <w:tc>
          <w:tcPr>
            <w:tcW w:w="5529" w:type="dxa"/>
            <w:shd w:val="clear" w:color="auto" w:fill="548DD4" w:themeFill="text2" w:themeFillTint="99"/>
          </w:tcPr>
          <w:p w:rsidR="00E215DD" w:rsidRPr="00A63DA8" w:rsidRDefault="00E215DD" w:rsidP="00E215DD">
            <w:pPr>
              <w:pStyle w:val="Default"/>
              <w:jc w:val="both"/>
              <w:rPr>
                <w:b/>
                <w:bCs/>
                <w:color w:val="auto"/>
                <w:sz w:val="22"/>
                <w:szCs w:val="22"/>
              </w:rPr>
            </w:pPr>
            <w:r w:rsidRPr="00A63DA8">
              <w:rPr>
                <w:b/>
                <w:bCs/>
                <w:color w:val="auto"/>
                <w:sz w:val="22"/>
                <w:szCs w:val="22"/>
              </w:rPr>
              <w:t>Position</w:t>
            </w:r>
          </w:p>
        </w:tc>
        <w:tc>
          <w:tcPr>
            <w:tcW w:w="1851" w:type="dxa"/>
            <w:shd w:val="clear" w:color="auto" w:fill="548DD4" w:themeFill="text2" w:themeFillTint="99"/>
          </w:tcPr>
          <w:p w:rsidR="00E215DD" w:rsidRPr="00A63DA8" w:rsidRDefault="00E215DD" w:rsidP="00E215DD">
            <w:pPr>
              <w:pStyle w:val="Default"/>
              <w:jc w:val="both"/>
              <w:rPr>
                <w:b/>
                <w:bCs/>
                <w:color w:val="auto"/>
                <w:sz w:val="22"/>
                <w:szCs w:val="22"/>
              </w:rPr>
            </w:pPr>
            <w:r w:rsidRPr="00A63DA8">
              <w:rPr>
                <w:b/>
                <w:bCs/>
                <w:color w:val="auto"/>
                <w:sz w:val="22"/>
                <w:szCs w:val="22"/>
              </w:rPr>
              <w:t>Phone</w:t>
            </w:r>
          </w:p>
        </w:tc>
      </w:tr>
      <w:tr w:rsidR="00E215DD" w:rsidRPr="00A63DA8" w:rsidTr="00D15C9C">
        <w:trPr>
          <w:trHeight w:val="262"/>
        </w:trPr>
        <w:tc>
          <w:tcPr>
            <w:tcW w:w="1809" w:type="dxa"/>
          </w:tcPr>
          <w:p w:rsidR="00E215DD" w:rsidRPr="00D15C9C" w:rsidRDefault="00E215DD" w:rsidP="00E215DD">
            <w:pPr>
              <w:pStyle w:val="Default"/>
              <w:jc w:val="both"/>
              <w:rPr>
                <w:bCs/>
                <w:color w:val="000000" w:themeColor="text1"/>
                <w:sz w:val="22"/>
                <w:szCs w:val="22"/>
              </w:rPr>
            </w:pPr>
            <w:r w:rsidRPr="00D15C9C">
              <w:rPr>
                <w:bCs/>
                <w:color w:val="000000" w:themeColor="text1"/>
                <w:sz w:val="22"/>
                <w:szCs w:val="22"/>
              </w:rPr>
              <w:t>Josh Tarling</w:t>
            </w:r>
          </w:p>
        </w:tc>
        <w:tc>
          <w:tcPr>
            <w:tcW w:w="5529" w:type="dxa"/>
          </w:tcPr>
          <w:p w:rsidR="00E215DD" w:rsidRPr="00D15C9C" w:rsidRDefault="00E215DD" w:rsidP="00E215DD">
            <w:pPr>
              <w:pStyle w:val="Default"/>
              <w:jc w:val="both"/>
              <w:rPr>
                <w:bCs/>
                <w:color w:val="000000" w:themeColor="text1"/>
                <w:sz w:val="22"/>
                <w:szCs w:val="22"/>
              </w:rPr>
            </w:pPr>
            <w:r w:rsidRPr="00D15C9C">
              <w:rPr>
                <w:bCs/>
                <w:color w:val="000000" w:themeColor="text1"/>
                <w:sz w:val="22"/>
                <w:szCs w:val="22"/>
              </w:rPr>
              <w:t>Principal Associate, Business Resilience and Estates</w:t>
            </w:r>
          </w:p>
        </w:tc>
        <w:tc>
          <w:tcPr>
            <w:tcW w:w="1851" w:type="dxa"/>
          </w:tcPr>
          <w:p w:rsidR="00E215DD" w:rsidRPr="00D15C9C" w:rsidRDefault="00E215DD" w:rsidP="00E215DD">
            <w:pPr>
              <w:pStyle w:val="Default"/>
              <w:jc w:val="both"/>
              <w:rPr>
                <w:bCs/>
                <w:color w:val="000000" w:themeColor="text1"/>
                <w:sz w:val="22"/>
                <w:szCs w:val="22"/>
              </w:rPr>
            </w:pPr>
            <w:r w:rsidRPr="00D15C9C">
              <w:rPr>
                <w:bCs/>
                <w:color w:val="000000" w:themeColor="text1"/>
                <w:sz w:val="22"/>
                <w:szCs w:val="22"/>
              </w:rPr>
              <w:t>07920 246658</w:t>
            </w:r>
          </w:p>
        </w:tc>
      </w:tr>
      <w:tr w:rsidR="00E215DD" w:rsidRPr="00A63DA8" w:rsidTr="00D15C9C">
        <w:trPr>
          <w:trHeight w:val="262"/>
        </w:trPr>
        <w:tc>
          <w:tcPr>
            <w:tcW w:w="1809" w:type="dxa"/>
          </w:tcPr>
          <w:p w:rsidR="00E215DD" w:rsidRPr="00D15C9C" w:rsidRDefault="00E215DD" w:rsidP="00E215DD">
            <w:pPr>
              <w:pStyle w:val="Default"/>
              <w:jc w:val="both"/>
              <w:rPr>
                <w:bCs/>
                <w:color w:val="000000" w:themeColor="text1"/>
                <w:sz w:val="22"/>
                <w:szCs w:val="22"/>
              </w:rPr>
            </w:pPr>
            <w:r w:rsidRPr="00D15C9C">
              <w:rPr>
                <w:bCs/>
                <w:color w:val="000000" w:themeColor="text1"/>
                <w:sz w:val="22"/>
                <w:szCs w:val="22"/>
              </w:rPr>
              <w:t>Malcolm Brydon</w:t>
            </w:r>
          </w:p>
        </w:tc>
        <w:tc>
          <w:tcPr>
            <w:tcW w:w="5529" w:type="dxa"/>
          </w:tcPr>
          <w:p w:rsidR="00E215DD" w:rsidRPr="00D15C9C" w:rsidRDefault="00E215DD" w:rsidP="00E215DD">
            <w:pPr>
              <w:pStyle w:val="Default"/>
              <w:jc w:val="both"/>
              <w:rPr>
                <w:bCs/>
                <w:color w:val="000000" w:themeColor="text1"/>
                <w:sz w:val="22"/>
                <w:szCs w:val="22"/>
              </w:rPr>
            </w:pPr>
            <w:r w:rsidRPr="00D15C9C">
              <w:rPr>
                <w:bCs/>
                <w:color w:val="000000" w:themeColor="text1"/>
                <w:sz w:val="22"/>
                <w:szCs w:val="22"/>
              </w:rPr>
              <w:t>Senior Associate – Estates</w:t>
            </w:r>
          </w:p>
        </w:tc>
        <w:tc>
          <w:tcPr>
            <w:tcW w:w="1851" w:type="dxa"/>
          </w:tcPr>
          <w:p w:rsidR="00E215DD" w:rsidRPr="00D15C9C" w:rsidRDefault="00E10FAF" w:rsidP="00E215DD">
            <w:pPr>
              <w:pStyle w:val="Default"/>
              <w:jc w:val="both"/>
              <w:rPr>
                <w:bCs/>
                <w:color w:val="000000" w:themeColor="text1"/>
                <w:sz w:val="22"/>
                <w:szCs w:val="22"/>
              </w:rPr>
            </w:pPr>
            <w:r w:rsidRPr="00D15C9C">
              <w:rPr>
                <w:bCs/>
                <w:color w:val="000000" w:themeColor="text1"/>
                <w:sz w:val="22"/>
                <w:szCs w:val="22"/>
              </w:rPr>
              <w:t>07818 013095</w:t>
            </w:r>
          </w:p>
        </w:tc>
      </w:tr>
    </w:tbl>
    <w:p w:rsidR="00E215DD" w:rsidRPr="00A63DA8" w:rsidRDefault="00E215DD" w:rsidP="00E215DD">
      <w:pPr>
        <w:pStyle w:val="Default"/>
        <w:jc w:val="both"/>
        <w:rPr>
          <w:bCs/>
          <w:color w:val="auto"/>
          <w:sz w:val="22"/>
          <w:szCs w:val="22"/>
        </w:rPr>
      </w:pPr>
    </w:p>
    <w:p w:rsidR="00E215DD" w:rsidRPr="00A63DA8" w:rsidRDefault="00E215DD" w:rsidP="00E215DD">
      <w:pPr>
        <w:spacing w:after="0"/>
        <w:rPr>
          <w:rFonts w:ascii="Arial" w:eastAsia="Calibri" w:hAnsi="Arial" w:cs="Arial"/>
          <w:b/>
          <w:u w:val="single"/>
        </w:rPr>
      </w:pPr>
    </w:p>
    <w:p w:rsidR="00A86F5A" w:rsidRDefault="00A86F5A" w:rsidP="00A86F5A">
      <w:pPr>
        <w:spacing w:after="0"/>
        <w:rPr>
          <w:rFonts w:ascii="Arial" w:eastAsia="Calibri" w:hAnsi="Arial" w:cs="Arial"/>
          <w:b/>
          <w:u w:val="single"/>
        </w:rPr>
      </w:pPr>
      <w:r>
        <w:rPr>
          <w:rFonts w:ascii="Arial" w:eastAsia="Calibri" w:hAnsi="Arial" w:cs="Arial"/>
          <w:b/>
          <w:u w:val="single"/>
        </w:rPr>
        <w:t>Quotation Responses</w:t>
      </w:r>
    </w:p>
    <w:p w:rsidR="00A86F5A" w:rsidRDefault="00A86F5A" w:rsidP="00A86F5A">
      <w:pPr>
        <w:spacing w:after="0"/>
        <w:rPr>
          <w:rFonts w:ascii="Arial" w:eastAsia="Calibri" w:hAnsi="Arial" w:cs="Arial"/>
        </w:rPr>
      </w:pPr>
      <w:r>
        <w:rPr>
          <w:rFonts w:ascii="Arial" w:eastAsia="Calibri" w:hAnsi="Arial" w:cs="Arial"/>
        </w:rPr>
        <w:t>All quotations must contain-</w:t>
      </w:r>
    </w:p>
    <w:p w:rsidR="00A86F5A" w:rsidRDefault="00A86F5A" w:rsidP="00A86F5A">
      <w:pPr>
        <w:pStyle w:val="ListParagraph"/>
        <w:numPr>
          <w:ilvl w:val="0"/>
          <w:numId w:val="11"/>
        </w:numPr>
        <w:spacing w:after="0"/>
        <w:rPr>
          <w:rFonts w:ascii="Arial" w:eastAsia="Calibri" w:hAnsi="Arial" w:cs="Arial"/>
        </w:rPr>
      </w:pPr>
      <w:r>
        <w:rPr>
          <w:rFonts w:ascii="Arial" w:eastAsia="Calibri" w:hAnsi="Arial" w:cs="Arial"/>
        </w:rPr>
        <w:t xml:space="preserve">Technical response: A compliance statement to the requirements stated </w:t>
      </w:r>
      <w:r w:rsidR="00174B77">
        <w:rPr>
          <w:rFonts w:ascii="Arial" w:eastAsia="Calibri" w:hAnsi="Arial" w:cs="Arial"/>
        </w:rPr>
        <w:t>in the specification</w:t>
      </w:r>
      <w:r>
        <w:rPr>
          <w:rFonts w:ascii="Arial" w:eastAsia="Calibri" w:hAnsi="Arial" w:cs="Arial"/>
        </w:rPr>
        <w:t xml:space="preserve"> and a detailed proposal statement along with the necessary drawings, manuals and measurements</w:t>
      </w:r>
      <w:r w:rsidR="00174B77">
        <w:rPr>
          <w:rFonts w:ascii="Arial" w:eastAsia="Calibri" w:hAnsi="Arial" w:cs="Arial"/>
        </w:rPr>
        <w:t>. All statements must be detailed and an independent one without referring to another response or external sources and/or links. The Contracting Authority may reject an ITQ response which does not meet this criteria</w:t>
      </w:r>
      <w:r>
        <w:rPr>
          <w:rFonts w:ascii="Arial" w:eastAsia="Calibri" w:hAnsi="Arial" w:cs="Arial"/>
        </w:rPr>
        <w:t xml:space="preserve">; </w:t>
      </w:r>
    </w:p>
    <w:p w:rsidR="00A86F5A" w:rsidRDefault="00A86F5A" w:rsidP="00A86F5A">
      <w:pPr>
        <w:pStyle w:val="ListParagraph"/>
        <w:numPr>
          <w:ilvl w:val="0"/>
          <w:numId w:val="11"/>
        </w:numPr>
        <w:spacing w:after="0"/>
        <w:rPr>
          <w:rFonts w:ascii="Arial" w:eastAsia="Calibri" w:hAnsi="Arial" w:cs="Arial"/>
        </w:rPr>
      </w:pPr>
      <w:r>
        <w:rPr>
          <w:rFonts w:ascii="Arial" w:eastAsia="Calibri" w:hAnsi="Arial" w:cs="Arial"/>
        </w:rPr>
        <w:t>Commercial response: A commercial quotation accommodating all foreseeable costs, which will include the capital acquisition cost and ongoing support and maintenance costs separately in constant periods (monthly/quarterly/annually, as applicable). The tenderer must make use of the template if provided above; and</w:t>
      </w:r>
    </w:p>
    <w:p w:rsidR="00A86F5A" w:rsidRDefault="00A86F5A" w:rsidP="00A86F5A">
      <w:pPr>
        <w:pStyle w:val="ListParagraph"/>
        <w:numPr>
          <w:ilvl w:val="0"/>
          <w:numId w:val="11"/>
        </w:numPr>
        <w:spacing w:after="0"/>
        <w:rPr>
          <w:rFonts w:ascii="Arial" w:eastAsia="Calibri" w:hAnsi="Arial" w:cs="Arial"/>
        </w:rPr>
      </w:pPr>
      <w:r>
        <w:rPr>
          <w:rFonts w:ascii="Arial" w:eastAsia="Calibri" w:hAnsi="Arial" w:cs="Arial"/>
        </w:rPr>
        <w:lastRenderedPageBreak/>
        <w:t xml:space="preserve">Statements and evidences in response to the requirements stated in ‘Suppliers’ qualifications’ above. </w:t>
      </w:r>
    </w:p>
    <w:p w:rsidR="00F07BFE" w:rsidRPr="00854B62" w:rsidRDefault="00F07BFE" w:rsidP="00F07BFE">
      <w:pPr>
        <w:pStyle w:val="ListParagraph"/>
        <w:spacing w:after="0"/>
        <w:rPr>
          <w:rFonts w:ascii="Arial" w:eastAsia="Calibri" w:hAnsi="Arial" w:cs="Arial"/>
        </w:rPr>
      </w:pPr>
    </w:p>
    <w:p w:rsidR="00A86F5A" w:rsidRDefault="0045028A" w:rsidP="00E215DD">
      <w:pPr>
        <w:spacing w:after="0"/>
        <w:rPr>
          <w:rFonts w:ascii="Arial" w:eastAsia="Calibri" w:hAnsi="Arial" w:cs="Arial"/>
          <w:b/>
          <w:u w:val="single"/>
        </w:rPr>
      </w:pPr>
      <w:r>
        <w:rPr>
          <w:rFonts w:ascii="Arial" w:eastAsia="Calibri" w:hAnsi="Arial" w:cs="Arial"/>
          <w:b/>
          <w:u w:val="single"/>
        </w:rPr>
        <w:t>Evaluation Criteria</w:t>
      </w:r>
    </w:p>
    <w:p w:rsidR="00A86F5A" w:rsidRDefault="00A86F5A" w:rsidP="00E215DD">
      <w:pPr>
        <w:spacing w:after="0"/>
        <w:rPr>
          <w:rFonts w:ascii="Arial" w:eastAsia="Calibri" w:hAnsi="Arial" w:cs="Arial"/>
          <w:b/>
          <w:u w:val="single"/>
        </w:rPr>
      </w:pPr>
    </w:p>
    <w:tbl>
      <w:tblPr>
        <w:tblStyle w:val="TableGrid"/>
        <w:tblW w:w="0" w:type="auto"/>
        <w:tblLook w:val="04A0" w:firstRow="1" w:lastRow="0" w:firstColumn="1" w:lastColumn="0" w:noHBand="0" w:noVBand="1"/>
      </w:tblPr>
      <w:tblGrid>
        <w:gridCol w:w="959"/>
        <w:gridCol w:w="5528"/>
        <w:gridCol w:w="2755"/>
      </w:tblGrid>
      <w:tr w:rsidR="000B2F55" w:rsidTr="007746D5">
        <w:tc>
          <w:tcPr>
            <w:tcW w:w="9242" w:type="dxa"/>
            <w:gridSpan w:val="3"/>
          </w:tcPr>
          <w:p w:rsidR="000B2F55" w:rsidRPr="00D15C9C" w:rsidRDefault="000B2F55" w:rsidP="000B2F55">
            <w:pPr>
              <w:jc w:val="both"/>
              <w:rPr>
                <w:rFonts w:ascii="Arial" w:hAnsi="Arial" w:cs="Arial"/>
                <w:b/>
                <w:color w:val="000000" w:themeColor="text1"/>
              </w:rPr>
            </w:pPr>
            <w:r w:rsidRPr="00D15C9C">
              <w:rPr>
                <w:rFonts w:ascii="Arial" w:hAnsi="Arial" w:cs="Arial"/>
                <w:b/>
                <w:color w:val="000000" w:themeColor="text1"/>
              </w:rPr>
              <w:t xml:space="preserve">Technical                                </w:t>
            </w:r>
            <w:r w:rsidR="00D15C9C">
              <w:rPr>
                <w:rFonts w:ascii="Arial" w:hAnsi="Arial" w:cs="Arial"/>
                <w:b/>
                <w:color w:val="000000" w:themeColor="text1"/>
              </w:rPr>
              <w:t xml:space="preserve">                               6</w:t>
            </w:r>
            <w:r w:rsidRPr="00D15C9C">
              <w:rPr>
                <w:rFonts w:ascii="Arial" w:hAnsi="Arial" w:cs="Arial"/>
                <w:b/>
                <w:color w:val="000000" w:themeColor="text1"/>
              </w:rPr>
              <w:t>0%</w:t>
            </w:r>
          </w:p>
        </w:tc>
      </w:tr>
      <w:tr w:rsidR="000B2F55" w:rsidTr="000B2F55">
        <w:tc>
          <w:tcPr>
            <w:tcW w:w="959" w:type="dxa"/>
          </w:tcPr>
          <w:p w:rsidR="000B2F55" w:rsidRPr="00D15C9C" w:rsidRDefault="000B2F55" w:rsidP="000B2F55">
            <w:pPr>
              <w:pStyle w:val="ListParagraph"/>
              <w:numPr>
                <w:ilvl w:val="0"/>
                <w:numId w:val="12"/>
              </w:numPr>
              <w:rPr>
                <w:rFonts w:ascii="Arial" w:hAnsi="Arial" w:cs="Arial"/>
                <w:b/>
                <w:color w:val="000000" w:themeColor="text1"/>
                <w:u w:val="single"/>
              </w:rPr>
            </w:pPr>
          </w:p>
        </w:tc>
        <w:tc>
          <w:tcPr>
            <w:tcW w:w="5528" w:type="dxa"/>
          </w:tcPr>
          <w:p w:rsidR="000B2F55" w:rsidRPr="00D15C9C" w:rsidRDefault="00E10FAF" w:rsidP="00E215DD">
            <w:pPr>
              <w:rPr>
                <w:rFonts w:ascii="Arial" w:hAnsi="Arial" w:cs="Arial"/>
                <w:color w:val="000000" w:themeColor="text1"/>
              </w:rPr>
            </w:pPr>
            <w:r w:rsidRPr="00D15C9C">
              <w:rPr>
                <w:rFonts w:ascii="Arial" w:hAnsi="Arial" w:cs="Arial"/>
                <w:color w:val="000000" w:themeColor="text1"/>
              </w:rPr>
              <w:t>Evidence to support meeting of Essential Requirements</w:t>
            </w:r>
          </w:p>
        </w:tc>
        <w:tc>
          <w:tcPr>
            <w:tcW w:w="2755" w:type="dxa"/>
          </w:tcPr>
          <w:p w:rsidR="000B2F55" w:rsidRPr="00D15C9C" w:rsidRDefault="000B2F55" w:rsidP="00E215DD">
            <w:pPr>
              <w:rPr>
                <w:rFonts w:ascii="Arial" w:hAnsi="Arial" w:cs="Arial"/>
                <w:b/>
                <w:color w:val="000000" w:themeColor="text1"/>
              </w:rPr>
            </w:pPr>
            <w:r w:rsidRPr="00D15C9C">
              <w:rPr>
                <w:rFonts w:ascii="Arial" w:hAnsi="Arial" w:cs="Arial"/>
                <w:b/>
                <w:color w:val="000000" w:themeColor="text1"/>
              </w:rPr>
              <w:t>10%</w:t>
            </w:r>
          </w:p>
        </w:tc>
      </w:tr>
      <w:tr w:rsidR="00BE0DA8" w:rsidTr="000B2F55">
        <w:tc>
          <w:tcPr>
            <w:tcW w:w="959" w:type="dxa"/>
          </w:tcPr>
          <w:p w:rsidR="00BE0DA8" w:rsidRPr="00D15C9C" w:rsidRDefault="00BE0DA8" w:rsidP="000B2F55">
            <w:pPr>
              <w:pStyle w:val="ListParagraph"/>
              <w:numPr>
                <w:ilvl w:val="0"/>
                <w:numId w:val="12"/>
              </w:numPr>
              <w:rPr>
                <w:rFonts w:ascii="Arial" w:hAnsi="Arial" w:cs="Arial"/>
                <w:b/>
                <w:color w:val="000000" w:themeColor="text1"/>
                <w:u w:val="single"/>
              </w:rPr>
            </w:pPr>
          </w:p>
        </w:tc>
        <w:tc>
          <w:tcPr>
            <w:tcW w:w="5528" w:type="dxa"/>
          </w:tcPr>
          <w:p w:rsidR="00BE0DA8" w:rsidRPr="00D15C9C" w:rsidRDefault="00E10FAF">
            <w:pPr>
              <w:rPr>
                <w:color w:val="000000" w:themeColor="text1"/>
              </w:rPr>
            </w:pPr>
            <w:r w:rsidRPr="00D15C9C">
              <w:rPr>
                <w:rFonts w:ascii="Arial" w:hAnsi="Arial" w:cs="Arial"/>
                <w:color w:val="000000" w:themeColor="text1"/>
              </w:rPr>
              <w:t>Evidence of Key Skills and Experience</w:t>
            </w:r>
          </w:p>
        </w:tc>
        <w:tc>
          <w:tcPr>
            <w:tcW w:w="2755" w:type="dxa"/>
          </w:tcPr>
          <w:p w:rsidR="00BE0DA8" w:rsidRPr="00D15C9C" w:rsidRDefault="00BE0DA8" w:rsidP="00E215DD">
            <w:pPr>
              <w:rPr>
                <w:rFonts w:ascii="Arial" w:hAnsi="Arial" w:cs="Arial"/>
                <w:b/>
                <w:color w:val="000000" w:themeColor="text1"/>
              </w:rPr>
            </w:pPr>
            <w:r w:rsidRPr="00D15C9C">
              <w:rPr>
                <w:rFonts w:ascii="Arial" w:hAnsi="Arial" w:cs="Arial"/>
                <w:b/>
                <w:color w:val="000000" w:themeColor="text1"/>
              </w:rPr>
              <w:t>10%</w:t>
            </w:r>
          </w:p>
        </w:tc>
      </w:tr>
      <w:tr w:rsidR="00BE0DA8" w:rsidTr="000B2F55">
        <w:tc>
          <w:tcPr>
            <w:tcW w:w="959" w:type="dxa"/>
          </w:tcPr>
          <w:p w:rsidR="00BE0DA8" w:rsidRPr="00D15C9C" w:rsidRDefault="00BE0DA8" w:rsidP="000B2F55">
            <w:pPr>
              <w:pStyle w:val="ListParagraph"/>
              <w:numPr>
                <w:ilvl w:val="0"/>
                <w:numId w:val="12"/>
              </w:numPr>
              <w:rPr>
                <w:rFonts w:ascii="Arial" w:hAnsi="Arial" w:cs="Arial"/>
                <w:b/>
                <w:color w:val="000000" w:themeColor="text1"/>
                <w:u w:val="single"/>
              </w:rPr>
            </w:pPr>
          </w:p>
        </w:tc>
        <w:tc>
          <w:tcPr>
            <w:tcW w:w="5528" w:type="dxa"/>
          </w:tcPr>
          <w:p w:rsidR="00BE0DA8" w:rsidRPr="00D15C9C" w:rsidRDefault="00E10FAF">
            <w:pPr>
              <w:rPr>
                <w:color w:val="000000" w:themeColor="text1"/>
              </w:rPr>
            </w:pPr>
            <w:r w:rsidRPr="00D15C9C">
              <w:rPr>
                <w:rFonts w:ascii="Arial" w:hAnsi="Arial" w:cs="Arial"/>
                <w:color w:val="000000" w:themeColor="text1"/>
              </w:rPr>
              <w:t>Approach to Delivery</w:t>
            </w:r>
          </w:p>
        </w:tc>
        <w:tc>
          <w:tcPr>
            <w:tcW w:w="2755" w:type="dxa"/>
          </w:tcPr>
          <w:p w:rsidR="00BE0DA8" w:rsidRPr="00D15C9C" w:rsidRDefault="00BE0DA8" w:rsidP="00E215DD">
            <w:pPr>
              <w:rPr>
                <w:rFonts w:ascii="Arial" w:hAnsi="Arial" w:cs="Arial"/>
                <w:b/>
                <w:color w:val="000000" w:themeColor="text1"/>
              </w:rPr>
            </w:pPr>
            <w:r w:rsidRPr="00D15C9C">
              <w:rPr>
                <w:rFonts w:ascii="Arial" w:hAnsi="Arial" w:cs="Arial"/>
                <w:b/>
                <w:color w:val="000000" w:themeColor="text1"/>
              </w:rPr>
              <w:t>10%</w:t>
            </w:r>
          </w:p>
        </w:tc>
      </w:tr>
      <w:tr w:rsidR="00BE0DA8" w:rsidTr="000B2F55">
        <w:tc>
          <w:tcPr>
            <w:tcW w:w="959" w:type="dxa"/>
          </w:tcPr>
          <w:p w:rsidR="00BE0DA8" w:rsidRPr="00D15C9C" w:rsidRDefault="00BE0DA8" w:rsidP="000B2F55">
            <w:pPr>
              <w:pStyle w:val="ListParagraph"/>
              <w:numPr>
                <w:ilvl w:val="0"/>
                <w:numId w:val="12"/>
              </w:numPr>
              <w:rPr>
                <w:rFonts w:ascii="Arial" w:hAnsi="Arial" w:cs="Arial"/>
                <w:b/>
                <w:color w:val="000000" w:themeColor="text1"/>
                <w:u w:val="single"/>
              </w:rPr>
            </w:pPr>
          </w:p>
        </w:tc>
        <w:tc>
          <w:tcPr>
            <w:tcW w:w="5528" w:type="dxa"/>
          </w:tcPr>
          <w:p w:rsidR="00BE0DA8" w:rsidRPr="00D15C9C" w:rsidRDefault="00E10FAF">
            <w:pPr>
              <w:rPr>
                <w:color w:val="000000" w:themeColor="text1"/>
              </w:rPr>
            </w:pPr>
            <w:r w:rsidRPr="00D15C9C">
              <w:rPr>
                <w:rFonts w:ascii="Arial" w:hAnsi="Arial" w:cs="Arial"/>
                <w:color w:val="000000" w:themeColor="text1"/>
              </w:rPr>
              <w:t>Composition of the Team</w:t>
            </w:r>
          </w:p>
        </w:tc>
        <w:tc>
          <w:tcPr>
            <w:tcW w:w="2755" w:type="dxa"/>
          </w:tcPr>
          <w:p w:rsidR="00BE0DA8" w:rsidRPr="00D15C9C" w:rsidRDefault="00BE0DA8" w:rsidP="00E215DD">
            <w:pPr>
              <w:rPr>
                <w:rFonts w:ascii="Arial" w:hAnsi="Arial" w:cs="Arial"/>
                <w:b/>
                <w:color w:val="000000" w:themeColor="text1"/>
              </w:rPr>
            </w:pPr>
            <w:r w:rsidRPr="00D15C9C">
              <w:rPr>
                <w:rFonts w:ascii="Arial" w:hAnsi="Arial" w:cs="Arial"/>
                <w:b/>
                <w:color w:val="000000" w:themeColor="text1"/>
              </w:rPr>
              <w:t>10%</w:t>
            </w:r>
          </w:p>
        </w:tc>
      </w:tr>
      <w:tr w:rsidR="00BE0DA8" w:rsidTr="000B2F55">
        <w:tc>
          <w:tcPr>
            <w:tcW w:w="959" w:type="dxa"/>
          </w:tcPr>
          <w:p w:rsidR="00BE0DA8" w:rsidRPr="00D15C9C" w:rsidRDefault="00BE0DA8" w:rsidP="000B2F55">
            <w:pPr>
              <w:pStyle w:val="ListParagraph"/>
              <w:numPr>
                <w:ilvl w:val="0"/>
                <w:numId w:val="12"/>
              </w:numPr>
              <w:rPr>
                <w:rFonts w:ascii="Arial" w:hAnsi="Arial" w:cs="Arial"/>
                <w:b/>
                <w:color w:val="000000" w:themeColor="text1"/>
                <w:u w:val="single"/>
              </w:rPr>
            </w:pPr>
          </w:p>
        </w:tc>
        <w:tc>
          <w:tcPr>
            <w:tcW w:w="5528" w:type="dxa"/>
          </w:tcPr>
          <w:p w:rsidR="00BE0DA8" w:rsidRPr="00D15C9C" w:rsidRDefault="00E10FAF">
            <w:pPr>
              <w:rPr>
                <w:color w:val="000000" w:themeColor="text1"/>
              </w:rPr>
            </w:pPr>
            <w:r w:rsidRPr="00D15C9C">
              <w:rPr>
                <w:rFonts w:ascii="Arial" w:hAnsi="Arial" w:cs="Arial"/>
                <w:color w:val="000000" w:themeColor="text1"/>
              </w:rPr>
              <w:t>Approach to Communication with Client</w:t>
            </w:r>
          </w:p>
        </w:tc>
        <w:tc>
          <w:tcPr>
            <w:tcW w:w="2755" w:type="dxa"/>
          </w:tcPr>
          <w:p w:rsidR="00BE0DA8" w:rsidRPr="00D15C9C" w:rsidRDefault="00BE0DA8" w:rsidP="00E215DD">
            <w:pPr>
              <w:rPr>
                <w:rFonts w:ascii="Arial" w:hAnsi="Arial" w:cs="Arial"/>
                <w:b/>
                <w:color w:val="000000" w:themeColor="text1"/>
              </w:rPr>
            </w:pPr>
            <w:r w:rsidRPr="00D15C9C">
              <w:rPr>
                <w:rFonts w:ascii="Arial" w:hAnsi="Arial" w:cs="Arial"/>
                <w:b/>
                <w:color w:val="000000" w:themeColor="text1"/>
              </w:rPr>
              <w:t>10%</w:t>
            </w:r>
          </w:p>
        </w:tc>
      </w:tr>
      <w:tr w:rsidR="000B2F55" w:rsidTr="000B2F55">
        <w:tc>
          <w:tcPr>
            <w:tcW w:w="959" w:type="dxa"/>
          </w:tcPr>
          <w:p w:rsidR="000B2F55" w:rsidRPr="00D15C9C" w:rsidRDefault="00E10FAF" w:rsidP="00E10FAF">
            <w:pPr>
              <w:rPr>
                <w:rFonts w:ascii="Arial" w:hAnsi="Arial" w:cs="Arial"/>
                <w:b/>
                <w:color w:val="000000" w:themeColor="text1"/>
              </w:rPr>
            </w:pPr>
            <w:r w:rsidRPr="00D15C9C">
              <w:rPr>
                <w:rFonts w:ascii="Arial" w:hAnsi="Arial" w:cs="Arial"/>
                <w:b/>
                <w:color w:val="000000" w:themeColor="text1"/>
              </w:rPr>
              <w:t xml:space="preserve">      6.</w:t>
            </w:r>
          </w:p>
        </w:tc>
        <w:tc>
          <w:tcPr>
            <w:tcW w:w="5528" w:type="dxa"/>
          </w:tcPr>
          <w:p w:rsidR="000B2F55" w:rsidRPr="00D15C9C" w:rsidRDefault="002962F4" w:rsidP="00E215DD">
            <w:pPr>
              <w:rPr>
                <w:rFonts w:ascii="Arial" w:hAnsi="Arial" w:cs="Arial"/>
                <w:color w:val="000000" w:themeColor="text1"/>
              </w:rPr>
            </w:pPr>
            <w:r w:rsidRPr="00D15C9C">
              <w:rPr>
                <w:rFonts w:ascii="Arial" w:hAnsi="Arial" w:cs="Arial"/>
                <w:color w:val="000000" w:themeColor="text1"/>
              </w:rPr>
              <w:t>Approach to (and evidence of) Key Performance Indicators, Quality Monitoring and Reporting</w:t>
            </w:r>
          </w:p>
        </w:tc>
        <w:tc>
          <w:tcPr>
            <w:tcW w:w="2755" w:type="dxa"/>
          </w:tcPr>
          <w:p w:rsidR="000B2F55" w:rsidRPr="00D15C9C" w:rsidRDefault="002962F4" w:rsidP="00E215DD">
            <w:pPr>
              <w:rPr>
                <w:rFonts w:ascii="Arial" w:hAnsi="Arial" w:cs="Arial"/>
                <w:b/>
                <w:color w:val="000000" w:themeColor="text1"/>
              </w:rPr>
            </w:pPr>
            <w:r w:rsidRPr="00D15C9C">
              <w:rPr>
                <w:rFonts w:ascii="Arial" w:hAnsi="Arial" w:cs="Arial"/>
                <w:b/>
                <w:color w:val="000000" w:themeColor="text1"/>
              </w:rPr>
              <w:t>10%</w:t>
            </w:r>
          </w:p>
        </w:tc>
      </w:tr>
      <w:tr w:rsidR="000B2F55" w:rsidTr="00D15C9C">
        <w:trPr>
          <w:trHeight w:val="269"/>
        </w:trPr>
        <w:tc>
          <w:tcPr>
            <w:tcW w:w="9242" w:type="dxa"/>
            <w:gridSpan w:val="3"/>
            <w:vAlign w:val="bottom"/>
          </w:tcPr>
          <w:p w:rsidR="000B2F55" w:rsidRPr="000B2F55" w:rsidRDefault="000B2F55" w:rsidP="000B2F55">
            <w:pPr>
              <w:rPr>
                <w:rFonts w:ascii="Arial" w:hAnsi="Arial" w:cs="Arial"/>
                <w:b/>
              </w:rPr>
            </w:pPr>
            <w:r w:rsidRPr="000B2F55">
              <w:rPr>
                <w:rFonts w:ascii="Arial" w:hAnsi="Arial" w:cs="Arial"/>
                <w:b/>
              </w:rPr>
              <w:t>Commercial</w:t>
            </w:r>
          </w:p>
        </w:tc>
      </w:tr>
      <w:tr w:rsidR="000B2F55" w:rsidTr="00BE0DA8">
        <w:tc>
          <w:tcPr>
            <w:tcW w:w="6487" w:type="dxa"/>
            <w:gridSpan w:val="2"/>
          </w:tcPr>
          <w:p w:rsidR="000B2F55" w:rsidRDefault="000B2F55" w:rsidP="00E215DD">
            <w:pPr>
              <w:rPr>
                <w:rFonts w:ascii="Arial" w:hAnsi="Arial" w:cs="Arial"/>
                <w:b/>
                <w:u w:val="single"/>
              </w:rPr>
            </w:pPr>
            <w:r>
              <w:rPr>
                <w:rFonts w:ascii="Arial" w:hAnsi="Arial" w:cs="Arial"/>
                <w:b/>
                <w:u w:val="single"/>
              </w:rPr>
              <w:t>Whole life cost (2+1 years)</w:t>
            </w:r>
          </w:p>
          <w:p w:rsidR="000B2F55" w:rsidRPr="000B2F55" w:rsidRDefault="000B2F55" w:rsidP="00E215DD">
            <w:pPr>
              <w:rPr>
                <w:rFonts w:ascii="Arial" w:hAnsi="Arial" w:cs="Arial"/>
              </w:rPr>
            </w:pPr>
            <w:r w:rsidRPr="000B2F55">
              <w:rPr>
                <w:rFonts w:ascii="Arial" w:hAnsi="Arial" w:cs="Arial"/>
              </w:rPr>
              <w:t>Cheapest compliant cost will attract full score</w:t>
            </w:r>
            <w:r>
              <w:rPr>
                <w:rFonts w:ascii="Arial" w:hAnsi="Arial" w:cs="Arial"/>
              </w:rPr>
              <w:t>. Proportionate scores will be awarded to the higher bids.</w:t>
            </w:r>
          </w:p>
        </w:tc>
        <w:tc>
          <w:tcPr>
            <w:tcW w:w="2755" w:type="dxa"/>
          </w:tcPr>
          <w:p w:rsidR="000B2F55" w:rsidRDefault="002962F4" w:rsidP="00E215DD">
            <w:pPr>
              <w:rPr>
                <w:rFonts w:ascii="Arial" w:hAnsi="Arial" w:cs="Arial"/>
                <w:b/>
                <w:u w:val="single"/>
              </w:rPr>
            </w:pPr>
            <w:r>
              <w:rPr>
                <w:rFonts w:ascii="Arial" w:hAnsi="Arial" w:cs="Arial"/>
                <w:b/>
                <w:u w:val="single"/>
              </w:rPr>
              <w:t>4</w:t>
            </w:r>
            <w:r w:rsidR="000B2F55">
              <w:rPr>
                <w:rFonts w:ascii="Arial" w:hAnsi="Arial" w:cs="Arial"/>
                <w:b/>
                <w:u w:val="single"/>
              </w:rPr>
              <w:t>0%</w:t>
            </w:r>
          </w:p>
        </w:tc>
      </w:tr>
    </w:tbl>
    <w:p w:rsidR="0045028A" w:rsidRDefault="0045028A" w:rsidP="00E215DD">
      <w:pPr>
        <w:spacing w:after="0"/>
        <w:rPr>
          <w:rFonts w:ascii="Arial" w:eastAsia="Calibri" w:hAnsi="Arial" w:cs="Arial"/>
          <w:b/>
          <w:u w:val="single"/>
        </w:rPr>
      </w:pPr>
    </w:p>
    <w:p w:rsidR="00E215DD" w:rsidRPr="00A63DA8" w:rsidRDefault="00E215DD" w:rsidP="00E215DD">
      <w:pPr>
        <w:spacing w:after="0"/>
        <w:rPr>
          <w:rFonts w:ascii="Arial" w:eastAsia="Calibri" w:hAnsi="Arial" w:cs="Arial"/>
          <w:b/>
          <w:u w:val="single"/>
        </w:rPr>
      </w:pPr>
      <w:r w:rsidRPr="00A63DA8">
        <w:rPr>
          <w:rFonts w:ascii="Arial" w:eastAsia="Calibri" w:hAnsi="Arial" w:cs="Arial"/>
          <w:b/>
          <w:u w:val="single"/>
        </w:rPr>
        <w:t>Right to Cancel or Vary the Process</w:t>
      </w:r>
    </w:p>
    <w:p w:rsidR="00E215DD" w:rsidRPr="00A63DA8" w:rsidRDefault="00E215DD" w:rsidP="00D15C9C">
      <w:pPr>
        <w:pStyle w:val="ListParagraph"/>
        <w:spacing w:before="120" w:after="120" w:line="240" w:lineRule="auto"/>
        <w:ind w:left="680" w:hanging="680"/>
        <w:contextualSpacing w:val="0"/>
        <w:jc w:val="both"/>
        <w:rPr>
          <w:rFonts w:ascii="Arial" w:hAnsi="Arial" w:cs="Arial"/>
        </w:rPr>
      </w:pPr>
      <w:r w:rsidRPr="00A63DA8">
        <w:rPr>
          <w:rFonts w:ascii="Arial" w:hAnsi="Arial" w:cs="Arial"/>
        </w:rPr>
        <w:t>The Contracting Authority reserves the right:</w:t>
      </w:r>
    </w:p>
    <w:p w:rsidR="00E215DD" w:rsidRPr="00A63DA8" w:rsidRDefault="00E215DD" w:rsidP="00E215DD">
      <w:pPr>
        <w:pStyle w:val="Quote"/>
        <w:numPr>
          <w:ilvl w:val="0"/>
          <w:numId w:val="10"/>
        </w:numPr>
        <w:spacing w:before="60" w:after="60" w:line="240" w:lineRule="auto"/>
        <w:jc w:val="both"/>
        <w:rPr>
          <w:rFonts w:cs="Arial"/>
          <w:i w:val="0"/>
          <w:color w:val="auto"/>
          <w:sz w:val="22"/>
        </w:rPr>
      </w:pPr>
      <w:r w:rsidRPr="00A63DA8">
        <w:rPr>
          <w:rFonts w:cs="Arial"/>
          <w:i w:val="0"/>
          <w:color w:val="auto"/>
          <w:sz w:val="22"/>
        </w:rPr>
        <w:t>To cancel or withdraw from the Procurement process at any stage, including but not limited to where there is not a minimum of three compliant Bidders; and/or</w:t>
      </w:r>
    </w:p>
    <w:p w:rsidR="00E215DD" w:rsidRPr="00A63DA8" w:rsidRDefault="00E215DD" w:rsidP="00E215DD">
      <w:pPr>
        <w:pStyle w:val="Quote"/>
        <w:numPr>
          <w:ilvl w:val="0"/>
          <w:numId w:val="10"/>
        </w:numPr>
        <w:spacing w:before="60" w:after="60" w:line="240" w:lineRule="auto"/>
        <w:jc w:val="both"/>
        <w:rPr>
          <w:rFonts w:cs="Arial"/>
          <w:i w:val="0"/>
          <w:color w:val="auto"/>
          <w:sz w:val="22"/>
        </w:rPr>
      </w:pPr>
      <w:r w:rsidRPr="00A63DA8">
        <w:rPr>
          <w:rFonts w:cs="Arial"/>
          <w:i w:val="0"/>
          <w:color w:val="auto"/>
          <w:sz w:val="22"/>
        </w:rPr>
        <w:t>Not to award a contract under this Procurement process.</w:t>
      </w:r>
    </w:p>
    <w:p w:rsidR="00E215DD" w:rsidRPr="00A63DA8" w:rsidRDefault="00E215DD" w:rsidP="00E215DD">
      <w:pPr>
        <w:pStyle w:val="Default"/>
        <w:jc w:val="both"/>
        <w:rPr>
          <w:bCs/>
          <w:color w:val="auto"/>
          <w:sz w:val="22"/>
          <w:szCs w:val="22"/>
        </w:rPr>
      </w:pPr>
      <w:r w:rsidRPr="00A63DA8">
        <w:rPr>
          <w:bCs/>
          <w:color w:val="auto"/>
          <w:sz w:val="22"/>
          <w:szCs w:val="22"/>
        </w:rPr>
        <w:tab/>
      </w:r>
      <w:r w:rsidRPr="00A63DA8">
        <w:rPr>
          <w:bCs/>
          <w:color w:val="auto"/>
          <w:sz w:val="22"/>
          <w:szCs w:val="22"/>
        </w:rPr>
        <w:tab/>
      </w:r>
      <w:r w:rsidRPr="00A63DA8">
        <w:rPr>
          <w:bCs/>
          <w:color w:val="auto"/>
          <w:sz w:val="22"/>
          <w:szCs w:val="22"/>
        </w:rPr>
        <w:tab/>
      </w:r>
    </w:p>
    <w:p w:rsidR="00E215DD" w:rsidRPr="00A63DA8" w:rsidRDefault="00E215DD" w:rsidP="00E60E08">
      <w:pPr>
        <w:spacing w:after="0"/>
        <w:rPr>
          <w:rFonts w:ascii="Arial" w:eastAsia="Calibri" w:hAnsi="Arial" w:cs="Arial"/>
          <w:b/>
          <w:u w:val="single"/>
        </w:rPr>
      </w:pPr>
      <w:r w:rsidRPr="00A63DA8">
        <w:rPr>
          <w:rFonts w:ascii="Arial" w:eastAsia="Calibri" w:hAnsi="Arial" w:cs="Arial"/>
          <w:b/>
          <w:u w:val="single"/>
        </w:rPr>
        <w:t>Applicable Terms and conditions</w:t>
      </w:r>
    </w:p>
    <w:p w:rsidR="00E60E08" w:rsidRPr="00A63DA8" w:rsidRDefault="00E215DD" w:rsidP="00E60E08">
      <w:pPr>
        <w:pStyle w:val="Default"/>
        <w:spacing w:before="120" w:after="120"/>
        <w:jc w:val="both"/>
        <w:rPr>
          <w:bCs/>
          <w:color w:val="auto"/>
          <w:sz w:val="22"/>
          <w:szCs w:val="22"/>
        </w:rPr>
      </w:pPr>
      <w:r w:rsidRPr="00A63DA8">
        <w:rPr>
          <w:bCs/>
          <w:color w:val="auto"/>
          <w:sz w:val="22"/>
          <w:szCs w:val="22"/>
        </w:rPr>
        <w:t>The Contracting Authority</w:t>
      </w:r>
      <w:r w:rsidR="00E60E08" w:rsidRPr="00A63DA8">
        <w:rPr>
          <w:bCs/>
          <w:color w:val="auto"/>
          <w:sz w:val="22"/>
          <w:szCs w:val="22"/>
        </w:rPr>
        <w:t xml:space="preserve"> intends to enter into a contract with the successful tenderer following the terms and conditions defined in the attached Standard NHS Terms and Conditions of Contract for Supply of Goods and Provision of Services.</w:t>
      </w:r>
      <w:r w:rsidRPr="00A63DA8">
        <w:rPr>
          <w:bCs/>
          <w:color w:val="auto"/>
          <w:sz w:val="22"/>
          <w:szCs w:val="22"/>
        </w:rPr>
        <w:t xml:space="preserve"> </w:t>
      </w:r>
      <w:r w:rsidRPr="00A63DA8">
        <w:rPr>
          <w:bCs/>
          <w:color w:val="auto"/>
          <w:sz w:val="22"/>
          <w:szCs w:val="22"/>
        </w:rPr>
        <w:tab/>
      </w:r>
    </w:p>
    <w:p w:rsidR="00E215DD" w:rsidRPr="00A63DA8" w:rsidRDefault="00E215DD" w:rsidP="00E60E08">
      <w:pPr>
        <w:pStyle w:val="Default"/>
        <w:spacing w:before="120" w:after="120"/>
        <w:jc w:val="both"/>
        <w:rPr>
          <w:bCs/>
          <w:color w:val="auto"/>
          <w:sz w:val="22"/>
          <w:szCs w:val="22"/>
        </w:rPr>
      </w:pPr>
      <w:r w:rsidRPr="00A63DA8">
        <w:rPr>
          <w:bCs/>
          <w:color w:val="auto"/>
          <w:sz w:val="22"/>
          <w:szCs w:val="22"/>
        </w:rPr>
        <w:tab/>
      </w:r>
      <w:r w:rsidRPr="00A63DA8">
        <w:rPr>
          <w:bCs/>
          <w:color w:val="auto"/>
          <w:sz w:val="22"/>
          <w:szCs w:val="22"/>
        </w:rPr>
        <w:tab/>
      </w:r>
      <w:r w:rsidRPr="00A63DA8">
        <w:rPr>
          <w:bCs/>
          <w:color w:val="auto"/>
          <w:sz w:val="22"/>
          <w:szCs w:val="22"/>
        </w:rPr>
        <w:tab/>
      </w:r>
      <w:r w:rsidRPr="00A63DA8">
        <w:rPr>
          <w:bCs/>
          <w:color w:val="auto"/>
          <w:sz w:val="22"/>
          <w:szCs w:val="22"/>
        </w:rPr>
        <w:tab/>
      </w:r>
      <w:bookmarkStart w:id="0" w:name="_MON_1515585714"/>
      <w:bookmarkEnd w:id="0"/>
      <w:r w:rsidR="00E60E08" w:rsidRPr="00A63DA8">
        <w:rPr>
          <w:bCs/>
          <w:color w:val="auto"/>
          <w:sz w:val="22"/>
          <w:szCs w:val="22"/>
        </w:rPr>
        <w:object w:dxaOrig="1550" w:dyaOrig="991">
          <v:shape id="_x0000_i1027" type="#_x0000_t75" style="width:78pt;height:49.5pt" o:ole="">
            <v:imagedata r:id="rId15" o:title=""/>
          </v:shape>
          <o:OLEObject Type="Embed" ProgID="Word.Document.8" ShapeID="_x0000_i1027" DrawAspect="Icon" ObjectID="_1525247328" r:id="rId16">
            <o:FieldCodes>\s</o:FieldCodes>
          </o:OLEObject>
        </w:object>
      </w:r>
    </w:p>
    <w:p w:rsidR="00E215DD" w:rsidRPr="00A63DA8" w:rsidRDefault="00E215DD" w:rsidP="00E215DD">
      <w:pPr>
        <w:spacing w:after="0"/>
        <w:rPr>
          <w:rFonts w:ascii="Arial" w:eastAsia="Calibri" w:hAnsi="Arial" w:cs="Arial"/>
          <w:b/>
          <w:u w:val="single"/>
        </w:rPr>
      </w:pPr>
    </w:p>
    <w:p w:rsidR="00895337" w:rsidRPr="00A63DA8" w:rsidRDefault="00895337" w:rsidP="00895337">
      <w:pPr>
        <w:rPr>
          <w:rFonts w:ascii="Arial" w:eastAsia="Calibri" w:hAnsi="Arial" w:cs="Arial"/>
        </w:rPr>
      </w:pPr>
      <w:r w:rsidRPr="00A63DA8">
        <w:rPr>
          <w:rFonts w:ascii="Arial" w:eastAsia="Calibri" w:hAnsi="Arial" w:cs="Arial"/>
        </w:rPr>
        <w:t xml:space="preserve">If you/your organisation wishes to be considered for this work, please provide us with your formal quotation to cover </w:t>
      </w:r>
      <w:r w:rsidR="00E215DD" w:rsidRPr="00A63DA8">
        <w:rPr>
          <w:rFonts w:ascii="Arial" w:eastAsia="Calibri" w:hAnsi="Arial" w:cs="Arial"/>
        </w:rPr>
        <w:t>the works</w:t>
      </w:r>
      <w:r w:rsidRPr="00A63DA8">
        <w:rPr>
          <w:rFonts w:ascii="Arial" w:eastAsia="Calibri" w:hAnsi="Arial" w:cs="Arial"/>
        </w:rPr>
        <w:t xml:space="preserve"> in the above topic as described. Your </w:t>
      </w:r>
      <w:r w:rsidR="00E215DD" w:rsidRPr="00A63DA8">
        <w:rPr>
          <w:rFonts w:ascii="Arial" w:eastAsia="Calibri" w:hAnsi="Arial" w:cs="Arial"/>
        </w:rPr>
        <w:t>response must include all the required information</w:t>
      </w:r>
      <w:r w:rsidRPr="00A63DA8">
        <w:rPr>
          <w:rFonts w:ascii="Arial" w:eastAsia="Calibri" w:hAnsi="Arial" w:cs="Arial"/>
        </w:rPr>
        <w:t xml:space="preserve">, and must be submitted by email to </w:t>
      </w:r>
      <w:r w:rsidRPr="00A63DA8">
        <w:rPr>
          <w:rFonts w:ascii="Arial" w:eastAsia="Calibri" w:hAnsi="Arial" w:cs="Arial"/>
          <w:u w:val="single"/>
        </w:rPr>
        <w:t>NHSCS.kmcsu@nhs.net</w:t>
      </w:r>
      <w:r w:rsidRPr="00A63DA8">
        <w:rPr>
          <w:rFonts w:ascii="Arial" w:eastAsia="Calibri" w:hAnsi="Arial" w:cs="Arial"/>
        </w:rPr>
        <w:t xml:space="preserve">, to be received no later than </w:t>
      </w:r>
      <w:r w:rsidR="00E215DD" w:rsidRPr="00A63DA8">
        <w:rPr>
          <w:rFonts w:ascii="Arial" w:eastAsia="Calibri" w:hAnsi="Arial" w:cs="Arial"/>
        </w:rPr>
        <w:t>12</w:t>
      </w:r>
      <w:r w:rsidR="00174B77">
        <w:rPr>
          <w:rFonts w:ascii="Arial" w:eastAsia="Calibri" w:hAnsi="Arial" w:cs="Arial"/>
        </w:rPr>
        <w:t xml:space="preserve"> p.m. on </w:t>
      </w:r>
      <w:bookmarkStart w:id="1" w:name="_GoBack"/>
      <w:bookmarkEnd w:id="1"/>
      <w:r w:rsidR="00F07BFE">
        <w:rPr>
          <w:rFonts w:ascii="Arial" w:eastAsia="Calibri" w:hAnsi="Arial" w:cs="Arial"/>
        </w:rPr>
        <w:t>Fri</w:t>
      </w:r>
      <w:r w:rsidR="00174B77">
        <w:rPr>
          <w:rFonts w:ascii="Arial" w:eastAsia="Calibri" w:hAnsi="Arial" w:cs="Arial"/>
        </w:rPr>
        <w:t xml:space="preserve">day </w:t>
      </w:r>
      <w:r w:rsidR="00F07BFE" w:rsidRPr="00F07BFE">
        <w:rPr>
          <w:rFonts w:ascii="Arial" w:eastAsia="Calibri" w:hAnsi="Arial" w:cs="Arial"/>
        </w:rPr>
        <w:t>17 June 2016</w:t>
      </w:r>
      <w:r w:rsidR="00F07BFE">
        <w:rPr>
          <w:rFonts w:ascii="Arial" w:eastAsia="Calibri" w:hAnsi="Arial" w:cs="Arial"/>
        </w:rPr>
        <w:t xml:space="preserve"> </w:t>
      </w:r>
      <w:r w:rsidRPr="00A63DA8">
        <w:rPr>
          <w:rFonts w:ascii="Arial" w:eastAsia="Calibri" w:hAnsi="Arial" w:cs="Arial"/>
        </w:rPr>
        <w:t>in order to be considered for this contract.</w:t>
      </w:r>
      <w:r w:rsidRPr="00A63DA8">
        <w:rPr>
          <w:rFonts w:ascii="Arial" w:eastAsia="Calibri" w:hAnsi="Arial" w:cs="Arial"/>
          <w:b/>
        </w:rPr>
        <w:t xml:space="preserve">  </w:t>
      </w:r>
    </w:p>
    <w:p w:rsidR="00895337" w:rsidRPr="00E60E08" w:rsidRDefault="00895337" w:rsidP="00895337">
      <w:pPr>
        <w:rPr>
          <w:rFonts w:ascii="Arial" w:eastAsia="Calibri" w:hAnsi="Arial" w:cs="Arial"/>
        </w:rPr>
      </w:pPr>
      <w:r w:rsidRPr="00E60E08">
        <w:rPr>
          <w:rFonts w:ascii="Arial" w:eastAsia="Calibri" w:hAnsi="Arial" w:cs="Arial"/>
        </w:rPr>
        <w:t>Yours faithfully</w:t>
      </w:r>
    </w:p>
    <w:p w:rsidR="00895337" w:rsidRPr="00E60E08" w:rsidRDefault="00895337" w:rsidP="00895337">
      <w:pPr>
        <w:rPr>
          <w:rFonts w:ascii="Arial" w:eastAsia="Calibri" w:hAnsi="Arial" w:cs="Arial"/>
          <w:color w:val="FF0000"/>
        </w:rPr>
      </w:pPr>
      <w:r w:rsidRPr="00E60E08">
        <w:rPr>
          <w:rFonts w:ascii="Arial" w:eastAsia="Calibri" w:hAnsi="Arial" w:cs="Arial"/>
          <w:noProof/>
          <w:color w:val="FF0000"/>
          <w:lang w:eastAsia="en-GB"/>
        </w:rPr>
        <w:drawing>
          <wp:inline distT="0" distB="0" distL="0" distR="0" wp14:anchorId="6257DFD3" wp14:editId="60328934">
            <wp:extent cx="1254642" cy="568482"/>
            <wp:effectExtent l="0" t="0" r="3175" b="3175"/>
            <wp:docPr id="2" name="Picture 2" descr="Phil Spic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l Spicer signa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4493" cy="568414"/>
                    </a:xfrm>
                    <a:prstGeom prst="rect">
                      <a:avLst/>
                    </a:prstGeom>
                    <a:noFill/>
                    <a:ln>
                      <a:noFill/>
                    </a:ln>
                  </pic:spPr>
                </pic:pic>
              </a:graphicData>
            </a:graphic>
          </wp:inline>
        </w:drawing>
      </w:r>
    </w:p>
    <w:p w:rsidR="00895337" w:rsidRPr="00E60E08" w:rsidRDefault="00895337" w:rsidP="00895337">
      <w:pPr>
        <w:rPr>
          <w:rFonts w:ascii="Arial" w:eastAsia="Calibri" w:hAnsi="Arial" w:cs="Arial"/>
        </w:rPr>
      </w:pPr>
      <w:r w:rsidRPr="00E60E08">
        <w:rPr>
          <w:rFonts w:ascii="Arial" w:eastAsia="Calibri" w:hAnsi="Arial" w:cs="Arial"/>
          <w:b/>
          <w:bCs/>
        </w:rPr>
        <w:t>Philip Spicer</w:t>
      </w:r>
    </w:p>
    <w:p w:rsidR="00895337" w:rsidRPr="00E60E08" w:rsidRDefault="00895337" w:rsidP="00895337">
      <w:pPr>
        <w:spacing w:after="0"/>
        <w:rPr>
          <w:rFonts w:ascii="Arial" w:eastAsia="Calibri" w:hAnsi="Arial" w:cs="Arial"/>
        </w:rPr>
      </w:pPr>
      <w:r w:rsidRPr="00E60E08">
        <w:rPr>
          <w:rFonts w:ascii="Arial" w:eastAsia="Calibri" w:hAnsi="Arial" w:cs="Arial"/>
        </w:rPr>
        <w:t>Acting Performance Director</w:t>
      </w:r>
    </w:p>
    <w:p w:rsidR="00895337" w:rsidRPr="00E60E08" w:rsidRDefault="00895337" w:rsidP="00895337">
      <w:pPr>
        <w:spacing w:after="0"/>
        <w:rPr>
          <w:rFonts w:ascii="Arial" w:eastAsia="Calibri" w:hAnsi="Arial" w:cs="Arial"/>
        </w:rPr>
      </w:pPr>
      <w:r w:rsidRPr="00E60E08">
        <w:rPr>
          <w:rFonts w:ascii="Arial" w:eastAsia="Calibri" w:hAnsi="Arial" w:cs="Arial"/>
        </w:rPr>
        <w:t>NHS Commercial Solutions  </w:t>
      </w:r>
    </w:p>
    <w:p w:rsidR="005E1C4E" w:rsidRPr="00E60E08" w:rsidRDefault="00895337">
      <w:pPr>
        <w:rPr>
          <w:rFonts w:ascii="Arial" w:hAnsi="Arial" w:cs="Arial"/>
        </w:rPr>
      </w:pPr>
      <w:r w:rsidRPr="00E60E08">
        <w:rPr>
          <w:rFonts w:ascii="Arial" w:eastAsia="Calibri" w:hAnsi="Arial" w:cs="Arial"/>
        </w:rPr>
        <w:t>Email: NHSCS.kmcsu@nhs.net</w:t>
      </w:r>
    </w:p>
    <w:sectPr w:rsidR="005E1C4E" w:rsidRPr="00E60E08" w:rsidSect="00D15C9C">
      <w:pgSz w:w="11906" w:h="16838"/>
      <w:pgMar w:top="-114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C9C" w:rsidRDefault="00D15C9C" w:rsidP="00D15C9C">
      <w:pPr>
        <w:spacing w:after="0" w:line="240" w:lineRule="auto"/>
      </w:pPr>
      <w:r>
        <w:separator/>
      </w:r>
    </w:p>
  </w:endnote>
  <w:endnote w:type="continuationSeparator" w:id="0">
    <w:p w:rsidR="00D15C9C" w:rsidRDefault="00D15C9C" w:rsidP="00D1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C9C" w:rsidRDefault="00D15C9C" w:rsidP="00D15C9C">
      <w:pPr>
        <w:spacing w:after="0" w:line="240" w:lineRule="auto"/>
      </w:pPr>
      <w:r>
        <w:separator/>
      </w:r>
    </w:p>
  </w:footnote>
  <w:footnote w:type="continuationSeparator" w:id="0">
    <w:p w:rsidR="00D15C9C" w:rsidRDefault="00D15C9C" w:rsidP="00D15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6D35"/>
    <w:multiLevelType w:val="hybridMultilevel"/>
    <w:tmpl w:val="D096CB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B913471"/>
    <w:multiLevelType w:val="hybridMultilevel"/>
    <w:tmpl w:val="7584D5F2"/>
    <w:lvl w:ilvl="0" w:tplc="44B4209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BE910A5"/>
    <w:multiLevelType w:val="hybridMultilevel"/>
    <w:tmpl w:val="88C09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4D3739"/>
    <w:multiLevelType w:val="hybridMultilevel"/>
    <w:tmpl w:val="CE84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4E0A47"/>
    <w:multiLevelType w:val="hybridMultilevel"/>
    <w:tmpl w:val="C434B8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A40455"/>
    <w:multiLevelType w:val="hybridMultilevel"/>
    <w:tmpl w:val="9EF25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9631238"/>
    <w:multiLevelType w:val="hybridMultilevel"/>
    <w:tmpl w:val="4270533C"/>
    <w:lvl w:ilvl="0" w:tplc="CD3AAA50">
      <w:start w:val="1"/>
      <w:numFmt w:val="decimalZero"/>
      <w:lvlText w:val="%1."/>
      <w:lvlJc w:val="left"/>
      <w:pPr>
        <w:ind w:left="720" w:hanging="360"/>
      </w:pPr>
      <w:rPr>
        <w:rFonts w:asciiTheme="minorHAnsi" w:eastAsiaTheme="minorHAnsi" w:hAnsiTheme="minorHAnsi" w:cstheme="minorBidi"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353AD8"/>
    <w:multiLevelType w:val="hybridMultilevel"/>
    <w:tmpl w:val="763C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CF166E"/>
    <w:multiLevelType w:val="hybridMultilevel"/>
    <w:tmpl w:val="568E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D84716"/>
    <w:multiLevelType w:val="hybridMultilevel"/>
    <w:tmpl w:val="D23A7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num>
  <w:num w:numId="6">
    <w:abstractNumId w:val="9"/>
  </w:num>
  <w:num w:numId="7">
    <w:abstractNumId w:val="0"/>
  </w:num>
  <w:num w:numId="8">
    <w:abstractNumId w:val="7"/>
  </w:num>
  <w:num w:numId="9">
    <w:abstractNumId w:val="6"/>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37"/>
    <w:rsid w:val="00090DDF"/>
    <w:rsid w:val="000B2F55"/>
    <w:rsid w:val="00142BAB"/>
    <w:rsid w:val="00174B77"/>
    <w:rsid w:val="0029288B"/>
    <w:rsid w:val="002962F4"/>
    <w:rsid w:val="002B2783"/>
    <w:rsid w:val="0045028A"/>
    <w:rsid w:val="005E1C4E"/>
    <w:rsid w:val="00714639"/>
    <w:rsid w:val="007416A4"/>
    <w:rsid w:val="00815112"/>
    <w:rsid w:val="00895337"/>
    <w:rsid w:val="0089785F"/>
    <w:rsid w:val="008A082D"/>
    <w:rsid w:val="008F17A6"/>
    <w:rsid w:val="00A63DA8"/>
    <w:rsid w:val="00A86F5A"/>
    <w:rsid w:val="00B01966"/>
    <w:rsid w:val="00BE0DA8"/>
    <w:rsid w:val="00C049EA"/>
    <w:rsid w:val="00C84C89"/>
    <w:rsid w:val="00CB3739"/>
    <w:rsid w:val="00CC57EC"/>
    <w:rsid w:val="00D10F2C"/>
    <w:rsid w:val="00D15C9C"/>
    <w:rsid w:val="00D77BEC"/>
    <w:rsid w:val="00E10FAF"/>
    <w:rsid w:val="00E215DD"/>
    <w:rsid w:val="00E60E08"/>
    <w:rsid w:val="00EC1928"/>
    <w:rsid w:val="00F0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37"/>
  </w:style>
  <w:style w:type="paragraph" w:styleId="Heading2">
    <w:name w:val="heading 2"/>
    <w:basedOn w:val="Normal"/>
    <w:next w:val="Normal"/>
    <w:link w:val="Heading2Char"/>
    <w:unhideWhenUsed/>
    <w:qFormat/>
    <w:rsid w:val="00E215D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95337"/>
    <w:rPr>
      <w:color w:val="0000FF" w:themeColor="hyperlink"/>
      <w:u w:val="single"/>
    </w:rPr>
  </w:style>
  <w:style w:type="table" w:styleId="TableGrid">
    <w:name w:val="Table Grid"/>
    <w:basedOn w:val="TableNormal"/>
    <w:rsid w:val="008953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5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337"/>
    <w:rPr>
      <w:rFonts w:ascii="Tahoma" w:hAnsi="Tahoma" w:cs="Tahoma"/>
      <w:sz w:val="16"/>
      <w:szCs w:val="16"/>
    </w:rPr>
  </w:style>
  <w:style w:type="paragraph" w:styleId="ListParagraph">
    <w:name w:val="List Paragraph"/>
    <w:basedOn w:val="Normal"/>
    <w:qFormat/>
    <w:rsid w:val="00895337"/>
    <w:pPr>
      <w:ind w:left="720"/>
      <w:contextualSpacing/>
    </w:pPr>
  </w:style>
  <w:style w:type="paragraph" w:customStyle="1" w:styleId="Default">
    <w:name w:val="Default"/>
    <w:rsid w:val="00D77BEC"/>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rsid w:val="00E215DD"/>
    <w:rPr>
      <w:rFonts w:asciiTheme="majorHAnsi" w:eastAsiaTheme="majorEastAsia" w:hAnsiTheme="majorHAnsi" w:cstheme="majorBidi"/>
      <w:b/>
      <w:bCs/>
      <w:color w:val="4F81BD" w:themeColor="accent1"/>
      <w:sz w:val="26"/>
      <w:szCs w:val="26"/>
      <w:lang w:eastAsia="en-GB"/>
    </w:rPr>
  </w:style>
  <w:style w:type="paragraph" w:styleId="Quote">
    <w:name w:val="Quote"/>
    <w:basedOn w:val="Normal"/>
    <w:next w:val="Normal"/>
    <w:link w:val="QuoteChar"/>
    <w:qFormat/>
    <w:rsid w:val="00E215DD"/>
    <w:pPr>
      <w:spacing w:after="120"/>
      <w:ind w:left="720"/>
    </w:pPr>
    <w:rPr>
      <w:rFonts w:ascii="Arial" w:eastAsia="Calibri" w:hAnsi="Arial" w:cs="Times New Roman"/>
      <w:i/>
      <w:iCs/>
      <w:color w:val="404040"/>
      <w:sz w:val="20"/>
    </w:rPr>
  </w:style>
  <w:style w:type="character" w:customStyle="1" w:styleId="QuoteChar">
    <w:name w:val="Quote Char"/>
    <w:basedOn w:val="DefaultParagraphFont"/>
    <w:link w:val="Quote"/>
    <w:rsid w:val="00E215DD"/>
    <w:rPr>
      <w:rFonts w:ascii="Arial" w:eastAsia="Calibri" w:hAnsi="Arial" w:cs="Times New Roman"/>
      <w:i/>
      <w:iCs/>
      <w:color w:val="404040"/>
      <w:sz w:val="20"/>
    </w:rPr>
  </w:style>
  <w:style w:type="paragraph" w:styleId="Header">
    <w:name w:val="header"/>
    <w:basedOn w:val="Normal"/>
    <w:link w:val="HeaderChar"/>
    <w:uiPriority w:val="99"/>
    <w:unhideWhenUsed/>
    <w:rsid w:val="00D15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C9C"/>
  </w:style>
  <w:style w:type="paragraph" w:styleId="Footer">
    <w:name w:val="footer"/>
    <w:basedOn w:val="Normal"/>
    <w:link w:val="FooterChar"/>
    <w:uiPriority w:val="99"/>
    <w:unhideWhenUsed/>
    <w:rsid w:val="00D15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C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37"/>
  </w:style>
  <w:style w:type="paragraph" w:styleId="Heading2">
    <w:name w:val="heading 2"/>
    <w:basedOn w:val="Normal"/>
    <w:next w:val="Normal"/>
    <w:link w:val="Heading2Char"/>
    <w:unhideWhenUsed/>
    <w:qFormat/>
    <w:rsid w:val="00E215D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95337"/>
    <w:rPr>
      <w:color w:val="0000FF" w:themeColor="hyperlink"/>
      <w:u w:val="single"/>
    </w:rPr>
  </w:style>
  <w:style w:type="table" w:styleId="TableGrid">
    <w:name w:val="Table Grid"/>
    <w:basedOn w:val="TableNormal"/>
    <w:rsid w:val="008953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5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337"/>
    <w:rPr>
      <w:rFonts w:ascii="Tahoma" w:hAnsi="Tahoma" w:cs="Tahoma"/>
      <w:sz w:val="16"/>
      <w:szCs w:val="16"/>
    </w:rPr>
  </w:style>
  <w:style w:type="paragraph" w:styleId="ListParagraph">
    <w:name w:val="List Paragraph"/>
    <w:basedOn w:val="Normal"/>
    <w:qFormat/>
    <w:rsid w:val="00895337"/>
    <w:pPr>
      <w:ind w:left="720"/>
      <w:contextualSpacing/>
    </w:pPr>
  </w:style>
  <w:style w:type="paragraph" w:customStyle="1" w:styleId="Default">
    <w:name w:val="Default"/>
    <w:rsid w:val="00D77BEC"/>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rsid w:val="00E215DD"/>
    <w:rPr>
      <w:rFonts w:asciiTheme="majorHAnsi" w:eastAsiaTheme="majorEastAsia" w:hAnsiTheme="majorHAnsi" w:cstheme="majorBidi"/>
      <w:b/>
      <w:bCs/>
      <w:color w:val="4F81BD" w:themeColor="accent1"/>
      <w:sz w:val="26"/>
      <w:szCs w:val="26"/>
      <w:lang w:eastAsia="en-GB"/>
    </w:rPr>
  </w:style>
  <w:style w:type="paragraph" w:styleId="Quote">
    <w:name w:val="Quote"/>
    <w:basedOn w:val="Normal"/>
    <w:next w:val="Normal"/>
    <w:link w:val="QuoteChar"/>
    <w:qFormat/>
    <w:rsid w:val="00E215DD"/>
    <w:pPr>
      <w:spacing w:after="120"/>
      <w:ind w:left="720"/>
    </w:pPr>
    <w:rPr>
      <w:rFonts w:ascii="Arial" w:eastAsia="Calibri" w:hAnsi="Arial" w:cs="Times New Roman"/>
      <w:i/>
      <w:iCs/>
      <w:color w:val="404040"/>
      <w:sz w:val="20"/>
    </w:rPr>
  </w:style>
  <w:style w:type="character" w:customStyle="1" w:styleId="QuoteChar">
    <w:name w:val="Quote Char"/>
    <w:basedOn w:val="DefaultParagraphFont"/>
    <w:link w:val="Quote"/>
    <w:rsid w:val="00E215DD"/>
    <w:rPr>
      <w:rFonts w:ascii="Arial" w:eastAsia="Calibri" w:hAnsi="Arial" w:cs="Times New Roman"/>
      <w:i/>
      <w:iCs/>
      <w:color w:val="404040"/>
      <w:sz w:val="20"/>
    </w:rPr>
  </w:style>
  <w:style w:type="paragraph" w:styleId="Header">
    <w:name w:val="header"/>
    <w:basedOn w:val="Normal"/>
    <w:link w:val="HeaderChar"/>
    <w:uiPriority w:val="99"/>
    <w:unhideWhenUsed/>
    <w:rsid w:val="00D15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C9C"/>
  </w:style>
  <w:style w:type="paragraph" w:styleId="Footer">
    <w:name w:val="footer"/>
    <w:basedOn w:val="Normal"/>
    <w:link w:val="FooterChar"/>
    <w:uiPriority w:val="99"/>
    <w:unhideWhenUsed/>
    <w:rsid w:val="00D15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7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oleObject" Target="embeddings/Microsoft_Word_97_-_2003_Document1.doc"/><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NHSCS.kmcsu@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YDDDJFS001\YDDDJ-USF\NHS%20Commercial%20Solutions\Procurement\Support%20Services\Projects\2319%20-%20IT%20DISPOSAL\Tender\Decline%20Letters\www.commercialsolutions-sec.nhs.uk" TargetMode="Externa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A24EB5A6</Template>
  <TotalTime>137</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Hawkins Kirsty (NHS Commercial Solutions)</dc:creator>
  <cp:lastModifiedBy>Elahi Monjur (NHS Commercial Solutions)</cp:lastModifiedBy>
  <cp:revision>9</cp:revision>
  <cp:lastPrinted>2016-02-04T10:11:00Z</cp:lastPrinted>
  <dcterms:created xsi:type="dcterms:W3CDTF">2016-05-10T11:55:00Z</dcterms:created>
  <dcterms:modified xsi:type="dcterms:W3CDTF">2016-05-20T10:02:00Z</dcterms:modified>
</cp:coreProperties>
</file>