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891649437"/>
        <w:docPartObj>
          <w:docPartGallery w:val="Cover Pages"/>
          <w:docPartUnique/>
        </w:docPartObj>
      </w:sdtPr>
      <w:sdtEndPr>
        <w:rPr>
          <w:rFonts w:ascii="Arial" w:hAnsi="Arial" w:cs="Arial"/>
        </w:rPr>
      </w:sdtEndPr>
      <w:sdtContent>
        <w:p w14:paraId="34E97428" w14:textId="2E151E5F" w:rsidR="000E6865" w:rsidRDefault="000E6865">
          <w:r>
            <w:rPr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B19FA45" wp14:editId="5DBBBE60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<w:pict>
                  <v:group w14:anchorId="7A2FEE06" id="Group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1C575522" w14:textId="5513C15C" w:rsidR="000E6865" w:rsidRDefault="00381464">
          <w:pPr>
            <w:rPr>
              <w:rFonts w:ascii="Arial" w:hAnsi="Arial" w:cs="Arial"/>
            </w:rPr>
          </w:pPr>
          <w:r w:rsidRPr="006A5CEF">
            <w:rPr>
              <w:rFonts w:ascii="Arial" w:hAnsi="Arial" w:cs="Arial"/>
              <w:b/>
              <w:noProof/>
              <w:lang w:eastAsia="en-GB"/>
            </w:rPr>
            <w:drawing>
              <wp:anchor distT="0" distB="0" distL="114300" distR="114300" simplePos="0" relativeHeight="251689984" behindDoc="0" locked="0" layoutInCell="1" allowOverlap="1" wp14:anchorId="3B8F2B4F" wp14:editId="3B2F7EE3">
                <wp:simplePos x="0" y="0"/>
                <wp:positionH relativeFrom="margin">
                  <wp:posOffset>3636010</wp:posOffset>
                </wp:positionH>
                <wp:positionV relativeFrom="paragraph">
                  <wp:posOffset>489615</wp:posOffset>
                </wp:positionV>
                <wp:extent cx="2087880" cy="895350"/>
                <wp:effectExtent l="0" t="0" r="762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orth West Collaboration of Clinical Commissioning Groups ÔÇô CMYK BLUE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6C187F0" wp14:editId="71EDB6BE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2275072</wp:posOffset>
                    </wp:positionV>
                    <wp:extent cx="7315200" cy="3638550"/>
                    <wp:effectExtent l="0" t="0" r="0" b="508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E25C81" w14:textId="0562AA3A" w:rsidR="000E6865" w:rsidRPr="00650221" w:rsidRDefault="002B6EEE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4472C4" w:themeColor="accent1"/>
                                    <w:sz w:val="48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Arial" w:hAnsi="Arial" w:cs="Arial"/>
                                      <w:caps/>
                                      <w:color w:val="4472C4" w:themeColor="accent1"/>
                                      <w:sz w:val="48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650221" w:rsidRPr="00650221">
                                      <w:rPr>
                                        <w:rFonts w:ascii="Arial" w:hAnsi="Arial" w:cs="Arial"/>
                                        <w:caps/>
                                        <w:color w:val="4472C4" w:themeColor="accent1"/>
                                        <w:sz w:val="48"/>
                                        <w:szCs w:val="64"/>
                                      </w:rPr>
                                      <w:t xml:space="preserve">NWL </w:t>
                                    </w:r>
                                    <w:r w:rsidR="00680963">
                                      <w:rPr>
                                        <w:rFonts w:ascii="Arial" w:hAnsi="Arial" w:cs="Arial"/>
                                        <w:caps/>
                                        <w:color w:val="4472C4" w:themeColor="accent1"/>
                                        <w:sz w:val="48"/>
                                        <w:szCs w:val="64"/>
                                      </w:rPr>
                                      <w:t xml:space="preserve">COMMUNITY </w:t>
                                    </w:r>
                                    <w:r w:rsidR="00650221" w:rsidRPr="00650221">
                                      <w:rPr>
                                        <w:rFonts w:ascii="Arial" w:hAnsi="Arial" w:cs="Arial"/>
                                        <w:caps/>
                                        <w:color w:val="4472C4" w:themeColor="accent1"/>
                                        <w:sz w:val="48"/>
                                        <w:szCs w:val="64"/>
                                      </w:rPr>
                                      <w:t>DirECT ACCESS IMAGING</w:t>
                                    </w:r>
                                    <w:r w:rsidR="00680963">
                                      <w:rPr>
                                        <w:rFonts w:ascii="Arial" w:hAnsi="Arial" w:cs="Arial"/>
                                        <w:caps/>
                                        <w:color w:val="4472C4" w:themeColor="accent1"/>
                                        <w:sz w:val="48"/>
                                        <w:szCs w:val="64"/>
                                      </w:rPr>
                                      <w:t xml:space="preserve"> SERVICE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margin-left:17.55pt;margin-top:179.15pt;width:8in;height:286.5pt;z-index:251660288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" filled="f" stroked="f" strokeweight=".5pt">
                    <v:textbox inset="126pt,0,54pt,0">
                      <w:txbxContent>
                        <w:p w14:paraId="71E25C81" w14:textId="0562AA3A" w:rsidR="000E6865" w:rsidRPr="00650221" w:rsidRDefault="00AF1808">
                          <w:pPr>
                            <w:jc w:val="right"/>
                            <w:rPr>
                              <w:rFonts w:ascii="Arial" w:hAnsi="Arial" w:cs="Arial"/>
                              <w:color w:val="4472C4" w:themeColor="accent1"/>
                              <w:sz w:val="48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caps/>
                                <w:color w:val="4472C4" w:themeColor="accent1"/>
                                <w:sz w:val="48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650221" w:rsidRPr="00650221">
                                <w:rPr>
                                  <w:rFonts w:ascii="Arial" w:hAnsi="Arial" w:cs="Arial"/>
                                  <w:caps/>
                                  <w:color w:val="4472C4" w:themeColor="accent1"/>
                                  <w:sz w:val="48"/>
                                  <w:szCs w:val="64"/>
                                </w:rPr>
                                <w:t xml:space="preserve">NWL </w:t>
                              </w:r>
                              <w:r w:rsidR="00680963">
                                <w:rPr>
                                  <w:rFonts w:ascii="Arial" w:hAnsi="Arial" w:cs="Arial"/>
                                  <w:caps/>
                                  <w:color w:val="4472C4" w:themeColor="accent1"/>
                                  <w:sz w:val="48"/>
                                  <w:szCs w:val="64"/>
                                </w:rPr>
                                <w:t xml:space="preserve">COMMUNITY </w:t>
                              </w:r>
                              <w:r w:rsidR="00650221" w:rsidRPr="00650221">
                                <w:rPr>
                                  <w:rFonts w:ascii="Arial" w:hAnsi="Arial" w:cs="Arial"/>
                                  <w:caps/>
                                  <w:color w:val="4472C4" w:themeColor="accent1"/>
                                  <w:sz w:val="48"/>
                                  <w:szCs w:val="64"/>
                                </w:rPr>
                                <w:t>DirECT ACCESS IMAGING</w:t>
                              </w:r>
                              <w:r w:rsidR="00680963">
                                <w:rPr>
                                  <w:rFonts w:ascii="Arial" w:hAnsi="Arial" w:cs="Arial"/>
                                  <w:caps/>
                                  <w:color w:val="4472C4" w:themeColor="accent1"/>
                                  <w:sz w:val="48"/>
                                  <w:szCs w:val="64"/>
                                </w:rPr>
                                <w:t xml:space="preserve"> SERVICE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0E6865">
            <w:rPr>
              <w:rFonts w:ascii="Arial" w:hAnsi="Arial" w:cs="Arial"/>
            </w:rPr>
            <w:br w:type="page"/>
          </w:r>
        </w:p>
      </w:sdtContent>
    </w:sdt>
    <w:p w14:paraId="60E00B7C" w14:textId="47F5633F" w:rsidR="00667384" w:rsidRDefault="00667384" w:rsidP="00667384">
      <w:pPr>
        <w:pStyle w:val="NoSpacing"/>
        <w:spacing w:line="276" w:lineRule="auto"/>
        <w:rPr>
          <w:rFonts w:ascii="Arial" w:hAnsi="Arial" w:cs="Arial"/>
        </w:rPr>
      </w:pPr>
    </w:p>
    <w:p w14:paraId="695CEBF1" w14:textId="35D515C5" w:rsidR="00667384" w:rsidRDefault="00680963" w:rsidP="00667384">
      <w:pPr>
        <w:pStyle w:val="NoSpacing"/>
        <w:spacing w:line="276" w:lineRule="auto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Community </w:t>
      </w:r>
      <w:r w:rsidR="00667384" w:rsidRPr="00667384">
        <w:rPr>
          <w:rFonts w:ascii="Arial" w:hAnsi="Arial" w:cs="Arial"/>
          <w:b/>
          <w:sz w:val="32"/>
          <w:u w:val="single"/>
        </w:rPr>
        <w:t xml:space="preserve">Direct Access Imaging </w:t>
      </w:r>
      <w:r w:rsidR="00AB3AB2">
        <w:rPr>
          <w:rFonts w:ascii="Arial" w:hAnsi="Arial" w:cs="Arial"/>
          <w:b/>
          <w:sz w:val="32"/>
          <w:u w:val="single"/>
        </w:rPr>
        <w:t xml:space="preserve">Services </w:t>
      </w:r>
      <w:r w:rsidR="00667384" w:rsidRPr="00667384">
        <w:rPr>
          <w:rFonts w:ascii="Arial" w:hAnsi="Arial" w:cs="Arial"/>
          <w:b/>
          <w:sz w:val="32"/>
          <w:u w:val="single"/>
        </w:rPr>
        <w:t>in NWL</w:t>
      </w:r>
    </w:p>
    <w:p w14:paraId="06391B4C" w14:textId="57D8EE2D" w:rsidR="00482E14" w:rsidRDefault="00482E14" w:rsidP="00E90CFA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0F1E1E58" w14:textId="39DB60F8" w:rsidR="00482E14" w:rsidRPr="00897EFA" w:rsidRDefault="001702D9" w:rsidP="001702D9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Purpose</w:t>
      </w:r>
    </w:p>
    <w:p w14:paraId="294C8D4E" w14:textId="77777777" w:rsidR="001702D9" w:rsidRPr="001702D9" w:rsidRDefault="001702D9" w:rsidP="001702D9">
      <w:pPr>
        <w:spacing w:after="0" w:line="276" w:lineRule="auto"/>
        <w:rPr>
          <w:rFonts w:ascii="Arial" w:hAnsi="Arial" w:cs="Arial"/>
          <w:lang w:eastAsia="en-GB"/>
        </w:rPr>
      </w:pPr>
    </w:p>
    <w:p w14:paraId="78D5A9C5" w14:textId="036ED496" w:rsidR="001702D9" w:rsidRPr="001702D9" w:rsidRDefault="001702D9" w:rsidP="001702D9">
      <w:pPr>
        <w:spacing w:after="0" w:line="276" w:lineRule="auto"/>
        <w:jc w:val="both"/>
        <w:rPr>
          <w:rFonts w:ascii="Arial" w:hAnsi="Arial" w:cs="Arial"/>
          <w:lang w:eastAsia="en-GB"/>
        </w:rPr>
      </w:pPr>
      <w:r w:rsidRPr="001702D9">
        <w:rPr>
          <w:rFonts w:ascii="Arial" w:hAnsi="Arial" w:cs="Arial"/>
          <w:lang w:eastAsia="en-GB"/>
        </w:rPr>
        <w:t xml:space="preserve">The purpose of this Memorandum of Information (MOI) is to provide Stakeholders and potential Bidders with an overview of the </w:t>
      </w:r>
      <w:r>
        <w:rPr>
          <w:rFonts w:ascii="Arial" w:hAnsi="Arial" w:cs="Arial"/>
          <w:lang w:eastAsia="en-GB"/>
        </w:rPr>
        <w:t xml:space="preserve">Community Direct Access Imaging Services provided across six North West London (NWL) </w:t>
      </w:r>
      <w:r w:rsidRPr="001702D9">
        <w:rPr>
          <w:rFonts w:ascii="Arial" w:hAnsi="Arial" w:cs="Arial"/>
          <w:lang w:eastAsia="en-GB"/>
        </w:rPr>
        <w:t>Clinical Commissioning Group</w:t>
      </w:r>
      <w:r>
        <w:rPr>
          <w:rFonts w:ascii="Arial" w:hAnsi="Arial" w:cs="Arial"/>
          <w:lang w:eastAsia="en-GB"/>
        </w:rPr>
        <w:t>s</w:t>
      </w:r>
      <w:r w:rsidRPr="001702D9">
        <w:rPr>
          <w:rFonts w:ascii="Arial" w:hAnsi="Arial" w:cs="Arial"/>
          <w:lang w:eastAsia="en-GB"/>
        </w:rPr>
        <w:t xml:space="preserve"> (CCG</w:t>
      </w:r>
      <w:r>
        <w:rPr>
          <w:rFonts w:ascii="Arial" w:hAnsi="Arial" w:cs="Arial"/>
          <w:lang w:eastAsia="en-GB"/>
        </w:rPr>
        <w:t>s</w:t>
      </w:r>
      <w:r w:rsidRPr="001702D9">
        <w:rPr>
          <w:rFonts w:ascii="Arial" w:hAnsi="Arial" w:cs="Arial"/>
          <w:lang w:eastAsia="en-GB"/>
        </w:rPr>
        <w:t>).</w:t>
      </w:r>
      <w:r>
        <w:rPr>
          <w:rFonts w:ascii="Arial" w:hAnsi="Arial" w:cs="Arial"/>
          <w:lang w:eastAsia="en-GB"/>
        </w:rPr>
        <w:t xml:space="preserve">  The CCGs are Brent, Central London, Ealing, Hammersmith &amp; Fulham, Harrow and West London.</w:t>
      </w:r>
    </w:p>
    <w:p w14:paraId="37DEF2DD" w14:textId="77777777" w:rsidR="001702D9" w:rsidRPr="001702D9" w:rsidRDefault="001702D9" w:rsidP="001702D9">
      <w:pPr>
        <w:spacing w:after="0" w:line="276" w:lineRule="auto"/>
        <w:jc w:val="both"/>
        <w:rPr>
          <w:rFonts w:ascii="Arial" w:hAnsi="Arial" w:cs="Arial"/>
          <w:lang w:eastAsia="en-GB"/>
        </w:rPr>
      </w:pPr>
    </w:p>
    <w:p w14:paraId="7F17CB58" w14:textId="69406FCE" w:rsidR="001702D9" w:rsidRPr="001702D9" w:rsidRDefault="001702D9" w:rsidP="001702D9">
      <w:pPr>
        <w:spacing w:after="0" w:line="276" w:lineRule="auto"/>
        <w:jc w:val="both"/>
        <w:rPr>
          <w:rFonts w:ascii="Arial" w:hAnsi="Arial" w:cs="Arial"/>
        </w:rPr>
      </w:pPr>
      <w:r w:rsidRPr="001702D9">
        <w:rPr>
          <w:rFonts w:ascii="Arial" w:hAnsi="Arial" w:cs="Arial"/>
        </w:rPr>
        <w:t xml:space="preserve">The MOI is intended only as a preliminary background explanation of the </w:t>
      </w:r>
      <w:r>
        <w:rPr>
          <w:rFonts w:ascii="Arial" w:hAnsi="Arial" w:cs="Arial"/>
        </w:rPr>
        <w:t xml:space="preserve">current service provision and the key objectives for the CCGs </w:t>
      </w:r>
      <w:r w:rsidR="00483883">
        <w:rPr>
          <w:rFonts w:ascii="Arial" w:hAnsi="Arial" w:cs="Arial"/>
        </w:rPr>
        <w:t xml:space="preserve">regarding </w:t>
      </w:r>
      <w:r>
        <w:rPr>
          <w:rFonts w:ascii="Arial" w:hAnsi="Arial" w:cs="Arial"/>
        </w:rPr>
        <w:t xml:space="preserve">the provision of </w:t>
      </w:r>
      <w:r w:rsidR="00483883">
        <w:rPr>
          <w:rFonts w:ascii="Arial" w:hAnsi="Arial" w:cs="Arial"/>
        </w:rPr>
        <w:t xml:space="preserve">these </w:t>
      </w:r>
      <w:r>
        <w:rPr>
          <w:rFonts w:ascii="Arial" w:hAnsi="Arial" w:cs="Arial"/>
        </w:rPr>
        <w:t>service</w:t>
      </w:r>
      <w:r w:rsidR="00483883">
        <w:rPr>
          <w:rFonts w:ascii="Arial" w:hAnsi="Arial" w:cs="Arial"/>
        </w:rPr>
        <w:t>s over the coming years</w:t>
      </w:r>
      <w:r>
        <w:rPr>
          <w:rFonts w:ascii="Arial" w:hAnsi="Arial" w:cs="Arial"/>
        </w:rPr>
        <w:t xml:space="preserve">.  </w:t>
      </w:r>
      <w:r w:rsidRPr="001702D9">
        <w:rPr>
          <w:rFonts w:ascii="Arial" w:hAnsi="Arial" w:cs="Arial"/>
        </w:rPr>
        <w:t>It is in no way intended to form the basis of any decision on the terms upon which the CCG</w:t>
      </w:r>
      <w:r>
        <w:rPr>
          <w:rFonts w:ascii="Arial" w:hAnsi="Arial" w:cs="Arial"/>
        </w:rPr>
        <w:t>s</w:t>
      </w:r>
      <w:r w:rsidRPr="001702D9">
        <w:rPr>
          <w:rFonts w:ascii="Arial" w:hAnsi="Arial" w:cs="Arial"/>
        </w:rPr>
        <w:t xml:space="preserve"> will enter in to any contractual relationship.  If a decision is made to tender this service, then this MOI will be supported by further details provided </w:t>
      </w:r>
      <w:r w:rsidR="00483883">
        <w:rPr>
          <w:rFonts w:ascii="Arial" w:hAnsi="Arial" w:cs="Arial"/>
        </w:rPr>
        <w:t>a</w:t>
      </w:r>
      <w:r w:rsidRPr="001702D9">
        <w:rPr>
          <w:rFonts w:ascii="Arial" w:hAnsi="Arial" w:cs="Arial"/>
        </w:rPr>
        <w:t xml:space="preserve"> detailed Service Specification.</w:t>
      </w:r>
    </w:p>
    <w:p w14:paraId="7CEAE894" w14:textId="77777777" w:rsidR="00D558C4" w:rsidRDefault="00D558C4" w:rsidP="00040CDC">
      <w:pPr>
        <w:pStyle w:val="NoSpacing"/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</w:p>
    <w:p w14:paraId="083F2222" w14:textId="03E236A1" w:rsidR="00717F66" w:rsidRPr="00897EFA" w:rsidRDefault="00032AC9" w:rsidP="00717F66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Strategic Priorities</w:t>
      </w:r>
    </w:p>
    <w:p w14:paraId="1D7CE61C" w14:textId="77777777" w:rsidR="00717F66" w:rsidRPr="006C0C27" w:rsidRDefault="00717F66" w:rsidP="00717F66">
      <w:pPr>
        <w:spacing w:after="0" w:line="276" w:lineRule="auto"/>
        <w:jc w:val="both"/>
        <w:rPr>
          <w:rFonts w:ascii="Arial" w:hAnsi="Arial" w:cs="Arial"/>
        </w:rPr>
      </w:pPr>
    </w:p>
    <w:p w14:paraId="3D25BF06" w14:textId="07E10CAA" w:rsidR="006C0C27" w:rsidRPr="006C0C27" w:rsidRDefault="006C0C27" w:rsidP="006C0C27">
      <w:pPr>
        <w:pStyle w:val="NoSpacing"/>
        <w:spacing w:line="276" w:lineRule="auto"/>
        <w:jc w:val="both"/>
        <w:rPr>
          <w:rFonts w:ascii="Arial" w:hAnsi="Arial" w:cs="Arial"/>
        </w:rPr>
      </w:pPr>
      <w:r w:rsidRPr="006C0C27">
        <w:rPr>
          <w:rFonts w:ascii="Arial" w:hAnsi="Arial" w:cs="Arial"/>
        </w:rPr>
        <w:t xml:space="preserve">The NHS supports the need to develop improved access to diagnostic tests as part of the drive to reduce waiting times and improve choice options for patients. </w:t>
      </w:r>
      <w:r>
        <w:rPr>
          <w:rFonts w:ascii="Arial" w:hAnsi="Arial" w:cs="Arial"/>
        </w:rPr>
        <w:t xml:space="preserve"> </w:t>
      </w:r>
      <w:r w:rsidRPr="006C0C27">
        <w:rPr>
          <w:rFonts w:ascii="Arial" w:hAnsi="Arial" w:cs="Arial"/>
        </w:rPr>
        <w:t xml:space="preserve">The need to develop community based diagnostic services is supported by the Royal College of Radiologists and Royal College of General Practitioners as part of a service strategy to improve access to tests and ensure these tests are delivered at the right stage of the patient care pathway. </w:t>
      </w:r>
    </w:p>
    <w:p w14:paraId="6C1E1CB9" w14:textId="77777777" w:rsidR="006C0C27" w:rsidRPr="006C0C27" w:rsidRDefault="006C0C27" w:rsidP="006C0C27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330E1062" w14:textId="535AB993" w:rsidR="006C0C27" w:rsidRPr="006C0C27" w:rsidRDefault="006C0C27" w:rsidP="006C0C27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Locally the s</w:t>
      </w:r>
      <w:r w:rsidRPr="006C0C27">
        <w:rPr>
          <w:rFonts w:ascii="Arial" w:hAnsi="Arial" w:cs="Arial"/>
        </w:rPr>
        <w:t xml:space="preserve">ix </w:t>
      </w:r>
      <w:r>
        <w:rPr>
          <w:rFonts w:ascii="Arial" w:hAnsi="Arial" w:cs="Arial"/>
        </w:rPr>
        <w:t>CCGs</w:t>
      </w:r>
      <w:r w:rsidRPr="006C0C27">
        <w:rPr>
          <w:rFonts w:ascii="Arial" w:hAnsi="Arial" w:cs="Arial"/>
        </w:rPr>
        <w:t xml:space="preserve"> in North West London commissioned </w:t>
      </w:r>
      <w:r>
        <w:rPr>
          <w:rFonts w:ascii="Arial" w:hAnsi="Arial" w:cs="Arial"/>
        </w:rPr>
        <w:t>a</w:t>
      </w:r>
      <w:r w:rsidRPr="006C0C27">
        <w:rPr>
          <w:rFonts w:ascii="Arial" w:hAnsi="Arial" w:cs="Arial"/>
        </w:rPr>
        <w:t xml:space="preserve"> provider to deliver diagnostic imaging to its residents within the boundaries of the CCGs</w:t>
      </w:r>
      <w:r>
        <w:rPr>
          <w:rFonts w:ascii="Arial" w:hAnsi="Arial" w:cs="Arial"/>
        </w:rPr>
        <w:t xml:space="preserve">, with the </w:t>
      </w:r>
      <w:r w:rsidRPr="006C0C27">
        <w:rPr>
          <w:rFonts w:ascii="Arial" w:hAnsi="Arial" w:cs="Arial"/>
        </w:rPr>
        <w:t>overarching aims of the service to ensure:</w:t>
      </w:r>
    </w:p>
    <w:p w14:paraId="3D975D43" w14:textId="77777777" w:rsidR="006C0C27" w:rsidRPr="006C0C27" w:rsidRDefault="006C0C27" w:rsidP="006C0C27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72E1BAA0" w14:textId="77777777" w:rsidR="006C0C27" w:rsidRPr="006C0C27" w:rsidRDefault="006C0C27" w:rsidP="006C0C27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C0C27">
        <w:rPr>
          <w:rFonts w:ascii="Arial" w:hAnsi="Arial" w:cs="Arial"/>
        </w:rPr>
        <w:t>Acute providers meet waiting time targets</w:t>
      </w:r>
    </w:p>
    <w:p w14:paraId="58C18834" w14:textId="77777777" w:rsidR="006C0C27" w:rsidRPr="006C0C27" w:rsidRDefault="006C0C27" w:rsidP="006C0C27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C0C27">
        <w:rPr>
          <w:rFonts w:ascii="Arial" w:hAnsi="Arial" w:cs="Arial"/>
        </w:rPr>
        <w:t>Reductions in annual activity and spend on diagnostic imaging per CCG in NWL</w:t>
      </w:r>
    </w:p>
    <w:p w14:paraId="13932B4E" w14:textId="77777777" w:rsidR="006C0C27" w:rsidRPr="006C0C27" w:rsidRDefault="006C0C27" w:rsidP="006C0C27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C0C27">
        <w:rPr>
          <w:rFonts w:ascii="Arial" w:hAnsi="Arial" w:cs="Arial"/>
        </w:rPr>
        <w:t xml:space="preserve">There is high quality diagnostics in both acute and community settings in NWL </w:t>
      </w:r>
    </w:p>
    <w:p w14:paraId="1E5ABEEF" w14:textId="77777777" w:rsidR="006C0C27" w:rsidRDefault="006C0C27" w:rsidP="006C0C27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C0C27">
        <w:rPr>
          <w:rFonts w:ascii="Arial" w:hAnsi="Arial" w:cs="Arial"/>
        </w:rPr>
        <w:t xml:space="preserve">NWL strategic and operational efficiencies are delivered </w:t>
      </w:r>
    </w:p>
    <w:p w14:paraId="0CECD6A9" w14:textId="560475D6" w:rsidR="006C0C27" w:rsidRPr="006C0C27" w:rsidRDefault="006C0C27" w:rsidP="006C0C27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6C0C27">
        <w:rPr>
          <w:rFonts w:ascii="Arial" w:hAnsi="Arial" w:cs="Arial"/>
          <w:sz w:val="21"/>
          <w:szCs w:val="21"/>
        </w:rPr>
        <w:t>Th</w:t>
      </w:r>
      <w:r>
        <w:rPr>
          <w:rFonts w:ascii="Arial" w:hAnsi="Arial" w:cs="Arial"/>
          <w:sz w:val="21"/>
          <w:szCs w:val="21"/>
        </w:rPr>
        <w:t xml:space="preserve">at the </w:t>
      </w:r>
      <w:r w:rsidRPr="006C0C27">
        <w:rPr>
          <w:rFonts w:ascii="Arial" w:hAnsi="Arial" w:cs="Arial"/>
          <w:sz w:val="21"/>
          <w:szCs w:val="21"/>
        </w:rPr>
        <w:t xml:space="preserve">service will contribute towards the NHS Outcomes Framework Domains </w:t>
      </w:r>
      <w:r w:rsidR="00032AC9">
        <w:rPr>
          <w:rFonts w:ascii="Arial" w:hAnsi="Arial" w:cs="Arial"/>
          <w:sz w:val="21"/>
          <w:szCs w:val="21"/>
        </w:rPr>
        <w:t xml:space="preserve">(shown below) and </w:t>
      </w:r>
      <w:r w:rsidRPr="006C0C27">
        <w:rPr>
          <w:rFonts w:ascii="Arial" w:hAnsi="Arial" w:cs="Arial"/>
          <w:sz w:val="21"/>
          <w:szCs w:val="21"/>
        </w:rPr>
        <w:t xml:space="preserve">Local Quality Measures </w:t>
      </w:r>
      <w:r w:rsidR="00032AC9">
        <w:rPr>
          <w:rFonts w:ascii="Arial" w:hAnsi="Arial" w:cs="Arial"/>
          <w:sz w:val="21"/>
          <w:szCs w:val="21"/>
        </w:rPr>
        <w:t>(also shown below).</w:t>
      </w:r>
    </w:p>
    <w:p w14:paraId="74F3C6AA" w14:textId="77777777" w:rsidR="006C0C27" w:rsidRPr="00B52F5A" w:rsidRDefault="006C0C27" w:rsidP="006C0C27">
      <w:pPr>
        <w:pStyle w:val="NoSpacing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7196D94" w14:textId="04297ECB" w:rsidR="006C0C27" w:rsidRPr="00B52F5A" w:rsidRDefault="00032AC9" w:rsidP="006C0C27">
      <w:pPr>
        <w:pStyle w:val="NoSpacing"/>
        <w:spacing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NHS Outcomes Framework </w:t>
      </w:r>
      <w:r w:rsidR="006C0C27" w:rsidRPr="00B52F5A">
        <w:rPr>
          <w:rFonts w:ascii="Arial" w:hAnsi="Arial" w:cs="Arial"/>
          <w:b/>
          <w:i/>
          <w:sz w:val="21"/>
          <w:szCs w:val="21"/>
        </w:rPr>
        <w:t>National Domains</w:t>
      </w:r>
    </w:p>
    <w:tbl>
      <w:tblPr>
        <w:tblStyle w:val="TableGrid"/>
        <w:tblpPr w:leftFromText="180" w:rightFromText="180" w:vertAnchor="page" w:horzAnchor="margin" w:tblpY="13096"/>
        <w:tblOverlap w:val="never"/>
        <w:tblW w:w="5000" w:type="pct"/>
        <w:tblLook w:val="04A0" w:firstRow="1" w:lastRow="0" w:firstColumn="1" w:lastColumn="0" w:noHBand="0" w:noVBand="1"/>
      </w:tblPr>
      <w:tblGrid>
        <w:gridCol w:w="1081"/>
        <w:gridCol w:w="7811"/>
        <w:gridCol w:w="350"/>
      </w:tblGrid>
      <w:tr w:rsidR="00032AC9" w:rsidRPr="00C601B4" w14:paraId="5C2DD048" w14:textId="77777777" w:rsidTr="00032AC9">
        <w:trPr>
          <w:trHeight w:val="460"/>
        </w:trPr>
        <w:tc>
          <w:tcPr>
            <w:tcW w:w="585" w:type="pct"/>
            <w:vAlign w:val="center"/>
          </w:tcPr>
          <w:p w14:paraId="58560818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Domain 1</w:t>
            </w:r>
          </w:p>
        </w:tc>
        <w:tc>
          <w:tcPr>
            <w:tcW w:w="4225" w:type="pct"/>
            <w:vAlign w:val="center"/>
          </w:tcPr>
          <w:p w14:paraId="77816AF7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Preventing people from dying prematurely</w:t>
            </w:r>
          </w:p>
        </w:tc>
        <w:tc>
          <w:tcPr>
            <w:tcW w:w="189" w:type="pct"/>
            <w:vAlign w:val="center"/>
          </w:tcPr>
          <w:p w14:paraId="3AF1754D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Y</w:t>
            </w:r>
          </w:p>
        </w:tc>
      </w:tr>
      <w:tr w:rsidR="00032AC9" w:rsidRPr="00C601B4" w14:paraId="42B54968" w14:textId="77777777" w:rsidTr="00032AC9">
        <w:trPr>
          <w:trHeight w:val="460"/>
        </w:trPr>
        <w:tc>
          <w:tcPr>
            <w:tcW w:w="585" w:type="pct"/>
            <w:vAlign w:val="center"/>
          </w:tcPr>
          <w:p w14:paraId="649C34AB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Domain 2</w:t>
            </w:r>
          </w:p>
        </w:tc>
        <w:tc>
          <w:tcPr>
            <w:tcW w:w="4225" w:type="pct"/>
            <w:vAlign w:val="center"/>
          </w:tcPr>
          <w:p w14:paraId="579D6E25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Enhancing quality of life for people with long-term conditions</w:t>
            </w:r>
          </w:p>
        </w:tc>
        <w:tc>
          <w:tcPr>
            <w:tcW w:w="189" w:type="pct"/>
            <w:vAlign w:val="center"/>
          </w:tcPr>
          <w:p w14:paraId="4D975C1B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Y</w:t>
            </w:r>
          </w:p>
        </w:tc>
      </w:tr>
      <w:tr w:rsidR="00032AC9" w:rsidRPr="00C601B4" w14:paraId="48D936A2" w14:textId="77777777" w:rsidTr="00032AC9">
        <w:trPr>
          <w:trHeight w:val="460"/>
        </w:trPr>
        <w:tc>
          <w:tcPr>
            <w:tcW w:w="585" w:type="pct"/>
            <w:vAlign w:val="center"/>
          </w:tcPr>
          <w:p w14:paraId="3FCDED34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Domain 3</w:t>
            </w:r>
          </w:p>
        </w:tc>
        <w:tc>
          <w:tcPr>
            <w:tcW w:w="4225" w:type="pct"/>
            <w:vAlign w:val="center"/>
          </w:tcPr>
          <w:p w14:paraId="5A11B63C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Helping people to recover from episodes of ill-health or following injury</w:t>
            </w:r>
          </w:p>
        </w:tc>
        <w:tc>
          <w:tcPr>
            <w:tcW w:w="189" w:type="pct"/>
            <w:vAlign w:val="center"/>
          </w:tcPr>
          <w:p w14:paraId="74890D89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Y</w:t>
            </w:r>
          </w:p>
        </w:tc>
      </w:tr>
      <w:tr w:rsidR="00032AC9" w:rsidRPr="00C601B4" w14:paraId="670EC043" w14:textId="77777777" w:rsidTr="00032AC9">
        <w:trPr>
          <w:trHeight w:val="460"/>
        </w:trPr>
        <w:tc>
          <w:tcPr>
            <w:tcW w:w="585" w:type="pct"/>
            <w:vAlign w:val="center"/>
          </w:tcPr>
          <w:p w14:paraId="5011B40D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Domain 4</w:t>
            </w:r>
          </w:p>
        </w:tc>
        <w:tc>
          <w:tcPr>
            <w:tcW w:w="4225" w:type="pct"/>
            <w:vAlign w:val="center"/>
          </w:tcPr>
          <w:p w14:paraId="52353056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Ensuring people have a positive experience of care</w:t>
            </w:r>
          </w:p>
        </w:tc>
        <w:tc>
          <w:tcPr>
            <w:tcW w:w="189" w:type="pct"/>
            <w:vAlign w:val="center"/>
          </w:tcPr>
          <w:p w14:paraId="5D8C365F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Y</w:t>
            </w:r>
          </w:p>
        </w:tc>
      </w:tr>
      <w:tr w:rsidR="00032AC9" w:rsidRPr="00C601B4" w14:paraId="740B85D8" w14:textId="77777777" w:rsidTr="00032AC9">
        <w:trPr>
          <w:trHeight w:val="460"/>
        </w:trPr>
        <w:tc>
          <w:tcPr>
            <w:tcW w:w="585" w:type="pct"/>
            <w:vAlign w:val="center"/>
          </w:tcPr>
          <w:p w14:paraId="3BF2BDCE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Domain 5</w:t>
            </w:r>
          </w:p>
        </w:tc>
        <w:tc>
          <w:tcPr>
            <w:tcW w:w="4225" w:type="pct"/>
            <w:vAlign w:val="center"/>
          </w:tcPr>
          <w:p w14:paraId="6A685E27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Treating and caring for people in safe environment and protecting them from avoidable harm</w:t>
            </w:r>
          </w:p>
        </w:tc>
        <w:tc>
          <w:tcPr>
            <w:tcW w:w="189" w:type="pct"/>
            <w:vAlign w:val="center"/>
          </w:tcPr>
          <w:p w14:paraId="40F0E199" w14:textId="77777777" w:rsidR="00032AC9" w:rsidRPr="00AA1F89" w:rsidRDefault="00032AC9" w:rsidP="00032AC9">
            <w:pPr>
              <w:jc w:val="both"/>
              <w:rPr>
                <w:rFonts w:ascii="Arial" w:eastAsia="MS Mincho" w:hAnsi="Arial" w:cs="Arial"/>
                <w:color w:val="000000" w:themeColor="text1"/>
                <w:sz w:val="20"/>
                <w:lang w:eastAsia="ja-JP"/>
              </w:rPr>
            </w:pPr>
            <w:r w:rsidRPr="00AA1F89">
              <w:rPr>
                <w:rFonts w:ascii="Arial" w:eastAsia="MS Mincho" w:hAnsi="Arial" w:cs="Arial"/>
                <w:color w:val="000000" w:themeColor="text1"/>
                <w:sz w:val="20"/>
                <w:szCs w:val="19"/>
                <w:lang w:eastAsia="ja-JP"/>
              </w:rPr>
              <w:t>Y</w:t>
            </w:r>
          </w:p>
        </w:tc>
      </w:tr>
    </w:tbl>
    <w:p w14:paraId="38F69C08" w14:textId="77777777" w:rsidR="006C0C27" w:rsidRDefault="006C0C27" w:rsidP="006C0C27">
      <w:pPr>
        <w:pStyle w:val="NoSpacing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1887DE96" w14:textId="77777777" w:rsidR="00032AC9" w:rsidRPr="00B52F5A" w:rsidRDefault="00032AC9" w:rsidP="006C0C27">
      <w:pPr>
        <w:pStyle w:val="NoSpacing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67CCBF43" w14:textId="77777777" w:rsidR="006C0C27" w:rsidRPr="00B52F5A" w:rsidRDefault="006C0C27" w:rsidP="006C0C27">
      <w:pPr>
        <w:pStyle w:val="NoSpacing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B52F5A">
        <w:rPr>
          <w:rFonts w:ascii="Arial" w:hAnsi="Arial" w:cs="Arial"/>
          <w:b/>
          <w:sz w:val="21"/>
          <w:szCs w:val="21"/>
        </w:rPr>
        <w:t>Locally Defined Outcomes</w:t>
      </w:r>
    </w:p>
    <w:p w14:paraId="34D25DCF" w14:textId="77777777" w:rsidR="006C0C27" w:rsidRPr="00B52F5A" w:rsidRDefault="006C0C27" w:rsidP="006C0C27">
      <w:pPr>
        <w:pStyle w:val="NoSpacing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761"/>
        <w:gridCol w:w="4481"/>
      </w:tblGrid>
      <w:tr w:rsidR="006C0C27" w:rsidRPr="00B52F5A" w14:paraId="5CD52CBC" w14:textId="77777777" w:rsidTr="000C5072">
        <w:trPr>
          <w:trHeight w:val="533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5659A55" w14:textId="77777777" w:rsidR="006C0C27" w:rsidRPr="00B52F5A" w:rsidRDefault="006C0C27" w:rsidP="000C5072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 w:rsidRPr="00B52F5A">
              <w:rPr>
                <w:rFonts w:ascii="Arial" w:hAnsi="Arial" w:cs="Arial"/>
                <w:b/>
                <w:sz w:val="21"/>
                <w:szCs w:val="21"/>
              </w:rPr>
              <w:t>Key Service Outcome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5DE50F9" w14:textId="77777777" w:rsidR="006C0C27" w:rsidRPr="00B52F5A" w:rsidRDefault="006C0C27" w:rsidP="000C5072">
            <w:pPr>
              <w:pStyle w:val="NoSpacing"/>
              <w:rPr>
                <w:rFonts w:ascii="Arial" w:hAnsi="Arial" w:cs="Arial"/>
                <w:b/>
                <w:sz w:val="21"/>
                <w:szCs w:val="21"/>
              </w:rPr>
            </w:pPr>
            <w:r w:rsidRPr="00B52F5A">
              <w:rPr>
                <w:rFonts w:ascii="Arial" w:hAnsi="Arial" w:cs="Arial"/>
                <w:b/>
                <w:sz w:val="21"/>
                <w:szCs w:val="21"/>
              </w:rPr>
              <w:t>Methods of Measurement</w:t>
            </w:r>
          </w:p>
        </w:tc>
      </w:tr>
      <w:tr w:rsidR="006C0C27" w:rsidRPr="00B52F5A" w14:paraId="03920A63" w14:textId="77777777" w:rsidTr="000C5072">
        <w:trPr>
          <w:trHeight w:val="1372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FEB0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Patients reporting a good level of satisfaction of the service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9056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Patient Satisfaction Survey to be offered to a minimum of 95% of Patients using the service, working towards a reviewable response rate target of 30%. Target of 95% of Patients reporting good level of overall satisfaction</w:t>
            </w:r>
          </w:p>
        </w:tc>
      </w:tr>
      <w:tr w:rsidR="006C0C27" w:rsidRPr="00B52F5A" w14:paraId="4FD39DB6" w14:textId="77777777" w:rsidTr="000C5072">
        <w:trPr>
          <w:trHeight w:val="1115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34F6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Reduced referral to secondary care clinicians when considered in conjunction with specialist services such as Specialist Practitioner assessment and treatment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F4D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Secondary Users Service (SUS) system – using previous year as baseline</w:t>
            </w:r>
          </w:p>
        </w:tc>
      </w:tr>
      <w:tr w:rsidR="006C0C27" w:rsidRPr="00B52F5A" w14:paraId="68B559BC" w14:textId="77777777" w:rsidTr="000C5072">
        <w:trPr>
          <w:trHeight w:val="706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2690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Improved conversion rate – as proxy for increased appropriateness of referrals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4D0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Secondary Users Service (SUS) system – using previous year as baseline</w:t>
            </w:r>
          </w:p>
        </w:tc>
      </w:tr>
      <w:tr w:rsidR="006C0C27" w:rsidRPr="00B52F5A" w14:paraId="1437D8B5" w14:textId="77777777" w:rsidTr="000C5072">
        <w:trPr>
          <w:trHeight w:val="702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69FA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Image and Report to follow Patient pathway – no repeat scanning without clinical rationale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5C9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Commissioner to audit random sample – results to be extrapolated</w:t>
            </w:r>
          </w:p>
        </w:tc>
      </w:tr>
      <w:tr w:rsidR="006C0C27" w:rsidRPr="00B52F5A" w14:paraId="7FBFC7E1" w14:textId="77777777" w:rsidTr="000C5072">
        <w:trPr>
          <w:trHeight w:val="825"/>
          <w:jc w:val="center"/>
        </w:trPr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636F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Improved targeting of referrals to right secondary care clinic first time – less Consultant to Consultant referrals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5E56" w14:textId="77777777" w:rsidR="006C0C27" w:rsidRPr="00B52F5A" w:rsidRDefault="006C0C27" w:rsidP="000C5072">
            <w:pPr>
              <w:pStyle w:val="NoSpacing"/>
              <w:jc w:val="both"/>
              <w:rPr>
                <w:rFonts w:ascii="Arial" w:hAnsi="Arial" w:cs="Arial"/>
                <w:sz w:val="20"/>
                <w:szCs w:val="21"/>
              </w:rPr>
            </w:pPr>
            <w:r w:rsidRPr="00B52F5A">
              <w:rPr>
                <w:rFonts w:ascii="Arial" w:hAnsi="Arial" w:cs="Arial"/>
                <w:sz w:val="20"/>
                <w:szCs w:val="21"/>
              </w:rPr>
              <w:t>SUS system – using previous year as baseline</w:t>
            </w:r>
          </w:p>
        </w:tc>
      </w:tr>
    </w:tbl>
    <w:p w14:paraId="7B63FD3E" w14:textId="77777777" w:rsidR="006C0C27" w:rsidRPr="00B52F5A" w:rsidRDefault="006C0C27" w:rsidP="006C0C27">
      <w:pPr>
        <w:pStyle w:val="NoSpacing"/>
        <w:rPr>
          <w:rFonts w:ascii="Arial" w:hAnsi="Arial" w:cs="Arial"/>
          <w:sz w:val="21"/>
          <w:szCs w:val="21"/>
        </w:rPr>
      </w:pPr>
    </w:p>
    <w:p w14:paraId="6BD5BF64" w14:textId="7B09B6BD" w:rsidR="006C0C27" w:rsidRDefault="006C0C27" w:rsidP="006C0C27">
      <w:pPr>
        <w:pStyle w:val="NoSpacing"/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  <w:r w:rsidRPr="00B52F5A">
        <w:rPr>
          <w:rFonts w:ascii="Arial" w:hAnsi="Arial" w:cs="Arial"/>
          <w:sz w:val="21"/>
          <w:szCs w:val="21"/>
        </w:rPr>
        <w:t>The 6 CCGs recognise the important role of diagnostic imaging services in initiatives to improve public health for all population groups.  Diagnostic imaging is also crucial in the follow-up of many diseases already diagnosed and/or treated.</w:t>
      </w:r>
    </w:p>
    <w:p w14:paraId="021C3F17" w14:textId="77777777" w:rsidR="006C0C27" w:rsidRDefault="006C0C27" w:rsidP="00040CDC">
      <w:pPr>
        <w:pStyle w:val="NoSpacing"/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</w:p>
    <w:p w14:paraId="1C8E4208" w14:textId="77777777" w:rsidR="00032AC9" w:rsidRDefault="00032AC9" w:rsidP="00040CDC">
      <w:pPr>
        <w:pStyle w:val="NoSpacing"/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</w:p>
    <w:p w14:paraId="53E72C97" w14:textId="7FD68E4D" w:rsidR="00040CDC" w:rsidRPr="007F7A41" w:rsidRDefault="00032AC9" w:rsidP="00040CDC">
      <w:pPr>
        <w:pStyle w:val="NoSpacing"/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 xml:space="preserve">Service </w:t>
      </w:r>
      <w:r w:rsidR="00482E14" w:rsidRPr="007F7A41">
        <w:rPr>
          <w:rFonts w:ascii="Arial" w:hAnsi="Arial" w:cs="Arial"/>
          <w:b/>
          <w:color w:val="0070C0"/>
          <w:sz w:val="26"/>
          <w:szCs w:val="26"/>
        </w:rPr>
        <w:t>Background</w:t>
      </w:r>
      <w:r w:rsidR="00040CDC" w:rsidRPr="007F7A41">
        <w:rPr>
          <w:rFonts w:ascii="Arial" w:hAnsi="Arial" w:cs="Arial"/>
          <w:b/>
          <w:color w:val="0070C0"/>
          <w:sz w:val="26"/>
          <w:szCs w:val="26"/>
        </w:rPr>
        <w:t>:</w:t>
      </w:r>
    </w:p>
    <w:p w14:paraId="7323A1FE" w14:textId="390A9079" w:rsidR="00040CDC" w:rsidRDefault="00040CDC" w:rsidP="00040CDC">
      <w:pPr>
        <w:pStyle w:val="NoSpacing"/>
        <w:spacing w:line="276" w:lineRule="auto"/>
        <w:jc w:val="both"/>
        <w:rPr>
          <w:rFonts w:ascii="Arial" w:hAnsi="Arial" w:cs="Arial"/>
          <w:b/>
          <w:color w:val="0070C0"/>
        </w:rPr>
      </w:pPr>
    </w:p>
    <w:p w14:paraId="779B9205" w14:textId="7AEFC467" w:rsidR="00AB3AB2" w:rsidRDefault="00AB3AB2" w:rsidP="00040CDC">
      <w:pPr>
        <w:pStyle w:val="NoSpacing"/>
        <w:spacing w:line="276" w:lineRule="auto"/>
        <w:jc w:val="both"/>
        <w:rPr>
          <w:rFonts w:ascii="Arial" w:hAnsi="Arial" w:cs="Arial"/>
        </w:rPr>
      </w:pPr>
      <w:bookmarkStart w:id="0" w:name="_Hlk535479378"/>
      <w:r>
        <w:rPr>
          <w:rFonts w:ascii="Arial" w:hAnsi="Arial" w:cs="Arial"/>
        </w:rPr>
        <w:t>The North West London Collaboration of Clinical Commissioning Groups is a group of eight Clinical Commissioning Groups (CCGs) across North West London (NWL) that are working together to improve the quality and reduce costs in the services provided to their communities.</w:t>
      </w:r>
    </w:p>
    <w:p w14:paraId="263DCFF1" w14:textId="77777777" w:rsidR="00AB3AB2" w:rsidRDefault="00AB3AB2" w:rsidP="00040CDC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65554DE4" w14:textId="481C4D62" w:rsidR="00040CDC" w:rsidRDefault="00AB3AB2" w:rsidP="00040CDC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Six of the eight </w:t>
      </w:r>
      <w:r w:rsidR="00437575">
        <w:rPr>
          <w:rFonts w:ascii="Arial" w:hAnsi="Arial" w:cs="Arial"/>
        </w:rPr>
        <w:t xml:space="preserve">CCGs </w:t>
      </w:r>
      <w:r>
        <w:rPr>
          <w:rFonts w:ascii="Arial" w:hAnsi="Arial" w:cs="Arial"/>
        </w:rPr>
        <w:t xml:space="preserve">are collaborating on the procurement of Community Direct Access Imaging Services.  The six CCGs currently have </w:t>
      </w:r>
      <w:r w:rsidR="00437575">
        <w:rPr>
          <w:rFonts w:ascii="Arial" w:hAnsi="Arial" w:cs="Arial"/>
        </w:rPr>
        <w:t xml:space="preserve">community contracts </w:t>
      </w:r>
      <w:r>
        <w:rPr>
          <w:rFonts w:ascii="Arial" w:hAnsi="Arial" w:cs="Arial"/>
        </w:rPr>
        <w:t xml:space="preserve">in place </w:t>
      </w:r>
      <w:r w:rsidR="00437575">
        <w:rPr>
          <w:rFonts w:ascii="Arial" w:hAnsi="Arial" w:cs="Arial"/>
        </w:rPr>
        <w:t xml:space="preserve">to provide </w:t>
      </w:r>
      <w:r>
        <w:rPr>
          <w:rFonts w:ascii="Arial" w:hAnsi="Arial" w:cs="Arial"/>
        </w:rPr>
        <w:t>Direct Access (</w:t>
      </w:r>
      <w:r w:rsidR="00437575">
        <w:rPr>
          <w:rFonts w:ascii="Arial" w:hAnsi="Arial" w:cs="Arial"/>
        </w:rPr>
        <w:t>DA</w:t>
      </w:r>
      <w:r>
        <w:rPr>
          <w:rFonts w:ascii="Arial" w:hAnsi="Arial" w:cs="Arial"/>
        </w:rPr>
        <w:t>)</w:t>
      </w:r>
      <w:r w:rsidR="00437575">
        <w:rPr>
          <w:rFonts w:ascii="Arial" w:hAnsi="Arial" w:cs="Arial"/>
        </w:rPr>
        <w:t xml:space="preserve"> </w:t>
      </w:r>
      <w:r w:rsidR="00F307E4">
        <w:rPr>
          <w:rFonts w:ascii="Arial" w:hAnsi="Arial" w:cs="Arial"/>
        </w:rPr>
        <w:t>imaging</w:t>
      </w:r>
      <w:r w:rsidR="00437575">
        <w:rPr>
          <w:rFonts w:ascii="Arial" w:hAnsi="Arial" w:cs="Arial"/>
        </w:rPr>
        <w:t xml:space="preserve"> </w:t>
      </w:r>
      <w:r w:rsidR="001D06CC">
        <w:rPr>
          <w:rFonts w:ascii="Arial" w:hAnsi="Arial" w:cs="Arial"/>
        </w:rPr>
        <w:t>for one or more modalities. The</w:t>
      </w:r>
      <w:r>
        <w:rPr>
          <w:rFonts w:ascii="Arial" w:hAnsi="Arial" w:cs="Arial"/>
        </w:rPr>
        <w:t>se</w:t>
      </w:r>
      <w:r w:rsidR="001D06CC">
        <w:rPr>
          <w:rFonts w:ascii="Arial" w:hAnsi="Arial" w:cs="Arial"/>
        </w:rPr>
        <w:t xml:space="preserve"> contracts </w:t>
      </w:r>
      <w:r>
        <w:rPr>
          <w:rFonts w:ascii="Arial" w:hAnsi="Arial" w:cs="Arial"/>
        </w:rPr>
        <w:t>are due to expire later this year</w:t>
      </w:r>
      <w:r w:rsidR="00FB74F6">
        <w:rPr>
          <w:rFonts w:ascii="Arial" w:hAnsi="Arial" w:cs="Arial"/>
        </w:rPr>
        <w:t>.</w:t>
      </w:r>
    </w:p>
    <w:p w14:paraId="4DA4EA13" w14:textId="4AB4AA2D" w:rsidR="00DB2906" w:rsidRDefault="00DB2906" w:rsidP="00040CDC">
      <w:pPr>
        <w:pStyle w:val="NoSpacing"/>
        <w:spacing w:line="276" w:lineRule="auto"/>
        <w:jc w:val="both"/>
        <w:rPr>
          <w:rFonts w:ascii="Arial" w:hAnsi="Arial" w:cs="Arial"/>
        </w:rPr>
      </w:pPr>
    </w:p>
    <w:bookmarkEnd w:id="0"/>
    <w:p w14:paraId="185F8E1D" w14:textId="77777777" w:rsidR="00032AC9" w:rsidRDefault="00032AC9" w:rsidP="003E216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14C99F05" w14:textId="28A54E35" w:rsidR="006D6135" w:rsidRDefault="009946EA" w:rsidP="003E216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CCGs </w:t>
      </w:r>
      <w:r w:rsidR="003E216D">
        <w:rPr>
          <w:rFonts w:ascii="Arial" w:hAnsi="Arial" w:cs="Arial"/>
          <w:szCs w:val="24"/>
        </w:rPr>
        <w:t xml:space="preserve">currently </w:t>
      </w:r>
      <w:r>
        <w:rPr>
          <w:rFonts w:ascii="Arial" w:hAnsi="Arial" w:cs="Arial"/>
          <w:szCs w:val="24"/>
        </w:rPr>
        <w:t>commission</w:t>
      </w:r>
      <w:r w:rsidR="003E216D">
        <w:rPr>
          <w:rFonts w:ascii="Arial" w:hAnsi="Arial" w:cs="Arial"/>
          <w:szCs w:val="24"/>
        </w:rPr>
        <w:t xml:space="preserve"> direct access</w:t>
      </w:r>
      <w:r>
        <w:rPr>
          <w:rFonts w:ascii="Arial" w:hAnsi="Arial" w:cs="Arial"/>
          <w:szCs w:val="24"/>
        </w:rPr>
        <w:t xml:space="preserve"> imaging services </w:t>
      </w:r>
      <w:r w:rsidR="003B632C">
        <w:rPr>
          <w:rFonts w:ascii="Arial" w:hAnsi="Arial" w:cs="Arial"/>
          <w:szCs w:val="24"/>
        </w:rPr>
        <w:t xml:space="preserve">via the </w:t>
      </w:r>
      <w:r w:rsidR="003E216D">
        <w:rPr>
          <w:rFonts w:ascii="Arial" w:hAnsi="Arial" w:cs="Arial"/>
          <w:szCs w:val="24"/>
        </w:rPr>
        <w:t xml:space="preserve">local </w:t>
      </w:r>
      <w:r w:rsidR="003B632C">
        <w:rPr>
          <w:rFonts w:ascii="Arial" w:hAnsi="Arial" w:cs="Arial"/>
          <w:szCs w:val="24"/>
        </w:rPr>
        <w:t xml:space="preserve">NWL </w:t>
      </w:r>
      <w:r>
        <w:rPr>
          <w:rFonts w:ascii="Arial" w:hAnsi="Arial" w:cs="Arial"/>
          <w:szCs w:val="24"/>
        </w:rPr>
        <w:t xml:space="preserve">NHS Acute Hospitals </w:t>
      </w:r>
      <w:r w:rsidR="006D6135">
        <w:rPr>
          <w:rFonts w:ascii="Arial" w:hAnsi="Arial" w:cs="Arial"/>
          <w:szCs w:val="24"/>
        </w:rPr>
        <w:t xml:space="preserve">(c£12 – £13m per annum) </w:t>
      </w:r>
      <w:r w:rsidR="003B632C">
        <w:rPr>
          <w:rFonts w:ascii="Arial" w:hAnsi="Arial" w:cs="Arial"/>
          <w:szCs w:val="24"/>
        </w:rPr>
        <w:t xml:space="preserve">and via </w:t>
      </w:r>
      <w:r w:rsidR="003E216D">
        <w:rPr>
          <w:rFonts w:ascii="Arial" w:hAnsi="Arial" w:cs="Arial"/>
          <w:szCs w:val="24"/>
        </w:rPr>
        <w:t xml:space="preserve">community </w:t>
      </w:r>
      <w:r w:rsidR="003B632C">
        <w:rPr>
          <w:rFonts w:ascii="Arial" w:hAnsi="Arial" w:cs="Arial"/>
          <w:szCs w:val="24"/>
        </w:rPr>
        <w:t>contract</w:t>
      </w:r>
      <w:r w:rsidR="003E216D">
        <w:rPr>
          <w:rFonts w:ascii="Arial" w:hAnsi="Arial" w:cs="Arial"/>
          <w:szCs w:val="24"/>
        </w:rPr>
        <w:t xml:space="preserve">s, the </w:t>
      </w:r>
      <w:r w:rsidR="006D6135">
        <w:rPr>
          <w:rFonts w:ascii="Arial" w:hAnsi="Arial" w:cs="Arial"/>
          <w:szCs w:val="24"/>
        </w:rPr>
        <w:t>cost of which was approximately £5.4m in FY17/18</w:t>
      </w:r>
      <w:r w:rsidR="003E216D">
        <w:rPr>
          <w:rFonts w:ascii="Arial" w:hAnsi="Arial" w:cs="Arial"/>
          <w:szCs w:val="24"/>
        </w:rPr>
        <w:t xml:space="preserve">.  </w:t>
      </w:r>
      <w:r w:rsidR="00E66321">
        <w:rPr>
          <w:rFonts w:ascii="Arial" w:hAnsi="Arial" w:cs="Arial"/>
          <w:szCs w:val="24"/>
        </w:rPr>
        <w:t xml:space="preserve">A breakdown of </w:t>
      </w:r>
      <w:r w:rsidR="006D6135">
        <w:rPr>
          <w:rFonts w:ascii="Arial" w:hAnsi="Arial" w:cs="Arial"/>
          <w:szCs w:val="24"/>
        </w:rPr>
        <w:t xml:space="preserve">Community contract </w:t>
      </w:r>
      <w:r w:rsidR="00E66321">
        <w:rPr>
          <w:rFonts w:ascii="Arial" w:hAnsi="Arial" w:cs="Arial"/>
          <w:szCs w:val="24"/>
        </w:rPr>
        <w:t xml:space="preserve">expenditure </w:t>
      </w:r>
      <w:r w:rsidR="006D6135">
        <w:rPr>
          <w:rFonts w:ascii="Arial" w:hAnsi="Arial" w:cs="Arial"/>
          <w:szCs w:val="24"/>
        </w:rPr>
        <w:t xml:space="preserve">for FY17/18 by CCG is </w:t>
      </w:r>
      <w:r w:rsidR="003C6761">
        <w:rPr>
          <w:rFonts w:ascii="Arial" w:hAnsi="Arial" w:cs="Arial"/>
          <w:szCs w:val="24"/>
        </w:rPr>
        <w:t xml:space="preserve">shown </w:t>
      </w:r>
      <w:r w:rsidR="006D6135">
        <w:rPr>
          <w:rFonts w:ascii="Arial" w:hAnsi="Arial" w:cs="Arial"/>
          <w:szCs w:val="24"/>
        </w:rPr>
        <w:t>below</w:t>
      </w:r>
      <w:r w:rsidR="003C6761">
        <w:rPr>
          <w:rFonts w:ascii="Arial" w:hAnsi="Arial" w:cs="Arial"/>
          <w:szCs w:val="24"/>
        </w:rPr>
        <w:t xml:space="preserve"> for illustration.</w:t>
      </w:r>
    </w:p>
    <w:p w14:paraId="003D4E64" w14:textId="77777777" w:rsidR="006D6135" w:rsidRDefault="006D6135" w:rsidP="003E216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24DB9D5E" w14:textId="77777777" w:rsidR="00032AC9" w:rsidRDefault="00032AC9" w:rsidP="003E216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35"/>
        <w:gridCol w:w="2268"/>
      </w:tblGrid>
      <w:tr w:rsidR="006D6135" w14:paraId="31F63BB5" w14:textId="77777777" w:rsidTr="002B6EEE">
        <w:tc>
          <w:tcPr>
            <w:tcW w:w="2835" w:type="dxa"/>
            <w:shd w:val="clear" w:color="auto" w:fill="F7CAAC" w:themeFill="accent2" w:themeFillTint="66"/>
          </w:tcPr>
          <w:p w14:paraId="687A76D7" w14:textId="77777777" w:rsidR="003C6761" w:rsidRDefault="003C6761" w:rsidP="006D6135">
            <w:pPr>
              <w:pStyle w:val="NoSpacing"/>
              <w:spacing w:line="276" w:lineRule="auto"/>
              <w:rPr>
                <w:rFonts w:ascii="Arial" w:hAnsi="Arial" w:cs="Arial"/>
                <w:b/>
                <w:szCs w:val="24"/>
              </w:rPr>
            </w:pPr>
            <w:bookmarkStart w:id="1" w:name="_GoBack"/>
            <w:bookmarkEnd w:id="1"/>
          </w:p>
          <w:p w14:paraId="7E2CAEDD" w14:textId="7E0A645C" w:rsidR="006D6135" w:rsidRPr="006D6135" w:rsidRDefault="006D6135" w:rsidP="006D6135">
            <w:pPr>
              <w:pStyle w:val="NoSpacing"/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D6135">
              <w:rPr>
                <w:rFonts w:ascii="Arial" w:hAnsi="Arial" w:cs="Arial"/>
                <w:b/>
                <w:szCs w:val="24"/>
              </w:rPr>
              <w:t>CCG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133D4E6C" w14:textId="35B7D531" w:rsidR="006D6135" w:rsidRPr="006D6135" w:rsidRDefault="006D6135" w:rsidP="003C676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D6135">
              <w:rPr>
                <w:rFonts w:ascii="Arial" w:hAnsi="Arial" w:cs="Arial"/>
                <w:b/>
                <w:szCs w:val="24"/>
              </w:rPr>
              <w:t xml:space="preserve">Percentage of </w:t>
            </w:r>
            <w:r w:rsidR="003C6761">
              <w:rPr>
                <w:rFonts w:ascii="Arial" w:hAnsi="Arial" w:cs="Arial"/>
                <w:b/>
                <w:szCs w:val="24"/>
              </w:rPr>
              <w:t xml:space="preserve">FY17/18 </w:t>
            </w:r>
            <w:r w:rsidRPr="006D6135">
              <w:rPr>
                <w:rFonts w:ascii="Arial" w:hAnsi="Arial" w:cs="Arial"/>
                <w:b/>
                <w:szCs w:val="24"/>
              </w:rPr>
              <w:t>contract expenditure</w:t>
            </w:r>
          </w:p>
        </w:tc>
      </w:tr>
      <w:tr w:rsidR="006D6135" w14:paraId="76390F43" w14:textId="77777777" w:rsidTr="002B6EEE">
        <w:tc>
          <w:tcPr>
            <w:tcW w:w="2835" w:type="dxa"/>
          </w:tcPr>
          <w:p w14:paraId="4E5D6A9E" w14:textId="6FB90F29" w:rsidR="006D6135" w:rsidRPr="003C6761" w:rsidRDefault="006D6135" w:rsidP="003E216D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Brent</w:t>
            </w:r>
          </w:p>
        </w:tc>
        <w:tc>
          <w:tcPr>
            <w:tcW w:w="2268" w:type="dxa"/>
          </w:tcPr>
          <w:p w14:paraId="70CFFD65" w14:textId="007910DB" w:rsidR="006D6135" w:rsidRPr="003C6761" w:rsidRDefault="006D6135" w:rsidP="006D6135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33%</w:t>
            </w:r>
          </w:p>
        </w:tc>
      </w:tr>
      <w:tr w:rsidR="006D6135" w14:paraId="54C15811" w14:textId="77777777" w:rsidTr="002B6EEE">
        <w:tc>
          <w:tcPr>
            <w:tcW w:w="2835" w:type="dxa"/>
          </w:tcPr>
          <w:p w14:paraId="060B7C0C" w14:textId="29878DE9" w:rsidR="006D6135" w:rsidRPr="003C6761" w:rsidRDefault="006D6135" w:rsidP="003E216D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Central London</w:t>
            </w:r>
          </w:p>
        </w:tc>
        <w:tc>
          <w:tcPr>
            <w:tcW w:w="2268" w:type="dxa"/>
          </w:tcPr>
          <w:p w14:paraId="01A291D5" w14:textId="3F884DD7" w:rsidR="006D6135" w:rsidRPr="003C6761" w:rsidRDefault="006D6135" w:rsidP="006D6135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12.5%</w:t>
            </w:r>
          </w:p>
        </w:tc>
      </w:tr>
      <w:tr w:rsidR="006D6135" w14:paraId="6606AC24" w14:textId="77777777" w:rsidTr="002B6EEE">
        <w:tc>
          <w:tcPr>
            <w:tcW w:w="2835" w:type="dxa"/>
          </w:tcPr>
          <w:p w14:paraId="185C6D27" w14:textId="2DE44C1D" w:rsidR="006D6135" w:rsidRPr="003C6761" w:rsidRDefault="006D6135" w:rsidP="006D6135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 xml:space="preserve">Ealing </w:t>
            </w:r>
          </w:p>
        </w:tc>
        <w:tc>
          <w:tcPr>
            <w:tcW w:w="2268" w:type="dxa"/>
          </w:tcPr>
          <w:p w14:paraId="2CD44277" w14:textId="6B1F185B" w:rsidR="006D6135" w:rsidRPr="003C6761" w:rsidRDefault="006D6135" w:rsidP="006D6135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21%</w:t>
            </w:r>
          </w:p>
        </w:tc>
      </w:tr>
      <w:tr w:rsidR="006D6135" w14:paraId="41737144" w14:textId="77777777" w:rsidTr="002B6EEE">
        <w:tc>
          <w:tcPr>
            <w:tcW w:w="2835" w:type="dxa"/>
          </w:tcPr>
          <w:p w14:paraId="2906C3E9" w14:textId="2A48CA7B" w:rsidR="006D6135" w:rsidRPr="003C6761" w:rsidRDefault="006D6135" w:rsidP="003E216D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Hammersmith &amp; Fulham</w:t>
            </w:r>
          </w:p>
        </w:tc>
        <w:tc>
          <w:tcPr>
            <w:tcW w:w="2268" w:type="dxa"/>
          </w:tcPr>
          <w:p w14:paraId="03968B87" w14:textId="22F64BE7" w:rsidR="006D6135" w:rsidRPr="003C6761" w:rsidRDefault="006D6135" w:rsidP="006D6135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11%</w:t>
            </w:r>
          </w:p>
        </w:tc>
      </w:tr>
      <w:tr w:rsidR="006D6135" w14:paraId="7084F155" w14:textId="77777777" w:rsidTr="002B6EEE">
        <w:tc>
          <w:tcPr>
            <w:tcW w:w="2835" w:type="dxa"/>
          </w:tcPr>
          <w:p w14:paraId="04CD1287" w14:textId="458C9146" w:rsidR="006D6135" w:rsidRPr="003C6761" w:rsidRDefault="006D6135" w:rsidP="003E216D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Harrow</w:t>
            </w:r>
          </w:p>
        </w:tc>
        <w:tc>
          <w:tcPr>
            <w:tcW w:w="2268" w:type="dxa"/>
          </w:tcPr>
          <w:p w14:paraId="4A4C69D5" w14:textId="5DCAA5AC" w:rsidR="006D6135" w:rsidRPr="003C6761" w:rsidRDefault="006D6135" w:rsidP="006D6135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13%</w:t>
            </w:r>
          </w:p>
        </w:tc>
      </w:tr>
      <w:tr w:rsidR="006D6135" w14:paraId="453E31D4" w14:textId="77777777" w:rsidTr="002B6EEE">
        <w:tc>
          <w:tcPr>
            <w:tcW w:w="2835" w:type="dxa"/>
          </w:tcPr>
          <w:p w14:paraId="372B4BBB" w14:textId="3CADF3EF" w:rsidR="006D6135" w:rsidRPr="003C6761" w:rsidRDefault="006D6135" w:rsidP="003E216D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West London</w:t>
            </w:r>
          </w:p>
        </w:tc>
        <w:tc>
          <w:tcPr>
            <w:tcW w:w="2268" w:type="dxa"/>
          </w:tcPr>
          <w:p w14:paraId="13051689" w14:textId="42429FA3" w:rsidR="006D6135" w:rsidRPr="003C6761" w:rsidRDefault="006D6135" w:rsidP="006D6135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C6761">
              <w:rPr>
                <w:rFonts w:ascii="Arial" w:hAnsi="Arial" w:cs="Arial"/>
                <w:b/>
                <w:szCs w:val="24"/>
              </w:rPr>
              <w:t>9.5%</w:t>
            </w:r>
          </w:p>
        </w:tc>
      </w:tr>
    </w:tbl>
    <w:p w14:paraId="4AF4F28C" w14:textId="77777777" w:rsidR="006D6135" w:rsidRDefault="006D6135" w:rsidP="003E216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7824C45B" w14:textId="4C0D4EE2" w:rsidR="003E216D" w:rsidRDefault="003E216D" w:rsidP="003E216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Expenditure levels fluctuate from year to year due to a co</w:t>
      </w:r>
      <w:r w:rsidRPr="00A95AEF">
        <w:rPr>
          <w:rFonts w:ascii="Arial" w:hAnsi="Arial" w:cs="Arial"/>
          <w:szCs w:val="24"/>
        </w:rPr>
        <w:t xml:space="preserve">mbination of demand management strategies, </w:t>
      </w:r>
      <w:r>
        <w:rPr>
          <w:rFonts w:ascii="Arial" w:hAnsi="Arial" w:cs="Arial"/>
          <w:szCs w:val="24"/>
        </w:rPr>
        <w:t xml:space="preserve">service </w:t>
      </w:r>
      <w:r w:rsidRPr="00A95AEF">
        <w:rPr>
          <w:rFonts w:ascii="Arial" w:hAnsi="Arial" w:cs="Arial"/>
          <w:szCs w:val="24"/>
        </w:rPr>
        <w:t>transformation</w:t>
      </w:r>
      <w:r>
        <w:rPr>
          <w:rFonts w:ascii="Arial" w:hAnsi="Arial" w:cs="Arial"/>
          <w:szCs w:val="24"/>
        </w:rPr>
        <w:t xml:space="preserve"> initiatives</w:t>
      </w:r>
      <w:r w:rsidRPr="00A95AEF">
        <w:rPr>
          <w:rFonts w:ascii="Arial" w:hAnsi="Arial" w:cs="Arial"/>
          <w:szCs w:val="24"/>
        </w:rPr>
        <w:t xml:space="preserve">, and </w:t>
      </w:r>
      <w:r>
        <w:rPr>
          <w:rFonts w:ascii="Arial" w:hAnsi="Arial" w:cs="Arial"/>
          <w:szCs w:val="24"/>
        </w:rPr>
        <w:t xml:space="preserve">the level of </w:t>
      </w:r>
      <w:r w:rsidRPr="00A95AEF">
        <w:rPr>
          <w:rFonts w:ascii="Arial" w:hAnsi="Arial" w:cs="Arial"/>
          <w:szCs w:val="24"/>
        </w:rPr>
        <w:t xml:space="preserve">referrals across GP practices </w:t>
      </w:r>
      <w:r>
        <w:rPr>
          <w:rFonts w:ascii="Arial" w:hAnsi="Arial" w:cs="Arial"/>
          <w:szCs w:val="24"/>
        </w:rPr>
        <w:t>in</w:t>
      </w:r>
      <w:r w:rsidRPr="00A95AEF">
        <w:rPr>
          <w:rFonts w:ascii="Arial" w:hAnsi="Arial" w:cs="Arial"/>
          <w:szCs w:val="24"/>
        </w:rPr>
        <w:t xml:space="preserve"> </w:t>
      </w:r>
      <w:r w:rsidRPr="003C6761">
        <w:rPr>
          <w:rFonts w:ascii="Arial" w:hAnsi="Arial" w:cs="Arial"/>
          <w:szCs w:val="24"/>
        </w:rPr>
        <w:t xml:space="preserve">NWL. It is </w:t>
      </w:r>
      <w:r w:rsidR="00EA4B6E" w:rsidRPr="003C6761">
        <w:rPr>
          <w:rFonts w:ascii="Arial" w:hAnsi="Arial" w:cs="Arial"/>
          <w:szCs w:val="24"/>
        </w:rPr>
        <w:t xml:space="preserve">predicted </w:t>
      </w:r>
      <w:r w:rsidRPr="003C6761">
        <w:rPr>
          <w:rFonts w:ascii="Arial" w:hAnsi="Arial" w:cs="Arial"/>
          <w:szCs w:val="24"/>
        </w:rPr>
        <w:t xml:space="preserve">that there </w:t>
      </w:r>
      <w:r w:rsidR="00EA4B6E" w:rsidRPr="003C6761">
        <w:rPr>
          <w:rFonts w:ascii="Arial" w:hAnsi="Arial" w:cs="Arial"/>
          <w:szCs w:val="24"/>
        </w:rPr>
        <w:t>may</w:t>
      </w:r>
      <w:r w:rsidRPr="003C6761">
        <w:rPr>
          <w:rFonts w:ascii="Arial" w:hAnsi="Arial" w:cs="Arial"/>
          <w:szCs w:val="24"/>
        </w:rPr>
        <w:t xml:space="preserve"> be further reductions in activity and spend over the next few years as </w:t>
      </w:r>
      <w:r w:rsidR="00EA4B6E" w:rsidRPr="003C6761">
        <w:rPr>
          <w:rFonts w:ascii="Arial" w:hAnsi="Arial" w:cs="Arial"/>
          <w:szCs w:val="24"/>
        </w:rPr>
        <w:t xml:space="preserve">NWL </w:t>
      </w:r>
      <w:r w:rsidRPr="003C6761">
        <w:rPr>
          <w:rFonts w:ascii="Arial" w:hAnsi="Arial" w:cs="Arial"/>
          <w:szCs w:val="24"/>
        </w:rPr>
        <w:t xml:space="preserve">CCGs </w:t>
      </w:r>
      <w:r w:rsidR="00EA4B6E" w:rsidRPr="003C6761">
        <w:rPr>
          <w:rFonts w:ascii="Arial" w:hAnsi="Arial" w:cs="Arial"/>
          <w:szCs w:val="24"/>
        </w:rPr>
        <w:t xml:space="preserve">and </w:t>
      </w:r>
      <w:r w:rsidR="00E66321" w:rsidRPr="003C6761">
        <w:rPr>
          <w:rFonts w:ascii="Arial" w:hAnsi="Arial" w:cs="Arial"/>
          <w:szCs w:val="24"/>
        </w:rPr>
        <w:t xml:space="preserve">NHS </w:t>
      </w:r>
      <w:r w:rsidR="00EA4B6E" w:rsidRPr="003C6761">
        <w:rPr>
          <w:rFonts w:ascii="Arial" w:hAnsi="Arial" w:cs="Arial"/>
          <w:szCs w:val="24"/>
        </w:rPr>
        <w:t>Trust</w:t>
      </w:r>
      <w:r w:rsidR="00E66321" w:rsidRPr="003C6761">
        <w:rPr>
          <w:rFonts w:ascii="Arial" w:hAnsi="Arial" w:cs="Arial"/>
          <w:szCs w:val="24"/>
        </w:rPr>
        <w:t>s</w:t>
      </w:r>
      <w:r w:rsidR="00EA4B6E" w:rsidRPr="003C6761">
        <w:rPr>
          <w:rFonts w:ascii="Arial" w:hAnsi="Arial" w:cs="Arial"/>
          <w:szCs w:val="24"/>
        </w:rPr>
        <w:t xml:space="preserve"> </w:t>
      </w:r>
      <w:r w:rsidRPr="003C6761">
        <w:rPr>
          <w:rFonts w:ascii="Arial" w:hAnsi="Arial" w:cs="Arial"/>
          <w:szCs w:val="24"/>
        </w:rPr>
        <w:t xml:space="preserve">seek to reduce </w:t>
      </w:r>
      <w:r w:rsidR="00E66321" w:rsidRPr="003C6761">
        <w:rPr>
          <w:rFonts w:ascii="Arial" w:hAnsi="Arial" w:cs="Arial"/>
          <w:szCs w:val="24"/>
        </w:rPr>
        <w:t xml:space="preserve">costs and </w:t>
      </w:r>
      <w:r w:rsidR="00EA4B6E" w:rsidRPr="003C6761">
        <w:rPr>
          <w:rFonts w:ascii="Arial" w:hAnsi="Arial" w:cs="Arial"/>
          <w:szCs w:val="24"/>
        </w:rPr>
        <w:t>demand for the services</w:t>
      </w:r>
      <w:r w:rsidRPr="003C6761">
        <w:rPr>
          <w:rFonts w:ascii="Arial" w:hAnsi="Arial" w:cs="Arial"/>
          <w:szCs w:val="24"/>
        </w:rPr>
        <w:t>.</w:t>
      </w:r>
    </w:p>
    <w:p w14:paraId="48B7417A" w14:textId="77777777" w:rsidR="003E216D" w:rsidRDefault="003E216D" w:rsidP="00DA1A2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580EF215" w14:textId="2ACEC80A" w:rsidR="00E66321" w:rsidRDefault="003C6761" w:rsidP="00E66321">
      <w:pPr>
        <w:pStyle w:val="NoSpacing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66321">
        <w:rPr>
          <w:rFonts w:ascii="Arial" w:hAnsi="Arial" w:cs="Arial"/>
        </w:rPr>
        <w:t>CCGs have spent a significant amount of time reducing MRI’s; including the r</w:t>
      </w:r>
      <w:r w:rsidR="00E66321" w:rsidRPr="00D60B92">
        <w:rPr>
          <w:rFonts w:ascii="Arial" w:hAnsi="Arial" w:cs="Arial"/>
        </w:rPr>
        <w:t>emoval of MRI tests which are not clinically indicated for primary care from the ICE screens</w:t>
      </w:r>
      <w:r w:rsidR="00E66321">
        <w:rPr>
          <w:rFonts w:ascii="Arial" w:hAnsi="Arial" w:cs="Arial"/>
        </w:rPr>
        <w:t xml:space="preserve"> and prompts to redirect MSK referrals to community clinics. Reductions have been seen but there has been significant growth within Ultrasound during this time. A comparison of </w:t>
      </w:r>
      <w:r w:rsidR="005B212C">
        <w:rPr>
          <w:rFonts w:ascii="Arial" w:hAnsi="Arial" w:cs="Arial"/>
        </w:rPr>
        <w:t xml:space="preserve">the variance in CCG expenditure </w:t>
      </w:r>
      <w:r w:rsidR="00E66321">
        <w:rPr>
          <w:rFonts w:ascii="Arial" w:hAnsi="Arial" w:cs="Arial"/>
        </w:rPr>
        <w:t>year on year across both modalities can be seen below:</w:t>
      </w:r>
    </w:p>
    <w:p w14:paraId="6AC8B240" w14:textId="77777777" w:rsidR="005B212C" w:rsidRDefault="005B212C" w:rsidP="00E66321">
      <w:pPr>
        <w:pStyle w:val="NoSpacing"/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35"/>
        <w:gridCol w:w="2268"/>
      </w:tblGrid>
      <w:tr w:rsidR="00800F0B" w14:paraId="38D3BAFC" w14:textId="77777777" w:rsidTr="007F14BB">
        <w:tc>
          <w:tcPr>
            <w:tcW w:w="5103" w:type="dxa"/>
            <w:gridSpan w:val="2"/>
            <w:shd w:val="clear" w:color="auto" w:fill="F7CAAC" w:themeFill="accent2" w:themeFillTint="66"/>
          </w:tcPr>
          <w:p w14:paraId="50C5CB86" w14:textId="3DF8EB42" w:rsidR="005B212C" w:rsidRPr="005B212C" w:rsidRDefault="005B212C" w:rsidP="00800F0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5B212C">
              <w:rPr>
                <w:rFonts w:ascii="Arial" w:hAnsi="Arial" w:cs="Arial"/>
                <w:b/>
                <w:color w:val="4472C4" w:themeColor="accent1"/>
              </w:rPr>
              <w:t>MRI Expenditure</w:t>
            </w:r>
            <w:r>
              <w:rPr>
                <w:rFonts w:ascii="Arial" w:hAnsi="Arial" w:cs="Arial"/>
                <w:b/>
                <w:color w:val="4472C4" w:themeColor="accent1"/>
              </w:rPr>
              <w:t>*</w:t>
            </w:r>
          </w:p>
          <w:p w14:paraId="4F87C8A3" w14:textId="4714ED5B" w:rsidR="00800F0B" w:rsidRDefault="005B212C" w:rsidP="00800F0B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r w:rsidR="00800F0B">
              <w:rPr>
                <w:rFonts w:ascii="Arial" w:hAnsi="Arial" w:cs="Arial"/>
                <w:b/>
              </w:rPr>
              <w:t>Com</w:t>
            </w:r>
            <w:r>
              <w:rPr>
                <w:rFonts w:ascii="Arial" w:hAnsi="Arial" w:cs="Arial"/>
                <w:b/>
              </w:rPr>
              <w:t>bined Acute &amp; Community Spend)</w:t>
            </w:r>
          </w:p>
          <w:p w14:paraId="3F78D03A" w14:textId="10BD23AB" w:rsidR="00800F0B" w:rsidRDefault="00800F0B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0F0B" w14:paraId="771E0E3F" w14:textId="77777777" w:rsidTr="007F14BB">
        <w:tc>
          <w:tcPr>
            <w:tcW w:w="2835" w:type="dxa"/>
            <w:shd w:val="clear" w:color="auto" w:fill="F7CAAC" w:themeFill="accent2" w:themeFillTint="66"/>
          </w:tcPr>
          <w:p w14:paraId="7744F88F" w14:textId="310C4585" w:rsidR="00800F0B" w:rsidRPr="005B212C" w:rsidRDefault="00800F0B" w:rsidP="00E66321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CCG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08E2911B" w14:textId="77777777" w:rsidR="00800F0B" w:rsidRDefault="00800F0B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Percentage change</w:t>
            </w:r>
          </w:p>
          <w:p w14:paraId="2C007FA2" w14:textId="46A706D0" w:rsidR="005B212C" w:rsidRPr="005B212C" w:rsidRDefault="005B212C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B212C">
              <w:rPr>
                <w:rFonts w:ascii="Arial" w:hAnsi="Arial" w:cs="Arial"/>
                <w:b/>
                <w:sz w:val="20"/>
                <w:szCs w:val="20"/>
              </w:rPr>
              <w:t>FY17/18 to FY18/19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F14BB" w14:paraId="6AFEA393" w14:textId="77777777" w:rsidTr="007F14BB">
        <w:tc>
          <w:tcPr>
            <w:tcW w:w="2835" w:type="dxa"/>
          </w:tcPr>
          <w:p w14:paraId="5715849E" w14:textId="25EA0B89" w:rsidR="007F14BB" w:rsidRPr="005B212C" w:rsidRDefault="007F14BB" w:rsidP="00E66321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Central</w:t>
            </w:r>
            <w:r>
              <w:rPr>
                <w:rFonts w:ascii="Arial" w:hAnsi="Arial" w:cs="Arial"/>
                <w:b/>
              </w:rPr>
              <w:t xml:space="preserve"> London</w:t>
            </w:r>
          </w:p>
        </w:tc>
        <w:tc>
          <w:tcPr>
            <w:tcW w:w="2268" w:type="dxa"/>
          </w:tcPr>
          <w:p w14:paraId="6F8D8A5F" w14:textId="3E3A60DB" w:rsidR="007F14BB" w:rsidRPr="005B212C" w:rsidRDefault="007F14BB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5B212C">
              <w:rPr>
                <w:rFonts w:ascii="Arial" w:hAnsi="Arial" w:cs="Arial"/>
                <w:b/>
                <w:color w:val="FF0000"/>
              </w:rPr>
              <w:t>-36%</w:t>
            </w:r>
          </w:p>
        </w:tc>
      </w:tr>
      <w:tr w:rsidR="007F14BB" w14:paraId="6D7C5BFE" w14:textId="77777777" w:rsidTr="007F14BB">
        <w:tc>
          <w:tcPr>
            <w:tcW w:w="2835" w:type="dxa"/>
          </w:tcPr>
          <w:p w14:paraId="45D64067" w14:textId="2D3321DD" w:rsidR="007F14BB" w:rsidRPr="005B212C" w:rsidRDefault="007F14BB" w:rsidP="00E66321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West</w:t>
            </w:r>
            <w:r>
              <w:rPr>
                <w:rFonts w:ascii="Arial" w:hAnsi="Arial" w:cs="Arial"/>
                <w:b/>
              </w:rPr>
              <w:t xml:space="preserve"> London</w:t>
            </w:r>
          </w:p>
        </w:tc>
        <w:tc>
          <w:tcPr>
            <w:tcW w:w="2268" w:type="dxa"/>
          </w:tcPr>
          <w:p w14:paraId="47718EF4" w14:textId="60A284BA" w:rsidR="007F14BB" w:rsidRPr="005B212C" w:rsidRDefault="007F14BB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5B212C">
              <w:rPr>
                <w:rFonts w:ascii="Arial" w:hAnsi="Arial" w:cs="Arial"/>
                <w:b/>
                <w:color w:val="FF0000"/>
              </w:rPr>
              <w:t>-16%</w:t>
            </w:r>
          </w:p>
        </w:tc>
      </w:tr>
      <w:tr w:rsidR="007F14BB" w14:paraId="45E2F5BA" w14:textId="77777777" w:rsidTr="007F14BB">
        <w:tc>
          <w:tcPr>
            <w:tcW w:w="2835" w:type="dxa"/>
          </w:tcPr>
          <w:p w14:paraId="56E21B6E" w14:textId="28646651" w:rsidR="007F14BB" w:rsidRPr="005B212C" w:rsidRDefault="007F14BB" w:rsidP="00E66321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ammersmith </w:t>
            </w:r>
            <w:r w:rsidRPr="005B212C">
              <w:rPr>
                <w:rFonts w:ascii="Arial" w:hAnsi="Arial" w:cs="Arial"/>
                <w:b/>
              </w:rPr>
              <w:t>&amp;</w:t>
            </w:r>
            <w:r>
              <w:rPr>
                <w:rFonts w:ascii="Arial" w:hAnsi="Arial" w:cs="Arial"/>
                <w:b/>
              </w:rPr>
              <w:t xml:space="preserve"> Fulham</w:t>
            </w:r>
          </w:p>
        </w:tc>
        <w:tc>
          <w:tcPr>
            <w:tcW w:w="2268" w:type="dxa"/>
          </w:tcPr>
          <w:p w14:paraId="3B43240D" w14:textId="55CAC53C" w:rsidR="007F14BB" w:rsidRPr="005B212C" w:rsidRDefault="007F14BB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5B212C">
              <w:rPr>
                <w:rFonts w:ascii="Arial" w:hAnsi="Arial" w:cs="Arial"/>
                <w:b/>
                <w:color w:val="FF0000"/>
              </w:rPr>
              <w:t>-13%</w:t>
            </w:r>
          </w:p>
        </w:tc>
      </w:tr>
      <w:tr w:rsidR="00800F0B" w14:paraId="2D937468" w14:textId="77777777" w:rsidTr="007F14BB">
        <w:tc>
          <w:tcPr>
            <w:tcW w:w="2835" w:type="dxa"/>
          </w:tcPr>
          <w:p w14:paraId="2EF9AEB9" w14:textId="26CC7D67" w:rsidR="00800F0B" w:rsidRPr="005B212C" w:rsidRDefault="00800F0B" w:rsidP="00E66321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Ealing</w:t>
            </w:r>
          </w:p>
        </w:tc>
        <w:tc>
          <w:tcPr>
            <w:tcW w:w="2268" w:type="dxa"/>
          </w:tcPr>
          <w:p w14:paraId="3BB0B3FE" w14:textId="5EFD7DB0" w:rsidR="00800F0B" w:rsidRPr="005B212C" w:rsidRDefault="00800F0B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17%</w:t>
            </w:r>
          </w:p>
        </w:tc>
      </w:tr>
      <w:tr w:rsidR="00800F0B" w14:paraId="1F94F874" w14:textId="77777777" w:rsidTr="007F14BB">
        <w:tc>
          <w:tcPr>
            <w:tcW w:w="2835" w:type="dxa"/>
          </w:tcPr>
          <w:p w14:paraId="0CE57F18" w14:textId="0DF39796" w:rsidR="00800F0B" w:rsidRPr="005B212C" w:rsidRDefault="00800F0B" w:rsidP="00E66321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Brent</w:t>
            </w:r>
          </w:p>
        </w:tc>
        <w:tc>
          <w:tcPr>
            <w:tcW w:w="2268" w:type="dxa"/>
          </w:tcPr>
          <w:p w14:paraId="5B496FDE" w14:textId="4C735507" w:rsidR="00800F0B" w:rsidRPr="005B212C" w:rsidRDefault="005B212C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4%</w:t>
            </w:r>
          </w:p>
        </w:tc>
      </w:tr>
    </w:tbl>
    <w:p w14:paraId="430E2340" w14:textId="77777777" w:rsidR="005B212C" w:rsidRDefault="005B212C" w:rsidP="00E66321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7FB890A3" w14:textId="77777777" w:rsidR="005B212C" w:rsidRDefault="005B212C" w:rsidP="00E66321">
      <w:pPr>
        <w:pStyle w:val="NoSpacing"/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2835"/>
        <w:gridCol w:w="2268"/>
      </w:tblGrid>
      <w:tr w:rsidR="005B212C" w14:paraId="0746170D" w14:textId="77777777" w:rsidTr="005B212C">
        <w:tc>
          <w:tcPr>
            <w:tcW w:w="5103" w:type="dxa"/>
            <w:gridSpan w:val="2"/>
            <w:shd w:val="clear" w:color="auto" w:fill="F7CAAC" w:themeFill="accent2" w:themeFillTint="66"/>
          </w:tcPr>
          <w:p w14:paraId="7599F7F1" w14:textId="2D26A0F0" w:rsidR="005B212C" w:rsidRPr="005B212C" w:rsidRDefault="005B212C" w:rsidP="002A353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color w:val="4472C4" w:themeColor="accent1"/>
              </w:rPr>
            </w:pPr>
            <w:r w:rsidRPr="005B212C">
              <w:rPr>
                <w:rFonts w:ascii="Arial" w:hAnsi="Arial" w:cs="Arial"/>
                <w:b/>
                <w:color w:val="4472C4" w:themeColor="accent1"/>
              </w:rPr>
              <w:t>Ultrasound Expenditure</w:t>
            </w:r>
            <w:r>
              <w:rPr>
                <w:rFonts w:ascii="Arial" w:hAnsi="Arial" w:cs="Arial"/>
                <w:b/>
                <w:color w:val="4472C4" w:themeColor="accent1"/>
              </w:rPr>
              <w:t>*</w:t>
            </w:r>
          </w:p>
          <w:p w14:paraId="2EC9BC22" w14:textId="77777777" w:rsidR="005B212C" w:rsidRDefault="005B212C" w:rsidP="002A353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(Combined Acute &amp; Community Spend)</w:t>
            </w:r>
          </w:p>
          <w:p w14:paraId="0C432744" w14:textId="77777777" w:rsidR="005B212C" w:rsidRDefault="005B212C" w:rsidP="002A353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B212C" w14:paraId="455A8AFF" w14:textId="77777777" w:rsidTr="007F14BB">
        <w:tc>
          <w:tcPr>
            <w:tcW w:w="2835" w:type="dxa"/>
            <w:shd w:val="clear" w:color="auto" w:fill="F7CAAC" w:themeFill="accent2" w:themeFillTint="66"/>
          </w:tcPr>
          <w:p w14:paraId="26EEFBCE" w14:textId="77777777" w:rsidR="005B212C" w:rsidRPr="005B212C" w:rsidRDefault="005B212C" w:rsidP="002A3538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CCG</w:t>
            </w:r>
          </w:p>
        </w:tc>
        <w:tc>
          <w:tcPr>
            <w:tcW w:w="2268" w:type="dxa"/>
            <w:shd w:val="clear" w:color="auto" w:fill="F7CAAC" w:themeFill="accent2" w:themeFillTint="66"/>
          </w:tcPr>
          <w:p w14:paraId="393EDC83" w14:textId="77777777" w:rsidR="005B212C" w:rsidRDefault="005B212C" w:rsidP="002A353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Percentage change</w:t>
            </w:r>
          </w:p>
          <w:p w14:paraId="3B9E5CCA" w14:textId="77777777" w:rsidR="005B212C" w:rsidRPr="005B212C" w:rsidRDefault="005B212C" w:rsidP="002A353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B212C">
              <w:rPr>
                <w:rFonts w:ascii="Arial" w:hAnsi="Arial" w:cs="Arial"/>
                <w:b/>
                <w:sz w:val="20"/>
                <w:szCs w:val="20"/>
              </w:rPr>
              <w:t>FY17/18 to FY18/19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5B212C" w14:paraId="4FCC8B1B" w14:textId="77777777" w:rsidTr="007F14BB">
        <w:tc>
          <w:tcPr>
            <w:tcW w:w="2835" w:type="dxa"/>
          </w:tcPr>
          <w:p w14:paraId="3D933BC4" w14:textId="1166152D" w:rsidR="005B212C" w:rsidRPr="005B212C" w:rsidRDefault="005B212C" w:rsidP="002A3538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Central</w:t>
            </w:r>
            <w:r>
              <w:rPr>
                <w:rFonts w:ascii="Arial" w:hAnsi="Arial" w:cs="Arial"/>
                <w:b/>
              </w:rPr>
              <w:t xml:space="preserve"> London</w:t>
            </w:r>
          </w:p>
        </w:tc>
        <w:tc>
          <w:tcPr>
            <w:tcW w:w="2268" w:type="dxa"/>
          </w:tcPr>
          <w:p w14:paraId="5468B3F4" w14:textId="3CA43E35" w:rsidR="005B212C" w:rsidRPr="005B212C" w:rsidRDefault="005B212C" w:rsidP="002A3538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4%</w:t>
            </w:r>
          </w:p>
        </w:tc>
      </w:tr>
      <w:tr w:rsidR="005B212C" w14:paraId="5227B06C" w14:textId="77777777" w:rsidTr="007F14BB">
        <w:tc>
          <w:tcPr>
            <w:tcW w:w="2835" w:type="dxa"/>
          </w:tcPr>
          <w:p w14:paraId="75016120" w14:textId="14471CCB" w:rsidR="005B212C" w:rsidRPr="005B212C" w:rsidRDefault="005B212C" w:rsidP="002A3538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West</w:t>
            </w:r>
            <w:r>
              <w:rPr>
                <w:rFonts w:ascii="Arial" w:hAnsi="Arial" w:cs="Arial"/>
                <w:b/>
              </w:rPr>
              <w:t xml:space="preserve"> London</w:t>
            </w:r>
          </w:p>
        </w:tc>
        <w:tc>
          <w:tcPr>
            <w:tcW w:w="2268" w:type="dxa"/>
          </w:tcPr>
          <w:p w14:paraId="50F7EC0E" w14:textId="2A216462" w:rsidR="005B212C" w:rsidRPr="005B212C" w:rsidRDefault="005B212C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1%</w:t>
            </w:r>
          </w:p>
        </w:tc>
      </w:tr>
      <w:tr w:rsidR="005B212C" w14:paraId="7CEA1248" w14:textId="77777777" w:rsidTr="007F14BB">
        <w:tc>
          <w:tcPr>
            <w:tcW w:w="2835" w:type="dxa"/>
          </w:tcPr>
          <w:p w14:paraId="57A8092F" w14:textId="60D41CB0" w:rsidR="005B212C" w:rsidRPr="005B212C" w:rsidRDefault="005B212C" w:rsidP="005B212C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H</w:t>
            </w:r>
            <w:r>
              <w:rPr>
                <w:rFonts w:ascii="Arial" w:hAnsi="Arial" w:cs="Arial"/>
                <w:b/>
              </w:rPr>
              <w:t xml:space="preserve">ammersmith </w:t>
            </w:r>
            <w:r w:rsidRPr="005B212C">
              <w:rPr>
                <w:rFonts w:ascii="Arial" w:hAnsi="Arial" w:cs="Arial"/>
                <w:b/>
              </w:rPr>
              <w:t>&amp;</w:t>
            </w:r>
            <w:r>
              <w:rPr>
                <w:rFonts w:ascii="Arial" w:hAnsi="Arial" w:cs="Arial"/>
                <w:b/>
              </w:rPr>
              <w:t xml:space="preserve"> Fulham</w:t>
            </w:r>
          </w:p>
        </w:tc>
        <w:tc>
          <w:tcPr>
            <w:tcW w:w="2268" w:type="dxa"/>
          </w:tcPr>
          <w:p w14:paraId="647523C4" w14:textId="7CF5D688" w:rsidR="005B212C" w:rsidRPr="005B212C" w:rsidRDefault="005B212C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12%</w:t>
            </w:r>
          </w:p>
        </w:tc>
      </w:tr>
      <w:tr w:rsidR="005B212C" w14:paraId="4A969059" w14:textId="77777777" w:rsidTr="007F14BB">
        <w:tc>
          <w:tcPr>
            <w:tcW w:w="2835" w:type="dxa"/>
          </w:tcPr>
          <w:p w14:paraId="3ACC4C91" w14:textId="77777777" w:rsidR="005B212C" w:rsidRPr="005B212C" w:rsidRDefault="005B212C" w:rsidP="002A3538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Ealing</w:t>
            </w:r>
          </w:p>
        </w:tc>
        <w:tc>
          <w:tcPr>
            <w:tcW w:w="2268" w:type="dxa"/>
          </w:tcPr>
          <w:p w14:paraId="4AA22C9E" w14:textId="2EDBCA5F" w:rsidR="005B212C" w:rsidRPr="005B212C" w:rsidRDefault="005B212C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15%</w:t>
            </w:r>
          </w:p>
        </w:tc>
      </w:tr>
      <w:tr w:rsidR="005B212C" w14:paraId="2A174747" w14:textId="77777777" w:rsidTr="007F14BB">
        <w:tc>
          <w:tcPr>
            <w:tcW w:w="2835" w:type="dxa"/>
          </w:tcPr>
          <w:p w14:paraId="0D2C9634" w14:textId="77777777" w:rsidR="005B212C" w:rsidRPr="005B212C" w:rsidRDefault="005B212C" w:rsidP="002A3538">
            <w:pPr>
              <w:pStyle w:val="NoSpacing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Brent</w:t>
            </w:r>
          </w:p>
        </w:tc>
        <w:tc>
          <w:tcPr>
            <w:tcW w:w="2268" w:type="dxa"/>
          </w:tcPr>
          <w:p w14:paraId="028B03A3" w14:textId="3B764290" w:rsidR="005B212C" w:rsidRPr="005B212C" w:rsidRDefault="005B212C" w:rsidP="005B212C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B212C">
              <w:rPr>
                <w:rFonts w:ascii="Arial" w:hAnsi="Arial" w:cs="Arial"/>
                <w:b/>
              </w:rPr>
              <w:t>25%</w:t>
            </w:r>
          </w:p>
        </w:tc>
      </w:tr>
    </w:tbl>
    <w:p w14:paraId="6E2946E5" w14:textId="77777777" w:rsidR="005B212C" w:rsidRDefault="005B212C" w:rsidP="00E66321">
      <w:pPr>
        <w:pStyle w:val="NoSpacing"/>
        <w:spacing w:line="276" w:lineRule="auto"/>
        <w:jc w:val="both"/>
        <w:rPr>
          <w:rFonts w:ascii="Arial" w:hAnsi="Arial" w:cs="Arial"/>
        </w:rPr>
      </w:pPr>
    </w:p>
    <w:p w14:paraId="59DD0392" w14:textId="10C33DCD" w:rsidR="005B212C" w:rsidRPr="005B212C" w:rsidRDefault="005B212C" w:rsidP="00E66321">
      <w:pPr>
        <w:pStyle w:val="NoSpacing"/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</w:t>
      </w:r>
      <w:r w:rsidRPr="005B212C">
        <w:rPr>
          <w:rFonts w:ascii="Arial" w:hAnsi="Arial" w:cs="Arial"/>
          <w:i/>
        </w:rPr>
        <w:t>Note: Harrow CCG comparison figures not available</w:t>
      </w:r>
    </w:p>
    <w:p w14:paraId="4349A112" w14:textId="77777777" w:rsidR="00E66321" w:rsidRDefault="00E66321" w:rsidP="00DA1A2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7AB5076D" w14:textId="77777777" w:rsidR="00E66321" w:rsidRDefault="00E66321" w:rsidP="00DA1A2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05075117" w14:textId="5AB3320E" w:rsidR="00032AC9" w:rsidRPr="007F7A41" w:rsidRDefault="00032AC9" w:rsidP="00032AC9">
      <w:pPr>
        <w:pStyle w:val="NoSpacing"/>
        <w:spacing w:line="276" w:lineRule="auto"/>
        <w:jc w:val="both"/>
        <w:rPr>
          <w:rFonts w:ascii="Arial" w:hAnsi="Arial" w:cs="Arial"/>
          <w:b/>
          <w:color w:val="0070C0"/>
          <w:sz w:val="26"/>
          <w:szCs w:val="26"/>
        </w:rPr>
      </w:pPr>
      <w:r>
        <w:rPr>
          <w:rFonts w:ascii="Arial" w:hAnsi="Arial" w:cs="Arial"/>
          <w:b/>
          <w:color w:val="0070C0"/>
          <w:sz w:val="26"/>
          <w:szCs w:val="26"/>
        </w:rPr>
        <w:t>Market Engagement</w:t>
      </w:r>
    </w:p>
    <w:p w14:paraId="1043823A" w14:textId="77777777" w:rsidR="00E66321" w:rsidRDefault="00E66321" w:rsidP="00DA1A2D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</w:p>
    <w:p w14:paraId="47DA660A" w14:textId="67A3DC3B" w:rsidR="00492235" w:rsidRDefault="00032AC9" w:rsidP="00032AC9">
      <w:pPr>
        <w:spacing w:after="0" w:line="276" w:lineRule="auto"/>
        <w:jc w:val="both"/>
        <w:rPr>
          <w:rFonts w:ascii="Arial" w:hAnsi="Arial" w:cs="Arial"/>
        </w:rPr>
      </w:pPr>
      <w:r w:rsidRPr="00717F66">
        <w:rPr>
          <w:rFonts w:ascii="Arial" w:hAnsi="Arial" w:cs="Arial"/>
        </w:rPr>
        <w:t>The CCG</w:t>
      </w:r>
      <w:r>
        <w:rPr>
          <w:rFonts w:ascii="Arial" w:hAnsi="Arial" w:cs="Arial"/>
        </w:rPr>
        <w:t>s</w:t>
      </w:r>
      <w:r w:rsidRPr="00717F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717F66">
        <w:rPr>
          <w:rFonts w:ascii="Arial" w:hAnsi="Arial" w:cs="Arial"/>
        </w:rPr>
        <w:t xml:space="preserve"> seeking to engage with potential service providers to </w:t>
      </w:r>
      <w:r>
        <w:rPr>
          <w:rFonts w:ascii="Arial" w:hAnsi="Arial" w:cs="Arial"/>
        </w:rPr>
        <w:t xml:space="preserve">understand the capacity and capability within the market, and identify the best approach to </w:t>
      </w:r>
      <w:r w:rsidR="00492235">
        <w:rPr>
          <w:rFonts w:ascii="Arial" w:hAnsi="Arial" w:cs="Arial"/>
        </w:rPr>
        <w:t>delivering these services.  This engagement will:</w:t>
      </w:r>
    </w:p>
    <w:p w14:paraId="4FACFD26" w14:textId="77777777" w:rsidR="00492235" w:rsidRDefault="00492235" w:rsidP="00032AC9">
      <w:pPr>
        <w:spacing w:after="0" w:line="276" w:lineRule="auto"/>
        <w:jc w:val="both"/>
        <w:rPr>
          <w:rFonts w:ascii="Arial" w:hAnsi="Arial" w:cs="Arial"/>
        </w:rPr>
      </w:pPr>
    </w:p>
    <w:p w14:paraId="6DE46AC8" w14:textId="2996FDFB" w:rsidR="00492235" w:rsidRPr="00550BAE" w:rsidRDefault="00550BAE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50BAE">
        <w:rPr>
          <w:rFonts w:ascii="Arial" w:hAnsi="Arial" w:cs="Arial"/>
        </w:rPr>
        <w:t>Explore w</w:t>
      </w:r>
      <w:r w:rsidR="00492235" w:rsidRPr="00550BAE">
        <w:rPr>
          <w:rFonts w:ascii="Arial" w:hAnsi="Arial" w:cs="Arial"/>
        </w:rPr>
        <w:t>hat ranges of imaging modalities required by CCGs are available in the market;</w:t>
      </w:r>
    </w:p>
    <w:p w14:paraId="55F90691" w14:textId="0876AF6B" w:rsidR="00492235" w:rsidRPr="00550BAE" w:rsidRDefault="00550BAE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50BAE">
        <w:rPr>
          <w:rFonts w:ascii="Arial" w:hAnsi="Arial" w:cs="Arial"/>
        </w:rPr>
        <w:t>Explore h</w:t>
      </w:r>
      <w:r w:rsidR="00492235" w:rsidRPr="00550BAE">
        <w:rPr>
          <w:rFonts w:ascii="Arial" w:hAnsi="Arial" w:cs="Arial"/>
        </w:rPr>
        <w:t>ow the</w:t>
      </w:r>
      <w:r w:rsidRPr="00550BAE">
        <w:rPr>
          <w:rFonts w:ascii="Arial" w:hAnsi="Arial" w:cs="Arial"/>
        </w:rPr>
        <w:t>se</w:t>
      </w:r>
      <w:r w:rsidR="00492235" w:rsidRPr="00550BAE">
        <w:rPr>
          <w:rFonts w:ascii="Arial" w:hAnsi="Arial" w:cs="Arial"/>
        </w:rPr>
        <w:t xml:space="preserve"> services may be delivered;</w:t>
      </w:r>
    </w:p>
    <w:p w14:paraId="7ED581BB" w14:textId="50A5C1E9" w:rsidR="00492235" w:rsidRPr="00550BAE" w:rsidRDefault="00550BAE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50BAE">
        <w:rPr>
          <w:rFonts w:ascii="Arial" w:hAnsi="Arial" w:cs="Arial"/>
        </w:rPr>
        <w:t>Understand t</w:t>
      </w:r>
      <w:r w:rsidR="00492235" w:rsidRPr="00550BAE">
        <w:rPr>
          <w:rFonts w:ascii="Arial" w:hAnsi="Arial" w:cs="Arial"/>
        </w:rPr>
        <w:t>he attractiveness of different pricing models</w:t>
      </w:r>
      <w:r w:rsidRPr="00550BAE">
        <w:rPr>
          <w:rFonts w:ascii="Arial" w:hAnsi="Arial" w:cs="Arial"/>
        </w:rPr>
        <w:t xml:space="preserve"> and tariffs</w:t>
      </w:r>
      <w:r w:rsidR="00492235" w:rsidRPr="00550BAE">
        <w:rPr>
          <w:rFonts w:ascii="Arial" w:hAnsi="Arial" w:cs="Arial"/>
        </w:rPr>
        <w:t>;</w:t>
      </w:r>
    </w:p>
    <w:p w14:paraId="29D1A27F" w14:textId="019B108D" w:rsidR="00550BAE" w:rsidRPr="00550BAE" w:rsidRDefault="00550BAE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50BAE">
        <w:rPr>
          <w:rFonts w:ascii="Arial" w:hAnsi="Arial" w:cs="Arial"/>
        </w:rPr>
        <w:t>Ascertain the potential impact of demand management strategies employed by CCGs and/or changes in modalities usage during the life of the contract;</w:t>
      </w:r>
    </w:p>
    <w:p w14:paraId="6774A998" w14:textId="2AEE7E13" w:rsidR="00550BAE" w:rsidRPr="00550BAE" w:rsidRDefault="00550BAE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50BAE">
        <w:rPr>
          <w:rFonts w:ascii="Arial" w:hAnsi="Arial" w:cs="Arial"/>
        </w:rPr>
        <w:t>Understand potential/future developments in the market</w:t>
      </w:r>
    </w:p>
    <w:p w14:paraId="06409615" w14:textId="77777777" w:rsidR="00492235" w:rsidRDefault="00492235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50BAE">
        <w:rPr>
          <w:rFonts w:ascii="Arial" w:hAnsi="Arial" w:cs="Arial"/>
        </w:rPr>
        <w:t>Understand the affordability thresholds for the services</w:t>
      </w:r>
    </w:p>
    <w:p w14:paraId="43B7FE20" w14:textId="049CE732" w:rsidR="00550BAE" w:rsidRPr="00550BAE" w:rsidRDefault="00550BAE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Gauge the overall level of market interest;</w:t>
      </w:r>
    </w:p>
    <w:p w14:paraId="7E30173B" w14:textId="2C38303C" w:rsidR="00492235" w:rsidRPr="00550BAE" w:rsidRDefault="00550BAE" w:rsidP="00550BA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</w:rPr>
      </w:pPr>
      <w:r w:rsidRPr="00550BAE">
        <w:rPr>
          <w:rFonts w:ascii="Arial" w:hAnsi="Arial" w:cs="Arial"/>
        </w:rPr>
        <w:t xml:space="preserve">Identify the best </w:t>
      </w:r>
      <w:r w:rsidR="00492235" w:rsidRPr="00550BAE">
        <w:rPr>
          <w:rFonts w:ascii="Arial" w:hAnsi="Arial" w:cs="Arial"/>
        </w:rPr>
        <w:t xml:space="preserve">options for </w:t>
      </w:r>
      <w:r w:rsidR="00032AC9" w:rsidRPr="00550BAE">
        <w:rPr>
          <w:rFonts w:ascii="Arial" w:hAnsi="Arial" w:cs="Arial"/>
        </w:rPr>
        <w:t>packaging these requirements</w:t>
      </w:r>
      <w:r w:rsidRPr="00550BAE">
        <w:rPr>
          <w:rFonts w:ascii="Arial" w:hAnsi="Arial" w:cs="Arial"/>
        </w:rPr>
        <w:t xml:space="preserve"> to deliver maximum benefit to the CCGs and patients</w:t>
      </w:r>
      <w:r w:rsidR="00492235" w:rsidRPr="00550BAE">
        <w:rPr>
          <w:rFonts w:ascii="Arial" w:hAnsi="Arial" w:cs="Arial"/>
        </w:rPr>
        <w:t>;</w:t>
      </w:r>
    </w:p>
    <w:p w14:paraId="73241E57" w14:textId="5BB579F2" w:rsidR="00492235" w:rsidRDefault="00492235" w:rsidP="00032AC9">
      <w:pPr>
        <w:spacing w:after="0" w:line="276" w:lineRule="auto"/>
        <w:jc w:val="both"/>
        <w:rPr>
          <w:rFonts w:ascii="Arial" w:hAnsi="Arial" w:cs="Arial"/>
        </w:rPr>
      </w:pPr>
    </w:p>
    <w:p w14:paraId="118E9E3E" w14:textId="77777777" w:rsidR="00492235" w:rsidRDefault="00492235" w:rsidP="00032AC9">
      <w:pPr>
        <w:spacing w:after="0" w:line="276" w:lineRule="auto"/>
        <w:jc w:val="both"/>
        <w:rPr>
          <w:rFonts w:ascii="Arial" w:hAnsi="Arial" w:cs="Arial"/>
        </w:rPr>
      </w:pPr>
    </w:p>
    <w:p w14:paraId="2A27B3A4" w14:textId="77777777" w:rsidR="00492235" w:rsidRDefault="00492235" w:rsidP="00032AC9">
      <w:pPr>
        <w:spacing w:after="0" w:line="276" w:lineRule="auto"/>
        <w:jc w:val="both"/>
        <w:rPr>
          <w:rFonts w:ascii="Arial" w:hAnsi="Arial" w:cs="Arial"/>
        </w:rPr>
      </w:pPr>
    </w:p>
    <w:sectPr w:rsidR="00492235" w:rsidSect="00B74E28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8879E" w14:textId="77777777" w:rsidR="00AF1808" w:rsidRDefault="00AF1808" w:rsidP="00667384">
      <w:pPr>
        <w:spacing w:after="0" w:line="240" w:lineRule="auto"/>
      </w:pPr>
      <w:r>
        <w:separator/>
      </w:r>
    </w:p>
  </w:endnote>
  <w:endnote w:type="continuationSeparator" w:id="0">
    <w:p w14:paraId="60FAC08D" w14:textId="77777777" w:rsidR="00AF1808" w:rsidRDefault="00AF1808" w:rsidP="0066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40880" w14:textId="77777777" w:rsidR="00B74E28" w:rsidRDefault="00B74E28" w:rsidP="00B74E2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CF33" w14:textId="77777777" w:rsidR="00AF1808" w:rsidRDefault="00AF1808" w:rsidP="00667384">
      <w:pPr>
        <w:spacing w:after="0" w:line="240" w:lineRule="auto"/>
      </w:pPr>
      <w:r>
        <w:separator/>
      </w:r>
    </w:p>
  </w:footnote>
  <w:footnote w:type="continuationSeparator" w:id="0">
    <w:p w14:paraId="28F8848B" w14:textId="77777777" w:rsidR="00AF1808" w:rsidRDefault="00AF1808" w:rsidP="00667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D679A" w14:textId="77777777" w:rsidR="00667384" w:rsidRDefault="00667384" w:rsidP="00667384">
    <w:pPr>
      <w:pStyle w:val="Header"/>
      <w:pBdr>
        <w:bottom w:val="single" w:sz="4" w:space="3" w:color="D9D9D9" w:themeColor="background1" w:themeShade="D9"/>
      </w:pBdr>
    </w:pPr>
  </w:p>
  <w:sdt>
    <w:sdtPr>
      <w:id w:val="147756585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F83989" w14:textId="3307049E" w:rsidR="00667384" w:rsidRDefault="00667384" w:rsidP="00667384">
        <w:pPr>
          <w:pStyle w:val="Header"/>
          <w:pBdr>
            <w:bottom w:val="single" w:sz="4" w:space="3" w:color="D9D9D9" w:themeColor="background1" w:themeShade="D9"/>
          </w:pBdr>
          <w:rPr>
            <w:b/>
            <w:bCs/>
          </w:rPr>
        </w:pPr>
        <w:r w:rsidRPr="00667384">
          <w:rPr>
            <w:rFonts w:ascii="Arial" w:hAnsi="Arial" w:cs="Arial"/>
          </w:rPr>
          <w:fldChar w:fldCharType="begin"/>
        </w:r>
        <w:r w:rsidRPr="00667384">
          <w:rPr>
            <w:rFonts w:ascii="Arial" w:hAnsi="Arial" w:cs="Arial"/>
          </w:rPr>
          <w:instrText xml:space="preserve"> PAGE   \* MERGEFORMAT </w:instrText>
        </w:r>
        <w:r w:rsidRPr="00667384">
          <w:rPr>
            <w:rFonts w:ascii="Arial" w:hAnsi="Arial" w:cs="Arial"/>
          </w:rPr>
          <w:fldChar w:fldCharType="separate"/>
        </w:r>
        <w:r w:rsidR="002B6EEE" w:rsidRPr="002B6EEE">
          <w:rPr>
            <w:rFonts w:ascii="Arial" w:hAnsi="Arial" w:cs="Arial"/>
            <w:b/>
            <w:bCs/>
            <w:noProof/>
          </w:rPr>
          <w:t>4</w:t>
        </w:r>
        <w:r w:rsidRPr="00667384">
          <w:rPr>
            <w:rFonts w:ascii="Arial" w:hAnsi="Arial" w:cs="Arial"/>
            <w:b/>
            <w:bCs/>
            <w:noProof/>
          </w:rPr>
          <w:fldChar w:fldCharType="end"/>
        </w:r>
        <w:r w:rsidRPr="00667384">
          <w:rPr>
            <w:rFonts w:ascii="Arial" w:hAnsi="Arial" w:cs="Arial"/>
            <w:b/>
            <w:bCs/>
          </w:rPr>
          <w:t xml:space="preserve"> | </w:t>
        </w:r>
        <w:r w:rsidR="00F307E4" w:rsidRPr="00F307E4">
          <w:rPr>
            <w:rFonts w:ascii="Arial" w:hAnsi="Arial" w:cs="Arial"/>
          </w:rPr>
          <w:t>D</w:t>
        </w:r>
        <w:r w:rsidR="00F307E4">
          <w:rPr>
            <w:rFonts w:ascii="Arial" w:hAnsi="Arial" w:cs="Arial"/>
          </w:rPr>
          <w:t xml:space="preserve">IRECT </w:t>
        </w:r>
        <w:r w:rsidR="00F307E4" w:rsidRPr="00F307E4">
          <w:rPr>
            <w:rFonts w:ascii="Arial" w:hAnsi="Arial" w:cs="Arial"/>
          </w:rPr>
          <w:t>A</w:t>
        </w:r>
        <w:r w:rsidR="00F307E4">
          <w:rPr>
            <w:rFonts w:ascii="Arial" w:hAnsi="Arial" w:cs="Arial"/>
          </w:rPr>
          <w:t>CCESS</w:t>
        </w:r>
        <w:r w:rsidR="00680963">
          <w:rPr>
            <w:rFonts w:ascii="Arial" w:hAnsi="Arial" w:cs="Arial"/>
          </w:rPr>
          <w:t xml:space="preserve"> IMAGING MEMORANDUM OF INFORMATION</w:t>
        </w:r>
      </w:p>
    </w:sdtContent>
  </w:sdt>
  <w:p w14:paraId="6E653003" w14:textId="7BD0C4F3" w:rsidR="00667384" w:rsidRDefault="00667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28"/>
    <w:multiLevelType w:val="hybridMultilevel"/>
    <w:tmpl w:val="AD9498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701F0"/>
    <w:multiLevelType w:val="hybridMultilevel"/>
    <w:tmpl w:val="E05EF9D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C22A5"/>
    <w:multiLevelType w:val="hybridMultilevel"/>
    <w:tmpl w:val="BCD8203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4252"/>
    <w:multiLevelType w:val="hybridMultilevel"/>
    <w:tmpl w:val="EF82F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70ABE"/>
    <w:multiLevelType w:val="hybridMultilevel"/>
    <w:tmpl w:val="96E67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E03D2"/>
    <w:multiLevelType w:val="hybridMultilevel"/>
    <w:tmpl w:val="386AC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94B7C"/>
    <w:multiLevelType w:val="multilevel"/>
    <w:tmpl w:val="18B07FE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CAA32FE"/>
    <w:multiLevelType w:val="hybridMultilevel"/>
    <w:tmpl w:val="EF0433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20355"/>
    <w:multiLevelType w:val="hybridMultilevel"/>
    <w:tmpl w:val="FE26831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801616"/>
    <w:multiLevelType w:val="multilevel"/>
    <w:tmpl w:val="75E0B7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494239C"/>
    <w:multiLevelType w:val="hybridMultilevel"/>
    <w:tmpl w:val="7DD243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A42A4"/>
    <w:multiLevelType w:val="hybridMultilevel"/>
    <w:tmpl w:val="67687CB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2545D7"/>
    <w:multiLevelType w:val="hybridMultilevel"/>
    <w:tmpl w:val="0C7A28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D5529C"/>
    <w:multiLevelType w:val="hybridMultilevel"/>
    <w:tmpl w:val="EB7C73F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073795"/>
    <w:multiLevelType w:val="hybridMultilevel"/>
    <w:tmpl w:val="8D22E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D926F4"/>
    <w:multiLevelType w:val="hybridMultilevel"/>
    <w:tmpl w:val="3866234E"/>
    <w:lvl w:ilvl="0" w:tplc="08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8"/>
  </w:num>
  <w:num w:numId="9">
    <w:abstractNumId w:val="15"/>
  </w:num>
  <w:num w:numId="10">
    <w:abstractNumId w:val="9"/>
  </w:num>
  <w:num w:numId="11">
    <w:abstractNumId w:val="1"/>
  </w:num>
  <w:num w:numId="12">
    <w:abstractNumId w:val="3"/>
  </w:num>
  <w:num w:numId="13">
    <w:abstractNumId w:val="10"/>
  </w:num>
  <w:num w:numId="14">
    <w:abstractNumId w:val="6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84"/>
    <w:rsid w:val="00025B09"/>
    <w:rsid w:val="00032AC9"/>
    <w:rsid w:val="00040CDC"/>
    <w:rsid w:val="000540F4"/>
    <w:rsid w:val="00055D62"/>
    <w:rsid w:val="00097647"/>
    <w:rsid w:val="000A5C12"/>
    <w:rsid w:val="000B56B3"/>
    <w:rsid w:val="000E47F6"/>
    <w:rsid w:val="000E6865"/>
    <w:rsid w:val="000F55B4"/>
    <w:rsid w:val="00112A4A"/>
    <w:rsid w:val="00133F34"/>
    <w:rsid w:val="001657E7"/>
    <w:rsid w:val="001702D9"/>
    <w:rsid w:val="00185382"/>
    <w:rsid w:val="001A3E54"/>
    <w:rsid w:val="001A423E"/>
    <w:rsid w:val="001C220E"/>
    <w:rsid w:val="001D06CC"/>
    <w:rsid w:val="001E64D6"/>
    <w:rsid w:val="001F6C7C"/>
    <w:rsid w:val="002332AF"/>
    <w:rsid w:val="002606D2"/>
    <w:rsid w:val="002606F6"/>
    <w:rsid w:val="00274732"/>
    <w:rsid w:val="00276E8B"/>
    <w:rsid w:val="002B6EEE"/>
    <w:rsid w:val="002B6F4D"/>
    <w:rsid w:val="002C5AB8"/>
    <w:rsid w:val="0033099E"/>
    <w:rsid w:val="00333C3D"/>
    <w:rsid w:val="00340122"/>
    <w:rsid w:val="00373940"/>
    <w:rsid w:val="00381464"/>
    <w:rsid w:val="003B632C"/>
    <w:rsid w:val="003C6761"/>
    <w:rsid w:val="003D590B"/>
    <w:rsid w:val="003E216D"/>
    <w:rsid w:val="00425778"/>
    <w:rsid w:val="00437575"/>
    <w:rsid w:val="00474857"/>
    <w:rsid w:val="00482E14"/>
    <w:rsid w:val="00483883"/>
    <w:rsid w:val="00492235"/>
    <w:rsid w:val="004C1DAF"/>
    <w:rsid w:val="004D4991"/>
    <w:rsid w:val="004E7E3B"/>
    <w:rsid w:val="00514299"/>
    <w:rsid w:val="005222A6"/>
    <w:rsid w:val="00540F5D"/>
    <w:rsid w:val="00550BAE"/>
    <w:rsid w:val="005748CC"/>
    <w:rsid w:val="00584996"/>
    <w:rsid w:val="005A0C1A"/>
    <w:rsid w:val="005B212C"/>
    <w:rsid w:val="005B5506"/>
    <w:rsid w:val="005C07CE"/>
    <w:rsid w:val="0060207C"/>
    <w:rsid w:val="00623511"/>
    <w:rsid w:val="00630D27"/>
    <w:rsid w:val="00650221"/>
    <w:rsid w:val="006660E1"/>
    <w:rsid w:val="00667384"/>
    <w:rsid w:val="006724EE"/>
    <w:rsid w:val="00680963"/>
    <w:rsid w:val="006A5D17"/>
    <w:rsid w:val="006C0C27"/>
    <w:rsid w:val="006D2C43"/>
    <w:rsid w:val="006D6135"/>
    <w:rsid w:val="006E13B6"/>
    <w:rsid w:val="006F2C5F"/>
    <w:rsid w:val="00717F66"/>
    <w:rsid w:val="007642CA"/>
    <w:rsid w:val="007D46E8"/>
    <w:rsid w:val="007F14BB"/>
    <w:rsid w:val="007F7A41"/>
    <w:rsid w:val="00800F0B"/>
    <w:rsid w:val="008024BB"/>
    <w:rsid w:val="008878E0"/>
    <w:rsid w:val="00897EFA"/>
    <w:rsid w:val="008A3486"/>
    <w:rsid w:val="008E31F2"/>
    <w:rsid w:val="00902DD2"/>
    <w:rsid w:val="00912C14"/>
    <w:rsid w:val="0093142B"/>
    <w:rsid w:val="00942F27"/>
    <w:rsid w:val="00961B4F"/>
    <w:rsid w:val="00972D65"/>
    <w:rsid w:val="00981A37"/>
    <w:rsid w:val="00983E06"/>
    <w:rsid w:val="009926CD"/>
    <w:rsid w:val="009946EA"/>
    <w:rsid w:val="009A08D0"/>
    <w:rsid w:val="009C7EDC"/>
    <w:rsid w:val="009D2ED3"/>
    <w:rsid w:val="009E0335"/>
    <w:rsid w:val="009E7E5D"/>
    <w:rsid w:val="009F51CB"/>
    <w:rsid w:val="009F652B"/>
    <w:rsid w:val="00A17F4E"/>
    <w:rsid w:val="00A77718"/>
    <w:rsid w:val="00A81891"/>
    <w:rsid w:val="00A8557B"/>
    <w:rsid w:val="00A9683F"/>
    <w:rsid w:val="00AB3AB2"/>
    <w:rsid w:val="00AD57C7"/>
    <w:rsid w:val="00AF1808"/>
    <w:rsid w:val="00B54FF7"/>
    <w:rsid w:val="00B561FE"/>
    <w:rsid w:val="00B6211C"/>
    <w:rsid w:val="00B74E28"/>
    <w:rsid w:val="00BB61AF"/>
    <w:rsid w:val="00BB768F"/>
    <w:rsid w:val="00BE2E6B"/>
    <w:rsid w:val="00BE574D"/>
    <w:rsid w:val="00BF3A0F"/>
    <w:rsid w:val="00C279C3"/>
    <w:rsid w:val="00C3339D"/>
    <w:rsid w:val="00C64135"/>
    <w:rsid w:val="00C80FD6"/>
    <w:rsid w:val="00C81F5D"/>
    <w:rsid w:val="00CA4231"/>
    <w:rsid w:val="00CA7301"/>
    <w:rsid w:val="00CD02F0"/>
    <w:rsid w:val="00CD68AC"/>
    <w:rsid w:val="00D413C3"/>
    <w:rsid w:val="00D558C4"/>
    <w:rsid w:val="00D60B92"/>
    <w:rsid w:val="00DA1A2D"/>
    <w:rsid w:val="00DB2906"/>
    <w:rsid w:val="00E340D8"/>
    <w:rsid w:val="00E66321"/>
    <w:rsid w:val="00E90CFA"/>
    <w:rsid w:val="00E91113"/>
    <w:rsid w:val="00EA4B6E"/>
    <w:rsid w:val="00F307E4"/>
    <w:rsid w:val="00FA52AC"/>
    <w:rsid w:val="00FB6C0C"/>
    <w:rsid w:val="00FB74F6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2D7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2D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673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7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84"/>
  </w:style>
  <w:style w:type="paragraph" w:styleId="Footer">
    <w:name w:val="footer"/>
    <w:basedOn w:val="Normal"/>
    <w:link w:val="FooterChar"/>
    <w:uiPriority w:val="99"/>
    <w:unhideWhenUsed/>
    <w:rsid w:val="00667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84"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1F6C7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DA1A2D"/>
  </w:style>
  <w:style w:type="table" w:styleId="TableGrid">
    <w:name w:val="Table Grid"/>
    <w:basedOn w:val="TableNormal"/>
    <w:uiPriority w:val="59"/>
    <w:rsid w:val="009A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9A08D0"/>
  </w:style>
  <w:style w:type="paragraph" w:styleId="Title">
    <w:name w:val="Title"/>
    <w:basedOn w:val="Normal"/>
    <w:next w:val="Normal"/>
    <w:link w:val="TitleChar"/>
    <w:uiPriority w:val="10"/>
    <w:qFormat/>
    <w:rsid w:val="009A08D0"/>
    <w:pPr>
      <w:pBdr>
        <w:top w:val="single" w:sz="8" w:space="1" w:color="4472C4" w:themeColor="accent1"/>
        <w:left w:val="single" w:sz="8" w:space="4" w:color="4472C4" w:themeColor="accent1"/>
        <w:bottom w:val="single" w:sz="8" w:space="4" w:color="4472C4" w:themeColor="accent1"/>
        <w:right w:val="single" w:sz="8" w:space="4" w:color="4472C4" w:themeColor="accent1"/>
      </w:pBdr>
      <w:shd w:val="clear" w:color="auto" w:fill="4472C4" w:themeFill="accent1"/>
      <w:spacing w:after="30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08D0"/>
    <w:rPr>
      <w:rFonts w:asciiTheme="majorHAnsi" w:eastAsiaTheme="majorEastAsia" w:hAnsiTheme="majorHAnsi" w:cstheme="majorBidi"/>
      <w:color w:val="FFFFFF" w:themeColor="background1"/>
      <w:spacing w:val="5"/>
      <w:kern w:val="28"/>
      <w:sz w:val="36"/>
      <w:szCs w:val="52"/>
      <w:shd w:val="clear" w:color="auto" w:fill="4472C4" w:themeFill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4E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02D9"/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customStyle="1" w:styleId="DHChapterHead">
    <w:name w:val="DH Chapter Head"/>
    <w:basedOn w:val="Normal"/>
    <w:rsid w:val="006C0C27"/>
    <w:pPr>
      <w:spacing w:after="0" w:line="660" w:lineRule="exact"/>
    </w:pPr>
    <w:rPr>
      <w:rFonts w:ascii="Arial" w:eastAsiaTheme="minorEastAsia" w:hAnsi="Arial" w:cs="Arial"/>
      <w:color w:val="009966"/>
      <w:sz w:val="6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2D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673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67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84"/>
  </w:style>
  <w:style w:type="paragraph" w:styleId="Footer">
    <w:name w:val="footer"/>
    <w:basedOn w:val="Normal"/>
    <w:link w:val="FooterChar"/>
    <w:uiPriority w:val="99"/>
    <w:unhideWhenUsed/>
    <w:rsid w:val="00667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84"/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1F6C7C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DA1A2D"/>
  </w:style>
  <w:style w:type="table" w:styleId="TableGrid">
    <w:name w:val="Table Grid"/>
    <w:basedOn w:val="TableNormal"/>
    <w:uiPriority w:val="59"/>
    <w:rsid w:val="009A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locked/>
    <w:rsid w:val="009A08D0"/>
  </w:style>
  <w:style w:type="paragraph" w:styleId="Title">
    <w:name w:val="Title"/>
    <w:basedOn w:val="Normal"/>
    <w:next w:val="Normal"/>
    <w:link w:val="TitleChar"/>
    <w:uiPriority w:val="10"/>
    <w:qFormat/>
    <w:rsid w:val="009A08D0"/>
    <w:pPr>
      <w:pBdr>
        <w:top w:val="single" w:sz="8" w:space="1" w:color="4472C4" w:themeColor="accent1"/>
        <w:left w:val="single" w:sz="8" w:space="4" w:color="4472C4" w:themeColor="accent1"/>
        <w:bottom w:val="single" w:sz="8" w:space="4" w:color="4472C4" w:themeColor="accent1"/>
        <w:right w:val="single" w:sz="8" w:space="4" w:color="4472C4" w:themeColor="accent1"/>
      </w:pBdr>
      <w:shd w:val="clear" w:color="auto" w:fill="4472C4" w:themeFill="accent1"/>
      <w:spacing w:after="30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08D0"/>
    <w:rPr>
      <w:rFonts w:asciiTheme="majorHAnsi" w:eastAsiaTheme="majorEastAsia" w:hAnsiTheme="majorHAnsi" w:cstheme="majorBidi"/>
      <w:color w:val="FFFFFF" w:themeColor="background1"/>
      <w:spacing w:val="5"/>
      <w:kern w:val="28"/>
      <w:sz w:val="36"/>
      <w:szCs w:val="52"/>
      <w:shd w:val="clear" w:color="auto" w:fill="4472C4" w:themeFill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4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4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4E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702D9"/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customStyle="1" w:styleId="DHChapterHead">
    <w:name w:val="DH Chapter Head"/>
    <w:basedOn w:val="Normal"/>
    <w:rsid w:val="006C0C27"/>
    <w:pPr>
      <w:spacing w:after="0" w:line="660" w:lineRule="exact"/>
    </w:pPr>
    <w:rPr>
      <w:rFonts w:ascii="Arial" w:eastAsiaTheme="minorEastAsia" w:hAnsi="Arial" w:cs="Arial"/>
      <w:color w:val="009966"/>
      <w:sz w:val="6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585B-5EB2-4870-B3A0-5B573C19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NWL COMMUNITY DirECT ACCESS IMAGING SERVICE</vt:lpstr>
    </vt:vector>
  </TitlesOfParts>
  <Company>NWL Collaboration of CCG's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NWL COMMUNITY DirECT ACCESS IMAGING SERVICE</dc:title>
  <dc:subject>Briefing report for NWL CCGs</dc:subject>
  <dc:creator>Samson Agboola Daniel</dc:creator>
  <cp:lastModifiedBy>Roger Dennis</cp:lastModifiedBy>
  <cp:revision>8</cp:revision>
  <dcterms:created xsi:type="dcterms:W3CDTF">2019-01-28T08:39:00Z</dcterms:created>
  <dcterms:modified xsi:type="dcterms:W3CDTF">2019-02-11T18:58:00Z</dcterms:modified>
</cp:coreProperties>
</file>