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9264"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6169D7D4" w14:textId="77777777" w:rsidR="002B2C2A" w:rsidRPr="002B2C2A" w:rsidRDefault="00016004" w:rsidP="00016004">
      <w:pPr>
        <w:jc w:val="center"/>
        <w:rPr>
          <w:rFonts w:cs="Arial"/>
          <w:b/>
          <w:sz w:val="28"/>
          <w:szCs w:val="28"/>
        </w:rPr>
      </w:pPr>
      <w:r w:rsidRPr="0059248B">
        <w:rPr>
          <w:rFonts w:cs="Arial"/>
          <w:b/>
          <w:sz w:val="28"/>
          <w:szCs w:val="28"/>
        </w:rPr>
        <w:t>P</w:t>
      </w:r>
      <w:r>
        <w:rPr>
          <w:rFonts w:cs="Arial"/>
          <w:b/>
          <w:sz w:val="28"/>
          <w:szCs w:val="28"/>
        </w:rPr>
        <w:t xml:space="preserve">rovision </w:t>
      </w:r>
      <w:r w:rsidRPr="002B2C2A">
        <w:rPr>
          <w:rFonts w:cs="Arial"/>
          <w:b/>
          <w:sz w:val="28"/>
          <w:szCs w:val="28"/>
        </w:rPr>
        <w:t xml:space="preserve">of </w:t>
      </w:r>
      <w:r w:rsidR="002B2C2A" w:rsidRPr="002B2C2A">
        <w:rPr>
          <w:rFonts w:cs="Arial"/>
          <w:b/>
          <w:sz w:val="28"/>
          <w:szCs w:val="28"/>
        </w:rPr>
        <w:t xml:space="preserve">Consultancy Support </w:t>
      </w:r>
    </w:p>
    <w:p w14:paraId="7DA1E8F8" w14:textId="3489CA57" w:rsidR="00016004" w:rsidRPr="002B2C2A" w:rsidRDefault="002B2C2A" w:rsidP="00016004">
      <w:pPr>
        <w:jc w:val="center"/>
        <w:rPr>
          <w:rFonts w:cs="Arial"/>
          <w:b/>
          <w:sz w:val="28"/>
          <w:szCs w:val="28"/>
        </w:rPr>
      </w:pPr>
      <w:r w:rsidRPr="002B2C2A">
        <w:rPr>
          <w:rFonts w:cs="Arial"/>
          <w:b/>
          <w:sz w:val="28"/>
          <w:szCs w:val="28"/>
        </w:rPr>
        <w:t>Regarding Geospatial Data</w:t>
      </w:r>
    </w:p>
    <w:p w14:paraId="47736376" w14:textId="0B6A2895" w:rsidR="00016004" w:rsidRDefault="001518F8" w:rsidP="00016004">
      <w:pPr>
        <w:jc w:val="center"/>
        <w:rPr>
          <w:rFonts w:cs="Arial"/>
          <w:b/>
          <w:sz w:val="28"/>
          <w:szCs w:val="28"/>
        </w:rPr>
      </w:pPr>
      <w:r>
        <w:rPr>
          <w:rFonts w:cs="Arial"/>
          <w:b/>
          <w:sz w:val="28"/>
          <w:szCs w:val="28"/>
        </w:rPr>
        <w:t xml:space="preserve">From </w:t>
      </w:r>
    </w:p>
    <w:p w14:paraId="47C4789D" w14:textId="77777777" w:rsidR="001518F8" w:rsidRPr="0059248B" w:rsidRDefault="001518F8" w:rsidP="00016004">
      <w:pPr>
        <w:jc w:val="center"/>
        <w:rPr>
          <w:rFonts w:cs="Arial"/>
          <w:b/>
          <w:sz w:val="28"/>
          <w:szCs w:val="28"/>
        </w:rPr>
      </w:pPr>
    </w:p>
    <w:p w14:paraId="231C6011" w14:textId="1044D534" w:rsidR="00016004" w:rsidRDefault="002B2C2A" w:rsidP="00016004">
      <w:pPr>
        <w:jc w:val="center"/>
        <w:rPr>
          <w:rFonts w:cs="Arial"/>
          <w:b/>
          <w:sz w:val="28"/>
          <w:szCs w:val="28"/>
        </w:rPr>
      </w:pPr>
      <w:r>
        <w:rPr>
          <w:rFonts w:cs="Arial"/>
          <w:b/>
          <w:sz w:val="28"/>
          <w:szCs w:val="28"/>
        </w:rPr>
        <w:t>UK Government Investment (UKGI) Limited</w:t>
      </w:r>
    </w:p>
    <w:p w14:paraId="3F71EAAD" w14:textId="7F3F22CC" w:rsidR="002B2C2A" w:rsidRDefault="002B2C2A" w:rsidP="00016004">
      <w:pPr>
        <w:jc w:val="center"/>
        <w:rPr>
          <w:rFonts w:cs="Arial"/>
          <w:b/>
          <w:sz w:val="28"/>
          <w:szCs w:val="28"/>
        </w:rPr>
      </w:pPr>
      <w:r>
        <w:rPr>
          <w:rFonts w:cs="Arial"/>
          <w:b/>
          <w:sz w:val="28"/>
          <w:szCs w:val="28"/>
        </w:rPr>
        <w:t>Executive Agency of</w:t>
      </w:r>
    </w:p>
    <w:p w14:paraId="3BB3E403" w14:textId="3426F8E7" w:rsidR="002B2C2A" w:rsidRDefault="002B2C2A" w:rsidP="00016004">
      <w:pPr>
        <w:jc w:val="center"/>
        <w:rPr>
          <w:rFonts w:cs="Arial"/>
          <w:b/>
          <w:sz w:val="28"/>
          <w:szCs w:val="28"/>
        </w:rPr>
      </w:pPr>
      <w:r>
        <w:rPr>
          <w:rFonts w:cs="Arial"/>
          <w:b/>
          <w:sz w:val="28"/>
          <w:szCs w:val="28"/>
        </w:rPr>
        <w:t>HM Treasury (HMT)</w:t>
      </w:r>
    </w:p>
    <w:p w14:paraId="0BEBBB0D" w14:textId="77777777" w:rsidR="001518F8" w:rsidRDefault="001518F8" w:rsidP="00016004">
      <w:pPr>
        <w:jc w:val="center"/>
        <w:rPr>
          <w:rFonts w:cs="Arial"/>
          <w:b/>
          <w:sz w:val="28"/>
          <w:szCs w:val="28"/>
        </w:rPr>
      </w:pPr>
    </w:p>
    <w:p w14:paraId="0D497DB2" w14:textId="4D300F36" w:rsidR="001518F8" w:rsidRPr="0059248B" w:rsidRDefault="001518F8" w:rsidP="001518F8">
      <w:pPr>
        <w:jc w:val="center"/>
        <w:rPr>
          <w:rFonts w:cs="Arial"/>
          <w:b/>
          <w:sz w:val="28"/>
          <w:szCs w:val="28"/>
        </w:rPr>
      </w:pPr>
      <w:r>
        <w:rPr>
          <w:rFonts w:cs="Arial"/>
          <w:b/>
          <w:sz w:val="28"/>
          <w:szCs w:val="28"/>
        </w:rPr>
        <w:t>To</w:t>
      </w:r>
    </w:p>
    <w:p w14:paraId="6D7393D9" w14:textId="77777777" w:rsidR="001518F8" w:rsidRDefault="001518F8" w:rsidP="00016004">
      <w:pPr>
        <w:jc w:val="center"/>
        <w:rPr>
          <w:rFonts w:cs="Arial"/>
          <w:b/>
          <w:sz w:val="28"/>
          <w:szCs w:val="28"/>
        </w:rPr>
      </w:pPr>
    </w:p>
    <w:p w14:paraId="5767D4E7" w14:textId="36B84DFB" w:rsidR="001518F8" w:rsidRPr="0059248B" w:rsidRDefault="006C5888" w:rsidP="00016004">
      <w:pPr>
        <w:jc w:val="center"/>
        <w:rPr>
          <w:rFonts w:cs="Arial"/>
          <w:b/>
          <w:sz w:val="28"/>
          <w:szCs w:val="28"/>
        </w:rPr>
      </w:pPr>
      <w:r>
        <w:rPr>
          <w:rFonts w:cs="Arial"/>
          <w:b/>
          <w:sz w:val="28"/>
          <w:szCs w:val="28"/>
        </w:rPr>
        <w:t>The Boston Consulting Group</w:t>
      </w:r>
      <w:r w:rsidR="001518F8">
        <w:rPr>
          <w:rFonts w:cs="Arial"/>
          <w:b/>
          <w:sz w:val="28"/>
          <w:szCs w:val="28"/>
        </w:rPr>
        <w:t xml:space="preserve"> </w:t>
      </w:r>
    </w:p>
    <w:p w14:paraId="7ACC95FD" w14:textId="77777777" w:rsidR="00016004" w:rsidRPr="0059248B" w:rsidRDefault="00016004" w:rsidP="00016004">
      <w:pPr>
        <w:jc w:val="center"/>
        <w:rPr>
          <w:rFonts w:cs="Arial"/>
          <w:sz w:val="28"/>
          <w:szCs w:val="28"/>
        </w:rPr>
      </w:pPr>
    </w:p>
    <w:p w14:paraId="15A30306" w14:textId="61D9651E" w:rsidR="00016004" w:rsidRPr="0059248B" w:rsidRDefault="002B2C2A" w:rsidP="00016004">
      <w:pPr>
        <w:jc w:val="center"/>
        <w:rPr>
          <w:rFonts w:cs="Arial"/>
          <w:sz w:val="28"/>
          <w:szCs w:val="28"/>
        </w:rPr>
      </w:pPr>
      <w:r>
        <w:rPr>
          <w:rFonts w:cs="Arial"/>
          <w:b/>
          <w:sz w:val="28"/>
          <w:szCs w:val="28"/>
        </w:rPr>
        <w:t>Contract Reference: CCCC17A74</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lastRenderedPageBreak/>
        <w:t>Table of Contents</w:t>
      </w:r>
    </w:p>
    <w:p w14:paraId="33ED97BA" w14:textId="77777777" w:rsidR="00016004" w:rsidRPr="00883724" w:rsidRDefault="00016004" w:rsidP="00016004">
      <w:pPr>
        <w:rPr>
          <w:b/>
          <w:lang w:val="en-US" w:eastAsia="ja-JP"/>
        </w:rPr>
      </w:pPr>
    </w:p>
    <w:p w14:paraId="3CE2954F" w14:textId="31BFC185" w:rsidR="00016004" w:rsidRPr="002B2C2A" w:rsidRDefault="00016004" w:rsidP="00016004">
      <w:pPr>
        <w:pStyle w:val="TOC1"/>
        <w:tabs>
          <w:tab w:val="right" w:leader="dot" w:pos="9506"/>
        </w:tabs>
        <w:outlineLvl w:val="0"/>
        <w:rPr>
          <w:rFonts w:cs="Arial"/>
          <w:b/>
          <w:bCs/>
          <w:szCs w:val="22"/>
        </w:rPr>
      </w:pPr>
      <w:r w:rsidRPr="002B2C2A">
        <w:rPr>
          <w:rFonts w:cs="Arial"/>
          <w:b/>
          <w:bCs/>
          <w:szCs w:val="22"/>
        </w:rPr>
        <w:t xml:space="preserve">PART </w:t>
      </w:r>
      <w:r w:rsidR="006C5888">
        <w:rPr>
          <w:rFonts w:cs="Arial"/>
          <w:b/>
          <w:bCs/>
          <w:szCs w:val="22"/>
        </w:rPr>
        <w:t>1 APPENDIX 1 CONTRACT SERVICES</w:t>
      </w:r>
      <w:r w:rsidR="006C5888">
        <w:rPr>
          <w:rFonts w:cs="Arial"/>
          <w:b/>
          <w:bCs/>
          <w:szCs w:val="22"/>
        </w:rPr>
        <w:tab/>
        <w:t>4</w:t>
      </w:r>
    </w:p>
    <w:p w14:paraId="5B86D043" w14:textId="748BB7A1" w:rsidR="00016004" w:rsidRPr="002B2C2A" w:rsidRDefault="00016004" w:rsidP="00016004">
      <w:pPr>
        <w:pStyle w:val="TOC1"/>
        <w:tabs>
          <w:tab w:val="right" w:leader="dot" w:pos="9506"/>
        </w:tabs>
        <w:outlineLvl w:val="0"/>
        <w:rPr>
          <w:rFonts w:cs="Arial"/>
          <w:b/>
          <w:bCs/>
          <w:szCs w:val="22"/>
        </w:rPr>
      </w:pPr>
      <w:r w:rsidRPr="002B2C2A">
        <w:rPr>
          <w:rFonts w:cs="Arial"/>
          <w:b/>
          <w:bCs/>
          <w:szCs w:val="22"/>
        </w:rPr>
        <w:t>pART 1 APPENDI</w:t>
      </w:r>
      <w:r w:rsidR="006C5888">
        <w:rPr>
          <w:rFonts w:cs="Arial"/>
          <w:b/>
          <w:bCs/>
          <w:szCs w:val="22"/>
        </w:rPr>
        <w:t xml:space="preserve">X 2 TENDER RESPONSE &amp; CHARGES </w:t>
      </w:r>
      <w:r w:rsidR="006C5888">
        <w:rPr>
          <w:rFonts w:cs="Arial"/>
          <w:b/>
          <w:bCs/>
          <w:szCs w:val="22"/>
        </w:rPr>
        <w:tab/>
        <w:t>9</w:t>
      </w:r>
    </w:p>
    <w:p w14:paraId="5DF08F00" w14:textId="4CB4A79F" w:rsidR="00016004" w:rsidRPr="002B2C2A"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2B2C2A">
        <w:rPr>
          <w:rFonts w:cs="Arial"/>
          <w:b/>
          <w:bCs/>
          <w:szCs w:val="22"/>
        </w:rPr>
        <w:t>pART 1 APPENDIX 3 Variations/Supplements to call off Terms……....</w:t>
      </w:r>
      <w:r w:rsidR="00701CB8" w:rsidRPr="002B2C2A">
        <w:rPr>
          <w:rFonts w:cs="Arial"/>
          <w:b/>
          <w:bCs/>
          <w:szCs w:val="22"/>
        </w:rPr>
        <w:t>.</w:t>
      </w:r>
      <w:r w:rsidR="006C5888">
        <w:rPr>
          <w:rFonts w:cs="Arial"/>
          <w:b/>
          <w:bCs/>
          <w:szCs w:val="22"/>
        </w:rPr>
        <w:t>..11</w:t>
      </w:r>
    </w:p>
    <w:p w14:paraId="70AAEC15" w14:textId="77777777" w:rsidR="00016004" w:rsidRPr="002B2C2A" w:rsidRDefault="00016004" w:rsidP="00016004">
      <w:pPr>
        <w:pStyle w:val="TOC1"/>
        <w:tabs>
          <w:tab w:val="right" w:leader="dot" w:pos="9506"/>
        </w:tabs>
        <w:outlineLvl w:val="0"/>
        <w:rPr>
          <w:rFonts w:cs="Arial"/>
          <w:b/>
          <w:sz w:val="28"/>
          <w:szCs w:val="28"/>
        </w:rPr>
      </w:pPr>
      <w:r w:rsidRPr="002B2C2A">
        <w:rPr>
          <w:rFonts w:cs="Arial"/>
          <w:b/>
          <w:bCs/>
          <w:szCs w:val="22"/>
        </w:rPr>
        <w:t>pART 2 CALL OFF TERMS</w:t>
      </w:r>
      <w:r w:rsidRPr="002B2C2A">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5794677B" w14:textId="77777777" w:rsidR="006C5888" w:rsidRDefault="006C5888" w:rsidP="00701CB8">
      <w:pPr>
        <w:pStyle w:val="MarginText"/>
        <w:jc w:val="center"/>
        <w:rPr>
          <w:rFonts w:cs="Arial"/>
          <w:b/>
          <w:sz w:val="28"/>
          <w:szCs w:val="28"/>
        </w:rPr>
      </w:pPr>
    </w:p>
    <w:p w14:paraId="7352B698" w14:textId="77777777" w:rsidR="006C5888" w:rsidRDefault="006C5888" w:rsidP="00701CB8">
      <w:pPr>
        <w:pStyle w:val="MarginText"/>
        <w:jc w:val="center"/>
        <w:rPr>
          <w:rFonts w:cs="Arial"/>
          <w:b/>
          <w:sz w:val="28"/>
          <w:szCs w:val="28"/>
        </w:rPr>
      </w:pPr>
    </w:p>
    <w:p w14:paraId="4733C80D" w14:textId="77777777" w:rsidR="006C5888" w:rsidRDefault="006C5888" w:rsidP="00701CB8">
      <w:pPr>
        <w:pStyle w:val="MarginText"/>
        <w:jc w:val="center"/>
        <w:rPr>
          <w:rFonts w:cs="Arial"/>
          <w:b/>
          <w:sz w:val="28"/>
          <w:szCs w:val="28"/>
        </w:rPr>
      </w:pPr>
    </w:p>
    <w:p w14:paraId="288E64AE" w14:textId="77777777" w:rsidR="006C5888" w:rsidRDefault="006C5888" w:rsidP="00701CB8">
      <w:pPr>
        <w:pStyle w:val="MarginText"/>
        <w:jc w:val="center"/>
        <w:rPr>
          <w:rFonts w:cs="Arial"/>
          <w:b/>
          <w:sz w:val="28"/>
          <w:szCs w:val="28"/>
        </w:rPr>
      </w:pPr>
    </w:p>
    <w:p w14:paraId="79B92566" w14:textId="77777777" w:rsidR="006C5888" w:rsidRDefault="006C5888" w:rsidP="00701CB8">
      <w:pPr>
        <w:pStyle w:val="MarginText"/>
        <w:jc w:val="center"/>
        <w:rPr>
          <w:rFonts w:cs="Arial"/>
          <w:b/>
          <w:sz w:val="28"/>
          <w:szCs w:val="28"/>
        </w:rPr>
      </w:pPr>
    </w:p>
    <w:p w14:paraId="4EDCB11D" w14:textId="77777777" w:rsidR="006C5888" w:rsidRDefault="006C588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F870DF3" w14:textId="77777777" w:rsidR="00701CB8" w:rsidRPr="008335FE" w:rsidRDefault="00701CB8" w:rsidP="00701CB8">
      <w:pPr>
        <w:pStyle w:val="MarginText"/>
        <w:jc w:val="center"/>
        <w:rPr>
          <w:b/>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0252FB88" w14:textId="77777777" w:rsidR="008A1658" w:rsidRDefault="008A1658" w:rsidP="00701CB8">
      <w:pPr>
        <w:pStyle w:val="MarginText"/>
        <w:jc w:val="left"/>
        <w:rPr>
          <w:rFonts w:cs="Arial"/>
          <w:b/>
          <w:szCs w:val="22"/>
        </w:rPr>
      </w:pPr>
    </w:p>
    <w:p w14:paraId="4488465B" w14:textId="338388C1" w:rsidR="008A1658" w:rsidRDefault="006C5888" w:rsidP="00701CB8">
      <w:pPr>
        <w:pStyle w:val="MarginText"/>
        <w:jc w:val="left"/>
        <w:rPr>
          <w:rFonts w:cs="Arial"/>
          <w:b/>
          <w:szCs w:val="22"/>
        </w:rPr>
      </w:pPr>
      <w:r w:rsidRPr="00AE5A0F">
        <w:rPr>
          <w:rFonts w:cs="Arial"/>
          <w:b/>
          <w:szCs w:val="22"/>
        </w:rPr>
        <w:t xml:space="preserve">Appendix </w:t>
      </w:r>
      <w:r>
        <w:rPr>
          <w:rFonts w:cs="Arial"/>
          <w:b/>
          <w:szCs w:val="22"/>
        </w:rPr>
        <w:t>1: Contract Services</w:t>
      </w:r>
    </w:p>
    <w:p w14:paraId="21F1D06F" w14:textId="593DD0E3" w:rsidR="00701CB8" w:rsidRDefault="00701CB8" w:rsidP="00701CB8">
      <w:pPr>
        <w:pStyle w:val="MarginText"/>
        <w:jc w:val="left"/>
        <w:rPr>
          <w:rFonts w:cs="Arial"/>
          <w:b/>
          <w:szCs w:val="22"/>
        </w:rPr>
      </w:pP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701CB8">
        <w:tc>
          <w:tcPr>
            <w:tcW w:w="9209" w:type="dxa"/>
          </w:tcPr>
          <w:p w14:paraId="264275D6" w14:textId="77777777" w:rsidR="00701CB8" w:rsidRPr="00D15B22" w:rsidRDefault="00701CB8" w:rsidP="00701CB8">
            <w:pPr>
              <w:widowControl w:val="0"/>
              <w:numPr>
                <w:ilvl w:val="1"/>
                <w:numId w:val="21"/>
              </w:numPr>
              <w:spacing w:line="240" w:lineRule="auto"/>
              <w:rPr>
                <w:rFonts w:cs="Arial"/>
                <w:b/>
                <w:sz w:val="20"/>
              </w:rPr>
            </w:pPr>
            <w:r w:rsidRPr="00D15B22">
              <w:rPr>
                <w:rFonts w:cs="Arial"/>
                <w:b/>
                <w:sz w:val="20"/>
              </w:rPr>
              <w:t>Effective Date</w:t>
            </w:r>
          </w:p>
          <w:p w14:paraId="08394096" w14:textId="54D8FAB3" w:rsidR="00701CB8" w:rsidRPr="00D15B22" w:rsidRDefault="00701CB8" w:rsidP="001C3CB3">
            <w:pPr>
              <w:widowControl w:val="0"/>
              <w:spacing w:line="240" w:lineRule="auto"/>
              <w:rPr>
                <w:rFonts w:cs="Arial"/>
                <w:sz w:val="20"/>
              </w:rPr>
            </w:pPr>
            <w:r w:rsidRPr="00D15B22">
              <w:rPr>
                <w:rFonts w:cs="Arial"/>
                <w:sz w:val="20"/>
              </w:rPr>
              <w:t>1.1.1</w:t>
            </w:r>
            <w:r w:rsidR="001C3CB3">
              <w:rPr>
                <w:rFonts w:cs="Arial"/>
                <w:b/>
                <w:sz w:val="20"/>
              </w:rPr>
              <w:t xml:space="preserve"> </w:t>
            </w:r>
            <w:r w:rsidRPr="00D15B22">
              <w:rPr>
                <w:rFonts w:cs="Arial"/>
                <w:sz w:val="20"/>
              </w:rPr>
              <w:t xml:space="preserve">This Contract shall commence on </w:t>
            </w:r>
            <w:r w:rsidR="001C3CB3">
              <w:rPr>
                <w:rFonts w:cs="Arial"/>
                <w:sz w:val="20"/>
              </w:rPr>
              <w:t>7</w:t>
            </w:r>
            <w:r w:rsidR="001C3CB3" w:rsidRPr="001C3CB3">
              <w:rPr>
                <w:rFonts w:cs="Arial"/>
                <w:sz w:val="20"/>
                <w:vertAlign w:val="superscript"/>
              </w:rPr>
              <w:t>th</w:t>
            </w:r>
            <w:r w:rsidR="001C3CB3">
              <w:rPr>
                <w:rFonts w:cs="Arial"/>
                <w:sz w:val="20"/>
              </w:rPr>
              <w:t xml:space="preserve"> September</w:t>
            </w:r>
            <w:r w:rsidR="001518F8">
              <w:rPr>
                <w:rFonts w:cs="Arial"/>
                <w:sz w:val="20"/>
              </w:rPr>
              <w:t xml:space="preserve"> 2017</w:t>
            </w:r>
            <w:r w:rsidR="001C3CB3">
              <w:rPr>
                <w:rFonts w:cs="Arial"/>
                <w:sz w:val="20"/>
              </w:rPr>
              <w:t>.</w:t>
            </w:r>
          </w:p>
        </w:tc>
      </w:tr>
      <w:tr w:rsidR="00701CB8" w:rsidRPr="005E64BF" w14:paraId="1FC34CEF" w14:textId="77777777" w:rsidTr="00701CB8">
        <w:tc>
          <w:tcPr>
            <w:tcW w:w="9209" w:type="dxa"/>
          </w:tcPr>
          <w:p w14:paraId="264B3241" w14:textId="77777777" w:rsidR="00701CB8" w:rsidRPr="005E64BF" w:rsidRDefault="00701CB8" w:rsidP="00701CB8">
            <w:pPr>
              <w:widowControl w:val="0"/>
              <w:spacing w:line="240" w:lineRule="auto"/>
              <w:rPr>
                <w:rFonts w:cs="Arial"/>
                <w:b/>
                <w:sz w:val="20"/>
              </w:rPr>
            </w:pPr>
            <w:r w:rsidRPr="005E64BF">
              <w:rPr>
                <w:rFonts w:cs="Arial"/>
                <w:b/>
                <w:sz w:val="20"/>
              </w:rPr>
              <w:t>1.2 Expiry Date</w:t>
            </w:r>
          </w:p>
          <w:p w14:paraId="2DD3AD86" w14:textId="32BD08EC" w:rsidR="00701CB8" w:rsidRDefault="00701CB8" w:rsidP="00701CB8">
            <w:pPr>
              <w:widowControl w:val="0"/>
              <w:spacing w:line="240" w:lineRule="auto"/>
              <w:rPr>
                <w:rFonts w:cs="Arial"/>
                <w:sz w:val="20"/>
              </w:rPr>
            </w:pPr>
            <w:r w:rsidRPr="005E64BF">
              <w:rPr>
                <w:rFonts w:cs="Arial"/>
                <w:sz w:val="20"/>
              </w:rPr>
              <w:t xml:space="preserve">1.2.1 This Contract shall expire </w:t>
            </w:r>
            <w:r w:rsidRPr="00D15B22">
              <w:rPr>
                <w:rFonts w:cs="Arial"/>
                <w:sz w:val="20"/>
              </w:rPr>
              <w:t xml:space="preserve">on </w:t>
            </w:r>
            <w:r w:rsidR="001C3CB3">
              <w:rPr>
                <w:rFonts w:cs="Arial"/>
                <w:sz w:val="20"/>
              </w:rPr>
              <w:t>16</w:t>
            </w:r>
            <w:r w:rsidR="001C3CB3" w:rsidRPr="001C3CB3">
              <w:rPr>
                <w:rFonts w:cs="Arial"/>
                <w:sz w:val="20"/>
                <w:vertAlign w:val="superscript"/>
              </w:rPr>
              <w:t>th</w:t>
            </w:r>
            <w:r w:rsidR="001C3CB3">
              <w:rPr>
                <w:rFonts w:cs="Arial"/>
                <w:sz w:val="20"/>
              </w:rPr>
              <w:t xml:space="preserve"> </w:t>
            </w:r>
            <w:r w:rsidR="006B1333">
              <w:rPr>
                <w:rFonts w:cs="Arial"/>
                <w:sz w:val="20"/>
              </w:rPr>
              <w:t>November</w:t>
            </w:r>
            <w:r w:rsidR="001518F8">
              <w:rPr>
                <w:rFonts w:cs="Arial"/>
                <w:sz w:val="20"/>
              </w:rPr>
              <w:t xml:space="preserve"> 2017</w:t>
            </w:r>
            <w:r w:rsidR="00EC63AD" w:rsidRPr="00D15B22">
              <w:rPr>
                <w:sz w:val="20"/>
              </w:rPr>
              <w:t xml:space="preserve"> with</w:t>
            </w:r>
            <w:r w:rsidR="00EC63AD">
              <w:rPr>
                <w:sz w:val="20"/>
              </w:rPr>
              <w:t xml:space="preserve"> a possible two</w:t>
            </w:r>
            <w:r w:rsidR="001518F8">
              <w:rPr>
                <w:sz w:val="20"/>
              </w:rPr>
              <w:t xml:space="preserve"> (2)</w:t>
            </w:r>
            <w:r w:rsidR="00EC63AD">
              <w:rPr>
                <w:sz w:val="20"/>
              </w:rPr>
              <w:t xml:space="preserve"> week </w:t>
            </w:r>
            <w:r w:rsidR="00D15B22">
              <w:rPr>
                <w:sz w:val="20"/>
              </w:rPr>
              <w:t xml:space="preserve">time only </w:t>
            </w:r>
            <w:r w:rsidR="00EC63AD">
              <w:rPr>
                <w:sz w:val="20"/>
              </w:rPr>
              <w:t xml:space="preserve">extension. </w:t>
            </w:r>
          </w:p>
          <w:p w14:paraId="2B4C0E0A" w14:textId="77777777" w:rsidR="00701CB8" w:rsidRPr="005E64BF" w:rsidRDefault="00701CB8" w:rsidP="001518F8">
            <w:pPr>
              <w:widowControl w:val="0"/>
              <w:spacing w:line="240" w:lineRule="auto"/>
              <w:ind w:left="29" w:hanging="29"/>
              <w:rPr>
                <w:rFonts w:cs="Arial"/>
                <w:sz w:val="20"/>
              </w:rPr>
            </w:pPr>
            <w:r w:rsidRPr="005E64BF">
              <w:rPr>
                <w:rFonts w:cs="Arial"/>
                <w:sz w:val="20"/>
              </w:rPr>
              <w:t xml:space="preserve">Completion </w:t>
            </w:r>
            <w:r>
              <w:rPr>
                <w:rFonts w:cs="Arial"/>
                <w:sz w:val="20"/>
              </w:rPr>
              <w:t xml:space="preserve">in accordance with the terms of the Contract, of the Contract Services </w:t>
            </w:r>
            <w:r w:rsidRPr="005E64BF">
              <w:rPr>
                <w:rFonts w:cs="Arial"/>
                <w:sz w:val="20"/>
              </w:rPr>
              <w:t xml:space="preserve">specified in this </w:t>
            </w:r>
            <w:r>
              <w:rPr>
                <w:rFonts w:cs="Arial"/>
                <w:sz w:val="20"/>
              </w:rPr>
              <w:t>Appendix 1 u</w:t>
            </w:r>
            <w:r w:rsidRPr="005E64BF">
              <w:rPr>
                <w:rFonts w:cs="Arial"/>
                <w:sz w:val="20"/>
              </w:rPr>
              <w:t xml:space="preserve">nless terminated earlier pursuant to this Contract. </w:t>
            </w:r>
          </w:p>
        </w:tc>
      </w:tr>
    </w:tbl>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4307ED3A" w14:textId="639CBCF0" w:rsidR="00F607F1" w:rsidRDefault="00212002" w:rsidP="00972A13">
            <w:pPr>
              <w:pStyle w:val="Heading1"/>
            </w:pPr>
            <w:r w:rsidRPr="00EC63AD">
              <w:t>Services Required</w:t>
            </w:r>
          </w:p>
          <w:p w14:paraId="2CE09C92" w14:textId="77777777" w:rsidR="00336F6B" w:rsidRPr="00F27954" w:rsidRDefault="00336F6B" w:rsidP="00E74166">
            <w:pPr>
              <w:pStyle w:val="Heading2"/>
              <w:numPr>
                <w:ilvl w:val="0"/>
                <w:numId w:val="0"/>
              </w:numPr>
              <w:rPr>
                <w:szCs w:val="22"/>
              </w:rPr>
            </w:pPr>
            <w:r w:rsidRPr="00F27954">
              <w:rPr>
                <w:szCs w:val="22"/>
              </w:rPr>
              <w:t xml:space="preserve">The </w:t>
            </w:r>
            <w:r>
              <w:rPr>
                <w:szCs w:val="22"/>
              </w:rPr>
              <w:t xml:space="preserve">Potential Provider </w:t>
            </w:r>
            <w:r w:rsidRPr="00F27954">
              <w:rPr>
                <w:szCs w:val="22"/>
              </w:rPr>
              <w:t xml:space="preserve">will work as part of a joint team on a high profile and high pace piece of work at the heart of Government. The </w:t>
            </w:r>
            <w:r>
              <w:rPr>
                <w:szCs w:val="22"/>
              </w:rPr>
              <w:t xml:space="preserve">Potential Provider </w:t>
            </w:r>
            <w:r w:rsidRPr="00F27954">
              <w:rPr>
                <w:szCs w:val="22"/>
              </w:rPr>
              <w:t xml:space="preserve">will be asked to both lead work, support work and operate as part of a ‘blended’ team comprising of Civil Servants from across a number of Departments. </w:t>
            </w:r>
          </w:p>
          <w:p w14:paraId="3FE360E2" w14:textId="36386794" w:rsidR="00336F6B" w:rsidRDefault="00336F6B" w:rsidP="00E74166">
            <w:pPr>
              <w:pStyle w:val="Heading2"/>
              <w:numPr>
                <w:ilvl w:val="0"/>
                <w:numId w:val="0"/>
              </w:numPr>
              <w:rPr>
                <w:szCs w:val="22"/>
              </w:rPr>
            </w:pPr>
            <w:r w:rsidRPr="00C07B35">
              <w:rPr>
                <w:szCs w:val="22"/>
              </w:rPr>
              <w:t xml:space="preserve">You will be working for </w:t>
            </w:r>
            <w:r w:rsidR="00B83F75" w:rsidRPr="00944D63">
              <w:rPr>
                <w:rFonts w:cs="Arial"/>
                <w:b/>
              </w:rPr>
              <w:t>[Redacted]</w:t>
            </w:r>
            <w:r w:rsidRPr="00C07B35">
              <w:rPr>
                <w:szCs w:val="22"/>
              </w:rPr>
              <w:t xml:space="preserve">, Chief Executive of the Civil Service, but will report to </w:t>
            </w:r>
            <w:r w:rsidR="00B83F75" w:rsidRPr="00944D63">
              <w:rPr>
                <w:rFonts w:cs="Arial"/>
                <w:b/>
              </w:rPr>
              <w:t>[Redacted]</w:t>
            </w:r>
            <w:r>
              <w:rPr>
                <w:szCs w:val="22"/>
              </w:rPr>
              <w:t xml:space="preserve"> at UKGI</w:t>
            </w:r>
            <w:r w:rsidRPr="00C07B35">
              <w:rPr>
                <w:szCs w:val="22"/>
              </w:rPr>
              <w:t>, the overall project lead, on a day to day basis. Finished papers will be required and reviewed at the mid-point and end of the project by a Steering Board comprising senior officials from across Whitehall.</w:t>
            </w:r>
          </w:p>
          <w:p w14:paraId="1108A1C2" w14:textId="77777777" w:rsidR="00336F6B" w:rsidRPr="005731B7" w:rsidRDefault="00336F6B" w:rsidP="00E74166">
            <w:pPr>
              <w:pStyle w:val="Heading2"/>
              <w:numPr>
                <w:ilvl w:val="0"/>
                <w:numId w:val="0"/>
              </w:numPr>
              <w:overflowPunct w:val="0"/>
              <w:autoSpaceDE w:val="0"/>
              <w:autoSpaceDN w:val="0"/>
              <w:spacing w:after="120"/>
              <w:ind w:left="-11"/>
              <w:textAlignment w:val="baseline"/>
              <w:rPr>
                <w:szCs w:val="22"/>
              </w:rPr>
            </w:pPr>
            <w:r w:rsidRPr="005731B7">
              <w:rPr>
                <w:szCs w:val="22"/>
              </w:rPr>
              <w:t>Any potential provider would need to have:</w:t>
            </w:r>
          </w:p>
          <w:p w14:paraId="13325949" w14:textId="77777777" w:rsidR="00336F6B" w:rsidRPr="005731B7" w:rsidRDefault="00336F6B" w:rsidP="00E74166">
            <w:pPr>
              <w:pStyle w:val="Heading3"/>
              <w:numPr>
                <w:ilvl w:val="2"/>
                <w:numId w:val="34"/>
              </w:numPr>
              <w:ind w:left="1080"/>
              <w:rPr>
                <w:szCs w:val="22"/>
              </w:rPr>
            </w:pPr>
            <w:r w:rsidRPr="005731B7">
              <w:t>understanding of the digital economy;</w:t>
            </w:r>
          </w:p>
          <w:p w14:paraId="0D97F5C7" w14:textId="77777777" w:rsidR="00336F6B" w:rsidRPr="005731B7" w:rsidRDefault="00336F6B" w:rsidP="00E74166">
            <w:pPr>
              <w:pStyle w:val="Heading3"/>
              <w:numPr>
                <w:ilvl w:val="2"/>
                <w:numId w:val="34"/>
              </w:numPr>
              <w:ind w:left="1080"/>
              <w:rPr>
                <w:szCs w:val="22"/>
              </w:rPr>
            </w:pPr>
            <w:r w:rsidRPr="005731B7">
              <w:rPr>
                <w:szCs w:val="22"/>
              </w:rPr>
              <w:t>understanding of issues around data;</w:t>
            </w:r>
          </w:p>
          <w:p w14:paraId="19BC85DF" w14:textId="77777777" w:rsidR="00336F6B" w:rsidRPr="005731B7" w:rsidRDefault="00336F6B" w:rsidP="00E74166">
            <w:pPr>
              <w:pStyle w:val="Heading3"/>
              <w:numPr>
                <w:ilvl w:val="2"/>
                <w:numId w:val="34"/>
              </w:numPr>
              <w:ind w:left="1080"/>
              <w:rPr>
                <w:szCs w:val="22"/>
              </w:rPr>
            </w:pPr>
            <w:r w:rsidRPr="005731B7">
              <w:rPr>
                <w:szCs w:val="22"/>
              </w:rPr>
              <w:t>understanding of organisational merger and transformation;</w:t>
            </w:r>
            <w:r>
              <w:rPr>
                <w:szCs w:val="22"/>
              </w:rPr>
              <w:t xml:space="preserve"> and</w:t>
            </w:r>
          </w:p>
          <w:p w14:paraId="706886CA" w14:textId="77777777" w:rsidR="00336F6B" w:rsidRDefault="00336F6B" w:rsidP="00E74166">
            <w:pPr>
              <w:pStyle w:val="Heading3"/>
              <w:numPr>
                <w:ilvl w:val="2"/>
                <w:numId w:val="34"/>
              </w:numPr>
              <w:ind w:left="1080"/>
              <w:rPr>
                <w:szCs w:val="22"/>
              </w:rPr>
            </w:pPr>
            <w:r>
              <w:rPr>
                <w:szCs w:val="22"/>
              </w:rPr>
              <w:t>a</w:t>
            </w:r>
            <w:r w:rsidRPr="005731B7">
              <w:rPr>
                <w:szCs w:val="22"/>
              </w:rPr>
              <w:t xml:space="preserve">n ability to work in a </w:t>
            </w:r>
            <w:r>
              <w:rPr>
                <w:szCs w:val="22"/>
              </w:rPr>
              <w:t>cross-</w:t>
            </w:r>
            <w:r w:rsidRPr="005731B7">
              <w:rPr>
                <w:szCs w:val="22"/>
              </w:rPr>
              <w:t>Whitehall environment</w:t>
            </w:r>
            <w:r>
              <w:rPr>
                <w:szCs w:val="22"/>
              </w:rPr>
              <w:t>.</w:t>
            </w:r>
          </w:p>
          <w:p w14:paraId="7507D7DC" w14:textId="77777777" w:rsidR="00336F6B" w:rsidRPr="00835C81" w:rsidRDefault="00336F6B" w:rsidP="00E74166">
            <w:pPr>
              <w:pStyle w:val="Heading2"/>
              <w:numPr>
                <w:ilvl w:val="0"/>
                <w:numId w:val="0"/>
              </w:numPr>
              <w:rPr>
                <w:color w:val="000000" w:themeColor="text1"/>
              </w:rPr>
            </w:pPr>
            <w:r w:rsidRPr="00835C81">
              <w:rPr>
                <w:color w:val="000000" w:themeColor="text1"/>
              </w:rPr>
              <w:t>There are two phases to this project, which cover: case studies; issues and options including options assessment; possible organisational structures; and possible objectives and projects.</w:t>
            </w:r>
            <w:r w:rsidRPr="00835C81">
              <w:rPr>
                <w:rStyle w:val="CommentReference"/>
                <w:rFonts w:eastAsia="SimSun"/>
                <w:color w:val="000000" w:themeColor="text1"/>
              </w:rPr>
              <w:t xml:space="preserve"> </w:t>
            </w:r>
          </w:p>
          <w:p w14:paraId="48F10317" w14:textId="77777777" w:rsidR="00336F6B" w:rsidRPr="006771CB" w:rsidRDefault="00336F6B" w:rsidP="00E74166">
            <w:pPr>
              <w:pStyle w:val="Heading2"/>
              <w:numPr>
                <w:ilvl w:val="0"/>
                <w:numId w:val="0"/>
              </w:numPr>
            </w:pPr>
            <w:r>
              <w:t>T</w:t>
            </w:r>
            <w:r w:rsidRPr="00C07B35">
              <w:rPr>
                <w:szCs w:val="22"/>
              </w:rPr>
              <w:t>he focus of this project is to have a recommended end state on scope, structure and priorities. An outline path to implementation should also be mapped out. The body itself (whatever the form) will then be best placed to take forward specific initiatives, policies and priorities.</w:t>
            </w:r>
          </w:p>
          <w:p w14:paraId="6110600C" w14:textId="77777777" w:rsidR="00336F6B" w:rsidRPr="006771CB" w:rsidRDefault="00336F6B" w:rsidP="00E74166">
            <w:pPr>
              <w:pStyle w:val="Heading2"/>
              <w:numPr>
                <w:ilvl w:val="0"/>
                <w:numId w:val="0"/>
              </w:numPr>
            </w:pPr>
            <w:r>
              <w:rPr>
                <w:szCs w:val="22"/>
              </w:rPr>
              <w:t>Recommendations of the project should all be explicitly assessed against:</w:t>
            </w:r>
          </w:p>
          <w:p w14:paraId="4C418C44" w14:textId="77777777" w:rsidR="00336F6B" w:rsidRDefault="00336F6B" w:rsidP="00E74166">
            <w:pPr>
              <w:pStyle w:val="Heading3"/>
              <w:numPr>
                <w:ilvl w:val="2"/>
                <w:numId w:val="35"/>
              </w:numPr>
              <w:ind w:left="1080"/>
            </w:pPr>
            <w:r>
              <w:t>Feasibility – the organisations involved provide functions that underpin a range of vital activities which need to be maintained. The recommendations must be clear on the risk to these existing functions as well as the scale of the challenge of implementing any change (e.g. IT changes needed) and the scale of the risks.</w:t>
            </w:r>
          </w:p>
          <w:p w14:paraId="09AEF9BA" w14:textId="77777777" w:rsidR="00336F6B" w:rsidRPr="006771CB" w:rsidRDefault="00336F6B" w:rsidP="00E74166">
            <w:pPr>
              <w:pStyle w:val="Heading3"/>
              <w:numPr>
                <w:ilvl w:val="2"/>
                <w:numId w:val="35"/>
              </w:numPr>
              <w:ind w:left="1080"/>
            </w:pPr>
            <w:r w:rsidRPr="006771CB">
              <w:t>Legality – whether primary or secondary legislation is needed to deliver, and consideration of Intellectual Property Rights, general Data Protection regulation and Commissioners for Revenue and Customs Act</w:t>
            </w:r>
            <w:r>
              <w:t>.</w:t>
            </w:r>
          </w:p>
          <w:p w14:paraId="18AF1310" w14:textId="77777777" w:rsidR="00336F6B" w:rsidRPr="006771CB" w:rsidRDefault="00336F6B" w:rsidP="00E74166">
            <w:pPr>
              <w:pStyle w:val="Heading3"/>
              <w:numPr>
                <w:ilvl w:val="2"/>
                <w:numId w:val="35"/>
              </w:numPr>
              <w:ind w:left="1080"/>
            </w:pPr>
            <w:r w:rsidRPr="006771CB">
              <w:t>Propriety – including</w:t>
            </w:r>
            <w:r>
              <w:t xml:space="preserve"> master project </w:t>
            </w:r>
            <w:r w:rsidRPr="00440702">
              <w:t>manager requirements</w:t>
            </w:r>
            <w:r>
              <w:t>.</w:t>
            </w:r>
          </w:p>
          <w:p w14:paraId="0F7B1306" w14:textId="77777777" w:rsidR="00336F6B" w:rsidRPr="006771CB" w:rsidRDefault="00336F6B" w:rsidP="00E74166">
            <w:pPr>
              <w:pStyle w:val="Heading3"/>
              <w:numPr>
                <w:ilvl w:val="2"/>
                <w:numId w:val="35"/>
              </w:numPr>
              <w:ind w:left="1080"/>
            </w:pPr>
            <w:r w:rsidRPr="006771CB">
              <w:t>Value for Money – there is no need for a full Cost-Benefit Analysis at this point, but analysis of the options should include a sense of the main sources of benefits (and to whom they accrue) and a sense of likely scale for each that could be assessed in line with Green Book requirements. Similarly, the main costs and a sense of scale should be provided, including ongoing costs as well as initial transition. Costs should include IT changes needed.</w:t>
            </w:r>
          </w:p>
          <w:p w14:paraId="7F958838" w14:textId="77777777" w:rsidR="00336F6B" w:rsidRPr="006771CB" w:rsidRDefault="00336F6B" w:rsidP="00E74166">
            <w:pPr>
              <w:pStyle w:val="Heading3"/>
              <w:numPr>
                <w:ilvl w:val="2"/>
                <w:numId w:val="35"/>
              </w:numPr>
              <w:ind w:left="1080"/>
            </w:pPr>
            <w:r w:rsidRPr="006771CB">
              <w:t>Competing policy priorities – potential conflicts should be highlighted, in particular impact on tax base, national security, protecting international agreements, or financial stability</w:t>
            </w:r>
            <w:r>
              <w:t>.</w:t>
            </w:r>
          </w:p>
          <w:p w14:paraId="29525FD0" w14:textId="77777777" w:rsidR="00212002" w:rsidRDefault="00336F6B" w:rsidP="00E74166">
            <w:pPr>
              <w:widowControl w:val="0"/>
              <w:spacing w:line="240" w:lineRule="auto"/>
            </w:pPr>
            <w:r w:rsidRPr="006771CB">
              <w:t>Devolution impacts – as well as the overall body, individual policies may have devolution impacts which should be considered</w:t>
            </w:r>
            <w:r>
              <w:t>.</w:t>
            </w:r>
          </w:p>
          <w:p w14:paraId="588530BB" w14:textId="77777777" w:rsidR="00336F6B" w:rsidRPr="005731B7" w:rsidRDefault="00336F6B" w:rsidP="00E74166">
            <w:pPr>
              <w:pStyle w:val="Heading2"/>
              <w:numPr>
                <w:ilvl w:val="0"/>
                <w:numId w:val="0"/>
              </w:numPr>
              <w:rPr>
                <w:rFonts w:cs="Arial"/>
                <w:lang w:eastAsia="en-US"/>
              </w:rPr>
            </w:pPr>
            <w:r>
              <w:rPr>
                <w:rFonts w:cs="Arial"/>
                <w:lang w:eastAsia="en-US"/>
              </w:rPr>
              <w:t>T</w:t>
            </w:r>
            <w:r w:rsidRPr="006771CB">
              <w:rPr>
                <w:rFonts w:cs="Arial"/>
                <w:lang w:eastAsia="en-US"/>
              </w:rPr>
              <w:t xml:space="preserve">he </w:t>
            </w:r>
            <w:r>
              <w:rPr>
                <w:rFonts w:cs="Arial"/>
                <w:lang w:eastAsia="en-US"/>
              </w:rPr>
              <w:t xml:space="preserve">Potential Provider </w:t>
            </w:r>
            <w:r w:rsidRPr="006771CB">
              <w:rPr>
                <w:rFonts w:cs="Arial"/>
                <w:lang w:eastAsia="en-US"/>
              </w:rPr>
              <w:t xml:space="preserve">will be </w:t>
            </w:r>
            <w:r>
              <w:rPr>
                <w:rFonts w:cs="Arial"/>
                <w:lang w:eastAsia="en-US"/>
              </w:rPr>
              <w:t>required</w:t>
            </w:r>
            <w:r w:rsidRPr="006771CB">
              <w:rPr>
                <w:rFonts w:cs="Arial"/>
                <w:lang w:eastAsia="en-US"/>
              </w:rPr>
              <w:t xml:space="preserve"> to feed into wider discussions across the work as a whole, as part of the blended team but their key responsibilities will be leading work on</w:t>
            </w:r>
            <w:r>
              <w:rPr>
                <w:rFonts w:cs="Arial"/>
                <w:lang w:eastAsia="en-US"/>
              </w:rPr>
              <w:t xml:space="preserve"> during the following phases</w:t>
            </w:r>
            <w:r w:rsidRPr="006771CB">
              <w:rPr>
                <w:rFonts w:cs="Arial"/>
                <w:lang w:eastAsia="en-US"/>
              </w:rPr>
              <w:t>:</w:t>
            </w:r>
            <w:r w:rsidRPr="00533EE5">
              <w:rPr>
                <w:rFonts w:cs="Arial"/>
                <w:lang w:eastAsia="en-US"/>
              </w:rPr>
              <w:t xml:space="preserve"> </w:t>
            </w:r>
          </w:p>
          <w:p w14:paraId="08AB510D" w14:textId="77777777" w:rsidR="00336F6B" w:rsidRDefault="00336F6B" w:rsidP="00E74166">
            <w:pPr>
              <w:pStyle w:val="Heading2"/>
              <w:numPr>
                <w:ilvl w:val="0"/>
                <w:numId w:val="0"/>
              </w:numPr>
              <w:rPr>
                <w:rFonts w:cs="Arial"/>
                <w:lang w:eastAsia="en-US"/>
              </w:rPr>
            </w:pPr>
            <w:r>
              <w:rPr>
                <w:rFonts w:eastAsia="Calibri" w:cs="Arial"/>
                <w:szCs w:val="22"/>
                <w:u w:val="single"/>
                <w:lang w:eastAsia="en-US"/>
              </w:rPr>
              <w:t>During Phase 1 (f</w:t>
            </w:r>
            <w:r w:rsidRPr="008C1B6D">
              <w:rPr>
                <w:rFonts w:eastAsia="Calibri" w:cs="Arial"/>
                <w:szCs w:val="22"/>
                <w:u w:val="single"/>
                <w:lang w:eastAsia="en-US"/>
              </w:rPr>
              <w:t xml:space="preserve">irst </w:t>
            </w:r>
            <w:r>
              <w:rPr>
                <w:rFonts w:eastAsia="Calibri" w:cs="Arial"/>
                <w:szCs w:val="22"/>
                <w:u w:val="single"/>
                <w:lang w:eastAsia="en-US"/>
              </w:rPr>
              <w:t>month</w:t>
            </w:r>
            <w:r w:rsidRPr="008C1B6D">
              <w:rPr>
                <w:rFonts w:eastAsia="Calibri" w:cs="Arial"/>
                <w:szCs w:val="22"/>
                <w:u w:val="single"/>
                <w:lang w:eastAsia="en-US"/>
              </w:rPr>
              <w:t>)</w:t>
            </w:r>
            <w:r>
              <w:rPr>
                <w:rFonts w:eastAsia="Calibri" w:cs="Arial"/>
                <w:szCs w:val="22"/>
                <w:u w:val="single"/>
                <w:lang w:eastAsia="en-US"/>
              </w:rPr>
              <w:t xml:space="preserve"> –</w:t>
            </w:r>
            <w:r>
              <w:rPr>
                <w:rFonts w:cs="Arial"/>
                <w:lang w:eastAsia="en-US"/>
              </w:rPr>
              <w:t xml:space="preserve"> </w:t>
            </w:r>
            <w:r w:rsidRPr="00835C81">
              <w:rPr>
                <w:rFonts w:cs="Arial"/>
                <w:lang w:eastAsia="en-US"/>
              </w:rPr>
              <w:t>Overall deliverable is to produce an interim report</w:t>
            </w:r>
            <w:r>
              <w:rPr>
                <w:rFonts w:cs="Arial"/>
                <w:lang w:eastAsia="en-US"/>
              </w:rPr>
              <w:t>.</w:t>
            </w:r>
          </w:p>
          <w:p w14:paraId="2F510E68" w14:textId="77777777" w:rsidR="00336F6B" w:rsidRPr="008C1B6D" w:rsidRDefault="00336F6B" w:rsidP="00E74166">
            <w:pPr>
              <w:pStyle w:val="Heading3"/>
              <w:numPr>
                <w:ilvl w:val="2"/>
                <w:numId w:val="36"/>
              </w:numPr>
              <w:ind w:left="1080"/>
              <w:rPr>
                <w:lang w:eastAsia="en-US"/>
              </w:rPr>
            </w:pPr>
            <w:r w:rsidRPr="008C1B6D">
              <w:rPr>
                <w:lang w:eastAsia="en-US"/>
              </w:rPr>
              <w:t>International Case Studies</w:t>
            </w:r>
            <w:r>
              <w:rPr>
                <w:lang w:eastAsia="en-US"/>
              </w:rPr>
              <w:t>.</w:t>
            </w:r>
          </w:p>
          <w:p w14:paraId="53A2657A" w14:textId="77777777" w:rsidR="00336F6B" w:rsidRPr="008C1B6D" w:rsidRDefault="00336F6B" w:rsidP="00E74166">
            <w:pPr>
              <w:pStyle w:val="Heading4"/>
              <w:numPr>
                <w:ilvl w:val="0"/>
                <w:numId w:val="0"/>
              </w:numPr>
              <w:ind w:left="2160"/>
              <w:rPr>
                <w:lang w:eastAsia="en-US"/>
              </w:rPr>
            </w:pPr>
            <w:r w:rsidRPr="008C1B6D">
              <w:rPr>
                <w:lang w:eastAsia="en-US"/>
              </w:rPr>
              <w:t xml:space="preserve">This should be a short paper/slide (around 20 pages) pack covering the 5 most relevant international examples of excellence in public sector geospatial management. It will need to provide an overview of each comparison including the data they hold, a methodology for comparison to the situation in Great Britain/UK and a conclusion on what recommendations </w:t>
            </w:r>
            <w:r>
              <w:rPr>
                <w:lang w:eastAsia="en-US"/>
              </w:rPr>
              <w:t>f</w:t>
            </w:r>
            <w:r w:rsidRPr="008C1B6D">
              <w:rPr>
                <w:lang w:eastAsia="en-US"/>
              </w:rPr>
              <w:t xml:space="preserve">rom this should feed into wider work. Existing work is available to be drawn from and you will have access to support from the UK’s geospatial bodies. </w:t>
            </w:r>
          </w:p>
          <w:p w14:paraId="181BCDEB" w14:textId="77777777" w:rsidR="00336F6B" w:rsidRPr="008C1B6D" w:rsidRDefault="00336F6B" w:rsidP="00E74166">
            <w:pPr>
              <w:pStyle w:val="Heading3"/>
              <w:numPr>
                <w:ilvl w:val="2"/>
                <w:numId w:val="36"/>
              </w:numPr>
              <w:ind w:left="1080"/>
              <w:rPr>
                <w:lang w:eastAsia="en-US"/>
              </w:rPr>
            </w:pPr>
            <w:r w:rsidRPr="008C1B6D">
              <w:rPr>
                <w:lang w:eastAsia="en-US"/>
              </w:rPr>
              <w:t>Issues and opportunities - private sector (incl. housing)</w:t>
            </w:r>
            <w:r>
              <w:rPr>
                <w:lang w:eastAsia="en-US"/>
              </w:rPr>
              <w:t>.</w:t>
            </w:r>
          </w:p>
          <w:p w14:paraId="7DB7669E" w14:textId="77777777" w:rsidR="00336F6B" w:rsidRPr="008C1B6D" w:rsidRDefault="00336F6B" w:rsidP="00E74166">
            <w:pPr>
              <w:pStyle w:val="Heading4"/>
              <w:numPr>
                <w:ilvl w:val="0"/>
                <w:numId w:val="0"/>
              </w:numPr>
              <w:ind w:left="2160"/>
              <w:rPr>
                <w:lang w:eastAsia="en-US"/>
              </w:rPr>
            </w:pPr>
            <w:r w:rsidRPr="008C1B6D">
              <w:rPr>
                <w:lang w:eastAsia="en-US"/>
              </w:rPr>
              <w:t xml:space="preserve">This is a significant component of the overall work and should be delivered through a substantial paper/slide pack (40 pages) highlight the potential opportunities to support private sector growth through better use of geospatial data. Areas considered should include, but not be limited to: autonomous vehicles, smart cities, housing, videogames, communications and logistics. Your analysis should include an assessment of both current barriers and the potential economic value that could be released. You will be able to draw upon a range of existing material and direct support from officials in DCMS, DCLG and BEIS. </w:t>
            </w:r>
          </w:p>
          <w:p w14:paraId="7FE8A8B7" w14:textId="77777777" w:rsidR="00336F6B" w:rsidRPr="008C1B6D" w:rsidRDefault="00336F6B" w:rsidP="00E74166">
            <w:pPr>
              <w:pStyle w:val="Heading3"/>
              <w:numPr>
                <w:ilvl w:val="2"/>
                <w:numId w:val="36"/>
              </w:numPr>
              <w:ind w:left="1080"/>
              <w:rPr>
                <w:lang w:eastAsia="en-US"/>
              </w:rPr>
            </w:pPr>
            <w:r w:rsidRPr="008C1B6D">
              <w:rPr>
                <w:lang w:eastAsia="en-US"/>
              </w:rPr>
              <w:t>Method for options assessment e.g. vfm, feasibility etc</w:t>
            </w:r>
            <w:r>
              <w:rPr>
                <w:lang w:eastAsia="en-US"/>
              </w:rPr>
              <w:t>.</w:t>
            </w:r>
          </w:p>
          <w:p w14:paraId="1B9D7549" w14:textId="77777777" w:rsidR="00336F6B" w:rsidRPr="008C1B6D" w:rsidRDefault="00336F6B" w:rsidP="00E74166">
            <w:pPr>
              <w:pStyle w:val="Heading4"/>
              <w:numPr>
                <w:ilvl w:val="0"/>
                <w:numId w:val="0"/>
              </w:numPr>
              <w:ind w:left="2160"/>
              <w:rPr>
                <w:lang w:eastAsia="en-US"/>
              </w:rPr>
            </w:pPr>
            <w:r w:rsidRPr="008C1B6D">
              <w:rPr>
                <w:lang w:eastAsia="en-US"/>
              </w:rPr>
              <w:t xml:space="preserve">The project will cut across a number of departmental interests and therefore a robust and objective approach to measuring the relative merits of each option will be vital. This piece of work will be a relatively short paper/slide pack (5 pages) but will clearly articulate both the key qualities options will be assessed against but also the approach used to do so. Qualities will include but will not necessarily be limited to: value for money, feasibility, who benefits accrue to and will utilise </w:t>
            </w:r>
            <w:hyperlink r:id="rId13" w:history="1">
              <w:r w:rsidRPr="00202B92">
                <w:rPr>
                  <w:rStyle w:val="Hyperlink"/>
                </w:rPr>
                <w:t xml:space="preserve">Green Book principles. </w:t>
              </w:r>
            </w:hyperlink>
            <w:r w:rsidRPr="008C1B6D">
              <w:rPr>
                <w:lang w:eastAsia="en-US"/>
              </w:rPr>
              <w:t xml:space="preserve"> </w:t>
            </w:r>
          </w:p>
          <w:p w14:paraId="02A92E4A" w14:textId="77777777" w:rsidR="00336F6B" w:rsidRPr="008C1B6D" w:rsidRDefault="00336F6B" w:rsidP="00E74166">
            <w:pPr>
              <w:pStyle w:val="Heading3"/>
              <w:numPr>
                <w:ilvl w:val="2"/>
                <w:numId w:val="36"/>
              </w:numPr>
              <w:ind w:left="1080"/>
              <w:rPr>
                <w:lang w:eastAsia="en-US"/>
              </w:rPr>
            </w:pPr>
            <w:r w:rsidRPr="008C1B6D">
              <w:rPr>
                <w:lang w:eastAsia="en-US"/>
              </w:rPr>
              <w:t>Shortlist of organisational structures to be further developed</w:t>
            </w:r>
            <w:r>
              <w:rPr>
                <w:lang w:eastAsia="en-US"/>
              </w:rPr>
              <w:t>.</w:t>
            </w:r>
          </w:p>
          <w:p w14:paraId="2F618C46" w14:textId="449B70B7" w:rsidR="00336F6B" w:rsidRPr="008C1B6D" w:rsidRDefault="00E74166" w:rsidP="00E74166">
            <w:pPr>
              <w:pStyle w:val="Heading4"/>
              <w:numPr>
                <w:ilvl w:val="0"/>
                <w:numId w:val="0"/>
              </w:numPr>
              <w:ind w:left="2160"/>
              <w:rPr>
                <w:lang w:eastAsia="en-US"/>
              </w:rPr>
            </w:pPr>
            <w:r>
              <w:rPr>
                <w:lang w:eastAsia="en-US"/>
              </w:rPr>
              <w:t xml:space="preserve">- </w:t>
            </w:r>
            <w:r w:rsidR="00336F6B" w:rsidRPr="008C1B6D">
              <w:rPr>
                <w:lang w:eastAsia="en-US"/>
              </w:rPr>
              <w:t xml:space="preserve">This work will develop a paper (20 pages) on models for how the current geospatial bodies could be reorganised to best support achievement of the projects outcomes. Approaches will include but not be limited to a web and API based model to provide a virtual merger, new forms of cross Whitehall governance and a classic bricks and mortar merger. Although led by UKGI this work will require guidance and support from you. </w:t>
            </w:r>
          </w:p>
          <w:p w14:paraId="4C4F2688" w14:textId="77777777" w:rsidR="00336F6B" w:rsidRPr="005E29BF" w:rsidRDefault="00336F6B" w:rsidP="00E74166">
            <w:pPr>
              <w:pStyle w:val="Heading2"/>
              <w:numPr>
                <w:ilvl w:val="0"/>
                <w:numId w:val="0"/>
              </w:numPr>
              <w:rPr>
                <w:u w:val="single"/>
                <w:lang w:eastAsia="en-US"/>
              </w:rPr>
            </w:pPr>
            <w:r>
              <w:rPr>
                <w:u w:val="single"/>
                <w:lang w:eastAsia="en-US"/>
              </w:rPr>
              <w:t xml:space="preserve">During </w:t>
            </w:r>
            <w:r w:rsidRPr="00533EE5">
              <w:rPr>
                <w:u w:val="single"/>
                <w:lang w:eastAsia="en-US"/>
              </w:rPr>
              <w:t>Phase 2 (</w:t>
            </w:r>
            <w:r>
              <w:rPr>
                <w:u w:val="single"/>
                <w:lang w:eastAsia="en-US"/>
              </w:rPr>
              <w:t>second month</w:t>
            </w:r>
            <w:r w:rsidRPr="00533EE5">
              <w:rPr>
                <w:u w:val="single"/>
                <w:lang w:eastAsia="en-US"/>
              </w:rPr>
              <w:t>)</w:t>
            </w:r>
            <w:r>
              <w:rPr>
                <w:u w:val="single"/>
                <w:lang w:eastAsia="en-US"/>
              </w:rPr>
              <w:t xml:space="preserve"> - </w:t>
            </w:r>
            <w:r w:rsidRPr="00835C81">
              <w:rPr>
                <w:rFonts w:cs="Arial"/>
                <w:lang w:eastAsia="en-US"/>
              </w:rPr>
              <w:t>Overall deliverable is to produce a final report</w:t>
            </w:r>
            <w:r>
              <w:rPr>
                <w:rFonts w:cs="Arial"/>
                <w:lang w:eastAsia="en-US"/>
              </w:rPr>
              <w:t>.</w:t>
            </w:r>
          </w:p>
          <w:p w14:paraId="13861CBB" w14:textId="77777777" w:rsidR="00336F6B" w:rsidRPr="005E29BF" w:rsidRDefault="00336F6B" w:rsidP="00E74166">
            <w:pPr>
              <w:pStyle w:val="Heading2"/>
              <w:numPr>
                <w:ilvl w:val="0"/>
                <w:numId w:val="0"/>
              </w:numPr>
              <w:rPr>
                <w:u w:val="single"/>
                <w:lang w:eastAsia="en-US"/>
              </w:rPr>
            </w:pPr>
            <w:r w:rsidRPr="005E29BF">
              <w:rPr>
                <w:rFonts w:eastAsia="Calibri" w:cs="Arial"/>
                <w:szCs w:val="22"/>
                <w:lang w:eastAsia="en-US"/>
              </w:rPr>
              <w:t>The Potential Provider will be required to lead drafting, but will also have significant support from the wider Civil Service project team on:</w:t>
            </w:r>
          </w:p>
          <w:p w14:paraId="1B08E5F0" w14:textId="77777777" w:rsidR="00336F6B" w:rsidRPr="008C1B6D" w:rsidRDefault="00336F6B" w:rsidP="00E74166">
            <w:pPr>
              <w:pStyle w:val="Heading3"/>
              <w:numPr>
                <w:ilvl w:val="2"/>
                <w:numId w:val="36"/>
              </w:numPr>
              <w:ind w:left="1080"/>
              <w:rPr>
                <w:lang w:eastAsia="en-US"/>
              </w:rPr>
            </w:pPr>
            <w:r w:rsidRPr="008C1B6D">
              <w:rPr>
                <w:lang w:eastAsia="en-US"/>
              </w:rPr>
              <w:t>A proposal for a new geospatial body. This proposal will be a synthesis and enhancement of work in Phase 1 and is expected to be 20-30 slides or pages covering:</w:t>
            </w:r>
          </w:p>
          <w:p w14:paraId="3F69DDE9" w14:textId="30443B15" w:rsidR="00336F6B" w:rsidRPr="008C1B6D" w:rsidRDefault="00336F6B" w:rsidP="00E74166">
            <w:pPr>
              <w:pStyle w:val="Heading4"/>
              <w:numPr>
                <w:ilvl w:val="0"/>
                <w:numId w:val="39"/>
              </w:numPr>
              <w:ind w:left="2520"/>
              <w:rPr>
                <w:lang w:eastAsia="en-US"/>
              </w:rPr>
            </w:pPr>
            <w:r w:rsidRPr="008C1B6D">
              <w:rPr>
                <w:lang w:eastAsia="en-US"/>
              </w:rPr>
              <w:t>Form (options range from a new website to new forms of governance to a bricks and mortar merger;</w:t>
            </w:r>
          </w:p>
          <w:p w14:paraId="5B73168C" w14:textId="37B56D7F" w:rsidR="00336F6B" w:rsidRPr="008C1B6D" w:rsidRDefault="00336F6B" w:rsidP="00E74166">
            <w:pPr>
              <w:pStyle w:val="Heading4"/>
              <w:numPr>
                <w:ilvl w:val="0"/>
                <w:numId w:val="39"/>
              </w:numPr>
              <w:ind w:left="2520"/>
              <w:rPr>
                <w:lang w:eastAsia="en-US"/>
              </w:rPr>
            </w:pPr>
            <w:r w:rsidRPr="008C1B6D">
              <w:rPr>
                <w:lang w:eastAsia="en-US"/>
              </w:rPr>
              <w:t>Scope – both geographical and political;</w:t>
            </w:r>
          </w:p>
          <w:p w14:paraId="6934F011" w14:textId="256697E4" w:rsidR="00336F6B" w:rsidRPr="008C1B6D" w:rsidRDefault="00336F6B" w:rsidP="00E74166">
            <w:pPr>
              <w:pStyle w:val="Heading4"/>
              <w:numPr>
                <w:ilvl w:val="0"/>
                <w:numId w:val="39"/>
              </w:numPr>
              <w:ind w:left="2520"/>
              <w:rPr>
                <w:lang w:eastAsia="en-US"/>
              </w:rPr>
            </w:pPr>
            <w:r w:rsidRPr="008C1B6D">
              <w:rPr>
                <w:lang w:eastAsia="en-US"/>
              </w:rPr>
              <w:t xml:space="preserve">Membership; </w:t>
            </w:r>
          </w:p>
          <w:p w14:paraId="2EEABC01" w14:textId="0A970044" w:rsidR="00336F6B" w:rsidRPr="008C1B6D" w:rsidRDefault="00336F6B" w:rsidP="00E74166">
            <w:pPr>
              <w:pStyle w:val="Heading4"/>
              <w:numPr>
                <w:ilvl w:val="0"/>
                <w:numId w:val="39"/>
              </w:numPr>
              <w:ind w:left="2520"/>
              <w:rPr>
                <w:lang w:eastAsia="en-US"/>
              </w:rPr>
            </w:pPr>
            <w:r w:rsidRPr="008C1B6D">
              <w:rPr>
                <w:lang w:eastAsia="en-US"/>
              </w:rPr>
              <w:t>Remit;</w:t>
            </w:r>
          </w:p>
          <w:p w14:paraId="7E3B478E" w14:textId="7CE4978E" w:rsidR="00336F6B" w:rsidRPr="008C1B6D" w:rsidRDefault="00336F6B" w:rsidP="00E74166">
            <w:pPr>
              <w:pStyle w:val="Heading4"/>
              <w:numPr>
                <w:ilvl w:val="0"/>
                <w:numId w:val="39"/>
              </w:numPr>
              <w:ind w:left="2520"/>
              <w:rPr>
                <w:lang w:eastAsia="en-US"/>
              </w:rPr>
            </w:pPr>
            <w:r w:rsidRPr="008C1B6D">
              <w:rPr>
                <w:lang w:eastAsia="en-US"/>
              </w:rPr>
              <w:t>High level operating principles;</w:t>
            </w:r>
          </w:p>
          <w:p w14:paraId="43350095" w14:textId="14975F16" w:rsidR="00336F6B" w:rsidRDefault="00336F6B" w:rsidP="00E74166">
            <w:pPr>
              <w:pStyle w:val="Heading4"/>
              <w:numPr>
                <w:ilvl w:val="0"/>
                <w:numId w:val="39"/>
              </w:numPr>
              <w:ind w:left="2520"/>
              <w:rPr>
                <w:lang w:eastAsia="en-US"/>
              </w:rPr>
            </w:pPr>
            <w:r w:rsidRPr="008C1B6D">
              <w:rPr>
                <w:lang w:eastAsia="en-US"/>
              </w:rPr>
              <w:t xml:space="preserve">High level financial plan.  </w:t>
            </w:r>
          </w:p>
          <w:p w14:paraId="6364207B" w14:textId="77777777" w:rsidR="00336F6B" w:rsidRDefault="00336F6B" w:rsidP="00E74166">
            <w:pPr>
              <w:pStyle w:val="Heading3"/>
              <w:numPr>
                <w:ilvl w:val="2"/>
                <w:numId w:val="36"/>
              </w:numPr>
              <w:ind w:left="1080"/>
              <w:rPr>
                <w:lang w:eastAsia="en-US"/>
              </w:rPr>
            </w:pPr>
            <w:r w:rsidRPr="00533EE5">
              <w:rPr>
                <w:rStyle w:val="Heading4Char"/>
                <w:lang w:eastAsia="en-US"/>
              </w:rPr>
              <w:t>Setting out a list of projects and objectives for the new grouping.</w:t>
            </w:r>
            <w:r w:rsidRPr="00533EE5">
              <w:rPr>
                <w:lang w:eastAsia="en-US"/>
              </w:rPr>
              <w:t xml:space="preserve"> </w:t>
            </w:r>
          </w:p>
          <w:p w14:paraId="133EEC0C" w14:textId="79FACC62" w:rsidR="00336F6B" w:rsidRPr="00FF48C4" w:rsidRDefault="00336F6B" w:rsidP="00E74166">
            <w:pPr>
              <w:pStyle w:val="Heading4"/>
              <w:numPr>
                <w:ilvl w:val="0"/>
                <w:numId w:val="38"/>
              </w:numPr>
              <w:ind w:left="2520"/>
              <w:rPr>
                <w:lang w:eastAsia="en-US"/>
              </w:rPr>
            </w:pPr>
            <w:r>
              <w:rPr>
                <w:lang w:eastAsia="en-US"/>
              </w:rPr>
              <w:t>The</w:t>
            </w:r>
            <w:r w:rsidRPr="00533EE5">
              <w:rPr>
                <w:lang w:eastAsia="en-US"/>
              </w:rPr>
              <w:t xml:space="preserve"> list will need to include both a range of quick wins and longer term goals. The </w:t>
            </w:r>
            <w:r>
              <w:rPr>
                <w:lang w:eastAsia="en-US"/>
              </w:rPr>
              <w:t>projects need to include a high-</w:t>
            </w:r>
            <w:r w:rsidRPr="00533EE5">
              <w:rPr>
                <w:lang w:eastAsia="en-US"/>
              </w:rPr>
              <w:t xml:space="preserve">level assessment (based on the criteria agreed from Phase 1) to enable, as well as initial views on resourcing, timescales and deliverables   A range of projects already exists and work during Phase 1 will have expanded and increased the number of these.  </w:t>
            </w:r>
            <w:r w:rsidRPr="006874EA">
              <w:rPr>
                <w:lang w:eastAsia="en-US"/>
              </w:rPr>
              <w:t xml:space="preserve">Details of previous relevant projects will be provider to the successful provider on commencement of this project. </w:t>
            </w:r>
          </w:p>
          <w:p w14:paraId="6FF24845" w14:textId="77777777" w:rsidR="00336F6B" w:rsidRPr="006874EA" w:rsidRDefault="00336F6B" w:rsidP="00E74166">
            <w:pPr>
              <w:pStyle w:val="Heading2"/>
              <w:numPr>
                <w:ilvl w:val="0"/>
                <w:numId w:val="0"/>
              </w:numPr>
              <w:rPr>
                <w:lang w:eastAsia="en-US"/>
              </w:rPr>
            </w:pPr>
            <w:r w:rsidRPr="006874EA">
              <w:rPr>
                <w:lang w:eastAsia="en-US"/>
              </w:rPr>
              <w:t>The Potential Provider will also be required to attend various project meetings, these will include the Steering Group and Sounding Board:</w:t>
            </w:r>
          </w:p>
          <w:p w14:paraId="3CCB7CF2" w14:textId="77777777" w:rsidR="00336F6B" w:rsidRDefault="00336F6B" w:rsidP="00E74166">
            <w:pPr>
              <w:pStyle w:val="Heading3"/>
              <w:numPr>
                <w:ilvl w:val="2"/>
                <w:numId w:val="36"/>
              </w:numPr>
              <w:ind w:left="1080"/>
            </w:pPr>
            <w:r>
              <w:t>Steering Group – oversight of project, discussing outcomes:</w:t>
            </w:r>
          </w:p>
          <w:p w14:paraId="677CB9F0" w14:textId="36F6D01B" w:rsidR="00E74166" w:rsidRDefault="00E74166" w:rsidP="00E74166">
            <w:pPr>
              <w:pStyle w:val="Heading4"/>
              <w:numPr>
                <w:ilvl w:val="0"/>
                <w:numId w:val="39"/>
              </w:numPr>
              <w:ind w:left="2520"/>
              <w:rPr>
                <w:lang w:eastAsia="en-US"/>
              </w:rPr>
            </w:pPr>
            <w:r>
              <w:t xml:space="preserve">Chaired by </w:t>
            </w:r>
            <w:r w:rsidR="00B83F75" w:rsidRPr="00944D63">
              <w:rPr>
                <w:b/>
              </w:rPr>
              <w:t>[Redacted]</w:t>
            </w:r>
            <w:r w:rsidRPr="008C1B6D">
              <w:rPr>
                <w:lang w:eastAsia="en-US"/>
              </w:rPr>
              <w:t xml:space="preserve">.  </w:t>
            </w:r>
          </w:p>
          <w:p w14:paraId="62A9B49A" w14:textId="0BF759FB" w:rsidR="00E74166" w:rsidRDefault="00E74166" w:rsidP="00E74166">
            <w:pPr>
              <w:pStyle w:val="Heading4"/>
              <w:numPr>
                <w:ilvl w:val="0"/>
                <w:numId w:val="39"/>
              </w:numPr>
              <w:ind w:left="2520"/>
              <w:rPr>
                <w:lang w:eastAsia="en-US"/>
              </w:rPr>
            </w:pPr>
            <w:r>
              <w:t xml:space="preserve">Representatives from </w:t>
            </w:r>
            <w:r w:rsidRPr="00C733BF">
              <w:t>HMT, BEIS, DCLG,</w:t>
            </w:r>
            <w:r>
              <w:t xml:space="preserve"> MOD, HMRC, GDS, DCMS and Defra</w:t>
            </w:r>
          </w:p>
          <w:p w14:paraId="2DD0E5BF" w14:textId="77777777" w:rsidR="00336F6B" w:rsidRDefault="00336F6B" w:rsidP="00E74166">
            <w:pPr>
              <w:overflowPunct/>
              <w:autoSpaceDE/>
              <w:autoSpaceDN/>
              <w:adjustRightInd/>
              <w:spacing w:after="0" w:line="240" w:lineRule="auto"/>
              <w:contextualSpacing/>
              <w:jc w:val="left"/>
              <w:textAlignment w:val="auto"/>
            </w:pPr>
          </w:p>
          <w:p w14:paraId="58BB59C8" w14:textId="44341E92" w:rsidR="00336F6B" w:rsidRDefault="00336F6B" w:rsidP="00E74166">
            <w:pPr>
              <w:pStyle w:val="Heading3"/>
              <w:numPr>
                <w:ilvl w:val="2"/>
                <w:numId w:val="36"/>
              </w:numPr>
              <w:spacing w:after="160" w:line="259" w:lineRule="auto"/>
              <w:ind w:left="1080"/>
              <w:contextualSpacing/>
            </w:pPr>
            <w:r>
              <w:t>Sounding Board – opportunity to ensure that organisations involved are adequately engaged in process and choices:</w:t>
            </w:r>
          </w:p>
          <w:p w14:paraId="0C9CE3C4" w14:textId="4A4F9DBF" w:rsidR="00E74166" w:rsidRDefault="00336F6B" w:rsidP="00E74166">
            <w:pPr>
              <w:pStyle w:val="Heading4"/>
              <w:numPr>
                <w:ilvl w:val="0"/>
                <w:numId w:val="39"/>
              </w:numPr>
              <w:ind w:left="2520"/>
              <w:rPr>
                <w:lang w:eastAsia="en-US"/>
              </w:rPr>
            </w:pPr>
            <w:r>
              <w:t xml:space="preserve">CEOs and Chairs of involved organisations. </w:t>
            </w:r>
            <w:r w:rsidRPr="006874EA">
              <w:rPr>
                <w:color w:val="FF0000"/>
              </w:rPr>
              <w:t xml:space="preserve"> </w:t>
            </w:r>
          </w:p>
          <w:p w14:paraId="4B7D2B08" w14:textId="7FD447AA" w:rsidR="00336F6B" w:rsidRDefault="00E74166" w:rsidP="00E74166">
            <w:pPr>
              <w:pStyle w:val="Heading4"/>
              <w:numPr>
                <w:ilvl w:val="0"/>
                <w:numId w:val="39"/>
              </w:numPr>
              <w:ind w:left="2520"/>
              <w:rPr>
                <w:lang w:eastAsia="en-US"/>
              </w:rPr>
            </w:pPr>
            <w:r>
              <w:t xml:space="preserve">Chaired by </w:t>
            </w:r>
            <w:r w:rsidR="00B83F75" w:rsidRPr="00944D63">
              <w:rPr>
                <w:b/>
              </w:rPr>
              <w:t>[Redacted]</w:t>
            </w:r>
            <w:bookmarkStart w:id="0" w:name="_GoBack"/>
            <w:bookmarkEnd w:id="0"/>
          </w:p>
          <w:p w14:paraId="1EB6BDD1" w14:textId="77777777" w:rsidR="00DF7D7D" w:rsidRDefault="00DF7D7D" w:rsidP="00DF7D7D">
            <w:pPr>
              <w:pStyle w:val="Heading4"/>
              <w:numPr>
                <w:ilvl w:val="0"/>
                <w:numId w:val="0"/>
              </w:numPr>
            </w:pPr>
            <w:r>
              <w:t>Please see the embedded Appendix B – Statement of Requirements for full details of the services required:</w:t>
            </w:r>
          </w:p>
          <w:bookmarkStart w:id="1" w:name="_MON_1565014437"/>
          <w:bookmarkEnd w:id="1"/>
          <w:p w14:paraId="6C6836AC" w14:textId="62E24D27" w:rsidR="00DF7D7D" w:rsidRPr="00336F6B" w:rsidRDefault="00DF7D7D" w:rsidP="00DF7D7D">
            <w:pPr>
              <w:pStyle w:val="Heading4"/>
              <w:numPr>
                <w:ilvl w:val="0"/>
                <w:numId w:val="0"/>
              </w:numPr>
              <w:rPr>
                <w:lang w:eastAsia="en-US"/>
              </w:rPr>
            </w:pPr>
            <w:r>
              <w:object w:dxaOrig="1490" w:dyaOrig="991" w14:anchorId="6C1DF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14" o:title=""/>
                </v:shape>
                <o:OLEObject Type="Embed" ProgID="Word.Document.12" ShapeID="_x0000_i1025" DrawAspect="Icon" ObjectID="_1577528471" r:id="rId15">
                  <o:FieldCodes>\s</o:FieldCodes>
                </o:OLEObject>
              </w:object>
            </w:r>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6C6836CC" w14:textId="77777777" w:rsidTr="00701CB8">
        <w:trPr>
          <w:trHeight w:val="2117"/>
        </w:trPr>
        <w:tc>
          <w:tcPr>
            <w:tcW w:w="9293" w:type="dxa"/>
            <w:shd w:val="clear" w:color="auto" w:fill="auto"/>
          </w:tcPr>
          <w:p w14:paraId="6C6836B0" w14:textId="77777777" w:rsidR="004363FF" w:rsidRPr="005E64B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p w14:paraId="6C6836B2" w14:textId="537AD753" w:rsidR="004363FF" w:rsidRDefault="004363FF" w:rsidP="00701CB8">
            <w:pPr>
              <w:pStyle w:val="MarginText"/>
              <w:numPr>
                <w:ilvl w:val="0"/>
                <w:numId w:val="29"/>
              </w:numPr>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tbl>
            <w:tblPr>
              <w:tblStyle w:val="TableGrid"/>
              <w:tblW w:w="5000" w:type="pct"/>
              <w:tblLook w:val="04A0" w:firstRow="1" w:lastRow="0" w:firstColumn="1" w:lastColumn="0" w:noHBand="0" w:noVBand="1"/>
            </w:tblPr>
            <w:tblGrid>
              <w:gridCol w:w="1563"/>
              <w:gridCol w:w="4563"/>
              <w:gridCol w:w="2941"/>
            </w:tblGrid>
            <w:tr w:rsidR="00336F6B" w:rsidRPr="00E73713" w14:paraId="1FF4DA15" w14:textId="77777777" w:rsidTr="00336F6B">
              <w:tc>
                <w:tcPr>
                  <w:tcW w:w="862" w:type="pct"/>
                  <w:shd w:val="clear" w:color="auto" w:fill="auto"/>
                  <w:vAlign w:val="center"/>
                </w:tcPr>
                <w:p w14:paraId="0D901DDA" w14:textId="77777777" w:rsidR="00336F6B" w:rsidRPr="00E73713" w:rsidRDefault="00336F6B" w:rsidP="00336F6B">
                  <w:pPr>
                    <w:pStyle w:val="Heading3"/>
                    <w:numPr>
                      <w:ilvl w:val="0"/>
                      <w:numId w:val="0"/>
                    </w:numPr>
                    <w:spacing w:after="120"/>
                    <w:jc w:val="center"/>
                    <w:outlineLvl w:val="2"/>
                    <w:rPr>
                      <w:b/>
                      <w:szCs w:val="24"/>
                    </w:rPr>
                  </w:pPr>
                  <w:r w:rsidRPr="00E73713">
                    <w:rPr>
                      <w:b/>
                    </w:rPr>
                    <w:t>Milestone</w:t>
                  </w:r>
                </w:p>
              </w:tc>
              <w:tc>
                <w:tcPr>
                  <w:tcW w:w="2516" w:type="pct"/>
                  <w:shd w:val="clear" w:color="auto" w:fill="auto"/>
                  <w:vAlign w:val="center"/>
                </w:tcPr>
                <w:p w14:paraId="6CD5F60E" w14:textId="77777777" w:rsidR="00336F6B" w:rsidRPr="00E73713" w:rsidRDefault="00336F6B" w:rsidP="00336F6B">
                  <w:pPr>
                    <w:pStyle w:val="Heading3"/>
                    <w:numPr>
                      <w:ilvl w:val="0"/>
                      <w:numId w:val="0"/>
                    </w:numPr>
                    <w:spacing w:after="120"/>
                    <w:jc w:val="center"/>
                    <w:outlineLvl w:val="2"/>
                    <w:rPr>
                      <w:b/>
                      <w:szCs w:val="24"/>
                    </w:rPr>
                  </w:pPr>
                  <w:r w:rsidRPr="00E73713">
                    <w:rPr>
                      <w:b/>
                    </w:rPr>
                    <w:t>Description</w:t>
                  </w:r>
                </w:p>
              </w:tc>
              <w:tc>
                <w:tcPr>
                  <w:tcW w:w="1622" w:type="pct"/>
                  <w:shd w:val="clear" w:color="auto" w:fill="auto"/>
                  <w:vAlign w:val="center"/>
                </w:tcPr>
                <w:p w14:paraId="674D6A53" w14:textId="77777777" w:rsidR="00336F6B" w:rsidRPr="00E73713" w:rsidRDefault="00336F6B" w:rsidP="00336F6B">
                  <w:pPr>
                    <w:pStyle w:val="Heading3"/>
                    <w:numPr>
                      <w:ilvl w:val="0"/>
                      <w:numId w:val="0"/>
                    </w:numPr>
                    <w:spacing w:after="120"/>
                    <w:jc w:val="center"/>
                    <w:outlineLvl w:val="2"/>
                    <w:rPr>
                      <w:b/>
                      <w:szCs w:val="24"/>
                    </w:rPr>
                  </w:pPr>
                  <w:r w:rsidRPr="00E73713">
                    <w:rPr>
                      <w:b/>
                    </w:rPr>
                    <w:t>Timeframe</w:t>
                  </w:r>
                </w:p>
              </w:tc>
            </w:tr>
            <w:tr w:rsidR="00336F6B" w:rsidRPr="00E73713" w14:paraId="6220346F" w14:textId="77777777" w:rsidTr="00336F6B">
              <w:tc>
                <w:tcPr>
                  <w:tcW w:w="862" w:type="pct"/>
                  <w:shd w:val="clear" w:color="auto" w:fill="auto"/>
                  <w:vAlign w:val="center"/>
                </w:tcPr>
                <w:p w14:paraId="0F5F08A3" w14:textId="77777777" w:rsidR="00336F6B" w:rsidRPr="00E73713" w:rsidRDefault="00336F6B" w:rsidP="00336F6B">
                  <w:pPr>
                    <w:pStyle w:val="Heading3"/>
                    <w:numPr>
                      <w:ilvl w:val="0"/>
                      <w:numId w:val="0"/>
                    </w:numPr>
                    <w:spacing w:after="120"/>
                    <w:jc w:val="center"/>
                    <w:outlineLvl w:val="2"/>
                    <w:rPr>
                      <w:szCs w:val="24"/>
                    </w:rPr>
                  </w:pPr>
                  <w:r w:rsidRPr="00E73713">
                    <w:t>1</w:t>
                  </w:r>
                </w:p>
              </w:tc>
              <w:tc>
                <w:tcPr>
                  <w:tcW w:w="2516" w:type="pct"/>
                  <w:shd w:val="clear" w:color="auto" w:fill="auto"/>
                  <w:vAlign w:val="center"/>
                </w:tcPr>
                <w:p w14:paraId="4BDB00BF" w14:textId="77777777" w:rsidR="00336F6B" w:rsidRPr="00E73713" w:rsidRDefault="00336F6B" w:rsidP="00336F6B">
                  <w:pPr>
                    <w:pStyle w:val="Heading3"/>
                    <w:numPr>
                      <w:ilvl w:val="0"/>
                      <w:numId w:val="0"/>
                    </w:numPr>
                    <w:spacing w:after="120"/>
                    <w:jc w:val="left"/>
                    <w:outlineLvl w:val="2"/>
                    <w:rPr>
                      <w:szCs w:val="24"/>
                      <w:highlight w:val="yellow"/>
                    </w:rPr>
                  </w:pPr>
                  <w:r w:rsidRPr="00440702">
                    <w:t>Phase 1 – Delivery of Interim Report</w:t>
                  </w:r>
                </w:p>
              </w:tc>
              <w:tc>
                <w:tcPr>
                  <w:tcW w:w="1622" w:type="pct"/>
                  <w:shd w:val="clear" w:color="auto" w:fill="auto"/>
                  <w:vAlign w:val="center"/>
                </w:tcPr>
                <w:p w14:paraId="2BB88DAF" w14:textId="4FBB654A" w:rsidR="00336F6B" w:rsidRPr="00E73713" w:rsidRDefault="001C3CB3" w:rsidP="00EE7C51">
                  <w:pPr>
                    <w:pStyle w:val="Heading3"/>
                    <w:numPr>
                      <w:ilvl w:val="0"/>
                      <w:numId w:val="0"/>
                    </w:numPr>
                    <w:spacing w:after="120"/>
                    <w:jc w:val="center"/>
                    <w:outlineLvl w:val="2"/>
                    <w:rPr>
                      <w:szCs w:val="24"/>
                    </w:rPr>
                  </w:pPr>
                  <w:r>
                    <w:t>29</w:t>
                  </w:r>
                  <w:r w:rsidR="00336F6B" w:rsidRPr="00B655B8">
                    <w:rPr>
                      <w:vertAlign w:val="superscript"/>
                    </w:rPr>
                    <w:t>th</w:t>
                  </w:r>
                  <w:r w:rsidR="00336F6B">
                    <w:t xml:space="preserve"> September</w:t>
                  </w:r>
                  <w:r w:rsidR="00336F6B" w:rsidRPr="00E73713">
                    <w:t xml:space="preserve"> </w:t>
                  </w:r>
                  <w:r w:rsidR="00336F6B">
                    <w:t>2017</w:t>
                  </w:r>
                </w:p>
              </w:tc>
            </w:tr>
            <w:tr w:rsidR="00336F6B" w:rsidRPr="00E73713" w14:paraId="24A42129" w14:textId="77777777" w:rsidTr="00336F6B">
              <w:tc>
                <w:tcPr>
                  <w:tcW w:w="862" w:type="pct"/>
                  <w:shd w:val="clear" w:color="auto" w:fill="auto"/>
                  <w:vAlign w:val="center"/>
                </w:tcPr>
                <w:p w14:paraId="08887991" w14:textId="77777777" w:rsidR="00336F6B" w:rsidRPr="00E73713" w:rsidRDefault="00336F6B" w:rsidP="00336F6B">
                  <w:pPr>
                    <w:pStyle w:val="Heading3"/>
                    <w:numPr>
                      <w:ilvl w:val="0"/>
                      <w:numId w:val="0"/>
                    </w:numPr>
                    <w:spacing w:after="120"/>
                    <w:jc w:val="center"/>
                    <w:outlineLvl w:val="2"/>
                    <w:rPr>
                      <w:szCs w:val="24"/>
                    </w:rPr>
                  </w:pPr>
                  <w:r w:rsidRPr="00E73713">
                    <w:t>2</w:t>
                  </w:r>
                </w:p>
              </w:tc>
              <w:tc>
                <w:tcPr>
                  <w:tcW w:w="2516" w:type="pct"/>
                  <w:shd w:val="clear" w:color="auto" w:fill="auto"/>
                  <w:vAlign w:val="center"/>
                </w:tcPr>
                <w:p w14:paraId="76AC7116" w14:textId="77777777" w:rsidR="00336F6B" w:rsidRPr="00E73713" w:rsidRDefault="00336F6B" w:rsidP="00336F6B">
                  <w:pPr>
                    <w:pStyle w:val="Heading3"/>
                    <w:numPr>
                      <w:ilvl w:val="0"/>
                      <w:numId w:val="0"/>
                    </w:numPr>
                    <w:spacing w:after="120"/>
                    <w:jc w:val="left"/>
                    <w:outlineLvl w:val="2"/>
                    <w:rPr>
                      <w:szCs w:val="24"/>
                      <w:highlight w:val="yellow"/>
                    </w:rPr>
                  </w:pPr>
                  <w:r w:rsidRPr="00440702">
                    <w:t>Phase 2 - Delivery of Final Report</w:t>
                  </w:r>
                </w:p>
              </w:tc>
              <w:tc>
                <w:tcPr>
                  <w:tcW w:w="1622" w:type="pct"/>
                  <w:shd w:val="clear" w:color="auto" w:fill="auto"/>
                  <w:vAlign w:val="center"/>
                </w:tcPr>
                <w:p w14:paraId="507B48C9" w14:textId="53BC90D7" w:rsidR="00336F6B" w:rsidRPr="00E73713" w:rsidRDefault="001C3CB3" w:rsidP="001C3CB3">
                  <w:pPr>
                    <w:pStyle w:val="Heading3"/>
                    <w:numPr>
                      <w:ilvl w:val="0"/>
                      <w:numId w:val="0"/>
                    </w:numPr>
                    <w:spacing w:after="120"/>
                    <w:jc w:val="center"/>
                    <w:outlineLvl w:val="2"/>
                    <w:rPr>
                      <w:szCs w:val="24"/>
                    </w:rPr>
                  </w:pPr>
                  <w:r>
                    <w:rPr>
                      <w:szCs w:val="24"/>
                    </w:rPr>
                    <w:t>6</w:t>
                  </w:r>
                  <w:r w:rsidRPr="001C3CB3">
                    <w:rPr>
                      <w:szCs w:val="24"/>
                      <w:vertAlign w:val="superscript"/>
                    </w:rPr>
                    <w:t>th</w:t>
                  </w:r>
                  <w:r>
                    <w:rPr>
                      <w:szCs w:val="24"/>
                    </w:rPr>
                    <w:t xml:space="preserve"> November</w:t>
                  </w:r>
                  <w:r w:rsidR="00336F6B">
                    <w:rPr>
                      <w:szCs w:val="24"/>
                    </w:rPr>
                    <w:t xml:space="preserve"> 2017</w:t>
                  </w:r>
                </w:p>
              </w:tc>
            </w:tr>
          </w:tbl>
          <w:p w14:paraId="6C6836C7" w14:textId="17B759D4" w:rsidR="00A80570" w:rsidRPr="00EC63AD" w:rsidRDefault="00A80570" w:rsidP="00EC63AD">
            <w:pPr>
              <w:pStyle w:val="MarginText"/>
              <w:ind w:left="720" w:hanging="720"/>
              <w:rPr>
                <w:rFonts w:cs="Arial"/>
                <w:b/>
                <w:sz w:val="20"/>
              </w:rPr>
            </w:pPr>
          </w:p>
          <w:p w14:paraId="6C6836C8" w14:textId="77777777" w:rsidR="004363FF" w:rsidRPr="005E64BF" w:rsidRDefault="004363FF" w:rsidP="005E64BF">
            <w:pPr>
              <w:pStyle w:val="MarginText"/>
              <w:ind w:left="720" w:hanging="720"/>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2" w:name="_Ref33354369"/>
            <w:r w:rsidRPr="005E64BF">
              <w:rPr>
                <w:rFonts w:cs="Arial"/>
                <w:sz w:val="20"/>
              </w:rPr>
              <w:t xml:space="preserve">The Supplier shall ensure that each version of the Implementation Plan is subject to approval. </w:t>
            </w:r>
            <w:bookmarkStart w:id="3" w:name="_Ref138744800"/>
            <w:bookmarkStart w:id="4" w:name="_Ref29018844"/>
            <w:bookmarkStart w:id="5"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5E64BF">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3"/>
          </w:p>
          <w:bookmarkEnd w:id="2"/>
          <w:bookmarkEnd w:id="4"/>
          <w:bookmarkEnd w:id="5"/>
          <w:p w14:paraId="6C6836CA" w14:textId="77777777" w:rsidR="004363FF" w:rsidRPr="005E64BF" w:rsidRDefault="004363FF" w:rsidP="005E64BF">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4058AD66" w:rsidR="004363FF" w:rsidRPr="005E64BF" w:rsidRDefault="004363FF" w:rsidP="00701CB8">
            <w:pPr>
              <w:keepNext/>
              <w:widowControl w:val="0"/>
              <w:tabs>
                <w:tab w:val="center" w:pos="4538"/>
              </w:tabs>
              <w:spacing w:line="240" w:lineRule="auto"/>
              <w:rPr>
                <w:rFonts w:cs="Arial"/>
                <w:b/>
                <w:sz w:val="20"/>
              </w:rPr>
            </w:pPr>
            <w:r w:rsidRPr="005E64BF">
              <w:rPr>
                <w:rFonts w:cs="Arial"/>
                <w:b/>
                <w:sz w:val="20"/>
              </w:rPr>
              <w:t xml:space="preserve">3.2 </w:t>
            </w:r>
            <w:r w:rsidR="008F76B2">
              <w:rPr>
                <w:rFonts w:cs="Arial"/>
                <w:b/>
                <w:sz w:val="20"/>
              </w:rPr>
              <w:t xml:space="preserve">Performance </w:t>
            </w:r>
            <w:r w:rsidRPr="005E64BF">
              <w:rPr>
                <w:rFonts w:cs="Arial"/>
                <w:b/>
                <w:sz w:val="20"/>
              </w:rPr>
              <w:t>Monitoring</w:t>
            </w:r>
            <w:r w:rsidR="00701CB8">
              <w:rPr>
                <w:rFonts w:cs="Arial"/>
                <w:b/>
                <w:sz w:val="20"/>
              </w:rPr>
              <w:tab/>
            </w:r>
          </w:p>
          <w:p w14:paraId="2490FC4E" w14:textId="77777777" w:rsidR="00336F6B" w:rsidRPr="0020231F" w:rsidRDefault="00336F6B" w:rsidP="00F607F1">
            <w:pPr>
              <w:pStyle w:val="Heading2"/>
              <w:numPr>
                <w:ilvl w:val="0"/>
                <w:numId w:val="0"/>
              </w:numPr>
            </w:pPr>
            <w:r w:rsidRPr="0020231F">
              <w:t xml:space="preserve">The Potential Provider will be required to report on progress on a weekly basis, as well as providing and interim and final report. </w:t>
            </w:r>
          </w:p>
          <w:p w14:paraId="1FA83200" w14:textId="77777777" w:rsidR="00336F6B" w:rsidRDefault="00336F6B" w:rsidP="00F607F1">
            <w:pPr>
              <w:pStyle w:val="Heading2"/>
              <w:numPr>
                <w:ilvl w:val="0"/>
                <w:numId w:val="0"/>
              </w:numPr>
              <w:spacing w:after="120"/>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1292FD19" w14:textId="77777777" w:rsidR="00336F6B" w:rsidRDefault="00336F6B" w:rsidP="00F607F1">
            <w:pPr>
              <w:pStyle w:val="Heading2"/>
              <w:numPr>
                <w:ilvl w:val="0"/>
                <w:numId w:val="0"/>
              </w:numPr>
              <w:spacing w:after="120"/>
            </w:pPr>
            <w:r w:rsidRPr="008104E0">
              <w:t xml:space="preserve">The </w:t>
            </w:r>
            <w:r>
              <w:t>Supplier</w:t>
            </w:r>
            <w:r w:rsidRPr="008104E0">
              <w:t xml:space="preserve"> should present new ways of working to the</w:t>
            </w:r>
            <w:r>
              <w:t xml:space="preserve"> </w:t>
            </w:r>
            <w:r w:rsidRPr="008104E0">
              <w:t xml:space="preserve">Authority during </w:t>
            </w:r>
            <w:r>
              <w:t>fortnightly</w:t>
            </w:r>
            <w:r w:rsidRPr="008104E0">
              <w:t xml:space="preserve"> Contract review meetings.</w:t>
            </w:r>
            <w:r>
              <w:t xml:space="preserve"> </w:t>
            </w:r>
          </w:p>
          <w:p w14:paraId="240528A4" w14:textId="77777777" w:rsidR="00336F6B" w:rsidRDefault="00336F6B" w:rsidP="00F607F1">
            <w:pPr>
              <w:pStyle w:val="Heading2"/>
              <w:numPr>
                <w:ilvl w:val="0"/>
                <w:numId w:val="0"/>
              </w:numPr>
              <w:tabs>
                <w:tab w:val="num" w:pos="1350"/>
              </w:tabs>
              <w:spacing w:after="120"/>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6C6836CF" w14:textId="72CEDCBA" w:rsidR="004363FF" w:rsidRPr="00336F6B" w:rsidRDefault="00336F6B" w:rsidP="00F607F1">
            <w:pPr>
              <w:pStyle w:val="Heading2"/>
              <w:numPr>
                <w:ilvl w:val="0"/>
                <w:numId w:val="0"/>
              </w:numPr>
              <w:tabs>
                <w:tab w:val="num" w:pos="1350"/>
              </w:tabs>
              <w:spacing w:after="120"/>
            </w:pPr>
            <w:r w:rsidRPr="0020231F">
              <w:t>The interim report needs to of a sufficient quality to be presented to the high-level Steering Group, while the final report must be suitable to be submitted to the Prime Minister.</w:t>
            </w:r>
          </w:p>
        </w:tc>
      </w:tr>
    </w:tbl>
    <w:p w14:paraId="67CD0A55" w14:textId="77777777" w:rsidR="00027CCB" w:rsidRPr="005E64BF" w:rsidRDefault="00027CCB"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7" w14:textId="77777777" w:rsidR="004363F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 xml:space="preserve">Security Requirements (including details of the </w:t>
            </w:r>
            <w:r w:rsidR="004363FF" w:rsidRPr="001268DA">
              <w:rPr>
                <w:rFonts w:cs="Arial"/>
                <w:sz w:val="20"/>
              </w:rPr>
              <w:t>outline</w:t>
            </w:r>
            <w:r w:rsidR="004363FF" w:rsidRPr="005E64BF">
              <w:rPr>
                <w:rFonts w:cs="Arial"/>
                <w:b/>
                <w:sz w:val="20"/>
              </w:rPr>
              <w:t xml:space="preserve"> security management plan and policy)</w:t>
            </w:r>
          </w:p>
          <w:p w14:paraId="374A55E2" w14:textId="77777777" w:rsidR="00F607F1" w:rsidRPr="00F607F1" w:rsidRDefault="00F607F1" w:rsidP="00F607F1">
            <w:pPr>
              <w:overflowPunct/>
              <w:autoSpaceDE/>
              <w:autoSpaceDN/>
              <w:adjustRightInd/>
              <w:spacing w:after="0" w:line="240" w:lineRule="auto"/>
              <w:jc w:val="left"/>
              <w:textAlignment w:val="auto"/>
              <w:outlineLvl w:val="1"/>
              <w:rPr>
                <w:rFonts w:eastAsia="STZhongsong"/>
                <w:lang w:eastAsia="zh-CN"/>
              </w:rPr>
            </w:pPr>
            <w:r w:rsidRPr="00F607F1">
              <w:rPr>
                <w:rFonts w:eastAsia="STZhongsong"/>
                <w:lang w:eastAsia="zh-CN"/>
              </w:rPr>
              <w:t>It is preferential that all contracting staff working on the project will have secured SC clearance prior to starting work on this project. However as a minimum Potential Provider staff must have a Baseline Personnel Security Standard (BPSS) clearance or be prepared to undergo BPSS vetting.</w:t>
            </w:r>
          </w:p>
          <w:p w14:paraId="6C6836E5" w14:textId="1E49148C" w:rsidR="004363FF" w:rsidRPr="001268DA" w:rsidRDefault="004363FF" w:rsidP="001268DA">
            <w:pPr>
              <w:pStyle w:val="Default"/>
              <w:jc w:val="both"/>
              <w:rPr>
                <w:sz w:val="20"/>
                <w:szCs w:val="20"/>
              </w:rPr>
            </w:pPr>
          </w:p>
        </w:tc>
      </w:tr>
    </w:tbl>
    <w:p w14:paraId="3F779E76" w14:textId="77777777" w:rsidR="00AC1210" w:rsidRDefault="007E7F9E" w:rsidP="00102227">
      <w:pPr>
        <w:overflowPunct/>
        <w:autoSpaceDE/>
        <w:autoSpaceDN/>
        <w:adjustRightInd/>
        <w:spacing w:after="0" w:line="240" w:lineRule="auto"/>
        <w:jc w:val="left"/>
        <w:textAlignment w:val="auto"/>
        <w:rPr>
          <w:rFonts w:cs="Arial"/>
          <w:sz w:val="56"/>
          <w:szCs w:val="56"/>
        </w:rPr>
        <w:sectPr w:rsidR="00AC1210" w:rsidSect="004653B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035" w:right="1701" w:bottom="1440" w:left="1440" w:header="284" w:footer="57" w:gutter="0"/>
          <w:cols w:space="720"/>
          <w:docGrid w:linePitch="299"/>
        </w:sectPr>
      </w:pPr>
      <w:r w:rsidRPr="00783965">
        <w:rPr>
          <w:rFonts w:cs="Arial"/>
          <w:sz w:val="56"/>
          <w:szCs w:val="56"/>
        </w:rPr>
        <w:br w:type="page"/>
      </w:r>
    </w:p>
    <w:p w14:paraId="6C6836E7" w14:textId="4D9A9CA1" w:rsidR="00102227" w:rsidRPr="00AE5A0F" w:rsidRDefault="00292A73" w:rsidP="00102227">
      <w:pPr>
        <w:overflowPunct/>
        <w:autoSpaceDE/>
        <w:autoSpaceDN/>
        <w:adjustRightInd/>
        <w:spacing w:after="0" w:line="240" w:lineRule="auto"/>
        <w:jc w:val="left"/>
        <w:textAlignment w:val="auto"/>
        <w:rPr>
          <w:rFonts w:cs="Arial"/>
          <w:b/>
          <w:szCs w:val="22"/>
        </w:rPr>
      </w:pPr>
      <w:r w:rsidRPr="00AE5A0F" w:rsidDel="00292A73">
        <w:rPr>
          <w:rFonts w:cs="Arial"/>
          <w:szCs w:val="22"/>
        </w:rPr>
        <w:t xml:space="preserve"> </w:t>
      </w:r>
      <w:r w:rsidR="005C28AA" w:rsidRPr="00AE5A0F">
        <w:rPr>
          <w:rFonts w:cs="Arial"/>
          <w:b/>
          <w:szCs w:val="22"/>
        </w:rPr>
        <w:t>Appendix 2</w:t>
      </w:r>
      <w:r w:rsidR="00102227" w:rsidRPr="00AE5A0F">
        <w:rPr>
          <w:rFonts w:cs="Arial"/>
          <w:b/>
          <w:szCs w:val="22"/>
        </w:rPr>
        <w:t>: Contract Charges</w:t>
      </w:r>
    </w:p>
    <w:p w14:paraId="6C6836E8" w14:textId="77777777" w:rsidR="005C28AA" w:rsidRPr="00A4589E" w:rsidRDefault="005C28AA" w:rsidP="00292A73">
      <w:pPr>
        <w:overflowPunct/>
        <w:autoSpaceDE/>
        <w:autoSpaceDN/>
        <w:adjustRightInd/>
        <w:spacing w:after="0" w:line="240" w:lineRule="auto"/>
        <w:jc w:val="left"/>
        <w:textAlignment w:val="auto"/>
        <w:rPr>
          <w:rFonts w:cs="Arial"/>
          <w:b/>
          <w:sz w:val="20"/>
        </w:rPr>
      </w:pPr>
    </w:p>
    <w:p w14:paraId="6C6836E9" w14:textId="60C8903B" w:rsidR="00F46346" w:rsidRDefault="00F46346">
      <w:pPr>
        <w:overflowPunct/>
        <w:autoSpaceDE/>
        <w:autoSpaceDN/>
        <w:adjustRightInd/>
        <w:spacing w:after="0" w:line="240" w:lineRule="auto"/>
        <w:jc w:val="left"/>
        <w:textAlignment w:val="auto"/>
        <w:rPr>
          <w:rFonts w:cs="Arial"/>
          <w:b/>
          <w:sz w:val="20"/>
        </w:rPr>
      </w:pPr>
    </w:p>
    <w:tbl>
      <w:tblPr>
        <w:tblStyle w:val="TableGrid"/>
        <w:tblW w:w="14596" w:type="dxa"/>
        <w:tblLook w:val="04A0" w:firstRow="1" w:lastRow="0" w:firstColumn="1" w:lastColumn="0" w:noHBand="0" w:noVBand="1"/>
      </w:tblPr>
      <w:tblGrid>
        <w:gridCol w:w="2680"/>
        <w:gridCol w:w="11916"/>
      </w:tblGrid>
      <w:tr w:rsidR="00701CB8" w:rsidRPr="007E7F9E" w14:paraId="22541383" w14:textId="77777777" w:rsidTr="00AC1210">
        <w:trPr>
          <w:trHeight w:val="1404"/>
        </w:trPr>
        <w:tc>
          <w:tcPr>
            <w:tcW w:w="3080" w:type="dxa"/>
          </w:tcPr>
          <w:p w14:paraId="75D50594" w14:textId="38E3DDCF" w:rsidR="00701CB8" w:rsidRPr="00AD615B" w:rsidRDefault="00701CB8" w:rsidP="00701CB8">
            <w:pPr>
              <w:rPr>
                <w:b/>
                <w:color w:val="000000"/>
                <w:sz w:val="20"/>
              </w:rPr>
            </w:pPr>
            <w:r w:rsidRPr="00AD615B">
              <w:rPr>
                <w:b/>
                <w:color w:val="000000"/>
                <w:sz w:val="20"/>
              </w:rPr>
              <w:t xml:space="preserve">The Authority requires the Contractor to deliver the services as per the proposal dated </w:t>
            </w:r>
            <w:r w:rsidR="00AC1210">
              <w:rPr>
                <w:b/>
                <w:color w:val="000000"/>
                <w:sz w:val="20"/>
              </w:rPr>
              <w:t>16</w:t>
            </w:r>
            <w:r w:rsidR="00AC1210" w:rsidRPr="00AC1210">
              <w:rPr>
                <w:b/>
                <w:color w:val="000000"/>
                <w:sz w:val="20"/>
                <w:vertAlign w:val="superscript"/>
              </w:rPr>
              <w:t>th</w:t>
            </w:r>
            <w:r w:rsidR="00AC1210">
              <w:rPr>
                <w:b/>
                <w:color w:val="000000"/>
                <w:sz w:val="20"/>
              </w:rPr>
              <w:t xml:space="preserve"> August 2017</w:t>
            </w:r>
          </w:p>
          <w:p w14:paraId="3BF3DD66" w14:textId="77777777" w:rsidR="00701CB8" w:rsidRPr="007E7F9E" w:rsidRDefault="00701CB8" w:rsidP="00633707">
            <w:pPr>
              <w:rPr>
                <w:b/>
                <w:sz w:val="20"/>
              </w:rPr>
            </w:pPr>
          </w:p>
        </w:tc>
        <w:tc>
          <w:tcPr>
            <w:tcW w:w="11516" w:type="dxa"/>
            <w:shd w:val="clear" w:color="auto" w:fill="auto"/>
          </w:tcPr>
          <w:p w14:paraId="15817437" w14:textId="74A5F45B" w:rsidR="00701CB8" w:rsidRPr="001268DA" w:rsidRDefault="00703C8B" w:rsidP="004653BE">
            <w:pPr>
              <w:overflowPunct/>
              <w:autoSpaceDE/>
              <w:autoSpaceDN/>
              <w:adjustRightInd/>
              <w:spacing w:after="0" w:line="240" w:lineRule="auto"/>
              <w:jc w:val="left"/>
              <w:textAlignment w:val="auto"/>
              <w:rPr>
                <w:sz w:val="20"/>
              </w:rPr>
            </w:pPr>
            <w:r>
              <w:rPr>
                <w:rFonts w:eastAsia="STZhongsong" w:cs="Arial"/>
                <w:b/>
                <w:sz w:val="20"/>
                <w:lang w:eastAsia="zh-CN"/>
              </w:rPr>
              <w:object w:dxaOrig="5063" w:dyaOrig="818" w14:anchorId="2A793609">
                <v:shape id="_x0000_i1026" type="#_x0000_t75" style="width:253.15pt;height:40.9pt" o:ole="">
                  <v:imagedata r:id="rId22" o:title=""/>
                </v:shape>
                <o:OLEObject Type="Embed" ProgID="Package" ShapeID="_x0000_i1026" DrawAspect="Content" ObjectID="_1577528472" r:id="rId23"/>
              </w:object>
            </w:r>
          </w:p>
        </w:tc>
      </w:tr>
      <w:tr w:rsidR="007E7F9E" w:rsidRPr="007E7F9E" w14:paraId="6C6836F5" w14:textId="77777777" w:rsidTr="00AC1210">
        <w:trPr>
          <w:trHeight w:val="4101"/>
        </w:trPr>
        <w:tc>
          <w:tcPr>
            <w:tcW w:w="3080"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11516" w:type="dxa"/>
          </w:tcPr>
          <w:p w14:paraId="4C9A0F8E" w14:textId="4618D939" w:rsidR="00DF7D7D" w:rsidRDefault="00DF7D7D" w:rsidP="004653BE">
            <w:pPr>
              <w:overflowPunct/>
              <w:autoSpaceDE/>
              <w:autoSpaceDN/>
              <w:adjustRightInd/>
              <w:spacing w:after="0" w:line="240" w:lineRule="auto"/>
              <w:jc w:val="left"/>
              <w:textAlignment w:val="auto"/>
              <w:rPr>
                <w:rFonts w:eastAsia="STZhongsong" w:cs="Arial"/>
                <w:sz w:val="20"/>
                <w:lang w:eastAsia="zh-CN"/>
              </w:rPr>
            </w:pPr>
          </w:p>
          <w:p w14:paraId="2DE6A2D5" w14:textId="2CB318DA" w:rsidR="001518F8" w:rsidRPr="00BB1A59" w:rsidRDefault="00BB1A59" w:rsidP="004653BE">
            <w:pPr>
              <w:overflowPunct/>
              <w:autoSpaceDE/>
              <w:autoSpaceDN/>
              <w:adjustRightInd/>
              <w:spacing w:after="0" w:line="240" w:lineRule="auto"/>
              <w:jc w:val="left"/>
              <w:textAlignment w:val="auto"/>
              <w:rPr>
                <w:rFonts w:eastAsia="STZhongsong" w:cs="Arial"/>
                <w:b/>
                <w:sz w:val="20"/>
                <w:lang w:eastAsia="zh-CN"/>
              </w:rPr>
            </w:pPr>
            <w:r w:rsidRPr="00BB1A59">
              <w:rPr>
                <w:b/>
                <w:noProof/>
                <w:lang w:eastAsia="en-GB"/>
              </w:rPr>
              <w:t>[Personnel / Daily Rates Redacted]</w:t>
            </w:r>
          </w:p>
          <w:p w14:paraId="040184C6" w14:textId="77777777" w:rsidR="001518F8" w:rsidRDefault="001518F8" w:rsidP="004653BE">
            <w:pPr>
              <w:overflowPunct/>
              <w:autoSpaceDE/>
              <w:autoSpaceDN/>
              <w:adjustRightInd/>
              <w:spacing w:after="0" w:line="240" w:lineRule="auto"/>
              <w:jc w:val="left"/>
              <w:textAlignment w:val="auto"/>
              <w:rPr>
                <w:rFonts w:eastAsia="STZhongsong" w:cs="Arial"/>
                <w:sz w:val="20"/>
                <w:lang w:eastAsia="zh-CN"/>
              </w:rPr>
            </w:pPr>
          </w:p>
          <w:p w14:paraId="494F46AB" w14:textId="77777777" w:rsidR="001518F8" w:rsidRDefault="001518F8" w:rsidP="004653BE">
            <w:pPr>
              <w:overflowPunct/>
              <w:autoSpaceDE/>
              <w:autoSpaceDN/>
              <w:adjustRightInd/>
              <w:spacing w:after="0" w:line="240" w:lineRule="auto"/>
              <w:jc w:val="left"/>
              <w:textAlignment w:val="auto"/>
              <w:rPr>
                <w:rFonts w:eastAsia="STZhongsong" w:cs="Arial"/>
                <w:sz w:val="20"/>
                <w:lang w:eastAsia="zh-CN"/>
              </w:rPr>
            </w:pPr>
          </w:p>
          <w:p w14:paraId="1EAEBFE7" w14:textId="77777777" w:rsidR="00AC1210" w:rsidRDefault="00AC1210" w:rsidP="004653BE">
            <w:pPr>
              <w:overflowPunct/>
              <w:autoSpaceDE/>
              <w:autoSpaceDN/>
              <w:adjustRightInd/>
              <w:spacing w:after="0" w:line="240" w:lineRule="auto"/>
              <w:jc w:val="left"/>
              <w:textAlignment w:val="auto"/>
              <w:rPr>
                <w:rFonts w:eastAsia="STZhongsong" w:cs="Arial"/>
                <w:sz w:val="20"/>
                <w:lang w:eastAsia="zh-CN"/>
              </w:rPr>
            </w:pPr>
          </w:p>
          <w:p w14:paraId="3104B72B" w14:textId="77777777" w:rsidR="00AC1210" w:rsidRDefault="00AC1210" w:rsidP="004653BE">
            <w:pPr>
              <w:overflowPunct/>
              <w:autoSpaceDE/>
              <w:autoSpaceDN/>
              <w:adjustRightInd/>
              <w:spacing w:after="0" w:line="240" w:lineRule="auto"/>
              <w:jc w:val="left"/>
              <w:textAlignment w:val="auto"/>
              <w:rPr>
                <w:rFonts w:eastAsia="STZhongsong" w:cs="Arial"/>
                <w:sz w:val="20"/>
                <w:lang w:eastAsia="zh-CN"/>
              </w:rPr>
            </w:pPr>
          </w:p>
          <w:p w14:paraId="1CF3B395" w14:textId="77777777" w:rsidR="00AC1210" w:rsidRDefault="00AC1210" w:rsidP="004653BE">
            <w:pPr>
              <w:overflowPunct/>
              <w:autoSpaceDE/>
              <w:autoSpaceDN/>
              <w:adjustRightInd/>
              <w:spacing w:after="0" w:line="240" w:lineRule="auto"/>
              <w:jc w:val="left"/>
              <w:textAlignment w:val="auto"/>
              <w:rPr>
                <w:rFonts w:eastAsia="STZhongsong" w:cs="Arial"/>
                <w:sz w:val="20"/>
                <w:lang w:eastAsia="zh-CN"/>
              </w:rPr>
            </w:pPr>
          </w:p>
          <w:p w14:paraId="4C3D0F21" w14:textId="77777777" w:rsidR="00AC1210" w:rsidRDefault="00AC1210" w:rsidP="004653BE">
            <w:pPr>
              <w:overflowPunct/>
              <w:autoSpaceDE/>
              <w:autoSpaceDN/>
              <w:adjustRightInd/>
              <w:spacing w:after="0" w:line="240" w:lineRule="auto"/>
              <w:jc w:val="left"/>
              <w:textAlignment w:val="auto"/>
              <w:rPr>
                <w:rFonts w:eastAsia="STZhongsong" w:cs="Arial"/>
                <w:sz w:val="20"/>
                <w:lang w:eastAsia="zh-CN"/>
              </w:rPr>
            </w:pPr>
          </w:p>
          <w:p w14:paraId="0156E471" w14:textId="1AA5F8E7" w:rsidR="001518F8" w:rsidRDefault="001518F8" w:rsidP="004653BE">
            <w:pPr>
              <w:overflowPunct/>
              <w:autoSpaceDE/>
              <w:autoSpaceDN/>
              <w:adjustRightInd/>
              <w:spacing w:after="0" w:line="240" w:lineRule="auto"/>
              <w:jc w:val="left"/>
              <w:textAlignment w:val="auto"/>
              <w:rPr>
                <w:rFonts w:eastAsia="STZhongsong" w:cs="Arial"/>
                <w:sz w:val="20"/>
                <w:lang w:eastAsia="zh-CN"/>
              </w:rPr>
            </w:pPr>
          </w:p>
          <w:p w14:paraId="7D86801D" w14:textId="77777777" w:rsidR="001518F8" w:rsidRDefault="001518F8" w:rsidP="004653BE">
            <w:pPr>
              <w:overflowPunct/>
              <w:autoSpaceDE/>
              <w:autoSpaceDN/>
              <w:adjustRightInd/>
              <w:spacing w:after="0" w:line="240" w:lineRule="auto"/>
              <w:jc w:val="left"/>
              <w:textAlignment w:val="auto"/>
              <w:rPr>
                <w:rFonts w:eastAsia="STZhongsong" w:cs="Arial"/>
                <w:sz w:val="20"/>
                <w:lang w:eastAsia="zh-CN"/>
              </w:rPr>
            </w:pPr>
          </w:p>
          <w:p w14:paraId="2BEDDA2A" w14:textId="77777777" w:rsidR="001518F8" w:rsidRDefault="001518F8" w:rsidP="004653BE">
            <w:pPr>
              <w:overflowPunct/>
              <w:autoSpaceDE/>
              <w:autoSpaceDN/>
              <w:adjustRightInd/>
              <w:spacing w:after="0" w:line="240" w:lineRule="auto"/>
              <w:jc w:val="left"/>
              <w:textAlignment w:val="auto"/>
              <w:rPr>
                <w:rFonts w:eastAsia="STZhongsong" w:cs="Arial"/>
                <w:sz w:val="20"/>
                <w:lang w:eastAsia="zh-CN"/>
              </w:rPr>
            </w:pPr>
          </w:p>
          <w:p w14:paraId="5D8E4BA0"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36F81390"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66135E5E"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10181AF0"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07CE140D"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07E3E64E"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4D06FEEC"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206E939B"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4D215C0D"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4F9A03C8" w14:textId="19DD2928" w:rsidR="00DF7D7D" w:rsidRDefault="00DF7D7D" w:rsidP="001518F8">
            <w:pPr>
              <w:overflowPunct/>
              <w:autoSpaceDE/>
              <w:autoSpaceDN/>
              <w:adjustRightInd/>
              <w:spacing w:after="0" w:line="240" w:lineRule="auto"/>
              <w:jc w:val="left"/>
              <w:textAlignment w:val="auto"/>
              <w:rPr>
                <w:rFonts w:eastAsia="STZhongsong" w:cs="Arial"/>
                <w:sz w:val="20"/>
                <w:lang w:eastAsia="zh-CN"/>
              </w:rPr>
            </w:pPr>
            <w:r>
              <w:rPr>
                <w:noProof/>
                <w:lang w:eastAsia="en-GB"/>
              </w:rPr>
              <w:drawing>
                <wp:anchor distT="0" distB="0" distL="114300" distR="114300" simplePos="0" relativeHeight="251662336" behindDoc="1" locked="0" layoutInCell="1" allowOverlap="1" wp14:anchorId="10BD88EB" wp14:editId="0E3B3D96">
                  <wp:simplePos x="0" y="0"/>
                  <wp:positionH relativeFrom="column">
                    <wp:posOffset>65433</wp:posOffset>
                  </wp:positionH>
                  <wp:positionV relativeFrom="paragraph">
                    <wp:posOffset>1601</wp:posOffset>
                  </wp:positionV>
                  <wp:extent cx="7425197" cy="2351846"/>
                  <wp:effectExtent l="0" t="0" r="4445" b="0"/>
                  <wp:wrapTight wrapText="bothSides">
                    <wp:wrapPolygon edited="0">
                      <wp:start x="0" y="0"/>
                      <wp:lineTo x="0" y="21349"/>
                      <wp:lineTo x="21558" y="21349"/>
                      <wp:lineTo x="2155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425197" cy="2351846"/>
                          </a:xfrm>
                          <a:prstGeom prst="rect">
                            <a:avLst/>
                          </a:prstGeom>
                        </pic:spPr>
                      </pic:pic>
                    </a:graphicData>
                  </a:graphic>
                  <wp14:sizeRelH relativeFrom="page">
                    <wp14:pctWidth>0</wp14:pctWidth>
                  </wp14:sizeRelH>
                  <wp14:sizeRelV relativeFrom="page">
                    <wp14:pctHeight>0</wp14:pctHeight>
                  </wp14:sizeRelV>
                </wp:anchor>
              </w:drawing>
            </w:r>
          </w:p>
          <w:p w14:paraId="5480B49A" w14:textId="77777777" w:rsidR="007E7F9E" w:rsidRDefault="004653BE" w:rsidP="001518F8">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 xml:space="preserve">For the avoidance of doubt the maximum Contract value will be </w:t>
            </w:r>
            <w:r w:rsidR="00AC1210">
              <w:rPr>
                <w:rFonts w:eastAsia="STZhongsong" w:cs="Arial"/>
                <w:sz w:val="20"/>
                <w:lang w:eastAsia="zh-CN"/>
              </w:rPr>
              <w:t>£553,600</w:t>
            </w:r>
            <w:r>
              <w:rPr>
                <w:rFonts w:eastAsia="STZhongsong" w:cs="Arial"/>
                <w:sz w:val="20"/>
                <w:lang w:eastAsia="zh-CN"/>
              </w:rPr>
              <w:t xml:space="preserve"> (Exc. VAT) </w:t>
            </w:r>
          </w:p>
          <w:p w14:paraId="4A684E57" w14:textId="77777777" w:rsidR="00DF7D7D" w:rsidRDefault="00DF7D7D" w:rsidP="001518F8">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Please see the embedded price Schedule for further details:</w:t>
            </w:r>
          </w:p>
          <w:p w14:paraId="6DFCD631" w14:textId="6DCD26A1" w:rsidR="00DF7D7D" w:rsidRDefault="00DF7D7D" w:rsidP="001518F8">
            <w:pPr>
              <w:overflowPunct/>
              <w:autoSpaceDE/>
              <w:autoSpaceDN/>
              <w:adjustRightInd/>
              <w:spacing w:after="0" w:line="240" w:lineRule="auto"/>
              <w:jc w:val="left"/>
              <w:textAlignment w:val="auto"/>
              <w:rPr>
                <w:rFonts w:eastAsia="STZhongsong" w:cs="Arial"/>
                <w:sz w:val="20"/>
                <w:lang w:eastAsia="zh-CN"/>
              </w:rPr>
            </w:pPr>
          </w:p>
          <w:p w14:paraId="724FDA9B" w14:textId="067F808E" w:rsidR="00BB1A59" w:rsidRPr="00BB1A59" w:rsidRDefault="00BB1A59" w:rsidP="001518F8">
            <w:pPr>
              <w:overflowPunct/>
              <w:autoSpaceDE/>
              <w:autoSpaceDN/>
              <w:adjustRightInd/>
              <w:spacing w:after="0" w:line="240" w:lineRule="auto"/>
              <w:jc w:val="left"/>
              <w:textAlignment w:val="auto"/>
              <w:rPr>
                <w:rFonts w:eastAsia="STZhongsong" w:cs="Arial"/>
                <w:b/>
                <w:sz w:val="20"/>
                <w:lang w:eastAsia="zh-CN"/>
              </w:rPr>
            </w:pPr>
            <w:r w:rsidRPr="00BB1A59">
              <w:rPr>
                <w:rFonts w:eastAsia="STZhongsong" w:cs="Arial"/>
                <w:b/>
                <w:sz w:val="20"/>
                <w:lang w:eastAsia="zh-CN"/>
              </w:rPr>
              <w:t>[Redacted]</w:t>
            </w:r>
          </w:p>
          <w:p w14:paraId="6C6836F4" w14:textId="627555C5" w:rsidR="00DF7D7D" w:rsidRPr="004653BE" w:rsidRDefault="00DF7D7D" w:rsidP="001518F8">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 xml:space="preserve"> </w:t>
            </w:r>
          </w:p>
        </w:tc>
      </w:tr>
      <w:tr w:rsidR="007E7F9E" w:rsidRPr="007E7F9E" w14:paraId="6C6836F9" w14:textId="77777777" w:rsidTr="00AC1210">
        <w:tc>
          <w:tcPr>
            <w:tcW w:w="3080" w:type="dxa"/>
          </w:tcPr>
          <w:p w14:paraId="6C6836F6" w14:textId="1E924F67" w:rsidR="007E7F9E" w:rsidRPr="007E7F9E" w:rsidRDefault="007E7F9E" w:rsidP="007E7F9E">
            <w:pPr>
              <w:rPr>
                <w:b/>
                <w:sz w:val="20"/>
              </w:rPr>
            </w:pPr>
            <w:r w:rsidRPr="007E7F9E">
              <w:rPr>
                <w:b/>
                <w:sz w:val="20"/>
              </w:rPr>
              <w:t>Invoicing arrangements</w:t>
            </w:r>
          </w:p>
        </w:tc>
        <w:tc>
          <w:tcPr>
            <w:tcW w:w="11516" w:type="dxa"/>
            <w:shd w:val="clear" w:color="auto" w:fill="FFFFFF" w:themeFill="background1"/>
          </w:tcPr>
          <w:p w14:paraId="7A20FF48" w14:textId="5338F40F" w:rsidR="004653BE" w:rsidRDefault="004653BE" w:rsidP="00A266B3">
            <w:pPr>
              <w:spacing w:after="0" w:line="240" w:lineRule="auto"/>
              <w:rPr>
                <w:b/>
                <w:i/>
                <w:sz w:val="20"/>
              </w:rPr>
            </w:pPr>
          </w:p>
          <w:p w14:paraId="71045E29" w14:textId="77777777" w:rsidR="00027CCB" w:rsidRDefault="00027CCB" w:rsidP="00027CCB">
            <w:pPr>
              <w:pStyle w:val="Heading2"/>
              <w:numPr>
                <w:ilvl w:val="0"/>
                <w:numId w:val="0"/>
              </w:numPr>
              <w:outlineLvl w:val="1"/>
              <w:rPr>
                <w:rFonts w:cs="Arial"/>
                <w:color w:val="000000"/>
                <w:szCs w:val="22"/>
                <w:shd w:val="clear" w:color="auto" w:fill="FFFFFF"/>
              </w:rPr>
            </w:pPr>
            <w:r w:rsidRPr="0066227E">
              <w:rPr>
                <w:rFonts w:cs="Arial"/>
                <w:color w:val="000000"/>
                <w:szCs w:val="22"/>
                <w:shd w:val="clear" w:color="auto" w:fill="FFFFFF"/>
              </w:rPr>
              <w:t>Payment can only be made following satisfactory delivery of pre-agreed certified products and deliverables.</w:t>
            </w:r>
          </w:p>
          <w:p w14:paraId="6C6836F8" w14:textId="6163CFA7" w:rsidR="00A266B3" w:rsidRPr="00027CCB" w:rsidRDefault="00027CCB" w:rsidP="00027CCB">
            <w:pPr>
              <w:pStyle w:val="Heading2"/>
              <w:numPr>
                <w:ilvl w:val="0"/>
                <w:numId w:val="0"/>
              </w:numPr>
              <w:outlineLvl w:val="1"/>
              <w:rPr>
                <w:rFonts w:cs="Arial"/>
                <w:color w:val="000000"/>
                <w:szCs w:val="22"/>
                <w:shd w:val="clear" w:color="auto" w:fill="FFFFFF"/>
              </w:rPr>
            </w:pPr>
            <w:r>
              <w:rPr>
                <w:rFonts w:cs="Arial"/>
                <w:color w:val="000000"/>
                <w:szCs w:val="22"/>
                <w:shd w:val="clear" w:color="auto" w:fill="FFFFFF"/>
              </w:rPr>
              <w:t xml:space="preserve">Before </w:t>
            </w:r>
            <w:r w:rsidRPr="0066227E">
              <w:rPr>
                <w:rFonts w:cs="Arial"/>
                <w:color w:val="000000"/>
                <w:szCs w:val="22"/>
                <w:shd w:val="clear" w:color="auto" w:fill="FFFFFF"/>
              </w:rPr>
              <w:t xml:space="preserve">payment can be considered, each invoice must include a detailed elemental breakdown of work completed and the associated costs. </w:t>
            </w:r>
            <w:r>
              <w:rPr>
                <w:rFonts w:cs="Arial"/>
                <w:color w:val="000000"/>
                <w:szCs w:val="22"/>
                <w:shd w:val="clear" w:color="auto" w:fill="FFFFFF"/>
              </w:rPr>
              <w:t xml:space="preserve"> </w:t>
            </w:r>
            <w:r w:rsidRPr="0066227E">
              <w:rPr>
                <w:rFonts w:cs="Arial"/>
                <w:color w:val="000000"/>
                <w:szCs w:val="22"/>
                <w:shd w:val="clear" w:color="auto" w:fill="FFFFFF"/>
              </w:rPr>
              <w:t xml:space="preserve"> </w:t>
            </w:r>
          </w:p>
        </w:tc>
      </w:tr>
      <w:tr w:rsidR="007E7F9E" w:rsidRPr="007E7F9E" w14:paraId="6C683700" w14:textId="77777777" w:rsidTr="00AC1210">
        <w:tc>
          <w:tcPr>
            <w:tcW w:w="3080" w:type="dxa"/>
          </w:tcPr>
          <w:p w14:paraId="6C6836FA" w14:textId="77777777" w:rsidR="007E7F9E" w:rsidRPr="007E7F9E" w:rsidRDefault="007E7F9E" w:rsidP="007E7F9E">
            <w:pPr>
              <w:rPr>
                <w:b/>
                <w:sz w:val="20"/>
              </w:rPr>
            </w:pPr>
            <w:r w:rsidRPr="007E7F9E">
              <w:rPr>
                <w:b/>
                <w:sz w:val="20"/>
              </w:rPr>
              <w:t>Performance-related  payment</w:t>
            </w:r>
          </w:p>
        </w:tc>
        <w:tc>
          <w:tcPr>
            <w:tcW w:w="11516" w:type="dxa"/>
          </w:tcPr>
          <w:p w14:paraId="6C6836FE" w14:textId="4D2236CC" w:rsidR="004A3C70" w:rsidRDefault="00027CCB" w:rsidP="00A266B3">
            <w:pPr>
              <w:spacing w:after="0" w:line="240" w:lineRule="auto"/>
              <w:rPr>
                <w:b/>
                <w:i/>
                <w:color w:val="FF0000"/>
                <w:sz w:val="20"/>
              </w:rPr>
            </w:pPr>
            <w:r>
              <w:rPr>
                <w:rFonts w:eastAsia="STZhongsong" w:cs="Arial"/>
                <w:b/>
                <w:sz w:val="20"/>
                <w:lang w:eastAsia="zh-CN"/>
              </w:rPr>
              <w:t>Not Used.</w:t>
            </w:r>
          </w:p>
          <w:p w14:paraId="6C6836FF" w14:textId="1721474A" w:rsidR="00A266B3" w:rsidRPr="00A266B3" w:rsidRDefault="00A266B3" w:rsidP="00CE53B2">
            <w:pPr>
              <w:spacing w:after="0" w:line="240" w:lineRule="auto"/>
              <w:rPr>
                <w:b/>
                <w:i/>
                <w:color w:val="FF0000"/>
                <w:sz w:val="20"/>
              </w:rPr>
            </w:pPr>
          </w:p>
        </w:tc>
      </w:tr>
      <w:tr w:rsidR="007E7F9E" w:rsidRPr="007E7F9E" w14:paraId="6C683708" w14:textId="77777777" w:rsidTr="00AC1210">
        <w:tc>
          <w:tcPr>
            <w:tcW w:w="3080" w:type="dxa"/>
          </w:tcPr>
          <w:p w14:paraId="6C683701"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t>S</w:t>
            </w:r>
            <w:r w:rsidR="004363FF">
              <w:rPr>
                <w:b/>
                <w:sz w:val="20"/>
              </w:rPr>
              <w:t>ubsistence</w:t>
            </w:r>
          </w:p>
        </w:tc>
        <w:tc>
          <w:tcPr>
            <w:tcW w:w="11516" w:type="dxa"/>
            <w:shd w:val="clear" w:color="auto" w:fill="FFFFFF" w:themeFill="background1"/>
          </w:tcPr>
          <w:p w14:paraId="6C683707" w14:textId="622BC8A0" w:rsidR="007E7F9E" w:rsidRPr="004363FF" w:rsidRDefault="00027CCB" w:rsidP="001268DA">
            <w:pPr>
              <w:spacing w:after="0" w:line="240" w:lineRule="auto"/>
              <w:jc w:val="left"/>
              <w:rPr>
                <w:i/>
                <w:sz w:val="20"/>
              </w:rPr>
            </w:pPr>
            <w:r w:rsidRPr="00F040BD">
              <w:rPr>
                <w:rFonts w:cs="Arial"/>
                <w:sz w:val="20"/>
              </w:rPr>
              <w:t>All prices must be quoted inclusive of expenses but exclusive of VAT.</w:t>
            </w:r>
          </w:p>
        </w:tc>
      </w:tr>
    </w:tbl>
    <w:p w14:paraId="6C683709" w14:textId="3786C574"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11B818B1" w14:textId="77777777" w:rsidR="00027CCB" w:rsidRDefault="00027CCB" w:rsidP="00102227">
      <w:pPr>
        <w:overflowPunct/>
        <w:autoSpaceDE/>
        <w:autoSpaceDN/>
        <w:adjustRightInd/>
        <w:spacing w:after="0" w:line="240" w:lineRule="auto"/>
        <w:jc w:val="left"/>
        <w:textAlignment w:val="auto"/>
        <w:rPr>
          <w:rFonts w:cs="Arial"/>
          <w:b/>
          <w:szCs w:val="22"/>
        </w:rPr>
        <w:sectPr w:rsidR="00027CCB" w:rsidSect="00AC1210">
          <w:endnotePr>
            <w:numFmt w:val="decimal"/>
          </w:endnotePr>
          <w:pgSz w:w="16840" w:h="11907" w:orient="landscape" w:code="9"/>
          <w:pgMar w:top="1440" w:right="1701" w:bottom="1440" w:left="1440" w:header="284" w:footer="57" w:gutter="0"/>
          <w:cols w:space="720"/>
          <w:docGrid w:linePitch="299"/>
        </w:sectPr>
      </w:pPr>
    </w:p>
    <w:p w14:paraId="6C68370B" w14:textId="44BC954A"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t>Appendix 3</w:t>
      </w:r>
      <w:r w:rsidR="00102227" w:rsidRPr="00AE5A0F">
        <w:rPr>
          <w:rFonts w:cs="Arial"/>
          <w:b/>
          <w:szCs w:val="22"/>
        </w:rPr>
        <w:t>: (Variations and/or supplements to the Call-Off Terms)</w:t>
      </w:r>
    </w:p>
    <w:p w14:paraId="6C68370E" w14:textId="49EF0CE9" w:rsidR="00E02A90" w:rsidRDefault="005C28AA" w:rsidP="001268DA">
      <w:pPr>
        <w:overflowPunct/>
        <w:autoSpaceDE/>
        <w:autoSpaceDN/>
        <w:adjustRightInd/>
        <w:spacing w:after="0" w:line="240" w:lineRule="auto"/>
        <w:jc w:val="left"/>
        <w:textAlignment w:val="auto"/>
        <w:rPr>
          <w:rFonts w:cs="Arial"/>
          <w:b/>
          <w:i/>
          <w:sz w:val="20"/>
        </w:rPr>
      </w:pPr>
      <w:r w:rsidRPr="00A4589E">
        <w:rPr>
          <w:rFonts w:cs="Arial"/>
          <w:b/>
          <w:sz w:val="20"/>
        </w:rPr>
        <w:br/>
      </w:r>
      <w:r w:rsidR="004653BE">
        <w:rPr>
          <w:rFonts w:cs="Arial"/>
          <w:b/>
          <w:i/>
          <w:sz w:val="20"/>
        </w:rPr>
        <w:t>N</w:t>
      </w:r>
      <w:r w:rsidR="004653BE" w:rsidRPr="004C0DE0">
        <w:rPr>
          <w:rFonts w:cs="Arial"/>
          <w:b/>
          <w:i/>
          <w:sz w:val="20"/>
        </w:rPr>
        <w:t xml:space="preserve">ot </w:t>
      </w:r>
      <w:r w:rsidR="004653BE">
        <w:rPr>
          <w:rFonts w:cs="Arial"/>
          <w:b/>
          <w:i/>
          <w:sz w:val="20"/>
        </w:rPr>
        <w:t>U</w:t>
      </w:r>
      <w:r w:rsidR="004653BE" w:rsidRPr="004C0DE0">
        <w:rPr>
          <w:rFonts w:cs="Arial"/>
          <w:b/>
          <w:i/>
          <w:sz w:val="20"/>
        </w:rPr>
        <w:t>sed</w:t>
      </w:r>
    </w:p>
    <w:p w14:paraId="72CF19D0" w14:textId="77777777" w:rsidR="001268DA" w:rsidRDefault="001268DA" w:rsidP="001268DA">
      <w:pPr>
        <w:overflowPunct/>
        <w:autoSpaceDE/>
        <w:autoSpaceDN/>
        <w:adjustRightInd/>
        <w:spacing w:after="0" w:line="240" w:lineRule="auto"/>
        <w:jc w:val="left"/>
        <w:textAlignment w:val="auto"/>
        <w:rPr>
          <w:rFonts w:cs="Arial"/>
          <w:b/>
          <w:i/>
          <w:sz w:val="20"/>
        </w:rPr>
      </w:pPr>
    </w:p>
    <w:p w14:paraId="0E1E323B" w14:textId="77777777" w:rsidR="001268DA" w:rsidRDefault="001268DA" w:rsidP="001268DA">
      <w:pPr>
        <w:overflowPunct/>
        <w:autoSpaceDE/>
        <w:autoSpaceDN/>
        <w:adjustRightInd/>
        <w:spacing w:after="0" w:line="240" w:lineRule="auto"/>
        <w:jc w:val="left"/>
        <w:textAlignment w:val="auto"/>
        <w:rPr>
          <w:rFonts w:cs="Arial"/>
          <w:b/>
          <w:i/>
          <w:sz w:val="20"/>
        </w:rPr>
      </w:pPr>
    </w:p>
    <w:p w14:paraId="3779CA0A" w14:textId="77777777" w:rsidR="001268DA" w:rsidRDefault="001268DA" w:rsidP="001268DA">
      <w:pPr>
        <w:overflowPunct/>
        <w:autoSpaceDE/>
        <w:autoSpaceDN/>
        <w:adjustRightInd/>
        <w:spacing w:after="0" w:line="240" w:lineRule="auto"/>
        <w:jc w:val="left"/>
        <w:textAlignment w:val="auto"/>
        <w:rPr>
          <w:rFonts w:cs="Arial"/>
          <w:b/>
          <w:i/>
          <w:sz w:val="20"/>
        </w:rPr>
      </w:pPr>
    </w:p>
    <w:p w14:paraId="5648BBD8" w14:textId="77777777" w:rsidR="001268DA" w:rsidRDefault="001268DA" w:rsidP="001268DA">
      <w:pPr>
        <w:overflowPunct/>
        <w:autoSpaceDE/>
        <w:autoSpaceDN/>
        <w:adjustRightInd/>
        <w:spacing w:after="0" w:line="240" w:lineRule="auto"/>
        <w:jc w:val="left"/>
        <w:textAlignment w:val="auto"/>
        <w:rPr>
          <w:rFonts w:cs="Arial"/>
          <w:b/>
          <w:i/>
          <w:sz w:val="20"/>
        </w:rPr>
      </w:pPr>
    </w:p>
    <w:p w14:paraId="3F5B41FC" w14:textId="77777777" w:rsidR="001268DA" w:rsidRDefault="001268DA" w:rsidP="001268DA">
      <w:pPr>
        <w:overflowPunct/>
        <w:autoSpaceDE/>
        <w:autoSpaceDN/>
        <w:adjustRightInd/>
        <w:spacing w:after="0" w:line="240" w:lineRule="auto"/>
        <w:jc w:val="left"/>
        <w:textAlignment w:val="auto"/>
        <w:rPr>
          <w:rFonts w:cs="Arial"/>
          <w:b/>
          <w:i/>
          <w:sz w:val="20"/>
        </w:rPr>
      </w:pPr>
    </w:p>
    <w:p w14:paraId="2AFF2555" w14:textId="77777777" w:rsidR="001268DA" w:rsidRDefault="001268DA" w:rsidP="001268DA">
      <w:pPr>
        <w:overflowPunct/>
        <w:autoSpaceDE/>
        <w:autoSpaceDN/>
        <w:adjustRightInd/>
        <w:spacing w:after="0" w:line="240" w:lineRule="auto"/>
        <w:jc w:val="left"/>
        <w:textAlignment w:val="auto"/>
        <w:rPr>
          <w:rFonts w:cs="Arial"/>
          <w:b/>
          <w:i/>
          <w:sz w:val="20"/>
        </w:rPr>
      </w:pPr>
    </w:p>
    <w:p w14:paraId="1947FDFB" w14:textId="77777777" w:rsidR="001268DA" w:rsidRDefault="001268DA" w:rsidP="001268DA">
      <w:pPr>
        <w:overflowPunct/>
        <w:autoSpaceDE/>
        <w:autoSpaceDN/>
        <w:adjustRightInd/>
        <w:spacing w:after="0" w:line="240" w:lineRule="auto"/>
        <w:jc w:val="left"/>
        <w:textAlignment w:val="auto"/>
        <w:rPr>
          <w:rFonts w:cs="Arial"/>
          <w:b/>
          <w:i/>
          <w:sz w:val="20"/>
        </w:rPr>
      </w:pPr>
    </w:p>
    <w:p w14:paraId="79E74053" w14:textId="77777777" w:rsidR="001268DA" w:rsidRDefault="001268DA" w:rsidP="001268DA">
      <w:pPr>
        <w:overflowPunct/>
        <w:autoSpaceDE/>
        <w:autoSpaceDN/>
        <w:adjustRightInd/>
        <w:spacing w:after="0" w:line="240" w:lineRule="auto"/>
        <w:jc w:val="left"/>
        <w:textAlignment w:val="auto"/>
        <w:rPr>
          <w:rFonts w:cs="Arial"/>
          <w:b/>
          <w:i/>
          <w:sz w:val="20"/>
        </w:rPr>
      </w:pPr>
    </w:p>
    <w:p w14:paraId="379BAE8F" w14:textId="77777777" w:rsidR="001268DA" w:rsidRDefault="001268DA" w:rsidP="001268DA">
      <w:pPr>
        <w:overflowPunct/>
        <w:autoSpaceDE/>
        <w:autoSpaceDN/>
        <w:adjustRightInd/>
        <w:spacing w:after="0" w:line="240" w:lineRule="auto"/>
        <w:jc w:val="left"/>
        <w:textAlignment w:val="auto"/>
        <w:rPr>
          <w:rFonts w:cs="Arial"/>
          <w:b/>
          <w:i/>
          <w:sz w:val="20"/>
        </w:rPr>
      </w:pPr>
    </w:p>
    <w:p w14:paraId="6A8467E8" w14:textId="77777777" w:rsidR="001268DA" w:rsidRDefault="001268DA" w:rsidP="001268DA">
      <w:pPr>
        <w:overflowPunct/>
        <w:autoSpaceDE/>
        <w:autoSpaceDN/>
        <w:adjustRightInd/>
        <w:spacing w:after="0" w:line="240" w:lineRule="auto"/>
        <w:jc w:val="left"/>
        <w:textAlignment w:val="auto"/>
        <w:rPr>
          <w:rFonts w:cs="Arial"/>
          <w:b/>
          <w:i/>
          <w:sz w:val="20"/>
        </w:rPr>
      </w:pPr>
    </w:p>
    <w:p w14:paraId="749325D1" w14:textId="77777777" w:rsidR="001268DA" w:rsidRDefault="001268DA" w:rsidP="001268DA">
      <w:pPr>
        <w:overflowPunct/>
        <w:autoSpaceDE/>
        <w:autoSpaceDN/>
        <w:adjustRightInd/>
        <w:spacing w:after="0" w:line="240" w:lineRule="auto"/>
        <w:jc w:val="left"/>
        <w:textAlignment w:val="auto"/>
        <w:rPr>
          <w:rFonts w:cs="Arial"/>
          <w:b/>
          <w:i/>
          <w:sz w:val="20"/>
        </w:rPr>
      </w:pPr>
    </w:p>
    <w:p w14:paraId="4C1EAA67" w14:textId="77777777" w:rsidR="001268DA" w:rsidRDefault="001268DA" w:rsidP="001268DA">
      <w:pPr>
        <w:overflowPunct/>
        <w:autoSpaceDE/>
        <w:autoSpaceDN/>
        <w:adjustRightInd/>
        <w:spacing w:after="0" w:line="240" w:lineRule="auto"/>
        <w:jc w:val="left"/>
        <w:textAlignment w:val="auto"/>
        <w:rPr>
          <w:rFonts w:cs="Arial"/>
          <w:b/>
          <w:i/>
          <w:sz w:val="20"/>
        </w:rPr>
      </w:pPr>
    </w:p>
    <w:p w14:paraId="4F7C0569" w14:textId="77777777" w:rsidR="001268DA" w:rsidRDefault="001268DA" w:rsidP="001268DA">
      <w:pPr>
        <w:overflowPunct/>
        <w:autoSpaceDE/>
        <w:autoSpaceDN/>
        <w:adjustRightInd/>
        <w:spacing w:after="0" w:line="240" w:lineRule="auto"/>
        <w:jc w:val="left"/>
        <w:textAlignment w:val="auto"/>
        <w:rPr>
          <w:rFonts w:cs="Arial"/>
          <w:b/>
          <w:i/>
          <w:sz w:val="20"/>
        </w:rPr>
      </w:pPr>
    </w:p>
    <w:p w14:paraId="63E87EBC" w14:textId="77777777" w:rsidR="001268DA" w:rsidRDefault="001268DA" w:rsidP="001268DA">
      <w:pPr>
        <w:overflowPunct/>
        <w:autoSpaceDE/>
        <w:autoSpaceDN/>
        <w:adjustRightInd/>
        <w:spacing w:after="0" w:line="240" w:lineRule="auto"/>
        <w:jc w:val="left"/>
        <w:textAlignment w:val="auto"/>
        <w:rPr>
          <w:rFonts w:cs="Arial"/>
          <w:b/>
          <w:i/>
          <w:sz w:val="20"/>
        </w:rPr>
      </w:pPr>
    </w:p>
    <w:p w14:paraId="6952DA38" w14:textId="77777777" w:rsidR="001268DA" w:rsidRDefault="001268DA" w:rsidP="001268DA">
      <w:pPr>
        <w:overflowPunct/>
        <w:autoSpaceDE/>
        <w:autoSpaceDN/>
        <w:adjustRightInd/>
        <w:spacing w:after="0" w:line="240" w:lineRule="auto"/>
        <w:jc w:val="left"/>
        <w:textAlignment w:val="auto"/>
        <w:rPr>
          <w:rFonts w:cs="Arial"/>
          <w:b/>
          <w:i/>
          <w:sz w:val="20"/>
        </w:rPr>
      </w:pPr>
    </w:p>
    <w:p w14:paraId="2A8A9413" w14:textId="77777777" w:rsidR="001268DA" w:rsidRDefault="001268DA" w:rsidP="001268DA">
      <w:pPr>
        <w:overflowPunct/>
        <w:autoSpaceDE/>
        <w:autoSpaceDN/>
        <w:adjustRightInd/>
        <w:spacing w:after="0" w:line="240" w:lineRule="auto"/>
        <w:jc w:val="left"/>
        <w:textAlignment w:val="auto"/>
        <w:rPr>
          <w:rFonts w:cs="Arial"/>
          <w:b/>
          <w:i/>
          <w:sz w:val="20"/>
        </w:rPr>
      </w:pPr>
    </w:p>
    <w:p w14:paraId="215F6ECD" w14:textId="77777777" w:rsidR="001268DA" w:rsidRDefault="001268DA" w:rsidP="001268DA">
      <w:pPr>
        <w:overflowPunct/>
        <w:autoSpaceDE/>
        <w:autoSpaceDN/>
        <w:adjustRightInd/>
        <w:spacing w:after="0" w:line="240" w:lineRule="auto"/>
        <w:jc w:val="left"/>
        <w:textAlignment w:val="auto"/>
        <w:rPr>
          <w:rFonts w:cs="Arial"/>
          <w:b/>
          <w:i/>
          <w:sz w:val="20"/>
        </w:rPr>
      </w:pPr>
    </w:p>
    <w:p w14:paraId="652A7667" w14:textId="77777777" w:rsidR="001268DA" w:rsidRDefault="001268DA" w:rsidP="001268DA">
      <w:pPr>
        <w:overflowPunct/>
        <w:autoSpaceDE/>
        <w:autoSpaceDN/>
        <w:adjustRightInd/>
        <w:spacing w:after="0" w:line="240" w:lineRule="auto"/>
        <w:jc w:val="left"/>
        <w:textAlignment w:val="auto"/>
        <w:rPr>
          <w:rFonts w:cs="Arial"/>
          <w:b/>
          <w:i/>
          <w:sz w:val="20"/>
        </w:rPr>
      </w:pPr>
    </w:p>
    <w:p w14:paraId="290D35A5" w14:textId="77777777" w:rsidR="001268DA" w:rsidRDefault="001268DA" w:rsidP="001268DA">
      <w:pPr>
        <w:overflowPunct/>
        <w:autoSpaceDE/>
        <w:autoSpaceDN/>
        <w:adjustRightInd/>
        <w:spacing w:after="0" w:line="240" w:lineRule="auto"/>
        <w:jc w:val="left"/>
        <w:textAlignment w:val="auto"/>
        <w:rPr>
          <w:rFonts w:cs="Arial"/>
          <w:b/>
          <w:i/>
          <w:sz w:val="20"/>
        </w:rPr>
      </w:pPr>
    </w:p>
    <w:p w14:paraId="7ACFC7D1" w14:textId="77777777" w:rsidR="001268DA" w:rsidRDefault="001268DA" w:rsidP="001268DA">
      <w:pPr>
        <w:overflowPunct/>
        <w:autoSpaceDE/>
        <w:autoSpaceDN/>
        <w:adjustRightInd/>
        <w:spacing w:after="0" w:line="240" w:lineRule="auto"/>
        <w:jc w:val="left"/>
        <w:textAlignment w:val="auto"/>
        <w:rPr>
          <w:rFonts w:cs="Arial"/>
          <w:b/>
          <w:i/>
          <w:sz w:val="20"/>
        </w:rPr>
      </w:pPr>
    </w:p>
    <w:p w14:paraId="103184B4" w14:textId="77777777" w:rsidR="001268DA" w:rsidRDefault="001268DA" w:rsidP="001268DA">
      <w:pPr>
        <w:overflowPunct/>
        <w:autoSpaceDE/>
        <w:autoSpaceDN/>
        <w:adjustRightInd/>
        <w:spacing w:after="0" w:line="240" w:lineRule="auto"/>
        <w:jc w:val="left"/>
        <w:textAlignment w:val="auto"/>
        <w:rPr>
          <w:rFonts w:cs="Arial"/>
          <w:b/>
          <w:i/>
          <w:sz w:val="20"/>
        </w:rPr>
      </w:pPr>
    </w:p>
    <w:p w14:paraId="56BCB6E5" w14:textId="77777777" w:rsidR="001268DA" w:rsidRDefault="001268DA" w:rsidP="001268DA">
      <w:pPr>
        <w:overflowPunct/>
        <w:autoSpaceDE/>
        <w:autoSpaceDN/>
        <w:adjustRightInd/>
        <w:spacing w:after="0" w:line="240" w:lineRule="auto"/>
        <w:jc w:val="left"/>
        <w:textAlignment w:val="auto"/>
        <w:rPr>
          <w:rFonts w:cs="Arial"/>
          <w:b/>
          <w:i/>
          <w:sz w:val="20"/>
        </w:rPr>
      </w:pPr>
    </w:p>
    <w:p w14:paraId="20C1504D" w14:textId="77777777" w:rsidR="001268DA" w:rsidRDefault="001268DA" w:rsidP="001268DA">
      <w:pPr>
        <w:overflowPunct/>
        <w:autoSpaceDE/>
        <w:autoSpaceDN/>
        <w:adjustRightInd/>
        <w:spacing w:after="0" w:line="240" w:lineRule="auto"/>
        <w:jc w:val="left"/>
        <w:textAlignment w:val="auto"/>
        <w:rPr>
          <w:rFonts w:cs="Arial"/>
          <w:b/>
          <w:i/>
          <w:sz w:val="20"/>
        </w:rPr>
      </w:pPr>
    </w:p>
    <w:p w14:paraId="33325D09" w14:textId="77777777" w:rsidR="001268DA" w:rsidRDefault="001268DA" w:rsidP="001268DA">
      <w:pPr>
        <w:overflowPunct/>
        <w:autoSpaceDE/>
        <w:autoSpaceDN/>
        <w:adjustRightInd/>
        <w:spacing w:after="0" w:line="240" w:lineRule="auto"/>
        <w:jc w:val="left"/>
        <w:textAlignment w:val="auto"/>
        <w:rPr>
          <w:rFonts w:cs="Arial"/>
          <w:b/>
          <w:i/>
          <w:sz w:val="20"/>
        </w:rPr>
      </w:pPr>
    </w:p>
    <w:p w14:paraId="2E27EB8D" w14:textId="77777777" w:rsidR="001268DA" w:rsidRDefault="001268DA" w:rsidP="001268DA">
      <w:pPr>
        <w:overflowPunct/>
        <w:autoSpaceDE/>
        <w:autoSpaceDN/>
        <w:adjustRightInd/>
        <w:spacing w:after="0" w:line="240" w:lineRule="auto"/>
        <w:jc w:val="left"/>
        <w:textAlignment w:val="auto"/>
        <w:rPr>
          <w:rFonts w:cs="Arial"/>
          <w:b/>
          <w:i/>
          <w:sz w:val="20"/>
        </w:rPr>
      </w:pPr>
    </w:p>
    <w:p w14:paraId="4C844C6D" w14:textId="77777777" w:rsidR="001268DA" w:rsidRDefault="001268DA" w:rsidP="001268DA">
      <w:pPr>
        <w:overflowPunct/>
        <w:autoSpaceDE/>
        <w:autoSpaceDN/>
        <w:adjustRightInd/>
        <w:spacing w:after="0" w:line="240" w:lineRule="auto"/>
        <w:jc w:val="left"/>
        <w:textAlignment w:val="auto"/>
        <w:rPr>
          <w:rFonts w:cs="Arial"/>
          <w:b/>
          <w:i/>
          <w:sz w:val="20"/>
        </w:rPr>
      </w:pPr>
    </w:p>
    <w:p w14:paraId="0A74C106" w14:textId="77777777" w:rsidR="001268DA" w:rsidRDefault="001268DA" w:rsidP="001268DA">
      <w:pPr>
        <w:overflowPunct/>
        <w:autoSpaceDE/>
        <w:autoSpaceDN/>
        <w:adjustRightInd/>
        <w:spacing w:after="0" w:line="240" w:lineRule="auto"/>
        <w:jc w:val="left"/>
        <w:textAlignment w:val="auto"/>
        <w:rPr>
          <w:rFonts w:cs="Arial"/>
          <w:b/>
          <w:i/>
          <w:sz w:val="20"/>
        </w:rPr>
      </w:pPr>
    </w:p>
    <w:p w14:paraId="3C1DCB56" w14:textId="77777777" w:rsidR="001268DA" w:rsidRDefault="001268DA" w:rsidP="001268DA">
      <w:pPr>
        <w:overflowPunct/>
        <w:autoSpaceDE/>
        <w:autoSpaceDN/>
        <w:adjustRightInd/>
        <w:spacing w:after="0" w:line="240" w:lineRule="auto"/>
        <w:jc w:val="left"/>
        <w:textAlignment w:val="auto"/>
        <w:rPr>
          <w:rFonts w:cs="Arial"/>
          <w:b/>
          <w:i/>
          <w:sz w:val="20"/>
        </w:rPr>
      </w:pPr>
    </w:p>
    <w:p w14:paraId="5E0E7902" w14:textId="77777777" w:rsidR="001268DA" w:rsidRDefault="001268DA" w:rsidP="001268DA">
      <w:pPr>
        <w:overflowPunct/>
        <w:autoSpaceDE/>
        <w:autoSpaceDN/>
        <w:adjustRightInd/>
        <w:spacing w:after="0" w:line="240" w:lineRule="auto"/>
        <w:jc w:val="left"/>
        <w:textAlignment w:val="auto"/>
        <w:rPr>
          <w:rFonts w:cs="Arial"/>
          <w:b/>
          <w:i/>
          <w:sz w:val="20"/>
        </w:rPr>
      </w:pPr>
    </w:p>
    <w:p w14:paraId="6C45289A" w14:textId="77777777" w:rsidR="001268DA" w:rsidRDefault="001268DA" w:rsidP="001268DA">
      <w:pPr>
        <w:overflowPunct/>
        <w:autoSpaceDE/>
        <w:autoSpaceDN/>
        <w:adjustRightInd/>
        <w:spacing w:after="0" w:line="240" w:lineRule="auto"/>
        <w:jc w:val="left"/>
        <w:textAlignment w:val="auto"/>
        <w:rPr>
          <w:rFonts w:cs="Arial"/>
          <w:b/>
          <w:i/>
          <w:sz w:val="20"/>
        </w:rPr>
      </w:pPr>
    </w:p>
    <w:p w14:paraId="343384D9" w14:textId="77777777" w:rsidR="001268DA" w:rsidRDefault="001268DA" w:rsidP="001268DA">
      <w:pPr>
        <w:overflowPunct/>
        <w:autoSpaceDE/>
        <w:autoSpaceDN/>
        <w:adjustRightInd/>
        <w:spacing w:after="0" w:line="240" w:lineRule="auto"/>
        <w:jc w:val="left"/>
        <w:textAlignment w:val="auto"/>
        <w:rPr>
          <w:rFonts w:cs="Arial"/>
          <w:b/>
          <w:i/>
          <w:sz w:val="20"/>
        </w:rPr>
      </w:pPr>
    </w:p>
    <w:p w14:paraId="377C37B3" w14:textId="77777777" w:rsidR="001268DA" w:rsidRDefault="001268DA" w:rsidP="001268DA">
      <w:pPr>
        <w:overflowPunct/>
        <w:autoSpaceDE/>
        <w:autoSpaceDN/>
        <w:adjustRightInd/>
        <w:spacing w:after="0" w:line="240" w:lineRule="auto"/>
        <w:jc w:val="left"/>
        <w:textAlignment w:val="auto"/>
        <w:rPr>
          <w:rFonts w:cs="Arial"/>
          <w:b/>
          <w:i/>
          <w:sz w:val="20"/>
        </w:rPr>
      </w:pPr>
    </w:p>
    <w:p w14:paraId="337190B7" w14:textId="77777777" w:rsidR="001268DA" w:rsidRDefault="001268DA" w:rsidP="001268DA">
      <w:pPr>
        <w:overflowPunct/>
        <w:autoSpaceDE/>
        <w:autoSpaceDN/>
        <w:adjustRightInd/>
        <w:spacing w:after="0" w:line="240" w:lineRule="auto"/>
        <w:jc w:val="left"/>
        <w:textAlignment w:val="auto"/>
        <w:rPr>
          <w:rFonts w:cs="Arial"/>
          <w:b/>
          <w:i/>
          <w:sz w:val="20"/>
        </w:rPr>
      </w:pPr>
    </w:p>
    <w:p w14:paraId="26C98949" w14:textId="77777777" w:rsidR="001268DA" w:rsidRDefault="001268DA" w:rsidP="001268DA">
      <w:pPr>
        <w:overflowPunct/>
        <w:autoSpaceDE/>
        <w:autoSpaceDN/>
        <w:adjustRightInd/>
        <w:spacing w:after="0" w:line="240" w:lineRule="auto"/>
        <w:jc w:val="left"/>
        <w:textAlignment w:val="auto"/>
        <w:rPr>
          <w:rFonts w:cs="Arial"/>
          <w:b/>
          <w:i/>
          <w:sz w:val="20"/>
        </w:rPr>
      </w:pPr>
    </w:p>
    <w:p w14:paraId="1CA46FF7" w14:textId="77777777" w:rsidR="001268DA" w:rsidRDefault="001268DA" w:rsidP="001268DA">
      <w:pPr>
        <w:overflowPunct/>
        <w:autoSpaceDE/>
        <w:autoSpaceDN/>
        <w:adjustRightInd/>
        <w:spacing w:after="0" w:line="240" w:lineRule="auto"/>
        <w:jc w:val="left"/>
        <w:textAlignment w:val="auto"/>
        <w:rPr>
          <w:rFonts w:cs="Arial"/>
          <w:b/>
          <w:i/>
          <w:sz w:val="20"/>
        </w:rPr>
      </w:pPr>
    </w:p>
    <w:p w14:paraId="6B682447" w14:textId="77777777" w:rsidR="001268DA" w:rsidRDefault="001268DA" w:rsidP="001268DA">
      <w:pPr>
        <w:overflowPunct/>
        <w:autoSpaceDE/>
        <w:autoSpaceDN/>
        <w:adjustRightInd/>
        <w:spacing w:after="0" w:line="240" w:lineRule="auto"/>
        <w:jc w:val="left"/>
        <w:textAlignment w:val="auto"/>
        <w:rPr>
          <w:rFonts w:cs="Arial"/>
          <w:b/>
          <w:i/>
          <w:sz w:val="20"/>
        </w:rPr>
      </w:pPr>
    </w:p>
    <w:p w14:paraId="1544B7EC" w14:textId="77777777" w:rsidR="001268DA" w:rsidRDefault="001268DA" w:rsidP="001268DA">
      <w:pPr>
        <w:overflowPunct/>
        <w:autoSpaceDE/>
        <w:autoSpaceDN/>
        <w:adjustRightInd/>
        <w:spacing w:after="0" w:line="240" w:lineRule="auto"/>
        <w:jc w:val="left"/>
        <w:textAlignment w:val="auto"/>
        <w:rPr>
          <w:rFonts w:cs="Arial"/>
          <w:b/>
          <w:i/>
          <w:sz w:val="20"/>
        </w:rPr>
      </w:pPr>
    </w:p>
    <w:p w14:paraId="0850A397" w14:textId="77777777" w:rsidR="001268DA" w:rsidRDefault="001268DA" w:rsidP="001268DA">
      <w:pPr>
        <w:overflowPunct/>
        <w:autoSpaceDE/>
        <w:autoSpaceDN/>
        <w:adjustRightInd/>
        <w:spacing w:after="0" w:line="240" w:lineRule="auto"/>
        <w:jc w:val="left"/>
        <w:textAlignment w:val="auto"/>
        <w:rPr>
          <w:rFonts w:cs="Arial"/>
          <w:b/>
          <w:i/>
          <w:sz w:val="20"/>
        </w:rPr>
      </w:pPr>
    </w:p>
    <w:p w14:paraId="18A09CF1" w14:textId="77777777" w:rsidR="001268DA" w:rsidRDefault="001268DA" w:rsidP="001268DA">
      <w:pPr>
        <w:overflowPunct/>
        <w:autoSpaceDE/>
        <w:autoSpaceDN/>
        <w:adjustRightInd/>
        <w:spacing w:after="0" w:line="240" w:lineRule="auto"/>
        <w:jc w:val="left"/>
        <w:textAlignment w:val="auto"/>
        <w:rPr>
          <w:rFonts w:cs="Arial"/>
          <w:b/>
          <w:i/>
          <w:sz w:val="20"/>
        </w:rPr>
      </w:pPr>
    </w:p>
    <w:p w14:paraId="64B18F28" w14:textId="77777777" w:rsidR="001268DA" w:rsidRDefault="001268DA" w:rsidP="001268DA">
      <w:pPr>
        <w:overflowPunct/>
        <w:autoSpaceDE/>
        <w:autoSpaceDN/>
        <w:adjustRightInd/>
        <w:spacing w:after="0" w:line="240" w:lineRule="auto"/>
        <w:jc w:val="left"/>
        <w:textAlignment w:val="auto"/>
        <w:rPr>
          <w:rFonts w:cs="Arial"/>
          <w:b/>
          <w:i/>
          <w:sz w:val="20"/>
        </w:rPr>
      </w:pPr>
    </w:p>
    <w:p w14:paraId="0ACDE7EC" w14:textId="77777777" w:rsidR="001268DA" w:rsidRDefault="001268DA" w:rsidP="001268DA">
      <w:pPr>
        <w:overflowPunct/>
        <w:autoSpaceDE/>
        <w:autoSpaceDN/>
        <w:adjustRightInd/>
        <w:spacing w:after="0" w:line="240" w:lineRule="auto"/>
        <w:jc w:val="left"/>
        <w:textAlignment w:val="auto"/>
        <w:rPr>
          <w:rFonts w:cs="Arial"/>
          <w:b/>
          <w:i/>
          <w:sz w:val="20"/>
        </w:rPr>
      </w:pPr>
    </w:p>
    <w:p w14:paraId="1846FBEA" w14:textId="77777777" w:rsidR="001268DA" w:rsidRDefault="001268DA" w:rsidP="001268DA">
      <w:pPr>
        <w:overflowPunct/>
        <w:autoSpaceDE/>
        <w:autoSpaceDN/>
        <w:adjustRightInd/>
        <w:spacing w:after="0" w:line="240" w:lineRule="auto"/>
        <w:jc w:val="left"/>
        <w:textAlignment w:val="auto"/>
        <w:rPr>
          <w:rFonts w:cs="Arial"/>
          <w:b/>
          <w:i/>
          <w:sz w:val="20"/>
        </w:rPr>
      </w:pPr>
    </w:p>
    <w:p w14:paraId="763AF5CE" w14:textId="77777777" w:rsidR="001268DA" w:rsidRDefault="001268DA" w:rsidP="001268DA">
      <w:pPr>
        <w:overflowPunct/>
        <w:autoSpaceDE/>
        <w:autoSpaceDN/>
        <w:adjustRightInd/>
        <w:spacing w:after="0" w:line="240" w:lineRule="auto"/>
        <w:jc w:val="left"/>
        <w:textAlignment w:val="auto"/>
        <w:rPr>
          <w:rFonts w:cs="Arial"/>
          <w:b/>
          <w:i/>
          <w:sz w:val="20"/>
        </w:rPr>
      </w:pPr>
    </w:p>
    <w:p w14:paraId="4EF4C9B6" w14:textId="77777777" w:rsidR="001268DA" w:rsidRDefault="001268DA" w:rsidP="001268DA">
      <w:pPr>
        <w:overflowPunct/>
        <w:autoSpaceDE/>
        <w:autoSpaceDN/>
        <w:adjustRightInd/>
        <w:spacing w:after="0" w:line="240" w:lineRule="auto"/>
        <w:jc w:val="left"/>
        <w:textAlignment w:val="auto"/>
        <w:rPr>
          <w:rFonts w:cs="Arial"/>
          <w:b/>
          <w:i/>
          <w:sz w:val="20"/>
        </w:rPr>
      </w:pPr>
    </w:p>
    <w:p w14:paraId="1FEB17EC" w14:textId="77777777" w:rsidR="001268DA" w:rsidRDefault="001268DA" w:rsidP="001268DA">
      <w:pPr>
        <w:overflowPunct/>
        <w:autoSpaceDE/>
        <w:autoSpaceDN/>
        <w:adjustRightInd/>
        <w:spacing w:after="0" w:line="240" w:lineRule="auto"/>
        <w:jc w:val="left"/>
        <w:textAlignment w:val="auto"/>
        <w:rPr>
          <w:rFonts w:cs="Arial"/>
          <w:b/>
          <w:i/>
          <w:sz w:val="20"/>
        </w:rPr>
      </w:pPr>
    </w:p>
    <w:p w14:paraId="1901732E" w14:textId="77777777" w:rsidR="001268DA" w:rsidRDefault="001268DA" w:rsidP="001268DA">
      <w:pPr>
        <w:overflowPunct/>
        <w:autoSpaceDE/>
        <w:autoSpaceDN/>
        <w:adjustRightInd/>
        <w:spacing w:after="0" w:line="240" w:lineRule="auto"/>
        <w:jc w:val="left"/>
        <w:textAlignment w:val="auto"/>
        <w:rPr>
          <w:rFonts w:eastAsia="STZhongsong" w:cs="Arial"/>
          <w:b/>
          <w:sz w:val="20"/>
          <w:lang w:eastAsia="zh-CN"/>
        </w:rPr>
      </w:pP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113E5627" w14:textId="77777777" w:rsidR="001518F8" w:rsidRDefault="001518F8" w:rsidP="004653BE">
      <w:pPr>
        <w:pStyle w:val="MarginText"/>
        <w:jc w:val="center"/>
        <w:rPr>
          <w:rFonts w:cs="Arial"/>
          <w:b/>
          <w:sz w:val="28"/>
          <w:szCs w:val="28"/>
        </w:rPr>
      </w:pPr>
    </w:p>
    <w:p w14:paraId="1F7BD9AE" w14:textId="77777777" w:rsidR="001518F8" w:rsidRDefault="001518F8" w:rsidP="004653BE">
      <w:pPr>
        <w:pStyle w:val="MarginText"/>
        <w:jc w:val="center"/>
        <w:rPr>
          <w:rFonts w:cs="Arial"/>
          <w:b/>
          <w:sz w:val="28"/>
          <w:szCs w:val="28"/>
        </w:rPr>
      </w:pPr>
    </w:p>
    <w:p w14:paraId="6D5AB4EF" w14:textId="77777777" w:rsidR="001518F8" w:rsidRDefault="001518F8" w:rsidP="004653BE">
      <w:pPr>
        <w:pStyle w:val="MarginText"/>
        <w:jc w:val="center"/>
        <w:rPr>
          <w:rFonts w:cs="Arial"/>
          <w:b/>
          <w:sz w:val="28"/>
          <w:szCs w:val="28"/>
        </w:rPr>
      </w:pPr>
    </w:p>
    <w:p w14:paraId="4BDC3507" w14:textId="77777777" w:rsidR="001518F8" w:rsidRDefault="001518F8" w:rsidP="004653BE">
      <w:pPr>
        <w:pStyle w:val="MarginText"/>
        <w:jc w:val="center"/>
        <w:rPr>
          <w:rFonts w:cs="Arial"/>
          <w:b/>
          <w:sz w:val="28"/>
          <w:szCs w:val="28"/>
        </w:rPr>
      </w:pPr>
    </w:p>
    <w:p w14:paraId="59EB1F4A" w14:textId="77777777" w:rsidR="001518F8" w:rsidRDefault="001518F8" w:rsidP="004653BE">
      <w:pPr>
        <w:pStyle w:val="MarginText"/>
        <w:jc w:val="center"/>
        <w:rPr>
          <w:rFonts w:cs="Arial"/>
          <w:b/>
          <w:sz w:val="28"/>
          <w:szCs w:val="28"/>
        </w:rPr>
      </w:pPr>
    </w:p>
    <w:p w14:paraId="2C1C3A3E" w14:textId="77777777" w:rsidR="001518F8" w:rsidRDefault="001518F8" w:rsidP="004653BE">
      <w:pPr>
        <w:pStyle w:val="MarginText"/>
        <w:jc w:val="center"/>
        <w:rPr>
          <w:rFonts w:cs="Arial"/>
          <w:b/>
          <w:sz w:val="28"/>
          <w:szCs w:val="28"/>
        </w:rPr>
      </w:pPr>
    </w:p>
    <w:p w14:paraId="51F326A0" w14:textId="77777777" w:rsidR="001518F8" w:rsidRDefault="001518F8" w:rsidP="004653BE">
      <w:pPr>
        <w:pStyle w:val="MarginText"/>
        <w:jc w:val="center"/>
        <w:rPr>
          <w:rFonts w:cs="Arial"/>
          <w:b/>
          <w:sz w:val="28"/>
          <w:szCs w:val="28"/>
        </w:rPr>
      </w:pPr>
    </w:p>
    <w:p w14:paraId="781DBA9D" w14:textId="77777777" w:rsidR="001518F8" w:rsidRDefault="001518F8" w:rsidP="004653BE">
      <w:pPr>
        <w:pStyle w:val="MarginText"/>
        <w:jc w:val="center"/>
        <w:rPr>
          <w:rFonts w:cs="Arial"/>
          <w:b/>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5DC2DD95" w14:textId="77777777" w:rsidR="001268DA" w:rsidRDefault="001268DA" w:rsidP="00027CCB">
      <w:pPr>
        <w:rPr>
          <w:rFonts w:cs="Arial"/>
          <w:color w:val="0070C0"/>
          <w:sz w:val="28"/>
          <w:szCs w:val="28"/>
        </w:rPr>
      </w:pPr>
    </w:p>
    <w:p w14:paraId="43AC8793" w14:textId="77777777" w:rsidR="00027CCB" w:rsidRDefault="00027CCB" w:rsidP="00027CCB">
      <w:pP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6C683713" w14:textId="77777777" w:rsidR="00857D1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86011023" w:history="1">
        <w:r w:rsidR="00857D12" w:rsidRPr="008D5129">
          <w:rPr>
            <w:rStyle w:val="Hyperlink"/>
            <w:rFonts w:cs="Arial"/>
            <w:noProof/>
          </w:rPr>
          <w:t>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DEFINITIONS AND INTERPRETATION</w:t>
        </w:r>
        <w:r w:rsidR="00857D12">
          <w:rPr>
            <w:noProof/>
          </w:rPr>
          <w:tab/>
        </w:r>
        <w:r w:rsidR="00857D12">
          <w:rPr>
            <w:noProof/>
          </w:rPr>
          <w:fldChar w:fldCharType="begin"/>
        </w:r>
        <w:r w:rsidR="00857D12">
          <w:rPr>
            <w:noProof/>
          </w:rPr>
          <w:instrText xml:space="preserve"> PAGEREF _Toc386011023 \h </w:instrText>
        </w:r>
        <w:r w:rsidR="00857D12">
          <w:rPr>
            <w:noProof/>
          </w:rPr>
        </w:r>
        <w:r w:rsidR="00857D12">
          <w:rPr>
            <w:noProof/>
          </w:rPr>
          <w:fldChar w:fldCharType="separate"/>
        </w:r>
        <w:r w:rsidR="006C5888">
          <w:rPr>
            <w:noProof/>
          </w:rPr>
          <w:t>14</w:t>
        </w:r>
        <w:r w:rsidR="00857D12">
          <w:rPr>
            <w:noProof/>
          </w:rPr>
          <w:fldChar w:fldCharType="end"/>
        </w:r>
      </w:hyperlink>
    </w:p>
    <w:p w14:paraId="6C683714" w14:textId="77777777" w:rsidR="00857D12" w:rsidRDefault="00106FC0">
      <w:pPr>
        <w:pStyle w:val="TOC1"/>
        <w:rPr>
          <w:rFonts w:asciiTheme="minorHAnsi" w:eastAsiaTheme="minorEastAsia" w:hAnsiTheme="minorHAnsi" w:cstheme="minorBidi"/>
          <w:caps w:val="0"/>
          <w:noProof/>
          <w:szCs w:val="22"/>
          <w:lang w:eastAsia="en-GB"/>
        </w:rPr>
      </w:pPr>
      <w:hyperlink w:anchor="_Toc386011024" w:history="1">
        <w:r w:rsidR="00857D12" w:rsidRPr="008D5129">
          <w:rPr>
            <w:rStyle w:val="Hyperlink"/>
            <w:rFonts w:cs="Arial"/>
            <w:noProof/>
          </w:rPr>
          <w:t>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SUPPLY OF CONTRACT SERVICES</w:t>
        </w:r>
        <w:r w:rsidR="00857D12">
          <w:rPr>
            <w:noProof/>
          </w:rPr>
          <w:tab/>
        </w:r>
        <w:r w:rsidR="00857D12">
          <w:rPr>
            <w:noProof/>
          </w:rPr>
          <w:fldChar w:fldCharType="begin"/>
        </w:r>
        <w:r w:rsidR="00857D12">
          <w:rPr>
            <w:noProof/>
          </w:rPr>
          <w:instrText xml:space="preserve"> PAGEREF _Toc386011024 \h </w:instrText>
        </w:r>
        <w:r w:rsidR="00857D12">
          <w:rPr>
            <w:noProof/>
          </w:rPr>
        </w:r>
        <w:r w:rsidR="00857D12">
          <w:rPr>
            <w:noProof/>
          </w:rPr>
          <w:fldChar w:fldCharType="separate"/>
        </w:r>
        <w:r w:rsidR="006C5888">
          <w:rPr>
            <w:noProof/>
          </w:rPr>
          <w:t>19</w:t>
        </w:r>
        <w:r w:rsidR="00857D12">
          <w:rPr>
            <w:noProof/>
          </w:rPr>
          <w:fldChar w:fldCharType="end"/>
        </w:r>
      </w:hyperlink>
    </w:p>
    <w:p w14:paraId="6C683717" w14:textId="77777777" w:rsidR="00857D12" w:rsidRDefault="00106FC0">
      <w:pPr>
        <w:pStyle w:val="TOC1"/>
        <w:rPr>
          <w:rFonts w:asciiTheme="minorHAnsi" w:eastAsiaTheme="minorEastAsia" w:hAnsiTheme="minorHAnsi" w:cstheme="minorBidi"/>
          <w:caps w:val="0"/>
          <w:noProof/>
          <w:szCs w:val="22"/>
          <w:lang w:eastAsia="en-GB"/>
        </w:rPr>
      </w:pPr>
      <w:hyperlink w:anchor="_Toc386011027" w:history="1">
        <w:r w:rsidR="00857D12" w:rsidRPr="008D5129">
          <w:rPr>
            <w:rStyle w:val="Hyperlink"/>
            <w:rFonts w:cs="Arial"/>
            <w:noProof/>
          </w:rPr>
          <w:t>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PAYMENT AND CHARGES</w:t>
        </w:r>
        <w:r w:rsidR="00857D12">
          <w:rPr>
            <w:noProof/>
          </w:rPr>
          <w:tab/>
        </w:r>
        <w:r w:rsidR="00857D12">
          <w:rPr>
            <w:noProof/>
          </w:rPr>
          <w:fldChar w:fldCharType="begin"/>
        </w:r>
        <w:r w:rsidR="00857D12">
          <w:rPr>
            <w:noProof/>
          </w:rPr>
          <w:instrText xml:space="preserve"> PAGEREF _Toc386011027 \h </w:instrText>
        </w:r>
        <w:r w:rsidR="00857D12">
          <w:rPr>
            <w:noProof/>
          </w:rPr>
        </w:r>
        <w:r w:rsidR="00857D12">
          <w:rPr>
            <w:noProof/>
          </w:rPr>
          <w:fldChar w:fldCharType="separate"/>
        </w:r>
        <w:r w:rsidR="006C5888">
          <w:rPr>
            <w:noProof/>
          </w:rPr>
          <w:t>24</w:t>
        </w:r>
        <w:r w:rsidR="00857D12">
          <w:rPr>
            <w:noProof/>
          </w:rPr>
          <w:fldChar w:fldCharType="end"/>
        </w:r>
      </w:hyperlink>
    </w:p>
    <w:p w14:paraId="6C683718" w14:textId="77777777" w:rsidR="00857D12" w:rsidRDefault="00106FC0">
      <w:pPr>
        <w:pStyle w:val="TOC1"/>
        <w:rPr>
          <w:rFonts w:asciiTheme="minorHAnsi" w:eastAsiaTheme="minorEastAsia" w:hAnsiTheme="minorHAnsi" w:cstheme="minorBidi"/>
          <w:caps w:val="0"/>
          <w:noProof/>
          <w:szCs w:val="22"/>
          <w:lang w:eastAsia="en-GB"/>
        </w:rPr>
      </w:pPr>
      <w:hyperlink w:anchor="_Toc386011028" w:history="1">
        <w:r w:rsidR="00857D12" w:rsidRPr="008D5129">
          <w:rPr>
            <w:rStyle w:val="Hyperlink"/>
            <w:rFonts w:cs="Arial"/>
            <w:noProof/>
          </w:rPr>
          <w:t>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LIABILITY AND INSURANCE</w:t>
        </w:r>
        <w:r w:rsidR="00857D12">
          <w:rPr>
            <w:noProof/>
          </w:rPr>
          <w:tab/>
        </w:r>
        <w:r w:rsidR="00857D12">
          <w:rPr>
            <w:noProof/>
          </w:rPr>
          <w:fldChar w:fldCharType="begin"/>
        </w:r>
        <w:r w:rsidR="00857D12">
          <w:rPr>
            <w:noProof/>
          </w:rPr>
          <w:instrText xml:space="preserve"> PAGEREF _Toc386011028 \h </w:instrText>
        </w:r>
        <w:r w:rsidR="00857D12">
          <w:rPr>
            <w:noProof/>
          </w:rPr>
        </w:r>
        <w:r w:rsidR="00857D12">
          <w:rPr>
            <w:noProof/>
          </w:rPr>
          <w:fldChar w:fldCharType="separate"/>
        </w:r>
        <w:r w:rsidR="006C5888">
          <w:rPr>
            <w:noProof/>
          </w:rPr>
          <w:t>25</w:t>
        </w:r>
        <w:r w:rsidR="00857D12">
          <w:rPr>
            <w:noProof/>
          </w:rPr>
          <w:fldChar w:fldCharType="end"/>
        </w:r>
      </w:hyperlink>
    </w:p>
    <w:p w14:paraId="6C683719" w14:textId="77777777" w:rsidR="00857D12" w:rsidRDefault="00106FC0">
      <w:pPr>
        <w:pStyle w:val="TOC1"/>
        <w:rPr>
          <w:rFonts w:asciiTheme="minorHAnsi" w:eastAsiaTheme="minorEastAsia" w:hAnsiTheme="minorHAnsi" w:cstheme="minorBidi"/>
          <w:caps w:val="0"/>
          <w:noProof/>
          <w:szCs w:val="22"/>
          <w:lang w:eastAsia="en-GB"/>
        </w:rPr>
      </w:pPr>
      <w:hyperlink w:anchor="_Toc386011029" w:history="1">
        <w:r w:rsidR="00857D12" w:rsidRPr="008D5129">
          <w:rPr>
            <w:rStyle w:val="Hyperlink"/>
            <w:rFonts w:cs="Arial"/>
            <w:noProof/>
          </w:rPr>
          <w:t>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INTELLECTUAL PROPERTY RIGHTS</w:t>
        </w:r>
        <w:r w:rsidR="00857D12">
          <w:rPr>
            <w:noProof/>
          </w:rPr>
          <w:tab/>
        </w:r>
        <w:r w:rsidR="00857D12">
          <w:rPr>
            <w:noProof/>
          </w:rPr>
          <w:fldChar w:fldCharType="begin"/>
        </w:r>
        <w:r w:rsidR="00857D12">
          <w:rPr>
            <w:noProof/>
          </w:rPr>
          <w:instrText xml:space="preserve"> PAGEREF _Toc386011029 \h </w:instrText>
        </w:r>
        <w:r w:rsidR="00857D12">
          <w:rPr>
            <w:noProof/>
          </w:rPr>
        </w:r>
        <w:r w:rsidR="00857D12">
          <w:rPr>
            <w:noProof/>
          </w:rPr>
          <w:fldChar w:fldCharType="separate"/>
        </w:r>
        <w:r w:rsidR="006C5888">
          <w:rPr>
            <w:noProof/>
          </w:rPr>
          <w:t>28</w:t>
        </w:r>
        <w:r w:rsidR="00857D12">
          <w:rPr>
            <w:noProof/>
          </w:rPr>
          <w:fldChar w:fldCharType="end"/>
        </w:r>
      </w:hyperlink>
    </w:p>
    <w:p w14:paraId="6C68371A" w14:textId="77777777" w:rsidR="00857D12" w:rsidRDefault="00106FC0">
      <w:pPr>
        <w:pStyle w:val="TOC1"/>
        <w:rPr>
          <w:rFonts w:asciiTheme="minorHAnsi" w:eastAsiaTheme="minorEastAsia" w:hAnsiTheme="minorHAnsi" w:cstheme="minorBidi"/>
          <w:caps w:val="0"/>
          <w:noProof/>
          <w:szCs w:val="22"/>
          <w:lang w:eastAsia="en-GB"/>
        </w:rPr>
      </w:pPr>
      <w:hyperlink w:anchor="_Toc386011030" w:history="1">
        <w:r w:rsidR="00857D12" w:rsidRPr="008D5129">
          <w:rPr>
            <w:rStyle w:val="Hyperlink"/>
            <w:rFonts w:cs="Arial"/>
            <w:noProof/>
          </w:rPr>
          <w:t>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PROTECTION OF INFORMATION</w:t>
        </w:r>
        <w:r w:rsidR="00857D12">
          <w:rPr>
            <w:noProof/>
          </w:rPr>
          <w:tab/>
        </w:r>
        <w:r w:rsidR="00857D12">
          <w:rPr>
            <w:noProof/>
          </w:rPr>
          <w:fldChar w:fldCharType="begin"/>
        </w:r>
        <w:r w:rsidR="00857D12">
          <w:rPr>
            <w:noProof/>
          </w:rPr>
          <w:instrText xml:space="preserve"> PAGEREF _Toc386011030 \h </w:instrText>
        </w:r>
        <w:r w:rsidR="00857D12">
          <w:rPr>
            <w:noProof/>
          </w:rPr>
        </w:r>
        <w:r w:rsidR="00857D12">
          <w:rPr>
            <w:noProof/>
          </w:rPr>
          <w:fldChar w:fldCharType="separate"/>
        </w:r>
        <w:r w:rsidR="006C5888">
          <w:rPr>
            <w:noProof/>
          </w:rPr>
          <w:t>28</w:t>
        </w:r>
        <w:r w:rsidR="00857D12">
          <w:rPr>
            <w:noProof/>
          </w:rPr>
          <w:fldChar w:fldCharType="end"/>
        </w:r>
      </w:hyperlink>
    </w:p>
    <w:p w14:paraId="6C68371B" w14:textId="77777777" w:rsidR="00857D12" w:rsidRDefault="00106FC0">
      <w:pPr>
        <w:pStyle w:val="TOC1"/>
        <w:rPr>
          <w:rFonts w:asciiTheme="minorHAnsi" w:eastAsiaTheme="minorEastAsia" w:hAnsiTheme="minorHAnsi" w:cstheme="minorBidi"/>
          <w:caps w:val="0"/>
          <w:noProof/>
          <w:szCs w:val="22"/>
          <w:lang w:eastAsia="en-GB"/>
        </w:rPr>
      </w:pPr>
      <w:hyperlink w:anchor="_Toc386011031" w:history="1">
        <w:r w:rsidR="00857D12" w:rsidRPr="008D5129">
          <w:rPr>
            <w:rStyle w:val="Hyperlink"/>
            <w:rFonts w:cs="Arial"/>
            <w:noProof/>
          </w:rPr>
          <w:t>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WARRANTIES, REPRESENTATIONS AND UNDERTAKINGS</w:t>
        </w:r>
        <w:r w:rsidR="00857D12">
          <w:rPr>
            <w:noProof/>
          </w:rPr>
          <w:tab/>
        </w:r>
        <w:r w:rsidR="00857D12">
          <w:rPr>
            <w:noProof/>
          </w:rPr>
          <w:fldChar w:fldCharType="begin"/>
        </w:r>
        <w:r w:rsidR="00857D12">
          <w:rPr>
            <w:noProof/>
          </w:rPr>
          <w:instrText xml:space="preserve"> PAGEREF _Toc386011031 \h </w:instrText>
        </w:r>
        <w:r w:rsidR="00857D12">
          <w:rPr>
            <w:noProof/>
          </w:rPr>
        </w:r>
        <w:r w:rsidR="00857D12">
          <w:rPr>
            <w:noProof/>
          </w:rPr>
          <w:fldChar w:fldCharType="separate"/>
        </w:r>
        <w:r w:rsidR="006C5888">
          <w:rPr>
            <w:noProof/>
          </w:rPr>
          <w:t>34</w:t>
        </w:r>
        <w:r w:rsidR="00857D12">
          <w:rPr>
            <w:noProof/>
          </w:rPr>
          <w:fldChar w:fldCharType="end"/>
        </w:r>
      </w:hyperlink>
    </w:p>
    <w:p w14:paraId="6C68371C" w14:textId="77777777" w:rsidR="00857D12" w:rsidRDefault="00106FC0">
      <w:pPr>
        <w:pStyle w:val="TOC1"/>
        <w:rPr>
          <w:rFonts w:asciiTheme="minorHAnsi" w:eastAsiaTheme="minorEastAsia" w:hAnsiTheme="minorHAnsi" w:cstheme="minorBidi"/>
          <w:caps w:val="0"/>
          <w:noProof/>
          <w:szCs w:val="22"/>
          <w:lang w:eastAsia="en-GB"/>
        </w:rPr>
      </w:pPr>
      <w:hyperlink w:anchor="_Toc386011032" w:history="1">
        <w:r w:rsidR="00857D12" w:rsidRPr="008D5129">
          <w:rPr>
            <w:rStyle w:val="Hyperlink"/>
            <w:rFonts w:cs="Arial"/>
            <w:noProof/>
          </w:rPr>
          <w:t>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TERMINATION</w:t>
        </w:r>
        <w:r w:rsidR="00857D12">
          <w:rPr>
            <w:noProof/>
          </w:rPr>
          <w:tab/>
        </w:r>
        <w:r w:rsidR="00857D12">
          <w:rPr>
            <w:noProof/>
          </w:rPr>
          <w:fldChar w:fldCharType="begin"/>
        </w:r>
        <w:r w:rsidR="00857D12">
          <w:rPr>
            <w:noProof/>
          </w:rPr>
          <w:instrText xml:space="preserve"> PAGEREF _Toc386011032 \h </w:instrText>
        </w:r>
        <w:r w:rsidR="00857D12">
          <w:rPr>
            <w:noProof/>
          </w:rPr>
        </w:r>
        <w:r w:rsidR="00857D12">
          <w:rPr>
            <w:noProof/>
          </w:rPr>
          <w:fldChar w:fldCharType="separate"/>
        </w:r>
        <w:r w:rsidR="006C5888">
          <w:rPr>
            <w:noProof/>
          </w:rPr>
          <w:t>36</w:t>
        </w:r>
        <w:r w:rsidR="00857D12">
          <w:rPr>
            <w:noProof/>
          </w:rPr>
          <w:fldChar w:fldCharType="end"/>
        </w:r>
      </w:hyperlink>
    </w:p>
    <w:p w14:paraId="6C68371D" w14:textId="77777777" w:rsidR="00857D12" w:rsidRDefault="00106FC0">
      <w:pPr>
        <w:pStyle w:val="TOC1"/>
        <w:rPr>
          <w:rFonts w:asciiTheme="minorHAnsi" w:eastAsiaTheme="minorEastAsia" w:hAnsiTheme="minorHAnsi" w:cstheme="minorBidi"/>
          <w:caps w:val="0"/>
          <w:noProof/>
          <w:szCs w:val="22"/>
          <w:lang w:eastAsia="en-GB"/>
        </w:rPr>
      </w:pPr>
      <w:hyperlink w:anchor="_Toc386011033" w:history="1">
        <w:r w:rsidR="00857D12" w:rsidRPr="008D5129">
          <w:rPr>
            <w:rStyle w:val="Hyperlink"/>
            <w:rFonts w:cs="Arial"/>
            <w:noProof/>
          </w:rPr>
          <w:t>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CONSEQUENCES OF EXPIRY OR TERMINATION</w:t>
        </w:r>
        <w:r w:rsidR="00857D12">
          <w:rPr>
            <w:noProof/>
          </w:rPr>
          <w:tab/>
        </w:r>
        <w:r w:rsidR="00857D12">
          <w:rPr>
            <w:noProof/>
          </w:rPr>
          <w:fldChar w:fldCharType="begin"/>
        </w:r>
        <w:r w:rsidR="00857D12">
          <w:rPr>
            <w:noProof/>
          </w:rPr>
          <w:instrText xml:space="preserve"> PAGEREF _Toc386011033 \h </w:instrText>
        </w:r>
        <w:r w:rsidR="00857D12">
          <w:rPr>
            <w:noProof/>
          </w:rPr>
        </w:r>
        <w:r w:rsidR="00857D12">
          <w:rPr>
            <w:noProof/>
          </w:rPr>
          <w:fldChar w:fldCharType="separate"/>
        </w:r>
        <w:r w:rsidR="006C5888">
          <w:rPr>
            <w:noProof/>
          </w:rPr>
          <w:t>39</w:t>
        </w:r>
        <w:r w:rsidR="00857D12">
          <w:rPr>
            <w:noProof/>
          </w:rPr>
          <w:fldChar w:fldCharType="end"/>
        </w:r>
      </w:hyperlink>
    </w:p>
    <w:p w14:paraId="6C68371E" w14:textId="77777777" w:rsidR="00857D12" w:rsidRDefault="00106FC0">
      <w:pPr>
        <w:pStyle w:val="TOC1"/>
        <w:rPr>
          <w:rFonts w:asciiTheme="minorHAnsi" w:eastAsiaTheme="minorEastAsia" w:hAnsiTheme="minorHAnsi" w:cstheme="minorBidi"/>
          <w:caps w:val="0"/>
          <w:noProof/>
          <w:szCs w:val="22"/>
          <w:lang w:eastAsia="en-GB"/>
        </w:rPr>
      </w:pPr>
      <w:hyperlink w:anchor="_Toc386011034" w:history="1">
        <w:r w:rsidR="00857D12" w:rsidRPr="008D5129">
          <w:rPr>
            <w:rStyle w:val="Hyperlink"/>
            <w:rFonts w:cs="Arial"/>
            <w:noProof/>
          </w:rPr>
          <w:t>10.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PUBLICITY, MEDIA AND OFFICIAL ENQUIRIES</w:t>
        </w:r>
        <w:r w:rsidR="00857D12">
          <w:rPr>
            <w:noProof/>
          </w:rPr>
          <w:tab/>
        </w:r>
        <w:r w:rsidR="00857D12">
          <w:rPr>
            <w:noProof/>
          </w:rPr>
          <w:fldChar w:fldCharType="begin"/>
        </w:r>
        <w:r w:rsidR="00857D12">
          <w:rPr>
            <w:noProof/>
          </w:rPr>
          <w:instrText xml:space="preserve"> PAGEREF _Toc386011034 \h </w:instrText>
        </w:r>
        <w:r w:rsidR="00857D12">
          <w:rPr>
            <w:noProof/>
          </w:rPr>
        </w:r>
        <w:r w:rsidR="00857D12">
          <w:rPr>
            <w:noProof/>
          </w:rPr>
          <w:fldChar w:fldCharType="separate"/>
        </w:r>
        <w:r w:rsidR="006C5888">
          <w:rPr>
            <w:noProof/>
          </w:rPr>
          <w:t>40</w:t>
        </w:r>
        <w:r w:rsidR="00857D12">
          <w:rPr>
            <w:noProof/>
          </w:rPr>
          <w:fldChar w:fldCharType="end"/>
        </w:r>
      </w:hyperlink>
    </w:p>
    <w:p w14:paraId="6C68371F" w14:textId="77777777" w:rsidR="00857D12" w:rsidRDefault="00106FC0">
      <w:pPr>
        <w:pStyle w:val="TOC1"/>
        <w:rPr>
          <w:rFonts w:asciiTheme="minorHAnsi" w:eastAsiaTheme="minorEastAsia" w:hAnsiTheme="minorHAnsi" w:cstheme="minorBidi"/>
          <w:caps w:val="0"/>
          <w:noProof/>
          <w:szCs w:val="22"/>
          <w:lang w:eastAsia="en-GB"/>
        </w:rPr>
      </w:pPr>
      <w:hyperlink w:anchor="_Toc386011035" w:history="1">
        <w:r w:rsidR="00857D12" w:rsidRPr="008D5129">
          <w:rPr>
            <w:rStyle w:val="Hyperlink"/>
            <w:rFonts w:cs="Arial"/>
            <w:noProof/>
          </w:rPr>
          <w:t>11.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BRIBERY AND CORRUPTION</w:t>
        </w:r>
        <w:r w:rsidR="00857D12">
          <w:rPr>
            <w:noProof/>
          </w:rPr>
          <w:tab/>
        </w:r>
        <w:r w:rsidR="00857D12">
          <w:rPr>
            <w:noProof/>
          </w:rPr>
          <w:fldChar w:fldCharType="begin"/>
        </w:r>
        <w:r w:rsidR="00857D12">
          <w:rPr>
            <w:noProof/>
          </w:rPr>
          <w:instrText xml:space="preserve"> PAGEREF _Toc386011035 \h </w:instrText>
        </w:r>
        <w:r w:rsidR="00857D12">
          <w:rPr>
            <w:noProof/>
          </w:rPr>
        </w:r>
        <w:r w:rsidR="00857D12">
          <w:rPr>
            <w:noProof/>
          </w:rPr>
          <w:fldChar w:fldCharType="separate"/>
        </w:r>
        <w:r w:rsidR="006C5888">
          <w:rPr>
            <w:noProof/>
          </w:rPr>
          <w:t>41</w:t>
        </w:r>
        <w:r w:rsidR="00857D12">
          <w:rPr>
            <w:noProof/>
          </w:rPr>
          <w:fldChar w:fldCharType="end"/>
        </w:r>
      </w:hyperlink>
    </w:p>
    <w:p w14:paraId="6C683720" w14:textId="77777777" w:rsidR="00857D12" w:rsidRDefault="00106FC0">
      <w:pPr>
        <w:pStyle w:val="TOC1"/>
        <w:rPr>
          <w:rFonts w:asciiTheme="minorHAnsi" w:eastAsiaTheme="minorEastAsia" w:hAnsiTheme="minorHAnsi" w:cstheme="minorBidi"/>
          <w:caps w:val="0"/>
          <w:noProof/>
          <w:szCs w:val="22"/>
          <w:lang w:eastAsia="en-GB"/>
        </w:rPr>
      </w:pPr>
      <w:hyperlink w:anchor="_Toc386011036" w:history="1">
        <w:r w:rsidR="00857D12" w:rsidRPr="008D5129">
          <w:rPr>
            <w:rStyle w:val="Hyperlink"/>
            <w:rFonts w:cs="Arial"/>
            <w:noProof/>
          </w:rPr>
          <w:t>12.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NON-DISCRIMINATION</w:t>
        </w:r>
        <w:r w:rsidR="00857D12">
          <w:rPr>
            <w:noProof/>
          </w:rPr>
          <w:tab/>
        </w:r>
        <w:r w:rsidR="00857D12">
          <w:rPr>
            <w:noProof/>
          </w:rPr>
          <w:fldChar w:fldCharType="begin"/>
        </w:r>
        <w:r w:rsidR="00857D12">
          <w:rPr>
            <w:noProof/>
          </w:rPr>
          <w:instrText xml:space="preserve"> PAGEREF _Toc386011036 \h </w:instrText>
        </w:r>
        <w:r w:rsidR="00857D12">
          <w:rPr>
            <w:noProof/>
          </w:rPr>
        </w:r>
        <w:r w:rsidR="00857D12">
          <w:rPr>
            <w:noProof/>
          </w:rPr>
          <w:fldChar w:fldCharType="separate"/>
        </w:r>
        <w:r w:rsidR="006C5888">
          <w:rPr>
            <w:noProof/>
          </w:rPr>
          <w:t>42</w:t>
        </w:r>
        <w:r w:rsidR="00857D12">
          <w:rPr>
            <w:noProof/>
          </w:rPr>
          <w:fldChar w:fldCharType="end"/>
        </w:r>
      </w:hyperlink>
    </w:p>
    <w:p w14:paraId="6C683721" w14:textId="77777777" w:rsidR="00857D12" w:rsidRDefault="00106FC0">
      <w:pPr>
        <w:pStyle w:val="TOC1"/>
        <w:rPr>
          <w:rFonts w:asciiTheme="minorHAnsi" w:eastAsiaTheme="minorEastAsia" w:hAnsiTheme="minorHAnsi" w:cstheme="minorBidi"/>
          <w:caps w:val="0"/>
          <w:noProof/>
          <w:szCs w:val="22"/>
          <w:lang w:eastAsia="en-GB"/>
        </w:rPr>
      </w:pPr>
      <w:hyperlink w:anchor="_Toc386011037" w:history="1">
        <w:r w:rsidR="00857D12" w:rsidRPr="008D5129">
          <w:rPr>
            <w:rStyle w:val="Hyperlink"/>
            <w:rFonts w:cs="Arial"/>
            <w:noProof/>
          </w:rPr>
          <w:t>13.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FRAUD</w:t>
        </w:r>
        <w:r w:rsidR="00857D12">
          <w:rPr>
            <w:noProof/>
          </w:rPr>
          <w:tab/>
        </w:r>
        <w:r w:rsidR="00857D12">
          <w:rPr>
            <w:noProof/>
          </w:rPr>
          <w:fldChar w:fldCharType="begin"/>
        </w:r>
        <w:r w:rsidR="00857D12">
          <w:rPr>
            <w:noProof/>
          </w:rPr>
          <w:instrText xml:space="preserve"> PAGEREF _Toc386011037 \h </w:instrText>
        </w:r>
        <w:r w:rsidR="00857D12">
          <w:rPr>
            <w:noProof/>
          </w:rPr>
        </w:r>
        <w:r w:rsidR="00857D12">
          <w:rPr>
            <w:noProof/>
          </w:rPr>
          <w:fldChar w:fldCharType="separate"/>
        </w:r>
        <w:r w:rsidR="006C5888">
          <w:rPr>
            <w:noProof/>
          </w:rPr>
          <w:t>43</w:t>
        </w:r>
        <w:r w:rsidR="00857D12">
          <w:rPr>
            <w:noProof/>
          </w:rPr>
          <w:fldChar w:fldCharType="end"/>
        </w:r>
      </w:hyperlink>
    </w:p>
    <w:p w14:paraId="6C683722" w14:textId="77777777" w:rsidR="00857D12" w:rsidRDefault="00106FC0">
      <w:pPr>
        <w:pStyle w:val="TOC1"/>
        <w:rPr>
          <w:rFonts w:asciiTheme="minorHAnsi" w:eastAsiaTheme="minorEastAsia" w:hAnsiTheme="minorHAnsi" w:cstheme="minorBidi"/>
          <w:caps w:val="0"/>
          <w:noProof/>
          <w:szCs w:val="22"/>
          <w:lang w:eastAsia="en-GB"/>
        </w:rPr>
      </w:pPr>
      <w:hyperlink w:anchor="_Toc386011038" w:history="1">
        <w:r w:rsidR="00857D12" w:rsidRPr="008D5129">
          <w:rPr>
            <w:rStyle w:val="Hyperlink"/>
            <w:rFonts w:cs="Arial"/>
            <w:noProof/>
          </w:rPr>
          <w:t>14.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TRANSFER AND SUB-CONTRACTING</w:t>
        </w:r>
        <w:r w:rsidR="00857D12">
          <w:rPr>
            <w:noProof/>
          </w:rPr>
          <w:tab/>
        </w:r>
        <w:r w:rsidR="00857D12">
          <w:rPr>
            <w:noProof/>
          </w:rPr>
          <w:fldChar w:fldCharType="begin"/>
        </w:r>
        <w:r w:rsidR="00857D12">
          <w:rPr>
            <w:noProof/>
          </w:rPr>
          <w:instrText xml:space="preserve"> PAGEREF _Toc386011038 \h </w:instrText>
        </w:r>
        <w:r w:rsidR="00857D12">
          <w:rPr>
            <w:noProof/>
          </w:rPr>
        </w:r>
        <w:r w:rsidR="00857D12">
          <w:rPr>
            <w:noProof/>
          </w:rPr>
          <w:fldChar w:fldCharType="separate"/>
        </w:r>
        <w:r w:rsidR="006C5888">
          <w:rPr>
            <w:noProof/>
          </w:rPr>
          <w:t>43</w:t>
        </w:r>
        <w:r w:rsidR="00857D12">
          <w:rPr>
            <w:noProof/>
          </w:rPr>
          <w:fldChar w:fldCharType="end"/>
        </w:r>
      </w:hyperlink>
    </w:p>
    <w:p w14:paraId="6C683723" w14:textId="77777777" w:rsidR="00857D12" w:rsidRDefault="00106FC0">
      <w:pPr>
        <w:pStyle w:val="TOC1"/>
        <w:rPr>
          <w:rFonts w:asciiTheme="minorHAnsi" w:eastAsiaTheme="minorEastAsia" w:hAnsiTheme="minorHAnsi" w:cstheme="minorBidi"/>
          <w:caps w:val="0"/>
          <w:noProof/>
          <w:szCs w:val="22"/>
          <w:lang w:eastAsia="en-GB"/>
        </w:rPr>
      </w:pPr>
      <w:hyperlink w:anchor="_Toc386011039" w:history="1">
        <w:r w:rsidR="00857D12" w:rsidRPr="008D5129">
          <w:rPr>
            <w:rStyle w:val="Hyperlink"/>
            <w:rFonts w:cs="Arial"/>
            <w:noProof/>
          </w:rPr>
          <w:t>15.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WAIVER</w:t>
        </w:r>
        <w:r w:rsidR="00857D12">
          <w:rPr>
            <w:noProof/>
          </w:rPr>
          <w:tab/>
        </w:r>
        <w:r w:rsidR="00857D12">
          <w:rPr>
            <w:noProof/>
          </w:rPr>
          <w:fldChar w:fldCharType="begin"/>
        </w:r>
        <w:r w:rsidR="00857D12">
          <w:rPr>
            <w:noProof/>
          </w:rPr>
          <w:instrText xml:space="preserve"> PAGEREF _Toc386011039 \h </w:instrText>
        </w:r>
        <w:r w:rsidR="00857D12">
          <w:rPr>
            <w:noProof/>
          </w:rPr>
        </w:r>
        <w:r w:rsidR="00857D12">
          <w:rPr>
            <w:noProof/>
          </w:rPr>
          <w:fldChar w:fldCharType="separate"/>
        </w:r>
        <w:r w:rsidR="006C5888">
          <w:rPr>
            <w:noProof/>
          </w:rPr>
          <w:t>44</w:t>
        </w:r>
        <w:r w:rsidR="00857D12">
          <w:rPr>
            <w:noProof/>
          </w:rPr>
          <w:fldChar w:fldCharType="end"/>
        </w:r>
      </w:hyperlink>
    </w:p>
    <w:p w14:paraId="6C683724" w14:textId="77777777" w:rsidR="00857D12" w:rsidRDefault="00106FC0">
      <w:pPr>
        <w:pStyle w:val="TOC1"/>
        <w:rPr>
          <w:rFonts w:asciiTheme="minorHAnsi" w:eastAsiaTheme="minorEastAsia" w:hAnsiTheme="minorHAnsi" w:cstheme="minorBidi"/>
          <w:caps w:val="0"/>
          <w:noProof/>
          <w:szCs w:val="22"/>
          <w:lang w:eastAsia="en-GB"/>
        </w:rPr>
      </w:pPr>
      <w:hyperlink w:anchor="_Toc386011040" w:history="1">
        <w:r w:rsidR="00857D12" w:rsidRPr="008D5129">
          <w:rPr>
            <w:rStyle w:val="Hyperlink"/>
            <w:rFonts w:cs="Arial"/>
            <w:noProof/>
          </w:rPr>
          <w:t>16.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CUMULATIVE REMEDIES</w:t>
        </w:r>
        <w:r w:rsidR="00857D12">
          <w:rPr>
            <w:noProof/>
          </w:rPr>
          <w:tab/>
        </w:r>
        <w:r w:rsidR="00857D12">
          <w:rPr>
            <w:noProof/>
          </w:rPr>
          <w:fldChar w:fldCharType="begin"/>
        </w:r>
        <w:r w:rsidR="00857D12">
          <w:rPr>
            <w:noProof/>
          </w:rPr>
          <w:instrText xml:space="preserve"> PAGEREF _Toc386011040 \h </w:instrText>
        </w:r>
        <w:r w:rsidR="00857D12">
          <w:rPr>
            <w:noProof/>
          </w:rPr>
        </w:r>
        <w:r w:rsidR="00857D12">
          <w:rPr>
            <w:noProof/>
          </w:rPr>
          <w:fldChar w:fldCharType="separate"/>
        </w:r>
        <w:r w:rsidR="006C5888">
          <w:rPr>
            <w:noProof/>
          </w:rPr>
          <w:t>44</w:t>
        </w:r>
        <w:r w:rsidR="00857D12">
          <w:rPr>
            <w:noProof/>
          </w:rPr>
          <w:fldChar w:fldCharType="end"/>
        </w:r>
      </w:hyperlink>
    </w:p>
    <w:p w14:paraId="6C683725" w14:textId="77777777" w:rsidR="00857D12" w:rsidRDefault="00106FC0">
      <w:pPr>
        <w:pStyle w:val="TOC1"/>
        <w:rPr>
          <w:rFonts w:asciiTheme="minorHAnsi" w:eastAsiaTheme="minorEastAsia" w:hAnsiTheme="minorHAnsi" w:cstheme="minorBidi"/>
          <w:caps w:val="0"/>
          <w:noProof/>
          <w:szCs w:val="22"/>
          <w:lang w:eastAsia="en-GB"/>
        </w:rPr>
      </w:pPr>
      <w:hyperlink w:anchor="_Toc386011041" w:history="1">
        <w:r w:rsidR="00857D12" w:rsidRPr="008D5129">
          <w:rPr>
            <w:rStyle w:val="Hyperlink"/>
            <w:rFonts w:cs="Arial"/>
            <w:noProof/>
          </w:rPr>
          <w:t>17.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FURTHER ASSURANCES</w:t>
        </w:r>
        <w:r w:rsidR="00857D12">
          <w:rPr>
            <w:noProof/>
          </w:rPr>
          <w:tab/>
        </w:r>
        <w:r w:rsidR="00857D12">
          <w:rPr>
            <w:noProof/>
          </w:rPr>
          <w:fldChar w:fldCharType="begin"/>
        </w:r>
        <w:r w:rsidR="00857D12">
          <w:rPr>
            <w:noProof/>
          </w:rPr>
          <w:instrText xml:space="preserve"> PAGEREF _Toc386011041 \h </w:instrText>
        </w:r>
        <w:r w:rsidR="00857D12">
          <w:rPr>
            <w:noProof/>
          </w:rPr>
        </w:r>
        <w:r w:rsidR="00857D12">
          <w:rPr>
            <w:noProof/>
          </w:rPr>
          <w:fldChar w:fldCharType="separate"/>
        </w:r>
        <w:r w:rsidR="006C5888">
          <w:rPr>
            <w:noProof/>
          </w:rPr>
          <w:t>44</w:t>
        </w:r>
        <w:r w:rsidR="00857D12">
          <w:rPr>
            <w:noProof/>
          </w:rPr>
          <w:fldChar w:fldCharType="end"/>
        </w:r>
      </w:hyperlink>
    </w:p>
    <w:p w14:paraId="6C683726" w14:textId="77777777" w:rsidR="00857D12" w:rsidRDefault="00106FC0">
      <w:pPr>
        <w:pStyle w:val="TOC1"/>
        <w:rPr>
          <w:rFonts w:asciiTheme="minorHAnsi" w:eastAsiaTheme="minorEastAsia" w:hAnsiTheme="minorHAnsi" w:cstheme="minorBidi"/>
          <w:caps w:val="0"/>
          <w:noProof/>
          <w:szCs w:val="22"/>
          <w:lang w:eastAsia="en-GB"/>
        </w:rPr>
      </w:pPr>
      <w:hyperlink w:anchor="_Toc386011042" w:history="1">
        <w:r w:rsidR="00857D12" w:rsidRPr="008D5129">
          <w:rPr>
            <w:rStyle w:val="Hyperlink"/>
            <w:rFonts w:cs="Arial"/>
            <w:noProof/>
          </w:rPr>
          <w:t>18.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SEVERABILITY</w:t>
        </w:r>
        <w:r w:rsidR="00857D12">
          <w:rPr>
            <w:noProof/>
          </w:rPr>
          <w:tab/>
        </w:r>
        <w:r w:rsidR="00857D12">
          <w:rPr>
            <w:noProof/>
          </w:rPr>
          <w:fldChar w:fldCharType="begin"/>
        </w:r>
        <w:r w:rsidR="00857D12">
          <w:rPr>
            <w:noProof/>
          </w:rPr>
          <w:instrText xml:space="preserve"> PAGEREF _Toc386011042 \h </w:instrText>
        </w:r>
        <w:r w:rsidR="00857D12">
          <w:rPr>
            <w:noProof/>
          </w:rPr>
        </w:r>
        <w:r w:rsidR="00857D12">
          <w:rPr>
            <w:noProof/>
          </w:rPr>
          <w:fldChar w:fldCharType="separate"/>
        </w:r>
        <w:r w:rsidR="006C5888">
          <w:rPr>
            <w:noProof/>
          </w:rPr>
          <w:t>44</w:t>
        </w:r>
        <w:r w:rsidR="00857D12">
          <w:rPr>
            <w:noProof/>
          </w:rPr>
          <w:fldChar w:fldCharType="end"/>
        </w:r>
      </w:hyperlink>
    </w:p>
    <w:p w14:paraId="6C683727" w14:textId="77777777" w:rsidR="00857D12" w:rsidRDefault="00106FC0">
      <w:pPr>
        <w:pStyle w:val="TOC1"/>
        <w:rPr>
          <w:rFonts w:asciiTheme="minorHAnsi" w:eastAsiaTheme="minorEastAsia" w:hAnsiTheme="minorHAnsi" w:cstheme="minorBidi"/>
          <w:caps w:val="0"/>
          <w:noProof/>
          <w:szCs w:val="22"/>
          <w:lang w:eastAsia="en-GB"/>
        </w:rPr>
      </w:pPr>
      <w:hyperlink w:anchor="_Toc386011043" w:history="1">
        <w:r w:rsidR="00857D12" w:rsidRPr="008D5129">
          <w:rPr>
            <w:rStyle w:val="Hyperlink"/>
            <w:rFonts w:cs="Arial"/>
            <w:noProof/>
          </w:rPr>
          <w:t>19.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SUPPLIER’S STATUS</w:t>
        </w:r>
        <w:r w:rsidR="00857D12">
          <w:rPr>
            <w:noProof/>
          </w:rPr>
          <w:tab/>
        </w:r>
        <w:r w:rsidR="00857D12">
          <w:rPr>
            <w:noProof/>
          </w:rPr>
          <w:fldChar w:fldCharType="begin"/>
        </w:r>
        <w:r w:rsidR="00857D12">
          <w:rPr>
            <w:noProof/>
          </w:rPr>
          <w:instrText xml:space="preserve"> PAGEREF _Toc386011043 \h </w:instrText>
        </w:r>
        <w:r w:rsidR="00857D12">
          <w:rPr>
            <w:noProof/>
          </w:rPr>
        </w:r>
        <w:r w:rsidR="00857D12">
          <w:rPr>
            <w:noProof/>
          </w:rPr>
          <w:fldChar w:fldCharType="separate"/>
        </w:r>
        <w:r w:rsidR="006C5888">
          <w:rPr>
            <w:noProof/>
          </w:rPr>
          <w:t>45</w:t>
        </w:r>
        <w:r w:rsidR="00857D12">
          <w:rPr>
            <w:noProof/>
          </w:rPr>
          <w:fldChar w:fldCharType="end"/>
        </w:r>
      </w:hyperlink>
    </w:p>
    <w:p w14:paraId="6C683728" w14:textId="77777777" w:rsidR="00857D12" w:rsidRDefault="00106FC0">
      <w:pPr>
        <w:pStyle w:val="TOC1"/>
        <w:rPr>
          <w:rFonts w:asciiTheme="minorHAnsi" w:eastAsiaTheme="minorEastAsia" w:hAnsiTheme="minorHAnsi" w:cstheme="minorBidi"/>
          <w:caps w:val="0"/>
          <w:noProof/>
          <w:szCs w:val="22"/>
          <w:lang w:eastAsia="en-GB"/>
        </w:rPr>
      </w:pPr>
      <w:hyperlink w:anchor="_Toc386011044" w:history="1">
        <w:r w:rsidR="00857D12" w:rsidRPr="008D5129">
          <w:rPr>
            <w:rStyle w:val="Hyperlink"/>
            <w:rFonts w:cs="Arial"/>
            <w:noProof/>
          </w:rPr>
          <w:t>20.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ENTIRE AGREEMENT</w:t>
        </w:r>
        <w:r w:rsidR="00857D12">
          <w:rPr>
            <w:noProof/>
          </w:rPr>
          <w:tab/>
        </w:r>
        <w:r w:rsidR="00857D12">
          <w:rPr>
            <w:noProof/>
          </w:rPr>
          <w:fldChar w:fldCharType="begin"/>
        </w:r>
        <w:r w:rsidR="00857D12">
          <w:rPr>
            <w:noProof/>
          </w:rPr>
          <w:instrText xml:space="preserve"> PAGEREF _Toc386011044 \h </w:instrText>
        </w:r>
        <w:r w:rsidR="00857D12">
          <w:rPr>
            <w:noProof/>
          </w:rPr>
        </w:r>
        <w:r w:rsidR="00857D12">
          <w:rPr>
            <w:noProof/>
          </w:rPr>
          <w:fldChar w:fldCharType="separate"/>
        </w:r>
        <w:r w:rsidR="006C5888">
          <w:rPr>
            <w:noProof/>
          </w:rPr>
          <w:t>45</w:t>
        </w:r>
        <w:r w:rsidR="00857D12">
          <w:rPr>
            <w:noProof/>
          </w:rPr>
          <w:fldChar w:fldCharType="end"/>
        </w:r>
      </w:hyperlink>
    </w:p>
    <w:p w14:paraId="6C683729" w14:textId="77777777" w:rsidR="00857D12" w:rsidRDefault="00106FC0">
      <w:pPr>
        <w:pStyle w:val="TOC1"/>
        <w:rPr>
          <w:rFonts w:asciiTheme="minorHAnsi" w:eastAsiaTheme="minorEastAsia" w:hAnsiTheme="minorHAnsi" w:cstheme="minorBidi"/>
          <w:caps w:val="0"/>
          <w:noProof/>
          <w:szCs w:val="22"/>
          <w:lang w:eastAsia="en-GB"/>
        </w:rPr>
      </w:pPr>
      <w:hyperlink w:anchor="_Toc386011045" w:history="1">
        <w:r w:rsidR="00857D12" w:rsidRPr="008D5129">
          <w:rPr>
            <w:rStyle w:val="Hyperlink"/>
            <w:rFonts w:cs="Arial"/>
            <w:noProof/>
          </w:rPr>
          <w:t>21.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CONTRACTS (RIGHTS OF THIRD PARTIES) ACT</w:t>
        </w:r>
        <w:r w:rsidR="00857D12">
          <w:rPr>
            <w:noProof/>
          </w:rPr>
          <w:tab/>
        </w:r>
        <w:r w:rsidR="00857D12">
          <w:rPr>
            <w:noProof/>
          </w:rPr>
          <w:fldChar w:fldCharType="begin"/>
        </w:r>
        <w:r w:rsidR="00857D12">
          <w:rPr>
            <w:noProof/>
          </w:rPr>
          <w:instrText xml:space="preserve"> PAGEREF _Toc386011045 \h </w:instrText>
        </w:r>
        <w:r w:rsidR="00857D12">
          <w:rPr>
            <w:noProof/>
          </w:rPr>
        </w:r>
        <w:r w:rsidR="00857D12">
          <w:rPr>
            <w:noProof/>
          </w:rPr>
          <w:fldChar w:fldCharType="separate"/>
        </w:r>
        <w:r w:rsidR="006C5888">
          <w:rPr>
            <w:noProof/>
          </w:rPr>
          <w:t>45</w:t>
        </w:r>
        <w:r w:rsidR="00857D12">
          <w:rPr>
            <w:noProof/>
          </w:rPr>
          <w:fldChar w:fldCharType="end"/>
        </w:r>
      </w:hyperlink>
    </w:p>
    <w:p w14:paraId="6C68372A" w14:textId="77777777" w:rsidR="00857D12" w:rsidRDefault="00106FC0">
      <w:pPr>
        <w:pStyle w:val="TOC1"/>
        <w:rPr>
          <w:rFonts w:asciiTheme="minorHAnsi" w:eastAsiaTheme="minorEastAsia" w:hAnsiTheme="minorHAnsi" w:cstheme="minorBidi"/>
          <w:caps w:val="0"/>
          <w:noProof/>
          <w:szCs w:val="22"/>
          <w:lang w:eastAsia="en-GB"/>
        </w:rPr>
      </w:pPr>
      <w:hyperlink w:anchor="_Toc386011046" w:history="1">
        <w:r w:rsidR="00857D12" w:rsidRPr="008D5129">
          <w:rPr>
            <w:rStyle w:val="Hyperlink"/>
            <w:rFonts w:cs="Arial"/>
            <w:noProof/>
          </w:rPr>
          <w:t>22.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NOTICES</w:t>
        </w:r>
        <w:r w:rsidR="00857D12">
          <w:rPr>
            <w:noProof/>
          </w:rPr>
          <w:tab/>
        </w:r>
        <w:r w:rsidR="00857D12">
          <w:rPr>
            <w:noProof/>
          </w:rPr>
          <w:fldChar w:fldCharType="begin"/>
        </w:r>
        <w:r w:rsidR="00857D12">
          <w:rPr>
            <w:noProof/>
          </w:rPr>
          <w:instrText xml:space="preserve"> PAGEREF _Toc386011046 \h </w:instrText>
        </w:r>
        <w:r w:rsidR="00857D12">
          <w:rPr>
            <w:noProof/>
          </w:rPr>
        </w:r>
        <w:r w:rsidR="00857D12">
          <w:rPr>
            <w:noProof/>
          </w:rPr>
          <w:fldChar w:fldCharType="separate"/>
        </w:r>
        <w:r w:rsidR="006C5888">
          <w:rPr>
            <w:noProof/>
          </w:rPr>
          <w:t>46</w:t>
        </w:r>
        <w:r w:rsidR="00857D12">
          <w:rPr>
            <w:noProof/>
          </w:rPr>
          <w:fldChar w:fldCharType="end"/>
        </w:r>
      </w:hyperlink>
    </w:p>
    <w:p w14:paraId="6C68372B" w14:textId="77777777" w:rsidR="00857D12" w:rsidRDefault="00106FC0">
      <w:pPr>
        <w:pStyle w:val="TOC1"/>
        <w:rPr>
          <w:rFonts w:asciiTheme="minorHAnsi" w:eastAsiaTheme="minorEastAsia" w:hAnsiTheme="minorHAnsi" w:cstheme="minorBidi"/>
          <w:caps w:val="0"/>
          <w:noProof/>
          <w:szCs w:val="22"/>
          <w:lang w:eastAsia="en-GB"/>
        </w:rPr>
      </w:pPr>
      <w:hyperlink w:anchor="_Toc386011047" w:history="1">
        <w:r w:rsidR="00857D12" w:rsidRPr="008D5129">
          <w:rPr>
            <w:rStyle w:val="Hyperlink"/>
            <w:noProof/>
          </w:rPr>
          <w:t>23.</w:t>
        </w:r>
        <w:r w:rsidR="00857D12">
          <w:rPr>
            <w:rFonts w:asciiTheme="minorHAnsi" w:eastAsiaTheme="minorEastAsia" w:hAnsiTheme="minorHAnsi" w:cstheme="minorBidi"/>
            <w:caps w:val="0"/>
            <w:noProof/>
            <w:szCs w:val="22"/>
            <w:lang w:eastAsia="en-GB"/>
          </w:rPr>
          <w:tab/>
        </w:r>
        <w:r w:rsidR="00857D12" w:rsidRPr="008D5129">
          <w:rPr>
            <w:rStyle w:val="Hyperlink"/>
            <w:noProof/>
          </w:rPr>
          <w:t>DISPUTES AND LAW</w:t>
        </w:r>
        <w:r w:rsidR="00857D12">
          <w:rPr>
            <w:noProof/>
          </w:rPr>
          <w:tab/>
        </w:r>
        <w:r w:rsidR="00857D12">
          <w:rPr>
            <w:noProof/>
          </w:rPr>
          <w:fldChar w:fldCharType="begin"/>
        </w:r>
        <w:r w:rsidR="00857D12">
          <w:rPr>
            <w:noProof/>
          </w:rPr>
          <w:instrText xml:space="preserve"> PAGEREF _Toc386011047 \h </w:instrText>
        </w:r>
        <w:r w:rsidR="00857D12">
          <w:rPr>
            <w:noProof/>
          </w:rPr>
        </w:r>
        <w:r w:rsidR="00857D12">
          <w:rPr>
            <w:noProof/>
          </w:rPr>
          <w:fldChar w:fldCharType="separate"/>
        </w:r>
        <w:r w:rsidR="006C5888">
          <w:rPr>
            <w:noProof/>
          </w:rPr>
          <w:t>46</w:t>
        </w:r>
        <w:r w:rsidR="00857D12">
          <w:rPr>
            <w:noProof/>
          </w:rPr>
          <w:fldChar w:fldCharType="end"/>
        </w:r>
      </w:hyperlink>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6" w:name="TOCField"/>
      <w:bookmarkStart w:id="7" w:name="_Toc386011023"/>
      <w:bookmarkEnd w:id="6"/>
      <w:r w:rsidRPr="00A4589E">
        <w:rPr>
          <w:rFonts w:cs="Arial"/>
          <w:sz w:val="20"/>
        </w:rPr>
        <w:t>DEFINITIONS AND INTERPRETATION</w:t>
      </w:r>
      <w:bookmarkEnd w:id="7"/>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423EFDCD"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 xml:space="preserve">means </w:t>
      </w:r>
      <w:r w:rsidR="00D15B22">
        <w:rPr>
          <w:sz w:val="20"/>
        </w:rPr>
        <w:t xml:space="preserve">UKGI </w:t>
      </w:r>
      <w:r w:rsidR="001F4461" w:rsidRPr="001F4461">
        <w:rPr>
          <w:sz w:val="20"/>
        </w:rPr>
        <w:t xml:space="preserve">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6C68374F" w14:textId="06242DB2" w:rsidR="004B5B7A" w:rsidRPr="00027CCB" w:rsidRDefault="004B5B7A" w:rsidP="00A80570">
      <w:pPr>
        <w:pStyle w:val="BodyTextIndent"/>
        <w:numPr>
          <w:ilvl w:val="0"/>
          <w:numId w:val="0"/>
        </w:numPr>
        <w:overflowPunct w:val="0"/>
        <w:autoSpaceDE w:val="0"/>
        <w:autoSpaceDN w:val="0"/>
        <w:ind w:left="709"/>
        <w:textAlignment w:val="baseline"/>
        <w:rPr>
          <w:rFonts w:cs="Arial"/>
          <w:sz w:val="20"/>
        </w:rPr>
      </w:pPr>
      <w:r w:rsidRPr="00027CCB">
        <w:rPr>
          <w:rFonts w:cs="Arial"/>
          <w:b/>
          <w:sz w:val="20"/>
        </w:rPr>
        <w:t xml:space="preserve">“Effective Date” </w:t>
      </w:r>
      <w:r w:rsidRPr="00027CCB">
        <w:rPr>
          <w:rFonts w:cs="Arial"/>
          <w:sz w:val="20"/>
        </w:rPr>
        <w:t xml:space="preserve">means </w:t>
      </w:r>
      <w:r w:rsidR="00FA0836">
        <w:rPr>
          <w:rFonts w:cs="Arial"/>
          <w:sz w:val="20"/>
        </w:rPr>
        <w:t>07</w:t>
      </w:r>
      <w:r w:rsidRPr="00027CCB">
        <w:rPr>
          <w:rFonts w:cs="Arial"/>
          <w:sz w:val="20"/>
        </w:rPr>
        <w:t>/</w:t>
      </w:r>
      <w:r w:rsidR="00027CCB" w:rsidRPr="00027CCB">
        <w:rPr>
          <w:rFonts w:cs="Arial"/>
          <w:sz w:val="20"/>
        </w:rPr>
        <w:t>0</w:t>
      </w:r>
      <w:r w:rsidR="00FA0836">
        <w:rPr>
          <w:rFonts w:cs="Arial"/>
          <w:sz w:val="20"/>
        </w:rPr>
        <w:t>9</w:t>
      </w:r>
      <w:r w:rsidRPr="00027CCB">
        <w:rPr>
          <w:rFonts w:cs="Arial"/>
          <w:sz w:val="20"/>
        </w:rPr>
        <w:t>/</w:t>
      </w:r>
      <w:r w:rsidR="00027CCB" w:rsidRPr="00027CCB">
        <w:rPr>
          <w:rFonts w:cs="Arial"/>
          <w:sz w:val="20"/>
        </w:rPr>
        <w:t>2017</w:t>
      </w:r>
      <w:r w:rsidRPr="00027CCB">
        <w:rPr>
          <w:rFonts w:cs="Arial"/>
          <w:sz w:val="20"/>
        </w:rPr>
        <w:t xml:space="preserve"> the date on which the Contract shall take effect as stated in paragraph 1 of Appendix 1 to the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16931DD3" w:rsidR="004B5B7A" w:rsidRPr="001268DA" w:rsidRDefault="004B5B7A" w:rsidP="00A80570">
      <w:pPr>
        <w:pStyle w:val="BodyTextIndent"/>
        <w:tabs>
          <w:tab w:val="clear" w:pos="720"/>
        </w:tabs>
        <w:overflowPunct w:val="0"/>
        <w:autoSpaceDE w:val="0"/>
        <w:autoSpaceDN w:val="0"/>
        <w:ind w:left="709"/>
        <w:textAlignment w:val="baseline"/>
        <w:rPr>
          <w:rFonts w:cs="Arial"/>
          <w:sz w:val="20"/>
        </w:rPr>
      </w:pPr>
      <w:r w:rsidRPr="001268DA">
        <w:rPr>
          <w:rFonts w:cs="Arial"/>
          <w:b/>
          <w:sz w:val="20"/>
        </w:rPr>
        <w:t xml:space="preserve">"Letter of Appointment” </w:t>
      </w:r>
      <w:r w:rsidRPr="001268DA">
        <w:rPr>
          <w:rFonts w:cs="Arial"/>
          <w:sz w:val="20"/>
        </w:rPr>
        <w:t xml:space="preserve">means the letter from the Customer to the Supplier dated </w:t>
      </w:r>
      <w:r w:rsidR="00FA0836">
        <w:rPr>
          <w:rFonts w:cs="Arial"/>
          <w:sz w:val="20"/>
        </w:rPr>
        <w:t>06</w:t>
      </w:r>
      <w:r w:rsidRPr="001268DA">
        <w:rPr>
          <w:rFonts w:cs="Arial"/>
          <w:sz w:val="20"/>
        </w:rPr>
        <w:t>/</w:t>
      </w:r>
      <w:r w:rsidR="00FA0836">
        <w:rPr>
          <w:rFonts w:cs="Arial"/>
          <w:sz w:val="20"/>
        </w:rPr>
        <w:t>09</w:t>
      </w:r>
      <w:r w:rsidRPr="001268DA">
        <w:rPr>
          <w:rFonts w:cs="Arial"/>
          <w:sz w:val="20"/>
        </w:rPr>
        <w:t>/</w:t>
      </w:r>
      <w:r w:rsidR="00027CCB">
        <w:rPr>
          <w:rFonts w:cs="Arial"/>
          <w:sz w:val="20"/>
        </w:rPr>
        <w:t>2017</w:t>
      </w:r>
      <w:r w:rsidRPr="001268DA">
        <w:rPr>
          <w:rFonts w:cs="Arial"/>
          <w:sz w:val="20"/>
        </w:rPr>
        <w:t xml:space="preserve"> (including its appendices) constituting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3" w14:textId="77777777" w:rsidR="00A8392B"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shall be construed accordingly</w:t>
      </w:r>
      <w:r w:rsidRPr="00D36EB0">
        <w:rPr>
          <w:rFonts w:cs="Arial"/>
          <w:sz w:val="20"/>
        </w:rPr>
        <w:t>;</w:t>
      </w:r>
    </w:p>
    <w:p w14:paraId="6C683774" w14:textId="1AC1A9D0" w:rsidR="009C0AB5" w:rsidRPr="001268DA" w:rsidRDefault="009C0AB5" w:rsidP="00935E71">
      <w:pPr>
        <w:pStyle w:val="BodyTextIndent"/>
        <w:tabs>
          <w:tab w:val="clear" w:pos="720"/>
          <w:tab w:val="num" w:pos="709"/>
        </w:tabs>
        <w:overflowPunct w:val="0"/>
        <w:autoSpaceDE w:val="0"/>
        <w:autoSpaceDN w:val="0"/>
        <w:spacing w:after="0"/>
        <w:ind w:left="709"/>
        <w:textAlignment w:val="baseline"/>
        <w:rPr>
          <w:rFonts w:cs="Arial"/>
          <w:sz w:val="20"/>
        </w:rPr>
      </w:pPr>
      <w:r w:rsidRPr="001268DA">
        <w:rPr>
          <w:rFonts w:cs="Arial"/>
          <w:b/>
          <w:sz w:val="20"/>
        </w:rPr>
        <w:t xml:space="preserve">“Relevant Conviction” </w:t>
      </w:r>
      <w:r w:rsidRPr="001268DA">
        <w:rPr>
          <w:rFonts w:cs="Arial"/>
          <w:sz w:val="20"/>
        </w:rPr>
        <w:t xml:space="preserve">means a conviction that is relevant to the nature of the Contract Services or as specified in </w:t>
      </w:r>
      <w:r w:rsidR="004854E2" w:rsidRPr="001268DA">
        <w:rPr>
          <w:rFonts w:cs="Arial"/>
          <w:sz w:val="20"/>
        </w:rPr>
        <w:t>section 2.</w:t>
      </w:r>
      <w:r w:rsidR="00E81BCB" w:rsidRPr="001268DA">
        <w:rPr>
          <w:rFonts w:cs="Arial"/>
          <w:sz w:val="20"/>
        </w:rPr>
        <w:t>1</w:t>
      </w:r>
      <w:r w:rsidR="004854E2" w:rsidRPr="001268DA">
        <w:rPr>
          <w:rFonts w:cs="Arial"/>
          <w:sz w:val="20"/>
        </w:rPr>
        <w:t xml:space="preserve"> of </w:t>
      </w:r>
      <w:r w:rsidRPr="001268DA">
        <w:rPr>
          <w:rFonts w:cs="Arial"/>
          <w:sz w:val="20"/>
        </w:rPr>
        <w:t>Appendix</w:t>
      </w:r>
      <w:r w:rsidR="00652598" w:rsidRPr="001268DA">
        <w:rPr>
          <w:rFonts w:cs="Arial"/>
          <w:sz w:val="20"/>
        </w:rPr>
        <w:t xml:space="preserve"> 1 of the Letter of Appointment;</w:t>
      </w:r>
    </w:p>
    <w:p w14:paraId="6C683775" w14:textId="77777777" w:rsidR="00033C26" w:rsidRPr="001268DA" w:rsidRDefault="00033C26" w:rsidP="00935E71">
      <w:pPr>
        <w:pStyle w:val="BodyTextIndent"/>
        <w:tabs>
          <w:tab w:val="clear" w:pos="720"/>
          <w:tab w:val="num" w:pos="709"/>
        </w:tabs>
        <w:overflowPunct w:val="0"/>
        <w:autoSpaceDE w:val="0"/>
        <w:autoSpaceDN w:val="0"/>
        <w:spacing w:after="0"/>
        <w:ind w:left="709"/>
        <w:textAlignment w:val="baseline"/>
        <w:rPr>
          <w:rFonts w:cs="Arial"/>
          <w:sz w:val="20"/>
        </w:rPr>
      </w:pPr>
    </w:p>
    <w:p w14:paraId="6C683776" w14:textId="149F6F1F" w:rsidR="009C0AB5" w:rsidRDefault="009C0AB5" w:rsidP="00935E71">
      <w:pPr>
        <w:pStyle w:val="BodyTextIndent"/>
        <w:numPr>
          <w:ilvl w:val="0"/>
          <w:numId w:val="0"/>
        </w:numPr>
        <w:tabs>
          <w:tab w:val="num" w:pos="709"/>
        </w:tabs>
        <w:overflowPunct w:val="0"/>
        <w:autoSpaceDE w:val="0"/>
        <w:autoSpaceDN w:val="0"/>
        <w:ind w:left="709"/>
        <w:textAlignment w:val="baseline"/>
        <w:rPr>
          <w:rFonts w:cs="Arial"/>
          <w:sz w:val="20"/>
        </w:rPr>
      </w:pPr>
      <w:r w:rsidRPr="001268DA">
        <w:rPr>
          <w:sz w:val="20"/>
        </w:rPr>
        <w:t>“</w:t>
      </w:r>
      <w:r w:rsidRPr="001268DA">
        <w:rPr>
          <w:b/>
          <w:sz w:val="20"/>
        </w:rPr>
        <w:t>Security Management Plan”</w:t>
      </w:r>
      <w:r w:rsidRPr="001268DA">
        <w:rPr>
          <w:sz w:val="20"/>
        </w:rPr>
        <w:t xml:space="preserve"> </w:t>
      </w:r>
      <w:r w:rsidRPr="001268DA">
        <w:rPr>
          <w:rFonts w:cs="Arial"/>
          <w:sz w:val="20"/>
        </w:rPr>
        <w:t xml:space="preserve">means the Supplier’s security management plan prepared pursuant to Schedule </w:t>
      </w:r>
      <w:r w:rsidR="004854E2" w:rsidRPr="001268DA">
        <w:rPr>
          <w:rFonts w:cs="Arial"/>
          <w:sz w:val="20"/>
        </w:rPr>
        <w:t>1</w:t>
      </w:r>
      <w:r w:rsidRPr="001268DA">
        <w:rPr>
          <w:rFonts w:cs="Arial"/>
          <w:sz w:val="20"/>
        </w:rPr>
        <w:t>to these Call-Off Terms as updated from time to time wit</w:t>
      </w:r>
      <w:r w:rsidR="00652598" w:rsidRPr="001268DA">
        <w:rPr>
          <w:rFonts w:cs="Arial"/>
          <w:sz w:val="20"/>
        </w:rPr>
        <w:t>h the agreement of the Customer;</w:t>
      </w:r>
    </w:p>
    <w:p w14:paraId="6C683777" w14:textId="38864DF1" w:rsidR="009C0AB5" w:rsidRPr="001268DA" w:rsidRDefault="009C0AB5" w:rsidP="00935E71">
      <w:pPr>
        <w:pStyle w:val="BodyTextIndent"/>
        <w:tabs>
          <w:tab w:val="clear" w:pos="720"/>
          <w:tab w:val="num" w:pos="709"/>
        </w:tabs>
        <w:overflowPunct w:val="0"/>
        <w:autoSpaceDE w:val="0"/>
        <w:autoSpaceDN w:val="0"/>
        <w:ind w:left="709"/>
        <w:textAlignment w:val="baseline"/>
        <w:rPr>
          <w:rFonts w:cs="Arial"/>
          <w:sz w:val="20"/>
        </w:rPr>
      </w:pPr>
      <w:r w:rsidRPr="009C0AB5">
        <w:rPr>
          <w:b/>
          <w:sz w:val="20"/>
        </w:rPr>
        <w:t xml:space="preserve">“Security </w:t>
      </w:r>
      <w:r w:rsidRPr="001268DA">
        <w:rPr>
          <w:b/>
          <w:sz w:val="20"/>
        </w:rPr>
        <w:t>Policy”</w:t>
      </w:r>
      <w:r w:rsidRPr="001268DA">
        <w:rPr>
          <w:sz w:val="20"/>
        </w:rPr>
        <w:t xml:space="preserve"> </w:t>
      </w:r>
      <w:r w:rsidRPr="001268DA">
        <w:rPr>
          <w:rFonts w:cs="Arial"/>
          <w:sz w:val="20"/>
        </w:rPr>
        <w:t>means the Customer’s security requirements as set out in</w:t>
      </w:r>
      <w:r w:rsidR="004854E2" w:rsidRPr="001268DA">
        <w:rPr>
          <w:rFonts w:cs="Arial"/>
          <w:sz w:val="20"/>
        </w:rPr>
        <w:t xml:space="preserve"> section </w:t>
      </w:r>
      <w:r w:rsidR="00E81BCB" w:rsidRPr="001268DA">
        <w:rPr>
          <w:rFonts w:cs="Arial"/>
          <w:sz w:val="20"/>
        </w:rPr>
        <w:t>4.1</w:t>
      </w:r>
      <w:r w:rsidR="004854E2" w:rsidRPr="001268DA">
        <w:rPr>
          <w:rFonts w:cs="Arial"/>
          <w:sz w:val="20"/>
        </w:rPr>
        <w:t xml:space="preserve"> of</w:t>
      </w:r>
      <w:r w:rsidRPr="001268DA">
        <w:rPr>
          <w:rFonts w:cs="Arial"/>
          <w:sz w:val="20"/>
        </w:rPr>
        <w:t xml:space="preserve"> the Letter of Appointment and as outlined in Schedule </w:t>
      </w:r>
      <w:r w:rsidR="004854E2" w:rsidRPr="001268DA">
        <w:rPr>
          <w:rFonts w:cs="Arial"/>
          <w:sz w:val="20"/>
        </w:rPr>
        <w:t>1</w:t>
      </w:r>
      <w:r w:rsidRPr="001268DA">
        <w:rPr>
          <w:rFonts w:cs="Arial"/>
          <w:sz w:val="20"/>
        </w:rPr>
        <w:t xml:space="preserve"> to these Call-Off</w:t>
      </w:r>
      <w:r w:rsidR="00652598" w:rsidRPr="001268DA">
        <w:rPr>
          <w:rFonts w:cs="Arial"/>
          <w:sz w:val="20"/>
        </w:rPr>
        <w:t xml:space="preserve"> Terms;</w:t>
      </w:r>
    </w:p>
    <w:p w14:paraId="6C683778" w14:textId="77777777" w:rsidR="009C0AB5" w:rsidRPr="009C0AB5"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14:paraId="6C683779" w14:textId="79B0AA94" w:rsidR="009C0AB5" w:rsidRPr="001268DA"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1268DA">
        <w:rPr>
          <w:rFonts w:cs="Arial"/>
          <w:b/>
          <w:sz w:val="20"/>
        </w:rPr>
        <w:t xml:space="preserve">“Sites” </w:t>
      </w:r>
      <w:r w:rsidRPr="001268DA">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Supplier System</w:t>
      </w:r>
      <w:r w:rsidR="001268DA" w:rsidRPr="001268DA">
        <w:rPr>
          <w:rFonts w:cs="Arial"/>
          <w:sz w:val="20"/>
        </w:rPr>
        <w:t xml:space="preserve"> 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6C683784" w14:textId="7DF8D92F" w:rsidR="009C0AB5" w:rsidRPr="001268DA"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1268DA">
        <w:rPr>
          <w:rFonts w:cs="Arial"/>
          <w:b/>
          <w:sz w:val="20"/>
        </w:rPr>
        <w:t xml:space="preserve">“Supplier System” </w:t>
      </w:r>
      <w:r w:rsidRPr="001268DA">
        <w:rPr>
          <w:rFonts w:cs="Arial"/>
          <w:sz w:val="20"/>
        </w:rPr>
        <w:t>means the information and communication technology system use</w:t>
      </w:r>
      <w:r w:rsidRPr="00027CCB">
        <w:rPr>
          <w:rFonts w:cs="Arial"/>
          <w:sz w:val="20"/>
        </w:rPr>
        <w:t>d</w:t>
      </w:r>
      <w:r w:rsidRPr="00027CCB">
        <w:rPr>
          <w:rFonts w:cs="Arial"/>
          <w:sz w:val="20"/>
          <w:shd w:val="clear" w:color="auto" w:fill="FFFF00"/>
        </w:rPr>
        <w:t xml:space="preserve"> </w:t>
      </w:r>
      <w:r w:rsidRPr="00027CCB">
        <w:rPr>
          <w:rFonts w:cs="Arial"/>
          <w:sz w:val="20"/>
        </w:rPr>
        <w:t>by the</w:t>
      </w:r>
      <w:r w:rsidRPr="001268DA">
        <w:rPr>
          <w:rFonts w:cs="Arial"/>
          <w:sz w:val="20"/>
        </w:rPr>
        <w:t xml:space="preserv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1268DA">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8"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8"/>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9" w:name="_Toc386011024"/>
      <w:r w:rsidRPr="00A4589E">
        <w:rPr>
          <w:rFonts w:cs="Arial"/>
          <w:sz w:val="20"/>
        </w:rPr>
        <w:t xml:space="preserve">SUPPLY OF </w:t>
      </w:r>
      <w:r w:rsidR="00E73F97">
        <w:rPr>
          <w:rFonts w:cs="Arial"/>
          <w:sz w:val="20"/>
        </w:rPr>
        <w:t xml:space="preserve">CONTRACT </w:t>
      </w:r>
      <w:r w:rsidRPr="00A4589E">
        <w:rPr>
          <w:rFonts w:cs="Arial"/>
          <w:sz w:val="20"/>
        </w:rPr>
        <w:t>SERVICES</w:t>
      </w:r>
      <w:bookmarkEnd w:id="9"/>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10" w:name="_Toc386011025"/>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7"/>
    </w:p>
    <w:p w14:paraId="6C6837BA"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9" w:name="_Toc386011026"/>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6837C2" w14:textId="77777777" w:rsidR="002D3A01" w:rsidRPr="002D3A01" w:rsidRDefault="002D3A01" w:rsidP="002D3A01">
      <w:pPr>
        <w:pStyle w:val="Heading3"/>
        <w:numPr>
          <w:ilvl w:val="0"/>
          <w:numId w:val="0"/>
        </w:numPr>
        <w:ind w:left="720" w:hanging="720"/>
        <w:rPr>
          <w:sz w:val="20"/>
        </w:rPr>
      </w:pPr>
      <w:bookmarkStart w:id="46"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6C6837C7"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7" w:name="_Ref238890199"/>
    </w:p>
    <w:bookmarkEnd w:id="47"/>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Staff by virtue of this Contract.</w:t>
      </w:r>
      <w:bookmarkStart w:id="48" w:name="_Toc139080182"/>
    </w:p>
    <w:p w14:paraId="6C6837CD" w14:textId="41F08E29" w:rsidR="00CF43D7" w:rsidRDefault="00CF43D7" w:rsidP="00057B6F">
      <w:pPr>
        <w:pStyle w:val="Heading3"/>
        <w:numPr>
          <w:ilvl w:val="0"/>
          <w:numId w:val="0"/>
        </w:numPr>
        <w:tabs>
          <w:tab w:val="num" w:pos="3080"/>
        </w:tabs>
        <w:ind w:left="720" w:hanging="720"/>
        <w:rPr>
          <w:b/>
          <w:sz w:val="20"/>
        </w:rPr>
      </w:pPr>
      <w:r w:rsidRPr="001268DA">
        <w:rPr>
          <w:b/>
          <w:sz w:val="20"/>
        </w:rPr>
        <w:t>Relevant Convictions</w:t>
      </w:r>
      <w:r w:rsidRPr="00A76227">
        <w:rPr>
          <w:b/>
          <w:sz w:val="20"/>
        </w:rPr>
        <w:t xml:space="preserve"> </w:t>
      </w:r>
    </w:p>
    <w:p w14:paraId="6C6837CF" w14:textId="77777777" w:rsidR="00C555DC" w:rsidRPr="00A76227" w:rsidRDefault="00CF43D7" w:rsidP="00057B6F">
      <w:pPr>
        <w:pStyle w:val="Heading3"/>
        <w:numPr>
          <w:ilvl w:val="0"/>
          <w:numId w:val="0"/>
        </w:numPr>
        <w:tabs>
          <w:tab w:val="num" w:pos="3080"/>
        </w:tabs>
        <w:ind w:left="720" w:hanging="720"/>
        <w:rPr>
          <w:sz w:val="20"/>
        </w:rPr>
      </w:pPr>
      <w:r w:rsidRPr="001268DA">
        <w:rPr>
          <w:sz w:val="20"/>
        </w:rPr>
        <w:t>2C.</w:t>
      </w:r>
      <w:bookmarkStart w:id="49" w:name="_Toc139080184"/>
      <w:bookmarkEnd w:id="48"/>
      <w:r w:rsidR="00E109EC" w:rsidRPr="001268DA">
        <w:rPr>
          <w:sz w:val="20"/>
        </w:rPr>
        <w:t>9</w:t>
      </w:r>
      <w:r w:rsidRPr="001268DA">
        <w:rPr>
          <w:sz w:val="20"/>
        </w:rPr>
        <w:tab/>
      </w:r>
      <w:r w:rsidR="00C555DC" w:rsidRPr="001268DA">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1268DA">
        <w:rPr>
          <w:sz w:val="20"/>
        </w:rPr>
        <w:t xml:space="preserve">Contract </w:t>
      </w:r>
      <w:r w:rsidR="00C555DC" w:rsidRPr="001268DA">
        <w:rPr>
          <w:sz w:val="20"/>
        </w:rPr>
        <w:t xml:space="preserve">Services without </w:t>
      </w:r>
      <w:r w:rsidR="00583253" w:rsidRPr="001268DA">
        <w:rPr>
          <w:sz w:val="20"/>
        </w:rPr>
        <w:t>the prior approval of the Customer</w:t>
      </w:r>
      <w:r w:rsidR="00C555DC" w:rsidRPr="001268DA">
        <w:rPr>
          <w:sz w:val="20"/>
        </w:rPr>
        <w:t>.</w:t>
      </w:r>
      <w:bookmarkStart w:id="50" w:name="_Toc139080185"/>
      <w:bookmarkEnd w:id="49"/>
    </w:p>
    <w:p w14:paraId="6C6837D0" w14:textId="77777777" w:rsidR="00C555DC" w:rsidRPr="00A76227" w:rsidRDefault="00583253" w:rsidP="00057B6F">
      <w:pPr>
        <w:pStyle w:val="Heading3"/>
        <w:numPr>
          <w:ilvl w:val="0"/>
          <w:numId w:val="0"/>
        </w:numPr>
        <w:tabs>
          <w:tab w:val="num" w:pos="3080"/>
        </w:tabs>
        <w:ind w:left="720" w:hanging="720"/>
        <w:rPr>
          <w:sz w:val="20"/>
        </w:rPr>
      </w:pPr>
      <w:r w:rsidRPr="00A76227">
        <w:rPr>
          <w:sz w:val="20"/>
        </w:rPr>
        <w:t>2C.1</w:t>
      </w:r>
      <w:r w:rsidR="00E109EC">
        <w:rPr>
          <w:sz w:val="20"/>
        </w:rPr>
        <w:t>0</w:t>
      </w:r>
      <w:r w:rsidRPr="00A76227">
        <w:rPr>
          <w:sz w:val="20"/>
        </w:rPr>
        <w:tab/>
      </w:r>
      <w:r w:rsidR="00C555DC" w:rsidRPr="001268DA">
        <w:rPr>
          <w:sz w:val="20"/>
        </w:rPr>
        <w:t xml:space="preserve">For each member of </w:t>
      </w:r>
      <w:r w:rsidRPr="001268DA">
        <w:rPr>
          <w:sz w:val="20"/>
        </w:rPr>
        <w:t>the Supplier</w:t>
      </w:r>
      <w:r w:rsidR="00994DFD" w:rsidRPr="001268DA">
        <w:rPr>
          <w:sz w:val="20"/>
        </w:rPr>
        <w:t>’s</w:t>
      </w:r>
      <w:r w:rsidRPr="001268DA">
        <w:rPr>
          <w:sz w:val="20"/>
        </w:rPr>
        <w:t xml:space="preserve"> </w:t>
      </w:r>
      <w:r w:rsidR="00C555DC" w:rsidRPr="001268DA">
        <w:rPr>
          <w:sz w:val="20"/>
        </w:rPr>
        <w:t xml:space="preserve">Staff who, in providing the </w:t>
      </w:r>
      <w:r w:rsidRPr="001268DA">
        <w:rPr>
          <w:sz w:val="20"/>
        </w:rPr>
        <w:t xml:space="preserve">Contract </w:t>
      </w:r>
      <w:r w:rsidR="00C555DC" w:rsidRPr="001268DA">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1" w:name="_Toc139080186"/>
      <w:bookmarkEnd w:id="50"/>
    </w:p>
    <w:p w14:paraId="6C6837D1" w14:textId="77777777" w:rsidR="00C555DC" w:rsidRPr="001268DA" w:rsidRDefault="00583253" w:rsidP="00057B6F">
      <w:pPr>
        <w:pStyle w:val="Heading3"/>
        <w:numPr>
          <w:ilvl w:val="0"/>
          <w:numId w:val="0"/>
        </w:numPr>
        <w:tabs>
          <w:tab w:val="num" w:pos="3190"/>
        </w:tabs>
        <w:ind w:left="720"/>
        <w:rPr>
          <w:sz w:val="20"/>
        </w:rPr>
      </w:pPr>
      <w:r w:rsidRPr="001268DA">
        <w:rPr>
          <w:sz w:val="20"/>
        </w:rPr>
        <w:t>2C.1</w:t>
      </w:r>
      <w:r w:rsidR="00E109EC" w:rsidRPr="001268DA">
        <w:rPr>
          <w:sz w:val="20"/>
        </w:rPr>
        <w:t>0</w:t>
      </w:r>
      <w:r w:rsidRPr="001268DA">
        <w:rPr>
          <w:sz w:val="20"/>
        </w:rPr>
        <w:t xml:space="preserve">.1 </w:t>
      </w:r>
      <w:r w:rsidR="00C555DC" w:rsidRPr="001268DA">
        <w:rPr>
          <w:sz w:val="20"/>
        </w:rPr>
        <w:t>carry out a polic</w:t>
      </w:r>
      <w:r w:rsidR="00E109EC" w:rsidRPr="001268DA">
        <w:rPr>
          <w:sz w:val="20"/>
        </w:rPr>
        <w:t>e</w:t>
      </w:r>
      <w:r w:rsidR="00C555DC" w:rsidRPr="001268DA">
        <w:rPr>
          <w:sz w:val="20"/>
        </w:rPr>
        <w:t xml:space="preserve"> check with the records held by DfE;</w:t>
      </w:r>
      <w:bookmarkStart w:id="52" w:name="_Toc139080187"/>
      <w:bookmarkEnd w:id="51"/>
    </w:p>
    <w:p w14:paraId="6C6837D2" w14:textId="77777777" w:rsidR="00C555DC" w:rsidRPr="001268DA" w:rsidRDefault="00583253" w:rsidP="00057B6F">
      <w:pPr>
        <w:pStyle w:val="Heading3"/>
        <w:numPr>
          <w:ilvl w:val="0"/>
          <w:numId w:val="0"/>
        </w:numPr>
        <w:tabs>
          <w:tab w:val="num" w:pos="3190"/>
        </w:tabs>
        <w:ind w:left="1440" w:hanging="720"/>
        <w:rPr>
          <w:sz w:val="20"/>
        </w:rPr>
      </w:pPr>
      <w:r w:rsidRPr="001268DA">
        <w:rPr>
          <w:sz w:val="20"/>
        </w:rPr>
        <w:t>2C1</w:t>
      </w:r>
      <w:r w:rsidR="00E109EC" w:rsidRPr="001268DA">
        <w:rPr>
          <w:sz w:val="20"/>
        </w:rPr>
        <w:t>0</w:t>
      </w:r>
      <w:r w:rsidRPr="001268DA">
        <w:rPr>
          <w:sz w:val="20"/>
        </w:rPr>
        <w:t>.2</w:t>
      </w:r>
      <w:r w:rsidR="00E109EC" w:rsidRPr="001268DA">
        <w:rPr>
          <w:sz w:val="20"/>
        </w:rPr>
        <w:t xml:space="preserve">  </w:t>
      </w:r>
      <w:r w:rsidR="00C555DC" w:rsidRPr="001268DA">
        <w:rPr>
          <w:sz w:val="20"/>
        </w:rPr>
        <w:t>conduct thorough questioning regarding any Relevant Convictions; and</w:t>
      </w:r>
      <w:bookmarkStart w:id="53" w:name="_Toc139080188"/>
      <w:bookmarkEnd w:id="52"/>
    </w:p>
    <w:p w14:paraId="6C6837D3" w14:textId="77777777" w:rsidR="00C555DC" w:rsidRPr="001268DA" w:rsidRDefault="00583253" w:rsidP="00057B6F">
      <w:pPr>
        <w:pStyle w:val="Heading3"/>
        <w:numPr>
          <w:ilvl w:val="0"/>
          <w:numId w:val="0"/>
        </w:numPr>
        <w:tabs>
          <w:tab w:val="num" w:pos="3190"/>
        </w:tabs>
        <w:ind w:left="1800" w:hanging="1080"/>
        <w:rPr>
          <w:sz w:val="20"/>
        </w:rPr>
      </w:pPr>
      <w:r w:rsidRPr="001268DA">
        <w:rPr>
          <w:sz w:val="20"/>
        </w:rPr>
        <w:t>2C1</w:t>
      </w:r>
      <w:r w:rsidR="00E109EC" w:rsidRPr="001268DA">
        <w:rPr>
          <w:sz w:val="20"/>
        </w:rPr>
        <w:t>0</w:t>
      </w:r>
      <w:r w:rsidRPr="001268DA">
        <w:rPr>
          <w:sz w:val="20"/>
        </w:rPr>
        <w:t>.3</w:t>
      </w:r>
      <w:r w:rsidR="00E109EC" w:rsidRPr="001268DA">
        <w:rPr>
          <w:sz w:val="20"/>
        </w:rPr>
        <w:tab/>
      </w:r>
      <w:r w:rsidR="00C555DC" w:rsidRPr="001268DA">
        <w:rPr>
          <w:sz w:val="20"/>
        </w:rPr>
        <w:t>ensure a police check is completed and such other checks as may be carried out through the Criminal Records Bureau</w:t>
      </w:r>
      <w:bookmarkStart w:id="54" w:name="_Toc139080189"/>
      <w:bookmarkEnd w:id="53"/>
      <w:r w:rsidRPr="001268DA">
        <w:rPr>
          <w:sz w:val="20"/>
        </w:rPr>
        <w:t>; and</w:t>
      </w:r>
    </w:p>
    <w:p w14:paraId="6C6837D4" w14:textId="448A9D93" w:rsidR="00C555DC" w:rsidRPr="00C555DC" w:rsidRDefault="00583253" w:rsidP="00057B6F">
      <w:pPr>
        <w:pStyle w:val="Heading3"/>
        <w:numPr>
          <w:ilvl w:val="0"/>
          <w:numId w:val="0"/>
        </w:numPr>
        <w:tabs>
          <w:tab w:val="num" w:pos="3190"/>
        </w:tabs>
        <w:ind w:left="1800" w:hanging="1080"/>
        <w:rPr>
          <w:sz w:val="20"/>
        </w:rPr>
      </w:pPr>
      <w:r w:rsidRPr="001268DA">
        <w:rPr>
          <w:sz w:val="20"/>
        </w:rPr>
        <w:t>2C1</w:t>
      </w:r>
      <w:r w:rsidR="00E109EC" w:rsidRPr="001268DA">
        <w:rPr>
          <w:sz w:val="20"/>
        </w:rPr>
        <w:t>0</w:t>
      </w:r>
      <w:r w:rsidRPr="001268DA">
        <w:rPr>
          <w:sz w:val="20"/>
        </w:rPr>
        <w:t>.4</w:t>
      </w:r>
      <w:r w:rsidRPr="001268DA">
        <w:rPr>
          <w:sz w:val="20"/>
        </w:rPr>
        <w:tab/>
      </w:r>
      <w:r w:rsidR="00C555DC" w:rsidRPr="001268DA">
        <w:rPr>
          <w:sz w:val="20"/>
        </w:rPr>
        <w:t xml:space="preserve">not engage or continue to employ in the provision of the </w:t>
      </w:r>
      <w:r w:rsidRPr="001268DA">
        <w:rPr>
          <w:sz w:val="20"/>
        </w:rPr>
        <w:t xml:space="preserve">Contract </w:t>
      </w:r>
      <w:r w:rsidR="00C555DC" w:rsidRPr="001268DA">
        <w:rPr>
          <w:sz w:val="20"/>
        </w:rPr>
        <w:t>Services any person who has a Relevant Conviction or an inappropriate record.</w:t>
      </w:r>
      <w:bookmarkEnd w:id="54"/>
      <w:r w:rsidR="00292A73">
        <w:rPr>
          <w:sz w:val="20"/>
        </w:rPr>
        <w:t xml:space="preserve"> </w:t>
      </w:r>
    </w:p>
    <w:p w14:paraId="6C6837D5" w14:textId="77777777" w:rsidR="00F807DC" w:rsidRPr="00A4589E" w:rsidRDefault="007562F7">
      <w:pPr>
        <w:pStyle w:val="Heading1"/>
        <w:keepNext/>
        <w:rPr>
          <w:rFonts w:cs="Arial"/>
          <w:sz w:val="20"/>
        </w:rPr>
      </w:pPr>
      <w:bookmarkStart w:id="55" w:name="_Ref313371683"/>
      <w:bookmarkStart w:id="56" w:name="_Toc386011027"/>
      <w:r w:rsidRPr="00A4589E">
        <w:rPr>
          <w:rFonts w:cs="Arial"/>
          <w:sz w:val="20"/>
        </w:rPr>
        <w:t xml:space="preserve">PAYMENT AND </w:t>
      </w:r>
      <w:bookmarkEnd w:id="55"/>
      <w:r w:rsidR="00611259" w:rsidRPr="00A4589E">
        <w:rPr>
          <w:rFonts w:cs="Arial"/>
          <w:sz w:val="20"/>
        </w:rPr>
        <w:t>CHARGES</w:t>
      </w:r>
      <w:bookmarkEnd w:id="56"/>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57"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7"/>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8" w:name="_Ref313364329"/>
      <w:r w:rsidRPr="00A4589E">
        <w:rPr>
          <w:rFonts w:cs="Arial"/>
          <w:b/>
          <w:sz w:val="20"/>
        </w:rPr>
        <w:t>Payment</w:t>
      </w:r>
      <w:bookmarkEnd w:id="58"/>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9"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9"/>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60"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60"/>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61" w:name="_Ref313370178"/>
      <w:r w:rsidRPr="00A4589E">
        <w:rPr>
          <w:rFonts w:cs="Arial"/>
          <w:b/>
          <w:sz w:val="20"/>
        </w:rPr>
        <w:t>Recovery of Sums Due</w:t>
      </w:r>
      <w:bookmarkEnd w:id="61"/>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62" w:name="_Toc386011028"/>
      <w:bookmarkStart w:id="63" w:name="_Ref313371594"/>
      <w:r>
        <w:rPr>
          <w:rFonts w:cs="Arial"/>
          <w:sz w:val="20"/>
        </w:rPr>
        <w:t>LIABILITY</w:t>
      </w:r>
      <w:r w:rsidR="003C6C6B">
        <w:rPr>
          <w:rFonts w:cs="Arial"/>
          <w:sz w:val="20"/>
        </w:rPr>
        <w:t xml:space="preserve"> AND INSURANCE</w:t>
      </w:r>
      <w:bookmarkEnd w:id="62"/>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64" w:name="_Ref311654936"/>
      <w:r w:rsidRPr="006C3D9C">
        <w:rPr>
          <w:sz w:val="20"/>
        </w:rPr>
        <w:t>Neither Party excludes or limits its liability for:</w:t>
      </w:r>
      <w:bookmarkEnd w:id="64"/>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65"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5"/>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6" w:name="_Ref311654962"/>
      <w:r>
        <w:rPr>
          <w:rFonts w:cs="Arial"/>
          <w:sz w:val="20"/>
        </w:rPr>
        <w:t>I</w:t>
      </w:r>
      <w:r w:rsidRPr="00B10032">
        <w:rPr>
          <w:rFonts w:cs="Arial"/>
          <w:sz w:val="20"/>
        </w:rPr>
        <w:t>n no event shall either Party be liable to the other for any:</w:t>
      </w:r>
      <w:bookmarkEnd w:id="66"/>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7" w:name="_Ref313366946"/>
      <w:bookmarkStart w:id="68" w:name="_Toc386011029"/>
      <w:bookmarkEnd w:id="63"/>
      <w:r w:rsidRPr="00A4589E">
        <w:rPr>
          <w:rFonts w:cs="Arial"/>
          <w:sz w:val="20"/>
        </w:rPr>
        <w:t>INTELLECTUAL PROPERTY RIGHTS</w:t>
      </w:r>
      <w:bookmarkEnd w:id="67"/>
      <w:bookmarkEnd w:id="68"/>
    </w:p>
    <w:p w14:paraId="6C683806" w14:textId="77777777" w:rsidR="00F14CCD" w:rsidRDefault="00F14CCD" w:rsidP="00F14CCD">
      <w:pPr>
        <w:pStyle w:val="Heading2"/>
        <w:tabs>
          <w:tab w:val="num" w:pos="720"/>
        </w:tabs>
        <w:ind w:left="720"/>
        <w:rPr>
          <w:rFonts w:cs="Arial"/>
          <w:sz w:val="20"/>
        </w:rPr>
      </w:pPr>
      <w:bookmarkStart w:id="69"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9"/>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70"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70"/>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71" w:name="_Ref313367870"/>
      <w:bookmarkStart w:id="72" w:name="_Toc386011030"/>
      <w:r w:rsidRPr="00A4589E">
        <w:rPr>
          <w:rFonts w:cs="Arial"/>
          <w:sz w:val="20"/>
        </w:rPr>
        <w:t>PROTECTION OF INFORMATION</w:t>
      </w:r>
      <w:bookmarkEnd w:id="71"/>
      <w:bookmarkEnd w:id="72"/>
    </w:p>
    <w:p w14:paraId="6C683810" w14:textId="77777777" w:rsidR="00F807DC" w:rsidRPr="00A4589E" w:rsidRDefault="007562F7" w:rsidP="0014427F">
      <w:pPr>
        <w:pStyle w:val="Heading2"/>
        <w:keepNext/>
        <w:keepLines/>
        <w:tabs>
          <w:tab w:val="num" w:pos="720"/>
        </w:tabs>
        <w:ind w:left="720"/>
        <w:rPr>
          <w:rFonts w:cs="Arial"/>
          <w:b/>
          <w:sz w:val="20"/>
        </w:rPr>
      </w:pPr>
      <w:bookmarkStart w:id="73" w:name="_Ref313367297"/>
      <w:r w:rsidRPr="00A4589E">
        <w:rPr>
          <w:rFonts w:cs="Arial"/>
          <w:b/>
          <w:sz w:val="20"/>
        </w:rPr>
        <w:t>Protection of Personal Data</w:t>
      </w:r>
      <w:bookmarkEnd w:id="73"/>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74" w:name="_Ref313367753"/>
      <w:r w:rsidRPr="00A4589E">
        <w:rPr>
          <w:rFonts w:cs="Arial"/>
          <w:b/>
          <w:sz w:val="20"/>
        </w:rPr>
        <w:t>Confidentiality</w:t>
      </w:r>
      <w:bookmarkEnd w:id="74"/>
    </w:p>
    <w:p w14:paraId="6C683829" w14:textId="77777777" w:rsidR="00F807DC" w:rsidRPr="00A4589E" w:rsidRDefault="007562F7" w:rsidP="002015CC">
      <w:pPr>
        <w:pStyle w:val="Heading3"/>
        <w:keepNext/>
        <w:rPr>
          <w:rFonts w:cs="Arial"/>
          <w:sz w:val="20"/>
        </w:rPr>
      </w:pPr>
      <w:bookmarkStart w:id="75"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75"/>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6"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6"/>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7"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7"/>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8"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8"/>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9" w:name="_Ref313369975"/>
      <w:r w:rsidRPr="00A4589E">
        <w:rPr>
          <w:rFonts w:cs="Arial"/>
          <w:b/>
          <w:sz w:val="20"/>
        </w:rPr>
        <w:t>Freedom of Information</w:t>
      </w:r>
      <w:bookmarkEnd w:id="79"/>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80"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80"/>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6C68385B" w14:textId="59E1FACA" w:rsidR="00534CF1" w:rsidRPr="005C0124" w:rsidRDefault="007429AD" w:rsidP="001268DA">
      <w:pPr>
        <w:pStyle w:val="Heading2"/>
        <w:numPr>
          <w:ilvl w:val="0"/>
          <w:numId w:val="0"/>
        </w:numPr>
        <w:tabs>
          <w:tab w:val="num" w:pos="1710"/>
          <w:tab w:val="num" w:pos="1980"/>
        </w:tabs>
        <w:rPr>
          <w:rFonts w:cs="Arial"/>
          <w:b/>
          <w:sz w:val="20"/>
        </w:rPr>
      </w:pPr>
      <w:r w:rsidRPr="005C0124">
        <w:rPr>
          <w:rFonts w:cs="Arial"/>
          <w:b/>
          <w:sz w:val="20"/>
        </w:rPr>
        <w:t>6A.</w:t>
      </w:r>
      <w:r w:rsidRPr="005C0124">
        <w:rPr>
          <w:rFonts w:cs="Arial"/>
          <w:b/>
          <w:sz w:val="20"/>
        </w:rPr>
        <w:tab/>
        <w:t>SECURITY REQUIREMENTS</w:t>
      </w:r>
    </w:p>
    <w:p w14:paraId="6C68385C" w14:textId="77777777" w:rsidR="007429AD" w:rsidRPr="005C0124" w:rsidRDefault="007429AD" w:rsidP="00057B6F">
      <w:pPr>
        <w:pStyle w:val="Heading3"/>
        <w:numPr>
          <w:ilvl w:val="0"/>
          <w:numId w:val="0"/>
        </w:numPr>
        <w:tabs>
          <w:tab w:val="num" w:pos="2970"/>
        </w:tabs>
        <w:ind w:left="1800" w:hanging="1080"/>
        <w:rPr>
          <w:sz w:val="20"/>
        </w:rPr>
      </w:pPr>
      <w:r w:rsidRPr="005C0124">
        <w:rPr>
          <w:sz w:val="20"/>
        </w:rPr>
        <w:t>6A.1</w:t>
      </w:r>
      <w:r w:rsidRPr="005C0124">
        <w:rPr>
          <w:sz w:val="20"/>
        </w:rPr>
        <w:tab/>
        <w:t>The Supplier shall comply, and shall procure the compliance of the Supplier</w:t>
      </w:r>
      <w:r w:rsidR="00994DFD" w:rsidRPr="005C0124">
        <w:rPr>
          <w:sz w:val="20"/>
        </w:rPr>
        <w:t>’s</w:t>
      </w:r>
      <w:r w:rsidRPr="005C0124">
        <w:rPr>
          <w:sz w:val="20"/>
        </w:rPr>
        <w:t xml:space="preserve"> Staff, with the Security Policy and the Security Management Plan and the Supplier shall ensure that the Security Management Plan produced by the Supplier fully complies with the Security Policy.</w:t>
      </w:r>
      <w:bookmarkStart w:id="81" w:name="_Ref225254750"/>
    </w:p>
    <w:p w14:paraId="6C68385D" w14:textId="77777777" w:rsidR="007429AD" w:rsidRPr="005C0124" w:rsidRDefault="007429AD" w:rsidP="00057B6F">
      <w:pPr>
        <w:pStyle w:val="Heading3"/>
        <w:numPr>
          <w:ilvl w:val="0"/>
          <w:numId w:val="0"/>
        </w:numPr>
        <w:tabs>
          <w:tab w:val="num" w:pos="2970"/>
        </w:tabs>
        <w:ind w:left="1800" w:hanging="1080"/>
        <w:rPr>
          <w:sz w:val="20"/>
        </w:rPr>
      </w:pPr>
      <w:r w:rsidRPr="005C0124">
        <w:rPr>
          <w:sz w:val="20"/>
        </w:rPr>
        <w:t>6A.2</w:t>
      </w:r>
      <w:r w:rsidRPr="005C0124">
        <w:rPr>
          <w:sz w:val="20"/>
        </w:rPr>
        <w:tab/>
        <w:t>The Customer shall notify the Supplier of any changes or proposed changes to the Security Policy.</w:t>
      </w:r>
      <w:bookmarkStart w:id="82" w:name="_Ref221681832"/>
      <w:bookmarkStart w:id="83" w:name="_Ref231787108"/>
      <w:bookmarkEnd w:id="81"/>
    </w:p>
    <w:p w14:paraId="6C68385E" w14:textId="77777777" w:rsidR="007429AD" w:rsidRPr="005C0124" w:rsidRDefault="007429AD" w:rsidP="00057B6F">
      <w:pPr>
        <w:pStyle w:val="Heading3"/>
        <w:numPr>
          <w:ilvl w:val="0"/>
          <w:numId w:val="0"/>
        </w:numPr>
        <w:tabs>
          <w:tab w:val="num" w:pos="2970"/>
        </w:tabs>
        <w:ind w:left="1800" w:hanging="1080"/>
        <w:rPr>
          <w:sz w:val="20"/>
        </w:rPr>
      </w:pPr>
      <w:r w:rsidRPr="005C0124">
        <w:rPr>
          <w:sz w:val="20"/>
        </w:rPr>
        <w:t>6A.3</w:t>
      </w:r>
      <w:r w:rsidRPr="005C0124">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w:t>
      </w:r>
      <w:r w:rsidRPr="00BD0C65">
        <w:rPr>
          <w:sz w:val="20"/>
        </w:rPr>
        <w:t xml:space="preserve">out in Clause </w:t>
      </w:r>
      <w:r w:rsidR="00FE093F" w:rsidRPr="00BD0C65">
        <w:rPr>
          <w:sz w:val="20"/>
        </w:rPr>
        <w:t>2.2</w:t>
      </w:r>
      <w:r w:rsidRPr="00BD0C65">
        <w:rPr>
          <w:sz w:val="20"/>
        </w:rPr>
        <w:t>.</w:t>
      </w:r>
      <w:bookmarkEnd w:id="82"/>
      <w:bookmarkEnd w:id="83"/>
    </w:p>
    <w:p w14:paraId="6C68385F" w14:textId="15CE443B" w:rsidR="007429AD" w:rsidRPr="00BD0C65" w:rsidRDefault="00FE093F" w:rsidP="00057B6F">
      <w:pPr>
        <w:pStyle w:val="Heading3"/>
        <w:numPr>
          <w:ilvl w:val="0"/>
          <w:numId w:val="0"/>
        </w:numPr>
        <w:tabs>
          <w:tab w:val="num" w:pos="2970"/>
        </w:tabs>
        <w:ind w:left="1800" w:hanging="1080"/>
        <w:rPr>
          <w:sz w:val="20"/>
        </w:rPr>
      </w:pPr>
      <w:r w:rsidRPr="00BD0C65">
        <w:rPr>
          <w:sz w:val="20"/>
        </w:rPr>
        <w:t>6A.4</w:t>
      </w:r>
      <w:r w:rsidRPr="00BD0C65">
        <w:rPr>
          <w:sz w:val="20"/>
        </w:rPr>
        <w:tab/>
      </w:r>
      <w:r w:rsidR="007429AD" w:rsidRPr="00BD0C65">
        <w:rPr>
          <w:sz w:val="20"/>
        </w:rPr>
        <w:t xml:space="preserve">Until and/or unless a change to the Contract Charges is agreed by the Customer pursuant to </w:t>
      </w:r>
      <w:r w:rsidRPr="00D15B22">
        <w:rPr>
          <w:sz w:val="20"/>
        </w:rPr>
        <w:t>C</w:t>
      </w:r>
      <w:r w:rsidR="007429AD" w:rsidRPr="00D15B22">
        <w:rPr>
          <w:sz w:val="20"/>
        </w:rPr>
        <w:t>lauses 2</w:t>
      </w:r>
      <w:r w:rsidRPr="00D15B22">
        <w:rPr>
          <w:sz w:val="20"/>
        </w:rPr>
        <w:t>.2</w:t>
      </w:r>
      <w:r w:rsidR="007429AD" w:rsidRPr="00D15B22">
        <w:rPr>
          <w:sz w:val="20"/>
        </w:rPr>
        <w:t xml:space="preserve"> the</w:t>
      </w:r>
      <w:r w:rsidR="007429AD" w:rsidRPr="00BD0C65">
        <w:rPr>
          <w:sz w:val="20"/>
        </w:rPr>
        <w:t xml:space="preserve"> Supplier shall continue to perform the </w:t>
      </w:r>
      <w:r w:rsidRPr="00BD0C65">
        <w:rPr>
          <w:sz w:val="20"/>
        </w:rPr>
        <w:t xml:space="preserve">Contract </w:t>
      </w:r>
      <w:r w:rsidR="007429AD" w:rsidRPr="00BD0C65">
        <w:rPr>
          <w:sz w:val="20"/>
        </w:rPr>
        <w:t>Services in accordance with its existing obligations.</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84" w:name="_Ref172388386"/>
      <w:r w:rsidRPr="00BD0C65">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4"/>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5"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6" w:name="_Ref313372170"/>
      <w:bookmarkStart w:id="87" w:name="_Toc386011031"/>
      <w:bookmarkEnd w:id="85"/>
      <w:r w:rsidRPr="00A4589E">
        <w:rPr>
          <w:rFonts w:cs="Arial"/>
          <w:sz w:val="20"/>
        </w:rPr>
        <w:t>WARRANTIES</w:t>
      </w:r>
      <w:r w:rsidR="00A14D96">
        <w:rPr>
          <w:rFonts w:cs="Arial"/>
          <w:sz w:val="20"/>
        </w:rPr>
        <w:t>,</w:t>
      </w:r>
      <w:r w:rsidRPr="00A4589E">
        <w:rPr>
          <w:rFonts w:cs="Arial"/>
          <w:sz w:val="20"/>
        </w:rPr>
        <w:t xml:space="preserve"> REPRESENTATIONS</w:t>
      </w:r>
      <w:bookmarkEnd w:id="86"/>
      <w:r w:rsidR="00A14D96">
        <w:rPr>
          <w:rFonts w:cs="Arial"/>
          <w:sz w:val="20"/>
        </w:rPr>
        <w:t xml:space="preserve"> AND UNDERTAKINGS</w:t>
      </w:r>
      <w:bookmarkEnd w:id="87"/>
    </w:p>
    <w:p w14:paraId="6C683866" w14:textId="77777777" w:rsidR="00F807DC" w:rsidRPr="00A4589E" w:rsidRDefault="007562F7">
      <w:pPr>
        <w:pStyle w:val="Heading2"/>
        <w:keepNext/>
        <w:tabs>
          <w:tab w:val="num" w:pos="720"/>
        </w:tabs>
        <w:ind w:left="720"/>
        <w:rPr>
          <w:rFonts w:cs="Arial"/>
          <w:sz w:val="20"/>
        </w:rPr>
      </w:pPr>
      <w:bookmarkStart w:id="88"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8"/>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D15B22">
        <w:rPr>
          <w:rFonts w:cs="Arial"/>
          <w:sz w:val="20"/>
        </w:rPr>
        <w:t>computing environment (including the 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9" w:name="_Ref313373896"/>
      <w:bookmarkStart w:id="90" w:name="_Toc386011032"/>
      <w:r w:rsidRPr="00A4589E">
        <w:rPr>
          <w:rFonts w:cs="Arial"/>
          <w:sz w:val="20"/>
        </w:rPr>
        <w:t>TERMINATION</w:t>
      </w:r>
      <w:bookmarkEnd w:id="89"/>
      <w:bookmarkEnd w:id="90"/>
    </w:p>
    <w:p w14:paraId="6C683883" w14:textId="77777777" w:rsidR="00F807DC" w:rsidRPr="00A4589E" w:rsidRDefault="007562F7">
      <w:pPr>
        <w:pStyle w:val="Heading2"/>
        <w:keepNext/>
        <w:tabs>
          <w:tab w:val="num" w:pos="720"/>
        </w:tabs>
        <w:ind w:left="720"/>
        <w:rPr>
          <w:rFonts w:cs="Arial"/>
          <w:b/>
          <w:sz w:val="20"/>
        </w:rPr>
      </w:pPr>
      <w:bookmarkStart w:id="91" w:name="_Ref313371016"/>
      <w:r w:rsidRPr="00A4589E">
        <w:rPr>
          <w:rFonts w:cs="Arial"/>
          <w:b/>
          <w:sz w:val="20"/>
        </w:rPr>
        <w:t>Termination on Insolvency</w:t>
      </w:r>
      <w:bookmarkEnd w:id="91"/>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92"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92"/>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93"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93"/>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94"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94"/>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95" w:name="_Ref313369326"/>
      <w:r w:rsidRPr="00A4589E">
        <w:rPr>
          <w:rFonts w:cs="Arial"/>
          <w:b/>
          <w:sz w:val="20"/>
        </w:rPr>
        <w:t xml:space="preserve">Termination on </w:t>
      </w:r>
      <w:bookmarkEnd w:id="95"/>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6"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6"/>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97" w:name="_Ref313371033"/>
      <w:bookmarkStart w:id="98" w:name="_Ref313369604"/>
      <w:r w:rsidRPr="00A4589E">
        <w:rPr>
          <w:rFonts w:cs="Arial"/>
          <w:b/>
          <w:sz w:val="20"/>
        </w:rPr>
        <w:t>Termination on Change of Control</w:t>
      </w:r>
      <w:bookmarkEnd w:id="97"/>
    </w:p>
    <w:p w14:paraId="6C6838A3" w14:textId="77777777" w:rsidR="00BB527F" w:rsidRPr="00A4589E" w:rsidRDefault="00BB527F" w:rsidP="00BB527F">
      <w:pPr>
        <w:pStyle w:val="Heading3"/>
        <w:rPr>
          <w:rFonts w:cs="Arial"/>
          <w:sz w:val="20"/>
        </w:rPr>
      </w:pPr>
      <w:bookmarkStart w:id="99"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9"/>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8"/>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100" w:name="_Ref313370007"/>
      <w:bookmarkStart w:id="101" w:name="_Toc386011033"/>
      <w:r w:rsidRPr="00A4589E">
        <w:rPr>
          <w:rFonts w:cs="Arial"/>
          <w:sz w:val="20"/>
        </w:rPr>
        <w:t>CONSEQUENCES OF EXPIRY OR TERMINATION</w:t>
      </w:r>
      <w:bookmarkEnd w:id="100"/>
      <w:bookmarkEnd w:id="101"/>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102"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102"/>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103"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103"/>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104" w:name="_Ref313373915"/>
      <w:bookmarkStart w:id="105" w:name="_Toc386011034"/>
      <w:r w:rsidRPr="00A4589E">
        <w:rPr>
          <w:rFonts w:cs="Arial"/>
          <w:sz w:val="20"/>
        </w:rPr>
        <w:t>PUBLICITY, MEDIA AND OFFICIAL ENQUIRIES</w:t>
      </w:r>
      <w:bookmarkEnd w:id="104"/>
      <w:bookmarkEnd w:id="105"/>
    </w:p>
    <w:p w14:paraId="6C6838C3" w14:textId="77777777" w:rsidR="00F807DC" w:rsidRPr="00A4589E" w:rsidRDefault="007562F7">
      <w:pPr>
        <w:pStyle w:val="Heading2"/>
        <w:tabs>
          <w:tab w:val="num" w:pos="720"/>
        </w:tabs>
        <w:ind w:left="720"/>
        <w:rPr>
          <w:rFonts w:cs="Arial"/>
          <w:sz w:val="20"/>
        </w:rPr>
      </w:pPr>
      <w:bookmarkStart w:id="106"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6"/>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7"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08" w:name="LASTCURSORPOSITION"/>
      <w:bookmarkEnd w:id="108"/>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7"/>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9" w:name="_Ref313370019"/>
      <w:bookmarkStart w:id="110" w:name="_Toc386011035"/>
      <w:r w:rsidRPr="00A4589E">
        <w:rPr>
          <w:rFonts w:cs="Arial"/>
          <w:sz w:val="20"/>
        </w:rPr>
        <w:t>PREVENTION OF BRIBERY AND CORRUPTION</w:t>
      </w:r>
      <w:bookmarkEnd w:id="109"/>
      <w:bookmarkEnd w:id="110"/>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11" w:name="_Toc386011036"/>
      <w:r w:rsidRPr="00A4589E">
        <w:rPr>
          <w:rFonts w:cs="Arial"/>
          <w:sz w:val="20"/>
        </w:rPr>
        <w:t>NON-DISCRIMINATION</w:t>
      </w:r>
      <w:bookmarkEnd w:id="111"/>
    </w:p>
    <w:p w14:paraId="6C6838E2" w14:textId="77777777" w:rsidR="00F807DC" w:rsidRPr="00A4589E" w:rsidRDefault="007562F7">
      <w:pPr>
        <w:pStyle w:val="Heading2"/>
        <w:tabs>
          <w:tab w:val="num" w:pos="720"/>
        </w:tabs>
        <w:ind w:left="720"/>
        <w:rPr>
          <w:rFonts w:cs="Arial"/>
          <w:sz w:val="20"/>
        </w:rPr>
      </w:pPr>
      <w:bookmarkStart w:id="112"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2"/>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13" w:name="_Ref313370082"/>
      <w:bookmarkStart w:id="114" w:name="_Toc386011037"/>
      <w:r w:rsidRPr="00A4589E">
        <w:rPr>
          <w:rFonts w:cs="Arial"/>
          <w:sz w:val="20"/>
        </w:rPr>
        <w:t>PREVENTION OF FRAUD</w:t>
      </w:r>
      <w:bookmarkEnd w:id="113"/>
      <w:bookmarkEnd w:id="114"/>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15" w:name="_Ref313370605"/>
      <w:bookmarkStart w:id="116" w:name="_Toc386011038"/>
      <w:r w:rsidRPr="00A4589E">
        <w:rPr>
          <w:rFonts w:cs="Arial"/>
          <w:sz w:val="20"/>
        </w:rPr>
        <w:t>TRANSFER AND SUB-CONTRACTING</w:t>
      </w:r>
      <w:bookmarkEnd w:id="115"/>
      <w:bookmarkEnd w:id="116"/>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17"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7"/>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8"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8"/>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9" w:name="_Toc386011039"/>
      <w:r w:rsidRPr="00A4589E">
        <w:rPr>
          <w:rFonts w:cs="Arial"/>
          <w:sz w:val="20"/>
        </w:rPr>
        <w:t>WAIVER</w:t>
      </w:r>
      <w:bookmarkEnd w:id="119"/>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20" w:name="_Ref313370047"/>
      <w:bookmarkStart w:id="121" w:name="_Toc386011040"/>
      <w:r w:rsidRPr="00A4589E">
        <w:rPr>
          <w:rFonts w:cs="Arial"/>
          <w:sz w:val="20"/>
        </w:rPr>
        <w:t>CUMULATI</w:t>
      </w:r>
      <w:r w:rsidRPr="00A4589E">
        <w:rPr>
          <w:rFonts w:cs="Arial"/>
          <w:b w:val="0"/>
          <w:sz w:val="20"/>
        </w:rPr>
        <w:t>V</w:t>
      </w:r>
      <w:r w:rsidRPr="00A4589E">
        <w:rPr>
          <w:rFonts w:cs="Arial"/>
          <w:sz w:val="20"/>
        </w:rPr>
        <w:t>E REMEDIES</w:t>
      </w:r>
      <w:bookmarkEnd w:id="120"/>
      <w:bookmarkEnd w:id="121"/>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22" w:name="_Toc386011041"/>
      <w:r w:rsidRPr="00A4589E">
        <w:rPr>
          <w:rFonts w:cs="Arial"/>
          <w:sz w:val="20"/>
        </w:rPr>
        <w:t>FURTHER ASSURANCES</w:t>
      </w:r>
      <w:bookmarkEnd w:id="122"/>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23" w:name="_Toc386011042"/>
      <w:r w:rsidRPr="00A4589E">
        <w:rPr>
          <w:rFonts w:cs="Arial"/>
          <w:sz w:val="20"/>
        </w:rPr>
        <w:t>SEVERABILITY</w:t>
      </w:r>
      <w:bookmarkEnd w:id="123"/>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24" w:name="_Toc386011043"/>
      <w:r>
        <w:rPr>
          <w:rFonts w:cs="Arial"/>
          <w:sz w:val="20"/>
        </w:rPr>
        <w:t>SUPPLIER</w:t>
      </w:r>
      <w:r w:rsidR="00C70018" w:rsidRPr="00A4589E">
        <w:rPr>
          <w:rFonts w:cs="Arial"/>
          <w:sz w:val="20"/>
        </w:rPr>
        <w:t>’S</w:t>
      </w:r>
      <w:r w:rsidR="007562F7" w:rsidRPr="00A4589E">
        <w:rPr>
          <w:rFonts w:cs="Arial"/>
          <w:sz w:val="20"/>
        </w:rPr>
        <w:t xml:space="preserve"> STATUS</w:t>
      </w:r>
      <w:bookmarkEnd w:id="124"/>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25" w:name="_Toc386011044"/>
      <w:r w:rsidRPr="00A4589E">
        <w:rPr>
          <w:rFonts w:cs="Arial"/>
          <w:sz w:val="20"/>
        </w:rPr>
        <w:t>ENTIRE AGREEMENT</w:t>
      </w:r>
      <w:bookmarkEnd w:id="125"/>
    </w:p>
    <w:p w14:paraId="6C683907" w14:textId="77777777" w:rsidR="00F807DC" w:rsidRPr="00A4589E" w:rsidRDefault="00837B0E">
      <w:pPr>
        <w:pStyle w:val="Heading2"/>
        <w:tabs>
          <w:tab w:val="num" w:pos="720"/>
        </w:tabs>
        <w:ind w:left="720"/>
        <w:rPr>
          <w:rFonts w:cs="Arial"/>
          <w:sz w:val="20"/>
        </w:rPr>
      </w:pPr>
      <w:bookmarkStart w:id="126"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6"/>
    </w:p>
    <w:p w14:paraId="6C683908" w14:textId="77777777" w:rsidR="00F807DC" w:rsidRPr="00A4589E" w:rsidRDefault="007562F7">
      <w:pPr>
        <w:pStyle w:val="Heading2"/>
        <w:tabs>
          <w:tab w:val="num" w:pos="720"/>
        </w:tabs>
        <w:ind w:left="720"/>
        <w:rPr>
          <w:rFonts w:cs="Arial"/>
          <w:sz w:val="20"/>
        </w:rPr>
      </w:pPr>
      <w:bookmarkStart w:id="127"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7"/>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8" w:name="_Ref313370095"/>
      <w:bookmarkStart w:id="129" w:name="_Toc386011045"/>
      <w:r w:rsidRPr="00A4589E">
        <w:rPr>
          <w:rFonts w:cs="Arial"/>
          <w:sz w:val="20"/>
        </w:rPr>
        <w:t>CONTRACTS (RIGHTS OF THIRD PARTIES) ACT</w:t>
      </w:r>
      <w:bookmarkEnd w:id="128"/>
      <w:bookmarkEnd w:id="129"/>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30"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31" w:name="_Toc386011046"/>
      <w:r w:rsidRPr="00A4589E">
        <w:rPr>
          <w:rFonts w:cs="Arial"/>
          <w:sz w:val="20"/>
        </w:rPr>
        <w:t>NOTICES</w:t>
      </w:r>
      <w:bookmarkEnd w:id="130"/>
      <w:bookmarkEnd w:id="131"/>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32"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32"/>
    </w:p>
    <w:p w14:paraId="6C68391D" w14:textId="77777777" w:rsidR="00F807DC" w:rsidRPr="00A4589E" w:rsidRDefault="007562F7">
      <w:pPr>
        <w:pStyle w:val="Heading2"/>
        <w:tabs>
          <w:tab w:val="num" w:pos="720"/>
        </w:tabs>
        <w:ind w:left="720"/>
        <w:rPr>
          <w:rFonts w:cs="Arial"/>
          <w:sz w:val="20"/>
        </w:rPr>
      </w:pPr>
      <w:bookmarkStart w:id="133"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33"/>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34" w:name="_Toc314810842"/>
      <w:bookmarkStart w:id="135" w:name="_Toc386011047"/>
      <w:r w:rsidRPr="00837B0E">
        <w:rPr>
          <w:sz w:val="20"/>
        </w:rPr>
        <w:t>DISPUTES AND LAW</w:t>
      </w:r>
      <w:bookmarkEnd w:id="134"/>
      <w:bookmarkEnd w:id="135"/>
    </w:p>
    <w:p w14:paraId="6C683921" w14:textId="77777777" w:rsidR="00185555" w:rsidRPr="00837B0E" w:rsidRDefault="00185555" w:rsidP="00185555">
      <w:pPr>
        <w:pStyle w:val="Heading2"/>
        <w:keepNext/>
        <w:tabs>
          <w:tab w:val="clear" w:pos="1350"/>
          <w:tab w:val="num" w:pos="720"/>
        </w:tabs>
        <w:ind w:left="720"/>
        <w:rPr>
          <w:b/>
          <w:sz w:val="20"/>
        </w:rPr>
      </w:pPr>
      <w:bookmarkStart w:id="136" w:name="_Governing_Law_and"/>
      <w:bookmarkStart w:id="137" w:name="_Ref313370109"/>
      <w:bookmarkEnd w:id="136"/>
      <w:r w:rsidRPr="00837B0E">
        <w:rPr>
          <w:b/>
          <w:sz w:val="20"/>
        </w:rPr>
        <w:t>Governing Law and Jurisdiction</w:t>
      </w:r>
      <w:bookmarkEnd w:id="137"/>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8" w:name="_Ref313372098"/>
      <w:r w:rsidRPr="00837B0E">
        <w:rPr>
          <w:b/>
          <w:sz w:val="20"/>
        </w:rPr>
        <w:t>Dispute Resolution</w:t>
      </w:r>
      <w:bookmarkEnd w:id="138"/>
    </w:p>
    <w:p w14:paraId="6C683924" w14:textId="77777777" w:rsidR="00185555" w:rsidRPr="00837B0E" w:rsidRDefault="00185555" w:rsidP="00185555">
      <w:pPr>
        <w:pStyle w:val="Heading3"/>
        <w:rPr>
          <w:sz w:val="20"/>
        </w:rPr>
      </w:pPr>
      <w:bookmarkStart w:id="139"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9"/>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40" w:name="_Ref313371432"/>
      <w:r w:rsidRPr="00837B0E">
        <w:rPr>
          <w:sz w:val="20"/>
        </w:rPr>
        <w:t>The procedure for mediation is as follows:</w:t>
      </w:r>
      <w:bookmarkEnd w:id="140"/>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41"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1"/>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42" w:name="_Toc127759065"/>
      <w:bookmarkStart w:id="143" w:name="_Toc139080105"/>
      <w:bookmarkStart w:id="144" w:name="_Toc296514644"/>
      <w:bookmarkStart w:id="145" w:name="_Toc297577110"/>
      <w:bookmarkStart w:id="146" w:name="_Toc297577509"/>
      <w:bookmarkStart w:id="147" w:name="_Toc297624436"/>
    </w:p>
    <w:bookmarkEnd w:id="142"/>
    <w:bookmarkEnd w:id="143"/>
    <w:bookmarkEnd w:id="144"/>
    <w:bookmarkEnd w:id="145"/>
    <w:bookmarkEnd w:id="146"/>
    <w:bookmarkEnd w:id="147"/>
    <w:p w14:paraId="6C683933" w14:textId="77777777" w:rsidR="00F807DC" w:rsidRPr="00A4589E" w:rsidRDefault="00F807DC" w:rsidP="00880E10">
      <w:pPr>
        <w:pStyle w:val="Heading4"/>
        <w:sectPr w:rsidR="00F807DC" w:rsidRPr="00A4589E" w:rsidSect="00027CCB">
          <w:endnotePr>
            <w:numFmt w:val="decimal"/>
          </w:endnotePr>
          <w:pgSz w:w="11907" w:h="16840" w:code="9"/>
          <w:pgMar w:top="1701" w:right="1440"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8" w:name="_Toc386011048"/>
      <w:bookmarkStart w:id="149" w:name="_Ref313382807"/>
      <w:bookmarkStart w:id="150" w:name="bmCompoundReference"/>
      <w:r w:rsidRPr="00A4589E">
        <w:rPr>
          <w:rFonts w:ascii="Arial" w:hAnsi="Arial" w:cs="Arial"/>
          <w:sz w:val="20"/>
        </w:rPr>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8"/>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F10292C" w14:textId="0614658A" w:rsidR="00027CCB" w:rsidRPr="00027CCB" w:rsidRDefault="00942CB1" w:rsidP="00027CCB">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51"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51"/>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52" w:name="_Toc386011049"/>
      <w:r w:rsidRPr="00A4589E">
        <w:rPr>
          <w:rFonts w:ascii="Arial" w:hAnsi="Arial" w:cs="Arial"/>
          <w:sz w:val="20"/>
        </w:rPr>
        <w:t>Annex</w:t>
      </w:r>
      <w:r>
        <w:rPr>
          <w:rFonts w:ascii="Arial" w:hAnsi="Arial" w:cs="Arial"/>
          <w:sz w:val="20"/>
        </w:rPr>
        <w:t xml:space="preserve"> 1 – PARt 2</w:t>
      </w:r>
      <w:r>
        <w:rPr>
          <w:rFonts w:ascii="Arial" w:hAnsi="Arial" w:cs="Arial"/>
          <w:sz w:val="20"/>
        </w:rPr>
        <w:br/>
        <w:t>POST ASSIGNMENT REVIEW TEMPLATE</w:t>
      </w:r>
      <w:bookmarkEnd w:id="152"/>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536"/>
        <w:gridCol w:w="4481"/>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8"/>
        <w:gridCol w:w="1816"/>
        <w:gridCol w:w="5733"/>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appropriate procurement route has been used (framework etc)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9"/>
      <w:bookmarkEnd w:id="150"/>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5" w14:textId="481F84E8" w:rsidR="009C5528" w:rsidRPr="00F07B65" w:rsidRDefault="001C3AE9" w:rsidP="00F07B65">
      <w:pPr>
        <w:pStyle w:val="Heading1"/>
        <w:keepNext/>
        <w:numPr>
          <w:ilvl w:val="0"/>
          <w:numId w:val="0"/>
        </w:numPr>
        <w:overflowPunct w:val="0"/>
        <w:autoSpaceDE w:val="0"/>
        <w:autoSpaceDN w:val="0"/>
        <w:ind w:left="720"/>
        <w:textAlignment w:val="baseline"/>
        <w:rPr>
          <w:rFonts w:cs="Arial"/>
          <w:sz w:val="20"/>
        </w:rPr>
      </w:pPr>
      <w:bookmarkStart w:id="153" w:name="_Toc386011050"/>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53"/>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54" w:name="_Toc331761805"/>
      <w:bookmarkStart w:id="155" w:name="_Toc333413319"/>
      <w:r w:rsidRPr="00A80570">
        <w:rPr>
          <w:b/>
        </w:rPr>
        <w:t>1</w:t>
      </w:r>
      <w:r w:rsidRPr="00A80570">
        <w:rPr>
          <w:b/>
        </w:rPr>
        <w:tab/>
      </w:r>
      <w:r w:rsidR="00F55276" w:rsidRPr="00A80570">
        <w:rPr>
          <w:b/>
        </w:rPr>
        <w:t>INTRODUCTION</w:t>
      </w:r>
      <w:bookmarkEnd w:id="154"/>
      <w:bookmarkEnd w:id="155"/>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6" w:name="_Toc331761806"/>
      <w:bookmarkStart w:id="157" w:name="_Toc333413320"/>
      <w:r w:rsidRPr="00A80570">
        <w:rPr>
          <w:b/>
        </w:rPr>
        <w:t>2.</w:t>
      </w:r>
      <w:r w:rsidRPr="00A80570">
        <w:rPr>
          <w:b/>
        </w:rPr>
        <w:tab/>
        <w:t>PRINCIPLES OF SECURITY</w:t>
      </w:r>
      <w:bookmarkEnd w:id="156"/>
      <w:bookmarkEnd w:id="157"/>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A" w14:textId="092019A4" w:rsidR="00F55276" w:rsidRPr="008311CC" w:rsidRDefault="00F55276" w:rsidP="001341FA">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0617B1FC" w14:textId="1ABB4485" w:rsidR="001341FA" w:rsidRPr="008311CC" w:rsidRDefault="00F55276" w:rsidP="00FE3067">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8" w:name="_Toc331761807"/>
      <w:bookmarkStart w:id="159" w:name="_Toc333413321"/>
      <w:r w:rsidRPr="00A80570">
        <w:rPr>
          <w:b/>
        </w:rPr>
        <w:t>3.</w:t>
      </w:r>
      <w:r w:rsidRPr="00A80570">
        <w:rPr>
          <w:b/>
        </w:rPr>
        <w:tab/>
        <w:t>ISMS AND SECURITY MANAGEMENT PLAN</w:t>
      </w:r>
      <w:bookmarkEnd w:id="158"/>
      <w:bookmarkEnd w:id="159"/>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E" w14:textId="2F846592" w:rsidR="00F55276" w:rsidRPr="008311CC" w:rsidRDefault="00F55276" w:rsidP="001341FA">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60" w:name="_Toc331761808"/>
      <w:bookmarkStart w:id="161" w:name="_Toc333413322"/>
      <w:r w:rsidRPr="00A80570">
        <w:rPr>
          <w:b/>
        </w:rPr>
        <w:t>4.</w:t>
      </w:r>
      <w:r w:rsidRPr="00A80570">
        <w:rPr>
          <w:b/>
        </w:rPr>
        <w:tab/>
        <w:t>TESTING</w:t>
      </w:r>
      <w:bookmarkEnd w:id="160"/>
      <w:bookmarkEnd w:id="161"/>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62" w:name="_Toc331761809"/>
      <w:bookmarkStart w:id="163" w:name="_Toc333413323"/>
      <w:r w:rsidRPr="00A80570">
        <w:rPr>
          <w:b/>
        </w:rPr>
        <w:t>5.</w:t>
      </w:r>
      <w:r w:rsidRPr="00A80570">
        <w:rPr>
          <w:b/>
        </w:rPr>
        <w:tab/>
        <w:t>COMPLIANCE WITH ISO/IEC 27001</w:t>
      </w:r>
      <w:bookmarkEnd w:id="162"/>
      <w:bookmarkEnd w:id="163"/>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64" w:name="_Toc331761810"/>
      <w:bookmarkStart w:id="165" w:name="_Toc333413324"/>
      <w:r w:rsidRPr="00A80570">
        <w:rPr>
          <w:b/>
        </w:rPr>
        <w:t>6.</w:t>
      </w:r>
      <w:r w:rsidRPr="00A80570">
        <w:rPr>
          <w:b/>
        </w:rPr>
        <w:tab/>
        <w:t>BREACH OF SECURITY</w:t>
      </w:r>
      <w:bookmarkEnd w:id="164"/>
      <w:bookmarkEnd w:id="165"/>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66" w:name="_Appendix_B_to"/>
      <w:bookmarkEnd w:id="166"/>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A" w14:textId="7C3A938A" w:rsidR="00F55276" w:rsidRPr="00F07B65" w:rsidRDefault="00F07B65" w:rsidP="00F55276">
      <w:pPr>
        <w:pStyle w:val="ScheduleL1"/>
        <w:numPr>
          <w:ilvl w:val="0"/>
          <w:numId w:val="0"/>
        </w:numPr>
        <w:adjustRightInd/>
        <w:spacing w:after="0"/>
        <w:ind w:left="720"/>
        <w:jc w:val="center"/>
        <w:rPr>
          <w:rFonts w:cs="Arial"/>
          <w:sz w:val="20"/>
        </w:rPr>
      </w:pPr>
      <w:r w:rsidRPr="00F07B65">
        <w:rPr>
          <w:rFonts w:cs="Arial"/>
          <w:sz w:val="20"/>
        </w:rPr>
        <w:t xml:space="preserve">Not Applicable </w:t>
      </w: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67" w:name="_Toc350503097"/>
      <w:bookmarkStart w:id="168" w:name="_Toc350504087"/>
      <w:bookmarkStart w:id="169" w:name="_Toc350508009"/>
      <w:r>
        <w:rPr>
          <w:caps w:val="0"/>
        </w:rPr>
        <w:t xml:space="preserve">CALL OFF SCHEDULE 2: </w:t>
      </w:r>
      <w:bookmarkStart w:id="170" w:name="_Ref349134870"/>
      <w:r>
        <w:rPr>
          <w:caps w:val="0"/>
        </w:rPr>
        <w:t xml:space="preserve">ALTERNATIVE </w:t>
      </w:r>
      <w:r w:rsidRPr="003A5E12">
        <w:rPr>
          <w:caps w:val="0"/>
        </w:rPr>
        <w:t>CLAUSES</w:t>
      </w:r>
      <w:bookmarkEnd w:id="167"/>
      <w:bookmarkEnd w:id="168"/>
      <w:bookmarkEnd w:id="169"/>
      <w:bookmarkEnd w:id="170"/>
    </w:p>
    <w:p w14:paraId="6C683B2E" w14:textId="77777777" w:rsidR="005C1CC8" w:rsidRDefault="005C1CC8" w:rsidP="005C1CC8">
      <w:pPr>
        <w:pStyle w:val="TSOLScheduleMainSectionX"/>
        <w:tabs>
          <w:tab w:val="num" w:pos="794"/>
        </w:tabs>
        <w:ind w:left="794" w:hanging="794"/>
      </w:pPr>
      <w:bookmarkStart w:id="171" w:name="_Toc349231204"/>
      <w:bookmarkEnd w:id="171"/>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72" w:name="_Ref349213618"/>
      <w:r w:rsidRPr="003A5E12">
        <w:t>The</w:t>
      </w:r>
      <w:r>
        <w:t xml:space="preserve"> Customer may, in the Letter of Appointment at Appendix 3</w:t>
      </w:r>
      <w:r w:rsidRPr="003A5E12">
        <w:t>, request the following Alternative Clauses:</w:t>
      </w:r>
      <w:bookmarkEnd w:id="172"/>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2B73EC">
        <w:t>0</w:t>
      </w:r>
      <w:r w:rsidR="00A1604E">
        <w:fldChar w:fldCharType="end"/>
      </w:r>
      <w:r w:rsidRPr="005F6A74">
        <w:t xml:space="preserve"> below);</w:t>
      </w:r>
    </w:p>
    <w:p w14:paraId="6C683B33" w14:textId="442723EB" w:rsidR="005C1CC8" w:rsidRDefault="005C1CC8" w:rsidP="005C1CC8">
      <w:pPr>
        <w:pStyle w:val="TSOLScheduleMainSectionX11"/>
        <w:tabs>
          <w:tab w:val="num" w:pos="2381"/>
        </w:tabs>
        <w:ind w:left="2381" w:hanging="793"/>
      </w:pPr>
      <w:r w:rsidRPr="005F6A74">
        <w:t>Northern Ireland Law (see paragraph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73" w:name="_Ref369784510"/>
      <w:r w:rsidRPr="003A5E12">
        <w:t>ALTERNATIVE CLAUSES</w:t>
      </w:r>
      <w:bookmarkStart w:id="174" w:name="_Ref346016545"/>
      <w:bookmarkEnd w:id="173"/>
    </w:p>
    <w:p w14:paraId="6C683B37" w14:textId="77777777" w:rsidR="005C1CC8" w:rsidRDefault="005C1CC8" w:rsidP="005C1CC8">
      <w:pPr>
        <w:pStyle w:val="TSOLScheduleMainSectionX1BOLD"/>
      </w:pPr>
      <w:bookmarkStart w:id="175" w:name="_Ref349213545"/>
      <w:r w:rsidRPr="003A5E12">
        <w:t>SCOTS LAW</w:t>
      </w:r>
      <w:bookmarkEnd w:id="174"/>
      <w:bookmarkEnd w:id="175"/>
    </w:p>
    <w:p w14:paraId="6C683B38" w14:textId="77777777" w:rsidR="005C1CC8" w:rsidRDefault="005C1CC8" w:rsidP="005C1CC8">
      <w:pPr>
        <w:pStyle w:val="TSOLScheduleNormalleftIndenttoX111"/>
      </w:pPr>
      <w:r w:rsidRPr="003A5E12">
        <w:t xml:space="preserve">Law and Jurisdiction (Clause </w:t>
      </w:r>
      <w:r w:rsidRPr="003867F8">
        <w:t>[</w:t>
      </w:r>
      <w:hyperlink w:anchor="_Governing_Law_and" w:history="1">
        <w:r w:rsidRPr="003867F8">
          <w:rPr>
            <w:rStyle w:val="Hyperlink"/>
          </w:rPr>
          <w:t>23</w:t>
        </w:r>
      </w:hyperlink>
      <w:r w:rsidRPr="003867F8">
        <w:t>])</w:t>
      </w:r>
    </w:p>
    <w:p w14:paraId="6C683B39" w14:textId="45F2F228"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6" w:name="_Ref346016561"/>
    </w:p>
    <w:p w14:paraId="6C683B3B" w14:textId="77777777" w:rsidR="005C1CC8" w:rsidRDefault="005C1CC8" w:rsidP="005C1CC8">
      <w:pPr>
        <w:pStyle w:val="TSOLScheduleMainSectionX1BOLD"/>
      </w:pPr>
      <w:r w:rsidRPr="003A5E12">
        <w:t>NORTHERN IRELAND LAW</w:t>
      </w:r>
      <w:bookmarkEnd w:id="176"/>
    </w:p>
    <w:p w14:paraId="6C683B3C" w14:textId="77777777" w:rsidR="005C1CC8" w:rsidRDefault="005C1CC8" w:rsidP="005C1CC8">
      <w:pPr>
        <w:pStyle w:val="TSOLScheduleNormalleftIndenttoX111"/>
      </w:pPr>
      <w:r w:rsidRPr="003A5E12">
        <w:t>Law and Jurisdiction (</w:t>
      </w:r>
      <w:r w:rsidRPr="003867F8">
        <w:t>Clause [</w:t>
      </w:r>
      <w:hyperlink w:anchor="_Governing_Law_and" w:history="1">
        <w:r w:rsidRPr="003867F8">
          <w:rPr>
            <w:rStyle w:val="Hyperlink"/>
          </w:rPr>
          <w:t>23</w:t>
        </w:r>
      </w:hyperlink>
      <w:r w:rsidRPr="003867F8">
        <w:t>])</w:t>
      </w:r>
    </w:p>
    <w:p w14:paraId="6C683B3D" w14:textId="661B660E"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non-contractual obligation and the existence, validity or termination of this Call Off Contract</w:t>
      </w:r>
      <w:r w:rsidRPr="00057B6F">
        <w:t>.</w:t>
      </w:r>
    </w:p>
    <w:sectPr w:rsidR="00585E76" w:rsidRPr="003B6C8F" w:rsidSect="00027CCB">
      <w:headerReference w:type="even" r:id="rId25"/>
      <w:headerReference w:type="default" r:id="rId26"/>
      <w:footerReference w:type="even" r:id="rId27"/>
      <w:headerReference w:type="first" r:id="rId28"/>
      <w:footerReference w:type="first" r:id="rId29"/>
      <w:endnotePr>
        <w:numFmt w:val="decimal"/>
      </w:endnotePr>
      <w:pgSz w:w="11907" w:h="16840" w:code="9"/>
      <w:pgMar w:top="1701" w:right="1440"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AE350" w14:textId="77777777" w:rsidR="00106FC0" w:rsidRDefault="00106FC0">
      <w:pPr>
        <w:spacing w:after="0" w:line="20" w:lineRule="exact"/>
      </w:pPr>
    </w:p>
  </w:endnote>
  <w:endnote w:type="continuationSeparator" w:id="0">
    <w:p w14:paraId="1E03CB2E" w14:textId="77777777" w:rsidR="00106FC0" w:rsidRDefault="00106FC0">
      <w:pPr>
        <w:spacing w:after="0" w:line="20" w:lineRule="exact"/>
      </w:pPr>
    </w:p>
  </w:endnote>
  <w:endnote w:type="continuationNotice" w:id="1">
    <w:p w14:paraId="2C56A137" w14:textId="77777777" w:rsidR="00106FC0" w:rsidRDefault="00106FC0">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DF7D7D" w:rsidRDefault="00DF7D7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DF7D7D" w:rsidRDefault="00DF7D7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DF7D7D" w:rsidRDefault="00DF7D7D"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648286646"/>
      <w:docPartObj>
        <w:docPartGallery w:val="Page Numbers (Bottom of Page)"/>
        <w:docPartUnique/>
      </w:docPartObj>
    </w:sdtPr>
    <w:sdtEndPr>
      <w:rPr>
        <w:sz w:val="22"/>
        <w:szCs w:val="20"/>
      </w:rPr>
    </w:sdtEndPr>
    <w:sdtContent>
      <w:p w14:paraId="6CB1EC7C" w14:textId="4166F06F" w:rsidR="00DF7D7D" w:rsidRDefault="00DF7D7D" w:rsidP="00016004">
        <w:pPr>
          <w:pStyle w:val="Footer"/>
          <w:jc w:val="left"/>
          <w:rPr>
            <w:sz w:val="18"/>
            <w:szCs w:val="18"/>
          </w:rPr>
        </w:pPr>
        <w:r w:rsidRPr="00813093">
          <w:rPr>
            <w:sz w:val="18"/>
            <w:szCs w:val="18"/>
          </w:rPr>
          <w:t xml:space="preserve">Contract: Provision of </w:t>
        </w:r>
        <w:r>
          <w:rPr>
            <w:sz w:val="18"/>
            <w:szCs w:val="18"/>
          </w:rPr>
          <w:t>Consultancy Support Regarding Geospatial Data</w:t>
        </w:r>
      </w:p>
      <w:p w14:paraId="00CA4112" w14:textId="48FB5EFB" w:rsidR="00DF7D7D" w:rsidRPr="00813093" w:rsidRDefault="00DF7D7D" w:rsidP="00016004">
        <w:pPr>
          <w:pStyle w:val="Footer"/>
          <w:jc w:val="left"/>
          <w:rPr>
            <w:sz w:val="18"/>
            <w:szCs w:val="18"/>
          </w:rPr>
        </w:pPr>
        <w:r>
          <w:rPr>
            <w:sz w:val="18"/>
            <w:szCs w:val="18"/>
          </w:rPr>
          <w:t>Contract Number: CCCC17A74</w:t>
        </w:r>
      </w:p>
      <w:p w14:paraId="6A2EF1EE" w14:textId="77777777" w:rsidR="00DF7D7D" w:rsidRPr="00813093" w:rsidRDefault="00DF7D7D" w:rsidP="00016004">
        <w:pPr>
          <w:pStyle w:val="Footer"/>
          <w:jc w:val="left"/>
          <w:rPr>
            <w:sz w:val="18"/>
            <w:szCs w:val="18"/>
          </w:rPr>
        </w:pPr>
        <w:r>
          <w:rPr>
            <w:sz w:val="18"/>
            <w:szCs w:val="18"/>
          </w:rPr>
          <w:tab/>
        </w:r>
      </w:p>
      <w:p w14:paraId="26041F9D" w14:textId="77777777" w:rsidR="00DF7D7D" w:rsidRDefault="00DF7D7D"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106FC0">
          <w:rPr>
            <w:noProof/>
            <w:sz w:val="18"/>
            <w:szCs w:val="18"/>
          </w:rPr>
          <w:t>1</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106FC0">
          <w:rPr>
            <w:noProof/>
            <w:sz w:val="18"/>
            <w:szCs w:val="18"/>
          </w:rPr>
          <w:t>1</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B83F75">
          <w:rPr>
            <w:noProof/>
            <w:sz w:val="18"/>
            <w:szCs w:val="18"/>
          </w:rPr>
          <w:t>15 January 2018</w:t>
        </w:r>
        <w:r>
          <w:rPr>
            <w:sz w:val="18"/>
            <w:szCs w:val="18"/>
          </w:rPr>
          <w:fldChar w:fldCharType="end"/>
        </w:r>
      </w:p>
      <w:p w14:paraId="073D9B69" w14:textId="77777777" w:rsidR="00DF7D7D" w:rsidRDefault="00DF7D7D"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DF7D7D" w:rsidRPr="00016004" w:rsidRDefault="00DF7D7D"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DF7D7D" w:rsidRDefault="00DF7D7D"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DF7D7D" w:rsidRDefault="00DF7D7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DF7D7D" w:rsidRDefault="00DF7D7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DF7D7D" w:rsidRDefault="00DF7D7D"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5DEF7" w14:textId="77777777" w:rsidR="00106FC0" w:rsidRDefault="00106FC0">
      <w:pPr>
        <w:spacing w:after="0" w:line="240" w:lineRule="auto"/>
      </w:pPr>
      <w:r>
        <w:separator/>
      </w:r>
    </w:p>
  </w:footnote>
  <w:footnote w:type="continuationSeparator" w:id="0">
    <w:p w14:paraId="4CD5E12D" w14:textId="77777777" w:rsidR="00106FC0" w:rsidRDefault="00106FC0">
      <w:pPr>
        <w:spacing w:after="0" w:line="240" w:lineRule="auto"/>
      </w:pPr>
      <w:r>
        <w:continuationSeparator/>
      </w:r>
    </w:p>
  </w:footnote>
  <w:footnote w:type="continuationNotice" w:id="1">
    <w:p w14:paraId="7653A702" w14:textId="77777777" w:rsidR="00106FC0" w:rsidRDefault="00106F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DF7D7D" w:rsidRDefault="00DF7D7D"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DF7D7D" w:rsidRDefault="00DF7D7D"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19E282A"/>
    <w:multiLevelType w:val="hybridMultilevel"/>
    <w:tmpl w:val="F96683C2"/>
    <w:lvl w:ilvl="0" w:tplc="79285C1C">
      <w:start w:val="2"/>
      <w:numFmt w:val="bullet"/>
      <w:lvlText w:val="-"/>
      <w:lvlJc w:val="left"/>
      <w:pPr>
        <w:ind w:left="1794" w:hanging="360"/>
      </w:pPr>
      <w:rPr>
        <w:rFonts w:ascii="Arial" w:eastAsia="Times New Roman" w:hAnsi="Arial" w:cs="Arial" w:hint="default"/>
      </w:rPr>
    </w:lvl>
    <w:lvl w:ilvl="1" w:tplc="08090003" w:tentative="1">
      <w:start w:val="1"/>
      <w:numFmt w:val="bullet"/>
      <w:lvlText w:val="o"/>
      <w:lvlJc w:val="left"/>
      <w:pPr>
        <w:ind w:left="2514" w:hanging="360"/>
      </w:pPr>
      <w:rPr>
        <w:rFonts w:ascii="Courier New" w:hAnsi="Courier New" w:cs="Courier New"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E272009"/>
    <w:multiLevelType w:val="hybridMultilevel"/>
    <w:tmpl w:val="F13AF682"/>
    <w:lvl w:ilvl="0" w:tplc="CFD0DB1A">
      <w:start w:val="2"/>
      <w:numFmt w:val="bullet"/>
      <w:lvlText w:val="-"/>
      <w:lvlJc w:val="left"/>
      <w:pPr>
        <w:ind w:left="3240" w:hanging="360"/>
      </w:pPr>
      <w:rPr>
        <w:rFonts w:ascii="Arial" w:eastAsia="STZhongsong"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1"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7F30FC"/>
    <w:multiLevelType w:val="hybridMultilevel"/>
    <w:tmpl w:val="3B42A63C"/>
    <w:lvl w:ilvl="0" w:tplc="AC0CD8E4">
      <w:start w:val="2"/>
      <w:numFmt w:val="bullet"/>
      <w:lvlText w:val="-"/>
      <w:lvlJc w:val="left"/>
      <w:pPr>
        <w:ind w:left="3240" w:hanging="360"/>
      </w:pPr>
      <w:rPr>
        <w:rFonts w:ascii="Arial" w:eastAsia="STZhongsong"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543000"/>
    <w:multiLevelType w:val="multilevel"/>
    <w:tmpl w:val="23142CA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9"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0" w15:restartNumberingAfterBreak="0">
    <w:nsid w:val="36BD3BCB"/>
    <w:multiLevelType w:val="multilevel"/>
    <w:tmpl w:val="23142CA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390533CC"/>
    <w:multiLevelType w:val="multilevel"/>
    <w:tmpl w:val="23142CA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24" w15:restartNumberingAfterBreak="0">
    <w:nsid w:val="49021F1E"/>
    <w:multiLevelType w:val="multilevel"/>
    <w:tmpl w:val="6652BB3E"/>
    <w:lvl w:ilvl="0">
      <w:start w:val="2"/>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350"/>
        </w:tabs>
        <w:ind w:left="1350" w:hanging="720"/>
      </w:pPr>
      <w:rPr>
        <w:rFonts w:hint="default"/>
        <w:caps w:val="0"/>
        <w:effect w:val="none"/>
      </w:rPr>
    </w:lvl>
    <w:lvl w:ilvl="2">
      <w:start w:val="1"/>
      <w:numFmt w:val="decimal"/>
      <w:pStyle w:val="Heading3"/>
      <w:lvlText w:val="%1.%2.%3"/>
      <w:lvlJc w:val="left"/>
      <w:pPr>
        <w:tabs>
          <w:tab w:val="num" w:pos="1647"/>
        </w:tabs>
        <w:ind w:left="1647" w:hanging="1080"/>
      </w:pPr>
      <w:rPr>
        <w:rFonts w:hint="default"/>
        <w:caps w:val="0"/>
        <w:color w:val="auto"/>
        <w:effect w:val="none"/>
      </w:rPr>
    </w:lvl>
    <w:lvl w:ilvl="3">
      <w:start w:val="1"/>
      <w:numFmt w:val="decimal"/>
      <w:pStyle w:val="Heading4"/>
      <w:lvlText w:val="%1.%2.%3.%4"/>
      <w:lvlJc w:val="left"/>
      <w:pPr>
        <w:tabs>
          <w:tab w:val="num" w:pos="1648"/>
        </w:tabs>
        <w:ind w:left="1648"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7"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8"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AB9119F"/>
    <w:multiLevelType w:val="hybridMultilevel"/>
    <w:tmpl w:val="480A1A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32"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5" w15:restartNumberingAfterBreak="0">
    <w:nsid w:val="7F147094"/>
    <w:multiLevelType w:val="hybridMultilevel"/>
    <w:tmpl w:val="6B88A7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9"/>
  </w:num>
  <w:num w:numId="4">
    <w:abstractNumId w:val="10"/>
  </w:num>
  <w:num w:numId="5">
    <w:abstractNumId w:val="5"/>
  </w:num>
  <w:num w:numId="6">
    <w:abstractNumId w:val="28"/>
  </w:num>
  <w:num w:numId="7">
    <w:abstractNumId w:val="22"/>
  </w:num>
  <w:num w:numId="8">
    <w:abstractNumId w:val="7"/>
  </w:num>
  <w:num w:numId="9">
    <w:abstractNumId w:val="4"/>
  </w:num>
  <w:num w:numId="10">
    <w:abstractNumId w:val="3"/>
  </w:num>
  <w:num w:numId="11">
    <w:abstractNumId w:val="2"/>
  </w:num>
  <w:num w:numId="12">
    <w:abstractNumId w:val="1"/>
  </w:num>
  <w:num w:numId="13">
    <w:abstractNumId w:val="0"/>
  </w:num>
  <w:num w:numId="14">
    <w:abstractNumId w:val="27"/>
  </w:num>
  <w:num w:numId="15">
    <w:abstractNumId w:val="31"/>
  </w:num>
  <w:num w:numId="16">
    <w:abstractNumId w:val="26"/>
  </w:num>
  <w:num w:numId="17">
    <w:abstractNumId w:val="33"/>
  </w:num>
  <w:num w:numId="18">
    <w:abstractNumId w:val="11"/>
  </w:num>
  <w:num w:numId="19">
    <w:abstractNumId w:val="34"/>
  </w:num>
  <w:num w:numId="20">
    <w:abstractNumId w:val="9"/>
  </w:num>
  <w:num w:numId="21">
    <w:abstractNumId w:val="32"/>
  </w:num>
  <w:num w:numId="22">
    <w:abstractNumId w:val="17"/>
  </w:num>
  <w:num w:numId="23">
    <w:abstractNumId w:val="23"/>
  </w:num>
  <w:num w:numId="24">
    <w:abstractNumId w:val="29"/>
  </w:num>
  <w:num w:numId="25">
    <w:abstractNumId w:val="24"/>
  </w:num>
  <w:num w:numId="26">
    <w:abstractNumId w:val="24"/>
  </w:num>
  <w:num w:numId="27">
    <w:abstractNumId w:val="24"/>
  </w:num>
  <w:num w:numId="28">
    <w:abstractNumId w:val="14"/>
  </w:num>
  <w:num w:numId="29">
    <w:abstractNumId w:val="16"/>
  </w:num>
  <w:num w:numId="30">
    <w:abstractNumId w:val="25"/>
  </w:num>
  <w:num w:numId="31">
    <w:abstractNumId w:val="30"/>
  </w:num>
  <w:num w:numId="32">
    <w:abstractNumId w:val="25"/>
    <w:lvlOverride w:ilvl="0">
      <w:startOverride w:val="6"/>
    </w:lvlOverride>
    <w:lvlOverride w:ilvl="1">
      <w:startOverride w:val="4"/>
    </w:lvlOverride>
    <w:lvlOverride w:ilvl="2">
      <w:startOverride w:val="2"/>
    </w:lvlOverride>
  </w:num>
  <w:num w:numId="33">
    <w:abstractNumId w:val="35"/>
  </w:num>
  <w:num w:numId="34">
    <w:abstractNumId w:val="20"/>
  </w:num>
  <w:num w:numId="35">
    <w:abstractNumId w:val="15"/>
  </w:num>
  <w:num w:numId="36">
    <w:abstractNumId w:val="21"/>
  </w:num>
  <w:num w:numId="37">
    <w:abstractNumId w:val="6"/>
  </w:num>
  <w:num w:numId="38">
    <w:abstractNumId w:val="13"/>
  </w:num>
  <w:num w:numId="3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27CCB"/>
    <w:rsid w:val="00031E5C"/>
    <w:rsid w:val="000339A0"/>
    <w:rsid w:val="00033A70"/>
    <w:rsid w:val="00033C26"/>
    <w:rsid w:val="00041363"/>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04A1"/>
    <w:rsid w:val="000F1186"/>
    <w:rsid w:val="000F386F"/>
    <w:rsid w:val="00102227"/>
    <w:rsid w:val="00102B01"/>
    <w:rsid w:val="00105D51"/>
    <w:rsid w:val="00106FC0"/>
    <w:rsid w:val="001076A7"/>
    <w:rsid w:val="00110FFA"/>
    <w:rsid w:val="00112176"/>
    <w:rsid w:val="00113541"/>
    <w:rsid w:val="001144E0"/>
    <w:rsid w:val="001162EF"/>
    <w:rsid w:val="00116510"/>
    <w:rsid w:val="00116EF6"/>
    <w:rsid w:val="001243F1"/>
    <w:rsid w:val="001268DA"/>
    <w:rsid w:val="0013055F"/>
    <w:rsid w:val="00130827"/>
    <w:rsid w:val="001308C1"/>
    <w:rsid w:val="001341FA"/>
    <w:rsid w:val="00134834"/>
    <w:rsid w:val="00135696"/>
    <w:rsid w:val="0013772A"/>
    <w:rsid w:val="0014016D"/>
    <w:rsid w:val="00142083"/>
    <w:rsid w:val="001428B2"/>
    <w:rsid w:val="0014427F"/>
    <w:rsid w:val="0015029F"/>
    <w:rsid w:val="001518F8"/>
    <w:rsid w:val="00151F28"/>
    <w:rsid w:val="00153064"/>
    <w:rsid w:val="00161ECF"/>
    <w:rsid w:val="00162C54"/>
    <w:rsid w:val="00163049"/>
    <w:rsid w:val="00167F94"/>
    <w:rsid w:val="001717CF"/>
    <w:rsid w:val="00181654"/>
    <w:rsid w:val="00182892"/>
    <w:rsid w:val="00183B20"/>
    <w:rsid w:val="00185555"/>
    <w:rsid w:val="001928A4"/>
    <w:rsid w:val="0019357C"/>
    <w:rsid w:val="001A1409"/>
    <w:rsid w:val="001B04D4"/>
    <w:rsid w:val="001B18A6"/>
    <w:rsid w:val="001B7D21"/>
    <w:rsid w:val="001C1613"/>
    <w:rsid w:val="001C3AE9"/>
    <w:rsid w:val="001C3CB3"/>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0B49"/>
    <w:rsid w:val="002631B9"/>
    <w:rsid w:val="00263E0A"/>
    <w:rsid w:val="002641EE"/>
    <w:rsid w:val="00266503"/>
    <w:rsid w:val="00273B81"/>
    <w:rsid w:val="002767BC"/>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B1BFF"/>
    <w:rsid w:val="002B2C2A"/>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0C03"/>
    <w:rsid w:val="00321BA3"/>
    <w:rsid w:val="00330140"/>
    <w:rsid w:val="003333E8"/>
    <w:rsid w:val="00336F6B"/>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867F8"/>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3ACE"/>
    <w:rsid w:val="00424A9C"/>
    <w:rsid w:val="00431100"/>
    <w:rsid w:val="004315A1"/>
    <w:rsid w:val="0043487E"/>
    <w:rsid w:val="004349AB"/>
    <w:rsid w:val="004363FF"/>
    <w:rsid w:val="00436E14"/>
    <w:rsid w:val="00437122"/>
    <w:rsid w:val="00437374"/>
    <w:rsid w:val="004406BC"/>
    <w:rsid w:val="0044170C"/>
    <w:rsid w:val="004500CE"/>
    <w:rsid w:val="0045205C"/>
    <w:rsid w:val="00460065"/>
    <w:rsid w:val="00461EE9"/>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20404"/>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27EF"/>
    <w:rsid w:val="00566720"/>
    <w:rsid w:val="00574287"/>
    <w:rsid w:val="00577AD8"/>
    <w:rsid w:val="00583253"/>
    <w:rsid w:val="00585376"/>
    <w:rsid w:val="00585E76"/>
    <w:rsid w:val="00585F0F"/>
    <w:rsid w:val="00587054"/>
    <w:rsid w:val="005905D6"/>
    <w:rsid w:val="00591381"/>
    <w:rsid w:val="00593F22"/>
    <w:rsid w:val="005A561C"/>
    <w:rsid w:val="005B04EB"/>
    <w:rsid w:val="005B2602"/>
    <w:rsid w:val="005B26ED"/>
    <w:rsid w:val="005B2E88"/>
    <w:rsid w:val="005B3F9E"/>
    <w:rsid w:val="005B48E6"/>
    <w:rsid w:val="005B57A7"/>
    <w:rsid w:val="005B6D53"/>
    <w:rsid w:val="005B71F5"/>
    <w:rsid w:val="005C0124"/>
    <w:rsid w:val="005C14D2"/>
    <w:rsid w:val="005C1CC8"/>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75DA"/>
    <w:rsid w:val="00672401"/>
    <w:rsid w:val="0067310C"/>
    <w:rsid w:val="00674C31"/>
    <w:rsid w:val="006764C3"/>
    <w:rsid w:val="00676C61"/>
    <w:rsid w:val="0068141A"/>
    <w:rsid w:val="00681AFA"/>
    <w:rsid w:val="006847C5"/>
    <w:rsid w:val="00687486"/>
    <w:rsid w:val="006A1487"/>
    <w:rsid w:val="006A1B65"/>
    <w:rsid w:val="006A54EC"/>
    <w:rsid w:val="006A5B23"/>
    <w:rsid w:val="006A6932"/>
    <w:rsid w:val="006B029B"/>
    <w:rsid w:val="006B0C28"/>
    <w:rsid w:val="006B131A"/>
    <w:rsid w:val="006B1333"/>
    <w:rsid w:val="006B5561"/>
    <w:rsid w:val="006C11A5"/>
    <w:rsid w:val="006C362B"/>
    <w:rsid w:val="006C3D9C"/>
    <w:rsid w:val="006C5888"/>
    <w:rsid w:val="006C7108"/>
    <w:rsid w:val="006C7585"/>
    <w:rsid w:val="006D2A7F"/>
    <w:rsid w:val="006D51D8"/>
    <w:rsid w:val="006D6E48"/>
    <w:rsid w:val="006E1C32"/>
    <w:rsid w:val="006E5CA2"/>
    <w:rsid w:val="006F2A29"/>
    <w:rsid w:val="006F449C"/>
    <w:rsid w:val="006F4EC5"/>
    <w:rsid w:val="006F7BC9"/>
    <w:rsid w:val="006F7EFE"/>
    <w:rsid w:val="00701646"/>
    <w:rsid w:val="00701CB8"/>
    <w:rsid w:val="00703C8B"/>
    <w:rsid w:val="0070559B"/>
    <w:rsid w:val="00706BB4"/>
    <w:rsid w:val="0071416C"/>
    <w:rsid w:val="00715154"/>
    <w:rsid w:val="00715D83"/>
    <w:rsid w:val="00720057"/>
    <w:rsid w:val="0073160F"/>
    <w:rsid w:val="007317E0"/>
    <w:rsid w:val="00732D82"/>
    <w:rsid w:val="00735D99"/>
    <w:rsid w:val="007360EF"/>
    <w:rsid w:val="00736E1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365E"/>
    <w:rsid w:val="00774F34"/>
    <w:rsid w:val="0078079F"/>
    <w:rsid w:val="00781377"/>
    <w:rsid w:val="00782603"/>
    <w:rsid w:val="00783965"/>
    <w:rsid w:val="0078397B"/>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1F45"/>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370A"/>
    <w:rsid w:val="0084409B"/>
    <w:rsid w:val="008447C4"/>
    <w:rsid w:val="0084561D"/>
    <w:rsid w:val="008470CA"/>
    <w:rsid w:val="0084785D"/>
    <w:rsid w:val="0085372A"/>
    <w:rsid w:val="008552DB"/>
    <w:rsid w:val="00857A80"/>
    <w:rsid w:val="00857BD2"/>
    <w:rsid w:val="00857D12"/>
    <w:rsid w:val="008642A6"/>
    <w:rsid w:val="0086551D"/>
    <w:rsid w:val="00867FCD"/>
    <w:rsid w:val="00873C72"/>
    <w:rsid w:val="00875514"/>
    <w:rsid w:val="00875C01"/>
    <w:rsid w:val="008778A0"/>
    <w:rsid w:val="00880E10"/>
    <w:rsid w:val="00884668"/>
    <w:rsid w:val="0088767B"/>
    <w:rsid w:val="00892916"/>
    <w:rsid w:val="00893D17"/>
    <w:rsid w:val="00894CDB"/>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D0282"/>
    <w:rsid w:val="008D612B"/>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2A1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2402"/>
    <w:rsid w:val="009D3297"/>
    <w:rsid w:val="009D516A"/>
    <w:rsid w:val="009D7EB8"/>
    <w:rsid w:val="009E0C78"/>
    <w:rsid w:val="009E693D"/>
    <w:rsid w:val="009F03D4"/>
    <w:rsid w:val="009F0BA8"/>
    <w:rsid w:val="009F36E8"/>
    <w:rsid w:val="009F4DC2"/>
    <w:rsid w:val="009F57A8"/>
    <w:rsid w:val="009F7341"/>
    <w:rsid w:val="009F7881"/>
    <w:rsid w:val="009F7A6B"/>
    <w:rsid w:val="00A00285"/>
    <w:rsid w:val="00A041FC"/>
    <w:rsid w:val="00A045DB"/>
    <w:rsid w:val="00A04A07"/>
    <w:rsid w:val="00A072A8"/>
    <w:rsid w:val="00A07C44"/>
    <w:rsid w:val="00A11B69"/>
    <w:rsid w:val="00A129CF"/>
    <w:rsid w:val="00A14D96"/>
    <w:rsid w:val="00A1604E"/>
    <w:rsid w:val="00A16FED"/>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42B"/>
    <w:rsid w:val="00A935AD"/>
    <w:rsid w:val="00A9396D"/>
    <w:rsid w:val="00A95554"/>
    <w:rsid w:val="00A95F74"/>
    <w:rsid w:val="00A97F94"/>
    <w:rsid w:val="00AA0119"/>
    <w:rsid w:val="00AA590B"/>
    <w:rsid w:val="00AB0A5C"/>
    <w:rsid w:val="00AB1BF7"/>
    <w:rsid w:val="00AB378A"/>
    <w:rsid w:val="00AB51E9"/>
    <w:rsid w:val="00AB765B"/>
    <w:rsid w:val="00AC1210"/>
    <w:rsid w:val="00AC1246"/>
    <w:rsid w:val="00AC2A29"/>
    <w:rsid w:val="00AC4EAD"/>
    <w:rsid w:val="00AC75E2"/>
    <w:rsid w:val="00AD210E"/>
    <w:rsid w:val="00AD3334"/>
    <w:rsid w:val="00AE4F5A"/>
    <w:rsid w:val="00AE5A0F"/>
    <w:rsid w:val="00AE753C"/>
    <w:rsid w:val="00AF0BE8"/>
    <w:rsid w:val="00AF273B"/>
    <w:rsid w:val="00AF2F58"/>
    <w:rsid w:val="00AF30A4"/>
    <w:rsid w:val="00AF5C6A"/>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329C"/>
    <w:rsid w:val="00B76ADB"/>
    <w:rsid w:val="00B8092C"/>
    <w:rsid w:val="00B81A3B"/>
    <w:rsid w:val="00B823BC"/>
    <w:rsid w:val="00B83F75"/>
    <w:rsid w:val="00B8624A"/>
    <w:rsid w:val="00B9267A"/>
    <w:rsid w:val="00B93485"/>
    <w:rsid w:val="00B93838"/>
    <w:rsid w:val="00B951CE"/>
    <w:rsid w:val="00B96493"/>
    <w:rsid w:val="00B969F0"/>
    <w:rsid w:val="00B978F2"/>
    <w:rsid w:val="00BA05C1"/>
    <w:rsid w:val="00BA3FAC"/>
    <w:rsid w:val="00BB085A"/>
    <w:rsid w:val="00BB1764"/>
    <w:rsid w:val="00BB1A59"/>
    <w:rsid w:val="00BB37E1"/>
    <w:rsid w:val="00BB3A7A"/>
    <w:rsid w:val="00BB527F"/>
    <w:rsid w:val="00BB5593"/>
    <w:rsid w:val="00BC0C32"/>
    <w:rsid w:val="00BC37E1"/>
    <w:rsid w:val="00BC6D91"/>
    <w:rsid w:val="00BD0C65"/>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198A"/>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4E27"/>
    <w:rsid w:val="00C855F4"/>
    <w:rsid w:val="00C858FB"/>
    <w:rsid w:val="00C901FE"/>
    <w:rsid w:val="00C93116"/>
    <w:rsid w:val="00C9464A"/>
    <w:rsid w:val="00C94C55"/>
    <w:rsid w:val="00C9591C"/>
    <w:rsid w:val="00C96BCC"/>
    <w:rsid w:val="00C97FDB"/>
    <w:rsid w:val="00CA5516"/>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6CE6"/>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5B22"/>
    <w:rsid w:val="00D168AD"/>
    <w:rsid w:val="00D17E9D"/>
    <w:rsid w:val="00D31342"/>
    <w:rsid w:val="00D43DAE"/>
    <w:rsid w:val="00D50062"/>
    <w:rsid w:val="00D50106"/>
    <w:rsid w:val="00D55DB5"/>
    <w:rsid w:val="00D56B5E"/>
    <w:rsid w:val="00D60F10"/>
    <w:rsid w:val="00D62861"/>
    <w:rsid w:val="00D63F9A"/>
    <w:rsid w:val="00D650F4"/>
    <w:rsid w:val="00D67E84"/>
    <w:rsid w:val="00D71A7A"/>
    <w:rsid w:val="00D75762"/>
    <w:rsid w:val="00D76972"/>
    <w:rsid w:val="00D80835"/>
    <w:rsid w:val="00D8174C"/>
    <w:rsid w:val="00D84C3A"/>
    <w:rsid w:val="00D87876"/>
    <w:rsid w:val="00D910D5"/>
    <w:rsid w:val="00D9336A"/>
    <w:rsid w:val="00DA0EC6"/>
    <w:rsid w:val="00DA3265"/>
    <w:rsid w:val="00DA36D0"/>
    <w:rsid w:val="00DA7C65"/>
    <w:rsid w:val="00DB0EF7"/>
    <w:rsid w:val="00DB40B5"/>
    <w:rsid w:val="00DB69B6"/>
    <w:rsid w:val="00DB6AA1"/>
    <w:rsid w:val="00DC0285"/>
    <w:rsid w:val="00DC07AB"/>
    <w:rsid w:val="00DC4251"/>
    <w:rsid w:val="00DC538C"/>
    <w:rsid w:val="00DD0B40"/>
    <w:rsid w:val="00DD4545"/>
    <w:rsid w:val="00DE25E9"/>
    <w:rsid w:val="00DE607B"/>
    <w:rsid w:val="00DF163D"/>
    <w:rsid w:val="00DF33B2"/>
    <w:rsid w:val="00DF40F9"/>
    <w:rsid w:val="00DF678C"/>
    <w:rsid w:val="00DF7D7D"/>
    <w:rsid w:val="00E013A7"/>
    <w:rsid w:val="00E02A90"/>
    <w:rsid w:val="00E03B79"/>
    <w:rsid w:val="00E04FE6"/>
    <w:rsid w:val="00E05143"/>
    <w:rsid w:val="00E06A90"/>
    <w:rsid w:val="00E100C3"/>
    <w:rsid w:val="00E109EC"/>
    <w:rsid w:val="00E1398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166"/>
    <w:rsid w:val="00E745DD"/>
    <w:rsid w:val="00E75342"/>
    <w:rsid w:val="00E75417"/>
    <w:rsid w:val="00E75451"/>
    <w:rsid w:val="00E772A6"/>
    <w:rsid w:val="00E81BCB"/>
    <w:rsid w:val="00E83ECF"/>
    <w:rsid w:val="00E91523"/>
    <w:rsid w:val="00E92ACF"/>
    <w:rsid w:val="00E93B40"/>
    <w:rsid w:val="00E96F8D"/>
    <w:rsid w:val="00EA076E"/>
    <w:rsid w:val="00EA1108"/>
    <w:rsid w:val="00EA443E"/>
    <w:rsid w:val="00EA68D8"/>
    <w:rsid w:val="00EB4FB2"/>
    <w:rsid w:val="00EB5478"/>
    <w:rsid w:val="00EB6398"/>
    <w:rsid w:val="00EC206F"/>
    <w:rsid w:val="00EC290B"/>
    <w:rsid w:val="00EC63AD"/>
    <w:rsid w:val="00EC7B94"/>
    <w:rsid w:val="00ED047D"/>
    <w:rsid w:val="00ED2EBC"/>
    <w:rsid w:val="00ED47A0"/>
    <w:rsid w:val="00ED6328"/>
    <w:rsid w:val="00ED66DB"/>
    <w:rsid w:val="00EE028D"/>
    <w:rsid w:val="00EE2841"/>
    <w:rsid w:val="00EE36C2"/>
    <w:rsid w:val="00EE7742"/>
    <w:rsid w:val="00EE7C51"/>
    <w:rsid w:val="00EF0398"/>
    <w:rsid w:val="00EF0C36"/>
    <w:rsid w:val="00EF79BF"/>
    <w:rsid w:val="00F036EC"/>
    <w:rsid w:val="00F039A9"/>
    <w:rsid w:val="00F03D5D"/>
    <w:rsid w:val="00F05C5E"/>
    <w:rsid w:val="00F06874"/>
    <w:rsid w:val="00F07B65"/>
    <w:rsid w:val="00F136A1"/>
    <w:rsid w:val="00F13F53"/>
    <w:rsid w:val="00F14CCD"/>
    <w:rsid w:val="00F2283F"/>
    <w:rsid w:val="00F22BAA"/>
    <w:rsid w:val="00F23B27"/>
    <w:rsid w:val="00F26B34"/>
    <w:rsid w:val="00F30D55"/>
    <w:rsid w:val="00F359E1"/>
    <w:rsid w:val="00F371ED"/>
    <w:rsid w:val="00F37CFB"/>
    <w:rsid w:val="00F4095E"/>
    <w:rsid w:val="00F41C97"/>
    <w:rsid w:val="00F43AB5"/>
    <w:rsid w:val="00F4581E"/>
    <w:rsid w:val="00F45AF4"/>
    <w:rsid w:val="00F45B20"/>
    <w:rsid w:val="00F46346"/>
    <w:rsid w:val="00F470C7"/>
    <w:rsid w:val="00F51258"/>
    <w:rsid w:val="00F531ED"/>
    <w:rsid w:val="00F53470"/>
    <w:rsid w:val="00F54E5C"/>
    <w:rsid w:val="00F55276"/>
    <w:rsid w:val="00F553AC"/>
    <w:rsid w:val="00F56928"/>
    <w:rsid w:val="00F60503"/>
    <w:rsid w:val="00F607F1"/>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0836"/>
    <w:rsid w:val="00FA0FD4"/>
    <w:rsid w:val="00FA1955"/>
    <w:rsid w:val="00FA1DA6"/>
    <w:rsid w:val="00FA32F3"/>
    <w:rsid w:val="00FA46E7"/>
    <w:rsid w:val="00FA540F"/>
    <w:rsid w:val="00FB0D94"/>
    <w:rsid w:val="00FB269A"/>
    <w:rsid w:val="00FB3331"/>
    <w:rsid w:val="00FB5663"/>
    <w:rsid w:val="00FB5BA8"/>
    <w:rsid w:val="00FB6202"/>
    <w:rsid w:val="00FB7902"/>
    <w:rsid w:val="00FC0112"/>
    <w:rsid w:val="00FC3791"/>
    <w:rsid w:val="00FC3B52"/>
    <w:rsid w:val="00FD0C59"/>
    <w:rsid w:val="00FD2514"/>
    <w:rsid w:val="00FD2B55"/>
    <w:rsid w:val="00FD4C54"/>
    <w:rsid w:val="00FD7971"/>
    <w:rsid w:val="00FD7E41"/>
    <w:rsid w:val="00FE093F"/>
    <w:rsid w:val="00FE1D81"/>
    <w:rsid w:val="00FE3067"/>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880E10"/>
    <w:pPr>
      <w:numPr>
        <w:ilvl w:val="3"/>
        <w:numId w:val="2"/>
      </w:numPr>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green-book-appraisal-and-evaluation-in-central-governent"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package" Target="embeddings/Microsoft_Word_Document1.docx"/><Relationship Id="rId23" Type="http://schemas.openxmlformats.org/officeDocument/2006/relationships/oleObject" Target="embeddings/oleObject1.bin"/><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3.emf"/><Relationship Id="rId27" Type="http://schemas.openxmlformats.org/officeDocument/2006/relationships/footer" Target="foot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abel version="1.0">
  <element uid="id_newpolicy" value=""/>
  <element uid="id_unclassified" value=""/>
</label>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4.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5.xml><?xml version="1.0" encoding="utf-8"?>
<ds:datastoreItem xmlns:ds="http://schemas.openxmlformats.org/officeDocument/2006/customXml" ds:itemID="{C113A92F-B7E6-4A67-8774-DB9403DC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0</TotalTime>
  <Pages>71</Pages>
  <Words>21947</Words>
  <Characters>125103</Characters>
  <Application>Microsoft Office Word</Application>
  <DocSecurity>0</DocSecurity>
  <Lines>1042</Lines>
  <Paragraphs>293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PART 1 APPENDIX 1 CONTRACT SERVICES	4</vt:lpstr>
      <vt:lpstr>pART 1 APPENDIX 2 TENDER RESPONSE &amp; CHARGES 	9</vt:lpstr>
      <vt:lpstr>pART 1 APPENDIX 3 Variations/Supplements to call off Terms…….......11</vt:lpstr>
      <vt:lpstr>pART 2 CALL OFF TERMS	13</vt:lpstr>
      <vt:lpstr>DEFINITIONS AND INTERPRETATION</vt:lpstr>
      <vt:lpstr>    Definitions</vt:lpstr>
      <vt:lpstr>a)   	relating to the Supplier, its IPR or its business or information which th</vt:lpstr>
      <vt:lpstr>b) 	that constitutes a trade secret;</vt:lpstr>
      <vt:lpstr>Information, including all Personal Data, which (however it is conveyed) is prov</vt:lpstr>
      <vt:lpstr>    the Customer or any Crown body; or </vt:lpstr>
      <vt:lpstr>    the operations, business, affairs, developments, intellectual property rights, t</vt:lpstr>
      <vt:lpstr>other Information provided by the Customer to the Supplier (or otherwise acquire</vt:lpstr>
      <vt:lpstr>discussions, negotiations, and correspondence between the Customer or any of its</vt:lpstr>
      <vt:lpstr>Information derived from any of the above.</vt:lpstr>
      <vt:lpstr>(a) poor performance or serious or persistent breaches which have led to the ear</vt:lpstr>
      <vt:lpstr>(b) poor performance or a serious breach or breaches which are the subject of pr</vt:lpstr>
      <vt:lpstr>(c) serious financial irregularities on the part of the Supplier (within any leg</vt:lpstr>
      <vt:lpstr>(d) misconduct which would be regarded as serious by any regulatory body for a t</vt:lpstr>
      <vt:lpstr>copyright, rights related to or affording protection similar to copyright, right</vt:lpstr>
      <vt:lpstr>applications for registration, and the right to apply for registration, for any </vt:lpstr>
      <vt:lpstr>all other rights whether registerable or not having equivalent or similar effect</vt:lpstr>
      <vt:lpstr>“Prohibited Act” means;</vt:lpstr>
      <vt:lpstr>(a) directly or indirectly offering, promising or giving any person working for </vt:lpstr>
      <vt:lpstr>(b) committing any offence:</vt:lpstr>
      <vt:lpstr>    (i) under the Bribery Act 2010; or</vt:lpstr>
      <vt:lpstr>    (ii) under legislation creating offences concerning fraudulent acts; or</vt:lpstr>
      <vt:lpstr>    (iii) at common law concerning fraudulent acts in relation to this Framework Agr</vt:lpstr>
      <vt:lpstr>    Interpretation</vt:lpstr>
      <vt:lpstr>        words importing the singular meaning include where the context so admits the plu</vt:lpstr>
      <vt:lpstr>        words importing the masculine include the feminine and the neuter; </vt:lpstr>
      <vt:lpstr>        the words "include", "includes" and "including" “for example” and “in particular</vt:lpstr>
      <vt:lpstr>        references to any person shall include natural persons and partnerships, firms a</vt:lpstr>
      <vt:lpstr>        the Appendices, Annexes and Schedules form part of these Call-Off Terms and shal</vt:lpstr>
      <vt:lpstr>        references to any statute, enactment, order, regulation, code, official guidance</vt:lpstr>
      <vt:lpstr>        headings are included in the Contract for ease of reference only and shall not a</vt:lpstr>
      <vt:lpstr>        references to “Clauses”, the “Appendices” the “Annexes” and “Schedules” are, unl</vt:lpstr>
      <vt:lpstr>        terms or expressions contained in the Contract which are capitalised but which d</vt:lpstr>
      <vt:lpstr>        a reference to a Clause is a reference to the whole of that Clause unless stated</vt:lpstr>
      <vt:lpstr>        in the event of and only to the extent of any conflict between the Letter of App</vt:lpstr>
      <vt:lpstr>SUPPLY OF CONTRACT SERVICES</vt:lpstr>
      <vt:lpstr>    Contract Services</vt:lpstr>
      <vt:lpstr>        The Supplier shall supply the Contract Services to the Customer in accordance wi</vt:lpstr>
      <vt:lpstr>        The Supplier shall:</vt:lpstr>
      <vt:lpstr>        The Supplier shall not:</vt:lpstr>
      <vt:lpstr>        Both Parties shall take all necessary measures to ensure the health and safety o</vt:lpstr>
      <vt:lpstr>        The Supplier accepts that the Customer shall have the right after consultation w</vt:lpstr>
      <vt:lpstr>        Where the Supplier is more than one firm acting as a consortium, each firm that </vt:lpstr>
      <vt:lpstr>    Variation of Contract Services</vt:lpstr>
      <vt:lpstr>        The Customer may request a variation to the Contract Services at any time provid</vt:lpstr>
      <vt:lpstr>        Any request by the Customer for a variation to the Contract Services shall be by</vt:lpstr>
      <vt:lpstr>        2.2.3  	Any such variation agreed between the Customer and the Supplier pursuant</vt:lpstr>
      <vt:lpstr>    Key Personnel</vt:lpstr>
      <vt:lpstr>        The Supplier acknowledges that the Key Personnel are essential to the proper pro</vt:lpstr>
      <vt:lpstr>        The Key Personnel shall not be released by the Supplier from supplying the Contr</vt:lpstr>
      <vt:lpstr>        Any replacements to the Key Personnel shall be subject to the agreement of the C</vt:lpstr>
      <vt:lpstr>        The Customer shall not unreasonably withhold its agreement under Clauses 2.3.2 o</vt:lpstr>
      <vt:lpstr>        If requested by the Customer, the Supplier shall procure that Key Personnel atte</vt:lpstr>
      <vt:lpstr>2B.	REMEDIES IN THE EVENT OF INADEQUATE PERFORMANCE OF THE SERVICES </vt:lpstr>
      <vt:lpstr>    2B.1	Without prejudice to any other right or remedy which the Customer may have </vt:lpstr>
      <vt:lpstr>        2B.1.1	at the Customer's option, give the Supplier the opportunity at the Suppli</vt:lpstr>
      <vt:lpstr>        2B.1.2	refuse to accept any further Contract Services to be delivered by the Sup</vt:lpstr>
      <vt:lpstr>        2B1.3	carry out at the Supplier's expense any work necessary to make the Service</vt:lpstr>
      <vt:lpstr>        2B1.4	without terminating the Contract, itself supply or procure the supply of a</vt:lpstr>
      <vt:lpstr>        2B1.5	without terminating the whole of the Contract, terminate the Contract in r</vt:lpstr>
      <vt:lpstr>        2B1.6	charge the Supplier for and the Supplier shall on demand pay, any costs re</vt:lpstr>
      <vt:lpstr>    2B.2	Notwithstanding any of the provisions of this Clause 2B, in the event that </vt:lpstr>
      <vt:lpstr>2C.	SUPPLIER'S STAFF</vt:lpstr>
      <vt:lpstr>        2C.1	The Supplier shall ensure that, where appropriate, Staff are paid at least </vt:lpstr>
      <vt:lpstr>        2C.2	The Customer may, by written notice to the Supplier, refuse to admit onto, </vt:lpstr>
      <vt:lpstr>        2C2.1	any member of the Supplier’s Staff; or</vt:lpstr>
      <vt:lpstr>        2C2.2	any person employed or engaged by the Supplier or any member of the Staff,</vt:lpstr>
      <vt:lpstr>        2C.3	At the Customer's written request, the Supplier shall provide a list of the</vt:lpstr>
      <vt:lpstr>        2C.3	The Supplier’s Staff engaged within the boundaries of the Premises shall co</vt:lpstr>
      <vt:lpstr>        2C.4	If the Supplier fails to comply with Clause 2C.3 within two (2) Months of t</vt:lpstr>
      <vt:lpstr>        2C.5	The decision of the Customer as to whether any person is to be refused acce</vt:lpstr>
      <vt:lpstr>        2C.6	The Supplier acknowledges that certain days are privilege holidays in the c</vt:lpstr>
      <vt:lpstr>        2C.7	Not used.</vt:lpstr>
      <vt:lpstr>        2C.8	The Supplier shall procure that Supplier’s Staff shall at all times during </vt:lpstr>
      <vt:lpstr>        Relevant Convictions </vt:lpstr>
      <vt:lpstr>        2C.9	The Supplier shall ensure that no person who discloses that he has a Releva</vt:lpstr>
      <vt:lpstr>        2C.10	For each member of the Supplier’s Staff who, in providing the Contract Ser</vt:lpstr>
      <vt:lpstr>        2C.10.1 carry out a police check with the records held by DfE;</vt:lpstr>
      <vt:lpstr>        2C10.2  conduct thorough questioning regarding any Relevant Convictions; and</vt:lpstr>
      <vt:lpstr>        2C10.3	ensure a police check is completed and such other checks as may be carrie</vt:lpstr>
      <vt:lpstr>        2C10.4	not engage or continue to employ in the provision of the Contract Service</vt:lpstr>
      <vt:lpstr>PAYMENT AND CHARGES</vt:lpstr>
      <vt:lpstr>    Contract Charges and VAT</vt:lpstr>
      <vt:lpstr>        In consideration of the Supplier's performance of its obligations under the Cont</vt:lpstr>
      <vt:lpstr>        The Customer shall, in addition to the Contract Charges and following receipt of</vt:lpstr>
      <vt:lpstr>        The provisions of paragraph 7 of Framework Schedule 2 (Charging Structure) of th</vt:lpstr>
      <vt:lpstr>        If at any time before the Contract Services have been delivered in full the Supp</vt:lpstr>
      <vt:lpstr>        The Supplier shall indemnify the Customer on demand and on a continuing basis ag</vt:lpstr>
      <vt:lpstr>    Payment</vt:lpstr>
      <vt:lpstr>        The Customer shall pay all sums properly due and payable to the Supplier in resp</vt:lpstr>
      <vt:lpstr>        The Supplier shall ensure that each invoice (whether submitted electronically or</vt:lpstr>
      <vt:lpstr>        The Supplier shall ensure that all invoices submitted to the Customer for Contra</vt:lpstr>
      <vt:lpstr>        The Supplier shall make any payments due to the Customer without any deduction w</vt:lpstr>
      <vt:lpstr>        Subject always to the provisions of Clause 14, if the Supplier enters into a Sub</vt:lpstr>
      <vt:lpstr>        The Supplier shall not suspend the supply of the Contract Services unless the Su</vt:lpstr>
      <vt:lpstr>        The Supplier shall accept the Government Procurement Card as a means of payment </vt:lpstr>
    </vt:vector>
  </TitlesOfParts>
  <Company>Microsoft</Company>
  <LinksUpToDate>false</LinksUpToDate>
  <CharactersWithSpaces>146757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Christopher Dier</cp:lastModifiedBy>
  <cp:revision>2</cp:revision>
  <cp:lastPrinted>2017-05-11T09:27:00Z</cp:lastPrinted>
  <dcterms:created xsi:type="dcterms:W3CDTF">2018-01-15T13:35:00Z</dcterms:created>
  <dcterms:modified xsi:type="dcterms:W3CDTF">2018-01-15T13:35:00Z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