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67161" w14:textId="77777777" w:rsidR="00CF56F2" w:rsidRPr="00C0460E" w:rsidRDefault="009C5E31" w:rsidP="00174B38">
      <w:pPr>
        <w:rPr>
          <w:rFonts w:ascii="Arial" w:hAnsi="Arial" w:cs="Arial"/>
          <w:b/>
          <w:color w:val="FF0000"/>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r w:rsidR="00C0460E">
        <w:rPr>
          <w:rFonts w:ascii="Arial" w:hAnsi="Arial" w:cs="Arial"/>
          <w:b/>
        </w:rPr>
        <w:t xml:space="preserve"> </w:t>
      </w:r>
    </w:p>
    <w:p w14:paraId="32888030" w14:textId="77777777" w:rsidR="00CF56F2" w:rsidRPr="00103579" w:rsidRDefault="00CF56F2" w:rsidP="00103579">
      <w:pPr>
        <w:jc w:val="both"/>
        <w:rPr>
          <w:rFonts w:ascii="Arial" w:hAnsi="Arial" w:cs="Arial"/>
          <w:b/>
          <w:sz w:val="28"/>
          <w:szCs w:val="28"/>
          <w:lang w:eastAsia="en-US"/>
        </w:rPr>
      </w:pPr>
    </w:p>
    <w:p w14:paraId="1D60EBD2" w14:textId="2B687298" w:rsidR="00600A98" w:rsidRPr="00600A98" w:rsidRDefault="00600A98" w:rsidP="00600A98">
      <w:pPr>
        <w:rPr>
          <w:rFonts w:ascii="Arial" w:eastAsia="Calibri" w:hAnsi="Arial" w:cs="Arial"/>
          <w:b/>
          <w:sz w:val="22"/>
          <w:lang w:val="en-US" w:eastAsia="en-US" w:bidi="en-US"/>
        </w:rPr>
      </w:pPr>
      <w:bookmarkStart w:id="0" w:name="_Hlk74572517"/>
      <w:bookmarkStart w:id="1" w:name="_Hlk124345871"/>
      <w:r w:rsidRPr="00600A98">
        <w:rPr>
          <w:rFonts w:ascii="Arial" w:eastAsia="Calibri" w:hAnsi="Arial" w:cs="Arial"/>
          <w:b/>
          <w:szCs w:val="22"/>
          <w:lang w:val="en-US" w:eastAsia="en-US" w:bidi="en-US"/>
        </w:rPr>
        <w:t xml:space="preserve">Project title: </w:t>
      </w:r>
      <w:bookmarkEnd w:id="0"/>
      <w:r w:rsidRPr="00600A98">
        <w:rPr>
          <w:rFonts w:ascii="Arial" w:eastAsia="Calibri" w:hAnsi="Arial" w:cs="Arial"/>
          <w:b/>
          <w:szCs w:val="22"/>
          <w:lang w:val="en-US" w:eastAsia="en-US" w:bidi="en-US"/>
        </w:rPr>
        <w:t xml:space="preserve">NHS National Generic Pharmaceuticals - </w:t>
      </w:r>
      <w:proofErr w:type="spellStart"/>
      <w:r w:rsidRPr="00600A98">
        <w:rPr>
          <w:rFonts w:ascii="Arial" w:eastAsia="Calibri" w:hAnsi="Arial" w:cs="Arial"/>
          <w:b/>
          <w:szCs w:val="22"/>
          <w:lang w:val="en-US" w:eastAsia="en-US" w:bidi="en-US"/>
        </w:rPr>
        <w:t>Dasatinib</w:t>
      </w:r>
      <w:proofErr w:type="spellEnd"/>
      <w:r w:rsidRPr="00600A98">
        <w:rPr>
          <w:rFonts w:ascii="Arial" w:eastAsia="Calibri" w:hAnsi="Arial" w:cs="Arial"/>
          <w:b/>
          <w:szCs w:val="22"/>
          <w:lang w:val="en-US" w:eastAsia="en-US" w:bidi="en-US"/>
        </w:rPr>
        <w:t xml:space="preserve"> and Paliperidone Injection</w:t>
      </w:r>
    </w:p>
    <w:p w14:paraId="2A438692" w14:textId="77777777" w:rsidR="00600A98" w:rsidRPr="00600A98" w:rsidRDefault="00600A98" w:rsidP="00600A98">
      <w:pPr>
        <w:rPr>
          <w:rFonts w:ascii="Arial" w:eastAsia="Calibri" w:hAnsi="Arial" w:cs="Arial"/>
          <w:b/>
          <w:szCs w:val="22"/>
          <w:lang w:val="en-US" w:eastAsia="en-US" w:bidi="en-US"/>
        </w:rPr>
      </w:pPr>
    </w:p>
    <w:p w14:paraId="7B8E5A1D" w14:textId="77777777" w:rsidR="00600A98" w:rsidRPr="00600A98" w:rsidRDefault="00600A98" w:rsidP="00600A98">
      <w:pPr>
        <w:rPr>
          <w:rFonts w:ascii="Arial" w:eastAsia="Calibri" w:hAnsi="Arial" w:cs="Arial"/>
          <w:b/>
          <w:szCs w:val="22"/>
          <w:lang w:val="en-US" w:eastAsia="en-US" w:bidi="en-US"/>
        </w:rPr>
      </w:pPr>
      <w:r w:rsidRPr="00600A98">
        <w:rPr>
          <w:rFonts w:ascii="Arial" w:eastAsia="Calibri" w:hAnsi="Arial" w:cs="Arial"/>
          <w:b/>
          <w:szCs w:val="22"/>
          <w:lang w:val="en-US" w:eastAsia="en-US" w:bidi="en-US"/>
        </w:rPr>
        <w:t>Offer reference number: CM/PHG/22/5694</w:t>
      </w:r>
    </w:p>
    <w:p w14:paraId="1F240AE4" w14:textId="0BC0447C" w:rsidR="00600A98" w:rsidRPr="003A2882" w:rsidRDefault="00600A98" w:rsidP="00600A98">
      <w:pPr>
        <w:rPr>
          <w:rFonts w:ascii="Arial" w:eastAsia="Calibri" w:hAnsi="Arial" w:cs="Arial"/>
          <w:b/>
          <w:szCs w:val="22"/>
          <w:highlight w:val="yellow"/>
          <w:lang w:val="en-US" w:eastAsia="en-US" w:bidi="en-US"/>
        </w:rPr>
      </w:pPr>
      <w:r w:rsidRPr="003A2882">
        <w:rPr>
          <w:rFonts w:ascii="Arial" w:eastAsia="Calibri" w:hAnsi="Arial" w:cs="Arial"/>
          <w:b/>
          <w:szCs w:val="22"/>
          <w:highlight w:val="yellow"/>
          <w:lang w:val="en-US" w:eastAsia="en-US" w:bidi="en-US"/>
        </w:rPr>
        <w:t xml:space="preserve">FIND A TENDER (FTS) Reference number </w:t>
      </w:r>
      <w:r w:rsidR="003A2882" w:rsidRPr="003A2882">
        <w:rPr>
          <w:rFonts w:ascii="Arial" w:eastAsia="Calibri" w:hAnsi="Arial" w:cs="Arial"/>
          <w:b/>
          <w:szCs w:val="22"/>
          <w:highlight w:val="yellow"/>
          <w:lang w:val="en-US" w:eastAsia="en-US" w:bidi="en-US"/>
        </w:rPr>
        <w:t xml:space="preserve"> </w:t>
      </w:r>
    </w:p>
    <w:p w14:paraId="44C28626" w14:textId="77777777" w:rsidR="00600A98" w:rsidRPr="003A2882" w:rsidRDefault="00600A98" w:rsidP="00600A98">
      <w:pPr>
        <w:rPr>
          <w:rFonts w:ascii="Arial" w:eastAsia="Calibri" w:hAnsi="Arial" w:cs="Arial"/>
          <w:b/>
          <w:szCs w:val="22"/>
          <w:highlight w:val="yellow"/>
          <w:lang w:val="en-US" w:eastAsia="en-US" w:bidi="en-US"/>
        </w:rPr>
      </w:pPr>
    </w:p>
    <w:p w14:paraId="7ADDFA33" w14:textId="77777777" w:rsidR="0050203C" w:rsidRPr="0050203C" w:rsidRDefault="0050203C" w:rsidP="0050203C">
      <w:pPr>
        <w:spacing w:before="120" w:after="120" w:line="280" w:lineRule="exact"/>
        <w:rPr>
          <w:rFonts w:ascii="Arial" w:hAnsi="Arial" w:cs="Arial"/>
          <w:color w:val="000000"/>
        </w:rPr>
      </w:pPr>
      <w:r w:rsidRPr="0050203C">
        <w:rPr>
          <w:rFonts w:ascii="Arial" w:hAnsi="Arial" w:cs="Arial"/>
          <w:b/>
        </w:rPr>
        <w:t xml:space="preserve">Period of framework agreement: The total maximum duration of the framework agreement to be no more than 21 months </w:t>
      </w:r>
      <w:r w:rsidRPr="0050203C">
        <w:rPr>
          <w:rFonts w:ascii="Arial" w:hAnsi="Arial" w:cs="Arial"/>
          <w:color w:val="000000"/>
        </w:rPr>
        <w:t xml:space="preserve">with an option or options to extend (at the Authority’s discretion) for a period or periods up to a total of 48 months. </w:t>
      </w:r>
    </w:p>
    <w:p w14:paraId="44EB2396" w14:textId="77777777" w:rsidR="00600A98" w:rsidRPr="00600A98" w:rsidRDefault="00600A98" w:rsidP="00600A98">
      <w:pPr>
        <w:rPr>
          <w:rFonts w:ascii="Arial" w:eastAsia="Calibri" w:hAnsi="Arial" w:cs="Arial"/>
          <w:b/>
          <w:szCs w:val="22"/>
          <w:lang w:val="en-US" w:eastAsia="en-US" w:bidi="en-US"/>
        </w:rPr>
      </w:pPr>
    </w:p>
    <w:p w14:paraId="0BC11D05" w14:textId="77777777" w:rsidR="00600A98" w:rsidRPr="00600A98" w:rsidRDefault="00600A98" w:rsidP="00600A98">
      <w:pPr>
        <w:rPr>
          <w:rFonts w:ascii="Arial" w:eastAsia="Calibri" w:hAnsi="Arial" w:cs="Arial"/>
          <w:b/>
          <w:szCs w:val="22"/>
          <w:lang w:val="en-US" w:eastAsia="en-US" w:bidi="en-US"/>
        </w:rPr>
      </w:pPr>
      <w:r w:rsidRPr="00600A98">
        <w:rPr>
          <w:rFonts w:ascii="Arial" w:eastAsia="Calibri" w:hAnsi="Arial" w:cs="Arial"/>
          <w:b/>
          <w:szCs w:val="22"/>
          <w:lang w:val="en-US" w:eastAsia="en-US" w:bidi="en-US"/>
        </w:rPr>
        <w:t>Potential periods of call-offs under the framework agreement:</w:t>
      </w:r>
    </w:p>
    <w:p w14:paraId="0A82EF09" w14:textId="77777777" w:rsidR="00600A98" w:rsidRPr="00600A98" w:rsidRDefault="00600A98" w:rsidP="00600A98">
      <w:pPr>
        <w:rPr>
          <w:rFonts w:ascii="Arial" w:eastAsia="Calibri" w:hAnsi="Arial" w:cs="Arial"/>
          <w:b/>
          <w:szCs w:val="22"/>
          <w:lang w:val="en-US" w:eastAsia="en-US" w:bidi="en-US"/>
        </w:rPr>
      </w:pPr>
    </w:p>
    <w:p w14:paraId="5C18D1CF" w14:textId="508D7E5C" w:rsidR="00600A98" w:rsidRPr="00600A98" w:rsidRDefault="00600A98" w:rsidP="00600A98">
      <w:pPr>
        <w:rPr>
          <w:rFonts w:ascii="Arial" w:hAnsi="Arial" w:cs="Arial"/>
          <w:b/>
          <w:sz w:val="22"/>
          <w:szCs w:val="22"/>
          <w:lang w:eastAsia="en-US"/>
        </w:rPr>
      </w:pPr>
      <w:r w:rsidRPr="00600A98">
        <w:rPr>
          <w:rFonts w:ascii="Arial" w:hAnsi="Arial" w:cs="Arial"/>
          <w:b/>
          <w:sz w:val="22"/>
          <w:szCs w:val="22"/>
          <w:lang w:eastAsia="en-US"/>
        </w:rPr>
        <w:t xml:space="preserve">CM/PHG/22/5694/00 - </w:t>
      </w:r>
      <w:proofErr w:type="spellStart"/>
      <w:r w:rsidRPr="00600A98">
        <w:rPr>
          <w:rFonts w:ascii="Arial" w:hAnsi="Arial" w:cs="Arial"/>
          <w:b/>
          <w:sz w:val="22"/>
          <w:szCs w:val="22"/>
          <w:lang w:eastAsia="en-US"/>
        </w:rPr>
        <w:t>Dasatinib</w:t>
      </w:r>
      <w:proofErr w:type="spellEnd"/>
      <w:r w:rsidRPr="00600A98">
        <w:rPr>
          <w:rFonts w:ascii="Arial" w:hAnsi="Arial" w:cs="Arial"/>
          <w:b/>
          <w:sz w:val="22"/>
          <w:szCs w:val="22"/>
          <w:lang w:eastAsia="en-US"/>
        </w:rPr>
        <w:t xml:space="preserve"> </w:t>
      </w:r>
      <w:r w:rsidRPr="00600A98">
        <w:rPr>
          <w:rFonts w:ascii="Arial" w:hAnsi="Arial" w:cs="Arial"/>
          <w:b/>
          <w:sz w:val="22"/>
          <w:szCs w:val="22"/>
          <w:lang w:eastAsia="en-US"/>
        </w:rPr>
        <w:tab/>
      </w:r>
    </w:p>
    <w:p w14:paraId="3F35CC1D" w14:textId="5FD159A4" w:rsidR="00600A98" w:rsidRPr="00600A98" w:rsidRDefault="00600A98" w:rsidP="00600A98">
      <w:pPr>
        <w:rPr>
          <w:rFonts w:ascii="Arial" w:hAnsi="Arial" w:cs="Arial"/>
          <w:b/>
          <w:sz w:val="22"/>
          <w:szCs w:val="22"/>
          <w:lang w:eastAsia="en-US"/>
        </w:rPr>
      </w:pPr>
      <w:r w:rsidRPr="00600A98">
        <w:rPr>
          <w:rFonts w:ascii="Arial" w:hAnsi="Arial" w:cs="Arial"/>
          <w:b/>
          <w:sz w:val="22"/>
          <w:szCs w:val="22"/>
          <w:lang w:eastAsia="en-US"/>
        </w:rPr>
        <w:t>CESW</w:t>
      </w:r>
      <w:r w:rsidRPr="00600A98">
        <w:rPr>
          <w:rFonts w:ascii="Arial" w:hAnsi="Arial" w:cs="Arial"/>
          <w:b/>
          <w:sz w:val="22"/>
          <w:szCs w:val="22"/>
          <w:lang w:eastAsia="en-US"/>
        </w:rPr>
        <w:tab/>
      </w:r>
      <w:r w:rsidRPr="00600A98">
        <w:rPr>
          <w:rFonts w:ascii="Arial" w:hAnsi="Arial" w:cs="Arial"/>
          <w:b/>
          <w:sz w:val="22"/>
          <w:szCs w:val="22"/>
          <w:lang w:eastAsia="en-US"/>
        </w:rPr>
        <w:tab/>
        <w:t>01/05/2023 – 30/04/2024</w:t>
      </w:r>
      <w:r w:rsidR="003A2882">
        <w:rPr>
          <w:rFonts w:ascii="Arial" w:hAnsi="Arial" w:cs="Arial"/>
          <w:b/>
          <w:sz w:val="22"/>
          <w:szCs w:val="22"/>
          <w:lang w:eastAsia="en-US"/>
        </w:rPr>
        <w:t xml:space="preserve"> </w:t>
      </w:r>
      <w:bookmarkStart w:id="2" w:name="_Hlk124345823"/>
      <w:r w:rsidR="003A2882">
        <w:rPr>
          <w:rFonts w:ascii="Arial" w:hAnsi="Arial" w:cs="Arial"/>
          <w:b/>
          <w:sz w:val="22"/>
          <w:szCs w:val="22"/>
          <w:lang w:eastAsia="en-US"/>
        </w:rPr>
        <w:t>(12 Months)</w:t>
      </w:r>
      <w:bookmarkEnd w:id="2"/>
    </w:p>
    <w:p w14:paraId="69020E20" w14:textId="77777777" w:rsidR="003A2882" w:rsidRDefault="00600A98" w:rsidP="00600A98">
      <w:pPr>
        <w:rPr>
          <w:rFonts w:ascii="Arial" w:hAnsi="Arial" w:cs="Arial"/>
          <w:b/>
          <w:sz w:val="22"/>
          <w:szCs w:val="22"/>
          <w:lang w:eastAsia="en-US"/>
        </w:rPr>
      </w:pPr>
      <w:r w:rsidRPr="00600A98">
        <w:rPr>
          <w:rFonts w:ascii="Arial" w:hAnsi="Arial" w:cs="Arial"/>
          <w:b/>
          <w:sz w:val="22"/>
          <w:szCs w:val="22"/>
          <w:lang w:eastAsia="en-US"/>
        </w:rPr>
        <w:t>LSNE</w:t>
      </w:r>
      <w:r w:rsidRPr="00600A98">
        <w:rPr>
          <w:rFonts w:ascii="Arial" w:hAnsi="Arial" w:cs="Arial"/>
          <w:b/>
          <w:sz w:val="22"/>
          <w:szCs w:val="22"/>
          <w:lang w:eastAsia="en-US"/>
        </w:rPr>
        <w:tab/>
      </w:r>
      <w:r w:rsidRPr="00600A98">
        <w:rPr>
          <w:rFonts w:ascii="Arial" w:hAnsi="Arial" w:cs="Arial"/>
          <w:b/>
          <w:sz w:val="22"/>
          <w:szCs w:val="22"/>
          <w:lang w:eastAsia="en-US"/>
        </w:rPr>
        <w:tab/>
        <w:t>01/05/2023 – 30/04/2024</w:t>
      </w:r>
      <w:r w:rsidR="00BC33D5">
        <w:rPr>
          <w:rFonts w:ascii="Arial" w:hAnsi="Arial" w:cs="Arial"/>
          <w:b/>
          <w:sz w:val="22"/>
          <w:szCs w:val="22"/>
          <w:lang w:eastAsia="en-US"/>
        </w:rPr>
        <w:t xml:space="preserve"> </w:t>
      </w:r>
      <w:r w:rsidR="003A2882">
        <w:rPr>
          <w:rFonts w:ascii="Arial" w:hAnsi="Arial" w:cs="Arial"/>
          <w:b/>
          <w:sz w:val="22"/>
          <w:szCs w:val="22"/>
          <w:lang w:eastAsia="en-US"/>
        </w:rPr>
        <w:t>(12 Months)</w:t>
      </w:r>
    </w:p>
    <w:p w14:paraId="0A718C9F" w14:textId="1FB2BC21" w:rsidR="00600A98" w:rsidRPr="00600A98" w:rsidRDefault="00600A98" w:rsidP="00600A98">
      <w:pPr>
        <w:rPr>
          <w:rFonts w:ascii="Arial" w:hAnsi="Arial" w:cs="Arial"/>
          <w:b/>
          <w:sz w:val="22"/>
          <w:szCs w:val="22"/>
          <w:lang w:eastAsia="en-US"/>
        </w:rPr>
      </w:pPr>
      <w:r w:rsidRPr="00600A98">
        <w:rPr>
          <w:rFonts w:ascii="Arial" w:hAnsi="Arial" w:cs="Arial"/>
          <w:b/>
          <w:sz w:val="22"/>
          <w:szCs w:val="22"/>
          <w:lang w:eastAsia="en-US"/>
        </w:rPr>
        <w:t>NWLN</w:t>
      </w:r>
      <w:r w:rsidRPr="00600A98">
        <w:rPr>
          <w:rFonts w:ascii="Arial" w:hAnsi="Arial" w:cs="Arial"/>
          <w:b/>
          <w:sz w:val="22"/>
          <w:szCs w:val="22"/>
          <w:lang w:eastAsia="en-US"/>
        </w:rPr>
        <w:tab/>
      </w:r>
      <w:r w:rsidRPr="00600A98">
        <w:rPr>
          <w:rFonts w:ascii="Arial" w:hAnsi="Arial" w:cs="Arial"/>
          <w:b/>
          <w:sz w:val="22"/>
          <w:szCs w:val="22"/>
          <w:lang w:eastAsia="en-US"/>
        </w:rPr>
        <w:tab/>
        <w:t>01/05/2023 – 30/04/2024</w:t>
      </w:r>
      <w:r w:rsidR="00BC33D5">
        <w:rPr>
          <w:rFonts w:ascii="Arial" w:hAnsi="Arial" w:cs="Arial"/>
          <w:b/>
          <w:sz w:val="22"/>
          <w:szCs w:val="22"/>
          <w:lang w:eastAsia="en-US"/>
        </w:rPr>
        <w:t xml:space="preserve"> </w:t>
      </w:r>
      <w:r w:rsidR="003A2882">
        <w:rPr>
          <w:rFonts w:ascii="Arial" w:hAnsi="Arial" w:cs="Arial"/>
          <w:b/>
          <w:sz w:val="22"/>
          <w:szCs w:val="22"/>
          <w:lang w:eastAsia="en-US"/>
        </w:rPr>
        <w:t>(12 Months)</w:t>
      </w:r>
    </w:p>
    <w:p w14:paraId="412C5800" w14:textId="77777777" w:rsidR="00600A98" w:rsidRPr="00600A98" w:rsidRDefault="00600A98" w:rsidP="00600A98">
      <w:pPr>
        <w:rPr>
          <w:rFonts w:ascii="Arial" w:hAnsi="Arial" w:cs="Arial"/>
          <w:b/>
          <w:sz w:val="22"/>
          <w:szCs w:val="22"/>
          <w:lang w:eastAsia="en-US"/>
        </w:rPr>
      </w:pPr>
    </w:p>
    <w:p w14:paraId="5D38C03B" w14:textId="77777777" w:rsidR="00600A98" w:rsidRPr="00600A98" w:rsidRDefault="00600A98" w:rsidP="00600A98">
      <w:pPr>
        <w:rPr>
          <w:rFonts w:ascii="Arial" w:hAnsi="Arial" w:cs="Arial"/>
          <w:b/>
          <w:sz w:val="22"/>
          <w:szCs w:val="22"/>
          <w:lang w:eastAsia="en-US"/>
        </w:rPr>
      </w:pPr>
    </w:p>
    <w:p w14:paraId="6533752B" w14:textId="77777777" w:rsidR="00600A98" w:rsidRPr="00600A98" w:rsidRDefault="00600A98" w:rsidP="00600A98">
      <w:pPr>
        <w:rPr>
          <w:rFonts w:ascii="Arial" w:hAnsi="Arial" w:cs="Arial"/>
          <w:b/>
          <w:sz w:val="22"/>
          <w:szCs w:val="22"/>
          <w:lang w:eastAsia="en-US"/>
        </w:rPr>
      </w:pPr>
    </w:p>
    <w:p w14:paraId="0222D561" w14:textId="3E550433" w:rsidR="00600A98" w:rsidRPr="00600A98" w:rsidRDefault="00600A98" w:rsidP="00600A98">
      <w:pPr>
        <w:rPr>
          <w:rFonts w:ascii="Arial" w:hAnsi="Arial" w:cs="Arial"/>
          <w:b/>
          <w:sz w:val="22"/>
          <w:szCs w:val="22"/>
          <w:lang w:eastAsia="en-US"/>
        </w:rPr>
      </w:pPr>
      <w:r w:rsidRPr="00600A98">
        <w:rPr>
          <w:rFonts w:ascii="Arial" w:hAnsi="Arial" w:cs="Arial"/>
          <w:b/>
          <w:sz w:val="22"/>
          <w:szCs w:val="22"/>
          <w:lang w:eastAsia="en-US"/>
        </w:rPr>
        <w:t xml:space="preserve">CM/PHG/22/5694/01 - Paliperidone Injection: </w:t>
      </w:r>
      <w:r w:rsidRPr="00600A98">
        <w:rPr>
          <w:rFonts w:ascii="Arial" w:hAnsi="Arial" w:cs="Arial"/>
          <w:b/>
          <w:sz w:val="22"/>
          <w:szCs w:val="22"/>
          <w:lang w:eastAsia="en-US"/>
        </w:rPr>
        <w:tab/>
      </w:r>
    </w:p>
    <w:p w14:paraId="0D60AD27" w14:textId="168361E0" w:rsidR="00600A98" w:rsidRPr="00600A98" w:rsidRDefault="00600A98" w:rsidP="00600A98">
      <w:pPr>
        <w:rPr>
          <w:rFonts w:ascii="Arial" w:hAnsi="Arial" w:cs="Arial"/>
          <w:b/>
          <w:sz w:val="22"/>
          <w:szCs w:val="22"/>
          <w:lang w:eastAsia="en-US"/>
        </w:rPr>
      </w:pPr>
      <w:r w:rsidRPr="00600A98">
        <w:rPr>
          <w:rFonts w:ascii="Arial" w:hAnsi="Arial" w:cs="Arial"/>
          <w:b/>
          <w:sz w:val="22"/>
          <w:szCs w:val="22"/>
          <w:lang w:eastAsia="en-US"/>
        </w:rPr>
        <w:t>LSNE</w:t>
      </w:r>
      <w:r w:rsidRPr="00600A98">
        <w:rPr>
          <w:rFonts w:ascii="Arial" w:hAnsi="Arial" w:cs="Arial"/>
          <w:b/>
          <w:sz w:val="22"/>
          <w:szCs w:val="22"/>
          <w:lang w:eastAsia="en-US"/>
        </w:rPr>
        <w:tab/>
      </w:r>
      <w:r w:rsidRPr="00600A98">
        <w:rPr>
          <w:rFonts w:ascii="Arial" w:hAnsi="Arial" w:cs="Arial"/>
          <w:b/>
          <w:sz w:val="22"/>
          <w:szCs w:val="22"/>
          <w:lang w:eastAsia="en-US"/>
        </w:rPr>
        <w:tab/>
        <w:t>01/05/2023 – 31/05/2024 (13 Months)</w:t>
      </w:r>
      <w:r w:rsidR="00BC33D5">
        <w:rPr>
          <w:rFonts w:ascii="Arial" w:hAnsi="Arial" w:cs="Arial"/>
          <w:b/>
          <w:sz w:val="22"/>
          <w:szCs w:val="22"/>
          <w:lang w:eastAsia="en-US"/>
        </w:rPr>
        <w:t xml:space="preserve"> </w:t>
      </w:r>
    </w:p>
    <w:p w14:paraId="7B0299B0" w14:textId="28B0C114" w:rsidR="00F807D5" w:rsidRDefault="00600A98" w:rsidP="00600A98">
      <w:pPr>
        <w:pStyle w:val="NoSpacing"/>
        <w:rPr>
          <w:rFonts w:cs="Arial"/>
          <w:b/>
        </w:rPr>
      </w:pPr>
      <w:r w:rsidRPr="00600A98">
        <w:rPr>
          <w:rFonts w:eastAsia="Times New Roman" w:cs="Arial"/>
          <w:b/>
          <w:sz w:val="22"/>
          <w:lang w:val="en-GB" w:bidi="ar-SA"/>
        </w:rPr>
        <w:t xml:space="preserve">NWLN </w:t>
      </w:r>
      <w:r w:rsidRPr="00600A98">
        <w:rPr>
          <w:rFonts w:eastAsia="Times New Roman" w:cs="Arial"/>
          <w:b/>
          <w:sz w:val="22"/>
          <w:lang w:val="en-GB" w:bidi="ar-SA"/>
        </w:rPr>
        <w:tab/>
        <w:t>01/05/2023 – 31/01/2025 (21 months</w:t>
      </w:r>
      <w:r w:rsidR="003A2882">
        <w:rPr>
          <w:rFonts w:eastAsia="Times New Roman" w:cs="Arial"/>
          <w:b/>
          <w:sz w:val="22"/>
          <w:lang w:val="en-GB" w:bidi="ar-SA"/>
        </w:rPr>
        <w:t>)</w:t>
      </w:r>
    </w:p>
    <w:bookmarkEnd w:id="1"/>
    <w:p w14:paraId="5A291CFF" w14:textId="77777777" w:rsidR="00F807D5" w:rsidRDefault="00F807D5" w:rsidP="00DD2453">
      <w:pPr>
        <w:jc w:val="both"/>
        <w:rPr>
          <w:rFonts w:ascii="Arial" w:hAnsi="Arial" w:cs="Arial"/>
          <w:b/>
          <w:lang w:eastAsia="en-US"/>
        </w:rPr>
      </w:pPr>
    </w:p>
    <w:p w14:paraId="3FA2FEE0" w14:textId="2DCEDD2A" w:rsidR="00295719"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1C607C1C" w14:textId="30C27D62" w:rsidR="003946C3" w:rsidRPr="00F807D5" w:rsidRDefault="00295719" w:rsidP="00F807D5">
      <w:pPr>
        <w:numPr>
          <w:ilvl w:val="0"/>
          <w:numId w:val="7"/>
        </w:numPr>
        <w:spacing w:before="240"/>
        <w:ind w:left="709" w:hanging="709"/>
        <w:jc w:val="both"/>
        <w:rPr>
          <w:rFonts w:ascii="Arial" w:hAnsi="Arial" w:cs="Arial"/>
          <w:b/>
          <w:lang w:eastAsia="en-US"/>
        </w:rPr>
      </w:pPr>
      <w:r w:rsidRPr="006F3400">
        <w:rPr>
          <w:rFonts w:ascii="Arial" w:hAnsi="Arial" w:cs="Arial"/>
          <w:b/>
          <w:lang w:eastAsia="en-US"/>
        </w:rPr>
        <w:t>The Commercial Medicines Unit</w:t>
      </w:r>
    </w:p>
    <w:p w14:paraId="6C9FDA14"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The NHS Commissioning Board (Operating Under the Name of 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4B7E196A"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FA1E3EE"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3" w:name="a363277"/>
      <w:bookmarkEnd w:id="3"/>
      <w:r w:rsidR="00AC4142" w:rsidRPr="006F3400">
        <w:rPr>
          <w:rFonts w:ascii="Arial" w:hAnsi="Arial" w:cs="Arial"/>
          <w:iCs/>
        </w:rPr>
        <w:t xml:space="preserve"> </w:t>
      </w:r>
    </w:p>
    <w:p w14:paraId="40B1F4EE"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747EB5">
        <w:rPr>
          <w:rFonts w:ascii="Arial" w:hAnsi="Arial" w:cs="Arial"/>
          <w:iCs/>
        </w:rPr>
        <w:tab/>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w:t>
      </w:r>
      <w:proofErr w:type="gramStart"/>
      <w:r w:rsidR="00AC4142" w:rsidRPr="006F3400">
        <w:rPr>
          <w:rFonts w:ascii="Arial" w:hAnsi="Arial" w:cs="Arial"/>
          <w:iCs/>
        </w:rPr>
        <w:t>agreement;</w:t>
      </w:r>
      <w:proofErr w:type="gramEnd"/>
      <w:r w:rsidR="00AC4142" w:rsidRPr="006F3400">
        <w:rPr>
          <w:rFonts w:ascii="Arial" w:hAnsi="Arial" w:cs="Arial"/>
          <w:iCs/>
        </w:rPr>
        <w:t xml:space="preserve"> </w:t>
      </w:r>
    </w:p>
    <w:p w14:paraId="060E35A4" w14:textId="77777777" w:rsidR="004F06BB" w:rsidRPr="006F3400" w:rsidRDefault="004F06BB" w:rsidP="00747EB5">
      <w:pPr>
        <w:spacing w:before="240"/>
        <w:ind w:left="1418" w:hanging="687"/>
        <w:jc w:val="both"/>
        <w:rPr>
          <w:rFonts w:ascii="Arial" w:hAnsi="Arial" w:cs="Arial"/>
          <w:iCs/>
        </w:rPr>
      </w:pPr>
      <w:r w:rsidRPr="006F3400">
        <w:rPr>
          <w:rFonts w:ascii="Arial" w:hAnsi="Arial" w:cs="Arial"/>
          <w:iCs/>
        </w:rPr>
        <w:lastRenderedPageBreak/>
        <w:t xml:space="preserve">1.3.2 </w:t>
      </w:r>
      <w:r w:rsidR="00747EB5">
        <w:rPr>
          <w:rFonts w:ascii="Arial" w:hAnsi="Arial" w:cs="Arial"/>
          <w:iCs/>
        </w:rPr>
        <w:tab/>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4" w:name="a723851"/>
      <w:bookmarkEnd w:id="4"/>
      <w:r w:rsidR="00AC4142" w:rsidRPr="006F3400">
        <w:rPr>
          <w:rFonts w:ascii="Arial" w:hAnsi="Arial" w:cs="Arial"/>
          <w:iCs/>
        </w:rPr>
        <w:t xml:space="preserve"> </w:t>
      </w:r>
    </w:p>
    <w:p w14:paraId="6A2C8C9F" w14:textId="77777777" w:rsidR="004F06BB" w:rsidRPr="006F3400" w:rsidRDefault="004F06BB" w:rsidP="00747EB5">
      <w:pPr>
        <w:tabs>
          <w:tab w:val="left" w:pos="1418"/>
        </w:tabs>
        <w:spacing w:before="240"/>
        <w:ind w:left="1418" w:hanging="709"/>
        <w:jc w:val="both"/>
        <w:rPr>
          <w:rFonts w:ascii="Arial" w:hAnsi="Arial" w:cs="Arial"/>
          <w:iCs/>
        </w:rPr>
      </w:pPr>
      <w:r w:rsidRPr="006F3400">
        <w:rPr>
          <w:rFonts w:ascii="Arial" w:hAnsi="Arial" w:cs="Arial"/>
          <w:iCs/>
        </w:rPr>
        <w:t>1.3.</w:t>
      </w:r>
      <w:r w:rsidR="00F15049" w:rsidRPr="006F3400">
        <w:rPr>
          <w:rFonts w:ascii="Arial" w:hAnsi="Arial" w:cs="Arial"/>
          <w:iCs/>
        </w:rPr>
        <w:t>3</w:t>
      </w:r>
      <w:r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4A1BAADE"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2276F133"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480FF03E"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268055A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w:t>
      </w:r>
      <w:proofErr w:type="gramStart"/>
      <w:r w:rsidRPr="006F3400">
        <w:rPr>
          <w:rFonts w:ascii="Arial" w:hAnsi="Arial" w:cs="Arial"/>
          <w:lang w:eastAsia="en-US"/>
        </w:rPr>
        <w:t>particular level</w:t>
      </w:r>
      <w:proofErr w:type="gramEnd"/>
      <w:r w:rsidRPr="006F3400">
        <w:rPr>
          <w:rFonts w:ascii="Arial" w:hAnsi="Arial" w:cs="Arial"/>
          <w:lang w:eastAsia="en-US"/>
        </w:rPr>
        <w:t xml:space="preserve"> of orders, nor can it require them to place orders with particular successful Offerors. It follows that the Authority can give no warranty that any successful Offeror will receive any business or any </w:t>
      </w:r>
      <w:proofErr w:type="gramStart"/>
      <w:r w:rsidRPr="006F3400">
        <w:rPr>
          <w:rFonts w:ascii="Arial" w:hAnsi="Arial" w:cs="Arial"/>
          <w:lang w:eastAsia="en-US"/>
        </w:rPr>
        <w:t>particular level</w:t>
      </w:r>
      <w:proofErr w:type="gramEnd"/>
      <w:r w:rsidRPr="006F3400">
        <w:rPr>
          <w:rFonts w:ascii="Arial" w:hAnsi="Arial" w:cs="Arial"/>
          <w:lang w:eastAsia="en-US"/>
        </w:rPr>
        <w:t xml:space="preserve"> of business under the framework agreement.</w:t>
      </w:r>
    </w:p>
    <w:p w14:paraId="24622343"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 xml:space="preserve">Any volume estimates provided to Offerors by Authority are statements of opinion, provided in good faith and based on </w:t>
      </w:r>
      <w:proofErr w:type="gramStart"/>
      <w:r w:rsidRPr="006F3400">
        <w:rPr>
          <w:rFonts w:ascii="Arial" w:hAnsi="Arial" w:cs="Arial"/>
          <w:lang w:eastAsia="en-US"/>
        </w:rPr>
        <w:t>past experience</w:t>
      </w:r>
      <w:proofErr w:type="gramEnd"/>
      <w:r w:rsidRPr="006F3400">
        <w:rPr>
          <w:rFonts w:ascii="Arial" w:hAnsi="Arial" w:cs="Arial"/>
          <w:lang w:eastAsia="en-US"/>
        </w:rPr>
        <w:t xml:space="preserve"> and market knowledge, but they should not be relied upon by Offerors in formulating their offers.</w:t>
      </w:r>
    </w:p>
    <w:p w14:paraId="63EF7B08" w14:textId="77777777" w:rsidR="005A2E5C" w:rsidRPr="006F3400" w:rsidRDefault="005A2E5C" w:rsidP="004F06BB">
      <w:pPr>
        <w:ind w:left="567" w:hanging="567"/>
        <w:jc w:val="both"/>
        <w:rPr>
          <w:rFonts w:ascii="Arial" w:hAnsi="Arial" w:cs="Arial"/>
          <w:lang w:eastAsia="en-US"/>
        </w:rPr>
      </w:pPr>
    </w:p>
    <w:p w14:paraId="754FDCDC"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r>
      <w:r w:rsidR="002B3D37">
        <w:rPr>
          <w:rFonts w:ascii="Arial" w:hAnsi="Arial" w:cs="Arial"/>
          <w:lang w:eastAsia="en-US"/>
        </w:rPr>
        <w:tab/>
      </w:r>
      <w:r w:rsidRPr="006F3400">
        <w:rPr>
          <w:rFonts w:ascii="Arial" w:hAnsi="Arial" w:cs="Arial"/>
          <w:lang w:eastAsia="en-US"/>
        </w:rPr>
        <w:t>By submitting an Offer, an Offeror is deemed to acknowledge and agree that:</w:t>
      </w:r>
    </w:p>
    <w:p w14:paraId="13D8E6E6" w14:textId="77777777" w:rsidR="004F06BB" w:rsidRPr="006F3400" w:rsidRDefault="004F06BB" w:rsidP="004F06BB">
      <w:pPr>
        <w:ind w:left="720" w:hanging="720"/>
        <w:jc w:val="both"/>
        <w:rPr>
          <w:rFonts w:ascii="Arial" w:hAnsi="Arial" w:cs="Arial"/>
          <w:lang w:eastAsia="en-US"/>
        </w:rPr>
      </w:pPr>
    </w:p>
    <w:p w14:paraId="031ECC84" w14:textId="77777777" w:rsidR="004F06BB" w:rsidRPr="006F3400" w:rsidRDefault="004F06BB" w:rsidP="002B3D37">
      <w:pPr>
        <w:pStyle w:val="NormalWeb"/>
        <w:spacing w:before="0" w:beforeAutospacing="0" w:after="0" w:afterAutospacing="0"/>
        <w:ind w:left="1440" w:hanging="720"/>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4F9897F4"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2C0A47BB" w14:textId="77777777" w:rsidR="001A5846" w:rsidRPr="006F3400" w:rsidRDefault="004F06BB" w:rsidP="002B3D37">
      <w:pPr>
        <w:pStyle w:val="NormalWeb"/>
        <w:spacing w:before="0" w:beforeAutospacing="0" w:after="0" w:afterAutospacing="0"/>
        <w:ind w:left="1418" w:hanging="698"/>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216EA47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2CA8CA77"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626C1184"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66E8F06F" w14:textId="3D95E952" w:rsidR="00345362" w:rsidRPr="006F3400" w:rsidRDefault="00345362" w:rsidP="00BC0663">
      <w:pPr>
        <w:pStyle w:val="PCSchedule2"/>
        <w:numPr>
          <w:ilvl w:val="1"/>
          <w:numId w:val="5"/>
        </w:numPr>
        <w:spacing w:before="240" w:after="0"/>
        <w:ind w:left="709" w:hanging="709"/>
        <w:rPr>
          <w:sz w:val="24"/>
          <w:szCs w:val="24"/>
        </w:rPr>
      </w:pPr>
      <w:r w:rsidRPr="006F3400">
        <w:rPr>
          <w:sz w:val="24"/>
          <w:szCs w:val="24"/>
        </w:rPr>
        <w:t>All Central Government Departments and their Executive Agencies and Non</w:t>
      </w:r>
      <w:r w:rsidR="00F1105A">
        <w:rPr>
          <w:sz w:val="24"/>
          <w:szCs w:val="24"/>
        </w:rPr>
        <w:t>-</w:t>
      </w:r>
      <w:r w:rsidRPr="006F3400">
        <w:rPr>
          <w:sz w:val="24"/>
          <w:szCs w:val="24"/>
        </w:rPr>
        <w:t xml:space="preserve"> Departmental Public Bodies are subject to control and reporting within Government. </w:t>
      </w:r>
      <w:proofErr w:type="gramStart"/>
      <w:r w:rsidRPr="006F3400">
        <w:rPr>
          <w:sz w:val="24"/>
          <w:szCs w:val="24"/>
        </w:rPr>
        <w:t>In particular, they</w:t>
      </w:r>
      <w:proofErr w:type="gramEnd"/>
      <w:r w:rsidRPr="006F3400">
        <w:rPr>
          <w:sz w:val="24"/>
          <w:szCs w:val="24"/>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115CB95B" w14:textId="77777777" w:rsidR="00345362" w:rsidRPr="006F3400" w:rsidRDefault="00345362" w:rsidP="00BC0663">
      <w:pPr>
        <w:pStyle w:val="PCSchedule2"/>
        <w:numPr>
          <w:ilvl w:val="1"/>
          <w:numId w:val="5"/>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2D3F822B"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7871889B"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6928C1C"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2F15D3EE"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73702F6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31D8138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w:t>
      </w:r>
      <w:proofErr w:type="gramStart"/>
      <w:r w:rsidR="00F15049" w:rsidRPr="006F3400">
        <w:rPr>
          <w:rFonts w:ascii="Arial" w:hAnsi="Arial" w:cs="Arial"/>
          <w:lang w:eastAsia="en-US"/>
        </w:rPr>
        <w:t>is considered to be</w:t>
      </w:r>
      <w:proofErr w:type="gramEnd"/>
      <w:r w:rsidR="00F15049" w:rsidRPr="006F3400">
        <w:rPr>
          <w:rFonts w:ascii="Arial" w:hAnsi="Arial" w:cs="Arial"/>
          <w:lang w:eastAsia="en-US"/>
        </w:rPr>
        <w:t xml:space="preserv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49722564"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3B115721"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234852C0"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289B4759"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680CF2A1"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53C4E766" w14:textId="77777777" w:rsidR="009B68E1" w:rsidRPr="006F3400" w:rsidRDefault="00945F7A"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43EE16E3"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1FF0CC59" w14:textId="77777777" w:rsidR="002B3D37" w:rsidRPr="00F1105A" w:rsidRDefault="002B3D37" w:rsidP="002B3D37">
      <w:pPr>
        <w:ind w:left="567" w:hanging="567"/>
        <w:jc w:val="both"/>
        <w:rPr>
          <w:rFonts w:ascii="Arial" w:hAnsi="Arial" w:cs="Arial"/>
          <w:color w:val="FF0000"/>
          <w:lang w:eastAsia="en-US"/>
        </w:rPr>
      </w:pPr>
    </w:p>
    <w:p w14:paraId="73DC298D" w14:textId="77777777" w:rsidR="002B3D37" w:rsidRPr="00CF6F4F" w:rsidRDefault="002B3D37" w:rsidP="002B3D37">
      <w:pPr>
        <w:ind w:left="567" w:hanging="567"/>
        <w:jc w:val="both"/>
        <w:rPr>
          <w:rFonts w:ascii="Arial" w:hAnsi="Arial" w:cs="Arial"/>
          <w:b/>
          <w:lang w:eastAsia="en-US"/>
        </w:rPr>
      </w:pPr>
      <w:r w:rsidRPr="00E95CDF">
        <w:rPr>
          <w:rFonts w:ascii="Arial" w:hAnsi="Arial" w:cs="Arial"/>
          <w:b/>
          <w:lang w:eastAsia="en-US"/>
        </w:rPr>
        <w:t xml:space="preserve">6. </w:t>
      </w:r>
      <w:r w:rsidRPr="00E95CDF">
        <w:rPr>
          <w:rFonts w:ascii="Arial" w:hAnsi="Arial" w:cs="Arial"/>
          <w:b/>
          <w:lang w:eastAsia="en-US"/>
        </w:rPr>
        <w:tab/>
      </w:r>
      <w:r w:rsidRPr="00E95CDF">
        <w:rPr>
          <w:rFonts w:ascii="Arial" w:hAnsi="Arial" w:cs="Arial"/>
          <w:b/>
          <w:lang w:eastAsia="en-US"/>
        </w:rPr>
        <w:tab/>
        <w:t>Samples</w:t>
      </w:r>
      <w:r w:rsidRPr="00CF6F4F">
        <w:rPr>
          <w:rFonts w:ascii="Arial" w:hAnsi="Arial" w:cs="Arial"/>
          <w:b/>
          <w:lang w:eastAsia="en-US"/>
        </w:rPr>
        <w:t xml:space="preserve"> </w:t>
      </w:r>
    </w:p>
    <w:p w14:paraId="60330167" w14:textId="77777777" w:rsidR="002B3D37" w:rsidRPr="00CF6F4F" w:rsidRDefault="002B3D37" w:rsidP="002B3D37">
      <w:pPr>
        <w:ind w:left="567" w:hanging="567"/>
        <w:jc w:val="both"/>
        <w:rPr>
          <w:rFonts w:ascii="Arial" w:hAnsi="Arial" w:cs="Arial"/>
          <w:b/>
          <w:lang w:eastAsia="en-US"/>
        </w:rPr>
      </w:pPr>
    </w:p>
    <w:p w14:paraId="1FC9BDF0" w14:textId="77777777" w:rsidR="002B3D37" w:rsidRPr="00CF6F4F" w:rsidRDefault="002B3D37" w:rsidP="002B3D37">
      <w:pPr>
        <w:ind w:left="720" w:hanging="720"/>
        <w:jc w:val="both"/>
        <w:rPr>
          <w:rFonts w:ascii="Arial" w:hAnsi="Arial" w:cs="Arial"/>
          <w:lang w:eastAsia="en-US"/>
        </w:rPr>
      </w:pPr>
      <w:r w:rsidRPr="00CF6F4F">
        <w:rPr>
          <w:rFonts w:ascii="Arial" w:hAnsi="Arial" w:cs="Arial"/>
          <w:lang w:eastAsia="en-US"/>
        </w:rPr>
        <w:t>6.1</w:t>
      </w:r>
      <w:r w:rsidRPr="00CF6F4F">
        <w:rPr>
          <w:rFonts w:ascii="Arial" w:hAnsi="Arial" w:cs="Arial"/>
          <w:lang w:eastAsia="en-US"/>
        </w:rPr>
        <w:tab/>
      </w:r>
      <w:bookmarkStart w:id="5" w:name="_Hlk48822613"/>
      <w:r w:rsidRPr="00CF6F4F">
        <w:rPr>
          <w:rFonts w:ascii="Arial" w:hAnsi="Arial" w:cs="Arial"/>
          <w:lang w:eastAsia="en-US"/>
        </w:rPr>
        <w:t xml:space="preserve">Offerors will not be required to submit physical samples of each item offered against this tender at this time, however the Authority retains the right to request samples should the Authority decide they will be required.  </w:t>
      </w:r>
      <w:bookmarkEnd w:id="5"/>
    </w:p>
    <w:p w14:paraId="19885AC9" w14:textId="77777777" w:rsidR="002B3D37" w:rsidRPr="00CF6F4F" w:rsidRDefault="002B3D37" w:rsidP="002B3D37">
      <w:pPr>
        <w:ind w:left="567" w:hanging="567"/>
        <w:jc w:val="both"/>
        <w:rPr>
          <w:rFonts w:ascii="Arial" w:hAnsi="Arial" w:cs="Arial"/>
          <w:lang w:eastAsia="en-US"/>
        </w:rPr>
      </w:pPr>
    </w:p>
    <w:p w14:paraId="1F0F8625" w14:textId="77777777" w:rsidR="002B3D37" w:rsidRPr="00CF6F4F" w:rsidRDefault="002B3D37" w:rsidP="002622AE">
      <w:pPr>
        <w:ind w:left="720" w:hanging="720"/>
        <w:jc w:val="both"/>
        <w:rPr>
          <w:rFonts w:ascii="Arial" w:hAnsi="Arial" w:cs="Arial"/>
          <w:lang w:eastAsia="en-US"/>
        </w:rPr>
      </w:pPr>
      <w:r w:rsidRPr="00CF6F4F">
        <w:rPr>
          <w:rFonts w:ascii="Arial" w:hAnsi="Arial" w:cs="Arial"/>
          <w:lang w:eastAsia="en-US"/>
        </w:rPr>
        <w:t>6.2</w:t>
      </w:r>
      <w:r w:rsidRPr="00CF6F4F">
        <w:rPr>
          <w:rFonts w:ascii="Arial" w:hAnsi="Arial" w:cs="Arial"/>
          <w:lang w:eastAsia="en-US"/>
        </w:rPr>
        <w:tab/>
        <w:t xml:space="preserve">Pharmaceutical Quality Assessments will be made against the most current uploaded images on </w:t>
      </w:r>
      <w:proofErr w:type="spellStart"/>
      <w:r w:rsidRPr="00CF6F4F">
        <w:rPr>
          <w:rFonts w:ascii="Arial" w:hAnsi="Arial" w:cs="Arial"/>
          <w:lang w:eastAsia="en-US"/>
        </w:rPr>
        <w:t>PharmaQC</w:t>
      </w:r>
      <w:proofErr w:type="spellEnd"/>
      <w:r w:rsidRPr="00CF6F4F">
        <w:rPr>
          <w:rFonts w:ascii="Arial" w:hAnsi="Arial" w:cs="Arial"/>
          <w:lang w:eastAsia="en-US"/>
        </w:rPr>
        <w:t>.</w:t>
      </w:r>
    </w:p>
    <w:p w14:paraId="319A0AF7" w14:textId="77777777" w:rsidR="002B3D37" w:rsidRPr="00CF6F4F" w:rsidRDefault="002B3D37" w:rsidP="002622AE">
      <w:pPr>
        <w:ind w:left="567" w:hanging="567"/>
        <w:jc w:val="both"/>
        <w:rPr>
          <w:rFonts w:ascii="Arial" w:hAnsi="Arial" w:cs="Arial"/>
          <w:lang w:eastAsia="en-US"/>
        </w:rPr>
      </w:pPr>
    </w:p>
    <w:p w14:paraId="7148A921" w14:textId="77777777" w:rsidR="002622AE" w:rsidRDefault="002B3D37" w:rsidP="002622AE">
      <w:pPr>
        <w:ind w:left="720" w:hanging="720"/>
        <w:jc w:val="both"/>
        <w:rPr>
          <w:rFonts w:ascii="Arial" w:hAnsi="Arial" w:cs="Arial"/>
          <w:lang w:eastAsia="en-US"/>
        </w:rPr>
      </w:pPr>
      <w:r w:rsidRPr="00CF6F4F">
        <w:rPr>
          <w:rFonts w:ascii="Arial" w:hAnsi="Arial" w:cs="Arial"/>
          <w:lang w:eastAsia="en-US"/>
        </w:rPr>
        <w:t>6.3</w:t>
      </w:r>
      <w:r w:rsidRPr="00CF6F4F">
        <w:rPr>
          <w:rFonts w:ascii="Arial" w:hAnsi="Arial" w:cs="Arial"/>
          <w:lang w:eastAsia="en-US"/>
        </w:rPr>
        <w:tab/>
      </w:r>
      <w:bookmarkStart w:id="6" w:name="_Hlk94866333"/>
      <w:r w:rsidR="00CF6F4F" w:rsidRPr="00CF6F4F">
        <w:rPr>
          <w:rFonts w:ascii="Arial" w:hAnsi="Arial" w:cs="Arial"/>
          <w:lang w:eastAsia="en-US"/>
        </w:rPr>
        <w:t xml:space="preserve">Offerors must fully register (BY THE CLOSING DATE FOR THIS INVITATION TO OFFER) any offered item on </w:t>
      </w:r>
      <w:proofErr w:type="spellStart"/>
      <w:r w:rsidR="00CF6F4F" w:rsidRPr="00CF6F4F">
        <w:rPr>
          <w:rFonts w:ascii="Arial" w:hAnsi="Arial" w:cs="Arial"/>
          <w:lang w:eastAsia="en-US"/>
        </w:rPr>
        <w:t>PharmaQC</w:t>
      </w:r>
      <w:proofErr w:type="spellEnd"/>
      <w:r w:rsidR="00CF6F4F" w:rsidRPr="00CF6F4F">
        <w:rPr>
          <w:rFonts w:ascii="Arial" w:hAnsi="Arial" w:cs="Arial"/>
          <w:lang w:eastAsia="en-US"/>
        </w:rPr>
        <w:t xml:space="preserve"> with approved artwork</w:t>
      </w:r>
      <w:r w:rsidR="002622AE">
        <w:rPr>
          <w:rFonts w:ascii="Arial" w:hAnsi="Arial" w:cs="Arial"/>
          <w:lang w:eastAsia="en-US"/>
        </w:rPr>
        <w:t xml:space="preserve"> (or galley proofs)</w:t>
      </w:r>
      <w:r w:rsidR="00CF6F4F" w:rsidRPr="00CF6F4F">
        <w:rPr>
          <w:rFonts w:ascii="Arial" w:hAnsi="Arial" w:cs="Arial"/>
          <w:lang w:eastAsia="en-US"/>
        </w:rPr>
        <w:t xml:space="preserve">, and photographs (where available) of the product </w:t>
      </w:r>
      <w:r w:rsidR="002622AE">
        <w:rPr>
          <w:rFonts w:ascii="Arial" w:hAnsi="Arial" w:cs="Arial"/>
          <w:lang w:eastAsia="en-US"/>
        </w:rPr>
        <w:t>along with</w:t>
      </w:r>
      <w:r w:rsidR="00CF6F4F" w:rsidRPr="00CF6F4F">
        <w:rPr>
          <w:rFonts w:ascii="Arial" w:hAnsi="Arial" w:cs="Arial"/>
          <w:lang w:eastAsia="en-US"/>
        </w:rPr>
        <w:t xml:space="preserve"> the PIL and the SmPC. </w:t>
      </w:r>
      <w:bookmarkEnd w:id="6"/>
    </w:p>
    <w:p w14:paraId="43A81A8D" w14:textId="77777777" w:rsidR="002622AE" w:rsidRDefault="002622AE" w:rsidP="002622AE">
      <w:pPr>
        <w:ind w:left="720" w:hanging="720"/>
        <w:jc w:val="both"/>
        <w:rPr>
          <w:rFonts w:ascii="Arial" w:hAnsi="Arial" w:cs="Arial"/>
          <w:lang w:eastAsia="en-US"/>
        </w:rPr>
      </w:pPr>
    </w:p>
    <w:p w14:paraId="7DA3712E" w14:textId="6C473C0A" w:rsidR="002B3D37" w:rsidRPr="00CF6F4F" w:rsidRDefault="00CF6F4F" w:rsidP="002622AE">
      <w:pPr>
        <w:ind w:left="720"/>
        <w:jc w:val="both"/>
        <w:rPr>
          <w:rFonts w:ascii="Arial" w:hAnsi="Arial" w:cs="Arial"/>
          <w:lang w:eastAsia="en-US"/>
        </w:rPr>
      </w:pPr>
      <w:r w:rsidRPr="00CF6F4F">
        <w:rPr>
          <w:rFonts w:ascii="Arial" w:hAnsi="Arial" w:cs="Arial"/>
          <w:lang w:eastAsia="en-US"/>
        </w:rPr>
        <w:t>Key requirements are detailed in Doc</w:t>
      </w:r>
      <w:r w:rsidR="002622AE">
        <w:rPr>
          <w:rFonts w:ascii="Arial" w:hAnsi="Arial" w:cs="Arial"/>
          <w:lang w:eastAsia="en-US"/>
        </w:rPr>
        <w:t>ument</w:t>
      </w:r>
      <w:r w:rsidRPr="00CF6F4F">
        <w:rPr>
          <w:rFonts w:ascii="Arial" w:hAnsi="Arial" w:cs="Arial"/>
          <w:lang w:eastAsia="en-US"/>
        </w:rPr>
        <w:t>. No.4</w:t>
      </w:r>
      <w:r w:rsidR="00DB612E">
        <w:rPr>
          <w:rFonts w:ascii="Arial" w:hAnsi="Arial" w:cs="Arial"/>
          <w:lang w:eastAsia="en-US"/>
        </w:rPr>
        <w:t xml:space="preserve"> -</w:t>
      </w:r>
      <w:r w:rsidRPr="00CF6F4F">
        <w:rPr>
          <w:rFonts w:ascii="Arial" w:hAnsi="Arial" w:cs="Arial"/>
          <w:lang w:eastAsia="en-US"/>
        </w:rPr>
        <w:t xml:space="preserve"> Contract Technical Specification</w:t>
      </w:r>
      <w:r w:rsidR="00DB612E">
        <w:rPr>
          <w:rFonts w:ascii="Arial" w:hAnsi="Arial" w:cs="Arial"/>
          <w:lang w:eastAsia="en-US"/>
        </w:rPr>
        <w:t xml:space="preserve"> for Licensed Medicines</w:t>
      </w:r>
      <w:r w:rsidRPr="00CF6F4F">
        <w:rPr>
          <w:rFonts w:ascii="Arial" w:hAnsi="Arial" w:cs="Arial"/>
          <w:lang w:eastAsia="en-US"/>
        </w:rPr>
        <w:t xml:space="preserve"> and the “</w:t>
      </w:r>
      <w:proofErr w:type="spellStart"/>
      <w:r w:rsidRPr="00CF6F4F">
        <w:rPr>
          <w:rFonts w:ascii="Arial" w:hAnsi="Arial" w:cs="Arial"/>
          <w:lang w:eastAsia="en-US"/>
        </w:rPr>
        <w:t>PharmaQC</w:t>
      </w:r>
      <w:proofErr w:type="spellEnd"/>
      <w:r w:rsidRPr="00CF6F4F">
        <w:rPr>
          <w:rFonts w:ascii="Arial" w:hAnsi="Arial" w:cs="Arial"/>
          <w:lang w:eastAsia="en-US"/>
        </w:rPr>
        <w:t xml:space="preserve"> User Guide – June2021” (which is specifically incorporated into the requirements for this procurement) and include (but are not limited to):</w:t>
      </w:r>
    </w:p>
    <w:p w14:paraId="7590A1F8" w14:textId="138268D2" w:rsidR="002622AE" w:rsidRDefault="002622AE" w:rsidP="002622AE">
      <w:pPr>
        <w:pStyle w:val="ListParagraph"/>
        <w:numPr>
          <w:ilvl w:val="1"/>
          <w:numId w:val="21"/>
        </w:numPr>
        <w:spacing w:before="0" w:after="0" w:line="240" w:lineRule="auto"/>
        <w:contextualSpacing w:val="0"/>
        <w:jc w:val="both"/>
        <w:rPr>
          <w:rFonts w:eastAsia="Times New Roman"/>
          <w:lang w:val="en-GB"/>
        </w:rPr>
      </w:pPr>
      <w:r>
        <w:rPr>
          <w:rFonts w:eastAsia="Times New Roman"/>
          <w:lang w:val="en-GB"/>
        </w:rPr>
        <w:t>Approved artwork and photographs must include the product in both its primary containers (blister pack, vial, ampoule, etc) and its secondary containers (carton, container etc</w:t>
      </w:r>
      <w:proofErr w:type="gramStart"/>
      <w:r>
        <w:rPr>
          <w:rFonts w:eastAsia="Times New Roman"/>
          <w:lang w:val="en-GB"/>
        </w:rPr>
        <w:t>);</w:t>
      </w:r>
      <w:proofErr w:type="gramEnd"/>
    </w:p>
    <w:p w14:paraId="0CFC0860" w14:textId="682F18E1" w:rsidR="002622AE" w:rsidRPr="00C92A6F" w:rsidRDefault="002622AE" w:rsidP="00C92A6F">
      <w:pPr>
        <w:pStyle w:val="ListParagraph"/>
        <w:numPr>
          <w:ilvl w:val="1"/>
          <w:numId w:val="21"/>
        </w:numPr>
        <w:spacing w:before="0" w:after="0" w:line="240" w:lineRule="auto"/>
        <w:contextualSpacing w:val="0"/>
        <w:jc w:val="both"/>
        <w:rPr>
          <w:rFonts w:eastAsia="Times New Roman"/>
          <w:lang w:val="en-GB"/>
        </w:rPr>
      </w:pPr>
      <w:r>
        <w:rPr>
          <w:rFonts w:eastAsia="Times New Roman"/>
          <w:lang w:val="en-GB"/>
        </w:rPr>
        <w:t>Marketing Authorisation (MA) number to be clearly visible and legible</w:t>
      </w:r>
      <w:r w:rsidR="00C92A6F">
        <w:rPr>
          <w:rFonts w:eastAsia="Times New Roman"/>
          <w:lang w:val="en-GB"/>
        </w:rPr>
        <w:t xml:space="preserve"> - within the </w:t>
      </w:r>
      <w:proofErr w:type="spellStart"/>
      <w:r w:rsidR="00C92A6F">
        <w:rPr>
          <w:rFonts w:eastAsia="Times New Roman"/>
          <w:lang w:val="en-GB"/>
        </w:rPr>
        <w:t>Selectt</w:t>
      </w:r>
      <w:proofErr w:type="spellEnd"/>
      <w:r w:rsidR="00C92A6F">
        <w:rPr>
          <w:rFonts w:eastAsia="Times New Roman"/>
          <w:lang w:val="en-GB"/>
        </w:rPr>
        <w:t xml:space="preserve"> offer tool and </w:t>
      </w:r>
      <w:proofErr w:type="spellStart"/>
      <w:r w:rsidR="00C92A6F">
        <w:rPr>
          <w:rFonts w:eastAsia="Times New Roman"/>
          <w:lang w:val="en-GB"/>
        </w:rPr>
        <w:t>PharmaQC</w:t>
      </w:r>
      <w:proofErr w:type="spellEnd"/>
      <w:r w:rsidR="00C92A6F">
        <w:rPr>
          <w:rFonts w:eastAsia="Times New Roman"/>
          <w:lang w:val="en-GB"/>
        </w:rPr>
        <w:t xml:space="preserve"> where the MA is required, the number entered should be consistent with the number on the images and/or photographs on </w:t>
      </w:r>
      <w:proofErr w:type="spellStart"/>
      <w:proofErr w:type="gramStart"/>
      <w:r w:rsidR="00C92A6F">
        <w:rPr>
          <w:rFonts w:eastAsia="Times New Roman"/>
          <w:lang w:val="en-GB"/>
        </w:rPr>
        <w:t>PharmaQC</w:t>
      </w:r>
      <w:proofErr w:type="spellEnd"/>
      <w:r w:rsidR="00C92A6F">
        <w:rPr>
          <w:rFonts w:eastAsia="Times New Roman"/>
          <w:lang w:val="en-GB"/>
        </w:rPr>
        <w:t>;</w:t>
      </w:r>
      <w:proofErr w:type="gramEnd"/>
    </w:p>
    <w:p w14:paraId="6981A5DC" w14:textId="58E3A12D" w:rsidR="002622AE" w:rsidRPr="002622AE" w:rsidRDefault="002622AE" w:rsidP="002622AE">
      <w:pPr>
        <w:pStyle w:val="ListParagraph"/>
        <w:numPr>
          <w:ilvl w:val="1"/>
          <w:numId w:val="21"/>
        </w:numPr>
        <w:spacing w:before="0" w:after="0" w:line="240" w:lineRule="auto"/>
        <w:contextualSpacing w:val="0"/>
        <w:jc w:val="both"/>
        <w:rPr>
          <w:rFonts w:eastAsia="Times New Roman"/>
          <w:lang w:val="en-GB"/>
        </w:rPr>
      </w:pPr>
      <w:r>
        <w:rPr>
          <w:rFonts w:eastAsia="Times New Roman"/>
          <w:lang w:val="en-GB"/>
        </w:rPr>
        <w:t xml:space="preserve">GTIN/EAN Code to be clearly visible and legible – within the </w:t>
      </w:r>
      <w:proofErr w:type="spellStart"/>
      <w:r>
        <w:rPr>
          <w:rFonts w:eastAsia="Times New Roman"/>
          <w:lang w:val="en-GB"/>
        </w:rPr>
        <w:t>Selectt</w:t>
      </w:r>
      <w:proofErr w:type="spellEnd"/>
      <w:r>
        <w:rPr>
          <w:rFonts w:eastAsia="Times New Roman"/>
          <w:lang w:val="en-GB"/>
        </w:rPr>
        <w:t xml:space="preserve"> offer tool and </w:t>
      </w:r>
      <w:proofErr w:type="spellStart"/>
      <w:r>
        <w:rPr>
          <w:rFonts w:eastAsia="Times New Roman"/>
          <w:lang w:val="en-GB"/>
        </w:rPr>
        <w:t>PharmaQC</w:t>
      </w:r>
      <w:proofErr w:type="spellEnd"/>
      <w:r>
        <w:rPr>
          <w:rFonts w:eastAsia="Times New Roman"/>
          <w:lang w:val="en-GB"/>
        </w:rPr>
        <w:t xml:space="preserve"> where either GTIN or EAN is required, the number entered should be consistent with the number on the bar code within the images and/or photographs on </w:t>
      </w:r>
      <w:proofErr w:type="spellStart"/>
      <w:r>
        <w:rPr>
          <w:rFonts w:eastAsia="Times New Roman"/>
          <w:lang w:val="en-GB"/>
        </w:rPr>
        <w:t>PharmaQC</w:t>
      </w:r>
      <w:proofErr w:type="spellEnd"/>
      <w:r w:rsidR="000D1B0C">
        <w:rPr>
          <w:rFonts w:eastAsia="Times New Roman"/>
          <w:lang w:val="en-GB"/>
        </w:rPr>
        <w:t>;</w:t>
      </w:r>
    </w:p>
    <w:p w14:paraId="0239EE8C" w14:textId="2FAB11E4" w:rsidR="002B3D37" w:rsidRPr="00CF6F4F" w:rsidRDefault="002622AE" w:rsidP="002622AE">
      <w:pPr>
        <w:pStyle w:val="ListParagraph"/>
        <w:numPr>
          <w:ilvl w:val="1"/>
          <w:numId w:val="21"/>
        </w:numPr>
        <w:spacing w:before="0" w:after="0" w:line="240" w:lineRule="auto"/>
        <w:contextualSpacing w:val="0"/>
        <w:jc w:val="both"/>
        <w:rPr>
          <w:rFonts w:eastAsia="Times New Roman"/>
          <w:lang w:val="en-GB"/>
        </w:rPr>
      </w:pPr>
      <w:r>
        <w:rPr>
          <w:rFonts w:eastAsia="Times New Roman"/>
          <w:lang w:val="en-GB"/>
        </w:rPr>
        <w:t xml:space="preserve">Pack </w:t>
      </w:r>
      <w:r w:rsidR="002B3D37" w:rsidRPr="00CF6F4F">
        <w:rPr>
          <w:rFonts w:eastAsia="Times New Roman"/>
          <w:lang w:val="en-GB"/>
        </w:rPr>
        <w:t>and label dimensions</w:t>
      </w:r>
      <w:r>
        <w:rPr>
          <w:rFonts w:eastAsia="Times New Roman"/>
          <w:lang w:val="en-GB"/>
        </w:rPr>
        <w:t xml:space="preserve"> should be included on approved </w:t>
      </w:r>
      <w:proofErr w:type="gramStart"/>
      <w:r>
        <w:rPr>
          <w:rFonts w:eastAsia="Times New Roman"/>
          <w:lang w:val="en-GB"/>
        </w:rPr>
        <w:t>artwork</w:t>
      </w:r>
      <w:r w:rsidR="000D1B0C">
        <w:rPr>
          <w:rFonts w:eastAsia="Times New Roman"/>
          <w:lang w:val="en-GB"/>
        </w:rPr>
        <w:t>;</w:t>
      </w:r>
      <w:proofErr w:type="gramEnd"/>
    </w:p>
    <w:p w14:paraId="038115A7" w14:textId="0F3B1CA1" w:rsidR="002B3D37" w:rsidRPr="00CF6F4F" w:rsidRDefault="002622AE" w:rsidP="002622AE">
      <w:pPr>
        <w:pStyle w:val="ListParagraph"/>
        <w:numPr>
          <w:ilvl w:val="1"/>
          <w:numId w:val="21"/>
        </w:numPr>
        <w:spacing w:before="0" w:after="0" w:line="240" w:lineRule="auto"/>
        <w:contextualSpacing w:val="0"/>
        <w:jc w:val="both"/>
        <w:rPr>
          <w:rFonts w:eastAsia="Times New Roman"/>
          <w:lang w:val="en-GB"/>
        </w:rPr>
      </w:pPr>
      <w:r>
        <w:rPr>
          <w:rFonts w:eastAsia="Times New Roman"/>
          <w:lang w:val="en-GB"/>
        </w:rPr>
        <w:t xml:space="preserve">Clear and legible </w:t>
      </w:r>
      <w:r w:rsidR="002B3D37" w:rsidRPr="00CF6F4F">
        <w:rPr>
          <w:rFonts w:eastAsia="Times New Roman"/>
          <w:lang w:val="en-GB"/>
        </w:rPr>
        <w:t xml:space="preserve">photographs must be provided of </w:t>
      </w:r>
    </w:p>
    <w:p w14:paraId="0A286245" w14:textId="77777777" w:rsidR="002B3D37" w:rsidRPr="00CF6F4F" w:rsidRDefault="002B3D37" w:rsidP="002622AE">
      <w:pPr>
        <w:pStyle w:val="ListParagraph"/>
        <w:numPr>
          <w:ilvl w:val="2"/>
          <w:numId w:val="21"/>
        </w:numPr>
        <w:spacing w:before="0" w:after="0" w:line="240" w:lineRule="auto"/>
        <w:contextualSpacing w:val="0"/>
        <w:jc w:val="both"/>
        <w:rPr>
          <w:rFonts w:eastAsia="Times New Roman"/>
          <w:lang w:val="en-GB"/>
        </w:rPr>
      </w:pPr>
      <w:r w:rsidRPr="00CF6F4F">
        <w:rPr>
          <w:rFonts w:eastAsia="Times New Roman"/>
          <w:lang w:val="en-GB"/>
        </w:rPr>
        <w:t xml:space="preserve">all faces of the secondary container e.g. carton </w:t>
      </w:r>
    </w:p>
    <w:p w14:paraId="4A4E96D2" w14:textId="77777777" w:rsidR="002B3D37" w:rsidRPr="00CF6F4F" w:rsidRDefault="002B3D37" w:rsidP="002622AE">
      <w:pPr>
        <w:pStyle w:val="ListParagraph"/>
        <w:numPr>
          <w:ilvl w:val="2"/>
          <w:numId w:val="21"/>
        </w:numPr>
        <w:spacing w:before="0" w:after="0" w:line="240" w:lineRule="auto"/>
        <w:contextualSpacing w:val="0"/>
        <w:jc w:val="both"/>
        <w:rPr>
          <w:rFonts w:eastAsia="Times New Roman"/>
        </w:rPr>
      </w:pPr>
      <w:r w:rsidRPr="00CF6F4F">
        <w:rPr>
          <w:rFonts w:eastAsia="Times New Roman"/>
        </w:rPr>
        <w:t>the primary container e.g. blister pack, vial, ampoule. If the entire primary container label cannot be seen in one field of view (e.g. on a syringe or ampoule), multiple sequential photos will be required</w:t>
      </w:r>
    </w:p>
    <w:p w14:paraId="43FCD5DA" w14:textId="77777777" w:rsidR="002B3D37" w:rsidRPr="00CF6F4F" w:rsidRDefault="002B3D37" w:rsidP="002622AE">
      <w:pPr>
        <w:pStyle w:val="ListParagraph"/>
        <w:numPr>
          <w:ilvl w:val="1"/>
          <w:numId w:val="21"/>
        </w:numPr>
        <w:spacing w:before="0" w:after="0" w:line="240" w:lineRule="auto"/>
        <w:contextualSpacing w:val="0"/>
        <w:jc w:val="both"/>
        <w:rPr>
          <w:rFonts w:eastAsia="Times New Roman"/>
        </w:rPr>
      </w:pPr>
      <w:r w:rsidRPr="00CF6F4F">
        <w:rPr>
          <w:rFonts w:eastAsia="Times New Roman"/>
        </w:rPr>
        <w:t>Where possible, multiple photographs for each single offered item should be saved in a single document for ease of viewing.</w:t>
      </w:r>
    </w:p>
    <w:p w14:paraId="55A4DDCB" w14:textId="77777777" w:rsidR="002B3D37" w:rsidRPr="00CF6F4F" w:rsidRDefault="002B3D37" w:rsidP="002622AE">
      <w:pPr>
        <w:ind w:left="567" w:hanging="567"/>
        <w:jc w:val="both"/>
        <w:rPr>
          <w:rFonts w:ascii="Arial" w:hAnsi="Arial" w:cs="Arial"/>
          <w:lang w:eastAsia="en-US"/>
        </w:rPr>
      </w:pPr>
    </w:p>
    <w:p w14:paraId="30DD872B" w14:textId="14E282F0" w:rsidR="002B3D37" w:rsidRPr="00CF6F4F" w:rsidRDefault="002B3D37" w:rsidP="002622AE">
      <w:pPr>
        <w:ind w:left="720" w:hanging="720"/>
        <w:jc w:val="both"/>
        <w:rPr>
          <w:rFonts w:ascii="Arial" w:hAnsi="Arial" w:cs="Arial"/>
        </w:rPr>
      </w:pPr>
      <w:r w:rsidRPr="00CF6F4F">
        <w:rPr>
          <w:rFonts w:ascii="Arial" w:hAnsi="Arial" w:cs="Arial"/>
          <w:lang w:eastAsia="en-US"/>
        </w:rPr>
        <w:t>6.</w:t>
      </w:r>
      <w:r w:rsidR="009F72DB" w:rsidRPr="00CF6F4F">
        <w:rPr>
          <w:rFonts w:ascii="Arial" w:hAnsi="Arial" w:cs="Arial"/>
          <w:lang w:eastAsia="en-US"/>
        </w:rPr>
        <w:t>4</w:t>
      </w:r>
      <w:r w:rsidRPr="00CF6F4F">
        <w:rPr>
          <w:rFonts w:ascii="Arial" w:hAnsi="Arial" w:cs="Arial"/>
          <w:lang w:eastAsia="en-US"/>
        </w:rPr>
        <w:tab/>
      </w:r>
      <w:r w:rsidRPr="00CF6F4F">
        <w:rPr>
          <w:rFonts w:ascii="Arial" w:hAnsi="Arial" w:cs="Arial"/>
        </w:rPr>
        <w:t xml:space="preserve">It is the full responsibility of Offerors to make sure that the images uploaded to </w:t>
      </w:r>
      <w:proofErr w:type="spellStart"/>
      <w:r w:rsidRPr="00CF6F4F">
        <w:rPr>
          <w:rFonts w:ascii="Arial" w:hAnsi="Arial" w:cs="Arial"/>
        </w:rPr>
        <w:t>PharmaQC</w:t>
      </w:r>
      <w:proofErr w:type="spellEnd"/>
      <w:r w:rsidRPr="00CF6F4F">
        <w:rPr>
          <w:rFonts w:ascii="Arial" w:hAnsi="Arial" w:cs="Arial"/>
        </w:rPr>
        <w:t xml:space="preserve"> represent the offered item(s) and are registered against the offered </w:t>
      </w:r>
      <w:proofErr w:type="spellStart"/>
      <w:r w:rsidRPr="00CF6F4F">
        <w:rPr>
          <w:rFonts w:ascii="Arial" w:hAnsi="Arial" w:cs="Arial"/>
        </w:rPr>
        <w:t>NPCode</w:t>
      </w:r>
      <w:proofErr w:type="spellEnd"/>
      <w:r w:rsidRPr="00CF6F4F">
        <w:rPr>
          <w:rFonts w:ascii="Arial" w:hAnsi="Arial" w:cs="Arial"/>
        </w:rPr>
        <w:t>.</w:t>
      </w:r>
    </w:p>
    <w:p w14:paraId="3D974EF8" w14:textId="77777777" w:rsidR="00295719" w:rsidRPr="006F3400" w:rsidRDefault="00934357" w:rsidP="002B3D37">
      <w:pPr>
        <w:spacing w:before="240"/>
        <w:ind w:left="720" w:hanging="72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70BD4B78"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9053075"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4720C7B4" w14:textId="004DC0FE" w:rsidR="00CD562E"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6F1E1349" w14:textId="2BD69DBA" w:rsidR="000D1B0C" w:rsidRPr="00F807D5" w:rsidRDefault="00BF71A2" w:rsidP="00F807D5">
      <w:pPr>
        <w:spacing w:before="240"/>
        <w:ind w:left="720" w:hanging="720"/>
        <w:jc w:val="both"/>
        <w:rPr>
          <w:rFonts w:ascii="Arial" w:hAnsi="Arial" w:cs="Arial"/>
          <w:lang w:eastAsia="en-US"/>
        </w:rPr>
      </w:pPr>
      <w:r w:rsidRPr="00072579">
        <w:rPr>
          <w:rFonts w:ascii="Arial" w:hAnsi="Arial" w:cs="Arial"/>
          <w:lang w:eastAsia="en-US"/>
        </w:rPr>
        <w:t>7.4</w:t>
      </w:r>
      <w:r w:rsidRPr="00072579">
        <w:rPr>
          <w:rFonts w:ascii="Arial" w:hAnsi="Arial" w:cs="Arial"/>
          <w:lang w:eastAsia="en-US"/>
        </w:rPr>
        <w:tab/>
        <w:t xml:space="preserve">Prices for offered products must </w:t>
      </w:r>
      <w:r w:rsidR="00164069" w:rsidRPr="00072579">
        <w:rPr>
          <w:rFonts w:ascii="Arial" w:hAnsi="Arial" w:cs="Arial"/>
          <w:lang w:eastAsia="en-US"/>
        </w:rPr>
        <w:t xml:space="preserve">be inclusive of </w:t>
      </w:r>
      <w:r w:rsidRPr="00072579">
        <w:rPr>
          <w:rFonts w:ascii="Arial" w:hAnsi="Arial" w:cs="Arial"/>
          <w:lang w:eastAsia="en-US"/>
        </w:rPr>
        <w:t>deliver</w:t>
      </w:r>
      <w:r w:rsidR="00164069" w:rsidRPr="00072579">
        <w:rPr>
          <w:rFonts w:ascii="Arial" w:hAnsi="Arial" w:cs="Arial"/>
          <w:lang w:eastAsia="en-US"/>
        </w:rPr>
        <w:t>y to the trust as required in Document No. 3, Schedule 2 of the “Call-Off Terms and Conditions”</w:t>
      </w:r>
      <w:r w:rsidRPr="00072579">
        <w:rPr>
          <w:rFonts w:ascii="Arial" w:hAnsi="Arial" w:cs="Arial"/>
          <w:lang w:eastAsia="en-US"/>
        </w:rPr>
        <w:t>.</w:t>
      </w:r>
      <w:bookmarkStart w:id="7" w:name="_Toc431551144"/>
    </w:p>
    <w:p w14:paraId="1CC8EC71" w14:textId="21B2718A" w:rsidR="000D1B0C" w:rsidRDefault="000D1B0C" w:rsidP="00C526D6">
      <w:pPr>
        <w:ind w:left="567" w:hanging="567"/>
        <w:jc w:val="both"/>
        <w:rPr>
          <w:rFonts w:ascii="Arial" w:hAnsi="Arial" w:cs="Arial"/>
          <w:b/>
          <w:sz w:val="22"/>
          <w:szCs w:val="22"/>
        </w:rPr>
      </w:pPr>
    </w:p>
    <w:p w14:paraId="55BA6CBC" w14:textId="6BEA4B93" w:rsidR="004C6846" w:rsidRDefault="004C6846" w:rsidP="00C526D6">
      <w:pPr>
        <w:ind w:left="567" w:hanging="567"/>
        <w:jc w:val="both"/>
        <w:rPr>
          <w:rFonts w:ascii="Arial" w:hAnsi="Arial" w:cs="Arial"/>
          <w:b/>
          <w:sz w:val="22"/>
          <w:szCs w:val="22"/>
        </w:rPr>
      </w:pPr>
    </w:p>
    <w:p w14:paraId="16623A18" w14:textId="515B6F94" w:rsidR="004C6846" w:rsidRDefault="004C6846" w:rsidP="00C526D6">
      <w:pPr>
        <w:ind w:left="567" w:hanging="567"/>
        <w:jc w:val="both"/>
        <w:rPr>
          <w:rFonts w:ascii="Arial" w:hAnsi="Arial" w:cs="Arial"/>
          <w:b/>
          <w:sz w:val="22"/>
          <w:szCs w:val="22"/>
        </w:rPr>
      </w:pPr>
    </w:p>
    <w:p w14:paraId="3BD457D5" w14:textId="77777777" w:rsidR="004C6846" w:rsidRDefault="004C6846" w:rsidP="00C526D6">
      <w:pPr>
        <w:ind w:left="567" w:hanging="567"/>
        <w:jc w:val="both"/>
        <w:rPr>
          <w:rFonts w:ascii="Arial" w:hAnsi="Arial" w:cs="Arial"/>
          <w:b/>
          <w:sz w:val="22"/>
          <w:szCs w:val="22"/>
        </w:rPr>
      </w:pPr>
    </w:p>
    <w:p w14:paraId="667DEF7E" w14:textId="6FD6C177" w:rsidR="00C526D6" w:rsidRPr="00F1105A" w:rsidRDefault="00C526D6" w:rsidP="00C526D6">
      <w:pPr>
        <w:ind w:left="567" w:hanging="567"/>
        <w:jc w:val="both"/>
        <w:rPr>
          <w:rFonts w:ascii="Arial" w:hAnsi="Arial" w:cs="Arial"/>
          <w:b/>
        </w:rPr>
      </w:pPr>
      <w:r w:rsidRPr="00F1105A">
        <w:rPr>
          <w:rFonts w:ascii="Arial" w:hAnsi="Arial" w:cs="Arial"/>
          <w:b/>
        </w:rPr>
        <w:t>8.</w:t>
      </w:r>
      <w:r w:rsidRPr="00F1105A">
        <w:rPr>
          <w:rFonts w:ascii="Arial" w:hAnsi="Arial" w:cs="Arial"/>
          <w:b/>
        </w:rPr>
        <w:tab/>
      </w:r>
      <w:r w:rsidR="002B3D37" w:rsidRPr="00F1105A">
        <w:rPr>
          <w:rFonts w:ascii="Arial" w:hAnsi="Arial" w:cs="Arial"/>
          <w:b/>
        </w:rPr>
        <w:tab/>
      </w:r>
      <w:r w:rsidRPr="00F1105A">
        <w:rPr>
          <w:rFonts w:ascii="Arial" w:hAnsi="Arial" w:cs="Arial"/>
          <w:b/>
        </w:rPr>
        <w:t xml:space="preserve">Requirement and Lot Structure </w:t>
      </w:r>
      <w:bookmarkEnd w:id="7"/>
    </w:p>
    <w:p w14:paraId="08599A88" w14:textId="77777777" w:rsidR="00C526D6" w:rsidRPr="00F1105A" w:rsidRDefault="00C526D6" w:rsidP="00C526D6">
      <w:pPr>
        <w:ind w:left="567" w:hanging="567"/>
        <w:jc w:val="both"/>
        <w:rPr>
          <w:rFonts w:ascii="Arial" w:hAnsi="Arial" w:cs="Arial"/>
          <w:lang w:eastAsia="en-US"/>
        </w:rPr>
      </w:pPr>
    </w:p>
    <w:p w14:paraId="7089FA24" w14:textId="67197A52" w:rsidR="00C526D6" w:rsidRPr="00F1105A" w:rsidRDefault="00C526D6" w:rsidP="002B3D37">
      <w:pPr>
        <w:ind w:left="720" w:hanging="720"/>
        <w:jc w:val="both"/>
        <w:rPr>
          <w:rFonts w:ascii="Arial" w:hAnsi="Arial" w:cs="Arial"/>
          <w:lang w:eastAsia="en-US"/>
        </w:rPr>
      </w:pPr>
      <w:r w:rsidRPr="00F1105A">
        <w:rPr>
          <w:rFonts w:ascii="Arial" w:hAnsi="Arial" w:cs="Arial"/>
          <w:lang w:eastAsia="en-US"/>
        </w:rPr>
        <w:t>8.1</w:t>
      </w:r>
      <w:r w:rsidRPr="00F1105A">
        <w:rPr>
          <w:rFonts w:ascii="Arial" w:hAnsi="Arial" w:cs="Arial"/>
          <w:lang w:eastAsia="en-US"/>
        </w:rPr>
        <w:tab/>
        <w:t xml:space="preserve">This procurement concerns the procurement of </w:t>
      </w:r>
      <w:r w:rsidR="00F1105A" w:rsidRPr="00F1105A">
        <w:rPr>
          <w:rFonts w:ascii="Arial" w:hAnsi="Arial" w:cs="Arial"/>
          <w:lang w:eastAsia="en-US"/>
        </w:rPr>
        <w:t>“Transition” product</w:t>
      </w:r>
      <w:r w:rsidR="00F325F0">
        <w:rPr>
          <w:rFonts w:ascii="Arial" w:hAnsi="Arial" w:cs="Arial"/>
          <w:lang w:eastAsia="en-US"/>
        </w:rPr>
        <w:t>s</w:t>
      </w:r>
      <w:r w:rsidRPr="00F1105A">
        <w:rPr>
          <w:rFonts w:ascii="Arial" w:hAnsi="Arial" w:cs="Arial"/>
          <w:lang w:eastAsia="en-US"/>
        </w:rPr>
        <w:t xml:space="preserve">. </w:t>
      </w:r>
      <w:r w:rsidR="00BA1CB6" w:rsidRPr="00BA1CB6">
        <w:rPr>
          <w:rFonts w:ascii="Arial" w:hAnsi="Arial" w:cs="Arial"/>
          <w:lang w:eastAsia="en-US"/>
        </w:rPr>
        <w:t xml:space="preserve">The procurement is sub-divided into lots. </w:t>
      </w:r>
      <w:r w:rsidRPr="00F1105A">
        <w:rPr>
          <w:rFonts w:ascii="Arial" w:hAnsi="Arial" w:cs="Arial"/>
          <w:lang w:eastAsia="en-US"/>
        </w:rPr>
        <w:t xml:space="preserve"> </w:t>
      </w:r>
    </w:p>
    <w:p w14:paraId="784E33C1" w14:textId="77777777" w:rsidR="00C526D6" w:rsidRPr="00F1105A" w:rsidRDefault="00C526D6" w:rsidP="00C526D6">
      <w:pPr>
        <w:ind w:left="567" w:hanging="567"/>
        <w:jc w:val="both"/>
        <w:rPr>
          <w:rFonts w:ascii="Arial" w:hAnsi="Arial" w:cs="Arial"/>
          <w:lang w:eastAsia="en-US"/>
        </w:rPr>
      </w:pPr>
    </w:p>
    <w:p w14:paraId="6B247CE7" w14:textId="49AF217D" w:rsidR="00C526D6" w:rsidRDefault="00C526D6" w:rsidP="002B3D37">
      <w:pPr>
        <w:ind w:left="720" w:hanging="720"/>
        <w:jc w:val="both"/>
        <w:rPr>
          <w:rFonts w:ascii="Arial" w:hAnsi="Arial" w:cs="Arial"/>
          <w:sz w:val="22"/>
          <w:szCs w:val="22"/>
          <w:lang w:eastAsia="en-US"/>
        </w:rPr>
      </w:pPr>
      <w:r w:rsidRPr="00F1105A">
        <w:rPr>
          <w:rFonts w:ascii="Arial" w:hAnsi="Arial" w:cs="Arial"/>
          <w:lang w:eastAsia="en-US"/>
        </w:rPr>
        <w:t>8.2</w:t>
      </w:r>
      <w:r w:rsidRPr="00F1105A">
        <w:rPr>
          <w:rFonts w:ascii="Arial" w:hAnsi="Arial" w:cs="Arial"/>
          <w:lang w:eastAsia="en-US"/>
        </w:rPr>
        <w:tab/>
        <w:t xml:space="preserve">For the </w:t>
      </w:r>
      <w:r w:rsidR="00F1105A" w:rsidRPr="00F1105A">
        <w:rPr>
          <w:rFonts w:ascii="Arial" w:hAnsi="Arial" w:cs="Arial"/>
          <w:lang w:eastAsia="en-US"/>
        </w:rPr>
        <w:t>T</w:t>
      </w:r>
      <w:r w:rsidRPr="00F1105A">
        <w:rPr>
          <w:rFonts w:ascii="Arial" w:hAnsi="Arial" w:cs="Arial"/>
          <w:lang w:eastAsia="en-US"/>
        </w:rPr>
        <w:t>ransition</w:t>
      </w:r>
      <w:r w:rsidR="00863D35" w:rsidRPr="00F1105A">
        <w:rPr>
          <w:rFonts w:ascii="Arial" w:hAnsi="Arial" w:cs="Arial"/>
          <w:lang w:eastAsia="en-US"/>
        </w:rPr>
        <w:t xml:space="preserve"> </w:t>
      </w:r>
      <w:r w:rsidRPr="00F1105A">
        <w:rPr>
          <w:rFonts w:ascii="Arial" w:hAnsi="Arial" w:cs="Arial"/>
          <w:lang w:eastAsia="en-US"/>
        </w:rPr>
        <w:t>products (CM/PHG/</w:t>
      </w:r>
      <w:r w:rsidR="00102F18">
        <w:rPr>
          <w:rFonts w:ascii="Arial" w:hAnsi="Arial" w:cs="Arial"/>
          <w:lang w:eastAsia="en-US"/>
        </w:rPr>
        <w:t>22</w:t>
      </w:r>
      <w:r w:rsidRPr="00F1105A">
        <w:rPr>
          <w:rFonts w:ascii="Arial" w:hAnsi="Arial" w:cs="Arial"/>
          <w:lang w:eastAsia="en-US"/>
        </w:rPr>
        <w:t>/5</w:t>
      </w:r>
      <w:r w:rsidR="00920654">
        <w:rPr>
          <w:rFonts w:ascii="Arial" w:hAnsi="Arial" w:cs="Arial"/>
          <w:lang w:eastAsia="en-US"/>
        </w:rPr>
        <w:t>6</w:t>
      </w:r>
      <w:r w:rsidR="004C6846">
        <w:rPr>
          <w:rFonts w:ascii="Arial" w:hAnsi="Arial" w:cs="Arial"/>
          <w:lang w:eastAsia="en-US"/>
        </w:rPr>
        <w:t>94</w:t>
      </w:r>
      <w:r w:rsidRPr="00F1105A">
        <w:rPr>
          <w:rFonts w:ascii="Arial" w:hAnsi="Arial" w:cs="Arial"/>
          <w:lang w:eastAsia="en-US"/>
        </w:rPr>
        <w:t xml:space="preserve">) </w:t>
      </w:r>
      <w:r w:rsidR="00F1105A" w:rsidRPr="00F1105A">
        <w:rPr>
          <w:rFonts w:ascii="Arial" w:hAnsi="Arial" w:cs="Arial"/>
          <w:lang w:eastAsia="en-US"/>
        </w:rPr>
        <w:t xml:space="preserve">up to </w:t>
      </w:r>
      <w:r w:rsidRPr="00F1105A">
        <w:rPr>
          <w:rFonts w:ascii="Arial" w:hAnsi="Arial" w:cs="Arial"/>
          <w:lang w:eastAsia="en-US"/>
        </w:rPr>
        <w:t>three Regions are being tendered (see Table 1 below)</w:t>
      </w:r>
      <w:r w:rsidR="0042225C" w:rsidRPr="00F1105A">
        <w:rPr>
          <w:rFonts w:ascii="Arial" w:hAnsi="Arial" w:cs="Arial"/>
          <w:lang w:eastAsia="en-US"/>
        </w:rPr>
        <w:t xml:space="preserve">.  Each </w:t>
      </w:r>
      <w:r w:rsidR="0042225C" w:rsidRPr="00677341">
        <w:rPr>
          <w:rFonts w:ascii="Arial" w:hAnsi="Arial" w:cs="Arial"/>
          <w:lang w:eastAsia="en-US"/>
        </w:rPr>
        <w:t>Lot is deemed to be a separate entity.  An Offeror may be awarded one or more Lots (refer to Clause 8.9 for further explanation)</w:t>
      </w:r>
      <w:r w:rsidRPr="00677341">
        <w:rPr>
          <w:rFonts w:ascii="Arial" w:hAnsi="Arial" w:cs="Arial"/>
          <w:lang w:eastAsia="en-US"/>
        </w:rPr>
        <w:t>:</w:t>
      </w:r>
    </w:p>
    <w:p w14:paraId="71D8AB9E" w14:textId="77777777" w:rsidR="00C526D6" w:rsidRDefault="00C526D6" w:rsidP="00C526D6">
      <w:pPr>
        <w:ind w:left="567" w:hanging="567"/>
        <w:jc w:val="both"/>
        <w:rPr>
          <w:rFonts w:ascii="Arial" w:hAnsi="Arial" w:cs="Arial"/>
          <w:sz w:val="22"/>
          <w:szCs w:val="22"/>
          <w:lang w:eastAsia="en-US"/>
        </w:rPr>
      </w:pPr>
    </w:p>
    <w:p w14:paraId="203CB66D" w14:textId="1FABCC18" w:rsidR="00C526D6" w:rsidRDefault="00C526D6" w:rsidP="00C526D6">
      <w:pPr>
        <w:ind w:left="567" w:hanging="567"/>
        <w:jc w:val="both"/>
        <w:rPr>
          <w:rFonts w:ascii="Arial" w:hAnsi="Arial" w:cs="Arial"/>
          <w:b/>
          <w:sz w:val="22"/>
          <w:szCs w:val="22"/>
        </w:rPr>
      </w:pPr>
      <w:r>
        <w:rPr>
          <w:rFonts w:ascii="Arial" w:hAnsi="Arial" w:cs="Arial"/>
          <w:sz w:val="22"/>
          <w:szCs w:val="22"/>
          <w:lang w:eastAsia="en-US"/>
        </w:rPr>
        <w:tab/>
      </w:r>
      <w:r w:rsidR="002B3D37">
        <w:rPr>
          <w:rFonts w:ascii="Arial" w:hAnsi="Arial" w:cs="Arial"/>
          <w:sz w:val="22"/>
          <w:szCs w:val="22"/>
          <w:lang w:eastAsia="en-US"/>
        </w:rPr>
        <w:tab/>
      </w:r>
      <w:r w:rsidRPr="00E11E4C">
        <w:rPr>
          <w:rFonts w:ascii="Arial" w:hAnsi="Arial" w:cs="Arial"/>
          <w:b/>
          <w:sz w:val="22"/>
          <w:szCs w:val="22"/>
          <w:lang w:eastAsia="en-US"/>
        </w:rPr>
        <w:t>Table 1</w:t>
      </w:r>
      <w:r w:rsidRPr="00E11E4C">
        <w:rPr>
          <w:rFonts w:ascii="Arial" w:hAnsi="Arial" w:cs="Arial"/>
          <w:b/>
          <w:sz w:val="22"/>
          <w:szCs w:val="22"/>
        </w:rPr>
        <w:t xml:space="preserve"> </w:t>
      </w: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4214"/>
      </w:tblGrid>
      <w:tr w:rsidR="001C2C8C" w:rsidRPr="0069218A" w14:paraId="637D5B6C" w14:textId="77777777" w:rsidTr="00994CDE">
        <w:trPr>
          <w:trHeight w:val="397"/>
          <w:tblHeader/>
        </w:trPr>
        <w:tc>
          <w:tcPr>
            <w:tcW w:w="4901" w:type="dxa"/>
            <w:tcBorders>
              <w:top w:val="single" w:sz="4" w:space="0" w:color="auto"/>
              <w:left w:val="single" w:sz="4" w:space="0" w:color="auto"/>
              <w:bottom w:val="single" w:sz="4" w:space="0" w:color="auto"/>
              <w:right w:val="single" w:sz="4" w:space="0" w:color="auto"/>
            </w:tcBorders>
            <w:shd w:val="pct12" w:color="auto" w:fill="auto"/>
            <w:vAlign w:val="center"/>
          </w:tcPr>
          <w:p w14:paraId="4CB06E17" w14:textId="3F285CFB" w:rsidR="001C2C8C" w:rsidRPr="003978DD" w:rsidRDefault="001C2C8C" w:rsidP="00994CDE">
            <w:pPr>
              <w:jc w:val="both"/>
              <w:rPr>
                <w:rFonts w:ascii="Arial" w:hAnsi="Arial" w:cs="Arial"/>
                <w:b/>
                <w:sz w:val="22"/>
                <w:szCs w:val="22"/>
              </w:rPr>
            </w:pPr>
            <w:r w:rsidRPr="003978DD">
              <w:rPr>
                <w:rFonts w:ascii="Arial" w:hAnsi="Arial" w:cs="Arial"/>
                <w:b/>
                <w:sz w:val="22"/>
                <w:szCs w:val="22"/>
              </w:rPr>
              <w:t>LOT</w:t>
            </w:r>
            <w:r w:rsidR="00C703CF">
              <w:rPr>
                <w:rFonts w:ascii="Arial" w:hAnsi="Arial" w:cs="Arial"/>
                <w:b/>
                <w:sz w:val="22"/>
                <w:szCs w:val="22"/>
              </w:rPr>
              <w:t xml:space="preserve"> 1</w:t>
            </w:r>
          </w:p>
        </w:tc>
        <w:tc>
          <w:tcPr>
            <w:tcW w:w="4214"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77C3802" w14:textId="77777777" w:rsidR="001C2C8C" w:rsidRPr="0069218A" w:rsidRDefault="001C2C8C" w:rsidP="00994CDE">
            <w:pPr>
              <w:jc w:val="both"/>
              <w:rPr>
                <w:rFonts w:ascii="Arial" w:hAnsi="Arial" w:cs="Arial"/>
                <w:b/>
                <w:sz w:val="22"/>
                <w:szCs w:val="22"/>
              </w:rPr>
            </w:pPr>
            <w:r>
              <w:rPr>
                <w:rFonts w:ascii="Arial" w:hAnsi="Arial" w:cs="Arial"/>
                <w:b/>
                <w:sz w:val="22"/>
                <w:szCs w:val="22"/>
              </w:rPr>
              <w:t>REGION</w:t>
            </w:r>
          </w:p>
        </w:tc>
      </w:tr>
      <w:tr w:rsidR="001C2C8C" w:rsidRPr="0069218A" w14:paraId="65AA6A04" w14:textId="77777777" w:rsidTr="00994CDE">
        <w:trPr>
          <w:trHeight w:val="340"/>
        </w:trPr>
        <w:tc>
          <w:tcPr>
            <w:tcW w:w="4901" w:type="dxa"/>
            <w:tcBorders>
              <w:top w:val="single" w:sz="4" w:space="0" w:color="auto"/>
              <w:left w:val="single" w:sz="4" w:space="0" w:color="auto"/>
              <w:bottom w:val="single" w:sz="4" w:space="0" w:color="auto"/>
              <w:right w:val="single" w:sz="4" w:space="0" w:color="auto"/>
            </w:tcBorders>
            <w:vAlign w:val="center"/>
            <w:hideMark/>
          </w:tcPr>
          <w:p w14:paraId="5B292F00" w14:textId="2507344F" w:rsidR="001C2C8C" w:rsidRPr="003978DD" w:rsidRDefault="001C2C8C" w:rsidP="00994CDE">
            <w:pPr>
              <w:rPr>
                <w:rFonts w:ascii="Arial" w:hAnsi="Arial" w:cs="Arial"/>
                <w:b/>
                <w:bCs/>
                <w:sz w:val="22"/>
                <w:szCs w:val="22"/>
                <w:u w:val="single"/>
              </w:rPr>
            </w:pPr>
          </w:p>
          <w:p w14:paraId="55FCFB00" w14:textId="3967EA02" w:rsidR="001C2C8C" w:rsidRPr="003978DD" w:rsidRDefault="001C2C8C" w:rsidP="00994CDE">
            <w:pPr>
              <w:rPr>
                <w:rFonts w:ascii="Arial" w:hAnsi="Arial" w:cs="Arial"/>
                <w:sz w:val="22"/>
                <w:szCs w:val="22"/>
              </w:rPr>
            </w:pPr>
            <w:r w:rsidRPr="003978DD">
              <w:rPr>
                <w:rFonts w:ascii="Arial" w:hAnsi="Arial" w:cs="Arial"/>
                <w:sz w:val="22"/>
                <w:szCs w:val="22"/>
              </w:rPr>
              <w:t>Transition Products – (CM/PHG/22/56</w:t>
            </w:r>
            <w:r w:rsidR="008058F7">
              <w:rPr>
                <w:rFonts w:ascii="Arial" w:hAnsi="Arial" w:cs="Arial"/>
                <w:sz w:val="22"/>
                <w:szCs w:val="22"/>
              </w:rPr>
              <w:t>94</w:t>
            </w:r>
            <w:r>
              <w:rPr>
                <w:rFonts w:ascii="Arial" w:hAnsi="Arial" w:cs="Arial"/>
                <w:sz w:val="22"/>
                <w:szCs w:val="22"/>
              </w:rPr>
              <w:t>/00</w:t>
            </w:r>
            <w:r w:rsidRPr="003978DD">
              <w:rPr>
                <w:rFonts w:ascii="Arial" w:hAnsi="Arial" w:cs="Arial"/>
                <w:sz w:val="22"/>
                <w:szCs w:val="22"/>
              </w:rPr>
              <w:t>)</w:t>
            </w:r>
          </w:p>
        </w:tc>
        <w:tc>
          <w:tcPr>
            <w:tcW w:w="4214" w:type="dxa"/>
            <w:tcBorders>
              <w:top w:val="single" w:sz="4" w:space="0" w:color="auto"/>
              <w:left w:val="single" w:sz="4" w:space="0" w:color="auto"/>
              <w:bottom w:val="single" w:sz="4" w:space="0" w:color="auto"/>
              <w:right w:val="single" w:sz="4" w:space="0" w:color="auto"/>
            </w:tcBorders>
            <w:vAlign w:val="center"/>
            <w:hideMark/>
          </w:tcPr>
          <w:p w14:paraId="65360D55" w14:textId="77777777" w:rsidR="001C2C8C" w:rsidRPr="00E95CDF" w:rsidRDefault="001C2C8C" w:rsidP="00994CDE">
            <w:pPr>
              <w:rPr>
                <w:rFonts w:ascii="Arial" w:hAnsi="Arial" w:cs="Arial"/>
                <w:sz w:val="22"/>
                <w:szCs w:val="22"/>
              </w:rPr>
            </w:pPr>
            <w:r w:rsidRPr="00E95CDF">
              <w:rPr>
                <w:rFonts w:ascii="Arial" w:hAnsi="Arial" w:cs="Arial"/>
                <w:sz w:val="22"/>
                <w:szCs w:val="22"/>
              </w:rPr>
              <w:t>CESW</w:t>
            </w:r>
          </w:p>
        </w:tc>
      </w:tr>
      <w:tr w:rsidR="001C2C8C" w:rsidRPr="0069218A" w14:paraId="4FF9B66F" w14:textId="77777777" w:rsidTr="00994CDE">
        <w:trPr>
          <w:trHeight w:val="340"/>
        </w:trPr>
        <w:tc>
          <w:tcPr>
            <w:tcW w:w="4901" w:type="dxa"/>
            <w:tcBorders>
              <w:top w:val="single" w:sz="4" w:space="0" w:color="auto"/>
              <w:left w:val="single" w:sz="4" w:space="0" w:color="auto"/>
              <w:bottom w:val="single" w:sz="4" w:space="0" w:color="auto"/>
              <w:right w:val="single" w:sz="4" w:space="0" w:color="auto"/>
            </w:tcBorders>
            <w:vAlign w:val="center"/>
          </w:tcPr>
          <w:p w14:paraId="55B20A1F" w14:textId="4B0969A3" w:rsidR="001C2C8C" w:rsidRPr="003978DD" w:rsidRDefault="001C2C8C" w:rsidP="00994CDE">
            <w:pPr>
              <w:rPr>
                <w:rFonts w:ascii="Arial" w:hAnsi="Arial" w:cs="Arial"/>
                <w:b/>
                <w:bCs/>
                <w:sz w:val="22"/>
                <w:szCs w:val="22"/>
                <w:u w:val="single"/>
              </w:rPr>
            </w:pPr>
          </w:p>
          <w:p w14:paraId="2A3B2BF8" w14:textId="4188D533" w:rsidR="001C2C8C" w:rsidRPr="003978DD" w:rsidRDefault="001C2C8C" w:rsidP="00994CDE">
            <w:pPr>
              <w:rPr>
                <w:rFonts w:ascii="Arial" w:hAnsi="Arial" w:cs="Arial"/>
                <w:sz w:val="22"/>
                <w:szCs w:val="22"/>
              </w:rPr>
            </w:pPr>
            <w:r w:rsidRPr="003978DD">
              <w:rPr>
                <w:rFonts w:ascii="Arial" w:hAnsi="Arial" w:cs="Arial"/>
                <w:sz w:val="22"/>
                <w:szCs w:val="22"/>
              </w:rPr>
              <w:t>Transition Products – (CM/PHG/22/56</w:t>
            </w:r>
            <w:r w:rsidR="008058F7">
              <w:rPr>
                <w:rFonts w:ascii="Arial" w:hAnsi="Arial" w:cs="Arial"/>
                <w:sz w:val="22"/>
                <w:szCs w:val="22"/>
              </w:rPr>
              <w:t>94</w:t>
            </w:r>
            <w:r>
              <w:rPr>
                <w:rFonts w:ascii="Arial" w:hAnsi="Arial" w:cs="Arial"/>
                <w:sz w:val="22"/>
                <w:szCs w:val="22"/>
              </w:rPr>
              <w:t>/00</w:t>
            </w:r>
            <w:r w:rsidRPr="003978DD">
              <w:rPr>
                <w:rFonts w:ascii="Arial" w:hAnsi="Arial" w:cs="Arial"/>
                <w:sz w:val="22"/>
                <w:szCs w:val="22"/>
              </w:rPr>
              <w:t>)</w:t>
            </w:r>
          </w:p>
        </w:tc>
        <w:tc>
          <w:tcPr>
            <w:tcW w:w="4214" w:type="dxa"/>
            <w:tcBorders>
              <w:top w:val="single" w:sz="4" w:space="0" w:color="auto"/>
              <w:left w:val="single" w:sz="4" w:space="0" w:color="auto"/>
              <w:bottom w:val="single" w:sz="4" w:space="0" w:color="auto"/>
              <w:right w:val="single" w:sz="4" w:space="0" w:color="auto"/>
            </w:tcBorders>
            <w:vAlign w:val="center"/>
          </w:tcPr>
          <w:p w14:paraId="3B12815E" w14:textId="77777777" w:rsidR="001C2C8C" w:rsidRPr="00E95CDF" w:rsidRDefault="001C2C8C" w:rsidP="00994CDE">
            <w:pPr>
              <w:rPr>
                <w:rFonts w:ascii="Arial" w:hAnsi="Arial" w:cs="Arial"/>
                <w:sz w:val="22"/>
                <w:szCs w:val="22"/>
              </w:rPr>
            </w:pPr>
            <w:r w:rsidRPr="00E95CDF">
              <w:rPr>
                <w:rFonts w:ascii="Arial" w:hAnsi="Arial" w:cs="Arial"/>
                <w:sz w:val="22"/>
                <w:szCs w:val="22"/>
              </w:rPr>
              <w:t>LSNE</w:t>
            </w:r>
          </w:p>
        </w:tc>
      </w:tr>
      <w:tr w:rsidR="001C2C8C" w:rsidRPr="0069218A" w14:paraId="77C13A2E" w14:textId="77777777" w:rsidTr="00994CDE">
        <w:trPr>
          <w:trHeight w:val="405"/>
        </w:trPr>
        <w:tc>
          <w:tcPr>
            <w:tcW w:w="4901" w:type="dxa"/>
            <w:tcBorders>
              <w:top w:val="single" w:sz="4" w:space="0" w:color="auto"/>
              <w:left w:val="single" w:sz="4" w:space="0" w:color="auto"/>
              <w:bottom w:val="single" w:sz="4" w:space="0" w:color="auto"/>
              <w:right w:val="single" w:sz="4" w:space="0" w:color="auto"/>
            </w:tcBorders>
            <w:vAlign w:val="center"/>
            <w:hideMark/>
          </w:tcPr>
          <w:p w14:paraId="39D89E83" w14:textId="2248C2D3" w:rsidR="001C2C8C" w:rsidRPr="003978DD" w:rsidRDefault="001C2C8C" w:rsidP="00994CDE">
            <w:pPr>
              <w:rPr>
                <w:rFonts w:ascii="Arial" w:hAnsi="Arial" w:cs="Arial"/>
                <w:b/>
                <w:bCs/>
                <w:sz w:val="22"/>
                <w:szCs w:val="22"/>
                <w:u w:val="single"/>
              </w:rPr>
            </w:pPr>
          </w:p>
          <w:p w14:paraId="4645C76E" w14:textId="407C1027" w:rsidR="001C2C8C" w:rsidRPr="003978DD" w:rsidRDefault="001C2C8C" w:rsidP="00994CDE">
            <w:pPr>
              <w:rPr>
                <w:rFonts w:ascii="Arial" w:hAnsi="Arial" w:cs="Arial"/>
                <w:sz w:val="22"/>
                <w:szCs w:val="22"/>
              </w:rPr>
            </w:pPr>
            <w:r w:rsidRPr="003978DD">
              <w:rPr>
                <w:rFonts w:ascii="Arial" w:hAnsi="Arial" w:cs="Arial"/>
                <w:sz w:val="22"/>
                <w:szCs w:val="22"/>
              </w:rPr>
              <w:t>Transition Products – (CM/PHG/22/56</w:t>
            </w:r>
            <w:r w:rsidR="008058F7">
              <w:rPr>
                <w:rFonts w:ascii="Arial" w:hAnsi="Arial" w:cs="Arial"/>
                <w:sz w:val="22"/>
                <w:szCs w:val="22"/>
              </w:rPr>
              <w:t>94</w:t>
            </w:r>
            <w:r>
              <w:rPr>
                <w:rFonts w:ascii="Arial" w:hAnsi="Arial" w:cs="Arial"/>
                <w:sz w:val="22"/>
                <w:szCs w:val="22"/>
              </w:rPr>
              <w:t>/00</w:t>
            </w:r>
            <w:r w:rsidRPr="003978DD">
              <w:rPr>
                <w:rFonts w:ascii="Arial" w:hAnsi="Arial" w:cs="Arial"/>
                <w:sz w:val="22"/>
                <w:szCs w:val="22"/>
              </w:rPr>
              <w:t>)</w:t>
            </w:r>
          </w:p>
        </w:tc>
        <w:tc>
          <w:tcPr>
            <w:tcW w:w="4214" w:type="dxa"/>
            <w:tcBorders>
              <w:top w:val="single" w:sz="4" w:space="0" w:color="auto"/>
              <w:left w:val="single" w:sz="4" w:space="0" w:color="auto"/>
              <w:bottom w:val="single" w:sz="4" w:space="0" w:color="auto"/>
              <w:right w:val="single" w:sz="4" w:space="0" w:color="auto"/>
            </w:tcBorders>
            <w:vAlign w:val="center"/>
            <w:hideMark/>
          </w:tcPr>
          <w:p w14:paraId="7E009781" w14:textId="77777777" w:rsidR="001C2C8C" w:rsidRPr="00E95CDF" w:rsidRDefault="001C2C8C" w:rsidP="00994CDE">
            <w:pPr>
              <w:rPr>
                <w:rFonts w:ascii="Arial" w:hAnsi="Arial" w:cs="Arial"/>
                <w:sz w:val="22"/>
                <w:szCs w:val="22"/>
              </w:rPr>
            </w:pPr>
            <w:r w:rsidRPr="00E95CDF">
              <w:rPr>
                <w:rFonts w:ascii="Arial" w:hAnsi="Arial" w:cs="Arial"/>
                <w:sz w:val="22"/>
                <w:szCs w:val="22"/>
              </w:rPr>
              <w:t>NWLN</w:t>
            </w:r>
          </w:p>
        </w:tc>
      </w:tr>
    </w:tbl>
    <w:p w14:paraId="1CC180EC" w14:textId="467BAD29" w:rsidR="001C2C8C" w:rsidRDefault="001C2C8C" w:rsidP="00C526D6">
      <w:pPr>
        <w:ind w:left="567" w:hanging="567"/>
        <w:jc w:val="both"/>
        <w:rPr>
          <w:rFonts w:ascii="Arial" w:hAnsi="Arial" w:cs="Arial"/>
          <w:b/>
          <w:sz w:val="22"/>
          <w:szCs w:val="22"/>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4214"/>
      </w:tblGrid>
      <w:tr w:rsidR="00C526D6" w:rsidRPr="00E11E4C" w14:paraId="11DC9968" w14:textId="77777777" w:rsidTr="00F1105A">
        <w:trPr>
          <w:trHeight w:val="397"/>
          <w:tblHeader/>
        </w:trPr>
        <w:tc>
          <w:tcPr>
            <w:tcW w:w="4901" w:type="dxa"/>
            <w:tcBorders>
              <w:top w:val="single" w:sz="4" w:space="0" w:color="auto"/>
              <w:left w:val="single" w:sz="4" w:space="0" w:color="auto"/>
              <w:bottom w:val="single" w:sz="4" w:space="0" w:color="auto"/>
              <w:right w:val="single" w:sz="4" w:space="0" w:color="auto"/>
            </w:tcBorders>
            <w:shd w:val="pct12" w:color="auto" w:fill="auto"/>
            <w:vAlign w:val="center"/>
          </w:tcPr>
          <w:p w14:paraId="301D5406" w14:textId="72F34EA5" w:rsidR="00C526D6" w:rsidRPr="00E11E4C" w:rsidRDefault="00C526D6" w:rsidP="00BC0663">
            <w:pPr>
              <w:jc w:val="both"/>
              <w:rPr>
                <w:rFonts w:ascii="Arial" w:hAnsi="Arial" w:cs="Arial"/>
                <w:b/>
                <w:sz w:val="22"/>
                <w:szCs w:val="22"/>
              </w:rPr>
            </w:pPr>
            <w:r w:rsidRPr="00E11E4C">
              <w:rPr>
                <w:rFonts w:ascii="Arial" w:hAnsi="Arial" w:cs="Arial"/>
                <w:b/>
                <w:sz w:val="22"/>
                <w:szCs w:val="22"/>
              </w:rPr>
              <w:t>LOT</w:t>
            </w:r>
            <w:r w:rsidR="00C703CF">
              <w:rPr>
                <w:rFonts w:ascii="Arial" w:hAnsi="Arial" w:cs="Arial"/>
                <w:b/>
                <w:sz w:val="22"/>
                <w:szCs w:val="22"/>
              </w:rPr>
              <w:t xml:space="preserve"> 2</w:t>
            </w:r>
          </w:p>
        </w:tc>
        <w:tc>
          <w:tcPr>
            <w:tcW w:w="4214"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02D387A" w14:textId="0DCB9102" w:rsidR="00C526D6" w:rsidRPr="00E11E4C" w:rsidRDefault="00F1105A" w:rsidP="00BC0663">
            <w:pPr>
              <w:jc w:val="both"/>
              <w:rPr>
                <w:rFonts w:ascii="Arial" w:hAnsi="Arial" w:cs="Arial"/>
                <w:b/>
                <w:sz w:val="22"/>
                <w:szCs w:val="22"/>
              </w:rPr>
            </w:pPr>
            <w:r w:rsidRPr="00E11E4C">
              <w:rPr>
                <w:rFonts w:ascii="Arial" w:hAnsi="Arial" w:cs="Arial"/>
                <w:b/>
                <w:sz w:val="22"/>
                <w:szCs w:val="22"/>
              </w:rPr>
              <w:t>REGION</w:t>
            </w:r>
          </w:p>
        </w:tc>
      </w:tr>
      <w:tr w:rsidR="00C526D6" w:rsidRPr="004C6846" w14:paraId="2DB646A9" w14:textId="77777777" w:rsidTr="00F1105A">
        <w:trPr>
          <w:trHeight w:val="340"/>
        </w:trPr>
        <w:tc>
          <w:tcPr>
            <w:tcW w:w="4901" w:type="dxa"/>
            <w:tcBorders>
              <w:top w:val="single" w:sz="4" w:space="0" w:color="auto"/>
              <w:left w:val="single" w:sz="4" w:space="0" w:color="auto"/>
              <w:bottom w:val="single" w:sz="4" w:space="0" w:color="auto"/>
              <w:right w:val="single" w:sz="4" w:space="0" w:color="auto"/>
            </w:tcBorders>
            <w:vAlign w:val="center"/>
          </w:tcPr>
          <w:p w14:paraId="66F8293E" w14:textId="36DBABE6" w:rsidR="00F1105A" w:rsidRPr="00E11E4C" w:rsidRDefault="00F1105A" w:rsidP="00F1105A">
            <w:pPr>
              <w:rPr>
                <w:rFonts w:ascii="Arial" w:hAnsi="Arial" w:cs="Arial"/>
                <w:b/>
                <w:bCs/>
                <w:sz w:val="22"/>
                <w:szCs w:val="22"/>
                <w:u w:val="single"/>
              </w:rPr>
            </w:pPr>
          </w:p>
          <w:p w14:paraId="62A93A4C" w14:textId="0BE6ECC8" w:rsidR="00F1105A" w:rsidRPr="00E11E4C" w:rsidRDefault="00F1105A" w:rsidP="00EE3013">
            <w:pPr>
              <w:rPr>
                <w:rFonts w:ascii="Arial" w:hAnsi="Arial" w:cs="Arial"/>
                <w:sz w:val="22"/>
                <w:szCs w:val="22"/>
              </w:rPr>
            </w:pPr>
            <w:r w:rsidRPr="00E11E4C">
              <w:rPr>
                <w:rFonts w:ascii="Arial" w:hAnsi="Arial" w:cs="Arial"/>
                <w:sz w:val="22"/>
                <w:szCs w:val="22"/>
              </w:rPr>
              <w:t>Transition Products – (CM/PHG/</w:t>
            </w:r>
            <w:r w:rsidR="00C06FEB" w:rsidRPr="00E11E4C">
              <w:rPr>
                <w:rFonts w:ascii="Arial" w:hAnsi="Arial" w:cs="Arial"/>
                <w:sz w:val="22"/>
                <w:szCs w:val="22"/>
              </w:rPr>
              <w:t>22</w:t>
            </w:r>
            <w:r w:rsidRPr="00E11E4C">
              <w:rPr>
                <w:rFonts w:ascii="Arial" w:hAnsi="Arial" w:cs="Arial"/>
                <w:sz w:val="22"/>
                <w:szCs w:val="22"/>
              </w:rPr>
              <w:t>/5</w:t>
            </w:r>
            <w:r w:rsidR="00920654" w:rsidRPr="00E11E4C">
              <w:rPr>
                <w:rFonts w:ascii="Arial" w:hAnsi="Arial" w:cs="Arial"/>
                <w:sz w:val="22"/>
                <w:szCs w:val="22"/>
              </w:rPr>
              <w:t>6</w:t>
            </w:r>
            <w:r w:rsidR="00E11E4C" w:rsidRPr="00E11E4C">
              <w:rPr>
                <w:rFonts w:ascii="Arial" w:hAnsi="Arial" w:cs="Arial"/>
                <w:sz w:val="22"/>
                <w:szCs w:val="22"/>
              </w:rPr>
              <w:t>94</w:t>
            </w:r>
            <w:r w:rsidRPr="00E11E4C">
              <w:rPr>
                <w:rFonts w:ascii="Arial" w:hAnsi="Arial" w:cs="Arial"/>
                <w:sz w:val="22"/>
                <w:szCs w:val="22"/>
              </w:rPr>
              <w:t>/0</w:t>
            </w:r>
            <w:r w:rsidR="00E11E4C" w:rsidRPr="00E11E4C">
              <w:rPr>
                <w:rFonts w:ascii="Arial" w:hAnsi="Arial" w:cs="Arial"/>
                <w:sz w:val="22"/>
                <w:szCs w:val="22"/>
              </w:rPr>
              <w:t>1</w:t>
            </w:r>
            <w:r w:rsidRPr="00E11E4C">
              <w:rPr>
                <w:rFonts w:ascii="Arial" w:hAnsi="Arial" w:cs="Arial"/>
                <w:sz w:val="22"/>
                <w:szCs w:val="22"/>
              </w:rPr>
              <w:t>)</w:t>
            </w:r>
          </w:p>
          <w:p w14:paraId="68195A0A" w14:textId="112E719E" w:rsidR="00C526D6" w:rsidRPr="00E11E4C" w:rsidRDefault="00C526D6" w:rsidP="00BC0663">
            <w:pPr>
              <w:rPr>
                <w:rFonts w:ascii="Arial" w:hAnsi="Arial" w:cs="Arial"/>
                <w:sz w:val="22"/>
                <w:szCs w:val="22"/>
              </w:rPr>
            </w:pPr>
          </w:p>
        </w:tc>
        <w:tc>
          <w:tcPr>
            <w:tcW w:w="4214" w:type="dxa"/>
            <w:tcBorders>
              <w:top w:val="single" w:sz="4" w:space="0" w:color="auto"/>
              <w:left w:val="single" w:sz="4" w:space="0" w:color="auto"/>
              <w:bottom w:val="single" w:sz="4" w:space="0" w:color="auto"/>
              <w:right w:val="single" w:sz="4" w:space="0" w:color="auto"/>
            </w:tcBorders>
            <w:vAlign w:val="center"/>
          </w:tcPr>
          <w:p w14:paraId="2FA024F3" w14:textId="62A19E45" w:rsidR="00C526D6" w:rsidRPr="00E11E4C" w:rsidRDefault="00F30BEA" w:rsidP="00BC0663">
            <w:pPr>
              <w:rPr>
                <w:rFonts w:ascii="Arial" w:hAnsi="Arial" w:cs="Arial"/>
                <w:sz w:val="22"/>
                <w:szCs w:val="22"/>
              </w:rPr>
            </w:pPr>
            <w:r w:rsidRPr="00E11E4C">
              <w:rPr>
                <w:rFonts w:ascii="Arial" w:hAnsi="Arial" w:cs="Arial"/>
                <w:sz w:val="22"/>
                <w:szCs w:val="22"/>
              </w:rPr>
              <w:t>LSNE</w:t>
            </w:r>
          </w:p>
        </w:tc>
      </w:tr>
      <w:tr w:rsidR="00E90394" w:rsidRPr="004C6846" w14:paraId="6E697E33" w14:textId="77777777" w:rsidTr="00F1105A">
        <w:trPr>
          <w:trHeight w:val="340"/>
        </w:trPr>
        <w:tc>
          <w:tcPr>
            <w:tcW w:w="4901" w:type="dxa"/>
            <w:tcBorders>
              <w:top w:val="single" w:sz="4" w:space="0" w:color="auto"/>
              <w:left w:val="single" w:sz="4" w:space="0" w:color="auto"/>
              <w:bottom w:val="single" w:sz="4" w:space="0" w:color="auto"/>
              <w:right w:val="single" w:sz="4" w:space="0" w:color="auto"/>
            </w:tcBorders>
            <w:vAlign w:val="center"/>
          </w:tcPr>
          <w:p w14:paraId="601A6AD9" w14:textId="6AC2875C" w:rsidR="00E90394" w:rsidRPr="00E11E4C" w:rsidRDefault="00E90394" w:rsidP="00E90394">
            <w:pPr>
              <w:rPr>
                <w:rFonts w:ascii="Arial" w:hAnsi="Arial" w:cs="Arial"/>
                <w:b/>
                <w:bCs/>
                <w:sz w:val="22"/>
                <w:szCs w:val="22"/>
                <w:u w:val="single"/>
              </w:rPr>
            </w:pPr>
          </w:p>
          <w:p w14:paraId="7081E983" w14:textId="77777777" w:rsidR="00E90394" w:rsidRPr="00E11E4C" w:rsidRDefault="00E90394" w:rsidP="00E90394">
            <w:pPr>
              <w:rPr>
                <w:rFonts w:ascii="Arial" w:hAnsi="Arial" w:cs="Arial"/>
                <w:sz w:val="22"/>
                <w:szCs w:val="22"/>
              </w:rPr>
            </w:pPr>
            <w:r w:rsidRPr="00E11E4C">
              <w:rPr>
                <w:rFonts w:ascii="Arial" w:hAnsi="Arial" w:cs="Arial"/>
                <w:sz w:val="22"/>
                <w:szCs w:val="22"/>
              </w:rPr>
              <w:t>Transition Products – (CM/PHG/22/5694/01)</w:t>
            </w:r>
          </w:p>
          <w:p w14:paraId="7FDB429F" w14:textId="77777777" w:rsidR="00E90394" w:rsidRPr="00E11E4C" w:rsidRDefault="00E90394" w:rsidP="00F1105A">
            <w:pPr>
              <w:rPr>
                <w:rFonts w:ascii="Arial" w:hAnsi="Arial" w:cs="Arial"/>
                <w:b/>
                <w:bCs/>
                <w:sz w:val="22"/>
                <w:szCs w:val="22"/>
                <w:u w:val="single"/>
              </w:rPr>
            </w:pPr>
          </w:p>
        </w:tc>
        <w:tc>
          <w:tcPr>
            <w:tcW w:w="4214" w:type="dxa"/>
            <w:tcBorders>
              <w:top w:val="single" w:sz="4" w:space="0" w:color="auto"/>
              <w:left w:val="single" w:sz="4" w:space="0" w:color="auto"/>
              <w:bottom w:val="single" w:sz="4" w:space="0" w:color="auto"/>
              <w:right w:val="single" w:sz="4" w:space="0" w:color="auto"/>
            </w:tcBorders>
            <w:vAlign w:val="center"/>
          </w:tcPr>
          <w:p w14:paraId="1997C4E6" w14:textId="33FA4B45" w:rsidR="00E90394" w:rsidRPr="00E11E4C" w:rsidRDefault="00E90394" w:rsidP="00BC0663">
            <w:pPr>
              <w:rPr>
                <w:rFonts w:ascii="Arial" w:hAnsi="Arial" w:cs="Arial"/>
                <w:sz w:val="22"/>
                <w:szCs w:val="22"/>
              </w:rPr>
            </w:pPr>
            <w:r>
              <w:rPr>
                <w:rFonts w:ascii="Arial" w:hAnsi="Arial" w:cs="Arial"/>
                <w:sz w:val="22"/>
                <w:szCs w:val="22"/>
              </w:rPr>
              <w:t>NWLN</w:t>
            </w:r>
          </w:p>
        </w:tc>
      </w:tr>
    </w:tbl>
    <w:p w14:paraId="08687ED6" w14:textId="77777777" w:rsidR="00F807D5" w:rsidRPr="002D2C4E" w:rsidRDefault="00F807D5" w:rsidP="00C526D6">
      <w:pPr>
        <w:jc w:val="both"/>
        <w:rPr>
          <w:rFonts w:ascii="Arial" w:hAnsi="Arial" w:cs="Arial"/>
          <w:highlight w:val="yellow"/>
        </w:rPr>
      </w:pPr>
    </w:p>
    <w:p w14:paraId="54907F38" w14:textId="48C39965" w:rsidR="00C526D6" w:rsidRPr="002D2C4E" w:rsidRDefault="00C526D6" w:rsidP="002B3D37">
      <w:pPr>
        <w:tabs>
          <w:tab w:val="left" w:pos="567"/>
        </w:tabs>
        <w:ind w:left="720" w:hanging="717"/>
        <w:jc w:val="both"/>
        <w:rPr>
          <w:rFonts w:ascii="Arial" w:hAnsi="Arial" w:cs="Arial"/>
        </w:rPr>
      </w:pPr>
      <w:r w:rsidRPr="002D2C4E">
        <w:rPr>
          <w:rFonts w:ascii="Arial" w:hAnsi="Arial" w:cs="Arial"/>
        </w:rPr>
        <w:t>8.4</w:t>
      </w:r>
      <w:r w:rsidRPr="002D2C4E">
        <w:rPr>
          <w:rFonts w:ascii="Arial" w:hAnsi="Arial" w:cs="Arial"/>
        </w:rPr>
        <w:tab/>
      </w:r>
      <w:r w:rsidR="002B3D37" w:rsidRPr="002D2C4E">
        <w:rPr>
          <w:rFonts w:ascii="Arial" w:hAnsi="Arial" w:cs="Arial"/>
        </w:rPr>
        <w:tab/>
      </w:r>
      <w:r w:rsidRPr="002D2C4E">
        <w:rPr>
          <w:rFonts w:ascii="Arial" w:hAnsi="Arial" w:cs="Arial"/>
        </w:rPr>
        <w:t xml:space="preserve">The composition of each Region </w:t>
      </w:r>
      <w:r w:rsidR="00BA1CB6" w:rsidRPr="00BA1CB6">
        <w:rPr>
          <w:rFonts w:ascii="Arial" w:hAnsi="Arial" w:cs="Arial"/>
        </w:rPr>
        <w:t xml:space="preserve">(and therefore the potential range of Participating Authorities in each Lot) </w:t>
      </w:r>
      <w:r w:rsidRPr="002D2C4E">
        <w:rPr>
          <w:rFonts w:ascii="Arial" w:hAnsi="Arial" w:cs="Arial"/>
        </w:rPr>
        <w:t>is described in more detail in Schedule 8 (Participating Authorities)) of Document No. 03 (Framework Agreement and Terms and Conditions)</w:t>
      </w:r>
      <w:r w:rsidR="003F6CC6" w:rsidRPr="002D2C4E">
        <w:rPr>
          <w:rFonts w:ascii="Arial" w:hAnsi="Arial" w:cs="Arial"/>
        </w:rPr>
        <w:t>.</w:t>
      </w:r>
    </w:p>
    <w:p w14:paraId="466D75DD" w14:textId="77777777" w:rsidR="00C526D6" w:rsidRPr="00F1105A" w:rsidRDefault="00C526D6" w:rsidP="00C526D6">
      <w:pPr>
        <w:jc w:val="both"/>
        <w:rPr>
          <w:rFonts w:ascii="Arial" w:hAnsi="Arial" w:cs="Arial"/>
        </w:rPr>
      </w:pPr>
    </w:p>
    <w:p w14:paraId="704F760D" w14:textId="420F6985" w:rsidR="00C526D6" w:rsidRPr="000E022B" w:rsidRDefault="00C526D6" w:rsidP="002B3D37">
      <w:pPr>
        <w:ind w:left="720" w:hanging="720"/>
        <w:jc w:val="both"/>
        <w:rPr>
          <w:rFonts w:ascii="Arial" w:hAnsi="Arial" w:cs="Arial"/>
          <w:color w:val="FF0000"/>
        </w:rPr>
      </w:pPr>
      <w:r w:rsidRPr="00F1105A">
        <w:rPr>
          <w:rFonts w:ascii="Arial" w:hAnsi="Arial" w:cs="Arial"/>
        </w:rPr>
        <w:t>8.5</w:t>
      </w:r>
      <w:r w:rsidRPr="00F1105A">
        <w:rPr>
          <w:rFonts w:ascii="Arial" w:hAnsi="Arial" w:cs="Arial"/>
        </w:rPr>
        <w:tab/>
        <w:t>A detailed description of the goods and/or services that an Offeror will be required to supply for a Lot in which it has been successful is set out in the offer schedules and the Specification (Document No. 04</w:t>
      </w:r>
      <w:r w:rsidRPr="00072579">
        <w:rPr>
          <w:rFonts w:ascii="Arial" w:hAnsi="Arial" w:cs="Arial"/>
        </w:rPr>
        <w:t>)</w:t>
      </w:r>
      <w:r w:rsidR="00C4043A" w:rsidRPr="00072579">
        <w:rPr>
          <w:rFonts w:ascii="Arial" w:hAnsi="Arial" w:cs="Arial"/>
        </w:rPr>
        <w:t xml:space="preserve"> including</w:t>
      </w:r>
      <w:r w:rsidR="00EE300F" w:rsidRPr="00072579">
        <w:rPr>
          <w:rFonts w:ascii="Arial" w:hAnsi="Arial" w:cs="Arial"/>
        </w:rPr>
        <w:t>,</w:t>
      </w:r>
      <w:r w:rsidR="00C4043A" w:rsidRPr="00072579">
        <w:rPr>
          <w:rFonts w:ascii="Arial" w:hAnsi="Arial" w:cs="Arial"/>
        </w:rPr>
        <w:t xml:space="preserve"> </w:t>
      </w:r>
      <w:r w:rsidR="00BF71A2" w:rsidRPr="00072579">
        <w:rPr>
          <w:rFonts w:ascii="Arial" w:hAnsi="Arial" w:cs="Arial"/>
        </w:rPr>
        <w:t>but not limited to</w:t>
      </w:r>
      <w:r w:rsidR="00EE300F" w:rsidRPr="00072579">
        <w:rPr>
          <w:rFonts w:ascii="Arial" w:hAnsi="Arial" w:cs="Arial"/>
        </w:rPr>
        <w:t>,</w:t>
      </w:r>
      <w:r w:rsidR="00BF71A2" w:rsidRPr="00072579">
        <w:rPr>
          <w:rFonts w:ascii="Arial" w:hAnsi="Arial" w:cs="Arial"/>
        </w:rPr>
        <w:t xml:space="preserve"> </w:t>
      </w:r>
      <w:r w:rsidR="000E022B" w:rsidRPr="00072579">
        <w:rPr>
          <w:rFonts w:ascii="Arial" w:hAnsi="Arial" w:cs="Arial"/>
        </w:rPr>
        <w:t>Document No. 04 – Contract Technical Specification Appendix 2</w:t>
      </w:r>
      <w:r w:rsidR="00072579" w:rsidRPr="00072579">
        <w:rPr>
          <w:rFonts w:ascii="Arial" w:hAnsi="Arial" w:cs="Arial"/>
        </w:rPr>
        <w:t>.</w:t>
      </w:r>
    </w:p>
    <w:p w14:paraId="3370B79A" w14:textId="77777777" w:rsidR="00C526D6" w:rsidRPr="00F1105A" w:rsidRDefault="00C526D6" w:rsidP="00C526D6">
      <w:pPr>
        <w:ind w:left="720" w:hanging="851"/>
        <w:jc w:val="both"/>
        <w:rPr>
          <w:rFonts w:ascii="Arial" w:hAnsi="Arial" w:cs="Arial"/>
        </w:rPr>
      </w:pPr>
    </w:p>
    <w:p w14:paraId="0640518F" w14:textId="5B01DCA0" w:rsidR="00C526D6" w:rsidRPr="00F1105A" w:rsidRDefault="00C526D6" w:rsidP="002B3D37">
      <w:pPr>
        <w:ind w:left="720" w:hanging="720"/>
        <w:jc w:val="both"/>
        <w:rPr>
          <w:rFonts w:ascii="Arial" w:hAnsi="Arial" w:cs="Arial"/>
        </w:rPr>
      </w:pPr>
      <w:r w:rsidRPr="00F1105A">
        <w:rPr>
          <w:rFonts w:ascii="Arial" w:hAnsi="Arial" w:cs="Arial"/>
        </w:rPr>
        <w:t>8.</w:t>
      </w:r>
      <w:r w:rsidR="00F1105A" w:rsidRPr="00F1105A">
        <w:rPr>
          <w:rFonts w:ascii="Arial" w:hAnsi="Arial" w:cs="Arial"/>
        </w:rPr>
        <w:t>6</w:t>
      </w:r>
      <w:r w:rsidRPr="00F1105A">
        <w:rPr>
          <w:rFonts w:ascii="Arial" w:hAnsi="Arial" w:cs="Arial"/>
        </w:rPr>
        <w:tab/>
        <w:t xml:space="preserve">Each National Product Code product description listed in the offer schedules, shall be a </w:t>
      </w:r>
      <w:r w:rsidRPr="00F1105A">
        <w:rPr>
          <w:rFonts w:ascii="Arial" w:hAnsi="Arial" w:cs="Arial"/>
          <w:b/>
        </w:rPr>
        <w:t>Product</w:t>
      </w:r>
      <w:r w:rsidRPr="00F1105A">
        <w:rPr>
          <w:rFonts w:ascii="Arial" w:hAnsi="Arial" w:cs="Arial"/>
        </w:rPr>
        <w:t xml:space="preserve"> for the purposes of this Invitation to Offer.</w:t>
      </w:r>
    </w:p>
    <w:p w14:paraId="6C85A0C8" w14:textId="77777777" w:rsidR="00C526D6" w:rsidRPr="00F1105A" w:rsidRDefault="00C526D6" w:rsidP="00C526D6">
      <w:pPr>
        <w:jc w:val="both"/>
        <w:rPr>
          <w:rFonts w:ascii="Arial" w:hAnsi="Arial" w:cs="Arial"/>
        </w:rPr>
      </w:pPr>
    </w:p>
    <w:p w14:paraId="5D75FD95" w14:textId="77777777" w:rsidR="00C526D6" w:rsidRPr="00F1105A" w:rsidRDefault="00C526D6" w:rsidP="00C526D6">
      <w:pPr>
        <w:ind w:left="567" w:hanging="567"/>
        <w:jc w:val="both"/>
        <w:rPr>
          <w:rFonts w:ascii="Arial" w:hAnsi="Arial" w:cs="Arial"/>
        </w:rPr>
      </w:pPr>
      <w:r w:rsidRPr="00F1105A">
        <w:rPr>
          <w:rFonts w:ascii="Arial" w:hAnsi="Arial" w:cs="Arial"/>
        </w:rPr>
        <w:t xml:space="preserve">8.7 </w:t>
      </w:r>
      <w:r w:rsidRPr="00F1105A">
        <w:rPr>
          <w:rFonts w:ascii="Arial" w:hAnsi="Arial" w:cs="Arial"/>
        </w:rPr>
        <w:tab/>
      </w:r>
      <w:r w:rsidR="002B3D37" w:rsidRPr="00F1105A">
        <w:rPr>
          <w:rFonts w:ascii="Arial" w:hAnsi="Arial" w:cs="Arial"/>
        </w:rPr>
        <w:tab/>
      </w:r>
      <w:r w:rsidRPr="00F1105A">
        <w:rPr>
          <w:rFonts w:ascii="Arial" w:hAnsi="Arial" w:cs="Arial"/>
        </w:rPr>
        <w:t>The tender comprises the following offer schedules:</w:t>
      </w:r>
    </w:p>
    <w:p w14:paraId="128E30BF" w14:textId="77777777" w:rsidR="00C526D6" w:rsidRPr="00F1105A" w:rsidRDefault="00C526D6" w:rsidP="00C526D6">
      <w:pPr>
        <w:ind w:left="567" w:hanging="567"/>
        <w:jc w:val="both"/>
        <w:rPr>
          <w:rFonts w:ascii="Arial" w:hAnsi="Arial" w:cs="Arial"/>
        </w:rPr>
      </w:pPr>
    </w:p>
    <w:p w14:paraId="73F0CD46" w14:textId="4382CF7E" w:rsidR="00C526D6" w:rsidRPr="0081775F" w:rsidRDefault="00C526D6" w:rsidP="002B3D37">
      <w:pPr>
        <w:ind w:left="1440" w:hanging="720"/>
        <w:jc w:val="both"/>
        <w:rPr>
          <w:rFonts w:ascii="Arial" w:hAnsi="Arial" w:cs="Arial"/>
          <w:b/>
          <w:highlight w:val="yellow"/>
        </w:rPr>
      </w:pPr>
      <w:r w:rsidRPr="0081775F">
        <w:rPr>
          <w:rFonts w:ascii="Arial" w:hAnsi="Arial" w:cs="Arial"/>
          <w:highlight w:val="yellow"/>
        </w:rPr>
        <w:t>8.7.1</w:t>
      </w:r>
      <w:r w:rsidRPr="0081775F">
        <w:rPr>
          <w:rFonts w:ascii="Arial" w:hAnsi="Arial" w:cs="Arial"/>
          <w:b/>
          <w:highlight w:val="yellow"/>
        </w:rPr>
        <w:tab/>
        <w:t>CM/PHG/</w:t>
      </w:r>
      <w:r w:rsidR="00102F18" w:rsidRPr="0081775F">
        <w:rPr>
          <w:rFonts w:ascii="Arial" w:hAnsi="Arial" w:cs="Arial"/>
          <w:b/>
          <w:highlight w:val="yellow"/>
        </w:rPr>
        <w:t>22</w:t>
      </w:r>
      <w:r w:rsidRPr="0081775F">
        <w:rPr>
          <w:rFonts w:ascii="Arial" w:hAnsi="Arial" w:cs="Arial"/>
          <w:b/>
          <w:highlight w:val="yellow"/>
        </w:rPr>
        <w:t>/5</w:t>
      </w:r>
      <w:r w:rsidR="00920654" w:rsidRPr="0081775F">
        <w:rPr>
          <w:rFonts w:ascii="Arial" w:hAnsi="Arial" w:cs="Arial"/>
          <w:b/>
          <w:highlight w:val="yellow"/>
        </w:rPr>
        <w:t>6</w:t>
      </w:r>
      <w:r w:rsidR="004C6846" w:rsidRPr="0081775F">
        <w:rPr>
          <w:rFonts w:ascii="Arial" w:hAnsi="Arial" w:cs="Arial"/>
          <w:b/>
          <w:highlight w:val="yellow"/>
        </w:rPr>
        <w:t>94</w:t>
      </w:r>
      <w:r w:rsidR="004472C5" w:rsidRPr="0081775F">
        <w:rPr>
          <w:rFonts w:ascii="Arial" w:hAnsi="Arial" w:cs="Arial"/>
          <w:b/>
          <w:highlight w:val="yellow"/>
        </w:rPr>
        <w:t>/00</w:t>
      </w:r>
      <w:r w:rsidRPr="0081775F">
        <w:rPr>
          <w:rFonts w:ascii="Arial" w:hAnsi="Arial" w:cs="Arial"/>
          <w:b/>
          <w:highlight w:val="yellow"/>
        </w:rPr>
        <w:t xml:space="preserve"> (Document No. 05a(</w:t>
      </w:r>
      <w:proofErr w:type="spellStart"/>
      <w:r w:rsidRPr="0081775F">
        <w:rPr>
          <w:rFonts w:ascii="Arial" w:hAnsi="Arial" w:cs="Arial"/>
          <w:b/>
          <w:highlight w:val="yellow"/>
        </w:rPr>
        <w:t>i</w:t>
      </w:r>
      <w:proofErr w:type="spellEnd"/>
      <w:r w:rsidRPr="0081775F">
        <w:rPr>
          <w:rFonts w:ascii="Arial" w:hAnsi="Arial" w:cs="Arial"/>
          <w:b/>
          <w:highlight w:val="yellow"/>
        </w:rPr>
        <w:t xml:space="preserve">)) – NHS National Pharmaceuticals – </w:t>
      </w:r>
      <w:proofErr w:type="spellStart"/>
      <w:r w:rsidR="00E11E4C" w:rsidRPr="0081775F">
        <w:rPr>
          <w:rFonts w:ascii="Arial" w:hAnsi="Arial" w:cs="Arial"/>
          <w:b/>
          <w:highlight w:val="yellow"/>
        </w:rPr>
        <w:t>Dasatinib</w:t>
      </w:r>
      <w:proofErr w:type="spellEnd"/>
      <w:r w:rsidR="00E11E4C" w:rsidRPr="0081775F">
        <w:rPr>
          <w:rFonts w:ascii="Arial" w:hAnsi="Arial" w:cs="Arial"/>
          <w:b/>
          <w:highlight w:val="yellow"/>
        </w:rPr>
        <w:t xml:space="preserve"> and </w:t>
      </w:r>
      <w:r w:rsidR="0081775F" w:rsidRPr="0081775F">
        <w:rPr>
          <w:rFonts w:ascii="Arial" w:hAnsi="Arial" w:cs="Arial"/>
          <w:b/>
          <w:highlight w:val="yellow"/>
        </w:rPr>
        <w:t>CM</w:t>
      </w:r>
      <w:r w:rsidR="004472C5" w:rsidRPr="0081775F">
        <w:rPr>
          <w:rFonts w:ascii="Arial" w:hAnsi="Arial" w:cs="Arial"/>
          <w:b/>
          <w:highlight w:val="yellow"/>
        </w:rPr>
        <w:t>/</w:t>
      </w:r>
      <w:r w:rsidR="0081775F" w:rsidRPr="0081775F">
        <w:rPr>
          <w:rFonts w:ascii="Arial" w:hAnsi="Arial" w:cs="Arial"/>
          <w:b/>
          <w:highlight w:val="yellow"/>
        </w:rPr>
        <w:t>PHG</w:t>
      </w:r>
      <w:r w:rsidR="004472C5" w:rsidRPr="0081775F">
        <w:rPr>
          <w:rFonts w:ascii="Arial" w:hAnsi="Arial" w:cs="Arial"/>
          <w:b/>
          <w:highlight w:val="yellow"/>
        </w:rPr>
        <w:t xml:space="preserve">/22/5694/01 </w:t>
      </w:r>
      <w:r w:rsidR="00E11E4C" w:rsidRPr="0081775F">
        <w:rPr>
          <w:rFonts w:ascii="Arial" w:hAnsi="Arial" w:cs="Arial"/>
          <w:b/>
          <w:highlight w:val="yellow"/>
        </w:rPr>
        <w:t>Paliperidone Injection</w:t>
      </w:r>
      <w:r w:rsidR="004472C5" w:rsidRPr="0081775F">
        <w:rPr>
          <w:rFonts w:ascii="Arial" w:hAnsi="Arial" w:cs="Arial"/>
          <w:b/>
          <w:highlight w:val="yellow"/>
        </w:rPr>
        <w:t xml:space="preserve"> (i</w:t>
      </w:r>
      <w:r w:rsidR="0081775F" w:rsidRPr="0081775F">
        <w:rPr>
          <w:rFonts w:ascii="Arial" w:hAnsi="Arial" w:cs="Arial"/>
          <w:b/>
          <w:highlight w:val="yellow"/>
        </w:rPr>
        <w:t>ii</w:t>
      </w:r>
      <w:r w:rsidR="004472C5" w:rsidRPr="0081775F">
        <w:rPr>
          <w:rFonts w:ascii="Arial" w:hAnsi="Arial" w:cs="Arial"/>
          <w:b/>
          <w:highlight w:val="yellow"/>
        </w:rPr>
        <w:t>)</w:t>
      </w:r>
    </w:p>
    <w:p w14:paraId="77FFF7FA" w14:textId="77777777" w:rsidR="00C526D6" w:rsidRPr="0081775F" w:rsidRDefault="00C526D6" w:rsidP="00C526D6">
      <w:pPr>
        <w:jc w:val="both"/>
        <w:rPr>
          <w:rFonts w:ascii="Arial" w:hAnsi="Arial" w:cs="Arial"/>
          <w:b/>
          <w:highlight w:val="yellow"/>
        </w:rPr>
      </w:pPr>
    </w:p>
    <w:p w14:paraId="31D93446" w14:textId="701474DE" w:rsidR="00C526D6" w:rsidRPr="00D561D8" w:rsidRDefault="00C526D6" w:rsidP="00C526D6">
      <w:pPr>
        <w:ind w:left="1440" w:hanging="22"/>
        <w:jc w:val="both"/>
        <w:rPr>
          <w:rFonts w:ascii="Arial" w:hAnsi="Arial" w:cs="Arial"/>
        </w:rPr>
      </w:pPr>
      <w:r w:rsidRPr="00D561D8">
        <w:rPr>
          <w:rFonts w:ascii="Arial" w:hAnsi="Arial" w:cs="Arial"/>
        </w:rPr>
        <w:t>For each Product comprised in this offer schedule, Document No. 05a(</w:t>
      </w:r>
      <w:proofErr w:type="spellStart"/>
      <w:r w:rsidRPr="00D561D8">
        <w:rPr>
          <w:rFonts w:ascii="Arial" w:hAnsi="Arial" w:cs="Arial"/>
        </w:rPr>
        <w:t>i</w:t>
      </w:r>
      <w:proofErr w:type="spellEnd"/>
      <w:r w:rsidRPr="00D561D8">
        <w:rPr>
          <w:rFonts w:ascii="Arial" w:hAnsi="Arial" w:cs="Arial"/>
        </w:rPr>
        <w:t>) specifies the Lot being tendered in this competition.</w:t>
      </w:r>
    </w:p>
    <w:p w14:paraId="30088A2D" w14:textId="77777777" w:rsidR="00266A51" w:rsidRPr="0081775F" w:rsidRDefault="00266A51" w:rsidP="00C06FEB">
      <w:pPr>
        <w:jc w:val="both"/>
        <w:rPr>
          <w:rFonts w:ascii="Arial" w:hAnsi="Arial" w:cs="Arial"/>
          <w:highlight w:val="yellow"/>
        </w:rPr>
      </w:pPr>
    </w:p>
    <w:p w14:paraId="371C25BF" w14:textId="5605336D" w:rsidR="00C526D6" w:rsidRPr="00D561D8" w:rsidRDefault="00C526D6" w:rsidP="00C526D6">
      <w:pPr>
        <w:ind w:left="1418"/>
        <w:jc w:val="both"/>
        <w:rPr>
          <w:rFonts w:ascii="Arial" w:eastAsia="Calibri" w:hAnsi="Arial" w:cs="Arial"/>
          <w:b/>
          <w:noProof/>
        </w:rPr>
      </w:pPr>
      <w:r w:rsidRPr="00D561D8">
        <w:rPr>
          <w:rFonts w:ascii="Arial" w:hAnsi="Arial" w:cs="Arial"/>
          <w:b/>
        </w:rPr>
        <w:t xml:space="preserve">Please note that this reference to ‘Lot’ in the SELECTT tender tool </w:t>
      </w:r>
      <w:r w:rsidRPr="00D561D8">
        <w:rPr>
          <w:rFonts w:ascii="Arial" w:hAnsi="Arial" w:cs="Arial"/>
          <w:b/>
          <w:u w:val="single"/>
        </w:rPr>
        <w:t>does</w:t>
      </w:r>
      <w:r w:rsidRPr="00D561D8">
        <w:rPr>
          <w:rFonts w:ascii="Arial" w:hAnsi="Arial" w:cs="Arial"/>
          <w:b/>
        </w:rPr>
        <w:t xml:space="preserve"> equate to a Lot as defined in Table 1 above.</w:t>
      </w:r>
      <w:r w:rsidRPr="00D561D8">
        <w:rPr>
          <w:rFonts w:ascii="Arial" w:eastAsia="Calibri" w:hAnsi="Arial" w:cs="Arial"/>
          <w:b/>
          <w:noProof/>
        </w:rPr>
        <w:t xml:space="preserve"> </w:t>
      </w:r>
    </w:p>
    <w:p w14:paraId="3B031C87" w14:textId="2B19DE10" w:rsidR="00C06FEB" w:rsidRPr="0081775F" w:rsidRDefault="00C06FEB" w:rsidP="00C526D6">
      <w:pPr>
        <w:ind w:left="1418"/>
        <w:jc w:val="both"/>
        <w:rPr>
          <w:rFonts w:ascii="Arial" w:eastAsia="Calibri" w:hAnsi="Arial" w:cs="Arial"/>
          <w:b/>
          <w:noProof/>
          <w:highlight w:val="yellow"/>
        </w:rPr>
      </w:pPr>
    </w:p>
    <w:p w14:paraId="4C14FFBB" w14:textId="5B183D7D" w:rsidR="00C06FEB" w:rsidRPr="0081775F" w:rsidRDefault="00C06FEB" w:rsidP="00C526D6">
      <w:pPr>
        <w:jc w:val="both"/>
        <w:rPr>
          <w:rFonts w:ascii="Arial" w:hAnsi="Arial" w:cs="Arial"/>
          <w:b/>
          <w:highlight w:val="yellow"/>
        </w:rPr>
      </w:pPr>
    </w:p>
    <w:p w14:paraId="08B16E09" w14:textId="6C2018A2" w:rsidR="00C06FEB" w:rsidRPr="0081775F" w:rsidRDefault="00C06FEB" w:rsidP="00C526D6">
      <w:pPr>
        <w:jc w:val="both"/>
        <w:rPr>
          <w:rFonts w:ascii="Arial" w:hAnsi="Arial" w:cs="Arial"/>
          <w:b/>
          <w:highlight w:val="yellow"/>
        </w:rPr>
      </w:pPr>
    </w:p>
    <w:p w14:paraId="68CAA878" w14:textId="6398776E" w:rsidR="00C06FEB" w:rsidRPr="0081775F" w:rsidRDefault="00C06FEB" w:rsidP="00C526D6">
      <w:pPr>
        <w:jc w:val="both"/>
        <w:rPr>
          <w:rFonts w:ascii="Arial" w:hAnsi="Arial" w:cs="Arial"/>
          <w:b/>
          <w:highlight w:val="yellow"/>
        </w:rPr>
      </w:pPr>
    </w:p>
    <w:p w14:paraId="4AE8C563" w14:textId="1E3B9F0E" w:rsidR="00C06FEB" w:rsidRPr="0081775F" w:rsidRDefault="00C06FEB" w:rsidP="00C526D6">
      <w:pPr>
        <w:jc w:val="both"/>
        <w:rPr>
          <w:rFonts w:ascii="Arial" w:hAnsi="Arial" w:cs="Arial"/>
          <w:b/>
          <w:highlight w:val="yellow"/>
        </w:rPr>
      </w:pPr>
    </w:p>
    <w:p w14:paraId="343CFDF5" w14:textId="6F419EB8" w:rsidR="00C06FEB" w:rsidRPr="0081775F" w:rsidRDefault="00C06FEB" w:rsidP="00C526D6">
      <w:pPr>
        <w:jc w:val="both"/>
        <w:rPr>
          <w:rFonts w:ascii="Arial" w:hAnsi="Arial" w:cs="Arial"/>
          <w:b/>
          <w:highlight w:val="yellow"/>
        </w:rPr>
      </w:pPr>
      <w:r w:rsidRPr="0081775F">
        <w:rPr>
          <w:rFonts w:ascii="Arial" w:hAnsi="Arial" w:cs="Arial"/>
          <w:noProof/>
          <w:highlight w:val="yellow"/>
        </w:rPr>
        <mc:AlternateContent>
          <mc:Choice Requires="wpg">
            <w:drawing>
              <wp:anchor distT="0" distB="0" distL="114300" distR="114300" simplePos="0" relativeHeight="251656192" behindDoc="0" locked="0" layoutInCell="1" allowOverlap="1" wp14:anchorId="1E4C369A" wp14:editId="06DD2F9B">
                <wp:simplePos x="0" y="0"/>
                <wp:positionH relativeFrom="column">
                  <wp:posOffset>2039982</wp:posOffset>
                </wp:positionH>
                <wp:positionV relativeFrom="paragraph">
                  <wp:posOffset>-186265</wp:posOffset>
                </wp:positionV>
                <wp:extent cx="2026285" cy="611505"/>
                <wp:effectExtent l="38100" t="0" r="69215" b="7429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6285" cy="611505"/>
                          <a:chOff x="1" y="-335280"/>
                          <a:chExt cx="2027071" cy="611505"/>
                        </a:xfrm>
                      </wpg:grpSpPr>
                      <wps:wsp>
                        <wps:cNvPr id="11" name="Straight Arrow Connector 11"/>
                        <wps:cNvCnPr/>
                        <wps:spPr>
                          <a:xfrm flipH="1">
                            <a:off x="1" y="-335280"/>
                            <a:ext cx="701092"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701093" y="-335280"/>
                            <a:ext cx="297279"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701093" y="-335280"/>
                            <a:ext cx="1325979" cy="61150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273A25C0" id="Group 2" o:spid="_x0000_s1026" style="position:absolute;margin-left:160.65pt;margin-top:-14.65pt;width:159.55pt;height:48.15pt;z-index:251656192" coordorigin=",-3352" coordsize="2027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">
                <v:shapetype id="_x0000_t32" coordsize="21600,21600" o:spt="32" o:oned="t" path="m,l21600,21600e" filled="f">
                  <v:path arrowok="t" fillok="f" o:connecttype="none"/>
                  <o:lock v:ext="edit" shapetype="t"/>
                </v:shapetype>
                <v:shape id="Straight Arrow Connector 11" o:spid="_x0000_s1027" type="#_x0000_t32" style="position:absolute;top:-3352;width:7010;height:6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7010;top:-3352;width:2973;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7010;top:-3352;width:13260;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p>
    <w:p w14:paraId="2625DA8A" w14:textId="153D9A81" w:rsidR="00C06FEB" w:rsidRPr="0081775F" w:rsidRDefault="00C06FEB" w:rsidP="00C526D6">
      <w:pPr>
        <w:jc w:val="both"/>
        <w:rPr>
          <w:rFonts w:ascii="Arial" w:hAnsi="Arial" w:cs="Arial"/>
          <w:b/>
          <w:highlight w:val="yellow"/>
        </w:rPr>
      </w:pPr>
    </w:p>
    <w:p w14:paraId="775D0D71" w14:textId="77777777" w:rsidR="00C06FEB" w:rsidRPr="0081775F" w:rsidRDefault="00C06FEB" w:rsidP="00C526D6">
      <w:pPr>
        <w:jc w:val="both"/>
        <w:rPr>
          <w:rFonts w:ascii="Arial" w:hAnsi="Arial" w:cs="Arial"/>
          <w:b/>
          <w:highlight w:val="yellow"/>
        </w:rPr>
      </w:pPr>
    </w:p>
    <w:p w14:paraId="7817D0F1" w14:textId="77777777" w:rsidR="00C526D6" w:rsidRPr="0081775F" w:rsidRDefault="00111B8A" w:rsidP="00C526D6">
      <w:pPr>
        <w:ind w:left="1418" w:hanging="851"/>
        <w:jc w:val="both"/>
        <w:rPr>
          <w:rFonts w:ascii="Arial" w:hAnsi="Arial" w:cs="Arial"/>
          <w:highlight w:val="yellow"/>
        </w:rPr>
      </w:pPr>
      <w:r w:rsidRPr="0081775F">
        <w:rPr>
          <w:rFonts w:ascii="Arial" w:hAnsi="Arial" w:cs="Arial"/>
          <w:noProof/>
          <w:highlight w:val="yellow"/>
        </w:rPr>
        <w:drawing>
          <wp:inline distT="0" distB="0" distL="0" distR="0" wp14:anchorId="1EDEEBF6" wp14:editId="690EF1A4">
            <wp:extent cx="632841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8247" t="34888" r="6786" b="30411"/>
                    <a:stretch>
                      <a:fillRect/>
                    </a:stretch>
                  </pic:blipFill>
                  <pic:spPr bwMode="auto">
                    <a:xfrm>
                      <a:off x="0" y="0"/>
                      <a:ext cx="6328410" cy="1428750"/>
                    </a:xfrm>
                    <a:prstGeom prst="rect">
                      <a:avLst/>
                    </a:prstGeom>
                    <a:noFill/>
                    <a:ln>
                      <a:noFill/>
                    </a:ln>
                  </pic:spPr>
                </pic:pic>
              </a:graphicData>
            </a:graphic>
          </wp:inline>
        </w:drawing>
      </w:r>
    </w:p>
    <w:p w14:paraId="44B7A8F5" w14:textId="77777777" w:rsidR="00C526D6" w:rsidRPr="0081775F" w:rsidRDefault="00C526D6" w:rsidP="00C526D6">
      <w:pPr>
        <w:ind w:left="1418" w:hanging="851"/>
        <w:jc w:val="both"/>
        <w:rPr>
          <w:rFonts w:ascii="Arial" w:hAnsi="Arial" w:cs="Arial"/>
          <w:highlight w:val="yellow"/>
        </w:rPr>
      </w:pPr>
    </w:p>
    <w:p w14:paraId="54D99F23" w14:textId="0499A25A" w:rsidR="00C526D6" w:rsidRPr="00D561D8" w:rsidRDefault="00C526D6" w:rsidP="00C526D6">
      <w:pPr>
        <w:ind w:left="1418"/>
        <w:jc w:val="both"/>
        <w:rPr>
          <w:rFonts w:ascii="Arial" w:hAnsi="Arial" w:cs="Arial"/>
          <w:b/>
        </w:rPr>
      </w:pPr>
      <w:r w:rsidRPr="00D561D8">
        <w:rPr>
          <w:rFonts w:ascii="Arial" w:hAnsi="Arial" w:cs="Arial"/>
          <w:b/>
        </w:rPr>
        <w:t xml:space="preserve">In this example each Lot relates to the specific regional buying groups as defined in Table 1 above.  Where offerors are offering for all tendered </w:t>
      </w:r>
      <w:proofErr w:type="gramStart"/>
      <w:r w:rsidRPr="00D561D8">
        <w:rPr>
          <w:rFonts w:ascii="Arial" w:hAnsi="Arial" w:cs="Arial"/>
          <w:b/>
        </w:rPr>
        <w:t>Lots</w:t>
      </w:r>
      <w:proofErr w:type="gramEnd"/>
      <w:r w:rsidRPr="00D561D8">
        <w:rPr>
          <w:rFonts w:ascii="Arial" w:hAnsi="Arial" w:cs="Arial"/>
          <w:b/>
        </w:rPr>
        <w:t xml:space="preserve"> they should insert the price in each of the Lots above. Should a supplier not wish to offer for all tendered Lots but to restrict their offer to a specific Lot(s) then they should insert the price against the specific Lot(s) only. Where a supplier wishes to offer for less than the total number of Lots available but does not wish to be specific about which Lots it wishes to offer for then the supplier should offer the price against all of the Lots on the </w:t>
      </w:r>
      <w:proofErr w:type="spellStart"/>
      <w:r w:rsidR="00F1105A" w:rsidRPr="00D561D8">
        <w:rPr>
          <w:rFonts w:ascii="Arial" w:hAnsi="Arial" w:cs="Arial"/>
          <w:b/>
        </w:rPr>
        <w:t>Selectt</w:t>
      </w:r>
      <w:proofErr w:type="spellEnd"/>
      <w:r w:rsidR="00F1105A" w:rsidRPr="00D561D8">
        <w:rPr>
          <w:rFonts w:ascii="Arial" w:hAnsi="Arial" w:cs="Arial"/>
          <w:b/>
        </w:rPr>
        <w:t xml:space="preserve"> offer schedule</w:t>
      </w:r>
      <w:r w:rsidRPr="00D561D8">
        <w:rPr>
          <w:rFonts w:ascii="Arial" w:hAnsi="Arial" w:cs="Arial"/>
          <w:b/>
        </w:rPr>
        <w:t xml:space="preserve"> and insert the comment “Not Lot specific” in the remarks field, such </w:t>
      </w:r>
      <w:r w:rsidR="00F1105A" w:rsidRPr="00D561D8">
        <w:rPr>
          <w:rFonts w:ascii="Arial" w:hAnsi="Arial" w:cs="Arial"/>
          <w:b/>
        </w:rPr>
        <w:t>offers</w:t>
      </w:r>
      <w:r w:rsidRPr="00D561D8">
        <w:rPr>
          <w:rFonts w:ascii="Arial" w:hAnsi="Arial" w:cs="Arial"/>
          <w:b/>
        </w:rPr>
        <w:t xml:space="preserve"> should additionally be supported by including an explanatory note when the supplier uploads their </w:t>
      </w:r>
      <w:r w:rsidR="00F1105A" w:rsidRPr="00D561D8">
        <w:rPr>
          <w:rFonts w:ascii="Arial" w:hAnsi="Arial" w:cs="Arial"/>
          <w:b/>
        </w:rPr>
        <w:t>offer</w:t>
      </w:r>
      <w:r w:rsidRPr="00D561D8">
        <w:rPr>
          <w:rFonts w:ascii="Arial" w:hAnsi="Arial" w:cs="Arial"/>
          <w:b/>
        </w:rPr>
        <w:t xml:space="preserve">(s).  For the avoidance of doubt any such </w:t>
      </w:r>
      <w:r w:rsidR="00F1105A" w:rsidRPr="00D561D8">
        <w:rPr>
          <w:rFonts w:ascii="Arial" w:hAnsi="Arial" w:cs="Arial"/>
          <w:b/>
        </w:rPr>
        <w:t>o</w:t>
      </w:r>
      <w:r w:rsidRPr="00D561D8">
        <w:rPr>
          <w:rFonts w:ascii="Arial" w:hAnsi="Arial" w:cs="Arial"/>
          <w:b/>
        </w:rPr>
        <w:t xml:space="preserve">ffers will be dealt with as per the Award Criteria and awarded </w:t>
      </w:r>
      <w:proofErr w:type="gramStart"/>
      <w:r w:rsidRPr="00D561D8">
        <w:rPr>
          <w:rFonts w:ascii="Arial" w:hAnsi="Arial" w:cs="Arial"/>
          <w:b/>
        </w:rPr>
        <w:t>on the basis of</w:t>
      </w:r>
      <w:proofErr w:type="gramEnd"/>
      <w:r w:rsidRPr="00D561D8">
        <w:rPr>
          <w:rFonts w:ascii="Arial" w:hAnsi="Arial" w:cs="Arial"/>
          <w:b/>
        </w:rPr>
        <w:t xml:space="preserve"> MEAT, where applicable.   Please refer to Paragraph 8.8 regarding offer prices.</w:t>
      </w:r>
    </w:p>
    <w:p w14:paraId="3BBADD47" w14:textId="77777777" w:rsidR="00C526D6" w:rsidRPr="0081775F" w:rsidRDefault="00C526D6" w:rsidP="00C526D6">
      <w:pPr>
        <w:jc w:val="both"/>
        <w:rPr>
          <w:rFonts w:ascii="Arial" w:hAnsi="Arial" w:cs="Arial"/>
          <w:b/>
          <w:highlight w:val="yellow"/>
        </w:rPr>
      </w:pPr>
    </w:p>
    <w:p w14:paraId="7BB43873" w14:textId="77777777" w:rsidR="00055863" w:rsidRPr="0081775F" w:rsidRDefault="00055863" w:rsidP="002B3D37">
      <w:pPr>
        <w:tabs>
          <w:tab w:val="left" w:pos="709"/>
        </w:tabs>
        <w:ind w:left="708" w:hanging="708"/>
        <w:jc w:val="both"/>
        <w:rPr>
          <w:rFonts w:ascii="Arial" w:hAnsi="Arial" w:cs="Arial"/>
          <w:highlight w:val="yellow"/>
        </w:rPr>
      </w:pPr>
    </w:p>
    <w:p w14:paraId="4BE68931" w14:textId="77777777" w:rsidR="008E6534" w:rsidRPr="00D561D8" w:rsidRDefault="00055863" w:rsidP="008E6534">
      <w:pPr>
        <w:tabs>
          <w:tab w:val="left" w:pos="709"/>
        </w:tabs>
        <w:ind w:left="708" w:hanging="708"/>
        <w:jc w:val="both"/>
        <w:rPr>
          <w:rFonts w:ascii="Arial" w:hAnsi="Arial" w:cs="Arial"/>
          <w:b/>
        </w:rPr>
      </w:pPr>
      <w:r w:rsidRPr="00D561D8">
        <w:rPr>
          <w:rFonts w:ascii="Arial" w:hAnsi="Arial" w:cs="Arial"/>
        </w:rPr>
        <w:t>8.8</w:t>
      </w:r>
      <w:r w:rsidRPr="00D561D8">
        <w:rPr>
          <w:rFonts w:ascii="Arial" w:hAnsi="Arial" w:cs="Arial"/>
        </w:rPr>
        <w:tab/>
      </w:r>
      <w:r w:rsidR="00C526D6" w:rsidRPr="00D561D8">
        <w:rPr>
          <w:rFonts w:ascii="Arial" w:hAnsi="Arial" w:cs="Arial"/>
        </w:rPr>
        <w:t xml:space="preserve">Offerors </w:t>
      </w:r>
      <w:proofErr w:type="gramStart"/>
      <w:r w:rsidR="00C526D6" w:rsidRPr="00D561D8">
        <w:rPr>
          <w:rFonts w:ascii="Arial" w:hAnsi="Arial" w:cs="Arial"/>
        </w:rPr>
        <w:t>have the opportunity to</w:t>
      </w:r>
      <w:proofErr w:type="gramEnd"/>
      <w:r w:rsidR="00C526D6" w:rsidRPr="00D561D8">
        <w:rPr>
          <w:rFonts w:ascii="Arial" w:hAnsi="Arial" w:cs="Arial"/>
        </w:rPr>
        <w:t xml:space="preserve"> bid for all (or any) of the Lots or Regions specified in the offer schedules. </w:t>
      </w:r>
      <w:r w:rsidR="00C526D6" w:rsidRPr="00D561D8">
        <w:rPr>
          <w:rFonts w:ascii="Arial" w:hAnsi="Arial" w:cs="Arial"/>
          <w:b/>
        </w:rPr>
        <w:t xml:space="preserve">Offerors shall only submit </w:t>
      </w:r>
      <w:r w:rsidR="00C526D6" w:rsidRPr="00D561D8">
        <w:rPr>
          <w:rFonts w:ascii="Arial" w:hAnsi="Arial" w:cs="Arial"/>
          <w:b/>
          <w:u w:val="single"/>
        </w:rPr>
        <w:t>one offer price per Product</w:t>
      </w:r>
      <w:r w:rsidR="00C526D6" w:rsidRPr="00D561D8">
        <w:rPr>
          <w:rFonts w:ascii="Arial" w:hAnsi="Arial" w:cs="Arial"/>
          <w:b/>
        </w:rPr>
        <w:t>, irrespective of the number of Lots specified in the offer schedule.</w:t>
      </w:r>
      <w:r w:rsidR="008E6534" w:rsidRPr="00D561D8">
        <w:rPr>
          <w:rFonts w:ascii="Arial" w:hAnsi="Arial" w:cs="Arial"/>
          <w:b/>
        </w:rPr>
        <w:t xml:space="preserve">  </w:t>
      </w:r>
    </w:p>
    <w:p w14:paraId="6629E88D" w14:textId="77777777" w:rsidR="00C526D6" w:rsidRPr="00D561D8" w:rsidRDefault="00C526D6" w:rsidP="00C526D6">
      <w:pPr>
        <w:ind w:left="1418" w:hanging="851"/>
        <w:jc w:val="both"/>
        <w:rPr>
          <w:rFonts w:ascii="Arial" w:hAnsi="Arial" w:cs="Arial"/>
        </w:rPr>
      </w:pPr>
    </w:p>
    <w:p w14:paraId="70CB5B90" w14:textId="77777777" w:rsidR="00C526D6" w:rsidRPr="00D561D8" w:rsidRDefault="00C526D6" w:rsidP="008E6534">
      <w:pPr>
        <w:ind w:left="708" w:hanging="708"/>
        <w:jc w:val="both"/>
        <w:rPr>
          <w:rFonts w:ascii="Arial" w:hAnsi="Arial" w:cs="Arial"/>
        </w:rPr>
      </w:pPr>
      <w:r w:rsidRPr="00D561D8">
        <w:rPr>
          <w:rFonts w:ascii="Arial" w:hAnsi="Arial" w:cs="Arial"/>
        </w:rPr>
        <w:t>8.</w:t>
      </w:r>
      <w:r w:rsidR="008E6534" w:rsidRPr="00D561D8">
        <w:rPr>
          <w:rFonts w:ascii="Arial" w:hAnsi="Arial" w:cs="Arial"/>
        </w:rPr>
        <w:t>9</w:t>
      </w:r>
      <w:r w:rsidRPr="00D561D8">
        <w:rPr>
          <w:rFonts w:ascii="Arial" w:hAnsi="Arial" w:cs="Arial"/>
        </w:rPr>
        <w:tab/>
      </w:r>
      <w:r w:rsidR="002B3D37" w:rsidRPr="00D561D8">
        <w:rPr>
          <w:rFonts w:ascii="Arial" w:hAnsi="Arial" w:cs="Arial"/>
        </w:rPr>
        <w:tab/>
      </w:r>
      <w:r w:rsidRPr="00D561D8">
        <w:rPr>
          <w:rFonts w:ascii="Arial" w:hAnsi="Arial" w:cs="Arial"/>
        </w:rPr>
        <w:t xml:space="preserve">To ensure a diverse range of suppliers, the Authority may limit the number of Lots or Regions that may be awarded to one supplier as follows: </w:t>
      </w:r>
    </w:p>
    <w:p w14:paraId="44848432" w14:textId="77777777" w:rsidR="002B3D37" w:rsidRPr="00D561D8" w:rsidRDefault="00C526D6" w:rsidP="008E6534">
      <w:pPr>
        <w:tabs>
          <w:tab w:val="left" w:pos="4758"/>
        </w:tabs>
        <w:ind w:left="1418" w:hanging="709"/>
        <w:jc w:val="both"/>
        <w:rPr>
          <w:rFonts w:ascii="Arial" w:hAnsi="Arial" w:cs="Arial"/>
        </w:rPr>
      </w:pPr>
      <w:r w:rsidRPr="00D561D8">
        <w:rPr>
          <w:rFonts w:ascii="Arial" w:hAnsi="Arial" w:cs="Arial"/>
        </w:rPr>
        <w:tab/>
      </w:r>
      <w:r w:rsidRPr="00D561D8">
        <w:rPr>
          <w:rFonts w:ascii="Arial" w:hAnsi="Arial" w:cs="Arial"/>
        </w:rPr>
        <w:tab/>
      </w:r>
    </w:p>
    <w:p w14:paraId="2AD046C2" w14:textId="21E29E87" w:rsidR="00C526D6" w:rsidRPr="00D561D8" w:rsidRDefault="002B3D37" w:rsidP="008E6534">
      <w:pPr>
        <w:ind w:left="1418" w:hanging="710"/>
        <w:jc w:val="both"/>
        <w:rPr>
          <w:rFonts w:ascii="Arial" w:eastAsia="Calibri" w:hAnsi="Arial" w:cs="Arial"/>
          <w:lang w:val="en-US" w:eastAsia="en-US"/>
        </w:rPr>
      </w:pPr>
      <w:r w:rsidRPr="00D561D8">
        <w:rPr>
          <w:rFonts w:ascii="Arial" w:hAnsi="Arial" w:cs="Arial"/>
        </w:rPr>
        <w:t>8.9.</w:t>
      </w:r>
      <w:r w:rsidR="008E6534" w:rsidRPr="00D561D8">
        <w:rPr>
          <w:rFonts w:ascii="Arial" w:hAnsi="Arial" w:cs="Arial"/>
        </w:rPr>
        <w:t>1</w:t>
      </w:r>
      <w:r w:rsidRPr="00D561D8">
        <w:rPr>
          <w:rFonts w:ascii="Arial" w:hAnsi="Arial" w:cs="Arial"/>
        </w:rPr>
        <w:tab/>
        <w:t xml:space="preserve">In respect of each Product listed in the </w:t>
      </w:r>
      <w:proofErr w:type="spellStart"/>
      <w:r w:rsidR="00D561D8">
        <w:rPr>
          <w:rFonts w:ascii="Arial" w:hAnsi="Arial" w:cs="Arial"/>
        </w:rPr>
        <w:t>Dasatinib</w:t>
      </w:r>
      <w:proofErr w:type="spellEnd"/>
      <w:r w:rsidR="00D561D8">
        <w:rPr>
          <w:rFonts w:ascii="Arial" w:hAnsi="Arial" w:cs="Arial"/>
        </w:rPr>
        <w:t xml:space="preserve"> </w:t>
      </w:r>
      <w:r w:rsidR="00747EB5" w:rsidRPr="00D561D8">
        <w:rPr>
          <w:rFonts w:ascii="Arial" w:hAnsi="Arial" w:cs="Arial"/>
        </w:rPr>
        <w:t>tender (CM/PHG/</w:t>
      </w:r>
      <w:r w:rsidR="00102F18" w:rsidRPr="00D561D8">
        <w:rPr>
          <w:rFonts w:ascii="Arial" w:hAnsi="Arial" w:cs="Arial"/>
        </w:rPr>
        <w:t>22</w:t>
      </w:r>
      <w:r w:rsidR="00747EB5" w:rsidRPr="00D561D8">
        <w:rPr>
          <w:rFonts w:ascii="Arial" w:hAnsi="Arial" w:cs="Arial"/>
        </w:rPr>
        <w:t>/5</w:t>
      </w:r>
      <w:r w:rsidR="00102F18" w:rsidRPr="00D561D8">
        <w:rPr>
          <w:rFonts w:ascii="Arial" w:hAnsi="Arial" w:cs="Arial"/>
        </w:rPr>
        <w:t>6</w:t>
      </w:r>
      <w:r w:rsidR="004C6846" w:rsidRPr="00D561D8">
        <w:rPr>
          <w:rFonts w:ascii="Arial" w:hAnsi="Arial" w:cs="Arial"/>
        </w:rPr>
        <w:t>94</w:t>
      </w:r>
      <w:r w:rsidR="00D561D8">
        <w:rPr>
          <w:rFonts w:ascii="Arial" w:hAnsi="Arial" w:cs="Arial"/>
        </w:rPr>
        <w:t>/00</w:t>
      </w:r>
      <w:r w:rsidR="00747EB5" w:rsidRPr="00D561D8">
        <w:rPr>
          <w:rFonts w:ascii="Arial" w:hAnsi="Arial" w:cs="Arial"/>
        </w:rPr>
        <w:t xml:space="preserve">) </w:t>
      </w:r>
      <w:r w:rsidR="00D561D8">
        <w:rPr>
          <w:rFonts w:ascii="Arial" w:hAnsi="Arial" w:cs="Arial"/>
        </w:rPr>
        <w:t xml:space="preserve"> and Paliperidone Injection Tender (CM/PHG/22/5694/01) </w:t>
      </w:r>
      <w:r w:rsidR="00C526D6" w:rsidRPr="00D561D8">
        <w:rPr>
          <w:rFonts w:ascii="Arial" w:eastAsia="Calibri" w:hAnsi="Arial" w:cs="Arial"/>
          <w:lang w:val="en-US" w:eastAsia="en-US"/>
        </w:rPr>
        <w:t xml:space="preserve">where Document No. </w:t>
      </w:r>
      <w:r w:rsidR="00C526D6" w:rsidRPr="00D561D8">
        <w:rPr>
          <w:rFonts w:ascii="Arial" w:eastAsia="Calibri" w:hAnsi="Arial" w:cs="Arial"/>
          <w:highlight w:val="yellow"/>
          <w:lang w:val="en-US" w:eastAsia="en-US"/>
        </w:rPr>
        <w:t>05a(</w:t>
      </w:r>
      <w:proofErr w:type="spellStart"/>
      <w:r w:rsidR="00C526D6" w:rsidRPr="00D561D8">
        <w:rPr>
          <w:rFonts w:ascii="Arial" w:eastAsia="Calibri" w:hAnsi="Arial" w:cs="Arial"/>
          <w:highlight w:val="yellow"/>
          <w:lang w:val="en-US" w:eastAsia="en-US"/>
        </w:rPr>
        <w:t>i</w:t>
      </w:r>
      <w:proofErr w:type="spellEnd"/>
      <w:r w:rsidR="00C526D6" w:rsidRPr="00D561D8">
        <w:rPr>
          <w:rFonts w:ascii="Arial" w:eastAsia="Calibri" w:hAnsi="Arial" w:cs="Arial"/>
          <w:highlight w:val="yellow"/>
          <w:lang w:val="en-US" w:eastAsia="en-US"/>
        </w:rPr>
        <w:t>)</w:t>
      </w:r>
      <w:r w:rsidR="00D561D8" w:rsidRPr="00D561D8">
        <w:rPr>
          <w:rFonts w:ascii="Arial" w:eastAsia="Calibri" w:hAnsi="Arial" w:cs="Arial"/>
          <w:highlight w:val="yellow"/>
          <w:lang w:val="en-US" w:eastAsia="en-US"/>
        </w:rPr>
        <w:t xml:space="preserve"> and 05a(</w:t>
      </w:r>
      <w:r w:rsidR="00DD22FC">
        <w:rPr>
          <w:rFonts w:ascii="Arial" w:eastAsia="Calibri" w:hAnsi="Arial" w:cs="Arial"/>
          <w:highlight w:val="yellow"/>
          <w:lang w:val="en-US" w:eastAsia="en-US"/>
        </w:rPr>
        <w:t>iii</w:t>
      </w:r>
      <w:r w:rsidR="00D561D8" w:rsidRPr="00D561D8">
        <w:rPr>
          <w:rFonts w:ascii="Arial" w:eastAsia="Calibri" w:hAnsi="Arial" w:cs="Arial"/>
          <w:highlight w:val="yellow"/>
          <w:lang w:val="en-US" w:eastAsia="en-US"/>
        </w:rPr>
        <w:t>)</w:t>
      </w:r>
      <w:r w:rsidR="00C526D6" w:rsidRPr="00D561D8">
        <w:rPr>
          <w:rFonts w:ascii="Arial" w:eastAsia="Calibri" w:hAnsi="Arial" w:cs="Arial"/>
          <w:lang w:val="en-US" w:eastAsia="en-US"/>
        </w:rPr>
        <w:t xml:space="preserve"> specifies that all three Lots are being tendered, the following restrictions shall apply, subject to paragraph 12.2.3:</w:t>
      </w:r>
    </w:p>
    <w:p w14:paraId="13375D17" w14:textId="77777777" w:rsidR="00C526D6" w:rsidRPr="00D561D8" w:rsidRDefault="00C526D6" w:rsidP="00C526D6">
      <w:pPr>
        <w:ind w:left="1418" w:hanging="851"/>
        <w:jc w:val="both"/>
        <w:rPr>
          <w:rFonts w:ascii="Arial" w:hAnsi="Arial" w:cs="Arial"/>
        </w:rPr>
      </w:pPr>
    </w:p>
    <w:p w14:paraId="4DFB0250" w14:textId="77777777" w:rsidR="00C526D6" w:rsidRPr="00D561D8" w:rsidRDefault="00C526D6" w:rsidP="0083255D">
      <w:pPr>
        <w:numPr>
          <w:ilvl w:val="0"/>
          <w:numId w:val="15"/>
        </w:numPr>
        <w:spacing w:after="200"/>
        <w:ind w:left="1985" w:hanging="567"/>
        <w:contextualSpacing/>
        <w:jc w:val="both"/>
        <w:rPr>
          <w:rFonts w:ascii="Arial" w:eastAsia="Calibri" w:hAnsi="Arial" w:cs="Arial"/>
          <w:lang w:val="en-US" w:eastAsia="en-US"/>
        </w:rPr>
      </w:pPr>
      <w:r w:rsidRPr="00D561D8">
        <w:rPr>
          <w:rFonts w:ascii="Arial" w:eastAsia="Calibri" w:hAnsi="Arial" w:cs="Arial"/>
          <w:lang w:val="en-US" w:eastAsia="en-US"/>
        </w:rPr>
        <w:t xml:space="preserve">where three or more compliant offers that meet the qualitative criteria are received, a maximum of one Lot may be awarded to one </w:t>
      </w:r>
      <w:proofErr w:type="gramStart"/>
      <w:r w:rsidRPr="00D561D8">
        <w:rPr>
          <w:rFonts w:ascii="Arial" w:eastAsia="Calibri" w:hAnsi="Arial" w:cs="Arial"/>
          <w:lang w:val="en-US" w:eastAsia="en-US"/>
        </w:rPr>
        <w:t>supplier;</w:t>
      </w:r>
      <w:proofErr w:type="gramEnd"/>
    </w:p>
    <w:p w14:paraId="3194916D" w14:textId="77777777" w:rsidR="00C526D6" w:rsidRPr="00F1105A" w:rsidRDefault="00C526D6" w:rsidP="00C526D6">
      <w:pPr>
        <w:ind w:left="3697"/>
        <w:contextualSpacing/>
        <w:jc w:val="both"/>
        <w:rPr>
          <w:rFonts w:ascii="Arial" w:eastAsia="Calibri" w:hAnsi="Arial" w:cs="Arial"/>
          <w:lang w:val="en-US" w:eastAsia="en-US"/>
        </w:rPr>
      </w:pPr>
    </w:p>
    <w:p w14:paraId="2B9BDEB0" w14:textId="77777777" w:rsidR="00C526D6" w:rsidRPr="00F1105A" w:rsidRDefault="00C526D6" w:rsidP="0083255D">
      <w:pPr>
        <w:numPr>
          <w:ilvl w:val="0"/>
          <w:numId w:val="15"/>
        </w:numPr>
        <w:spacing w:after="200"/>
        <w:ind w:left="1985" w:hanging="567"/>
        <w:contextualSpacing/>
        <w:jc w:val="both"/>
        <w:rPr>
          <w:rFonts w:ascii="Arial" w:eastAsia="Calibri" w:hAnsi="Arial" w:cs="Arial"/>
          <w:lang w:val="en-US" w:eastAsia="en-US"/>
        </w:rPr>
      </w:pPr>
      <w:r w:rsidRPr="00F1105A">
        <w:rPr>
          <w:rFonts w:ascii="Arial" w:eastAsia="Calibri" w:hAnsi="Arial" w:cs="Arial"/>
          <w:lang w:val="en-US" w:eastAsia="en-US"/>
        </w:rPr>
        <w:t xml:space="preserve">where only two compliant offers that meet the </w:t>
      </w:r>
      <w:r w:rsidR="008E6534" w:rsidRPr="00F1105A">
        <w:rPr>
          <w:rFonts w:ascii="Arial" w:eastAsia="Calibri" w:hAnsi="Arial" w:cs="Arial"/>
          <w:lang w:val="en-US" w:eastAsia="en-US"/>
        </w:rPr>
        <w:t xml:space="preserve">qualitative </w:t>
      </w:r>
      <w:r w:rsidRPr="00F1105A">
        <w:rPr>
          <w:rFonts w:ascii="Arial" w:eastAsia="Calibri" w:hAnsi="Arial" w:cs="Arial"/>
          <w:lang w:val="en-US" w:eastAsia="en-US"/>
        </w:rPr>
        <w:t xml:space="preserve">criteria are received, a maximum of two Lots may be awarded to one </w:t>
      </w:r>
      <w:proofErr w:type="gramStart"/>
      <w:r w:rsidRPr="00F1105A">
        <w:rPr>
          <w:rFonts w:ascii="Arial" w:eastAsia="Calibri" w:hAnsi="Arial" w:cs="Arial"/>
          <w:lang w:val="en-US" w:eastAsia="en-US"/>
        </w:rPr>
        <w:t>supplier;</w:t>
      </w:r>
      <w:proofErr w:type="gramEnd"/>
    </w:p>
    <w:p w14:paraId="15BAC27C" w14:textId="77777777" w:rsidR="00C526D6" w:rsidRPr="00F1105A" w:rsidRDefault="00C526D6" w:rsidP="00C526D6">
      <w:pPr>
        <w:ind w:left="3697"/>
        <w:contextualSpacing/>
        <w:jc w:val="both"/>
        <w:rPr>
          <w:rFonts w:ascii="Arial" w:eastAsia="Calibri" w:hAnsi="Arial" w:cs="Arial"/>
          <w:lang w:val="en-US" w:eastAsia="en-US"/>
        </w:rPr>
      </w:pPr>
    </w:p>
    <w:p w14:paraId="38C3B988" w14:textId="77777777" w:rsidR="00C526D6" w:rsidRPr="00F1105A" w:rsidRDefault="00C526D6" w:rsidP="0083255D">
      <w:pPr>
        <w:numPr>
          <w:ilvl w:val="0"/>
          <w:numId w:val="15"/>
        </w:numPr>
        <w:spacing w:after="200"/>
        <w:ind w:left="1985" w:hanging="567"/>
        <w:contextualSpacing/>
        <w:jc w:val="both"/>
        <w:rPr>
          <w:rFonts w:ascii="Arial" w:eastAsia="Calibri" w:hAnsi="Arial" w:cs="Arial"/>
          <w:lang w:val="en-US" w:eastAsia="en-US"/>
        </w:rPr>
      </w:pPr>
      <w:r w:rsidRPr="00F1105A">
        <w:rPr>
          <w:rFonts w:ascii="Arial" w:eastAsia="Calibri" w:hAnsi="Arial" w:cs="Arial"/>
          <w:lang w:val="en-US" w:eastAsia="en-US"/>
        </w:rPr>
        <w:t>where only one compliant offer that meets the qualitative criteria is received, all three Lots may be awarded to one supplier.</w:t>
      </w:r>
    </w:p>
    <w:p w14:paraId="2A7C00C3" w14:textId="77777777" w:rsidR="00F12D72" w:rsidRPr="00F1105A" w:rsidRDefault="00F12D72" w:rsidP="00102F18">
      <w:pPr>
        <w:jc w:val="both"/>
        <w:rPr>
          <w:rFonts w:ascii="Arial" w:hAnsi="Arial" w:cs="Arial"/>
        </w:rPr>
      </w:pPr>
    </w:p>
    <w:p w14:paraId="72360B2F" w14:textId="77777777" w:rsidR="00C526D6" w:rsidRPr="00F1105A" w:rsidRDefault="00C526D6" w:rsidP="00C526D6">
      <w:pPr>
        <w:ind w:left="720"/>
        <w:contextualSpacing/>
        <w:jc w:val="both"/>
        <w:rPr>
          <w:rFonts w:ascii="Arial" w:eastAsia="Calibri" w:hAnsi="Arial" w:cs="Arial"/>
          <w:lang w:val="en-US" w:eastAsia="en-US"/>
        </w:rPr>
      </w:pPr>
    </w:p>
    <w:p w14:paraId="1E57FBD1" w14:textId="5007E5D8" w:rsidR="00C526D6" w:rsidRPr="008E6534" w:rsidRDefault="00C526D6" w:rsidP="002B3D37">
      <w:pPr>
        <w:ind w:left="720" w:hanging="720"/>
        <w:jc w:val="both"/>
        <w:rPr>
          <w:rFonts w:ascii="Arial" w:hAnsi="Arial" w:cs="Arial"/>
          <w:sz w:val="22"/>
          <w:szCs w:val="22"/>
        </w:rPr>
      </w:pPr>
      <w:r w:rsidRPr="00F1105A">
        <w:rPr>
          <w:rFonts w:ascii="Arial" w:hAnsi="Arial" w:cs="Arial"/>
        </w:rPr>
        <w:t>8.10</w:t>
      </w:r>
      <w:r w:rsidRPr="00F1105A">
        <w:rPr>
          <w:rFonts w:ascii="Arial" w:hAnsi="Arial" w:cs="Arial"/>
        </w:rPr>
        <w:tab/>
        <w:t>In respect of each Product in each Lot or Region, unless otherwise notified, this procurement will establish a single supplier</w:t>
      </w:r>
      <w:r w:rsidRPr="008E6534">
        <w:rPr>
          <w:rFonts w:ascii="Arial" w:hAnsi="Arial" w:cs="Arial"/>
          <w:sz w:val="22"/>
          <w:szCs w:val="22"/>
        </w:rPr>
        <w:t xml:space="preserve"> framework </w:t>
      </w:r>
      <w:r w:rsidR="00EB7FF3">
        <w:rPr>
          <w:rFonts w:ascii="Arial" w:hAnsi="Arial" w:cs="Arial"/>
          <w:sz w:val="22"/>
          <w:szCs w:val="22"/>
        </w:rPr>
        <w:t>agreement</w:t>
      </w:r>
      <w:r w:rsidRPr="008E6534">
        <w:rPr>
          <w:rFonts w:ascii="Arial" w:hAnsi="Arial" w:cs="Arial"/>
          <w:sz w:val="22"/>
          <w:szCs w:val="22"/>
        </w:rPr>
        <w:t xml:space="preserve">. </w:t>
      </w:r>
    </w:p>
    <w:p w14:paraId="30645093" w14:textId="77777777" w:rsidR="002B3D37" w:rsidRPr="008E6534" w:rsidRDefault="002B3D37" w:rsidP="00C526D6">
      <w:pPr>
        <w:ind w:left="567" w:hanging="567"/>
        <w:jc w:val="both"/>
        <w:rPr>
          <w:rFonts w:ascii="Arial" w:eastAsia="Calibri" w:hAnsi="Arial" w:cs="Arial"/>
          <w:sz w:val="22"/>
          <w:szCs w:val="22"/>
        </w:rPr>
      </w:pPr>
    </w:p>
    <w:p w14:paraId="1373F477" w14:textId="77777777" w:rsidR="008710C0" w:rsidRPr="006F3400" w:rsidRDefault="002B3D37" w:rsidP="00CD562E">
      <w:pPr>
        <w:spacing w:before="240"/>
        <w:ind w:left="720" w:hanging="720"/>
        <w:jc w:val="both"/>
        <w:rPr>
          <w:rFonts w:ascii="Arial" w:hAnsi="Arial" w:cs="Arial"/>
          <w:b/>
          <w:lang w:eastAsia="en-US"/>
        </w:rPr>
      </w:pPr>
      <w:r>
        <w:rPr>
          <w:rFonts w:ascii="Arial" w:hAnsi="Arial" w:cs="Arial"/>
          <w:b/>
          <w:lang w:eastAsia="en-US"/>
        </w:rPr>
        <w:t>9</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r w:rsidR="006A4E79">
        <w:rPr>
          <w:rFonts w:ascii="Arial" w:hAnsi="Arial" w:cs="Arial"/>
          <w:b/>
          <w:lang w:eastAsia="en-US"/>
        </w:rPr>
        <w:t xml:space="preserve"> </w:t>
      </w:r>
    </w:p>
    <w:p w14:paraId="627643A2" w14:textId="77777777" w:rsidR="00CD562E" w:rsidRPr="006F3400" w:rsidRDefault="00CD562E" w:rsidP="00CD562E">
      <w:pPr>
        <w:jc w:val="both"/>
        <w:rPr>
          <w:rFonts w:ascii="Arial" w:hAnsi="Arial" w:cs="Arial"/>
        </w:rPr>
      </w:pPr>
    </w:p>
    <w:p w14:paraId="6E0D85D9" w14:textId="77777777" w:rsidR="000331ED" w:rsidRPr="006F3400" w:rsidRDefault="002B3D37" w:rsidP="002B3D37">
      <w:pPr>
        <w:rPr>
          <w:rFonts w:ascii="Arial" w:hAnsi="Arial" w:cs="Arial"/>
          <w:snapToGrid w:val="0"/>
          <w:lang w:eastAsia="en-US"/>
        </w:rPr>
      </w:pPr>
      <w:r>
        <w:rPr>
          <w:rFonts w:ascii="Arial" w:hAnsi="Arial" w:cs="Arial"/>
          <w:snapToGrid w:val="0"/>
          <w:lang w:eastAsia="en-US"/>
        </w:rPr>
        <w:t>9.1</w:t>
      </w:r>
      <w:r w:rsidR="000331ED" w:rsidRPr="006F3400">
        <w:rPr>
          <w:rFonts w:ascii="Arial" w:hAnsi="Arial" w:cs="Arial"/>
          <w:snapToGrid w:val="0"/>
          <w:lang w:eastAsia="en-US"/>
        </w:rPr>
        <w:tab/>
        <w:t>Offers may be submitted for all goods and/or services or for selected items.</w:t>
      </w:r>
    </w:p>
    <w:p w14:paraId="17D4DA88" w14:textId="77777777" w:rsidR="000331ED" w:rsidRPr="006F3400" w:rsidRDefault="000331ED" w:rsidP="000331ED">
      <w:pPr>
        <w:rPr>
          <w:rFonts w:ascii="Arial" w:hAnsi="Arial" w:cs="Arial"/>
          <w:snapToGrid w:val="0"/>
          <w:lang w:eastAsia="en-US"/>
        </w:rPr>
      </w:pPr>
    </w:p>
    <w:p w14:paraId="5BD06141" w14:textId="241552E2" w:rsidR="000331ED" w:rsidRPr="00BF71A2" w:rsidRDefault="002B3D37" w:rsidP="006F3400">
      <w:pPr>
        <w:ind w:left="720" w:hanging="720"/>
        <w:jc w:val="both"/>
        <w:rPr>
          <w:rFonts w:ascii="Arial" w:hAnsi="Arial" w:cs="Arial"/>
          <w:snapToGrid w:val="0"/>
          <w:color w:val="FF0000"/>
          <w:lang w:eastAsia="en-US"/>
        </w:rPr>
      </w:pPr>
      <w:r>
        <w:rPr>
          <w:rFonts w:ascii="Arial" w:eastAsia="Calibri" w:hAnsi="Arial" w:cs="Arial"/>
        </w:rPr>
        <w:t>9</w:t>
      </w:r>
      <w:r w:rsidR="000331ED" w:rsidRPr="006F3400">
        <w:rPr>
          <w:rFonts w:ascii="Arial" w:eastAsia="Calibri" w:hAnsi="Arial" w:cs="Arial"/>
        </w:rPr>
        <w:t>.2</w:t>
      </w:r>
      <w:r w:rsidR="000331ED" w:rsidRPr="006F3400">
        <w:rPr>
          <w:rFonts w:ascii="Arial" w:eastAsia="Calibri" w:hAnsi="Arial" w:cs="Arial"/>
        </w:rPr>
        <w:tab/>
        <w:t>The goods and/or services offered by Offerors must be strictly in accordance with the Specification (Document No.04)</w:t>
      </w:r>
      <w:r w:rsidR="00BF71A2">
        <w:rPr>
          <w:rFonts w:ascii="Arial" w:eastAsia="Calibri" w:hAnsi="Arial" w:cs="Arial"/>
        </w:rPr>
        <w:t xml:space="preserve"> </w:t>
      </w:r>
      <w:r w:rsidR="00BF71A2" w:rsidRPr="00072579">
        <w:rPr>
          <w:rFonts w:ascii="Arial" w:hAnsi="Arial" w:cs="Arial"/>
        </w:rPr>
        <w:t>including but not limited to Document No. 04 – Contract Technical Specification Appendix 2</w:t>
      </w:r>
      <w:r w:rsidR="000331ED" w:rsidRPr="00072579">
        <w:rPr>
          <w:rFonts w:ascii="Arial" w:eastAsia="Calibri" w:hAnsi="Arial" w:cs="Arial"/>
        </w:rPr>
        <w:t xml:space="preserve">. </w:t>
      </w:r>
      <w:r w:rsidR="000331ED" w:rsidRPr="006F3400">
        <w:rPr>
          <w:rFonts w:ascii="Arial" w:eastAsia="Calibri" w:hAnsi="Arial" w:cs="Arial"/>
        </w:rPr>
        <w:t>Goods and/or services of essential similarity may be offered but all differences between such items and the Specification must be indicated in detail in the Offer schedule.</w:t>
      </w:r>
    </w:p>
    <w:p w14:paraId="642FF040" w14:textId="77777777" w:rsidR="000331ED" w:rsidRPr="006F3400" w:rsidRDefault="000331ED" w:rsidP="006F3400">
      <w:pPr>
        <w:ind w:left="2127"/>
        <w:jc w:val="both"/>
        <w:rPr>
          <w:rFonts w:ascii="Arial" w:hAnsi="Arial" w:cs="Arial"/>
        </w:rPr>
      </w:pPr>
    </w:p>
    <w:p w14:paraId="1E20A7D6" w14:textId="77777777" w:rsidR="000331ED" w:rsidRPr="006F3400" w:rsidRDefault="000331ED" w:rsidP="0083255D">
      <w:pPr>
        <w:numPr>
          <w:ilvl w:val="1"/>
          <w:numId w:val="22"/>
        </w:numPr>
        <w:ind w:left="709" w:hanging="709"/>
        <w:jc w:val="both"/>
        <w:rPr>
          <w:rFonts w:ascii="Arial" w:hAnsi="Arial" w:cs="Arial"/>
          <w:snapToGrid w:val="0"/>
          <w:lang w:eastAsia="en-US"/>
        </w:rPr>
      </w:pPr>
      <w:r w:rsidRPr="006F3400">
        <w:rPr>
          <w:rFonts w:ascii="Arial" w:hAnsi="Arial" w:cs="Arial"/>
          <w:snapToGrid w:val="0"/>
          <w:lang w:eastAsia="en-US"/>
        </w:rPr>
        <w:t xml:space="preserve">CMU’s </w:t>
      </w:r>
      <w:proofErr w:type="spellStart"/>
      <w:r w:rsidRPr="006F3400">
        <w:rPr>
          <w:rFonts w:ascii="Arial" w:hAnsi="Arial" w:cs="Arial"/>
          <w:snapToGrid w:val="0"/>
          <w:lang w:eastAsia="en-US"/>
        </w:rPr>
        <w:t>Selectt</w:t>
      </w:r>
      <w:proofErr w:type="spellEnd"/>
      <w:r w:rsidRPr="006F3400">
        <w:rPr>
          <w:rFonts w:ascii="Arial" w:hAnsi="Arial" w:cs="Arial"/>
          <w:snapToGrid w:val="0"/>
          <w:lang w:eastAsia="en-US"/>
        </w:rPr>
        <w:t xml:space="preserve"> programme shall be used by Offerors to create the offer documents for this procurement exercise. Instructions on accessing and using this system can be found at the following web link:</w:t>
      </w:r>
    </w:p>
    <w:p w14:paraId="65D37563" w14:textId="77777777" w:rsidR="000331ED" w:rsidRPr="006F3400" w:rsidRDefault="000331ED" w:rsidP="000331ED">
      <w:pPr>
        <w:ind w:left="1440" w:right="-743" w:hanging="720"/>
        <w:rPr>
          <w:rFonts w:ascii="Arial" w:hAnsi="Arial" w:cs="Arial"/>
        </w:rPr>
      </w:pPr>
    </w:p>
    <w:p w14:paraId="7C4B3D17" w14:textId="77777777" w:rsidR="000331ED" w:rsidRPr="006F3400" w:rsidRDefault="00945F7A" w:rsidP="000331ED">
      <w:pPr>
        <w:ind w:right="-743"/>
        <w:rPr>
          <w:rFonts w:ascii="Arial" w:hAnsi="Arial" w:cs="Arial"/>
        </w:rPr>
      </w:pPr>
      <w:hyperlink r:id="rId12" w:history="1">
        <w:r w:rsidR="000331ED" w:rsidRPr="006F3400">
          <w:rPr>
            <w:rStyle w:val="Hyperlink"/>
            <w:rFonts w:ascii="Arial" w:hAnsi="Arial" w:cs="Arial"/>
          </w:rPr>
          <w:t>https://www.gov.uk/government/publications/drugs-and-pharmaceutical-supplier-tender-submission</w:t>
        </w:r>
      </w:hyperlink>
    </w:p>
    <w:p w14:paraId="6D738B4C" w14:textId="77777777" w:rsidR="000331ED" w:rsidRPr="006F3400" w:rsidRDefault="000331ED" w:rsidP="000331ED">
      <w:pPr>
        <w:ind w:left="1440" w:right="-743" w:hanging="720"/>
        <w:rPr>
          <w:rFonts w:ascii="Arial" w:hAnsi="Arial" w:cs="Arial"/>
        </w:rPr>
      </w:pPr>
    </w:p>
    <w:p w14:paraId="04B3CAD7" w14:textId="77777777" w:rsidR="000331ED" w:rsidRPr="006F3400" w:rsidRDefault="000331ED" w:rsidP="0083255D">
      <w:pPr>
        <w:numPr>
          <w:ilvl w:val="1"/>
          <w:numId w:val="22"/>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007940B3" w14:textId="77777777" w:rsidR="000331ED" w:rsidRPr="006F3400" w:rsidRDefault="000331ED" w:rsidP="0083255D">
      <w:pPr>
        <w:numPr>
          <w:ilvl w:val="2"/>
          <w:numId w:val="22"/>
        </w:numPr>
        <w:spacing w:after="240"/>
        <w:ind w:left="1418" w:hanging="709"/>
        <w:jc w:val="both"/>
        <w:rPr>
          <w:rFonts w:ascii="Arial" w:hAnsi="Arial" w:cs="Arial"/>
          <w:snapToGrid w:val="0"/>
          <w:lang w:eastAsia="en-US"/>
        </w:rPr>
      </w:pPr>
      <w:r w:rsidRPr="006F3400">
        <w:rPr>
          <w:rFonts w:ascii="Arial" w:hAnsi="Arial" w:cs="Arial"/>
          <w:lang w:eastAsia="en-US"/>
        </w:rPr>
        <w:t xml:space="preserve">the completed Response form on the </w:t>
      </w:r>
      <w:proofErr w:type="spellStart"/>
      <w:r w:rsidR="00B61A35">
        <w:rPr>
          <w:rFonts w:ascii="Arial" w:hAnsi="Arial" w:cs="Arial"/>
          <w:lang w:eastAsia="en-US"/>
        </w:rPr>
        <w:t>Atamis</w:t>
      </w:r>
      <w:proofErr w:type="spellEnd"/>
      <w:r w:rsidR="002B3D37">
        <w:rPr>
          <w:rFonts w:ascii="Arial" w:hAnsi="Arial" w:cs="Arial"/>
          <w:lang w:eastAsia="en-US"/>
        </w:rPr>
        <w:t xml:space="preserve"> </w:t>
      </w:r>
      <w:r w:rsidRPr="006F3400">
        <w:rPr>
          <w:rFonts w:ascii="Arial" w:hAnsi="Arial" w:cs="Arial"/>
          <w:lang w:eastAsia="en-US"/>
        </w:rPr>
        <w:t>website – found under “</w:t>
      </w:r>
      <w:r w:rsidR="00175AC4">
        <w:rPr>
          <w:rFonts w:ascii="Arial" w:hAnsi="Arial" w:cs="Arial"/>
          <w:lang w:eastAsia="en-US"/>
        </w:rPr>
        <w:t>My Proposals and Quotes</w:t>
      </w:r>
      <w:r w:rsidRPr="006F3400">
        <w:rPr>
          <w:rFonts w:ascii="Arial" w:hAnsi="Arial" w:cs="Arial"/>
          <w:lang w:eastAsia="en-US"/>
        </w:rPr>
        <w:t>”</w:t>
      </w:r>
    </w:p>
    <w:p w14:paraId="46B3B50B" w14:textId="540A2660" w:rsidR="00747EB5" w:rsidRPr="00DD22FC" w:rsidRDefault="00747EB5" w:rsidP="0083255D">
      <w:pPr>
        <w:numPr>
          <w:ilvl w:val="2"/>
          <w:numId w:val="22"/>
        </w:numPr>
        <w:spacing w:after="240"/>
        <w:ind w:left="1418" w:hanging="709"/>
        <w:jc w:val="both"/>
        <w:rPr>
          <w:rFonts w:ascii="Arial" w:hAnsi="Arial" w:cs="Arial"/>
          <w:snapToGrid w:val="0"/>
          <w:lang w:eastAsia="en-US"/>
        </w:rPr>
      </w:pPr>
      <w:r w:rsidRPr="00DD22FC">
        <w:rPr>
          <w:rFonts w:ascii="Arial" w:hAnsi="Arial" w:cs="Arial"/>
          <w:lang w:eastAsia="en-US"/>
        </w:rPr>
        <w:t xml:space="preserve">The offer schedule </w:t>
      </w:r>
      <w:proofErr w:type="gramStart"/>
      <w:r w:rsidRPr="00DD22FC">
        <w:rPr>
          <w:rFonts w:ascii="Arial" w:hAnsi="Arial" w:cs="Arial"/>
          <w:lang w:eastAsia="en-US"/>
        </w:rPr>
        <w:t>in .</w:t>
      </w:r>
      <w:proofErr w:type="spellStart"/>
      <w:r w:rsidRPr="00DD22FC">
        <w:rPr>
          <w:rFonts w:ascii="Arial" w:hAnsi="Arial" w:cs="Arial"/>
          <w:lang w:eastAsia="en-US"/>
        </w:rPr>
        <w:t>cmu</w:t>
      </w:r>
      <w:proofErr w:type="spellEnd"/>
      <w:proofErr w:type="gramEnd"/>
      <w:r w:rsidRPr="00DD22FC">
        <w:rPr>
          <w:rFonts w:ascii="Arial" w:hAnsi="Arial" w:cs="Arial"/>
          <w:lang w:eastAsia="en-US"/>
        </w:rPr>
        <w:t xml:space="preserve"> format – Document No. 05a(ii)</w:t>
      </w:r>
      <w:r w:rsidR="008E6534" w:rsidRPr="00DD22FC">
        <w:rPr>
          <w:rFonts w:ascii="Arial" w:hAnsi="Arial" w:cs="Arial"/>
          <w:lang w:eastAsia="en-US"/>
        </w:rPr>
        <w:t>,</w:t>
      </w:r>
      <w:r w:rsidRPr="00DD22FC">
        <w:rPr>
          <w:rFonts w:ascii="Arial" w:hAnsi="Arial" w:cs="Arial"/>
          <w:lang w:eastAsia="en-US"/>
        </w:rPr>
        <w:t xml:space="preserve"> of the tender pack, </w:t>
      </w:r>
      <w:proofErr w:type="spellStart"/>
      <w:r w:rsidRPr="00DD22FC">
        <w:rPr>
          <w:rFonts w:ascii="Arial" w:hAnsi="Arial" w:cs="Arial"/>
          <w:lang w:eastAsia="en-US"/>
        </w:rPr>
        <w:t>Selectt</w:t>
      </w:r>
      <w:proofErr w:type="spellEnd"/>
      <w:r w:rsidRPr="00DD22FC">
        <w:rPr>
          <w:rFonts w:ascii="Arial" w:hAnsi="Arial" w:cs="Arial"/>
          <w:lang w:eastAsia="en-US"/>
        </w:rPr>
        <w:t xml:space="preserve"> bid file(s), with the title</w:t>
      </w:r>
      <w:r w:rsidR="00B835C2" w:rsidRPr="00DD22FC">
        <w:rPr>
          <w:rFonts w:ascii="Arial" w:hAnsi="Arial" w:cs="Arial"/>
          <w:lang w:eastAsia="en-US"/>
        </w:rPr>
        <w:t>s respectively</w:t>
      </w:r>
      <w:r w:rsidRPr="00DD22FC">
        <w:rPr>
          <w:rFonts w:ascii="Arial" w:hAnsi="Arial" w:cs="Arial"/>
          <w:lang w:eastAsia="en-US"/>
        </w:rPr>
        <w:t>:</w:t>
      </w:r>
    </w:p>
    <w:p w14:paraId="773552AB" w14:textId="50F20CBE" w:rsidR="00747EB5" w:rsidRDefault="00747EB5" w:rsidP="00747EB5">
      <w:pPr>
        <w:spacing w:after="240"/>
        <w:ind w:left="1418"/>
        <w:jc w:val="both"/>
        <w:rPr>
          <w:rFonts w:ascii="Arial" w:hAnsi="Arial" w:cs="Arial"/>
          <w:lang w:eastAsia="en-US"/>
        </w:rPr>
      </w:pPr>
      <w:r w:rsidRPr="004472C5">
        <w:rPr>
          <w:rFonts w:ascii="Arial" w:hAnsi="Arial" w:cs="Arial"/>
          <w:lang w:eastAsia="en-US"/>
        </w:rPr>
        <w:t>CM_PHG_</w:t>
      </w:r>
      <w:r w:rsidR="00102F18" w:rsidRPr="004472C5">
        <w:rPr>
          <w:rFonts w:ascii="Arial" w:hAnsi="Arial" w:cs="Arial"/>
          <w:lang w:eastAsia="en-US"/>
        </w:rPr>
        <w:t>22</w:t>
      </w:r>
      <w:r w:rsidRPr="004472C5">
        <w:rPr>
          <w:rFonts w:ascii="Arial" w:hAnsi="Arial" w:cs="Arial"/>
          <w:lang w:eastAsia="en-US"/>
        </w:rPr>
        <w:t>_5</w:t>
      </w:r>
      <w:r w:rsidR="00920654" w:rsidRPr="004472C5">
        <w:rPr>
          <w:rFonts w:ascii="Arial" w:hAnsi="Arial" w:cs="Arial"/>
          <w:lang w:eastAsia="en-US"/>
        </w:rPr>
        <w:t>6</w:t>
      </w:r>
      <w:r w:rsidR="004C6846" w:rsidRPr="004472C5">
        <w:rPr>
          <w:rFonts w:ascii="Arial" w:hAnsi="Arial" w:cs="Arial"/>
          <w:lang w:eastAsia="en-US"/>
        </w:rPr>
        <w:t>94</w:t>
      </w:r>
      <w:r w:rsidRPr="004472C5">
        <w:rPr>
          <w:rFonts w:ascii="Arial" w:hAnsi="Arial" w:cs="Arial"/>
          <w:lang w:eastAsia="en-US"/>
        </w:rPr>
        <w:t>_</w:t>
      </w:r>
      <w:r w:rsidR="004472C5" w:rsidRPr="004472C5">
        <w:rPr>
          <w:rFonts w:ascii="Arial" w:hAnsi="Arial" w:cs="Arial"/>
          <w:lang w:eastAsia="en-US"/>
        </w:rPr>
        <w:t>00_</w:t>
      </w:r>
      <w:r w:rsidRPr="004472C5">
        <w:rPr>
          <w:rFonts w:ascii="Arial" w:hAnsi="Arial" w:cs="Arial"/>
          <w:lang w:eastAsia="en-US"/>
        </w:rPr>
        <w:t>xxx.cmu</w:t>
      </w:r>
    </w:p>
    <w:p w14:paraId="70DFBA79" w14:textId="61AB91CB" w:rsidR="004472C5" w:rsidRPr="00747EB5" w:rsidRDefault="004472C5" w:rsidP="00747EB5">
      <w:pPr>
        <w:spacing w:after="240"/>
        <w:ind w:left="1418"/>
        <w:jc w:val="both"/>
        <w:rPr>
          <w:rFonts w:ascii="Arial" w:hAnsi="Arial" w:cs="Arial"/>
          <w:lang w:eastAsia="en-US"/>
        </w:rPr>
      </w:pPr>
      <w:r>
        <w:rPr>
          <w:rFonts w:ascii="Arial" w:hAnsi="Arial" w:cs="Arial"/>
          <w:lang w:eastAsia="en-US"/>
        </w:rPr>
        <w:t>CM_PHG_22_5694_01_xxx.cmu</w:t>
      </w:r>
    </w:p>
    <w:p w14:paraId="364B692E" w14:textId="77777777" w:rsidR="00747EB5" w:rsidRPr="00747EB5" w:rsidRDefault="00747EB5" w:rsidP="00747EB5">
      <w:pPr>
        <w:spacing w:after="240"/>
        <w:ind w:left="1418"/>
        <w:jc w:val="both"/>
        <w:rPr>
          <w:rFonts w:ascii="Arial" w:hAnsi="Arial" w:cs="Arial"/>
          <w:snapToGrid w:val="0"/>
          <w:lang w:eastAsia="en-US"/>
        </w:rPr>
      </w:pPr>
      <w:r w:rsidRPr="00747EB5">
        <w:rPr>
          <w:rFonts w:ascii="Arial" w:hAnsi="Arial" w:cs="Arial"/>
          <w:lang w:eastAsia="en-US"/>
        </w:rPr>
        <w:t xml:space="preserve">Where xxx represents your organisations’ tendering supplier </w:t>
      </w:r>
      <w:proofErr w:type="gramStart"/>
      <w:r w:rsidRPr="00747EB5">
        <w:rPr>
          <w:rFonts w:ascii="Arial" w:hAnsi="Arial" w:cs="Arial"/>
          <w:lang w:eastAsia="en-US"/>
        </w:rPr>
        <w:t>code;</w:t>
      </w:r>
      <w:proofErr w:type="gramEnd"/>
    </w:p>
    <w:p w14:paraId="060EEA26" w14:textId="77777777" w:rsidR="000331ED" w:rsidRPr="006F3400" w:rsidRDefault="000331ED" w:rsidP="00F1105A">
      <w:pPr>
        <w:numPr>
          <w:ilvl w:val="2"/>
          <w:numId w:val="22"/>
        </w:numPr>
        <w:spacing w:after="240"/>
        <w:ind w:left="1418" w:hanging="709"/>
        <w:jc w:val="both"/>
        <w:rPr>
          <w:rFonts w:ascii="Arial" w:hAnsi="Arial" w:cs="Arial"/>
          <w:snapToGrid w:val="0"/>
          <w:lang w:eastAsia="en-US"/>
        </w:rPr>
      </w:pPr>
      <w:r w:rsidRPr="006F3400">
        <w:rPr>
          <w:rFonts w:ascii="Arial" w:hAnsi="Arial" w:cs="Arial"/>
          <w:lang w:eastAsia="en-US"/>
        </w:rPr>
        <w:t>the Form of Offer (</w:t>
      </w:r>
      <w:r w:rsidRPr="00747EB5">
        <w:rPr>
          <w:rFonts w:ascii="Arial" w:hAnsi="Arial" w:cs="Arial"/>
          <w:lang w:eastAsia="en-US"/>
        </w:rPr>
        <w:t>Document No. 06</w:t>
      </w:r>
      <w:r w:rsidRPr="006F3400">
        <w:rPr>
          <w:rFonts w:ascii="Arial" w:hAnsi="Arial" w:cs="Arial"/>
          <w:lang w:eastAsia="en-US"/>
        </w:rPr>
        <w:t xml:space="preserve"> to be completed on the </w:t>
      </w:r>
      <w:proofErr w:type="spellStart"/>
      <w:r w:rsidR="00B61A35">
        <w:rPr>
          <w:rFonts w:ascii="Arial" w:hAnsi="Arial" w:cs="Arial"/>
          <w:lang w:eastAsia="en-US"/>
        </w:rPr>
        <w:t>Atamis</w:t>
      </w:r>
      <w:proofErr w:type="spellEnd"/>
      <w:r w:rsidRPr="006F3400">
        <w:rPr>
          <w:rFonts w:ascii="Arial" w:hAnsi="Arial" w:cs="Arial"/>
          <w:lang w:eastAsia="en-US"/>
        </w:rPr>
        <w:t xml:space="preserve"> website)</w:t>
      </w:r>
    </w:p>
    <w:p w14:paraId="05395E85" w14:textId="77777777" w:rsidR="000331ED" w:rsidRPr="006F3400" w:rsidRDefault="000331ED" w:rsidP="0083255D">
      <w:pPr>
        <w:numPr>
          <w:ilvl w:val="2"/>
          <w:numId w:val="22"/>
        </w:numPr>
        <w:spacing w:after="240"/>
        <w:ind w:left="1418" w:hanging="709"/>
        <w:jc w:val="both"/>
        <w:rPr>
          <w:rFonts w:ascii="Arial" w:hAnsi="Arial" w:cs="Arial"/>
          <w:snapToGrid w:val="0"/>
          <w:lang w:eastAsia="en-US"/>
        </w:rPr>
      </w:pPr>
      <w:r w:rsidRPr="006F3400">
        <w:rPr>
          <w:rFonts w:ascii="Arial" w:hAnsi="Arial" w:cs="Arial"/>
          <w:lang w:eastAsia="en-US"/>
        </w:rPr>
        <w:t xml:space="preserve">the Quality control technical sheet </w:t>
      </w:r>
      <w:r w:rsidRPr="00747EB5">
        <w:rPr>
          <w:rFonts w:ascii="Arial" w:hAnsi="Arial" w:cs="Arial"/>
          <w:lang w:eastAsia="en-US"/>
        </w:rPr>
        <w:t>(Document No. 07a</w:t>
      </w:r>
      <w:r w:rsidRPr="006F3400">
        <w:rPr>
          <w:rFonts w:ascii="Arial" w:hAnsi="Arial" w:cs="Arial"/>
          <w:lang w:eastAsia="en-US"/>
        </w:rPr>
        <w:t xml:space="preserve"> to be completed on the </w:t>
      </w:r>
      <w:proofErr w:type="spellStart"/>
      <w:r w:rsidR="00B61A35">
        <w:rPr>
          <w:rFonts w:ascii="Arial" w:hAnsi="Arial" w:cs="Arial"/>
          <w:lang w:eastAsia="en-US"/>
        </w:rPr>
        <w:t>Atamis</w:t>
      </w:r>
      <w:proofErr w:type="spellEnd"/>
      <w:r w:rsidRPr="006F3400">
        <w:rPr>
          <w:rFonts w:ascii="Arial" w:hAnsi="Arial" w:cs="Arial"/>
          <w:lang w:eastAsia="en-US"/>
        </w:rPr>
        <w:t xml:space="preserve"> website)</w:t>
      </w:r>
    </w:p>
    <w:p w14:paraId="04EBB5F7" w14:textId="77777777" w:rsidR="000331ED" w:rsidRPr="006F3400" w:rsidRDefault="000331ED" w:rsidP="0083255D">
      <w:pPr>
        <w:numPr>
          <w:ilvl w:val="2"/>
          <w:numId w:val="22"/>
        </w:numPr>
        <w:spacing w:after="240"/>
        <w:ind w:left="1418" w:hanging="709"/>
        <w:jc w:val="both"/>
        <w:rPr>
          <w:rFonts w:ascii="Arial" w:hAnsi="Arial" w:cs="Arial"/>
          <w:snapToGrid w:val="0"/>
          <w:lang w:eastAsia="en-US"/>
        </w:rPr>
      </w:pPr>
      <w:r w:rsidRPr="006F3400">
        <w:rPr>
          <w:rFonts w:ascii="Arial" w:hAnsi="Arial" w:cs="Arial"/>
          <w:lang w:eastAsia="en-US"/>
        </w:rPr>
        <w:t>the C</w:t>
      </w:r>
      <w:r w:rsidR="00814BA6">
        <w:rPr>
          <w:rFonts w:ascii="Arial" w:hAnsi="Arial" w:cs="Arial"/>
          <w:lang w:eastAsia="en-US"/>
        </w:rPr>
        <w:t xml:space="preserve">onfidential Information Schedule </w:t>
      </w:r>
      <w:r w:rsidR="00814BA6" w:rsidRPr="00747EB5">
        <w:rPr>
          <w:rFonts w:ascii="Arial" w:hAnsi="Arial" w:cs="Arial"/>
          <w:lang w:eastAsia="en-US"/>
        </w:rPr>
        <w:t xml:space="preserve">(Document No. 08), </w:t>
      </w:r>
      <w:r w:rsidRPr="00747EB5">
        <w:rPr>
          <w:rFonts w:ascii="Arial" w:hAnsi="Arial" w:cs="Arial"/>
          <w:lang w:eastAsia="en-US"/>
        </w:rPr>
        <w:t>if</w:t>
      </w:r>
      <w:r w:rsidRPr="006F3400">
        <w:rPr>
          <w:rFonts w:ascii="Arial" w:hAnsi="Arial" w:cs="Arial"/>
          <w:lang w:eastAsia="en-US"/>
        </w:rPr>
        <w:t xml:space="preserve"> any</w:t>
      </w:r>
      <w:r w:rsidR="00814BA6">
        <w:rPr>
          <w:rFonts w:ascii="Arial" w:hAnsi="Arial" w:cs="Arial"/>
          <w:lang w:eastAsia="en-US"/>
        </w:rPr>
        <w:t xml:space="preserve"> types of information are considered to be confidential by the </w:t>
      </w:r>
      <w:proofErr w:type="gramStart"/>
      <w:r w:rsidR="00814BA6">
        <w:rPr>
          <w:rFonts w:ascii="Arial" w:hAnsi="Arial" w:cs="Arial"/>
          <w:lang w:eastAsia="en-US"/>
        </w:rPr>
        <w:t>Offeror</w:t>
      </w:r>
      <w:r w:rsidRPr="006F3400">
        <w:rPr>
          <w:rFonts w:ascii="Arial" w:hAnsi="Arial" w:cs="Arial"/>
          <w:lang w:eastAsia="en-US"/>
        </w:rPr>
        <w:t>;</w:t>
      </w:r>
      <w:proofErr w:type="gramEnd"/>
      <w:r w:rsidRPr="006F3400">
        <w:rPr>
          <w:rFonts w:ascii="Arial" w:hAnsi="Arial" w:cs="Arial"/>
          <w:lang w:eastAsia="en-US"/>
        </w:rPr>
        <w:t xml:space="preserve"> </w:t>
      </w:r>
    </w:p>
    <w:p w14:paraId="61B06732" w14:textId="77777777" w:rsidR="000331ED" w:rsidRPr="006F3400" w:rsidRDefault="000331ED" w:rsidP="0083255D">
      <w:pPr>
        <w:numPr>
          <w:ilvl w:val="2"/>
          <w:numId w:val="22"/>
        </w:numPr>
        <w:spacing w:after="240"/>
        <w:ind w:left="1418" w:hanging="709"/>
        <w:jc w:val="both"/>
        <w:rPr>
          <w:rFonts w:ascii="Arial" w:hAnsi="Arial" w:cs="Arial"/>
          <w:snapToGrid w:val="0"/>
          <w:lang w:eastAsia="en-US"/>
        </w:rPr>
      </w:pPr>
      <w:r w:rsidRPr="006F3400">
        <w:rPr>
          <w:rFonts w:ascii="Arial" w:hAnsi="Arial" w:cs="Arial"/>
          <w:lang w:eastAsia="en-US"/>
        </w:rPr>
        <w:t xml:space="preserve">a statement of prompt settlement discounts, if </w:t>
      </w:r>
      <w:proofErr w:type="gramStart"/>
      <w:r w:rsidRPr="006F3400">
        <w:rPr>
          <w:rFonts w:ascii="Arial" w:hAnsi="Arial" w:cs="Arial"/>
          <w:lang w:eastAsia="en-US"/>
        </w:rPr>
        <w:t>available;</w:t>
      </w:r>
      <w:proofErr w:type="gramEnd"/>
    </w:p>
    <w:p w14:paraId="4773D848" w14:textId="77777777" w:rsidR="000331ED" w:rsidRPr="006F3400" w:rsidRDefault="000331ED" w:rsidP="0083255D">
      <w:pPr>
        <w:numPr>
          <w:ilvl w:val="2"/>
          <w:numId w:val="22"/>
        </w:numPr>
        <w:spacing w:after="240"/>
        <w:ind w:left="1418" w:hanging="709"/>
        <w:jc w:val="both"/>
        <w:rPr>
          <w:rFonts w:ascii="Arial" w:hAnsi="Arial" w:cs="Arial"/>
          <w:snapToGrid w:val="0"/>
          <w:lang w:eastAsia="en-US"/>
        </w:rPr>
      </w:pPr>
      <w:r w:rsidRPr="006F3400">
        <w:rPr>
          <w:rFonts w:ascii="Arial" w:hAnsi="Arial" w:cs="Arial"/>
          <w:lang w:eastAsia="en-US"/>
        </w:rPr>
        <w:t xml:space="preserve">details of the Offeror’s ability, if any, to trade </w:t>
      </w:r>
      <w:proofErr w:type="gramStart"/>
      <w:r w:rsidRPr="006F3400">
        <w:rPr>
          <w:rFonts w:ascii="Arial" w:hAnsi="Arial" w:cs="Arial"/>
          <w:lang w:eastAsia="en-US"/>
        </w:rPr>
        <w:t>electronically;</w:t>
      </w:r>
      <w:proofErr w:type="gramEnd"/>
    </w:p>
    <w:p w14:paraId="423D2A4F" w14:textId="77777777" w:rsidR="000331ED" w:rsidRPr="003818A0" w:rsidRDefault="000331ED" w:rsidP="0083255D">
      <w:pPr>
        <w:numPr>
          <w:ilvl w:val="2"/>
          <w:numId w:val="22"/>
        </w:numPr>
        <w:spacing w:after="240"/>
        <w:ind w:left="1418" w:hanging="709"/>
        <w:jc w:val="both"/>
        <w:rPr>
          <w:rFonts w:ascii="Arial" w:hAnsi="Arial" w:cs="Arial"/>
          <w:snapToGrid w:val="0"/>
          <w:lang w:eastAsia="en-US"/>
        </w:rPr>
      </w:pPr>
      <w:r w:rsidRPr="006F3400">
        <w:rPr>
          <w:rFonts w:ascii="Arial" w:hAnsi="Arial" w:cs="Arial"/>
          <w:lang w:eastAsia="en-US"/>
        </w:rPr>
        <w:t>Confirmation that any information previously supplied to the Authority in connection with the offer is still accurate and is incorporated by reference into the offer.</w:t>
      </w:r>
    </w:p>
    <w:p w14:paraId="3F8CDE9C" w14:textId="23EA5578" w:rsidR="003818A0" w:rsidRPr="00F1105A" w:rsidRDefault="003818A0" w:rsidP="00EE3013">
      <w:pPr>
        <w:spacing w:after="240"/>
        <w:jc w:val="both"/>
        <w:rPr>
          <w:rFonts w:ascii="Arial" w:hAnsi="Arial" w:cs="Arial"/>
          <w:snapToGrid w:val="0"/>
          <w:lang w:eastAsia="en-US"/>
        </w:rPr>
      </w:pPr>
    </w:p>
    <w:p w14:paraId="1A44CC35" w14:textId="77777777" w:rsidR="000331ED" w:rsidRPr="006F3400" w:rsidRDefault="000331ED" w:rsidP="0083255D">
      <w:pPr>
        <w:numPr>
          <w:ilvl w:val="1"/>
          <w:numId w:val="22"/>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5C5AD64F" w14:textId="77777777" w:rsidR="000331ED" w:rsidRPr="006F3400" w:rsidRDefault="000331ED" w:rsidP="0083255D">
      <w:pPr>
        <w:numPr>
          <w:ilvl w:val="1"/>
          <w:numId w:val="22"/>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w:t>
      </w:r>
      <w:r w:rsidRPr="00B835C2">
        <w:rPr>
          <w:rFonts w:ascii="Arial" w:hAnsi="Arial" w:cs="Arial"/>
          <w:snapToGrid w:val="0"/>
          <w:lang w:eastAsia="en-US"/>
        </w:rPr>
        <w:t xml:space="preserve">red to in paragraph </w:t>
      </w:r>
      <w:r w:rsidR="00B835C2" w:rsidRPr="00B835C2">
        <w:rPr>
          <w:rFonts w:ascii="Arial" w:hAnsi="Arial" w:cs="Arial"/>
          <w:snapToGrid w:val="0"/>
          <w:lang w:eastAsia="en-US"/>
        </w:rPr>
        <w:t>9.4</w:t>
      </w:r>
      <w:r w:rsidRPr="00B835C2">
        <w:rPr>
          <w:rFonts w:ascii="Arial" w:hAnsi="Arial" w:cs="Arial"/>
          <w:snapToGrid w:val="0"/>
          <w:lang w:eastAsia="en-US"/>
        </w:rPr>
        <w:t xml:space="preserve"> above</w:t>
      </w:r>
      <w:r w:rsidRPr="006F3400">
        <w:rPr>
          <w:rFonts w:ascii="Arial" w:hAnsi="Arial" w:cs="Arial"/>
          <w:snapToGrid w:val="0"/>
          <w:lang w:eastAsia="en-US"/>
        </w:rPr>
        <w:t xml:space="preserve"> must be completed in full.  Any offer may be rejected which -</w:t>
      </w:r>
    </w:p>
    <w:p w14:paraId="23DC725D" w14:textId="77777777" w:rsidR="000331ED" w:rsidRPr="006F3400" w:rsidRDefault="000331ED" w:rsidP="006F3400">
      <w:pPr>
        <w:tabs>
          <w:tab w:val="left" w:pos="709"/>
        </w:tabs>
        <w:ind w:left="709"/>
        <w:jc w:val="both"/>
        <w:rPr>
          <w:rFonts w:ascii="Arial" w:hAnsi="Arial" w:cs="Arial"/>
          <w:snapToGrid w:val="0"/>
          <w:lang w:eastAsia="en-US"/>
        </w:rPr>
      </w:pPr>
    </w:p>
    <w:p w14:paraId="5B1C0F35" w14:textId="77777777" w:rsidR="000331ED" w:rsidRPr="006F3400" w:rsidRDefault="00E12AD5" w:rsidP="006F3400">
      <w:pPr>
        <w:tabs>
          <w:tab w:val="left" w:pos="709"/>
        </w:tabs>
        <w:ind w:left="709"/>
        <w:jc w:val="both"/>
        <w:rPr>
          <w:rFonts w:ascii="Arial" w:hAnsi="Arial" w:cs="Arial"/>
          <w:snapToGrid w:val="0"/>
          <w:lang w:eastAsia="en-US"/>
        </w:rPr>
      </w:pPr>
      <w:r>
        <w:rPr>
          <w:rFonts w:ascii="Arial" w:hAnsi="Arial" w:cs="Arial"/>
          <w:lang w:eastAsia="en-US"/>
        </w:rPr>
        <w:t>9</w:t>
      </w:r>
      <w:r w:rsidR="00251B55" w:rsidRPr="006F3400">
        <w:rPr>
          <w:rFonts w:ascii="Arial" w:hAnsi="Arial" w:cs="Arial"/>
          <w:lang w:eastAsia="en-US"/>
        </w:rPr>
        <w:t>.</w:t>
      </w:r>
      <w:r>
        <w:rPr>
          <w:rFonts w:ascii="Arial" w:hAnsi="Arial" w:cs="Arial"/>
          <w:lang w:eastAsia="en-US"/>
        </w:rPr>
        <w:t>6</w:t>
      </w:r>
      <w:r w:rsidR="00251B55" w:rsidRPr="006F3400">
        <w:rPr>
          <w:rFonts w:ascii="Arial" w:hAnsi="Arial" w:cs="Arial"/>
          <w:lang w:eastAsia="en-US"/>
        </w:rPr>
        <w:t>.1</w:t>
      </w:r>
      <w:r w:rsidR="00251B55" w:rsidRPr="006F3400">
        <w:rPr>
          <w:rFonts w:ascii="Arial" w:hAnsi="Arial" w:cs="Arial"/>
          <w:lang w:eastAsia="en-US"/>
        </w:rPr>
        <w:tab/>
      </w:r>
      <w:r w:rsidR="000331ED" w:rsidRPr="006F3400">
        <w:rPr>
          <w:rFonts w:ascii="Arial" w:hAnsi="Arial" w:cs="Arial"/>
          <w:lang w:eastAsia="en-US"/>
        </w:rPr>
        <w:t xml:space="preserve">contains gaps, </w:t>
      </w:r>
      <w:proofErr w:type="gramStart"/>
      <w:r w:rsidR="000331ED" w:rsidRPr="006F3400">
        <w:rPr>
          <w:rFonts w:ascii="Arial" w:hAnsi="Arial" w:cs="Arial"/>
          <w:lang w:eastAsia="en-US"/>
        </w:rPr>
        <w:t>omissions</w:t>
      </w:r>
      <w:proofErr w:type="gramEnd"/>
      <w:r w:rsidR="000331ED" w:rsidRPr="006F3400">
        <w:rPr>
          <w:rFonts w:ascii="Arial" w:hAnsi="Arial" w:cs="Arial"/>
          <w:lang w:eastAsia="en-US"/>
        </w:rPr>
        <w:t xml:space="preserve"> or obvious errors; or</w:t>
      </w:r>
    </w:p>
    <w:p w14:paraId="5E8051A6" w14:textId="77777777" w:rsidR="000331ED" w:rsidRPr="006F3400" w:rsidRDefault="000331ED" w:rsidP="006F3400">
      <w:pPr>
        <w:tabs>
          <w:tab w:val="left" w:pos="709"/>
        </w:tabs>
        <w:ind w:left="709"/>
        <w:jc w:val="both"/>
        <w:rPr>
          <w:rFonts w:ascii="Arial" w:hAnsi="Arial" w:cs="Arial"/>
          <w:snapToGrid w:val="0"/>
          <w:lang w:eastAsia="en-US"/>
        </w:rPr>
      </w:pPr>
    </w:p>
    <w:p w14:paraId="7BC92EA2" w14:textId="77777777" w:rsidR="000331ED" w:rsidRPr="006F3400" w:rsidRDefault="00E12AD5" w:rsidP="006F3400">
      <w:pPr>
        <w:tabs>
          <w:tab w:val="left" w:pos="709"/>
        </w:tabs>
        <w:ind w:left="709"/>
        <w:jc w:val="both"/>
        <w:rPr>
          <w:rFonts w:ascii="Arial" w:hAnsi="Arial" w:cs="Arial"/>
          <w:snapToGrid w:val="0"/>
          <w:lang w:eastAsia="en-US"/>
        </w:rPr>
      </w:pPr>
      <w:r>
        <w:rPr>
          <w:rFonts w:ascii="Arial" w:hAnsi="Arial" w:cs="Arial"/>
          <w:lang w:eastAsia="en-US"/>
        </w:rPr>
        <w:t>9.6</w:t>
      </w:r>
      <w:r w:rsidR="00251B55" w:rsidRPr="006F3400">
        <w:rPr>
          <w:rFonts w:ascii="Arial" w:hAnsi="Arial" w:cs="Arial"/>
          <w:lang w:eastAsia="en-US"/>
        </w:rPr>
        <w:t>.2</w:t>
      </w:r>
      <w:r w:rsidR="00251B55"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700EFB2E" w14:textId="77777777" w:rsidR="000331ED" w:rsidRPr="006F3400" w:rsidRDefault="000331ED" w:rsidP="006F3400">
      <w:pPr>
        <w:ind w:left="709"/>
        <w:rPr>
          <w:rFonts w:ascii="Arial" w:hAnsi="Arial" w:cs="Arial"/>
          <w:snapToGrid w:val="0"/>
          <w:lang w:eastAsia="en-US"/>
        </w:rPr>
      </w:pPr>
    </w:p>
    <w:p w14:paraId="09C6F725" w14:textId="77777777" w:rsidR="00251B55" w:rsidRPr="006F3400" w:rsidRDefault="000331ED" w:rsidP="0083255D">
      <w:pPr>
        <w:numPr>
          <w:ilvl w:val="1"/>
          <w:numId w:val="22"/>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proofErr w:type="spellStart"/>
      <w:r w:rsidR="00B61A35">
        <w:rPr>
          <w:rFonts w:ascii="Arial" w:hAnsi="Arial" w:cs="Arial"/>
          <w:snapToGrid w:val="0"/>
          <w:lang w:eastAsia="en-US"/>
        </w:rPr>
        <w:t>Atamis</w:t>
      </w:r>
      <w:proofErr w:type="spellEnd"/>
      <w:r w:rsidR="00B61A35">
        <w:rPr>
          <w:rFonts w:ascii="Arial" w:hAnsi="Arial" w:cs="Arial"/>
          <w:snapToGrid w:val="0"/>
          <w:lang w:eastAsia="en-US"/>
        </w:rPr>
        <w:t xml:space="preserve">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3103FB6B" w14:textId="77777777" w:rsidR="000331ED" w:rsidRPr="00C13C20" w:rsidRDefault="000331ED" w:rsidP="00934357">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w:t>
      </w:r>
      <w:proofErr w:type="gramStart"/>
      <w:r w:rsidRPr="006F3400">
        <w:rPr>
          <w:rFonts w:ascii="Arial" w:hAnsi="Arial" w:cs="Arial"/>
          <w:snapToGrid w:val="0"/>
          <w:lang w:eastAsia="en-US"/>
        </w:rPr>
        <w:t>in order to</w:t>
      </w:r>
      <w:proofErr w:type="gramEnd"/>
      <w:r w:rsidRPr="006F3400">
        <w:rPr>
          <w:rFonts w:ascii="Arial" w:hAnsi="Arial" w:cs="Arial"/>
          <w:snapToGrid w:val="0"/>
          <w:lang w:eastAsia="en-US"/>
        </w:rPr>
        <w:t xml:space="preserve">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w:t>
      </w:r>
      <w:r w:rsidRPr="00C13C20">
        <w:rPr>
          <w:rFonts w:ascii="Arial" w:hAnsi="Arial" w:cs="Arial"/>
          <w:snapToGrid w:val="0"/>
          <w:lang w:eastAsia="en-US"/>
        </w:rPr>
        <w:t>the chance either to withdraw your query or have it answered. If the latter, then the Authority will disclose the query and the response to all other Offerors.</w:t>
      </w:r>
    </w:p>
    <w:p w14:paraId="00D0FB76" w14:textId="77777777" w:rsidR="000331ED" w:rsidRPr="00EA22C8" w:rsidRDefault="00945F7A" w:rsidP="006F3400">
      <w:pPr>
        <w:jc w:val="both"/>
        <w:rPr>
          <w:rFonts w:ascii="Arial" w:hAnsi="Arial" w:cs="Arial"/>
          <w:snapToGrid w:val="0"/>
          <w:lang w:eastAsia="en-US"/>
        </w:rPr>
      </w:pPr>
      <w:hyperlink w:history="1"/>
    </w:p>
    <w:p w14:paraId="6C4B8B32" w14:textId="038FA4D6" w:rsidR="000331ED" w:rsidRPr="00694884" w:rsidRDefault="000331ED" w:rsidP="0083255D">
      <w:pPr>
        <w:numPr>
          <w:ilvl w:val="1"/>
          <w:numId w:val="22"/>
        </w:numPr>
        <w:ind w:left="720" w:hanging="720"/>
        <w:jc w:val="both"/>
        <w:rPr>
          <w:rFonts w:ascii="Arial" w:hAnsi="Arial" w:cs="Arial"/>
          <w:snapToGrid w:val="0"/>
          <w:lang w:eastAsia="en-US"/>
        </w:rPr>
      </w:pPr>
      <w:r w:rsidRPr="00694884">
        <w:rPr>
          <w:rFonts w:ascii="Arial" w:hAnsi="Arial" w:cs="Arial"/>
          <w:snapToGrid w:val="0"/>
          <w:lang w:eastAsia="en-US"/>
        </w:rPr>
        <w:t>Offers and all documents relating to the offers must be written in English and submitted to the Authority via the Authority’s electronic tendering system by</w:t>
      </w:r>
      <w:r w:rsidRPr="00694884">
        <w:rPr>
          <w:rFonts w:ascii="Arial" w:hAnsi="Arial" w:cs="Arial"/>
          <w:lang w:eastAsia="en-US"/>
        </w:rPr>
        <w:t xml:space="preserve"> </w:t>
      </w:r>
      <w:r w:rsidRPr="00694884">
        <w:rPr>
          <w:rFonts w:ascii="Arial" w:hAnsi="Arial" w:cs="Arial"/>
          <w:b/>
        </w:rPr>
        <w:t xml:space="preserve">13:00 hours on </w:t>
      </w:r>
      <w:r w:rsidR="00694884" w:rsidRPr="00694884">
        <w:rPr>
          <w:rFonts w:ascii="Arial" w:hAnsi="Arial" w:cs="Arial"/>
          <w:b/>
        </w:rPr>
        <w:t>21 February 2023</w:t>
      </w:r>
    </w:p>
    <w:p w14:paraId="2927F940" w14:textId="77777777" w:rsidR="000331ED" w:rsidRPr="006F3400" w:rsidRDefault="000331ED" w:rsidP="00CD562E">
      <w:pPr>
        <w:jc w:val="both"/>
        <w:rPr>
          <w:rFonts w:ascii="Arial" w:hAnsi="Arial" w:cs="Arial"/>
        </w:rPr>
      </w:pPr>
    </w:p>
    <w:p w14:paraId="7D91C378" w14:textId="02DAF6C9" w:rsidR="005A1297" w:rsidRPr="006A4E79" w:rsidRDefault="002B3D37" w:rsidP="00F1105A">
      <w:pPr>
        <w:pStyle w:val="Heading1"/>
        <w:tabs>
          <w:tab w:val="left" w:pos="567"/>
          <w:tab w:val="left" w:pos="709"/>
        </w:tabs>
        <w:rPr>
          <w:color w:val="FF0000"/>
          <w:sz w:val="24"/>
          <w:szCs w:val="24"/>
        </w:rPr>
      </w:pPr>
      <w:r>
        <w:rPr>
          <w:b/>
          <w:sz w:val="24"/>
          <w:szCs w:val="24"/>
        </w:rPr>
        <w:t>10</w:t>
      </w:r>
      <w:r w:rsidR="005A1297" w:rsidRPr="006F3400">
        <w:rPr>
          <w:b/>
          <w:sz w:val="24"/>
          <w:szCs w:val="24"/>
        </w:rPr>
        <w:t>.</w:t>
      </w:r>
      <w:r w:rsidR="00934357">
        <w:rPr>
          <w:sz w:val="24"/>
          <w:szCs w:val="24"/>
        </w:rPr>
        <w:tab/>
      </w:r>
      <w:r w:rsidR="00F1105A">
        <w:rPr>
          <w:sz w:val="24"/>
          <w:szCs w:val="24"/>
        </w:rPr>
        <w:tab/>
      </w:r>
      <w:r w:rsidR="005A1297" w:rsidRPr="006F3400">
        <w:rPr>
          <w:b/>
          <w:sz w:val="24"/>
          <w:szCs w:val="24"/>
        </w:rPr>
        <w:t xml:space="preserve">The Authority’s </w:t>
      </w:r>
      <w:r w:rsidR="00CE1467" w:rsidRPr="006F3400">
        <w:rPr>
          <w:b/>
          <w:sz w:val="24"/>
          <w:szCs w:val="24"/>
        </w:rPr>
        <w:t>R</w:t>
      </w:r>
      <w:r w:rsidR="005A1297" w:rsidRPr="006F3400">
        <w:rPr>
          <w:b/>
          <w:sz w:val="24"/>
          <w:szCs w:val="24"/>
        </w:rPr>
        <w:t>ights</w:t>
      </w:r>
      <w:r w:rsidR="006A4E79">
        <w:rPr>
          <w:b/>
          <w:sz w:val="24"/>
          <w:szCs w:val="24"/>
        </w:rPr>
        <w:t xml:space="preserve"> </w:t>
      </w:r>
    </w:p>
    <w:p w14:paraId="5C04CDC6"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3F571672" w14:textId="253A2209" w:rsidR="00F15049" w:rsidRPr="006F3400" w:rsidRDefault="002B3D37" w:rsidP="00F15049">
      <w:pPr>
        <w:keepNext/>
        <w:ind w:left="567" w:hanging="567"/>
        <w:jc w:val="both"/>
        <w:outlineLvl w:val="0"/>
        <w:rPr>
          <w:rFonts w:ascii="Arial" w:hAnsi="Arial" w:cs="Arial"/>
        </w:rPr>
      </w:pPr>
      <w:r>
        <w:rPr>
          <w:rFonts w:ascii="Arial" w:hAnsi="Arial" w:cs="Arial"/>
        </w:rPr>
        <w:t>10</w:t>
      </w:r>
      <w:r w:rsidR="00F15049" w:rsidRPr="006F3400">
        <w:rPr>
          <w:rFonts w:ascii="Arial" w:hAnsi="Arial" w:cs="Arial"/>
        </w:rPr>
        <w:t>.1</w:t>
      </w:r>
      <w:r w:rsidR="0027782D" w:rsidRPr="006F3400">
        <w:rPr>
          <w:rFonts w:ascii="Arial" w:hAnsi="Arial" w:cs="Arial"/>
        </w:rPr>
        <w:tab/>
      </w:r>
      <w:r w:rsidR="00F1105A">
        <w:rPr>
          <w:rFonts w:ascii="Arial" w:hAnsi="Arial" w:cs="Arial"/>
        </w:rPr>
        <w:tab/>
      </w:r>
      <w:r w:rsidR="00F15049" w:rsidRPr="006F3400">
        <w:rPr>
          <w:rFonts w:ascii="Arial" w:hAnsi="Arial" w:cs="Arial"/>
        </w:rPr>
        <w:t>The Authority reserves the right to:</w:t>
      </w:r>
    </w:p>
    <w:p w14:paraId="0B04F460" w14:textId="77777777" w:rsidR="00F15049" w:rsidRPr="006F3400" w:rsidRDefault="00F15049" w:rsidP="00F15049">
      <w:pPr>
        <w:jc w:val="both"/>
        <w:outlineLvl w:val="1"/>
        <w:rPr>
          <w:rFonts w:ascii="Arial" w:hAnsi="Arial" w:cs="Arial"/>
        </w:rPr>
      </w:pPr>
    </w:p>
    <w:p w14:paraId="581FBBFF" w14:textId="77777777" w:rsidR="00F15049" w:rsidRPr="006F3400" w:rsidRDefault="002B3D37" w:rsidP="00F1105A">
      <w:pPr>
        <w:tabs>
          <w:tab w:val="left" w:pos="720"/>
        </w:tabs>
        <w:ind w:left="1418" w:hanging="698"/>
        <w:jc w:val="both"/>
        <w:outlineLvl w:val="1"/>
        <w:rPr>
          <w:rFonts w:ascii="Arial" w:hAnsi="Arial" w:cs="Arial"/>
        </w:rPr>
      </w:pPr>
      <w:r>
        <w:rPr>
          <w:rFonts w:ascii="Arial" w:hAnsi="Arial" w:cs="Arial"/>
        </w:rPr>
        <w:t>10</w:t>
      </w:r>
      <w:r w:rsidR="00F15049" w:rsidRPr="006F3400">
        <w:rPr>
          <w:rFonts w:ascii="Arial" w:hAnsi="Arial" w:cs="Arial"/>
        </w:rPr>
        <w:t>.1.1</w:t>
      </w:r>
      <w:r w:rsidR="00F15049" w:rsidRPr="006F3400">
        <w:rPr>
          <w:rFonts w:ascii="Arial" w:hAnsi="Arial" w:cs="Arial"/>
        </w:rPr>
        <w:tab/>
        <w:t xml:space="preserve">waive or change the requirements of this Invitation to Offer from time to time without prior (or any) notice being given by the </w:t>
      </w:r>
      <w:proofErr w:type="gramStart"/>
      <w:r w:rsidR="00F15049" w:rsidRPr="006F3400">
        <w:rPr>
          <w:rFonts w:ascii="Arial" w:hAnsi="Arial" w:cs="Arial"/>
        </w:rPr>
        <w:t>Authority;</w:t>
      </w:r>
      <w:proofErr w:type="gramEnd"/>
    </w:p>
    <w:p w14:paraId="547C1D85" w14:textId="77777777" w:rsidR="00F15049" w:rsidRPr="006F3400" w:rsidRDefault="00F15049" w:rsidP="006F3400">
      <w:pPr>
        <w:ind w:left="1418" w:hanging="851"/>
        <w:jc w:val="both"/>
        <w:outlineLvl w:val="1"/>
        <w:rPr>
          <w:rFonts w:ascii="Arial" w:hAnsi="Arial" w:cs="Arial"/>
        </w:rPr>
      </w:pPr>
    </w:p>
    <w:p w14:paraId="38856922" w14:textId="24243CFE" w:rsidR="00F15049" w:rsidRPr="006F3400" w:rsidRDefault="00F1105A" w:rsidP="00F1105A">
      <w:pPr>
        <w:pStyle w:val="PCSchedule2"/>
        <w:numPr>
          <w:ilvl w:val="0"/>
          <w:numId w:val="0"/>
        </w:numPr>
        <w:tabs>
          <w:tab w:val="left" w:pos="709"/>
        </w:tabs>
        <w:spacing w:after="0"/>
        <w:ind w:left="567"/>
        <w:rPr>
          <w:rFonts w:cs="Arial"/>
          <w:sz w:val="24"/>
          <w:szCs w:val="24"/>
        </w:rPr>
      </w:pPr>
      <w:r>
        <w:rPr>
          <w:rFonts w:cs="Arial"/>
          <w:sz w:val="24"/>
          <w:szCs w:val="24"/>
        </w:rPr>
        <w:tab/>
      </w:r>
      <w:r w:rsidR="002B3D37">
        <w:rPr>
          <w:rFonts w:cs="Arial"/>
          <w:sz w:val="24"/>
          <w:szCs w:val="24"/>
        </w:rPr>
        <w:t>10</w:t>
      </w:r>
      <w:r w:rsidR="006F3400">
        <w:rPr>
          <w:rFonts w:cs="Arial"/>
          <w:sz w:val="24"/>
          <w:szCs w:val="24"/>
        </w:rPr>
        <w:t>.1.2</w:t>
      </w:r>
      <w:r w:rsidR="006F3400">
        <w:rPr>
          <w:rFonts w:cs="Arial"/>
          <w:sz w:val="24"/>
          <w:szCs w:val="24"/>
        </w:rPr>
        <w:tab/>
      </w:r>
      <w:r w:rsidR="00F15049" w:rsidRPr="006F3400">
        <w:rPr>
          <w:rFonts w:cs="Arial"/>
          <w:sz w:val="24"/>
          <w:szCs w:val="24"/>
        </w:rPr>
        <w:t xml:space="preserve">seek clarification or documents in respect of an Offeror's </w:t>
      </w:r>
      <w:proofErr w:type="gramStart"/>
      <w:r w:rsidR="00F15049" w:rsidRPr="006F3400">
        <w:rPr>
          <w:rFonts w:cs="Arial"/>
          <w:sz w:val="24"/>
          <w:szCs w:val="24"/>
        </w:rPr>
        <w:t>submission;</w:t>
      </w:r>
      <w:proofErr w:type="gramEnd"/>
    </w:p>
    <w:p w14:paraId="711F13D1" w14:textId="77777777" w:rsidR="00F15049" w:rsidRPr="006F3400" w:rsidRDefault="00F15049" w:rsidP="006F3400">
      <w:pPr>
        <w:pStyle w:val="ListParagraph"/>
        <w:spacing w:before="0" w:after="0" w:line="240" w:lineRule="auto"/>
        <w:ind w:left="1418" w:hanging="851"/>
        <w:jc w:val="both"/>
      </w:pPr>
    </w:p>
    <w:p w14:paraId="50482A4B" w14:textId="77777777" w:rsidR="00F15049" w:rsidRPr="006F3400" w:rsidRDefault="002B3D37" w:rsidP="00F1105A">
      <w:pPr>
        <w:pStyle w:val="PCSchedule2"/>
        <w:numPr>
          <w:ilvl w:val="0"/>
          <w:numId w:val="0"/>
        </w:numPr>
        <w:spacing w:after="0"/>
        <w:ind w:left="1418" w:hanging="709"/>
        <w:rPr>
          <w:rFonts w:cs="Arial"/>
          <w:sz w:val="24"/>
          <w:szCs w:val="24"/>
        </w:rPr>
      </w:pPr>
      <w:r>
        <w:rPr>
          <w:rFonts w:cs="Arial"/>
          <w:sz w:val="24"/>
          <w:szCs w:val="24"/>
        </w:rPr>
        <w:t>10</w:t>
      </w:r>
      <w:r w:rsidR="00F15049" w:rsidRPr="006F3400">
        <w:rPr>
          <w:rFonts w:cs="Arial"/>
          <w:sz w:val="24"/>
          <w:szCs w:val="24"/>
        </w:rPr>
        <w:t>.1.3</w:t>
      </w:r>
      <w:r w:rsidR="00F15049" w:rsidRPr="006F3400">
        <w:rPr>
          <w:rFonts w:cs="Arial"/>
          <w:sz w:val="24"/>
          <w:szCs w:val="24"/>
        </w:rPr>
        <w:tab/>
        <w:t xml:space="preserve">disqualify any Offeror that does not submit a compliant Offer in accordance with the instructions in this Invitation to </w:t>
      </w:r>
      <w:proofErr w:type="gramStart"/>
      <w:r w:rsidR="00F15049" w:rsidRPr="006F3400">
        <w:rPr>
          <w:rFonts w:cs="Arial"/>
          <w:sz w:val="24"/>
          <w:szCs w:val="24"/>
        </w:rPr>
        <w:t>Offer;</w:t>
      </w:r>
      <w:proofErr w:type="gramEnd"/>
    </w:p>
    <w:p w14:paraId="7B8B5257" w14:textId="77777777" w:rsidR="00F15049" w:rsidRPr="006F3400" w:rsidRDefault="00F15049" w:rsidP="00F1105A">
      <w:pPr>
        <w:pStyle w:val="PCSchedule2"/>
        <w:numPr>
          <w:ilvl w:val="0"/>
          <w:numId w:val="0"/>
        </w:numPr>
        <w:spacing w:after="0"/>
        <w:ind w:left="1418" w:hanging="709"/>
        <w:rPr>
          <w:rFonts w:cs="Arial"/>
          <w:sz w:val="24"/>
          <w:szCs w:val="24"/>
        </w:rPr>
      </w:pPr>
    </w:p>
    <w:p w14:paraId="2AE2BE4E" w14:textId="77777777" w:rsidR="00F15049" w:rsidRPr="006F3400" w:rsidRDefault="00747EB5" w:rsidP="00F1105A">
      <w:pPr>
        <w:pStyle w:val="PCSchedule2"/>
        <w:numPr>
          <w:ilvl w:val="0"/>
          <w:numId w:val="0"/>
        </w:numPr>
        <w:spacing w:after="0"/>
        <w:ind w:left="1418" w:hanging="709"/>
        <w:rPr>
          <w:rFonts w:cs="Arial"/>
          <w:sz w:val="24"/>
          <w:szCs w:val="24"/>
        </w:rPr>
      </w:pPr>
      <w:r>
        <w:rPr>
          <w:rFonts w:cs="Arial"/>
          <w:sz w:val="24"/>
          <w:szCs w:val="24"/>
        </w:rPr>
        <w:t>10</w:t>
      </w:r>
      <w:r w:rsidR="00F15049" w:rsidRPr="006F3400">
        <w:rPr>
          <w:rFonts w:cs="Arial"/>
          <w:sz w:val="24"/>
          <w:szCs w:val="24"/>
        </w:rPr>
        <w:t>.1.4</w:t>
      </w:r>
      <w:r w:rsidR="00F15049" w:rsidRPr="006F3400">
        <w:rPr>
          <w:rFonts w:cs="Arial"/>
          <w:sz w:val="24"/>
          <w:szCs w:val="24"/>
        </w:rPr>
        <w:tab/>
        <w:t xml:space="preserve">disqualify any Offeror that is guilty of serious misrepresentation in relation to its Offer or the procurement </w:t>
      </w:r>
      <w:proofErr w:type="gramStart"/>
      <w:r w:rsidR="00F15049" w:rsidRPr="006F3400">
        <w:rPr>
          <w:rFonts w:cs="Arial"/>
          <w:sz w:val="24"/>
          <w:szCs w:val="24"/>
        </w:rPr>
        <w:t>process;</w:t>
      </w:r>
      <w:proofErr w:type="gramEnd"/>
    </w:p>
    <w:p w14:paraId="57AB82FD" w14:textId="77777777" w:rsidR="00F15049" w:rsidRPr="006F3400" w:rsidRDefault="00F15049" w:rsidP="00F1105A">
      <w:pPr>
        <w:pStyle w:val="PCSchedule2"/>
        <w:numPr>
          <w:ilvl w:val="0"/>
          <w:numId w:val="0"/>
        </w:numPr>
        <w:spacing w:after="0"/>
        <w:ind w:left="1418" w:hanging="709"/>
        <w:rPr>
          <w:rFonts w:cs="Arial"/>
          <w:sz w:val="24"/>
          <w:szCs w:val="24"/>
        </w:rPr>
      </w:pPr>
    </w:p>
    <w:p w14:paraId="69CCF6C7" w14:textId="77777777" w:rsidR="0035419C" w:rsidRDefault="00F15049" w:rsidP="00F1105A">
      <w:pPr>
        <w:pStyle w:val="PCSchedule2"/>
        <w:numPr>
          <w:ilvl w:val="2"/>
          <w:numId w:val="23"/>
        </w:numPr>
        <w:spacing w:after="0"/>
        <w:ind w:left="1418" w:hanging="709"/>
        <w:rPr>
          <w:rFonts w:cs="Arial"/>
          <w:sz w:val="24"/>
          <w:szCs w:val="24"/>
        </w:rPr>
      </w:pPr>
      <w:r w:rsidRPr="006F3400">
        <w:rPr>
          <w:rFonts w:cs="Arial"/>
          <w:sz w:val="24"/>
          <w:szCs w:val="24"/>
        </w:rPr>
        <w:t xml:space="preserve">withdraw this Invitation to Offer at any time, or re-invite Offers on the same or any alternative </w:t>
      </w:r>
      <w:proofErr w:type="gramStart"/>
      <w:r w:rsidRPr="006F3400">
        <w:rPr>
          <w:rFonts w:cs="Arial"/>
          <w:sz w:val="24"/>
          <w:szCs w:val="24"/>
        </w:rPr>
        <w:t>basis;</w:t>
      </w:r>
      <w:proofErr w:type="gramEnd"/>
      <w:r w:rsidR="0035419C" w:rsidRPr="006F3400">
        <w:rPr>
          <w:rFonts w:cs="Arial"/>
          <w:sz w:val="24"/>
          <w:szCs w:val="24"/>
        </w:rPr>
        <w:t xml:space="preserve"> </w:t>
      </w:r>
    </w:p>
    <w:p w14:paraId="77242C72" w14:textId="77777777" w:rsidR="00747EB5" w:rsidRPr="006F3400" w:rsidRDefault="00747EB5" w:rsidP="00F1105A">
      <w:pPr>
        <w:pStyle w:val="PCSchedule2"/>
        <w:numPr>
          <w:ilvl w:val="0"/>
          <w:numId w:val="0"/>
        </w:numPr>
        <w:spacing w:after="0"/>
        <w:ind w:left="1418" w:hanging="709"/>
        <w:rPr>
          <w:rFonts w:cs="Arial"/>
          <w:sz w:val="24"/>
          <w:szCs w:val="24"/>
        </w:rPr>
      </w:pPr>
    </w:p>
    <w:p w14:paraId="41CA10CB" w14:textId="77777777" w:rsidR="0035419C" w:rsidRPr="006F3400" w:rsidRDefault="00F15049" w:rsidP="00F1105A">
      <w:pPr>
        <w:pStyle w:val="PCSchedule2"/>
        <w:numPr>
          <w:ilvl w:val="2"/>
          <w:numId w:val="23"/>
        </w:numPr>
        <w:spacing w:after="0"/>
        <w:ind w:left="1418" w:hanging="709"/>
        <w:rPr>
          <w:rFonts w:cs="Arial"/>
          <w:sz w:val="24"/>
          <w:szCs w:val="24"/>
        </w:rPr>
      </w:pPr>
      <w:r w:rsidRPr="006F3400">
        <w:rPr>
          <w:rFonts w:cs="Arial"/>
          <w:sz w:val="24"/>
          <w:szCs w:val="24"/>
        </w:rPr>
        <w:t xml:space="preserve">accept an Offer either in whole or in part, each item being for this purpose treated as offered </w:t>
      </w:r>
      <w:proofErr w:type="gramStart"/>
      <w:r w:rsidRPr="006F3400">
        <w:rPr>
          <w:rFonts w:cs="Arial"/>
          <w:sz w:val="24"/>
          <w:szCs w:val="24"/>
        </w:rPr>
        <w:t>separately;</w:t>
      </w:r>
      <w:proofErr w:type="gramEnd"/>
      <w:r w:rsidR="0035419C" w:rsidRPr="006F3400">
        <w:rPr>
          <w:rFonts w:cs="Arial"/>
          <w:sz w:val="24"/>
          <w:szCs w:val="24"/>
        </w:rPr>
        <w:t xml:space="preserve"> </w:t>
      </w:r>
    </w:p>
    <w:p w14:paraId="7FF30D7D" w14:textId="77777777" w:rsidR="00251B55" w:rsidRPr="006F3400" w:rsidRDefault="00251B55" w:rsidP="00F1105A">
      <w:pPr>
        <w:pStyle w:val="PCSchedule2"/>
        <w:numPr>
          <w:ilvl w:val="0"/>
          <w:numId w:val="0"/>
        </w:numPr>
        <w:spacing w:after="0"/>
        <w:ind w:left="566" w:hanging="709"/>
        <w:rPr>
          <w:rFonts w:cs="Arial"/>
          <w:sz w:val="24"/>
          <w:szCs w:val="24"/>
        </w:rPr>
      </w:pPr>
    </w:p>
    <w:p w14:paraId="2A597B22" w14:textId="77777777" w:rsidR="0035419C" w:rsidRDefault="00F15049" w:rsidP="00F1105A">
      <w:pPr>
        <w:pStyle w:val="PCSchedule2"/>
        <w:numPr>
          <w:ilvl w:val="2"/>
          <w:numId w:val="23"/>
        </w:numPr>
        <w:spacing w:after="0"/>
        <w:ind w:left="1418" w:hanging="709"/>
        <w:rPr>
          <w:rFonts w:cs="Arial"/>
          <w:sz w:val="24"/>
          <w:szCs w:val="24"/>
        </w:rPr>
      </w:pPr>
      <w:r w:rsidRPr="006F3400">
        <w:rPr>
          <w:rFonts w:cs="Arial"/>
          <w:sz w:val="24"/>
          <w:szCs w:val="24"/>
        </w:rPr>
        <w:t xml:space="preserve">choose not to award any framework agreement as a result of the procurement process for any </w:t>
      </w:r>
      <w:proofErr w:type="gramStart"/>
      <w:r w:rsidRPr="006F3400">
        <w:rPr>
          <w:rFonts w:cs="Arial"/>
          <w:sz w:val="24"/>
          <w:szCs w:val="24"/>
        </w:rPr>
        <w:t>reason;</w:t>
      </w:r>
      <w:proofErr w:type="gramEnd"/>
      <w:r w:rsidRPr="006F3400">
        <w:rPr>
          <w:rFonts w:cs="Arial"/>
          <w:sz w:val="24"/>
          <w:szCs w:val="24"/>
        </w:rPr>
        <w:t xml:space="preserve"> </w:t>
      </w:r>
    </w:p>
    <w:p w14:paraId="45D5919B" w14:textId="77777777" w:rsidR="0096200C" w:rsidRPr="0096200C" w:rsidRDefault="0096200C" w:rsidP="00F1105A">
      <w:pPr>
        <w:pStyle w:val="PCSchedule2"/>
        <w:numPr>
          <w:ilvl w:val="0"/>
          <w:numId w:val="0"/>
        </w:numPr>
        <w:spacing w:after="0"/>
        <w:ind w:left="1418" w:hanging="709"/>
        <w:rPr>
          <w:rFonts w:cs="Arial"/>
          <w:sz w:val="24"/>
          <w:szCs w:val="24"/>
        </w:rPr>
      </w:pPr>
    </w:p>
    <w:p w14:paraId="2D3FC160" w14:textId="77777777" w:rsidR="00285694" w:rsidRDefault="00F15049" w:rsidP="00F1105A">
      <w:pPr>
        <w:pStyle w:val="PCSchedule2"/>
        <w:numPr>
          <w:ilvl w:val="2"/>
          <w:numId w:val="23"/>
        </w:numPr>
        <w:spacing w:after="0"/>
        <w:ind w:left="1418" w:hanging="709"/>
        <w:rPr>
          <w:rFonts w:cs="Arial"/>
          <w:sz w:val="24"/>
          <w:szCs w:val="24"/>
        </w:rPr>
      </w:pPr>
      <w:r w:rsidRPr="006F3400">
        <w:rPr>
          <w:rFonts w:cs="Arial"/>
          <w:sz w:val="24"/>
          <w:szCs w:val="24"/>
        </w:rPr>
        <w:t xml:space="preserve">make whatever changes it sees fit to the timetable, </w:t>
      </w:r>
      <w:proofErr w:type="gramStart"/>
      <w:r w:rsidRPr="006F3400">
        <w:rPr>
          <w:rFonts w:cs="Arial"/>
          <w:sz w:val="24"/>
          <w:szCs w:val="24"/>
        </w:rPr>
        <w:t>structure</w:t>
      </w:r>
      <w:proofErr w:type="gramEnd"/>
      <w:r w:rsidRPr="006F3400">
        <w:rPr>
          <w:rFonts w:cs="Arial"/>
          <w:sz w:val="24"/>
          <w:szCs w:val="24"/>
        </w:rPr>
        <w:t xml:space="preserve"> or content of the procurement process, depending on approvals processes or for any other reason; and/or</w:t>
      </w:r>
      <w:r w:rsidR="0035419C" w:rsidRPr="006F3400">
        <w:rPr>
          <w:rFonts w:cs="Arial"/>
          <w:sz w:val="24"/>
          <w:szCs w:val="24"/>
        </w:rPr>
        <w:t xml:space="preserve"> </w:t>
      </w:r>
    </w:p>
    <w:p w14:paraId="01EA4018" w14:textId="77777777" w:rsidR="00285694" w:rsidRDefault="00285694" w:rsidP="00285694">
      <w:pPr>
        <w:pStyle w:val="PCSchedule2"/>
        <w:numPr>
          <w:ilvl w:val="0"/>
          <w:numId w:val="0"/>
        </w:numPr>
        <w:spacing w:after="0"/>
        <w:ind w:left="1418"/>
        <w:rPr>
          <w:rFonts w:cs="Arial"/>
          <w:sz w:val="24"/>
          <w:szCs w:val="24"/>
        </w:rPr>
      </w:pPr>
    </w:p>
    <w:p w14:paraId="12A97F63" w14:textId="77777777" w:rsidR="00F15049" w:rsidRPr="00285694" w:rsidRDefault="00F15049" w:rsidP="00F1105A">
      <w:pPr>
        <w:pStyle w:val="PCSchedule2"/>
        <w:numPr>
          <w:ilvl w:val="2"/>
          <w:numId w:val="23"/>
        </w:numPr>
        <w:spacing w:after="0"/>
        <w:ind w:left="1418" w:hanging="709"/>
        <w:rPr>
          <w:rFonts w:cs="Arial"/>
          <w:sz w:val="24"/>
          <w:szCs w:val="24"/>
        </w:rPr>
      </w:pPr>
      <w:r w:rsidRPr="00285694">
        <w:rPr>
          <w:rFonts w:cs="Arial"/>
          <w:sz w:val="24"/>
          <w:szCs w:val="24"/>
        </w:rPr>
        <w:t>at any time terminate the procurement process for any reason.</w:t>
      </w:r>
    </w:p>
    <w:p w14:paraId="0B88A1F5" w14:textId="77777777" w:rsidR="003C6FCF" w:rsidRDefault="003C6FCF" w:rsidP="006F3400">
      <w:pPr>
        <w:pStyle w:val="PCSchedule2"/>
        <w:numPr>
          <w:ilvl w:val="0"/>
          <w:numId w:val="0"/>
        </w:numPr>
        <w:spacing w:after="0"/>
        <w:rPr>
          <w:rFonts w:cs="Arial"/>
          <w:sz w:val="24"/>
          <w:szCs w:val="24"/>
        </w:rPr>
      </w:pPr>
    </w:p>
    <w:p w14:paraId="13B9E5D6" w14:textId="77777777" w:rsidR="00747EB5" w:rsidRPr="006F3400" w:rsidRDefault="00747EB5" w:rsidP="006F3400">
      <w:pPr>
        <w:pStyle w:val="PCSchedule2"/>
        <w:numPr>
          <w:ilvl w:val="0"/>
          <w:numId w:val="0"/>
        </w:numPr>
        <w:spacing w:after="0"/>
        <w:rPr>
          <w:rFonts w:cs="Arial"/>
          <w:sz w:val="24"/>
          <w:szCs w:val="24"/>
        </w:rPr>
      </w:pPr>
    </w:p>
    <w:p w14:paraId="5DB2EE33" w14:textId="77777777" w:rsidR="003C6FCF" w:rsidRPr="006A4E79" w:rsidRDefault="003C6FCF" w:rsidP="00F1105A">
      <w:pPr>
        <w:tabs>
          <w:tab w:val="left" w:pos="142"/>
          <w:tab w:val="left" w:pos="567"/>
        </w:tabs>
        <w:jc w:val="both"/>
        <w:rPr>
          <w:rFonts w:ascii="Arial" w:hAnsi="Arial" w:cs="Arial"/>
          <w:b/>
          <w:color w:val="FF0000"/>
        </w:rPr>
      </w:pPr>
      <w:bookmarkStart w:id="8" w:name="_Toc403555140"/>
      <w:r w:rsidRPr="006F3400">
        <w:rPr>
          <w:rFonts w:ascii="Arial" w:hAnsi="Arial" w:cs="Arial"/>
          <w:b/>
          <w:color w:val="000000"/>
        </w:rPr>
        <w:t>1</w:t>
      </w:r>
      <w:r w:rsidR="00747EB5">
        <w:rPr>
          <w:rFonts w:ascii="Arial" w:hAnsi="Arial" w:cs="Arial"/>
          <w:b/>
          <w:color w:val="000000"/>
        </w:rPr>
        <w:t>1</w:t>
      </w:r>
      <w:r w:rsidRPr="006F3400">
        <w:rPr>
          <w:rFonts w:ascii="Arial" w:hAnsi="Arial" w:cs="Arial"/>
          <w:b/>
          <w:color w:val="000000"/>
        </w:rPr>
        <w:t>.</w:t>
      </w:r>
      <w:r w:rsidRPr="006F3400">
        <w:rPr>
          <w:rFonts w:ascii="Arial" w:hAnsi="Arial" w:cs="Arial"/>
          <w:b/>
          <w:color w:val="000000"/>
        </w:rPr>
        <w:tab/>
        <w:t>Warnings and disclaimers</w:t>
      </w:r>
      <w:bookmarkEnd w:id="8"/>
      <w:r w:rsidR="006A4E79">
        <w:rPr>
          <w:rFonts w:ascii="Arial" w:hAnsi="Arial" w:cs="Arial"/>
          <w:b/>
          <w:color w:val="000000"/>
        </w:rPr>
        <w:t xml:space="preserve"> </w:t>
      </w:r>
    </w:p>
    <w:p w14:paraId="346901DB" w14:textId="77777777" w:rsidR="003C6FCF" w:rsidRPr="006F3400" w:rsidRDefault="003C6FCF" w:rsidP="006F3400">
      <w:pPr>
        <w:keepNext/>
        <w:ind w:left="567" w:hanging="567"/>
        <w:jc w:val="both"/>
        <w:outlineLvl w:val="0"/>
        <w:rPr>
          <w:rFonts w:ascii="Arial" w:hAnsi="Arial" w:cs="Arial"/>
          <w:b/>
          <w:color w:val="000000"/>
        </w:rPr>
      </w:pPr>
    </w:p>
    <w:p w14:paraId="3B78F48B"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9" w:name="_Toc403555141"/>
      <w:r w:rsidRPr="006F3400">
        <w:rPr>
          <w:rFonts w:ascii="Arial" w:hAnsi="Arial" w:cs="Arial"/>
        </w:rPr>
        <w:t>1</w:t>
      </w:r>
      <w:r w:rsidR="00747EB5">
        <w:rPr>
          <w:rFonts w:ascii="Arial" w:hAnsi="Arial" w:cs="Arial"/>
        </w:rPr>
        <w:t>1</w:t>
      </w:r>
      <w:r w:rsidRPr="006F3400">
        <w:rPr>
          <w:rFonts w:ascii="Arial" w:hAnsi="Arial" w:cs="Arial"/>
        </w:rPr>
        <w:t>.1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9"/>
    </w:p>
    <w:p w14:paraId="2A4A4500"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7E45D5EE"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10" w:name="_Toc403555142"/>
      <w:r w:rsidRPr="006F3400">
        <w:rPr>
          <w:rFonts w:ascii="Arial" w:hAnsi="Arial" w:cs="Arial"/>
        </w:rPr>
        <w:t>1</w:t>
      </w:r>
      <w:r w:rsidR="00747EB5">
        <w:rPr>
          <w:rFonts w:ascii="Arial" w:hAnsi="Arial" w:cs="Arial"/>
        </w:rPr>
        <w:t>1</w:t>
      </w:r>
      <w:r w:rsidRPr="006F3400">
        <w:rPr>
          <w:rFonts w:ascii="Arial" w:hAnsi="Arial" w:cs="Arial"/>
        </w:rPr>
        <w:t>.2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10"/>
    </w:p>
    <w:p w14:paraId="582D0FDC"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53C64343" w14:textId="77777777" w:rsidR="003C6FCF" w:rsidRPr="006F3400" w:rsidRDefault="003C6FCF" w:rsidP="0012034A">
      <w:pPr>
        <w:numPr>
          <w:ilvl w:val="1"/>
          <w:numId w:val="0"/>
        </w:numPr>
        <w:tabs>
          <w:tab w:val="num" w:pos="709"/>
        </w:tabs>
        <w:ind w:left="567" w:hanging="567"/>
        <w:jc w:val="both"/>
        <w:outlineLvl w:val="1"/>
        <w:rPr>
          <w:rFonts w:ascii="Arial" w:hAnsi="Arial" w:cs="Arial"/>
        </w:rPr>
      </w:pPr>
      <w:bookmarkStart w:id="11" w:name="_Toc403555143"/>
      <w:r w:rsidRPr="006F3400">
        <w:rPr>
          <w:rFonts w:ascii="Arial" w:hAnsi="Arial" w:cs="Arial"/>
        </w:rPr>
        <w:t>1</w:t>
      </w:r>
      <w:r w:rsidR="00747EB5">
        <w:rPr>
          <w:rFonts w:ascii="Arial" w:hAnsi="Arial" w:cs="Arial"/>
        </w:rPr>
        <w:t>1</w:t>
      </w:r>
      <w:r w:rsidRPr="006F3400">
        <w:rPr>
          <w:rFonts w:ascii="Arial" w:hAnsi="Arial" w:cs="Arial"/>
        </w:rPr>
        <w:t>.3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 or representation on the part of the Authority (or any other person) to enter into a contractual arrangement.</w:t>
      </w:r>
      <w:bookmarkEnd w:id="11"/>
    </w:p>
    <w:p w14:paraId="780F4118" w14:textId="77777777" w:rsidR="0012034A" w:rsidRPr="006F3400" w:rsidRDefault="0012034A" w:rsidP="0012034A">
      <w:pPr>
        <w:numPr>
          <w:ilvl w:val="1"/>
          <w:numId w:val="0"/>
        </w:numPr>
        <w:tabs>
          <w:tab w:val="num" w:pos="709"/>
        </w:tabs>
        <w:ind w:left="567" w:hanging="567"/>
        <w:jc w:val="both"/>
        <w:outlineLvl w:val="1"/>
        <w:rPr>
          <w:rFonts w:ascii="Arial" w:hAnsi="Arial" w:cs="Arial"/>
        </w:rPr>
      </w:pPr>
    </w:p>
    <w:p w14:paraId="7C413B2A" w14:textId="77777777" w:rsidR="00C526D6" w:rsidRPr="00F1105A" w:rsidRDefault="00C526D6" w:rsidP="00C526D6">
      <w:pPr>
        <w:tabs>
          <w:tab w:val="left" w:pos="720"/>
          <w:tab w:val="left" w:pos="900"/>
          <w:tab w:val="left" w:pos="1080"/>
        </w:tabs>
        <w:ind w:left="567" w:hanging="567"/>
        <w:jc w:val="both"/>
        <w:rPr>
          <w:rFonts w:ascii="Arial" w:hAnsi="Arial" w:cs="Arial"/>
          <w:b/>
          <w:color w:val="FF0000"/>
          <w:lang w:eastAsia="en-US"/>
        </w:rPr>
      </w:pPr>
      <w:r w:rsidRPr="00F1105A">
        <w:rPr>
          <w:rFonts w:ascii="Arial" w:hAnsi="Arial" w:cs="Arial"/>
          <w:b/>
          <w:lang w:eastAsia="en-US"/>
        </w:rPr>
        <w:t>1</w:t>
      </w:r>
      <w:r w:rsidR="00747EB5" w:rsidRPr="00F1105A">
        <w:rPr>
          <w:rFonts w:ascii="Arial" w:hAnsi="Arial" w:cs="Arial"/>
          <w:b/>
          <w:lang w:eastAsia="en-US"/>
        </w:rPr>
        <w:t>2</w:t>
      </w:r>
      <w:r w:rsidRPr="00F1105A">
        <w:rPr>
          <w:rFonts w:ascii="Arial" w:hAnsi="Arial" w:cs="Arial"/>
          <w:b/>
          <w:lang w:eastAsia="en-US"/>
        </w:rPr>
        <w:t xml:space="preserve">. </w:t>
      </w:r>
      <w:r w:rsidRPr="00F1105A">
        <w:rPr>
          <w:rFonts w:ascii="Arial" w:hAnsi="Arial" w:cs="Arial"/>
          <w:b/>
          <w:lang w:eastAsia="en-US"/>
        </w:rPr>
        <w:tab/>
      </w:r>
      <w:bookmarkStart w:id="12" w:name="_Hlk74583142"/>
      <w:r w:rsidRPr="00F1105A">
        <w:rPr>
          <w:rFonts w:ascii="Arial" w:hAnsi="Arial" w:cs="Arial"/>
          <w:b/>
          <w:lang w:eastAsia="en-US"/>
        </w:rPr>
        <w:t>Contract award criteria and award methodology</w:t>
      </w:r>
    </w:p>
    <w:p w14:paraId="6D87A76D" w14:textId="77777777" w:rsidR="00C526D6" w:rsidRPr="00F1105A" w:rsidRDefault="00C526D6" w:rsidP="00C526D6">
      <w:pPr>
        <w:tabs>
          <w:tab w:val="left" w:pos="720"/>
          <w:tab w:val="left" w:pos="900"/>
          <w:tab w:val="left" w:pos="1080"/>
        </w:tabs>
        <w:ind w:left="567" w:hanging="567"/>
        <w:jc w:val="both"/>
        <w:rPr>
          <w:rFonts w:ascii="Arial" w:hAnsi="Arial" w:cs="Arial"/>
          <w:b/>
          <w:lang w:eastAsia="en-US"/>
        </w:rPr>
      </w:pPr>
    </w:p>
    <w:p w14:paraId="082EF377" w14:textId="77777777" w:rsidR="00C526D6" w:rsidRPr="00F1105A" w:rsidRDefault="00C526D6" w:rsidP="00C526D6">
      <w:pPr>
        <w:keepNext/>
        <w:ind w:left="567" w:hanging="567"/>
        <w:jc w:val="both"/>
        <w:outlineLvl w:val="1"/>
        <w:rPr>
          <w:rFonts w:ascii="Arial" w:hAnsi="Arial" w:cs="Arial"/>
          <w:bCs/>
          <w:iCs/>
        </w:rPr>
      </w:pPr>
      <w:r w:rsidRPr="00F1105A">
        <w:rPr>
          <w:rFonts w:ascii="Arial" w:hAnsi="Arial" w:cs="Arial"/>
          <w:bCs/>
          <w:iCs/>
        </w:rPr>
        <w:t>12.1</w:t>
      </w:r>
      <w:r w:rsidRPr="00F1105A">
        <w:rPr>
          <w:rFonts w:ascii="Arial" w:hAnsi="Arial" w:cs="Arial"/>
          <w:b/>
          <w:bCs/>
          <w:i/>
          <w:iCs/>
        </w:rPr>
        <w:tab/>
      </w:r>
      <w:r w:rsidRPr="00F1105A">
        <w:rPr>
          <w:rFonts w:ascii="Arial" w:hAnsi="Arial" w:cs="Arial"/>
          <w:b/>
          <w:bCs/>
          <w:iCs/>
        </w:rPr>
        <w:t xml:space="preserve">Award Criteria </w:t>
      </w:r>
    </w:p>
    <w:p w14:paraId="0C3EE13E" w14:textId="77777777" w:rsidR="00C526D6" w:rsidRPr="00F1105A" w:rsidRDefault="00C526D6" w:rsidP="00C526D6">
      <w:pPr>
        <w:jc w:val="both"/>
        <w:rPr>
          <w:rFonts w:ascii="Arial" w:hAnsi="Arial" w:cs="Arial"/>
        </w:rPr>
      </w:pPr>
    </w:p>
    <w:p w14:paraId="6353C629" w14:textId="384EC883" w:rsidR="00C526D6" w:rsidRPr="00F1105A" w:rsidRDefault="00C526D6" w:rsidP="00C526D6">
      <w:pPr>
        <w:ind w:left="1440" w:hanging="873"/>
        <w:jc w:val="both"/>
        <w:rPr>
          <w:rFonts w:ascii="Arial" w:hAnsi="Arial" w:cs="Arial"/>
          <w:lang w:eastAsia="en-US"/>
        </w:rPr>
      </w:pPr>
      <w:r w:rsidRPr="00F1105A">
        <w:rPr>
          <w:rFonts w:ascii="Arial" w:hAnsi="Arial" w:cs="Arial"/>
        </w:rPr>
        <w:t>12.1.1</w:t>
      </w:r>
      <w:r w:rsidRPr="00F1105A">
        <w:rPr>
          <w:rFonts w:ascii="Arial" w:hAnsi="Arial" w:cs="Arial"/>
        </w:rPr>
        <w:tab/>
        <w:t>Any framework agreement(s) awarded as a result of this procurement shall be awarded on the basis of the</w:t>
      </w:r>
      <w:r w:rsidR="00747EB5" w:rsidRPr="00F1105A">
        <w:rPr>
          <w:rFonts w:ascii="Arial" w:hAnsi="Arial" w:cs="Arial"/>
        </w:rPr>
        <w:t xml:space="preserve"> </w:t>
      </w:r>
      <w:r w:rsidR="00E12AD5" w:rsidRPr="00F1105A">
        <w:rPr>
          <w:rFonts w:ascii="Arial" w:hAnsi="Arial" w:cs="Arial"/>
        </w:rPr>
        <w:t>offer</w:t>
      </w:r>
      <w:r w:rsidR="00747EB5" w:rsidRPr="00F1105A">
        <w:rPr>
          <w:rFonts w:ascii="Arial" w:hAnsi="Arial" w:cs="Arial"/>
        </w:rPr>
        <w:t xml:space="preserve"> that is </w:t>
      </w:r>
      <w:r w:rsidRPr="00F1105A">
        <w:rPr>
          <w:rFonts w:ascii="Arial" w:hAnsi="Arial" w:cs="Arial"/>
        </w:rPr>
        <w:t xml:space="preserve">most economically advantageous to the Authority (MEAT) and which satisfies the Quality Criteria, each as set out in paragraph </w:t>
      </w:r>
      <w:r w:rsidR="003818A0" w:rsidRPr="00F1105A">
        <w:rPr>
          <w:rFonts w:ascii="Arial" w:hAnsi="Arial" w:cs="Arial"/>
        </w:rPr>
        <w:t>12.1.</w:t>
      </w:r>
      <w:r w:rsidR="00072579">
        <w:rPr>
          <w:rFonts w:ascii="Arial" w:hAnsi="Arial" w:cs="Arial"/>
        </w:rPr>
        <w:t>5</w:t>
      </w:r>
      <w:r w:rsidRPr="00F1105A">
        <w:rPr>
          <w:rFonts w:ascii="Arial" w:hAnsi="Arial" w:cs="Arial"/>
        </w:rPr>
        <w:t xml:space="preserve"> and Table 1 below, in accordance with this Invitation to Offer. </w:t>
      </w:r>
      <w:r w:rsidRPr="00F1105A">
        <w:rPr>
          <w:rFonts w:ascii="Arial" w:hAnsi="Arial" w:cs="Arial"/>
          <w:lang w:eastAsia="en-US"/>
        </w:rPr>
        <w:t xml:space="preserve">Where a framework agreement award is made, each Product within the </w:t>
      </w:r>
      <w:r w:rsidR="008E6534" w:rsidRPr="00F1105A">
        <w:rPr>
          <w:rFonts w:ascii="Arial" w:hAnsi="Arial" w:cs="Arial"/>
          <w:lang w:eastAsia="en-US"/>
        </w:rPr>
        <w:t xml:space="preserve">Region or </w:t>
      </w:r>
      <w:r w:rsidRPr="00F1105A">
        <w:rPr>
          <w:rFonts w:ascii="Arial" w:hAnsi="Arial" w:cs="Arial"/>
          <w:lang w:eastAsia="en-US"/>
        </w:rPr>
        <w:t xml:space="preserve">Lot shall be awarded </w:t>
      </w:r>
      <w:proofErr w:type="gramStart"/>
      <w:r w:rsidRPr="00F1105A">
        <w:rPr>
          <w:rFonts w:ascii="Arial" w:hAnsi="Arial" w:cs="Arial"/>
          <w:lang w:eastAsia="en-US"/>
        </w:rPr>
        <w:t>separately;</w:t>
      </w:r>
      <w:proofErr w:type="gramEnd"/>
      <w:r w:rsidRPr="00F1105A">
        <w:rPr>
          <w:rFonts w:ascii="Arial" w:hAnsi="Arial" w:cs="Arial"/>
          <w:lang w:eastAsia="en-US"/>
        </w:rPr>
        <w:t xml:space="preserve"> </w:t>
      </w:r>
      <w:r w:rsidR="00747EB5" w:rsidRPr="00F1105A">
        <w:rPr>
          <w:rFonts w:ascii="Arial" w:hAnsi="Arial" w:cs="Arial"/>
          <w:lang w:eastAsia="en-US"/>
        </w:rPr>
        <w:t xml:space="preserve">i.e. </w:t>
      </w:r>
      <w:r w:rsidRPr="00F1105A">
        <w:rPr>
          <w:rFonts w:ascii="Arial" w:hAnsi="Arial" w:cs="Arial"/>
          <w:lang w:eastAsia="en-US"/>
        </w:rPr>
        <w:t xml:space="preserve">each Product within the </w:t>
      </w:r>
      <w:r w:rsidR="008E6534" w:rsidRPr="00F1105A">
        <w:rPr>
          <w:rFonts w:ascii="Arial" w:hAnsi="Arial" w:cs="Arial"/>
          <w:lang w:eastAsia="en-US"/>
        </w:rPr>
        <w:t xml:space="preserve">Region or </w:t>
      </w:r>
      <w:r w:rsidRPr="00F1105A">
        <w:rPr>
          <w:rFonts w:ascii="Arial" w:hAnsi="Arial" w:cs="Arial"/>
          <w:lang w:eastAsia="en-US"/>
        </w:rPr>
        <w:t xml:space="preserve">Lot will form a separate single supplier framework arrangement. </w:t>
      </w:r>
    </w:p>
    <w:p w14:paraId="1FE60D68" w14:textId="77777777" w:rsidR="00747EB5" w:rsidRPr="00F1105A" w:rsidRDefault="00747EB5" w:rsidP="00C526D6">
      <w:pPr>
        <w:ind w:left="1440" w:hanging="873"/>
        <w:jc w:val="both"/>
        <w:rPr>
          <w:rFonts w:ascii="Arial" w:hAnsi="Arial" w:cs="Arial"/>
          <w:lang w:eastAsia="en-US"/>
        </w:rPr>
      </w:pPr>
    </w:p>
    <w:p w14:paraId="579D0195" w14:textId="1074B0F2" w:rsidR="00747EB5" w:rsidRPr="00F1105A" w:rsidRDefault="00747EB5" w:rsidP="00C526D6">
      <w:pPr>
        <w:ind w:left="1440" w:hanging="873"/>
        <w:jc w:val="both"/>
        <w:rPr>
          <w:rFonts w:ascii="Arial" w:hAnsi="Arial" w:cs="Arial"/>
          <w:lang w:eastAsia="en-US"/>
        </w:rPr>
      </w:pPr>
      <w:r w:rsidRPr="00F1105A">
        <w:rPr>
          <w:rFonts w:ascii="Arial" w:hAnsi="Arial" w:cs="Arial"/>
          <w:lang w:eastAsia="en-US"/>
        </w:rPr>
        <w:t>12.1.2</w:t>
      </w:r>
      <w:r w:rsidRPr="00F1105A">
        <w:rPr>
          <w:rFonts w:ascii="Arial" w:hAnsi="Arial" w:cs="Arial"/>
          <w:lang w:eastAsia="en-US"/>
        </w:rPr>
        <w:tab/>
      </w:r>
      <w:r w:rsidR="00F807D5">
        <w:rPr>
          <w:rFonts w:ascii="Arial" w:hAnsi="Arial" w:cs="Arial"/>
          <w:lang w:eastAsia="en-US"/>
        </w:rPr>
        <w:t>T</w:t>
      </w:r>
      <w:r w:rsidRPr="00F1105A">
        <w:rPr>
          <w:rFonts w:ascii="Arial" w:hAnsi="Arial" w:cs="Arial"/>
          <w:lang w:eastAsia="en-US"/>
        </w:rPr>
        <w:t xml:space="preserve">he Award Criteria (as described in paragraph </w:t>
      </w:r>
      <w:r w:rsidR="003818A0" w:rsidRPr="00F1105A">
        <w:rPr>
          <w:rFonts w:ascii="Arial" w:hAnsi="Arial" w:cs="Arial"/>
          <w:lang w:eastAsia="en-US"/>
        </w:rPr>
        <w:t>12.1.</w:t>
      </w:r>
      <w:r w:rsidR="00072579">
        <w:rPr>
          <w:rFonts w:ascii="Arial" w:hAnsi="Arial" w:cs="Arial"/>
          <w:lang w:eastAsia="en-US"/>
        </w:rPr>
        <w:t>5</w:t>
      </w:r>
      <w:r w:rsidRPr="00F1105A">
        <w:rPr>
          <w:rFonts w:ascii="Arial" w:hAnsi="Arial" w:cs="Arial"/>
          <w:lang w:eastAsia="en-US"/>
        </w:rPr>
        <w:t xml:space="preserve"> and Table 1 below) will be applied in relation to </w:t>
      </w:r>
      <w:r w:rsidR="008E6534" w:rsidRPr="00F1105A">
        <w:rPr>
          <w:rFonts w:ascii="Arial" w:hAnsi="Arial" w:cs="Arial"/>
          <w:lang w:eastAsia="en-US"/>
        </w:rPr>
        <w:t xml:space="preserve">each of the </w:t>
      </w:r>
      <w:r w:rsidRPr="00F1105A">
        <w:rPr>
          <w:rFonts w:ascii="Arial" w:hAnsi="Arial" w:cs="Arial"/>
          <w:lang w:eastAsia="en-US"/>
        </w:rPr>
        <w:t xml:space="preserve">Lots </w:t>
      </w:r>
      <w:r w:rsidR="008E6534" w:rsidRPr="00F1105A">
        <w:rPr>
          <w:rFonts w:ascii="Arial" w:hAnsi="Arial" w:cs="Arial"/>
          <w:lang w:eastAsia="en-US"/>
        </w:rPr>
        <w:t>f</w:t>
      </w:r>
      <w:r w:rsidRPr="00F1105A">
        <w:rPr>
          <w:rFonts w:ascii="Arial" w:hAnsi="Arial" w:cs="Arial"/>
          <w:lang w:eastAsia="en-US"/>
        </w:rPr>
        <w:t xml:space="preserve">or the Transition </w:t>
      </w:r>
      <w:r w:rsidR="00BF71A2">
        <w:rPr>
          <w:rFonts w:ascii="Arial" w:hAnsi="Arial" w:cs="Arial"/>
          <w:lang w:eastAsia="en-US"/>
        </w:rPr>
        <w:t>produ</w:t>
      </w:r>
      <w:r w:rsidRPr="00F1105A">
        <w:rPr>
          <w:rFonts w:ascii="Arial" w:hAnsi="Arial" w:cs="Arial"/>
          <w:lang w:eastAsia="en-US"/>
        </w:rPr>
        <w:t>cts.</w:t>
      </w:r>
    </w:p>
    <w:p w14:paraId="3D5290D0" w14:textId="77777777" w:rsidR="00C526D6" w:rsidRPr="00F1105A" w:rsidRDefault="00C526D6" w:rsidP="00C526D6">
      <w:pPr>
        <w:ind w:left="1440" w:hanging="873"/>
        <w:jc w:val="both"/>
        <w:rPr>
          <w:rFonts w:ascii="Arial" w:hAnsi="Arial" w:cs="Arial"/>
          <w:lang w:eastAsia="en-US"/>
        </w:rPr>
      </w:pPr>
    </w:p>
    <w:p w14:paraId="238A53AE" w14:textId="77777777" w:rsidR="00C526D6" w:rsidRPr="00F1105A" w:rsidRDefault="00C526D6" w:rsidP="00C526D6">
      <w:pPr>
        <w:ind w:left="1440" w:hanging="873"/>
        <w:jc w:val="both"/>
        <w:rPr>
          <w:rFonts w:ascii="Arial" w:hAnsi="Arial" w:cs="Arial"/>
        </w:rPr>
      </w:pPr>
      <w:r w:rsidRPr="00F1105A">
        <w:rPr>
          <w:rFonts w:ascii="Arial" w:hAnsi="Arial" w:cs="Arial"/>
          <w:lang w:eastAsia="en-US"/>
        </w:rPr>
        <w:t>12.1.</w:t>
      </w:r>
      <w:r w:rsidR="00747EB5" w:rsidRPr="00F1105A">
        <w:rPr>
          <w:rFonts w:ascii="Arial" w:hAnsi="Arial" w:cs="Arial"/>
          <w:lang w:eastAsia="en-US"/>
        </w:rPr>
        <w:t>3</w:t>
      </w:r>
      <w:r w:rsidRPr="00F1105A">
        <w:rPr>
          <w:rFonts w:ascii="Arial" w:hAnsi="Arial" w:cs="Arial"/>
          <w:lang w:eastAsia="en-US"/>
        </w:rPr>
        <w:tab/>
        <w:t>An</w:t>
      </w:r>
      <w:r w:rsidR="00E12AD5" w:rsidRPr="00F1105A">
        <w:rPr>
          <w:rFonts w:ascii="Arial" w:hAnsi="Arial" w:cs="Arial"/>
          <w:lang w:eastAsia="en-US"/>
        </w:rPr>
        <w:t>y</w:t>
      </w:r>
      <w:r w:rsidRPr="00F1105A">
        <w:rPr>
          <w:rFonts w:ascii="Arial" w:hAnsi="Arial" w:cs="Arial"/>
          <w:lang w:eastAsia="en-US"/>
        </w:rPr>
        <w:t xml:space="preserve"> award(s) shall be made </w:t>
      </w:r>
      <w:r w:rsidRPr="00F1105A">
        <w:rPr>
          <w:rFonts w:ascii="Arial" w:hAnsi="Arial" w:cs="Arial"/>
        </w:rPr>
        <w:t>in accordance with:</w:t>
      </w:r>
    </w:p>
    <w:p w14:paraId="0CB90511" w14:textId="77777777" w:rsidR="00C526D6" w:rsidRPr="00F1105A" w:rsidRDefault="00C526D6" w:rsidP="00C526D6">
      <w:pPr>
        <w:ind w:left="1440" w:hanging="720"/>
        <w:jc w:val="both"/>
        <w:rPr>
          <w:rFonts w:ascii="Arial" w:hAnsi="Arial" w:cs="Arial"/>
        </w:rPr>
      </w:pPr>
    </w:p>
    <w:p w14:paraId="31042243" w14:textId="1012C949" w:rsidR="00C526D6" w:rsidRPr="00F1105A" w:rsidRDefault="00C526D6" w:rsidP="0083255D">
      <w:pPr>
        <w:numPr>
          <w:ilvl w:val="0"/>
          <w:numId w:val="10"/>
        </w:numPr>
        <w:spacing w:after="200"/>
        <w:ind w:hanging="742"/>
        <w:jc w:val="both"/>
        <w:rPr>
          <w:rFonts w:ascii="Arial" w:hAnsi="Arial" w:cs="Arial"/>
        </w:rPr>
      </w:pPr>
      <w:r w:rsidRPr="00F1105A">
        <w:rPr>
          <w:rFonts w:ascii="Arial" w:hAnsi="Arial" w:cs="Arial"/>
        </w:rPr>
        <w:t xml:space="preserve">the award criteria described at paragraph </w:t>
      </w:r>
      <w:r w:rsidR="003818A0" w:rsidRPr="00F1105A">
        <w:rPr>
          <w:rFonts w:ascii="Arial" w:hAnsi="Arial" w:cs="Arial"/>
        </w:rPr>
        <w:t>12.1.</w:t>
      </w:r>
      <w:r w:rsidR="00072579">
        <w:rPr>
          <w:rFonts w:ascii="Arial" w:hAnsi="Arial" w:cs="Arial"/>
        </w:rPr>
        <w:t>5</w:t>
      </w:r>
      <w:r w:rsidRPr="00F1105A">
        <w:rPr>
          <w:rFonts w:ascii="Arial" w:hAnsi="Arial" w:cs="Arial"/>
        </w:rPr>
        <w:t xml:space="preserve"> </w:t>
      </w:r>
      <w:proofErr w:type="gramStart"/>
      <w:r w:rsidRPr="00F1105A">
        <w:rPr>
          <w:rFonts w:ascii="Arial" w:hAnsi="Arial" w:cs="Arial"/>
        </w:rPr>
        <w:t>below;</w:t>
      </w:r>
      <w:proofErr w:type="gramEnd"/>
      <w:r w:rsidRPr="00F1105A">
        <w:rPr>
          <w:rFonts w:ascii="Arial" w:hAnsi="Arial" w:cs="Arial"/>
        </w:rPr>
        <w:t xml:space="preserve"> </w:t>
      </w:r>
    </w:p>
    <w:p w14:paraId="06A329F4" w14:textId="77777777" w:rsidR="00C526D6" w:rsidRPr="00F1105A" w:rsidRDefault="00C526D6" w:rsidP="0083255D">
      <w:pPr>
        <w:numPr>
          <w:ilvl w:val="0"/>
          <w:numId w:val="10"/>
        </w:numPr>
        <w:spacing w:after="200"/>
        <w:ind w:hanging="742"/>
        <w:jc w:val="both"/>
        <w:rPr>
          <w:rFonts w:ascii="Arial" w:hAnsi="Arial" w:cs="Arial"/>
        </w:rPr>
      </w:pPr>
      <w:r w:rsidRPr="00F1105A">
        <w:rPr>
          <w:rFonts w:ascii="Arial" w:hAnsi="Arial" w:cs="Arial"/>
        </w:rPr>
        <w:t xml:space="preserve">the award methodology described at paragraph 12.2 below; and </w:t>
      </w:r>
    </w:p>
    <w:p w14:paraId="3C8D1F4D" w14:textId="77777777" w:rsidR="00C526D6" w:rsidRPr="00F1105A" w:rsidRDefault="00C526D6" w:rsidP="0083255D">
      <w:pPr>
        <w:numPr>
          <w:ilvl w:val="0"/>
          <w:numId w:val="10"/>
        </w:numPr>
        <w:spacing w:after="200"/>
        <w:ind w:hanging="742"/>
        <w:jc w:val="both"/>
        <w:rPr>
          <w:rFonts w:ascii="Arial" w:hAnsi="Arial" w:cs="Arial"/>
          <w:lang w:eastAsia="en-US"/>
        </w:rPr>
      </w:pPr>
      <w:r w:rsidRPr="00F1105A">
        <w:rPr>
          <w:rFonts w:ascii="Arial" w:hAnsi="Arial" w:cs="Arial"/>
        </w:rPr>
        <w:t xml:space="preserve">the </w:t>
      </w:r>
      <w:proofErr w:type="spellStart"/>
      <w:r w:rsidRPr="00F1105A">
        <w:rPr>
          <w:rFonts w:ascii="Arial" w:hAnsi="Arial" w:cs="Arial"/>
        </w:rPr>
        <w:t>lotting</w:t>
      </w:r>
      <w:proofErr w:type="spellEnd"/>
      <w:r w:rsidRPr="00F1105A">
        <w:rPr>
          <w:rFonts w:ascii="Arial" w:hAnsi="Arial" w:cs="Arial"/>
        </w:rPr>
        <w:t xml:space="preserve"> strategy described at paragraph 8.9 above</w:t>
      </w:r>
      <w:r w:rsidR="00747EB5" w:rsidRPr="00F1105A">
        <w:rPr>
          <w:rFonts w:ascii="Arial" w:hAnsi="Arial" w:cs="Arial"/>
        </w:rPr>
        <w:t>.</w:t>
      </w:r>
    </w:p>
    <w:p w14:paraId="0CF6A684" w14:textId="77777777" w:rsidR="00C526D6" w:rsidRPr="00F1105A" w:rsidRDefault="00C526D6" w:rsidP="00C526D6">
      <w:pPr>
        <w:ind w:left="1418"/>
        <w:jc w:val="both"/>
        <w:rPr>
          <w:rFonts w:ascii="Arial" w:hAnsi="Arial" w:cs="Arial"/>
        </w:rPr>
      </w:pPr>
    </w:p>
    <w:p w14:paraId="6D5ECBC0" w14:textId="21543BF6" w:rsidR="00C526D6" w:rsidRDefault="00C526D6" w:rsidP="00C526D6">
      <w:pPr>
        <w:ind w:left="1418"/>
        <w:jc w:val="both"/>
        <w:rPr>
          <w:rFonts w:ascii="Arial" w:hAnsi="Arial" w:cs="Arial"/>
        </w:rPr>
      </w:pPr>
      <w:r w:rsidRPr="00F1105A">
        <w:rPr>
          <w:rFonts w:ascii="Arial" w:hAnsi="Arial" w:cs="Arial"/>
        </w:rPr>
        <w:t xml:space="preserve">on the basis of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34033F06" w14:textId="00BD5B4A" w:rsidR="00C4043A" w:rsidRPr="00F1105A" w:rsidRDefault="00C4043A" w:rsidP="00C526D6">
      <w:pPr>
        <w:ind w:left="1418"/>
        <w:jc w:val="both"/>
        <w:rPr>
          <w:rFonts w:ascii="Arial" w:hAnsi="Arial" w:cs="Arial"/>
        </w:rPr>
      </w:pPr>
    </w:p>
    <w:p w14:paraId="6AAA01D8" w14:textId="408BDAE7" w:rsidR="000B5AD1" w:rsidRDefault="0081775F" w:rsidP="0081775F">
      <w:pPr>
        <w:tabs>
          <w:tab w:val="left" w:pos="2835"/>
        </w:tabs>
        <w:jc w:val="both"/>
        <w:rPr>
          <w:rFonts w:ascii="Arial" w:hAnsi="Arial" w:cs="Arial"/>
          <w:color w:val="000000"/>
        </w:rPr>
      </w:pPr>
      <w:r>
        <w:rPr>
          <w:rFonts w:ascii="Arial" w:hAnsi="Arial" w:cs="Arial"/>
          <w:color w:val="000000"/>
        </w:rPr>
        <w:t xml:space="preserve">         </w:t>
      </w:r>
      <w:r w:rsidR="000B5AD1" w:rsidRPr="0081775F">
        <w:rPr>
          <w:rFonts w:ascii="Arial" w:hAnsi="Arial" w:cs="Arial"/>
          <w:color w:val="000000"/>
        </w:rPr>
        <w:t>12.1.4 There are no range products included in the tender.</w:t>
      </w:r>
    </w:p>
    <w:p w14:paraId="68BB6E9F" w14:textId="77777777" w:rsidR="00747EB5" w:rsidRPr="00F1105A" w:rsidRDefault="00747EB5" w:rsidP="00C526D6">
      <w:pPr>
        <w:ind w:left="1418"/>
        <w:jc w:val="both"/>
        <w:rPr>
          <w:rFonts w:ascii="Arial" w:hAnsi="Arial" w:cs="Arial"/>
        </w:rPr>
      </w:pPr>
    </w:p>
    <w:bookmarkEnd w:id="12"/>
    <w:p w14:paraId="61FFE5D3" w14:textId="4D4E8F7E" w:rsidR="00C526D6" w:rsidRPr="00100CB5" w:rsidRDefault="003818A0" w:rsidP="00C526D6">
      <w:pPr>
        <w:ind w:left="1440" w:hanging="873"/>
        <w:jc w:val="both"/>
        <w:rPr>
          <w:rFonts w:ascii="Arial" w:hAnsi="Arial" w:cs="Arial"/>
        </w:rPr>
      </w:pPr>
      <w:r w:rsidRPr="009B0459">
        <w:rPr>
          <w:rFonts w:ascii="Arial" w:hAnsi="Arial" w:cs="Arial"/>
          <w:lang w:eastAsia="en-US"/>
        </w:rPr>
        <w:t>12.1.</w:t>
      </w:r>
      <w:r w:rsidR="00072579">
        <w:rPr>
          <w:rFonts w:ascii="Arial" w:hAnsi="Arial" w:cs="Arial"/>
          <w:lang w:eastAsia="en-US"/>
        </w:rPr>
        <w:t>5</w:t>
      </w:r>
      <w:r w:rsidR="00C526D6" w:rsidRPr="009B0459">
        <w:rPr>
          <w:rFonts w:ascii="Arial" w:hAnsi="Arial" w:cs="Arial"/>
          <w:lang w:eastAsia="en-US"/>
        </w:rPr>
        <w:tab/>
      </w:r>
      <w:r w:rsidR="00C526D6" w:rsidRPr="009B0459">
        <w:rPr>
          <w:rFonts w:ascii="Arial" w:hAnsi="Arial" w:cs="Arial"/>
        </w:rPr>
        <w:t>For each Product, the award criteria are as follows:</w:t>
      </w:r>
    </w:p>
    <w:p w14:paraId="3120AA04" w14:textId="77777777" w:rsidR="00C526D6" w:rsidRPr="00100CB5" w:rsidRDefault="00C526D6" w:rsidP="00C526D6">
      <w:pPr>
        <w:jc w:val="both"/>
        <w:rPr>
          <w:rFonts w:ascii="Arial" w:hAnsi="Arial" w:cs="Arial"/>
          <w:i/>
        </w:rPr>
      </w:pPr>
    </w:p>
    <w:p w14:paraId="4D27378A" w14:textId="77777777" w:rsidR="00C526D6" w:rsidRPr="00100CB5" w:rsidRDefault="00C526D6" w:rsidP="00C526D6">
      <w:pPr>
        <w:jc w:val="both"/>
        <w:rPr>
          <w:rFonts w:ascii="Arial" w:hAnsi="Arial" w:cs="Arial"/>
        </w:rPr>
      </w:pPr>
      <w:r w:rsidRPr="00100CB5">
        <w:rPr>
          <w:rFonts w:ascii="Arial" w:hAnsi="Arial" w:cs="Arial"/>
        </w:rPr>
        <w:tab/>
      </w:r>
      <w:r w:rsidRPr="00100CB5">
        <w:rPr>
          <w:rFonts w:ascii="Arial" w:hAnsi="Arial" w:cs="Arial"/>
        </w:rPr>
        <w:tab/>
        <w:t>(a)</w:t>
      </w:r>
      <w:r w:rsidRPr="00100CB5">
        <w:rPr>
          <w:rFonts w:ascii="Arial" w:hAnsi="Arial" w:cs="Arial"/>
        </w:rPr>
        <w:tab/>
      </w:r>
      <w:r w:rsidRPr="00100CB5">
        <w:rPr>
          <w:rFonts w:ascii="Arial" w:hAnsi="Arial" w:cs="Arial"/>
          <w:b/>
        </w:rPr>
        <w:t>Price criteria of:</w:t>
      </w:r>
      <w:r w:rsidRPr="00100CB5">
        <w:rPr>
          <w:rFonts w:ascii="Arial" w:hAnsi="Arial" w:cs="Arial"/>
        </w:rPr>
        <w:t xml:space="preserve"> </w:t>
      </w:r>
    </w:p>
    <w:p w14:paraId="748A8C09" w14:textId="77777777" w:rsidR="00C526D6" w:rsidRPr="00100CB5" w:rsidRDefault="00C526D6" w:rsidP="00C526D6">
      <w:pPr>
        <w:jc w:val="both"/>
        <w:rPr>
          <w:rFonts w:ascii="Arial" w:hAnsi="Arial" w:cs="Arial"/>
        </w:rPr>
      </w:pPr>
    </w:p>
    <w:p w14:paraId="022B2C7C" w14:textId="77777777" w:rsidR="00C526D6" w:rsidRPr="00100CB5" w:rsidRDefault="00C526D6" w:rsidP="0083255D">
      <w:pPr>
        <w:numPr>
          <w:ilvl w:val="0"/>
          <w:numId w:val="29"/>
        </w:numPr>
        <w:tabs>
          <w:tab w:val="left" w:pos="2835"/>
        </w:tabs>
        <w:jc w:val="both"/>
        <w:rPr>
          <w:rFonts w:ascii="Arial" w:hAnsi="Arial" w:cs="Arial"/>
          <w:b/>
          <w:bCs/>
          <w:color w:val="000000"/>
        </w:rPr>
      </w:pPr>
      <w:r w:rsidRPr="00100CB5">
        <w:rPr>
          <w:rFonts w:ascii="Arial" w:hAnsi="Arial" w:cs="Arial"/>
        </w:rPr>
        <w:t xml:space="preserve">sub-criterion (1) - Cost of </w:t>
      </w:r>
      <w:proofErr w:type="gramStart"/>
      <w:r w:rsidRPr="00100CB5">
        <w:rPr>
          <w:rFonts w:ascii="Arial" w:hAnsi="Arial" w:cs="Arial"/>
        </w:rPr>
        <w:t>product;</w:t>
      </w:r>
      <w:proofErr w:type="gramEnd"/>
      <w:r w:rsidRPr="00100CB5">
        <w:rPr>
          <w:rFonts w:ascii="Arial" w:hAnsi="Arial" w:cs="Arial"/>
        </w:rPr>
        <w:t xml:space="preserve">  </w:t>
      </w:r>
      <w:r w:rsidRPr="00100CB5">
        <w:rPr>
          <w:rFonts w:ascii="Arial" w:hAnsi="Arial" w:cs="Arial"/>
          <w:b/>
          <w:bCs/>
          <w:color w:val="000000"/>
        </w:rPr>
        <w:t xml:space="preserve"> </w:t>
      </w:r>
    </w:p>
    <w:p w14:paraId="4D564439" w14:textId="31A37500" w:rsidR="00747EB5" w:rsidRPr="00100CB5" w:rsidRDefault="00747EB5" w:rsidP="0083255D">
      <w:pPr>
        <w:numPr>
          <w:ilvl w:val="0"/>
          <w:numId w:val="29"/>
        </w:numPr>
        <w:tabs>
          <w:tab w:val="left" w:pos="2835"/>
        </w:tabs>
        <w:jc w:val="both"/>
        <w:rPr>
          <w:rFonts w:ascii="Arial" w:hAnsi="Arial" w:cs="Arial"/>
        </w:rPr>
      </w:pPr>
      <w:r w:rsidRPr="00100CB5">
        <w:rPr>
          <w:rFonts w:ascii="Arial" w:hAnsi="Arial" w:cs="Arial"/>
          <w:bCs/>
          <w:color w:val="000000"/>
        </w:rPr>
        <w:t>sub-criterion (2) – Cost of product across range</w:t>
      </w:r>
      <w:r w:rsidRPr="00100CB5">
        <w:rPr>
          <w:rFonts w:ascii="Arial" w:hAnsi="Arial" w:cs="Arial"/>
          <w:b/>
          <w:bCs/>
          <w:color w:val="000000"/>
        </w:rPr>
        <w:t xml:space="preserve"> – only to be used in respect of those Products listed at Paragraph 12.1.4</w:t>
      </w:r>
      <w:r w:rsidR="00EE3013">
        <w:rPr>
          <w:rFonts w:ascii="Arial" w:hAnsi="Arial" w:cs="Arial"/>
          <w:b/>
          <w:bCs/>
          <w:color w:val="000000"/>
        </w:rPr>
        <w:t xml:space="preserve"> where range products are included in the tender</w:t>
      </w:r>
      <w:r w:rsidRPr="00100CB5">
        <w:rPr>
          <w:rFonts w:ascii="Arial" w:hAnsi="Arial" w:cs="Arial"/>
          <w:b/>
          <w:bCs/>
          <w:color w:val="000000"/>
        </w:rPr>
        <w:t xml:space="preserve">; </w:t>
      </w:r>
      <w:r w:rsidRPr="00100CB5">
        <w:rPr>
          <w:rFonts w:ascii="Arial" w:hAnsi="Arial" w:cs="Arial"/>
          <w:bCs/>
          <w:color w:val="000000"/>
        </w:rPr>
        <w:t>and</w:t>
      </w:r>
    </w:p>
    <w:p w14:paraId="01841AE0" w14:textId="77777777" w:rsidR="00C526D6" w:rsidRPr="00100CB5" w:rsidRDefault="00C526D6" w:rsidP="00C526D6">
      <w:pPr>
        <w:tabs>
          <w:tab w:val="left" w:pos="2835"/>
        </w:tabs>
        <w:ind w:left="2828" w:hanging="690"/>
        <w:rPr>
          <w:rFonts w:ascii="Arial" w:hAnsi="Arial" w:cs="Arial"/>
          <w:b/>
        </w:rPr>
      </w:pPr>
      <w:r w:rsidRPr="00100CB5">
        <w:rPr>
          <w:rFonts w:ascii="Arial" w:hAnsi="Arial" w:cs="Arial"/>
        </w:rPr>
        <w:t>(iii)</w:t>
      </w:r>
      <w:r w:rsidRPr="00100CB5">
        <w:rPr>
          <w:rFonts w:ascii="Arial" w:hAnsi="Arial" w:cs="Arial"/>
        </w:rPr>
        <w:tab/>
        <w:t>sub-criterion (</w:t>
      </w:r>
      <w:r w:rsidR="00747EB5" w:rsidRPr="00100CB5">
        <w:rPr>
          <w:rFonts w:ascii="Arial" w:hAnsi="Arial" w:cs="Arial"/>
        </w:rPr>
        <w:t>3</w:t>
      </w:r>
      <w:r w:rsidRPr="00100CB5">
        <w:rPr>
          <w:rFonts w:ascii="Arial" w:hAnsi="Arial" w:cs="Arial"/>
        </w:rPr>
        <w:t xml:space="preserve">) - Cost of change – </w:t>
      </w:r>
      <w:r w:rsidRPr="00100CB5">
        <w:rPr>
          <w:rFonts w:ascii="Arial" w:hAnsi="Arial" w:cs="Arial"/>
          <w:b/>
        </w:rPr>
        <w:t>only to be used in the circumstances described in paragraphs 12.2.1 (d)(</w:t>
      </w:r>
      <w:proofErr w:type="spellStart"/>
      <w:r w:rsidRPr="00100CB5">
        <w:rPr>
          <w:rFonts w:ascii="Arial" w:hAnsi="Arial" w:cs="Arial"/>
          <w:b/>
        </w:rPr>
        <w:t>i</w:t>
      </w:r>
      <w:proofErr w:type="spellEnd"/>
      <w:r w:rsidRPr="00100CB5">
        <w:rPr>
          <w:rFonts w:ascii="Arial" w:hAnsi="Arial" w:cs="Arial"/>
          <w:b/>
        </w:rPr>
        <w:t>) and 12.2.4</w:t>
      </w:r>
    </w:p>
    <w:p w14:paraId="4407B786" w14:textId="77777777" w:rsidR="00C526D6" w:rsidRPr="00100CB5" w:rsidRDefault="00C526D6" w:rsidP="00C526D6">
      <w:pPr>
        <w:ind w:left="1429" w:firstLine="11"/>
        <w:jc w:val="both"/>
        <w:rPr>
          <w:rFonts w:ascii="Arial" w:hAnsi="Arial" w:cs="Arial"/>
        </w:rPr>
      </w:pPr>
    </w:p>
    <w:p w14:paraId="771879B4" w14:textId="77777777" w:rsidR="00C526D6" w:rsidRPr="00100CB5" w:rsidRDefault="00C526D6" w:rsidP="00C526D6">
      <w:pPr>
        <w:ind w:left="1429" w:firstLine="11"/>
        <w:jc w:val="both"/>
        <w:rPr>
          <w:rFonts w:ascii="Arial" w:hAnsi="Arial" w:cs="Arial"/>
          <w:b/>
          <w:color w:val="000000"/>
        </w:rPr>
      </w:pPr>
      <w:r w:rsidRPr="00100CB5">
        <w:rPr>
          <w:rFonts w:ascii="Arial" w:hAnsi="Arial" w:cs="Arial"/>
        </w:rPr>
        <w:t>(b)</w:t>
      </w:r>
      <w:r w:rsidRPr="00100CB5">
        <w:rPr>
          <w:rFonts w:ascii="Arial" w:hAnsi="Arial" w:cs="Arial"/>
        </w:rPr>
        <w:tab/>
      </w:r>
      <w:r w:rsidRPr="00100CB5">
        <w:rPr>
          <w:rFonts w:ascii="Arial" w:hAnsi="Arial" w:cs="Arial"/>
          <w:b/>
          <w:color w:val="000000"/>
        </w:rPr>
        <w:t>Qualitative criteria of:</w:t>
      </w:r>
    </w:p>
    <w:p w14:paraId="0101D486" w14:textId="77777777" w:rsidR="00C526D6" w:rsidRPr="00100CB5" w:rsidRDefault="00C526D6" w:rsidP="00C526D6">
      <w:pPr>
        <w:ind w:left="709"/>
        <w:jc w:val="both"/>
        <w:rPr>
          <w:rFonts w:ascii="Arial" w:hAnsi="Arial" w:cs="Arial"/>
          <w:color w:val="000000"/>
        </w:rPr>
      </w:pPr>
    </w:p>
    <w:p w14:paraId="3E42BBF9" w14:textId="77777777" w:rsidR="00C526D6" w:rsidRPr="00100CB5" w:rsidRDefault="00C526D6" w:rsidP="0083255D">
      <w:pPr>
        <w:numPr>
          <w:ilvl w:val="0"/>
          <w:numId w:val="8"/>
        </w:numPr>
        <w:tabs>
          <w:tab w:val="left" w:pos="2835"/>
        </w:tabs>
        <w:ind w:left="2126" w:firstLine="0"/>
        <w:jc w:val="both"/>
        <w:rPr>
          <w:rFonts w:ascii="Arial" w:hAnsi="Arial" w:cs="Arial"/>
          <w:color w:val="000000"/>
        </w:rPr>
      </w:pPr>
      <w:r w:rsidRPr="00100CB5">
        <w:rPr>
          <w:rFonts w:ascii="Arial" w:hAnsi="Arial" w:cs="Arial"/>
          <w:color w:val="000000"/>
        </w:rPr>
        <w:t>sub-criterion (1) – QA assessment of risk to patient; and</w:t>
      </w:r>
    </w:p>
    <w:p w14:paraId="21320824" w14:textId="77777777" w:rsidR="00C526D6" w:rsidRPr="00100CB5" w:rsidRDefault="00C526D6" w:rsidP="0083255D">
      <w:pPr>
        <w:numPr>
          <w:ilvl w:val="0"/>
          <w:numId w:val="8"/>
        </w:numPr>
        <w:tabs>
          <w:tab w:val="left" w:pos="2835"/>
        </w:tabs>
        <w:ind w:left="2835" w:hanging="708"/>
        <w:jc w:val="both"/>
        <w:rPr>
          <w:rFonts w:ascii="Arial" w:hAnsi="Arial" w:cs="Arial"/>
          <w:color w:val="000000"/>
        </w:rPr>
      </w:pPr>
      <w:r w:rsidRPr="00100CB5">
        <w:rPr>
          <w:rFonts w:ascii="Arial" w:hAnsi="Arial" w:cs="Arial"/>
          <w:color w:val="000000"/>
        </w:rPr>
        <w:t xml:space="preserve">sub-criterion (2) – QC assessment of risk to a patient across a range of </w:t>
      </w:r>
      <w:proofErr w:type="gramStart"/>
      <w:r w:rsidRPr="00100CB5">
        <w:rPr>
          <w:rFonts w:ascii="Arial" w:hAnsi="Arial" w:cs="Arial"/>
          <w:color w:val="000000"/>
        </w:rPr>
        <w:t>products;</w:t>
      </w:r>
      <w:proofErr w:type="gramEnd"/>
    </w:p>
    <w:p w14:paraId="176F135D" w14:textId="6CF83892" w:rsidR="00C526D6" w:rsidRPr="00B65F15" w:rsidRDefault="00C526D6" w:rsidP="0083255D">
      <w:pPr>
        <w:numPr>
          <w:ilvl w:val="0"/>
          <w:numId w:val="8"/>
        </w:numPr>
        <w:tabs>
          <w:tab w:val="left" w:pos="2835"/>
        </w:tabs>
        <w:ind w:left="2835" w:hanging="709"/>
        <w:jc w:val="both"/>
        <w:rPr>
          <w:rFonts w:ascii="Arial" w:hAnsi="Arial" w:cs="Arial"/>
          <w:color w:val="000000"/>
        </w:rPr>
      </w:pPr>
      <w:r w:rsidRPr="00100CB5">
        <w:rPr>
          <w:rFonts w:ascii="Arial" w:hAnsi="Arial" w:cs="Arial"/>
          <w:color w:val="000000"/>
        </w:rPr>
        <w:t xml:space="preserve">sub-criterion (3) – Supply route and associated cost – </w:t>
      </w:r>
      <w:r w:rsidRPr="00100CB5">
        <w:rPr>
          <w:rFonts w:ascii="Arial" w:hAnsi="Arial" w:cs="Arial"/>
          <w:b/>
          <w:color w:val="000000"/>
        </w:rPr>
        <w:t xml:space="preserve">only </w:t>
      </w:r>
      <w:r w:rsidRPr="00100CB5">
        <w:rPr>
          <w:rFonts w:ascii="Arial" w:hAnsi="Arial" w:cs="Arial"/>
          <w:b/>
        </w:rPr>
        <w:t xml:space="preserve">to be used in the circumstances described in paragraphs 12.2.1 (d)(ii) and </w:t>
      </w:r>
      <w:proofErr w:type="gramStart"/>
      <w:r w:rsidRPr="00100CB5">
        <w:rPr>
          <w:rFonts w:ascii="Arial" w:hAnsi="Arial" w:cs="Arial"/>
          <w:b/>
        </w:rPr>
        <w:t>12.2.5;</w:t>
      </w:r>
      <w:proofErr w:type="gramEnd"/>
    </w:p>
    <w:p w14:paraId="099F3606" w14:textId="77777777" w:rsidR="00B65F15" w:rsidRPr="00100CB5" w:rsidRDefault="00B65F15" w:rsidP="00B65F15">
      <w:pPr>
        <w:tabs>
          <w:tab w:val="left" w:pos="2835"/>
        </w:tabs>
        <w:ind w:left="2835"/>
        <w:jc w:val="both"/>
        <w:rPr>
          <w:rFonts w:ascii="Arial" w:hAnsi="Arial" w:cs="Arial"/>
          <w:color w:val="000000"/>
        </w:rPr>
      </w:pPr>
    </w:p>
    <w:p w14:paraId="1B4698CD" w14:textId="77777777" w:rsidR="00C526D6" w:rsidRPr="0069218A" w:rsidRDefault="00C526D6" w:rsidP="00C526D6">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C526D6" w:rsidRPr="0069218A" w14:paraId="7E5239D9" w14:textId="77777777" w:rsidTr="00BC0663">
        <w:trPr>
          <w:trHeight w:val="395"/>
        </w:trPr>
        <w:tc>
          <w:tcPr>
            <w:tcW w:w="1788" w:type="dxa"/>
            <w:shd w:val="clear" w:color="auto" w:fill="FFFFCC"/>
            <w:tcMar>
              <w:top w:w="0" w:type="dxa"/>
              <w:left w:w="108" w:type="dxa"/>
              <w:bottom w:w="0" w:type="dxa"/>
              <w:right w:w="108" w:type="dxa"/>
            </w:tcMar>
            <w:vAlign w:val="center"/>
            <w:hideMark/>
          </w:tcPr>
          <w:p w14:paraId="7E60A4EB" w14:textId="77777777" w:rsidR="00C526D6" w:rsidRPr="0069218A" w:rsidRDefault="00C526D6" w:rsidP="00BC0663">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Criteria</w:t>
            </w:r>
          </w:p>
        </w:tc>
        <w:tc>
          <w:tcPr>
            <w:tcW w:w="3592" w:type="dxa"/>
            <w:shd w:val="clear" w:color="auto" w:fill="FFFFCC"/>
            <w:tcMar>
              <w:top w:w="0" w:type="dxa"/>
              <w:left w:w="108" w:type="dxa"/>
              <w:bottom w:w="0" w:type="dxa"/>
              <w:right w:w="108" w:type="dxa"/>
            </w:tcMar>
            <w:vAlign w:val="center"/>
            <w:hideMark/>
          </w:tcPr>
          <w:p w14:paraId="5CA3D144" w14:textId="77777777" w:rsidR="00C526D6" w:rsidRPr="0069218A" w:rsidRDefault="00C526D6" w:rsidP="00BC0663">
            <w:pPr>
              <w:jc w:val="both"/>
              <w:rPr>
                <w:rFonts w:ascii="Arial" w:eastAsia="Calibri" w:hAnsi="Arial" w:cs="Arial"/>
                <w:b/>
                <w:color w:val="000000"/>
                <w:sz w:val="22"/>
                <w:szCs w:val="22"/>
                <w:lang w:eastAsia="en-US"/>
              </w:rPr>
            </w:pPr>
            <w:r w:rsidRPr="0069218A">
              <w:rPr>
                <w:rFonts w:ascii="Arial" w:hAnsi="Arial" w:cs="Arial"/>
                <w:b/>
                <w:color w:val="000000"/>
                <w:sz w:val="22"/>
                <w:szCs w:val="22"/>
              </w:rPr>
              <w:t>Sub-Criteria</w:t>
            </w:r>
          </w:p>
        </w:tc>
        <w:tc>
          <w:tcPr>
            <w:tcW w:w="4489" w:type="dxa"/>
            <w:shd w:val="clear" w:color="auto" w:fill="FFFFCC"/>
            <w:tcMar>
              <w:top w:w="0" w:type="dxa"/>
              <w:left w:w="108" w:type="dxa"/>
              <w:bottom w:w="0" w:type="dxa"/>
              <w:right w:w="108" w:type="dxa"/>
            </w:tcMar>
            <w:vAlign w:val="center"/>
            <w:hideMark/>
          </w:tcPr>
          <w:p w14:paraId="13A00E53" w14:textId="77777777" w:rsidR="00C526D6" w:rsidRPr="0069218A" w:rsidRDefault="00C526D6" w:rsidP="00BC0663">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C526D6" w:rsidRPr="0069218A" w14:paraId="3B3D10F0" w14:textId="77777777" w:rsidTr="00BC0663">
        <w:tc>
          <w:tcPr>
            <w:tcW w:w="1788" w:type="dxa"/>
            <w:vMerge w:val="restart"/>
            <w:shd w:val="clear" w:color="auto" w:fill="FFFFCC"/>
            <w:tcMar>
              <w:top w:w="0" w:type="dxa"/>
              <w:left w:w="108" w:type="dxa"/>
              <w:bottom w:w="0" w:type="dxa"/>
              <w:right w:w="108" w:type="dxa"/>
            </w:tcMar>
            <w:hideMark/>
          </w:tcPr>
          <w:p w14:paraId="338246C6" w14:textId="77777777" w:rsidR="00C526D6" w:rsidRPr="0069218A" w:rsidRDefault="00C526D6" w:rsidP="00BC0663">
            <w:pPr>
              <w:jc w:val="both"/>
              <w:rPr>
                <w:rFonts w:ascii="Arial" w:hAnsi="Arial" w:cs="Arial"/>
                <w:b/>
                <w:color w:val="000000"/>
                <w:sz w:val="22"/>
                <w:szCs w:val="22"/>
              </w:rPr>
            </w:pPr>
          </w:p>
          <w:p w14:paraId="27E1E708" w14:textId="77777777" w:rsidR="00C526D6" w:rsidRPr="0069218A" w:rsidRDefault="00C526D6" w:rsidP="00BC0663">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14:paraId="2068F43A" w14:textId="77777777" w:rsidR="00C526D6" w:rsidRPr="0069218A" w:rsidRDefault="00C526D6" w:rsidP="00BC0663">
            <w:pPr>
              <w:jc w:val="both"/>
              <w:rPr>
                <w:rFonts w:ascii="Arial" w:hAnsi="Arial" w:cs="Arial"/>
                <w:b/>
                <w:bCs/>
                <w:color w:val="000000"/>
                <w:sz w:val="22"/>
                <w:szCs w:val="22"/>
              </w:rPr>
            </w:pPr>
          </w:p>
          <w:p w14:paraId="756E1222" w14:textId="77777777" w:rsidR="00C526D6" w:rsidRPr="0069218A" w:rsidRDefault="00C526D6" w:rsidP="00BC0663">
            <w:pPr>
              <w:jc w:val="both"/>
              <w:rPr>
                <w:rFonts w:ascii="Arial" w:hAnsi="Arial" w:cs="Arial"/>
                <w:b/>
                <w:bCs/>
                <w:color w:val="000000"/>
                <w:sz w:val="22"/>
                <w:szCs w:val="22"/>
              </w:rPr>
            </w:pPr>
            <w:r w:rsidRPr="0069218A">
              <w:rPr>
                <w:rFonts w:ascii="Arial" w:hAnsi="Arial" w:cs="Arial"/>
                <w:b/>
                <w:bCs/>
                <w:color w:val="000000"/>
                <w:sz w:val="22"/>
                <w:szCs w:val="22"/>
              </w:rPr>
              <w:t>Sub-criterion (1)</w:t>
            </w:r>
          </w:p>
          <w:p w14:paraId="1ABAA3FB" w14:textId="77777777" w:rsidR="00C526D6" w:rsidRPr="0069218A" w:rsidRDefault="00C526D6" w:rsidP="00BC0663">
            <w:pPr>
              <w:jc w:val="both"/>
              <w:rPr>
                <w:rFonts w:ascii="Arial" w:hAnsi="Arial" w:cs="Arial"/>
                <w:color w:val="000000"/>
                <w:sz w:val="12"/>
                <w:szCs w:val="12"/>
              </w:rPr>
            </w:pPr>
          </w:p>
          <w:p w14:paraId="053190F4" w14:textId="77777777" w:rsidR="00C526D6" w:rsidRPr="0069218A" w:rsidRDefault="00C526D6" w:rsidP="00BC0663">
            <w:pPr>
              <w:jc w:val="both"/>
              <w:rPr>
                <w:rFonts w:ascii="Arial" w:hAnsi="Arial" w:cs="Arial"/>
                <w:color w:val="000000"/>
                <w:sz w:val="22"/>
                <w:szCs w:val="22"/>
              </w:rPr>
            </w:pPr>
            <w:r w:rsidRPr="0069218A">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14:paraId="5992A007" w14:textId="77777777" w:rsidR="00C526D6" w:rsidRPr="0069218A" w:rsidRDefault="00C526D6" w:rsidP="00BC0663">
            <w:pPr>
              <w:jc w:val="both"/>
              <w:rPr>
                <w:rFonts w:ascii="Arial" w:hAnsi="Arial" w:cs="Arial"/>
                <w:color w:val="000000"/>
                <w:sz w:val="22"/>
                <w:szCs w:val="22"/>
              </w:rPr>
            </w:pPr>
          </w:p>
          <w:p w14:paraId="69122001" w14:textId="77777777" w:rsidR="00C526D6" w:rsidRPr="0069218A" w:rsidRDefault="00C526D6" w:rsidP="00BC0663">
            <w:pPr>
              <w:jc w:val="both"/>
              <w:rPr>
                <w:rFonts w:ascii="Arial" w:hAnsi="Arial" w:cs="Arial"/>
                <w:color w:val="000000"/>
                <w:sz w:val="12"/>
                <w:szCs w:val="12"/>
              </w:rPr>
            </w:pPr>
          </w:p>
          <w:p w14:paraId="7762C30A" w14:textId="77777777" w:rsidR="00C526D6" w:rsidRPr="0069218A" w:rsidRDefault="00C526D6" w:rsidP="00BC0663">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14:paraId="22E1606E" w14:textId="77777777" w:rsidR="00C526D6" w:rsidRPr="0069218A" w:rsidRDefault="00C526D6" w:rsidP="00BC0663">
            <w:pPr>
              <w:jc w:val="both"/>
              <w:rPr>
                <w:rFonts w:ascii="Arial" w:hAnsi="Arial" w:cs="Arial"/>
                <w:color w:val="000000"/>
                <w:sz w:val="22"/>
                <w:szCs w:val="22"/>
              </w:rPr>
            </w:pPr>
          </w:p>
        </w:tc>
      </w:tr>
      <w:tr w:rsidR="00747EB5" w:rsidRPr="0069218A" w14:paraId="0E3B4A96" w14:textId="77777777" w:rsidTr="00BC0663">
        <w:tc>
          <w:tcPr>
            <w:tcW w:w="1788" w:type="dxa"/>
            <w:vMerge/>
            <w:shd w:val="clear" w:color="auto" w:fill="FFFFCC"/>
            <w:tcMar>
              <w:top w:w="0" w:type="dxa"/>
              <w:left w:w="108" w:type="dxa"/>
              <w:bottom w:w="0" w:type="dxa"/>
              <w:right w:w="108" w:type="dxa"/>
            </w:tcMar>
          </w:tcPr>
          <w:p w14:paraId="30BF8AC6" w14:textId="77777777" w:rsidR="00747EB5" w:rsidRPr="0069218A" w:rsidRDefault="00747EB5" w:rsidP="00747EB5">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3F3BA1A0" w14:textId="77777777" w:rsidR="00747EB5" w:rsidRPr="00F37A6C" w:rsidRDefault="00747EB5" w:rsidP="00747EB5">
            <w:pPr>
              <w:jc w:val="both"/>
              <w:rPr>
                <w:rFonts w:ascii="Arial" w:hAnsi="Arial" w:cs="Arial"/>
                <w:b/>
                <w:bCs/>
                <w:color w:val="000000"/>
              </w:rPr>
            </w:pPr>
          </w:p>
          <w:p w14:paraId="6DB44CD7" w14:textId="77777777" w:rsidR="00747EB5" w:rsidRPr="00747EB5" w:rsidRDefault="00747EB5" w:rsidP="00747EB5">
            <w:pPr>
              <w:jc w:val="both"/>
              <w:rPr>
                <w:rFonts w:ascii="Arial" w:hAnsi="Arial" w:cs="Arial"/>
                <w:b/>
                <w:bCs/>
                <w:color w:val="000000"/>
                <w:sz w:val="22"/>
                <w:szCs w:val="22"/>
              </w:rPr>
            </w:pPr>
            <w:r w:rsidRPr="00747EB5">
              <w:rPr>
                <w:rFonts w:ascii="Arial" w:hAnsi="Arial" w:cs="Arial"/>
                <w:b/>
                <w:bCs/>
                <w:color w:val="000000"/>
                <w:sz w:val="22"/>
                <w:szCs w:val="22"/>
              </w:rPr>
              <w:t>Sub-criterion (2)</w:t>
            </w:r>
          </w:p>
          <w:p w14:paraId="38F4CC84" w14:textId="77777777" w:rsidR="00747EB5" w:rsidRPr="00747EB5" w:rsidRDefault="00747EB5" w:rsidP="00747EB5">
            <w:pPr>
              <w:jc w:val="both"/>
              <w:rPr>
                <w:rFonts w:ascii="Arial" w:hAnsi="Arial" w:cs="Arial"/>
                <w:b/>
                <w:bCs/>
                <w:color w:val="000000"/>
                <w:sz w:val="22"/>
                <w:szCs w:val="22"/>
              </w:rPr>
            </w:pPr>
          </w:p>
          <w:p w14:paraId="2256B9E6" w14:textId="43606ECE" w:rsidR="00747EB5" w:rsidRPr="00747EB5" w:rsidRDefault="00747EB5" w:rsidP="00747EB5">
            <w:pPr>
              <w:jc w:val="both"/>
              <w:rPr>
                <w:rFonts w:ascii="Arial" w:hAnsi="Arial" w:cs="Arial"/>
                <w:b/>
                <w:bCs/>
                <w:color w:val="000000"/>
                <w:sz w:val="22"/>
                <w:szCs w:val="22"/>
              </w:rPr>
            </w:pPr>
            <w:r w:rsidRPr="00747EB5">
              <w:rPr>
                <w:rFonts w:ascii="Arial" w:hAnsi="Arial" w:cs="Arial"/>
                <w:b/>
                <w:bCs/>
                <w:color w:val="000000"/>
                <w:sz w:val="22"/>
                <w:szCs w:val="22"/>
              </w:rPr>
              <w:t>This sub-criterion (2) is only applicable in respect of those Products listed at paragraph 12.1.4</w:t>
            </w:r>
            <w:r w:rsidR="00F807D5">
              <w:rPr>
                <w:rFonts w:ascii="Arial" w:hAnsi="Arial" w:cs="Arial"/>
                <w:b/>
                <w:bCs/>
                <w:color w:val="000000"/>
                <w:sz w:val="22"/>
                <w:szCs w:val="22"/>
              </w:rPr>
              <w:t xml:space="preserve"> where range products are included</w:t>
            </w:r>
          </w:p>
          <w:p w14:paraId="74266D24" w14:textId="77777777" w:rsidR="00747EB5" w:rsidRPr="00747EB5" w:rsidRDefault="00747EB5" w:rsidP="00747EB5">
            <w:pPr>
              <w:jc w:val="both"/>
              <w:rPr>
                <w:rFonts w:ascii="Arial" w:eastAsia="Calibri" w:hAnsi="Arial" w:cs="Arial"/>
                <w:color w:val="000000"/>
                <w:sz w:val="22"/>
                <w:szCs w:val="22"/>
                <w:lang w:eastAsia="en-US"/>
              </w:rPr>
            </w:pPr>
          </w:p>
          <w:p w14:paraId="0135EDF3" w14:textId="77777777" w:rsidR="00747EB5" w:rsidRPr="00F37A6C" w:rsidRDefault="00747EB5" w:rsidP="00747EB5">
            <w:pPr>
              <w:jc w:val="both"/>
              <w:rPr>
                <w:rFonts w:ascii="Arial" w:hAnsi="Arial" w:cs="Arial"/>
                <w:color w:val="000000"/>
              </w:rPr>
            </w:pPr>
            <w:r w:rsidRPr="00747EB5">
              <w:rPr>
                <w:rFonts w:ascii="Arial" w:hAnsi="Arial" w:cs="Arial"/>
                <w:color w:val="000000"/>
                <w:sz w:val="22"/>
                <w:szCs w:val="22"/>
              </w:rPr>
              <w:t>Cost of product across range</w:t>
            </w:r>
          </w:p>
        </w:tc>
        <w:tc>
          <w:tcPr>
            <w:tcW w:w="4489" w:type="dxa"/>
            <w:shd w:val="clear" w:color="auto" w:fill="FFFFCC"/>
            <w:tcMar>
              <w:top w:w="0" w:type="dxa"/>
              <w:left w:w="108" w:type="dxa"/>
              <w:bottom w:w="0" w:type="dxa"/>
              <w:right w:w="108" w:type="dxa"/>
            </w:tcMar>
          </w:tcPr>
          <w:p w14:paraId="0CF63E19" w14:textId="77777777" w:rsidR="00747EB5" w:rsidRDefault="00747EB5" w:rsidP="00747EB5">
            <w:pPr>
              <w:jc w:val="both"/>
              <w:rPr>
                <w:rFonts w:ascii="Arial" w:hAnsi="Arial" w:cs="Arial"/>
                <w:color w:val="000000"/>
                <w:sz w:val="22"/>
                <w:szCs w:val="22"/>
              </w:rPr>
            </w:pPr>
          </w:p>
          <w:p w14:paraId="5DB90F1C" w14:textId="77777777" w:rsidR="00747EB5" w:rsidRDefault="00747EB5" w:rsidP="00747EB5">
            <w:pPr>
              <w:jc w:val="both"/>
              <w:rPr>
                <w:rFonts w:ascii="Arial" w:hAnsi="Arial" w:cs="Arial"/>
                <w:color w:val="000000"/>
                <w:sz w:val="22"/>
                <w:szCs w:val="22"/>
              </w:rPr>
            </w:pPr>
          </w:p>
          <w:p w14:paraId="1F859C33" w14:textId="77777777" w:rsidR="00747EB5" w:rsidRDefault="00747EB5" w:rsidP="00747EB5">
            <w:pPr>
              <w:jc w:val="both"/>
              <w:rPr>
                <w:rFonts w:ascii="Arial" w:hAnsi="Arial" w:cs="Arial"/>
                <w:color w:val="000000"/>
                <w:sz w:val="22"/>
                <w:szCs w:val="22"/>
              </w:rPr>
            </w:pPr>
          </w:p>
          <w:p w14:paraId="63C6056D" w14:textId="77777777" w:rsidR="00747EB5" w:rsidRPr="00F37A6C" w:rsidRDefault="00747EB5" w:rsidP="00747EB5">
            <w:pPr>
              <w:jc w:val="both"/>
              <w:rPr>
                <w:rFonts w:ascii="Arial" w:hAnsi="Arial" w:cs="Arial"/>
                <w:color w:val="000000"/>
              </w:rPr>
            </w:pPr>
            <w:r w:rsidRPr="00F37A6C">
              <w:rPr>
                <w:rFonts w:ascii="Arial" w:hAnsi="Arial" w:cs="Arial"/>
                <w:color w:val="000000"/>
              </w:rPr>
              <w:t xml:space="preserve">The successful </w:t>
            </w:r>
            <w:r w:rsidRPr="00F37A6C">
              <w:rPr>
                <w:rFonts w:ascii="Arial" w:eastAsia="Calibri" w:hAnsi="Arial" w:cs="Arial"/>
                <w:lang w:val="en-US" w:eastAsia="en-US"/>
              </w:rPr>
              <w:t>Offeror</w:t>
            </w:r>
            <w:r w:rsidRPr="00F37A6C">
              <w:rPr>
                <w:rFonts w:ascii="Arial" w:hAnsi="Arial" w:cs="Arial"/>
                <w:color w:val="000000"/>
              </w:rPr>
              <w:t>’s offer across the identified range of products was the lowest-priced compliant offer received.</w:t>
            </w:r>
          </w:p>
          <w:p w14:paraId="3ECB0994" w14:textId="77777777" w:rsidR="00747EB5" w:rsidRPr="0069218A" w:rsidRDefault="00747EB5" w:rsidP="00747EB5">
            <w:pPr>
              <w:jc w:val="both"/>
              <w:rPr>
                <w:rFonts w:ascii="Arial" w:hAnsi="Arial" w:cs="Arial"/>
                <w:color w:val="000000"/>
                <w:sz w:val="22"/>
                <w:szCs w:val="22"/>
              </w:rPr>
            </w:pPr>
          </w:p>
        </w:tc>
      </w:tr>
      <w:tr w:rsidR="00747EB5" w:rsidRPr="0069218A" w14:paraId="3E5E9470" w14:textId="77777777" w:rsidTr="00BC0663">
        <w:tc>
          <w:tcPr>
            <w:tcW w:w="1788" w:type="dxa"/>
            <w:vMerge/>
            <w:shd w:val="clear" w:color="auto" w:fill="FFFFCC"/>
            <w:tcMar>
              <w:top w:w="0" w:type="dxa"/>
              <w:left w:w="108" w:type="dxa"/>
              <w:bottom w:w="0" w:type="dxa"/>
              <w:right w:w="108" w:type="dxa"/>
            </w:tcMar>
          </w:tcPr>
          <w:p w14:paraId="13A90B7A" w14:textId="77777777" w:rsidR="00747EB5" w:rsidRPr="0069218A" w:rsidRDefault="00747EB5" w:rsidP="00747EB5">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5729F686" w14:textId="77777777" w:rsidR="00747EB5" w:rsidRPr="0069218A" w:rsidRDefault="00747EB5" w:rsidP="00747EB5">
            <w:pPr>
              <w:jc w:val="both"/>
              <w:rPr>
                <w:rFonts w:ascii="Arial" w:hAnsi="Arial" w:cs="Arial"/>
                <w:b/>
                <w:color w:val="000000"/>
                <w:sz w:val="22"/>
                <w:szCs w:val="22"/>
              </w:rPr>
            </w:pPr>
          </w:p>
          <w:p w14:paraId="7FE35D26" w14:textId="77777777" w:rsidR="00747EB5" w:rsidRPr="0069218A" w:rsidRDefault="00747EB5" w:rsidP="00747EB5">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3</w:t>
            </w:r>
            <w:r w:rsidRPr="0069218A">
              <w:rPr>
                <w:rFonts w:ascii="Arial" w:hAnsi="Arial" w:cs="Arial"/>
                <w:b/>
                <w:color w:val="000000"/>
                <w:sz w:val="22"/>
                <w:szCs w:val="22"/>
              </w:rPr>
              <w:t xml:space="preserve">) </w:t>
            </w:r>
          </w:p>
          <w:p w14:paraId="50797F47" w14:textId="77777777" w:rsidR="00747EB5" w:rsidRPr="0069218A" w:rsidRDefault="00747EB5" w:rsidP="00747EB5">
            <w:pPr>
              <w:jc w:val="both"/>
              <w:rPr>
                <w:rFonts w:ascii="Arial" w:hAnsi="Arial" w:cs="Arial"/>
                <w:color w:val="000000"/>
                <w:sz w:val="12"/>
                <w:szCs w:val="12"/>
              </w:rPr>
            </w:pPr>
          </w:p>
          <w:p w14:paraId="6014A606" w14:textId="77777777" w:rsidR="00747EB5" w:rsidRPr="0069218A" w:rsidRDefault="00747EB5" w:rsidP="00747EB5">
            <w:pPr>
              <w:jc w:val="both"/>
              <w:rPr>
                <w:rFonts w:ascii="Arial" w:hAnsi="Arial" w:cs="Arial"/>
                <w:color w:val="000000"/>
                <w:sz w:val="22"/>
                <w:szCs w:val="22"/>
              </w:rPr>
            </w:pPr>
            <w:r w:rsidRPr="0069218A">
              <w:rPr>
                <w:rFonts w:ascii="Arial" w:hAnsi="Arial" w:cs="Arial"/>
                <w:color w:val="000000"/>
                <w:sz w:val="22"/>
                <w:szCs w:val="22"/>
              </w:rPr>
              <w:t>Cost of change</w:t>
            </w:r>
          </w:p>
          <w:p w14:paraId="13322F37" w14:textId="77777777" w:rsidR="00747EB5" w:rsidRPr="0069218A" w:rsidRDefault="00747EB5" w:rsidP="00747EB5">
            <w:pPr>
              <w:jc w:val="both"/>
              <w:rPr>
                <w:rFonts w:ascii="Arial" w:hAnsi="Arial" w:cs="Arial"/>
                <w:color w:val="000000"/>
                <w:sz w:val="22"/>
                <w:szCs w:val="22"/>
              </w:rPr>
            </w:pPr>
          </w:p>
          <w:p w14:paraId="074A0E33" w14:textId="77777777" w:rsidR="00747EB5" w:rsidRPr="0069218A" w:rsidRDefault="00747EB5" w:rsidP="00747EB5">
            <w:pPr>
              <w:jc w:val="both"/>
              <w:rPr>
                <w:rFonts w:ascii="Arial" w:hAnsi="Arial" w:cs="Arial"/>
                <w:bCs/>
                <w:color w:val="000000"/>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w:t>
            </w:r>
            <w:proofErr w:type="spellStart"/>
            <w:r w:rsidRPr="0069218A">
              <w:rPr>
                <w:rFonts w:ascii="Arial" w:hAnsi="Arial" w:cs="Arial"/>
                <w:b/>
                <w:sz w:val="22"/>
                <w:szCs w:val="22"/>
              </w:rPr>
              <w:t>i</w:t>
            </w:r>
            <w:proofErr w:type="spellEnd"/>
            <w:r w:rsidRPr="0069218A">
              <w:rPr>
                <w:rFonts w:ascii="Arial" w:hAnsi="Arial" w:cs="Arial"/>
                <w:b/>
                <w:sz w:val="22"/>
                <w:szCs w:val="22"/>
              </w:rPr>
              <w:t>) and 12.2.</w:t>
            </w:r>
            <w:r>
              <w:rPr>
                <w:rFonts w:ascii="Arial" w:hAnsi="Arial" w:cs="Arial"/>
                <w:b/>
                <w:sz w:val="22"/>
                <w:szCs w:val="22"/>
              </w:rPr>
              <w:t>4</w:t>
            </w:r>
          </w:p>
        </w:tc>
        <w:tc>
          <w:tcPr>
            <w:tcW w:w="4489" w:type="dxa"/>
            <w:shd w:val="clear" w:color="auto" w:fill="FFFFCC"/>
            <w:tcMar>
              <w:top w:w="0" w:type="dxa"/>
              <w:left w:w="108" w:type="dxa"/>
              <w:bottom w:w="0" w:type="dxa"/>
              <w:right w:w="108" w:type="dxa"/>
            </w:tcMar>
          </w:tcPr>
          <w:p w14:paraId="3F0F7D5D" w14:textId="77777777" w:rsidR="00747EB5" w:rsidRPr="0069218A" w:rsidRDefault="00747EB5" w:rsidP="00747EB5">
            <w:pPr>
              <w:jc w:val="both"/>
              <w:rPr>
                <w:rFonts w:ascii="Arial" w:hAnsi="Arial" w:cs="Arial"/>
                <w:color w:val="000000"/>
                <w:sz w:val="22"/>
                <w:szCs w:val="22"/>
              </w:rPr>
            </w:pPr>
          </w:p>
          <w:p w14:paraId="50493386" w14:textId="77777777" w:rsidR="00747EB5" w:rsidRDefault="00747EB5" w:rsidP="00747EB5">
            <w:pPr>
              <w:jc w:val="both"/>
              <w:rPr>
                <w:rFonts w:ascii="Arial" w:hAnsi="Arial" w:cs="Arial"/>
                <w:color w:val="000000"/>
                <w:sz w:val="22"/>
                <w:szCs w:val="22"/>
              </w:rPr>
            </w:pPr>
          </w:p>
          <w:p w14:paraId="234A743F" w14:textId="77777777" w:rsidR="00747EB5" w:rsidRPr="0069218A" w:rsidRDefault="00747EB5" w:rsidP="00747EB5">
            <w:pPr>
              <w:jc w:val="both"/>
              <w:rPr>
                <w:rFonts w:ascii="Arial" w:hAnsi="Arial" w:cs="Arial"/>
                <w:color w:val="000000"/>
                <w:sz w:val="22"/>
                <w:szCs w:val="22"/>
              </w:rPr>
            </w:pPr>
            <w:r w:rsidRPr="0069218A">
              <w:rPr>
                <w:rFonts w:ascii="Arial" w:hAnsi="Arial" w:cs="Arial"/>
                <w:color w:val="000000"/>
                <w:sz w:val="22"/>
                <w:szCs w:val="22"/>
              </w:rPr>
              <w:t xml:space="preserve">The successful supplier’s product provides the most economically advantageous offer when the costs associated with change are taken into consideration. </w:t>
            </w:r>
          </w:p>
          <w:p w14:paraId="7A5A632F" w14:textId="77777777" w:rsidR="00747EB5" w:rsidRPr="0069218A" w:rsidRDefault="00747EB5" w:rsidP="00747EB5">
            <w:pPr>
              <w:jc w:val="both"/>
              <w:rPr>
                <w:rFonts w:ascii="Arial" w:hAnsi="Arial" w:cs="Arial"/>
                <w:color w:val="000000"/>
                <w:sz w:val="22"/>
                <w:szCs w:val="22"/>
              </w:rPr>
            </w:pPr>
          </w:p>
          <w:p w14:paraId="789BFB28" w14:textId="77777777" w:rsidR="00747EB5" w:rsidRPr="0069218A" w:rsidRDefault="00747EB5" w:rsidP="00747EB5">
            <w:pPr>
              <w:jc w:val="both"/>
              <w:rPr>
                <w:rFonts w:ascii="Arial" w:hAnsi="Arial" w:cs="Arial"/>
                <w:color w:val="1F497D"/>
                <w:sz w:val="22"/>
                <w:szCs w:val="22"/>
              </w:rPr>
            </w:pPr>
            <w:r w:rsidRPr="0069218A">
              <w:rPr>
                <w:rFonts w:ascii="Arial" w:hAnsi="Arial" w:cs="Arial"/>
                <w:color w:val="000000"/>
                <w:sz w:val="22"/>
                <w:szCs w:val="22"/>
              </w:rPr>
              <w:t xml:space="preserve">Examples of indicators of costs of change may include (but shall not be limited to) the following: </w:t>
            </w:r>
          </w:p>
          <w:p w14:paraId="12FF1BC1" w14:textId="77777777" w:rsidR="00747EB5" w:rsidRPr="0069218A" w:rsidRDefault="00747EB5" w:rsidP="00747EB5">
            <w:pPr>
              <w:jc w:val="both"/>
              <w:rPr>
                <w:rFonts w:ascii="Arial" w:hAnsi="Arial" w:cs="Arial"/>
                <w:color w:val="1F497D"/>
                <w:sz w:val="22"/>
                <w:szCs w:val="22"/>
              </w:rPr>
            </w:pPr>
          </w:p>
          <w:p w14:paraId="5FD87615" w14:textId="77777777" w:rsidR="00747EB5" w:rsidRPr="0069218A" w:rsidRDefault="00747EB5" w:rsidP="0083255D">
            <w:pPr>
              <w:numPr>
                <w:ilvl w:val="0"/>
                <w:numId w:val="9"/>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updating pharmacy ordering and stock-holding systems.</w:t>
            </w:r>
          </w:p>
          <w:p w14:paraId="0E36DB99" w14:textId="77777777" w:rsidR="00747EB5" w:rsidRPr="0069218A" w:rsidRDefault="00747EB5" w:rsidP="0083255D">
            <w:pPr>
              <w:numPr>
                <w:ilvl w:val="0"/>
                <w:numId w:val="9"/>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segregating products stocked to avoid co-dispensing where this might be problematic, e.g. two products to one patient.</w:t>
            </w:r>
          </w:p>
          <w:p w14:paraId="6993397F" w14:textId="77777777" w:rsidR="00747EB5" w:rsidRPr="0069218A" w:rsidRDefault="00747EB5" w:rsidP="0083255D">
            <w:pPr>
              <w:numPr>
                <w:ilvl w:val="0"/>
                <w:numId w:val="9"/>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changing any ancillary documentation that might be associated with a particular product, e.g. patient information cards, work cards etc.</w:t>
            </w:r>
          </w:p>
          <w:p w14:paraId="5011B0D3" w14:textId="77777777" w:rsidR="00747EB5" w:rsidRPr="0069218A" w:rsidRDefault="00747EB5" w:rsidP="0083255D">
            <w:pPr>
              <w:numPr>
                <w:ilvl w:val="0"/>
                <w:numId w:val="9"/>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14:paraId="51B979E0" w14:textId="77777777" w:rsidR="00747EB5" w:rsidRPr="0069218A" w:rsidRDefault="00747EB5" w:rsidP="0083255D">
            <w:pPr>
              <w:numPr>
                <w:ilvl w:val="0"/>
                <w:numId w:val="9"/>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explaining any differences between products to the patient, e.g. changes in pack presentation, excipients etc.</w:t>
            </w:r>
          </w:p>
          <w:p w14:paraId="53855D71" w14:textId="77777777" w:rsidR="00747EB5" w:rsidRPr="0069218A" w:rsidRDefault="00747EB5" w:rsidP="00747EB5">
            <w:pPr>
              <w:jc w:val="both"/>
              <w:rPr>
                <w:rFonts w:ascii="Arial" w:hAnsi="Arial" w:cs="Arial"/>
                <w:color w:val="000000"/>
                <w:sz w:val="22"/>
                <w:szCs w:val="22"/>
              </w:rPr>
            </w:pPr>
          </w:p>
        </w:tc>
      </w:tr>
      <w:tr w:rsidR="00747EB5" w:rsidRPr="0069218A" w14:paraId="59587226" w14:textId="77777777" w:rsidTr="00BC0663">
        <w:tc>
          <w:tcPr>
            <w:tcW w:w="1788" w:type="dxa"/>
            <w:vMerge w:val="restart"/>
            <w:shd w:val="clear" w:color="auto" w:fill="FFFFCC"/>
            <w:tcMar>
              <w:top w:w="0" w:type="dxa"/>
              <w:left w:w="108" w:type="dxa"/>
              <w:bottom w:w="0" w:type="dxa"/>
              <w:right w:w="108" w:type="dxa"/>
            </w:tcMar>
            <w:hideMark/>
          </w:tcPr>
          <w:p w14:paraId="4D71651A" w14:textId="77777777" w:rsidR="00747EB5" w:rsidRPr="0069218A" w:rsidRDefault="00747EB5" w:rsidP="00747EB5">
            <w:pPr>
              <w:jc w:val="both"/>
              <w:rPr>
                <w:rFonts w:ascii="Arial" w:hAnsi="Arial" w:cs="Arial"/>
                <w:b/>
                <w:color w:val="000000"/>
                <w:sz w:val="22"/>
                <w:szCs w:val="22"/>
              </w:rPr>
            </w:pPr>
          </w:p>
          <w:p w14:paraId="12407D2D" w14:textId="77777777" w:rsidR="00747EB5" w:rsidRPr="0069218A" w:rsidRDefault="00747EB5" w:rsidP="00747EB5">
            <w:pPr>
              <w:jc w:val="both"/>
              <w:rPr>
                <w:rFonts w:ascii="Arial" w:hAnsi="Arial" w:cs="Arial"/>
                <w:b/>
                <w:color w:val="000000"/>
                <w:sz w:val="22"/>
                <w:szCs w:val="22"/>
              </w:rPr>
            </w:pPr>
            <w:r w:rsidRPr="0069218A">
              <w:rPr>
                <w:rFonts w:ascii="Arial" w:hAnsi="Arial" w:cs="Arial"/>
                <w:b/>
                <w:color w:val="000000"/>
                <w:sz w:val="22"/>
                <w:szCs w:val="22"/>
              </w:rPr>
              <w:t>Quality</w:t>
            </w:r>
            <w:r w:rsidRPr="0069218A">
              <w:rPr>
                <w:rFonts w:ascii="Arial" w:hAnsi="Arial" w:cs="Arial"/>
                <w:color w:val="000000"/>
                <w:sz w:val="22"/>
                <w:szCs w:val="22"/>
              </w:rPr>
              <w:t xml:space="preserve"> – to include QA assessment of risk to </w:t>
            </w:r>
            <w:r w:rsidRPr="0069218A">
              <w:rPr>
                <w:rFonts w:ascii="Arial" w:hAnsi="Arial" w:cs="Arial"/>
                <w:b/>
                <w:color w:val="000000"/>
                <w:sz w:val="22"/>
                <w:szCs w:val="22"/>
              </w:rPr>
              <w:t>patient</w:t>
            </w:r>
          </w:p>
          <w:p w14:paraId="4F0EDBF2" w14:textId="77777777" w:rsidR="00747EB5" w:rsidRPr="0069218A" w:rsidRDefault="00747EB5" w:rsidP="00747EB5">
            <w:pPr>
              <w:jc w:val="both"/>
              <w:rPr>
                <w:rFonts w:ascii="Arial" w:hAnsi="Arial" w:cs="Arial"/>
                <w:b/>
                <w:color w:val="000000"/>
                <w:sz w:val="22"/>
                <w:szCs w:val="22"/>
              </w:rPr>
            </w:pPr>
          </w:p>
          <w:p w14:paraId="0818C063" w14:textId="77777777" w:rsidR="00747EB5" w:rsidRPr="0069218A" w:rsidRDefault="00747EB5" w:rsidP="00747EB5">
            <w:pPr>
              <w:jc w:val="both"/>
              <w:rPr>
                <w:rFonts w:ascii="Arial" w:hAnsi="Arial" w:cs="Arial"/>
                <w:b/>
                <w:color w:val="000000"/>
                <w:sz w:val="22"/>
                <w:szCs w:val="22"/>
              </w:rPr>
            </w:pPr>
          </w:p>
          <w:p w14:paraId="389957E7" w14:textId="77777777" w:rsidR="00747EB5" w:rsidRPr="0069218A" w:rsidRDefault="00747EB5" w:rsidP="00747EB5">
            <w:pPr>
              <w:jc w:val="both"/>
              <w:rPr>
                <w:rFonts w:ascii="Arial" w:hAnsi="Arial" w:cs="Arial"/>
                <w:b/>
                <w:color w:val="000000"/>
                <w:sz w:val="22"/>
                <w:szCs w:val="22"/>
              </w:rPr>
            </w:pPr>
          </w:p>
          <w:p w14:paraId="6DCE0CC3" w14:textId="77777777" w:rsidR="00747EB5" w:rsidRPr="0069218A" w:rsidRDefault="00747EB5" w:rsidP="00747EB5">
            <w:pPr>
              <w:jc w:val="both"/>
              <w:rPr>
                <w:rFonts w:ascii="Arial" w:hAnsi="Arial" w:cs="Arial"/>
                <w:b/>
                <w:color w:val="000000"/>
                <w:sz w:val="22"/>
                <w:szCs w:val="22"/>
              </w:rPr>
            </w:pPr>
          </w:p>
          <w:p w14:paraId="14CC787F" w14:textId="77777777" w:rsidR="00747EB5" w:rsidRPr="0069218A" w:rsidRDefault="00747EB5" w:rsidP="00747EB5">
            <w:pPr>
              <w:jc w:val="both"/>
              <w:rPr>
                <w:rFonts w:ascii="Arial" w:hAnsi="Arial" w:cs="Arial"/>
                <w:b/>
                <w:color w:val="000000"/>
                <w:sz w:val="22"/>
                <w:szCs w:val="22"/>
              </w:rPr>
            </w:pPr>
          </w:p>
          <w:p w14:paraId="03376A18" w14:textId="77777777" w:rsidR="00747EB5" w:rsidRPr="0069218A" w:rsidRDefault="00747EB5" w:rsidP="00747EB5">
            <w:pPr>
              <w:jc w:val="both"/>
              <w:rPr>
                <w:rFonts w:ascii="Arial" w:hAnsi="Arial" w:cs="Arial"/>
                <w:b/>
                <w:color w:val="000000"/>
                <w:sz w:val="22"/>
                <w:szCs w:val="22"/>
              </w:rPr>
            </w:pPr>
          </w:p>
          <w:p w14:paraId="7FEDD8E8" w14:textId="77777777" w:rsidR="00747EB5" w:rsidRPr="0069218A" w:rsidRDefault="00747EB5" w:rsidP="00747EB5">
            <w:pPr>
              <w:jc w:val="both"/>
              <w:rPr>
                <w:rFonts w:ascii="Arial" w:hAnsi="Arial" w:cs="Arial"/>
                <w:b/>
                <w:color w:val="000000"/>
                <w:sz w:val="22"/>
                <w:szCs w:val="22"/>
              </w:rPr>
            </w:pPr>
          </w:p>
          <w:p w14:paraId="62A73358" w14:textId="77777777" w:rsidR="00747EB5" w:rsidRPr="0069218A" w:rsidRDefault="00747EB5" w:rsidP="00747EB5">
            <w:pPr>
              <w:jc w:val="both"/>
              <w:rPr>
                <w:rFonts w:ascii="Arial" w:hAnsi="Arial" w:cs="Arial"/>
                <w:b/>
                <w:color w:val="000000"/>
                <w:sz w:val="22"/>
                <w:szCs w:val="22"/>
              </w:rPr>
            </w:pPr>
          </w:p>
          <w:p w14:paraId="43699980" w14:textId="77777777" w:rsidR="00747EB5" w:rsidRPr="0069218A" w:rsidRDefault="00747EB5" w:rsidP="00747EB5">
            <w:pPr>
              <w:jc w:val="both"/>
              <w:rPr>
                <w:rFonts w:ascii="Arial" w:hAnsi="Arial" w:cs="Arial"/>
                <w:b/>
                <w:color w:val="000000"/>
                <w:sz w:val="22"/>
                <w:szCs w:val="22"/>
              </w:rPr>
            </w:pPr>
          </w:p>
          <w:p w14:paraId="453297DF" w14:textId="77777777" w:rsidR="00747EB5" w:rsidRPr="0069218A" w:rsidRDefault="00747EB5" w:rsidP="00747EB5">
            <w:pPr>
              <w:jc w:val="both"/>
              <w:rPr>
                <w:rFonts w:ascii="Arial" w:hAnsi="Arial" w:cs="Arial"/>
                <w:b/>
                <w:color w:val="000000"/>
                <w:sz w:val="22"/>
                <w:szCs w:val="22"/>
              </w:rPr>
            </w:pPr>
          </w:p>
          <w:p w14:paraId="40F90DB8" w14:textId="77777777" w:rsidR="00747EB5" w:rsidRPr="0069218A" w:rsidRDefault="00747EB5" w:rsidP="00747EB5">
            <w:pPr>
              <w:jc w:val="both"/>
              <w:rPr>
                <w:rFonts w:ascii="Arial" w:hAnsi="Arial" w:cs="Arial"/>
                <w:b/>
                <w:color w:val="000000"/>
                <w:sz w:val="22"/>
                <w:szCs w:val="22"/>
              </w:rPr>
            </w:pPr>
          </w:p>
          <w:p w14:paraId="2D901F2A" w14:textId="77777777" w:rsidR="00747EB5" w:rsidRPr="0069218A" w:rsidRDefault="00747EB5" w:rsidP="00747EB5">
            <w:pPr>
              <w:jc w:val="both"/>
              <w:rPr>
                <w:rFonts w:ascii="Arial" w:hAnsi="Arial" w:cs="Arial"/>
                <w:b/>
                <w:color w:val="000000"/>
                <w:sz w:val="22"/>
                <w:szCs w:val="22"/>
              </w:rPr>
            </w:pPr>
          </w:p>
          <w:p w14:paraId="0D086780" w14:textId="77777777" w:rsidR="00747EB5" w:rsidRPr="0069218A" w:rsidRDefault="00747EB5" w:rsidP="00747EB5">
            <w:pPr>
              <w:jc w:val="both"/>
              <w:rPr>
                <w:rFonts w:ascii="Arial" w:eastAsia="Calibri" w:hAnsi="Arial" w:cs="Arial"/>
                <w:color w:val="000000"/>
                <w:sz w:val="22"/>
                <w:szCs w:val="22"/>
                <w:lang w:eastAsia="en-US"/>
              </w:rPr>
            </w:pPr>
          </w:p>
          <w:p w14:paraId="167759CB" w14:textId="77777777" w:rsidR="00747EB5" w:rsidRPr="0069218A" w:rsidRDefault="00747EB5" w:rsidP="00747EB5">
            <w:pPr>
              <w:jc w:val="both"/>
              <w:rPr>
                <w:rFonts w:ascii="Arial" w:eastAsia="Calibri" w:hAnsi="Arial" w:cs="Arial"/>
                <w:color w:val="000000"/>
                <w:sz w:val="22"/>
                <w:szCs w:val="22"/>
                <w:lang w:eastAsia="en-US"/>
              </w:rPr>
            </w:pPr>
          </w:p>
          <w:p w14:paraId="7BBC6E60" w14:textId="77777777" w:rsidR="00747EB5" w:rsidRPr="0069218A" w:rsidRDefault="00747EB5" w:rsidP="00747EB5">
            <w:pPr>
              <w:jc w:val="both"/>
              <w:rPr>
                <w:rFonts w:ascii="Arial" w:eastAsia="Calibri" w:hAnsi="Arial" w:cs="Arial"/>
                <w:color w:val="000000"/>
                <w:sz w:val="22"/>
                <w:szCs w:val="22"/>
                <w:lang w:eastAsia="en-US"/>
              </w:rPr>
            </w:pPr>
          </w:p>
          <w:p w14:paraId="06E34A78" w14:textId="77777777" w:rsidR="00747EB5" w:rsidRPr="0069218A" w:rsidRDefault="00747EB5" w:rsidP="00747EB5">
            <w:pPr>
              <w:jc w:val="both"/>
              <w:rPr>
                <w:rFonts w:ascii="Arial" w:eastAsia="Calibri" w:hAnsi="Arial" w:cs="Arial"/>
                <w:color w:val="000000"/>
                <w:sz w:val="22"/>
                <w:szCs w:val="22"/>
                <w:lang w:eastAsia="en-US"/>
              </w:rPr>
            </w:pPr>
          </w:p>
          <w:p w14:paraId="58AC9F28" w14:textId="77777777" w:rsidR="00747EB5" w:rsidRPr="0069218A" w:rsidRDefault="00747EB5" w:rsidP="00747EB5">
            <w:pPr>
              <w:jc w:val="both"/>
              <w:rPr>
                <w:rFonts w:ascii="Arial" w:eastAsia="Calibri" w:hAnsi="Arial" w:cs="Arial"/>
                <w:color w:val="000000"/>
                <w:sz w:val="22"/>
                <w:szCs w:val="22"/>
                <w:lang w:eastAsia="en-US"/>
              </w:rPr>
            </w:pPr>
          </w:p>
          <w:p w14:paraId="716298E5" w14:textId="77777777" w:rsidR="00747EB5" w:rsidRPr="0069218A" w:rsidRDefault="00747EB5" w:rsidP="00747EB5">
            <w:pPr>
              <w:jc w:val="both"/>
              <w:rPr>
                <w:rFonts w:ascii="Arial" w:eastAsia="Calibri" w:hAnsi="Arial" w:cs="Arial"/>
                <w:color w:val="000000"/>
                <w:sz w:val="22"/>
                <w:szCs w:val="22"/>
                <w:lang w:eastAsia="en-US"/>
              </w:rPr>
            </w:pPr>
          </w:p>
          <w:p w14:paraId="6E908173" w14:textId="77777777" w:rsidR="00747EB5" w:rsidRPr="0069218A" w:rsidRDefault="00747EB5" w:rsidP="00747EB5">
            <w:pPr>
              <w:jc w:val="both"/>
              <w:rPr>
                <w:rFonts w:ascii="Arial" w:eastAsia="Calibri" w:hAnsi="Arial" w:cs="Arial"/>
                <w:color w:val="000000"/>
                <w:sz w:val="22"/>
                <w:szCs w:val="22"/>
                <w:lang w:eastAsia="en-US"/>
              </w:rPr>
            </w:pPr>
          </w:p>
          <w:p w14:paraId="38C30726" w14:textId="77777777" w:rsidR="00747EB5" w:rsidRPr="0069218A" w:rsidRDefault="00747EB5" w:rsidP="00747EB5">
            <w:pPr>
              <w:jc w:val="both"/>
              <w:rPr>
                <w:rFonts w:ascii="Arial" w:eastAsia="Calibri" w:hAnsi="Arial" w:cs="Arial"/>
                <w:color w:val="000000"/>
                <w:sz w:val="22"/>
                <w:szCs w:val="22"/>
                <w:lang w:eastAsia="en-US"/>
              </w:rPr>
            </w:pPr>
          </w:p>
          <w:p w14:paraId="2CF605B6" w14:textId="77777777" w:rsidR="00747EB5" w:rsidRPr="0069218A" w:rsidRDefault="00747EB5" w:rsidP="00747EB5">
            <w:pPr>
              <w:jc w:val="both"/>
              <w:rPr>
                <w:rFonts w:ascii="Arial" w:eastAsia="Calibri" w:hAnsi="Arial" w:cs="Arial"/>
                <w:color w:val="000000"/>
                <w:sz w:val="22"/>
                <w:szCs w:val="22"/>
                <w:lang w:eastAsia="en-US"/>
              </w:rPr>
            </w:pPr>
          </w:p>
          <w:p w14:paraId="7545E6D7" w14:textId="77777777" w:rsidR="00747EB5" w:rsidRPr="0069218A" w:rsidRDefault="00747EB5" w:rsidP="00747EB5">
            <w:pPr>
              <w:jc w:val="both"/>
              <w:rPr>
                <w:rFonts w:ascii="Arial" w:eastAsia="Calibri" w:hAnsi="Arial" w:cs="Arial"/>
                <w:color w:val="000000"/>
                <w:sz w:val="22"/>
                <w:szCs w:val="22"/>
                <w:lang w:eastAsia="en-US"/>
              </w:rPr>
            </w:pPr>
          </w:p>
          <w:p w14:paraId="15B5AA23" w14:textId="77777777" w:rsidR="00747EB5" w:rsidRPr="0069218A" w:rsidRDefault="00747EB5" w:rsidP="00747EB5">
            <w:pPr>
              <w:jc w:val="both"/>
              <w:rPr>
                <w:rFonts w:ascii="Arial" w:eastAsia="Calibri" w:hAnsi="Arial" w:cs="Arial"/>
                <w:color w:val="000000"/>
                <w:sz w:val="22"/>
                <w:szCs w:val="22"/>
                <w:lang w:eastAsia="en-US"/>
              </w:rPr>
            </w:pPr>
          </w:p>
          <w:p w14:paraId="754CC712" w14:textId="77777777" w:rsidR="00747EB5" w:rsidRPr="0069218A" w:rsidRDefault="00747EB5" w:rsidP="00747EB5">
            <w:pPr>
              <w:jc w:val="both"/>
              <w:rPr>
                <w:rFonts w:ascii="Arial" w:eastAsia="Calibri" w:hAnsi="Arial" w:cs="Arial"/>
                <w:color w:val="000000"/>
                <w:sz w:val="22"/>
                <w:szCs w:val="22"/>
                <w:lang w:eastAsia="en-US"/>
              </w:rPr>
            </w:pPr>
          </w:p>
          <w:p w14:paraId="1D7DECE3" w14:textId="77777777" w:rsidR="00747EB5" w:rsidRPr="0069218A" w:rsidRDefault="00747EB5" w:rsidP="00747EB5">
            <w:pPr>
              <w:jc w:val="both"/>
              <w:rPr>
                <w:rFonts w:ascii="Arial" w:eastAsia="Calibri" w:hAnsi="Arial" w:cs="Arial"/>
                <w:color w:val="000000"/>
                <w:sz w:val="22"/>
                <w:szCs w:val="22"/>
                <w:lang w:eastAsia="en-US"/>
              </w:rPr>
            </w:pPr>
          </w:p>
          <w:p w14:paraId="02F570F3" w14:textId="77777777" w:rsidR="00747EB5" w:rsidRPr="0069218A" w:rsidRDefault="00747EB5" w:rsidP="00747EB5">
            <w:pPr>
              <w:jc w:val="both"/>
              <w:rPr>
                <w:rFonts w:ascii="Arial" w:eastAsia="Calibri" w:hAnsi="Arial" w:cs="Arial"/>
                <w:color w:val="000000"/>
                <w:sz w:val="22"/>
                <w:szCs w:val="22"/>
                <w:lang w:eastAsia="en-US"/>
              </w:rPr>
            </w:pPr>
          </w:p>
          <w:p w14:paraId="1CFABB66" w14:textId="77777777" w:rsidR="00747EB5" w:rsidRPr="0069218A" w:rsidRDefault="00747EB5" w:rsidP="00747EB5">
            <w:pPr>
              <w:jc w:val="both"/>
              <w:rPr>
                <w:rFonts w:ascii="Arial" w:eastAsia="Calibri" w:hAnsi="Arial" w:cs="Arial"/>
                <w:color w:val="000000"/>
                <w:sz w:val="22"/>
                <w:szCs w:val="22"/>
                <w:lang w:eastAsia="en-US"/>
              </w:rPr>
            </w:pPr>
          </w:p>
          <w:p w14:paraId="59F3F679" w14:textId="77777777" w:rsidR="00747EB5" w:rsidRPr="0069218A" w:rsidRDefault="00747EB5" w:rsidP="00747EB5">
            <w:pPr>
              <w:jc w:val="both"/>
              <w:rPr>
                <w:rFonts w:ascii="Arial" w:eastAsia="Calibri" w:hAnsi="Arial" w:cs="Arial"/>
                <w:color w:val="000000"/>
                <w:sz w:val="22"/>
                <w:szCs w:val="22"/>
                <w:lang w:eastAsia="en-US"/>
              </w:rPr>
            </w:pPr>
          </w:p>
          <w:p w14:paraId="7F435632" w14:textId="77777777" w:rsidR="00747EB5" w:rsidRPr="0069218A" w:rsidRDefault="00747EB5" w:rsidP="00747EB5">
            <w:pPr>
              <w:jc w:val="both"/>
              <w:rPr>
                <w:rFonts w:ascii="Arial" w:eastAsia="Calibri" w:hAnsi="Arial" w:cs="Arial"/>
                <w:color w:val="000000"/>
                <w:sz w:val="22"/>
                <w:szCs w:val="22"/>
                <w:lang w:eastAsia="en-US"/>
              </w:rPr>
            </w:pPr>
          </w:p>
          <w:p w14:paraId="554EBEFD" w14:textId="77777777" w:rsidR="00747EB5" w:rsidRPr="0069218A" w:rsidRDefault="00747EB5" w:rsidP="00747EB5">
            <w:pPr>
              <w:jc w:val="both"/>
              <w:rPr>
                <w:rFonts w:ascii="Arial" w:eastAsia="Calibri" w:hAnsi="Arial" w:cs="Arial"/>
                <w:color w:val="000000"/>
                <w:sz w:val="22"/>
                <w:szCs w:val="22"/>
                <w:lang w:eastAsia="en-US"/>
              </w:rPr>
            </w:pPr>
          </w:p>
          <w:p w14:paraId="4901CF72" w14:textId="77777777" w:rsidR="00747EB5" w:rsidRPr="0069218A" w:rsidRDefault="00747EB5" w:rsidP="00747EB5">
            <w:pPr>
              <w:jc w:val="both"/>
              <w:rPr>
                <w:rFonts w:ascii="Arial" w:eastAsia="Calibri" w:hAnsi="Arial" w:cs="Arial"/>
                <w:color w:val="000000"/>
                <w:sz w:val="22"/>
                <w:szCs w:val="22"/>
                <w:lang w:eastAsia="en-US"/>
              </w:rPr>
            </w:pPr>
          </w:p>
          <w:p w14:paraId="65801297" w14:textId="77777777" w:rsidR="00747EB5" w:rsidRPr="0069218A" w:rsidRDefault="00747EB5" w:rsidP="00747EB5">
            <w:pPr>
              <w:jc w:val="both"/>
              <w:rPr>
                <w:rFonts w:ascii="Arial" w:eastAsia="Calibri" w:hAnsi="Arial" w:cs="Arial"/>
                <w:color w:val="000000"/>
                <w:sz w:val="22"/>
                <w:szCs w:val="22"/>
                <w:lang w:eastAsia="en-US"/>
              </w:rPr>
            </w:pPr>
          </w:p>
        </w:tc>
        <w:tc>
          <w:tcPr>
            <w:tcW w:w="3592" w:type="dxa"/>
            <w:shd w:val="clear" w:color="auto" w:fill="FFFFCC"/>
            <w:tcMar>
              <w:top w:w="0" w:type="dxa"/>
              <w:left w:w="108" w:type="dxa"/>
              <w:bottom w:w="0" w:type="dxa"/>
              <w:right w:w="108" w:type="dxa"/>
            </w:tcMar>
            <w:hideMark/>
          </w:tcPr>
          <w:p w14:paraId="7D562450" w14:textId="77777777" w:rsidR="00747EB5" w:rsidRPr="0069218A" w:rsidRDefault="00747EB5" w:rsidP="00747EB5">
            <w:pPr>
              <w:jc w:val="both"/>
              <w:rPr>
                <w:rFonts w:ascii="Arial" w:hAnsi="Arial" w:cs="Arial"/>
                <w:b/>
                <w:bCs/>
                <w:color w:val="000000"/>
                <w:sz w:val="22"/>
                <w:szCs w:val="22"/>
              </w:rPr>
            </w:pPr>
          </w:p>
          <w:p w14:paraId="6CBBFBC2" w14:textId="77777777" w:rsidR="00747EB5" w:rsidRPr="0069218A" w:rsidRDefault="00747EB5" w:rsidP="00747EB5">
            <w:pPr>
              <w:jc w:val="both"/>
              <w:rPr>
                <w:rFonts w:ascii="Arial" w:hAnsi="Arial" w:cs="Arial"/>
                <w:b/>
                <w:bCs/>
                <w:color w:val="000000"/>
                <w:sz w:val="22"/>
                <w:szCs w:val="22"/>
              </w:rPr>
            </w:pPr>
            <w:r w:rsidRPr="0069218A">
              <w:rPr>
                <w:rFonts w:ascii="Arial" w:hAnsi="Arial" w:cs="Arial"/>
                <w:b/>
                <w:bCs/>
                <w:color w:val="000000"/>
                <w:sz w:val="22"/>
                <w:szCs w:val="22"/>
              </w:rPr>
              <w:t>Sub-criterion (1)</w:t>
            </w:r>
          </w:p>
          <w:p w14:paraId="02B6347F" w14:textId="77777777" w:rsidR="00747EB5" w:rsidRPr="0069218A" w:rsidRDefault="00747EB5" w:rsidP="00747EB5">
            <w:pPr>
              <w:jc w:val="both"/>
              <w:rPr>
                <w:rFonts w:ascii="Arial" w:eastAsia="Calibri" w:hAnsi="Arial" w:cs="Arial"/>
                <w:b/>
                <w:bCs/>
                <w:color w:val="000000"/>
                <w:sz w:val="22"/>
                <w:szCs w:val="22"/>
                <w:lang w:eastAsia="en-US"/>
              </w:rPr>
            </w:pPr>
          </w:p>
          <w:p w14:paraId="230898B9" w14:textId="6FB9FF75" w:rsidR="00747EB5" w:rsidRPr="0069218A" w:rsidRDefault="00747EB5" w:rsidP="00747EB5">
            <w:pPr>
              <w:jc w:val="both"/>
              <w:rPr>
                <w:rFonts w:ascii="Arial" w:hAnsi="Arial" w:cs="Arial"/>
                <w:color w:val="000000"/>
                <w:sz w:val="22"/>
                <w:szCs w:val="22"/>
              </w:rPr>
            </w:pPr>
            <w:r w:rsidRPr="0069218A">
              <w:rPr>
                <w:rFonts w:ascii="Arial" w:hAnsi="Arial" w:cs="Arial"/>
                <w:color w:val="000000"/>
                <w:sz w:val="22"/>
                <w:szCs w:val="22"/>
              </w:rPr>
              <w:t>Assessed according to</w:t>
            </w:r>
            <w:r w:rsidR="00DB612E">
              <w:rPr>
                <w:rFonts w:ascii="Arial" w:hAnsi="Arial" w:cs="Arial"/>
                <w:color w:val="000000"/>
                <w:sz w:val="22"/>
                <w:szCs w:val="22"/>
              </w:rPr>
              <w:t xml:space="preserve"> the requirements disclosed in the   Contract Technical Specification for Licensed Medicines (Doc. No.4) and </w:t>
            </w:r>
            <w:r w:rsidRPr="0069218A">
              <w:rPr>
                <w:rFonts w:ascii="Arial" w:hAnsi="Arial" w:cs="Arial"/>
                <w:color w:val="000000"/>
                <w:sz w:val="22"/>
                <w:szCs w:val="22"/>
              </w:rPr>
              <w:t>the approach documented in the ‘Guidance for performing a pharmaceutical</w:t>
            </w:r>
            <w:r w:rsidR="00DB612E">
              <w:rPr>
                <w:rFonts w:ascii="Arial" w:hAnsi="Arial" w:cs="Arial"/>
                <w:color w:val="000000"/>
                <w:sz w:val="22"/>
                <w:szCs w:val="22"/>
              </w:rPr>
              <w:t xml:space="preserve"> </w:t>
            </w:r>
            <w:r w:rsidRPr="0069218A">
              <w:rPr>
                <w:rFonts w:ascii="Arial" w:hAnsi="Arial" w:cs="Arial"/>
                <w:color w:val="000000"/>
                <w:sz w:val="22"/>
                <w:szCs w:val="22"/>
              </w:rPr>
              <w:t xml:space="preserve">quality assessment of licensed medicines for the NHS’. A copy of this document is available at Document No. </w:t>
            </w:r>
            <w:r w:rsidR="003F6CC6">
              <w:rPr>
                <w:rFonts w:ascii="Arial" w:hAnsi="Arial" w:cs="Arial"/>
                <w:color w:val="000000"/>
                <w:sz w:val="22"/>
                <w:szCs w:val="22"/>
              </w:rPr>
              <w:t>0</w:t>
            </w:r>
            <w:r w:rsidRPr="0069218A">
              <w:rPr>
                <w:rFonts w:ascii="Arial" w:hAnsi="Arial" w:cs="Arial"/>
                <w:color w:val="000000"/>
                <w:sz w:val="22"/>
                <w:szCs w:val="22"/>
              </w:rPr>
              <w:t>7b. Product QC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will only be awarded to the framework in the absence of any other qualifying offers (and subject to satisfying all other award criteria).</w:t>
            </w:r>
          </w:p>
          <w:p w14:paraId="1BD7A79C" w14:textId="77777777" w:rsidR="00747EB5" w:rsidRPr="0069218A" w:rsidRDefault="00747EB5" w:rsidP="00747EB5">
            <w:pPr>
              <w:jc w:val="both"/>
              <w:rPr>
                <w:rFonts w:ascii="Arial" w:hAnsi="Arial" w:cs="Arial"/>
                <w:color w:val="000000"/>
                <w:sz w:val="22"/>
                <w:szCs w:val="22"/>
              </w:rPr>
            </w:pPr>
          </w:p>
        </w:tc>
        <w:tc>
          <w:tcPr>
            <w:tcW w:w="4489" w:type="dxa"/>
            <w:shd w:val="clear" w:color="auto" w:fill="FFFFCC"/>
            <w:tcMar>
              <w:top w:w="0" w:type="dxa"/>
              <w:left w:w="108" w:type="dxa"/>
              <w:bottom w:w="0" w:type="dxa"/>
              <w:right w:w="108" w:type="dxa"/>
            </w:tcMar>
          </w:tcPr>
          <w:p w14:paraId="3B45D135" w14:textId="77777777" w:rsidR="00747EB5" w:rsidRPr="0069218A" w:rsidRDefault="00747EB5" w:rsidP="00747EB5">
            <w:pPr>
              <w:jc w:val="both"/>
              <w:rPr>
                <w:rFonts w:ascii="Arial" w:eastAsia="Calibri" w:hAnsi="Arial" w:cs="Arial"/>
                <w:color w:val="000000"/>
                <w:sz w:val="22"/>
                <w:szCs w:val="22"/>
                <w:lang w:eastAsia="en-US"/>
              </w:rPr>
            </w:pPr>
          </w:p>
          <w:p w14:paraId="0077A750" w14:textId="77777777" w:rsidR="00747EB5" w:rsidRPr="0069218A" w:rsidRDefault="00747EB5" w:rsidP="00747EB5">
            <w:pPr>
              <w:jc w:val="both"/>
              <w:rPr>
                <w:rFonts w:ascii="Arial" w:hAnsi="Arial" w:cs="Arial"/>
                <w:color w:val="000000"/>
                <w:sz w:val="22"/>
                <w:szCs w:val="22"/>
              </w:rPr>
            </w:pPr>
          </w:p>
          <w:p w14:paraId="095A5F5D" w14:textId="77777777" w:rsidR="00747EB5" w:rsidRPr="0069218A" w:rsidRDefault="00747EB5" w:rsidP="00747EB5">
            <w:pPr>
              <w:jc w:val="both"/>
              <w:rPr>
                <w:rFonts w:ascii="Arial" w:hAnsi="Arial" w:cs="Arial"/>
                <w:color w:val="000000"/>
                <w:sz w:val="22"/>
                <w:szCs w:val="22"/>
              </w:rPr>
            </w:pPr>
          </w:p>
          <w:p w14:paraId="6B092835" w14:textId="17AA689F" w:rsidR="00747EB5" w:rsidRPr="0069218A" w:rsidRDefault="00747EB5" w:rsidP="00747EB5">
            <w:pPr>
              <w:jc w:val="both"/>
              <w:rPr>
                <w:rFonts w:ascii="Arial" w:eastAsia="Calibri" w:hAnsi="Arial" w:cs="Arial"/>
                <w:color w:val="000000"/>
                <w:sz w:val="22"/>
                <w:szCs w:val="22"/>
                <w:lang w:eastAsia="en-US"/>
              </w:rPr>
            </w:pPr>
            <w:r w:rsidRPr="0069218A">
              <w:rPr>
                <w:rFonts w:ascii="Arial" w:hAnsi="Arial" w:cs="Arial"/>
                <w:color w:val="000000"/>
                <w:sz w:val="22"/>
                <w:szCs w:val="22"/>
              </w:rPr>
              <w:t xml:space="preserve">The successful supplier’s </w:t>
            </w:r>
            <w:r w:rsidR="00DB612E">
              <w:rPr>
                <w:rFonts w:ascii="Arial" w:hAnsi="Arial" w:cs="Arial"/>
                <w:color w:val="000000"/>
                <w:sz w:val="22"/>
                <w:szCs w:val="22"/>
              </w:rPr>
              <w:t xml:space="preserve">product and </w:t>
            </w:r>
            <w:r w:rsidRPr="0069218A">
              <w:rPr>
                <w:rFonts w:ascii="Arial" w:hAnsi="Arial" w:cs="Arial"/>
                <w:color w:val="000000"/>
                <w:sz w:val="22"/>
                <w:szCs w:val="22"/>
              </w:rPr>
              <w:t xml:space="preserve">packaging </w:t>
            </w:r>
            <w:r w:rsidR="00DB612E">
              <w:rPr>
                <w:rFonts w:ascii="Arial" w:hAnsi="Arial" w:cs="Arial"/>
                <w:color w:val="000000"/>
                <w:sz w:val="22"/>
                <w:szCs w:val="22"/>
              </w:rPr>
              <w:t>are</w:t>
            </w:r>
            <w:r w:rsidRPr="0069218A">
              <w:rPr>
                <w:rFonts w:ascii="Arial" w:hAnsi="Arial" w:cs="Arial"/>
                <w:color w:val="000000"/>
                <w:sz w:val="22"/>
                <w:szCs w:val="22"/>
              </w:rPr>
              <w:t xml:space="preserve"> in accordance with the criteria detailed </w:t>
            </w:r>
            <w:r w:rsidR="00DB612E">
              <w:rPr>
                <w:rFonts w:ascii="Arial" w:hAnsi="Arial" w:cs="Arial"/>
                <w:color w:val="000000"/>
                <w:sz w:val="22"/>
                <w:szCs w:val="22"/>
              </w:rPr>
              <w:t>Contract Technical Specificat</w:t>
            </w:r>
            <w:r w:rsidRPr="0069218A">
              <w:rPr>
                <w:rFonts w:ascii="Arial" w:hAnsi="Arial" w:cs="Arial"/>
                <w:color w:val="000000"/>
                <w:sz w:val="22"/>
                <w:szCs w:val="22"/>
              </w:rPr>
              <w:t>i</w:t>
            </w:r>
            <w:r w:rsidR="00DB612E">
              <w:rPr>
                <w:rFonts w:ascii="Arial" w:hAnsi="Arial" w:cs="Arial"/>
                <w:color w:val="000000"/>
                <w:sz w:val="22"/>
                <w:szCs w:val="22"/>
              </w:rPr>
              <w:t>o</w:t>
            </w:r>
            <w:r w:rsidRPr="0069218A">
              <w:rPr>
                <w:rFonts w:ascii="Arial" w:hAnsi="Arial" w:cs="Arial"/>
                <w:color w:val="000000"/>
                <w:sz w:val="22"/>
                <w:szCs w:val="22"/>
              </w:rPr>
              <w:t xml:space="preserve">n </w:t>
            </w:r>
            <w:r w:rsidR="00DB612E">
              <w:rPr>
                <w:rFonts w:ascii="Arial" w:hAnsi="Arial" w:cs="Arial"/>
                <w:color w:val="000000"/>
                <w:sz w:val="22"/>
                <w:szCs w:val="22"/>
              </w:rPr>
              <w:t xml:space="preserve">and </w:t>
            </w:r>
            <w:r w:rsidRPr="0069218A">
              <w:rPr>
                <w:rFonts w:ascii="Arial" w:hAnsi="Arial" w:cs="Arial"/>
                <w:color w:val="000000"/>
                <w:sz w:val="22"/>
                <w:szCs w:val="22"/>
              </w:rPr>
              <w:t>the "Guidance for performing a pharmaceutical quality assessment of licensed medicines for the NHS” and therefore less likely to give rise to an increased risk of a medication error and the QA assessment for their product reflects this.</w:t>
            </w:r>
          </w:p>
        </w:tc>
      </w:tr>
      <w:tr w:rsidR="00747EB5" w:rsidRPr="0069218A" w14:paraId="3E5F9104" w14:textId="77777777" w:rsidTr="00BC0663">
        <w:tc>
          <w:tcPr>
            <w:tcW w:w="1788" w:type="dxa"/>
            <w:vMerge/>
            <w:shd w:val="clear" w:color="auto" w:fill="FFFFCC"/>
            <w:vAlign w:val="center"/>
          </w:tcPr>
          <w:p w14:paraId="31200BD3" w14:textId="77777777" w:rsidR="00747EB5" w:rsidRPr="0069218A" w:rsidRDefault="00747EB5" w:rsidP="00747EB5">
            <w:pPr>
              <w:jc w:val="both"/>
              <w:rPr>
                <w:rFonts w:ascii="Arial" w:eastAsia="Calibri" w:hAnsi="Arial" w:cs="Arial"/>
                <w:color w:val="000000"/>
                <w:sz w:val="22"/>
                <w:szCs w:val="22"/>
                <w:lang w:eastAsia="en-US"/>
              </w:rPr>
            </w:pPr>
          </w:p>
        </w:tc>
        <w:tc>
          <w:tcPr>
            <w:tcW w:w="3592" w:type="dxa"/>
            <w:shd w:val="clear" w:color="auto" w:fill="FFFFCC"/>
            <w:tcMar>
              <w:top w:w="0" w:type="dxa"/>
              <w:left w:w="108" w:type="dxa"/>
              <w:bottom w:w="0" w:type="dxa"/>
              <w:right w:w="108" w:type="dxa"/>
            </w:tcMar>
          </w:tcPr>
          <w:p w14:paraId="35726655" w14:textId="77777777" w:rsidR="00747EB5" w:rsidRPr="0076474F" w:rsidRDefault="00747EB5" w:rsidP="00747EB5">
            <w:pPr>
              <w:jc w:val="both"/>
              <w:rPr>
                <w:rFonts w:ascii="Arial" w:hAnsi="Arial" w:cs="Arial"/>
                <w:b/>
                <w:bCs/>
                <w:color w:val="000000"/>
                <w:sz w:val="22"/>
                <w:szCs w:val="22"/>
              </w:rPr>
            </w:pPr>
          </w:p>
          <w:p w14:paraId="00CCAC11" w14:textId="77777777" w:rsidR="00747EB5" w:rsidRPr="0076474F" w:rsidRDefault="00747EB5" w:rsidP="00747EB5">
            <w:pPr>
              <w:jc w:val="both"/>
              <w:rPr>
                <w:rFonts w:ascii="Arial" w:hAnsi="Arial" w:cs="Arial"/>
                <w:b/>
                <w:bCs/>
                <w:color w:val="000000"/>
                <w:sz w:val="22"/>
                <w:szCs w:val="22"/>
              </w:rPr>
            </w:pPr>
            <w:r w:rsidRPr="0076474F">
              <w:rPr>
                <w:rFonts w:ascii="Arial" w:hAnsi="Arial" w:cs="Arial"/>
                <w:b/>
                <w:bCs/>
                <w:color w:val="000000"/>
                <w:sz w:val="22"/>
                <w:szCs w:val="22"/>
              </w:rPr>
              <w:t>Sub-criterion (2)</w:t>
            </w:r>
          </w:p>
          <w:p w14:paraId="46F1ABD7" w14:textId="77777777" w:rsidR="00747EB5" w:rsidRPr="0076474F" w:rsidRDefault="00747EB5" w:rsidP="00747EB5">
            <w:pPr>
              <w:jc w:val="both"/>
              <w:rPr>
                <w:rFonts w:ascii="Arial" w:hAnsi="Arial" w:cs="Arial"/>
                <w:color w:val="000000"/>
                <w:sz w:val="22"/>
                <w:szCs w:val="22"/>
              </w:rPr>
            </w:pPr>
          </w:p>
          <w:p w14:paraId="1F5D82B4" w14:textId="7C858469" w:rsidR="00DB612E" w:rsidRPr="00C92A6F" w:rsidRDefault="00DB612E" w:rsidP="00DB612E">
            <w:pPr>
              <w:jc w:val="both"/>
              <w:rPr>
                <w:rFonts w:ascii="Arial" w:hAnsi="Arial" w:cs="Arial"/>
                <w:color w:val="FF0000"/>
                <w:sz w:val="22"/>
                <w:szCs w:val="22"/>
              </w:rPr>
            </w:pPr>
            <w:r w:rsidRPr="0069218A">
              <w:rPr>
                <w:rFonts w:ascii="Arial" w:hAnsi="Arial" w:cs="Arial"/>
                <w:color w:val="000000"/>
                <w:sz w:val="22"/>
                <w:szCs w:val="22"/>
              </w:rPr>
              <w:t>Assessed according to</w:t>
            </w:r>
            <w:r>
              <w:rPr>
                <w:rFonts w:ascii="Arial" w:hAnsi="Arial" w:cs="Arial"/>
                <w:color w:val="000000"/>
                <w:sz w:val="22"/>
                <w:szCs w:val="22"/>
              </w:rPr>
              <w:t xml:space="preserve"> the requirements disclosed in the   Contract Technical Specification for Licensed Medicines (Doc. No.4) and </w:t>
            </w:r>
            <w:r w:rsidRPr="0069218A">
              <w:rPr>
                <w:rFonts w:ascii="Arial" w:hAnsi="Arial" w:cs="Arial"/>
                <w:color w:val="000000"/>
                <w:sz w:val="22"/>
                <w:szCs w:val="22"/>
              </w:rPr>
              <w:t>the approach documented in the ‘Guidance for performing a pharmaceutical</w:t>
            </w:r>
            <w:r>
              <w:rPr>
                <w:rFonts w:ascii="Arial" w:hAnsi="Arial" w:cs="Arial"/>
                <w:color w:val="000000"/>
                <w:sz w:val="22"/>
                <w:szCs w:val="22"/>
              </w:rPr>
              <w:t xml:space="preserve"> </w:t>
            </w:r>
            <w:r w:rsidRPr="0069218A">
              <w:rPr>
                <w:rFonts w:ascii="Arial" w:hAnsi="Arial" w:cs="Arial"/>
                <w:color w:val="000000"/>
                <w:sz w:val="22"/>
                <w:szCs w:val="22"/>
              </w:rPr>
              <w:t xml:space="preserve">quality assessment of licensed medicines for the NHS’. A copy of this document is available at Document No. </w:t>
            </w:r>
            <w:r>
              <w:rPr>
                <w:rFonts w:ascii="Arial" w:hAnsi="Arial" w:cs="Arial"/>
                <w:color w:val="000000"/>
                <w:sz w:val="22"/>
                <w:szCs w:val="22"/>
              </w:rPr>
              <w:t>0</w:t>
            </w:r>
            <w:r w:rsidRPr="0069218A">
              <w:rPr>
                <w:rFonts w:ascii="Arial" w:hAnsi="Arial" w:cs="Arial"/>
                <w:color w:val="000000"/>
                <w:sz w:val="22"/>
                <w:szCs w:val="22"/>
              </w:rPr>
              <w:t xml:space="preserve">7b. </w:t>
            </w:r>
          </w:p>
          <w:p w14:paraId="405A42A1" w14:textId="1CA07EBC" w:rsidR="00747EB5" w:rsidRPr="0076474F" w:rsidRDefault="00747EB5" w:rsidP="00747EB5">
            <w:pPr>
              <w:jc w:val="both"/>
              <w:rPr>
                <w:rFonts w:ascii="Arial" w:hAnsi="Arial" w:cs="Arial"/>
                <w:color w:val="000000"/>
                <w:sz w:val="22"/>
                <w:szCs w:val="22"/>
              </w:rPr>
            </w:pPr>
            <w:r>
              <w:rPr>
                <w:rFonts w:ascii="Arial" w:hAnsi="Arial" w:cs="Arial"/>
                <w:color w:val="000000"/>
                <w:sz w:val="22"/>
                <w:szCs w:val="22"/>
              </w:rPr>
              <w:t>–</w:t>
            </w:r>
            <w:r w:rsidRPr="0076474F">
              <w:rPr>
                <w:rFonts w:ascii="Arial" w:hAnsi="Arial" w:cs="Arial"/>
                <w:color w:val="000000"/>
                <w:sz w:val="22"/>
                <w:szCs w:val="22"/>
              </w:rPr>
              <w:t xml:space="preserve"> </w:t>
            </w:r>
            <w:r w:rsidRPr="0092607B">
              <w:rPr>
                <w:rFonts w:ascii="Arial" w:hAnsi="Arial" w:cs="Arial"/>
                <w:color w:val="000000"/>
                <w:sz w:val="22"/>
                <w:szCs w:val="22"/>
              </w:rPr>
              <w:t>[Range issue where the Authority is</w:t>
            </w:r>
            <w:r w:rsidRPr="00AC77FB">
              <w:rPr>
                <w:rFonts w:ascii="Arial" w:hAnsi="Arial" w:cs="Arial"/>
                <w:color w:val="000000"/>
                <w:sz w:val="22"/>
                <w:szCs w:val="22"/>
              </w:rPr>
              <w:t xml:space="preserve"> splitting an award across a range of products for differentiation reasons</w:t>
            </w:r>
            <w:r>
              <w:rPr>
                <w:rFonts w:ascii="Arial" w:hAnsi="Arial" w:cs="Arial"/>
                <w:color w:val="000000"/>
                <w:sz w:val="22"/>
                <w:szCs w:val="22"/>
              </w:rPr>
              <w:t>]</w:t>
            </w:r>
            <w:r w:rsidRPr="0076474F">
              <w:rPr>
                <w:rFonts w:ascii="Arial" w:hAnsi="Arial" w:cs="Arial"/>
                <w:color w:val="000000"/>
                <w:sz w:val="22"/>
                <w:szCs w:val="22"/>
              </w:rPr>
              <w:t>.</w:t>
            </w:r>
          </w:p>
          <w:p w14:paraId="61BAF287" w14:textId="77777777" w:rsidR="00747EB5" w:rsidRPr="0076474F" w:rsidRDefault="00747EB5" w:rsidP="00747EB5">
            <w:pPr>
              <w:jc w:val="both"/>
              <w:rPr>
                <w:rFonts w:ascii="Arial" w:hAnsi="Arial" w:cs="Arial"/>
                <w:color w:val="000000"/>
                <w:sz w:val="22"/>
                <w:szCs w:val="22"/>
              </w:rPr>
            </w:pPr>
          </w:p>
        </w:tc>
        <w:tc>
          <w:tcPr>
            <w:tcW w:w="4489" w:type="dxa"/>
            <w:shd w:val="clear" w:color="auto" w:fill="FFFFCC"/>
            <w:tcMar>
              <w:top w:w="0" w:type="dxa"/>
              <w:left w:w="108" w:type="dxa"/>
              <w:bottom w:w="0" w:type="dxa"/>
              <w:right w:w="108" w:type="dxa"/>
            </w:tcMar>
          </w:tcPr>
          <w:p w14:paraId="5BF70F4A" w14:textId="77777777" w:rsidR="00747EB5" w:rsidRDefault="00747EB5" w:rsidP="00747EB5">
            <w:pPr>
              <w:jc w:val="both"/>
              <w:rPr>
                <w:rFonts w:ascii="Arial" w:hAnsi="Arial" w:cs="Arial"/>
                <w:color w:val="000000"/>
                <w:sz w:val="22"/>
                <w:szCs w:val="22"/>
              </w:rPr>
            </w:pPr>
          </w:p>
          <w:p w14:paraId="30127974" w14:textId="77777777" w:rsidR="00747EB5" w:rsidRDefault="00747EB5" w:rsidP="00747EB5">
            <w:pPr>
              <w:jc w:val="both"/>
              <w:rPr>
                <w:rFonts w:ascii="Arial" w:hAnsi="Arial" w:cs="Arial"/>
                <w:color w:val="000000"/>
                <w:sz w:val="22"/>
                <w:szCs w:val="22"/>
              </w:rPr>
            </w:pPr>
          </w:p>
          <w:p w14:paraId="4FCA1C60" w14:textId="77777777" w:rsidR="00747EB5" w:rsidRDefault="00747EB5" w:rsidP="00747EB5">
            <w:pPr>
              <w:jc w:val="both"/>
              <w:rPr>
                <w:rFonts w:ascii="Arial" w:hAnsi="Arial" w:cs="Arial"/>
                <w:color w:val="000000"/>
                <w:sz w:val="22"/>
                <w:szCs w:val="22"/>
              </w:rPr>
            </w:pPr>
          </w:p>
          <w:p w14:paraId="17AF626C" w14:textId="77777777" w:rsidR="00747EB5" w:rsidRPr="0069218A" w:rsidRDefault="00747EB5" w:rsidP="00747EB5">
            <w:pPr>
              <w:jc w:val="both"/>
              <w:rPr>
                <w:rFonts w:ascii="Arial" w:hAnsi="Arial" w:cs="Arial"/>
                <w:color w:val="000000"/>
                <w:sz w:val="22"/>
                <w:szCs w:val="22"/>
              </w:rPr>
            </w:pPr>
            <w:r w:rsidRPr="0076474F">
              <w:rPr>
                <w:rFonts w:ascii="Arial" w:hAnsi="Arial" w:cs="Arial"/>
                <w:color w:val="000000"/>
                <w:sz w:val="22"/>
                <w:szCs w:val="22"/>
              </w:rPr>
              <w:t xml:space="preserve">The successful </w:t>
            </w:r>
            <w:r>
              <w:rPr>
                <w:rFonts w:ascii="Arial" w:hAnsi="Arial" w:cs="Arial"/>
                <w:sz w:val="22"/>
                <w:szCs w:val="22"/>
                <w:lang w:val="en-US" w:eastAsia="en-US"/>
              </w:rPr>
              <w:t>Offeror</w:t>
            </w:r>
            <w:r w:rsidRPr="0076474F">
              <w:rPr>
                <w:rFonts w:ascii="Arial" w:hAnsi="Arial" w:cs="Arial"/>
                <w:color w:val="000000"/>
                <w:sz w:val="22"/>
                <w:szCs w:val="22"/>
              </w:rPr>
              <w:t xml:space="preserve">'s packaging for the complete range of products under consideration </w:t>
            </w:r>
            <w:r>
              <w:rPr>
                <w:rFonts w:ascii="Arial" w:hAnsi="Arial" w:cs="Arial"/>
                <w:color w:val="000000"/>
                <w:sz w:val="22"/>
                <w:szCs w:val="22"/>
              </w:rPr>
              <w:t>is</w:t>
            </w:r>
            <w:r w:rsidRPr="0076474F">
              <w:rPr>
                <w:rFonts w:ascii="Arial" w:hAnsi="Arial" w:cs="Arial"/>
                <w:color w:val="000000"/>
                <w:sz w:val="22"/>
                <w:szCs w:val="22"/>
              </w:rPr>
              <w:t xml:space="preserve"> more distinctive and is, in accordance with the criteria detailed in the “Guidance for performing a pharmaceutical quality assessment of licensed medicines for the NHS”</w:t>
            </w:r>
            <w:r>
              <w:rPr>
                <w:rFonts w:ascii="Arial" w:hAnsi="Arial" w:cs="Arial"/>
                <w:color w:val="000000"/>
                <w:sz w:val="22"/>
                <w:szCs w:val="22"/>
              </w:rPr>
              <w:t>,</w:t>
            </w:r>
            <w:r w:rsidRPr="0076474F">
              <w:rPr>
                <w:rFonts w:ascii="Arial" w:hAnsi="Arial" w:cs="Arial"/>
                <w:color w:val="000000"/>
                <w:sz w:val="22"/>
                <w:szCs w:val="22"/>
              </w:rPr>
              <w:t xml:space="preserve"> less likely to give rise to an increased risk of a medication error.</w:t>
            </w:r>
          </w:p>
        </w:tc>
      </w:tr>
      <w:tr w:rsidR="00747EB5" w:rsidRPr="0069218A" w14:paraId="748EBFB5" w14:textId="77777777" w:rsidTr="00BC0663">
        <w:tc>
          <w:tcPr>
            <w:tcW w:w="1788" w:type="dxa"/>
            <w:vMerge/>
            <w:shd w:val="clear" w:color="auto" w:fill="FFFFCC"/>
            <w:vAlign w:val="center"/>
          </w:tcPr>
          <w:p w14:paraId="734B20BD" w14:textId="77777777" w:rsidR="00747EB5" w:rsidRPr="0069218A" w:rsidRDefault="00747EB5" w:rsidP="00747EB5">
            <w:pPr>
              <w:jc w:val="both"/>
              <w:rPr>
                <w:rFonts w:ascii="Arial" w:eastAsia="Calibri" w:hAnsi="Arial" w:cs="Arial"/>
                <w:color w:val="000000"/>
                <w:sz w:val="22"/>
                <w:szCs w:val="22"/>
                <w:lang w:eastAsia="en-US"/>
              </w:rPr>
            </w:pPr>
          </w:p>
        </w:tc>
        <w:tc>
          <w:tcPr>
            <w:tcW w:w="3592" w:type="dxa"/>
            <w:shd w:val="clear" w:color="auto" w:fill="FFFFCC"/>
            <w:tcMar>
              <w:top w:w="0" w:type="dxa"/>
              <w:left w:w="108" w:type="dxa"/>
              <w:bottom w:w="0" w:type="dxa"/>
              <w:right w:w="108" w:type="dxa"/>
            </w:tcMar>
          </w:tcPr>
          <w:p w14:paraId="2433EE25" w14:textId="77777777" w:rsidR="00747EB5" w:rsidRPr="0069218A" w:rsidRDefault="00747EB5" w:rsidP="00747EB5">
            <w:pPr>
              <w:jc w:val="both"/>
              <w:rPr>
                <w:rFonts w:ascii="Arial" w:hAnsi="Arial" w:cs="Arial"/>
                <w:b/>
                <w:color w:val="000000"/>
                <w:sz w:val="22"/>
                <w:szCs w:val="22"/>
              </w:rPr>
            </w:pPr>
          </w:p>
          <w:p w14:paraId="7743C21A" w14:textId="77777777" w:rsidR="00747EB5" w:rsidRPr="0069218A" w:rsidRDefault="00747EB5" w:rsidP="00747EB5">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3</w:t>
            </w:r>
            <w:r w:rsidRPr="0069218A">
              <w:rPr>
                <w:rFonts w:ascii="Arial" w:hAnsi="Arial" w:cs="Arial"/>
                <w:b/>
                <w:color w:val="000000"/>
                <w:sz w:val="22"/>
                <w:szCs w:val="22"/>
              </w:rPr>
              <w:t xml:space="preserve">) </w:t>
            </w:r>
          </w:p>
          <w:p w14:paraId="7D7A5647" w14:textId="77777777" w:rsidR="00747EB5" w:rsidRPr="0069218A" w:rsidRDefault="00747EB5" w:rsidP="00747EB5">
            <w:pPr>
              <w:jc w:val="both"/>
              <w:rPr>
                <w:rFonts w:ascii="Arial" w:hAnsi="Arial" w:cs="Arial"/>
                <w:color w:val="000000"/>
                <w:sz w:val="22"/>
                <w:szCs w:val="22"/>
              </w:rPr>
            </w:pPr>
          </w:p>
          <w:p w14:paraId="594CE54A" w14:textId="77777777" w:rsidR="00747EB5" w:rsidRPr="0069218A" w:rsidRDefault="00747EB5" w:rsidP="00747EB5">
            <w:pPr>
              <w:jc w:val="both"/>
              <w:rPr>
                <w:rFonts w:ascii="Arial" w:hAnsi="Arial" w:cs="Arial"/>
                <w:color w:val="000000"/>
                <w:sz w:val="22"/>
                <w:szCs w:val="22"/>
              </w:rPr>
            </w:pPr>
            <w:r w:rsidRPr="0069218A">
              <w:rPr>
                <w:rFonts w:ascii="Arial" w:hAnsi="Arial" w:cs="Arial"/>
                <w:color w:val="000000"/>
                <w:sz w:val="22"/>
                <w:szCs w:val="22"/>
              </w:rPr>
              <w:t>Supply route and associated cost</w:t>
            </w:r>
          </w:p>
          <w:p w14:paraId="76053FB1" w14:textId="77777777" w:rsidR="00747EB5" w:rsidRPr="0069218A" w:rsidRDefault="00747EB5" w:rsidP="00747EB5">
            <w:pPr>
              <w:jc w:val="both"/>
              <w:rPr>
                <w:rFonts w:ascii="Arial" w:hAnsi="Arial" w:cs="Arial"/>
                <w:color w:val="000000"/>
                <w:sz w:val="22"/>
                <w:szCs w:val="22"/>
              </w:rPr>
            </w:pPr>
          </w:p>
          <w:p w14:paraId="42695426" w14:textId="77777777" w:rsidR="00747EB5" w:rsidRPr="0069218A" w:rsidRDefault="00747EB5" w:rsidP="00747EB5">
            <w:pPr>
              <w:jc w:val="both"/>
              <w:rPr>
                <w:rFonts w:ascii="Arial" w:hAnsi="Arial" w:cs="Arial"/>
                <w:b/>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(d)(ii) and 12.2.</w:t>
            </w:r>
            <w:r>
              <w:rPr>
                <w:rFonts w:ascii="Arial" w:hAnsi="Arial" w:cs="Arial"/>
                <w:b/>
                <w:sz w:val="22"/>
                <w:szCs w:val="22"/>
              </w:rPr>
              <w:t>5</w:t>
            </w:r>
          </w:p>
          <w:p w14:paraId="5DCE108B" w14:textId="77777777" w:rsidR="00747EB5" w:rsidRPr="0069218A" w:rsidRDefault="00747EB5" w:rsidP="00747EB5">
            <w:pPr>
              <w:jc w:val="both"/>
              <w:rPr>
                <w:rFonts w:ascii="Arial" w:hAnsi="Arial" w:cs="Arial"/>
                <w:b/>
                <w:color w:val="000000"/>
                <w:sz w:val="22"/>
                <w:szCs w:val="22"/>
              </w:rPr>
            </w:pPr>
          </w:p>
        </w:tc>
        <w:tc>
          <w:tcPr>
            <w:tcW w:w="4489" w:type="dxa"/>
            <w:shd w:val="clear" w:color="auto" w:fill="FFFFCC"/>
            <w:tcMar>
              <w:top w:w="0" w:type="dxa"/>
              <w:left w:w="108" w:type="dxa"/>
              <w:bottom w:w="0" w:type="dxa"/>
              <w:right w:w="108" w:type="dxa"/>
            </w:tcMar>
          </w:tcPr>
          <w:p w14:paraId="455D7D10" w14:textId="77777777" w:rsidR="00747EB5" w:rsidRPr="0069218A" w:rsidRDefault="00747EB5" w:rsidP="00747EB5">
            <w:pPr>
              <w:jc w:val="both"/>
              <w:rPr>
                <w:rFonts w:ascii="Arial" w:hAnsi="Arial" w:cs="Arial"/>
                <w:color w:val="000000"/>
                <w:sz w:val="22"/>
                <w:szCs w:val="22"/>
              </w:rPr>
            </w:pPr>
          </w:p>
          <w:p w14:paraId="2E939D1D" w14:textId="77777777" w:rsidR="00747EB5" w:rsidRPr="0069218A" w:rsidRDefault="00747EB5" w:rsidP="00747EB5">
            <w:pPr>
              <w:jc w:val="both"/>
              <w:rPr>
                <w:rFonts w:ascii="Arial" w:hAnsi="Arial" w:cs="Arial"/>
                <w:color w:val="000000"/>
                <w:sz w:val="22"/>
                <w:szCs w:val="22"/>
              </w:rPr>
            </w:pPr>
          </w:p>
          <w:p w14:paraId="6FFF3441" w14:textId="77777777" w:rsidR="00747EB5" w:rsidRPr="0069218A" w:rsidRDefault="00747EB5" w:rsidP="00747EB5">
            <w:pPr>
              <w:jc w:val="both"/>
              <w:rPr>
                <w:rFonts w:ascii="Arial" w:hAnsi="Arial" w:cs="Arial"/>
                <w:color w:val="000000"/>
                <w:sz w:val="22"/>
                <w:szCs w:val="22"/>
              </w:rPr>
            </w:pPr>
          </w:p>
          <w:p w14:paraId="2C848FD6" w14:textId="77777777" w:rsidR="00747EB5" w:rsidRPr="0069218A" w:rsidRDefault="00747EB5" w:rsidP="00747EB5">
            <w:pPr>
              <w:jc w:val="both"/>
              <w:rPr>
                <w:rFonts w:ascii="Arial" w:hAnsi="Arial" w:cs="Arial"/>
                <w:color w:val="000000"/>
                <w:sz w:val="22"/>
                <w:szCs w:val="22"/>
              </w:rPr>
            </w:pPr>
            <w:r w:rsidRPr="0069218A">
              <w:rPr>
                <w:rFonts w:ascii="Arial" w:hAnsi="Arial" w:cs="Arial"/>
                <w:color w:val="000000"/>
                <w:sz w:val="22"/>
                <w:szCs w:val="22"/>
              </w:rPr>
              <w:t>The successful supplier’s distribution routes allow greater flexibility for ordering across a range of products</w:t>
            </w:r>
          </w:p>
        </w:tc>
      </w:tr>
    </w:tbl>
    <w:p w14:paraId="235D8116" w14:textId="77777777" w:rsidR="00C526D6" w:rsidRPr="0069218A" w:rsidRDefault="00C526D6" w:rsidP="00C526D6">
      <w:pPr>
        <w:jc w:val="both"/>
        <w:rPr>
          <w:rFonts w:ascii="Arial" w:hAnsi="Arial" w:cs="Arial"/>
          <w:i/>
          <w:iCs/>
          <w:color w:val="000000"/>
          <w:sz w:val="22"/>
          <w:szCs w:val="22"/>
        </w:rPr>
      </w:pPr>
      <w:r w:rsidRPr="0069218A">
        <w:rPr>
          <w:rFonts w:ascii="Arial" w:hAnsi="Arial" w:cs="Arial"/>
          <w:i/>
          <w:iCs/>
          <w:color w:val="000000"/>
          <w:sz w:val="22"/>
          <w:szCs w:val="22"/>
        </w:rPr>
        <w:tab/>
      </w:r>
    </w:p>
    <w:p w14:paraId="552DE60F" w14:textId="77777777" w:rsidR="00C526D6" w:rsidRPr="00100CB5" w:rsidRDefault="00C526D6" w:rsidP="00C526D6">
      <w:pPr>
        <w:jc w:val="both"/>
        <w:rPr>
          <w:rFonts w:ascii="Arial" w:hAnsi="Arial" w:cs="Arial"/>
          <w:i/>
          <w:iCs/>
          <w:color w:val="000000"/>
        </w:rPr>
      </w:pPr>
      <w:r w:rsidRPr="00100CB5">
        <w:rPr>
          <w:rFonts w:ascii="Arial" w:hAnsi="Arial" w:cs="Arial"/>
          <w:i/>
          <w:iCs/>
          <w:color w:val="000000"/>
        </w:rPr>
        <w:t>Table 1. Further description of award criteria requirements and standards</w:t>
      </w:r>
    </w:p>
    <w:p w14:paraId="5CDFA8B6" w14:textId="77777777" w:rsidR="00C526D6" w:rsidRPr="00100CB5" w:rsidRDefault="00C526D6" w:rsidP="00C526D6">
      <w:pPr>
        <w:jc w:val="both"/>
        <w:rPr>
          <w:rFonts w:ascii="Arial" w:hAnsi="Arial" w:cs="Arial"/>
          <w:color w:val="000000"/>
        </w:rPr>
      </w:pPr>
    </w:p>
    <w:p w14:paraId="0B58311A" w14:textId="77777777" w:rsidR="00C526D6" w:rsidRPr="00100CB5" w:rsidRDefault="00C526D6" w:rsidP="00C526D6">
      <w:pPr>
        <w:jc w:val="both"/>
        <w:rPr>
          <w:rFonts w:ascii="Arial" w:hAnsi="Arial" w:cs="Arial"/>
          <w:b/>
          <w:color w:val="000000"/>
          <w:lang w:eastAsia="en-US"/>
        </w:rPr>
      </w:pPr>
      <w:r w:rsidRPr="00100CB5">
        <w:rPr>
          <w:rFonts w:ascii="Arial" w:hAnsi="Arial" w:cs="Arial"/>
          <w:color w:val="000000"/>
        </w:rPr>
        <w:t>12.2</w:t>
      </w:r>
      <w:r w:rsidRPr="00100CB5">
        <w:rPr>
          <w:rFonts w:ascii="Arial" w:hAnsi="Arial" w:cs="Arial"/>
          <w:color w:val="000000"/>
        </w:rPr>
        <w:tab/>
      </w:r>
      <w:r w:rsidRPr="00100CB5">
        <w:rPr>
          <w:rFonts w:ascii="Arial" w:hAnsi="Arial" w:cs="Arial"/>
          <w:b/>
          <w:color w:val="000000"/>
        </w:rPr>
        <w:t>A</w:t>
      </w:r>
      <w:r w:rsidRPr="00100CB5">
        <w:rPr>
          <w:rFonts w:ascii="Arial" w:hAnsi="Arial" w:cs="Arial"/>
          <w:b/>
          <w:color w:val="000000"/>
          <w:lang w:eastAsia="en-US"/>
        </w:rPr>
        <w:t>ward Methodology</w:t>
      </w:r>
    </w:p>
    <w:p w14:paraId="516063E6" w14:textId="77777777" w:rsidR="00C526D6" w:rsidRPr="00100CB5" w:rsidRDefault="00C526D6" w:rsidP="00C526D6">
      <w:pPr>
        <w:jc w:val="both"/>
        <w:rPr>
          <w:rFonts w:ascii="Arial" w:hAnsi="Arial" w:cs="Arial"/>
          <w:bCs/>
          <w:iCs/>
          <w:color w:val="000000"/>
        </w:rPr>
      </w:pPr>
    </w:p>
    <w:p w14:paraId="79E543E5" w14:textId="77777777" w:rsidR="00C526D6" w:rsidRPr="00100CB5" w:rsidRDefault="00C526D6" w:rsidP="0083255D">
      <w:pPr>
        <w:numPr>
          <w:ilvl w:val="2"/>
          <w:numId w:val="16"/>
        </w:numPr>
        <w:spacing w:after="200"/>
        <w:ind w:left="1418" w:hanging="709"/>
        <w:jc w:val="both"/>
        <w:rPr>
          <w:rFonts w:ascii="Arial" w:hAnsi="Arial" w:cs="Arial"/>
          <w:b/>
          <w:color w:val="000000"/>
        </w:rPr>
      </w:pPr>
      <w:r w:rsidRPr="00100CB5">
        <w:rPr>
          <w:rFonts w:ascii="Arial" w:hAnsi="Arial" w:cs="Arial"/>
          <w:b/>
          <w:color w:val="000000"/>
        </w:rPr>
        <w:t>Identification of Lowest Priced Compliant Offer</w:t>
      </w:r>
    </w:p>
    <w:p w14:paraId="6B6AA41F" w14:textId="77777777" w:rsidR="00C526D6" w:rsidRPr="00100CB5" w:rsidRDefault="00C526D6" w:rsidP="00C526D6">
      <w:pPr>
        <w:ind w:left="1418"/>
        <w:jc w:val="both"/>
        <w:rPr>
          <w:rFonts w:ascii="Arial" w:hAnsi="Arial" w:cs="Arial"/>
          <w:color w:val="000000"/>
        </w:rPr>
      </w:pPr>
      <w:r w:rsidRPr="00100CB5">
        <w:rPr>
          <w:rFonts w:ascii="Arial" w:hAnsi="Arial" w:cs="Arial"/>
          <w:color w:val="000000"/>
        </w:rPr>
        <w:t xml:space="preserve">In respect of </w:t>
      </w:r>
      <w:r w:rsidRPr="00100CB5">
        <w:rPr>
          <w:rFonts w:ascii="Arial" w:hAnsi="Arial" w:cs="Arial"/>
          <w:b/>
          <w:color w:val="000000"/>
          <w:u w:val="single"/>
        </w:rPr>
        <w:t>each Product</w:t>
      </w:r>
      <w:r w:rsidRPr="00100CB5">
        <w:rPr>
          <w:rFonts w:ascii="Arial" w:hAnsi="Arial" w:cs="Arial"/>
          <w:color w:val="000000"/>
        </w:rPr>
        <w:t xml:space="preserve">, </w:t>
      </w:r>
      <w:r w:rsidRPr="00100CB5">
        <w:rPr>
          <w:rFonts w:ascii="Arial" w:hAnsi="Arial" w:cs="Arial"/>
          <w:b/>
          <w:color w:val="000000"/>
          <w:u w:val="single"/>
        </w:rPr>
        <w:t>for each Lot</w:t>
      </w:r>
      <w:r w:rsidRPr="00100CB5">
        <w:rPr>
          <w:rFonts w:ascii="Arial" w:hAnsi="Arial" w:cs="Arial"/>
          <w:color w:val="000000"/>
        </w:rPr>
        <w:t xml:space="preserve">, the evaluation shall comprise </w:t>
      </w:r>
      <w:r w:rsidRPr="00100CB5">
        <w:rPr>
          <w:rFonts w:ascii="Arial" w:hAnsi="Arial" w:cs="Arial"/>
        </w:rPr>
        <w:t>the following</w:t>
      </w:r>
      <w:r w:rsidRPr="00100CB5">
        <w:rPr>
          <w:rFonts w:ascii="Arial" w:hAnsi="Arial" w:cs="Arial"/>
          <w:color w:val="000000"/>
        </w:rPr>
        <w:t>:</w:t>
      </w:r>
    </w:p>
    <w:p w14:paraId="752723E2" w14:textId="77777777" w:rsidR="00C526D6" w:rsidRPr="00100CB5" w:rsidRDefault="00C526D6" w:rsidP="00C526D6">
      <w:pPr>
        <w:tabs>
          <w:tab w:val="left" w:pos="2835"/>
        </w:tabs>
        <w:ind w:left="2127"/>
        <w:contextualSpacing/>
        <w:jc w:val="both"/>
        <w:rPr>
          <w:rFonts w:ascii="Arial" w:eastAsia="Calibri" w:hAnsi="Arial" w:cs="Arial"/>
          <w:lang w:val="en-US" w:eastAsia="en-US"/>
        </w:rPr>
      </w:pPr>
    </w:p>
    <w:p w14:paraId="79988138" w14:textId="347F109E" w:rsidR="00C526D6" w:rsidRPr="00100CB5" w:rsidRDefault="00C526D6" w:rsidP="0083255D">
      <w:pPr>
        <w:numPr>
          <w:ilvl w:val="0"/>
          <w:numId w:val="14"/>
        </w:numPr>
        <w:tabs>
          <w:tab w:val="left" w:pos="2127"/>
        </w:tabs>
        <w:spacing w:after="200"/>
        <w:ind w:left="2127" w:hanging="709"/>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all (compliant) offers </w:t>
      </w:r>
      <w:r w:rsidRPr="00100CB5">
        <w:rPr>
          <w:rFonts w:ascii="Arial" w:eastAsia="Calibri" w:hAnsi="Arial" w:cs="Arial"/>
          <w:lang w:val="en-US" w:eastAsia="en-US"/>
        </w:rPr>
        <w:t xml:space="preserve">(for the Product) </w:t>
      </w:r>
      <w:r w:rsidRPr="00100CB5">
        <w:rPr>
          <w:rFonts w:ascii="Arial" w:eastAsia="Calibri" w:hAnsi="Arial" w:cs="Arial"/>
          <w:color w:val="000000"/>
          <w:lang w:val="en-US" w:eastAsia="en-US"/>
        </w:rPr>
        <w:t>for that Lot will initially be ranked on Price against the price criteria (being Price sub-criterion (1)</w:t>
      </w:r>
      <w:r w:rsidR="00F807D5">
        <w:rPr>
          <w:rFonts w:ascii="Arial" w:eastAsia="Calibri" w:hAnsi="Arial" w:cs="Arial"/>
          <w:color w:val="000000"/>
          <w:lang w:val="en-US" w:eastAsia="en-US"/>
        </w:rPr>
        <w:t>).</w:t>
      </w:r>
      <w:r w:rsidR="0042225C">
        <w:rPr>
          <w:rFonts w:ascii="Arial" w:eastAsia="Calibri" w:hAnsi="Arial" w:cs="Arial"/>
          <w:color w:val="000000"/>
          <w:lang w:val="en-US" w:eastAsia="en-US"/>
        </w:rPr>
        <w:t xml:space="preserve"> </w:t>
      </w:r>
      <w:r w:rsidRPr="00100CB5">
        <w:rPr>
          <w:rFonts w:ascii="Arial" w:eastAsia="Calibri" w:hAnsi="Arial" w:cs="Arial"/>
          <w:color w:val="000000"/>
          <w:lang w:val="en-US" w:eastAsia="en-US"/>
        </w:rPr>
        <w:t xml:space="preserve">Such </w:t>
      </w:r>
      <w:proofErr w:type="gramStart"/>
      <w:r w:rsidRPr="00100CB5">
        <w:rPr>
          <w:rFonts w:ascii="Arial" w:eastAsia="Calibri" w:hAnsi="Arial" w:cs="Arial"/>
          <w:color w:val="000000"/>
          <w:lang w:val="en-US" w:eastAsia="en-US"/>
        </w:rPr>
        <w:t>highest ranking</w:t>
      </w:r>
      <w:proofErr w:type="gramEnd"/>
      <w:r w:rsidRPr="00100CB5">
        <w:rPr>
          <w:rFonts w:ascii="Arial" w:eastAsia="Calibri" w:hAnsi="Arial" w:cs="Arial"/>
          <w:color w:val="000000"/>
          <w:lang w:val="en-US" w:eastAsia="en-US"/>
        </w:rPr>
        <w:t xml:space="preserve"> offer (for the Product) for that Lot and Region shall be the Lowest Priced Offer for the purposes of this paragraph 12.2.1. </w:t>
      </w:r>
    </w:p>
    <w:p w14:paraId="6AA245BD" w14:textId="77777777" w:rsidR="00C526D6" w:rsidRPr="00100CB5" w:rsidRDefault="00C526D6" w:rsidP="00C526D6">
      <w:pPr>
        <w:ind w:left="2127"/>
        <w:contextualSpacing/>
        <w:jc w:val="both"/>
        <w:rPr>
          <w:rFonts w:ascii="Arial" w:eastAsia="Calibri" w:hAnsi="Arial" w:cs="Arial"/>
          <w:lang w:val="en-US" w:eastAsia="en-US"/>
        </w:rPr>
      </w:pPr>
    </w:p>
    <w:p w14:paraId="6E5A625D" w14:textId="060A3668" w:rsidR="00C526D6" w:rsidRPr="00100CB5" w:rsidRDefault="00C526D6" w:rsidP="0083255D">
      <w:pPr>
        <w:numPr>
          <w:ilvl w:val="0"/>
          <w:numId w:val="14"/>
        </w:numPr>
        <w:spacing w:after="200"/>
        <w:ind w:left="2127" w:hanging="709"/>
        <w:contextualSpacing/>
        <w:jc w:val="both"/>
        <w:rPr>
          <w:rFonts w:ascii="Arial" w:eastAsia="Calibri" w:hAnsi="Arial" w:cs="Arial"/>
          <w:lang w:val="en-US" w:eastAsia="en-US"/>
        </w:rPr>
      </w:pPr>
      <w:r w:rsidRPr="00100CB5">
        <w:rPr>
          <w:rFonts w:ascii="Arial" w:eastAsia="Calibri" w:hAnsi="Arial" w:cs="Arial"/>
          <w:lang w:val="en-US" w:eastAsia="en-US"/>
        </w:rPr>
        <w:t xml:space="preserve">the Lowest Priced Offer shall then be assessed against the </w:t>
      </w:r>
      <w:r w:rsidR="00DB612E">
        <w:rPr>
          <w:rFonts w:ascii="Arial" w:eastAsia="Calibri" w:hAnsi="Arial" w:cs="Arial"/>
          <w:lang w:val="en-US" w:eastAsia="en-US"/>
        </w:rPr>
        <w:t xml:space="preserve">requirements disclosed in the Contract Technical Specification for Licensed Medicines (Document No.4) and the </w:t>
      </w:r>
      <w:r w:rsidRPr="00100CB5">
        <w:rPr>
          <w:rFonts w:ascii="Arial" w:eastAsia="Calibri" w:hAnsi="Arial" w:cs="Arial"/>
          <w:lang w:val="en-US" w:eastAsia="en-US"/>
        </w:rPr>
        <w:t>quality criteria (being Quality sub-criterion (1) and (2)) according to the approach documented in the ‘Guidance for performing a pharmaceutical quality assessment of licensed medicines for the NHS’. A copy of this document is available at Document No. 07b.</w:t>
      </w:r>
    </w:p>
    <w:p w14:paraId="1C7C698C" w14:textId="77777777" w:rsidR="00C526D6" w:rsidRPr="00100CB5" w:rsidRDefault="00C526D6" w:rsidP="00C526D6">
      <w:pPr>
        <w:ind w:left="2127"/>
        <w:contextualSpacing/>
        <w:jc w:val="both"/>
        <w:rPr>
          <w:rFonts w:ascii="Arial" w:eastAsia="Calibri" w:hAnsi="Arial" w:cs="Arial"/>
          <w:color w:val="000000"/>
          <w:lang w:val="en-US" w:eastAsia="en-US"/>
        </w:rPr>
      </w:pPr>
    </w:p>
    <w:p w14:paraId="6BE9D8BA" w14:textId="77777777" w:rsidR="00C526D6" w:rsidRPr="00100CB5" w:rsidRDefault="00C526D6" w:rsidP="0083255D">
      <w:pPr>
        <w:numPr>
          <w:ilvl w:val="0"/>
          <w:numId w:val="14"/>
        </w:numPr>
        <w:spacing w:after="200"/>
        <w:ind w:left="2127" w:hanging="709"/>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where the Lowest Priced Offer:</w:t>
      </w:r>
    </w:p>
    <w:p w14:paraId="052C529B" w14:textId="77777777" w:rsidR="00C526D6" w:rsidRPr="00100CB5" w:rsidRDefault="00C526D6" w:rsidP="00C526D6">
      <w:pPr>
        <w:ind w:left="720"/>
        <w:contextualSpacing/>
        <w:jc w:val="both"/>
        <w:rPr>
          <w:rFonts w:ascii="Arial" w:eastAsia="Calibri" w:hAnsi="Arial" w:cs="Arial"/>
          <w:color w:val="000000"/>
          <w:lang w:val="en-US" w:eastAsia="en-US"/>
        </w:rPr>
      </w:pPr>
    </w:p>
    <w:p w14:paraId="1069C1AE" w14:textId="77777777" w:rsidR="00C526D6" w:rsidRDefault="00C526D6" w:rsidP="0083255D">
      <w:pPr>
        <w:numPr>
          <w:ilvl w:val="0"/>
          <w:numId w:val="12"/>
        </w:numPr>
        <w:spacing w:after="200"/>
        <w:ind w:left="2835" w:hanging="708"/>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fulfils the quality award criteria (being Quality sub-criterion (1) and (2)), such offer (for the Product) for the Lot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w:t>
      </w:r>
      <w:proofErr w:type="gramEnd"/>
    </w:p>
    <w:p w14:paraId="4437DA9F" w14:textId="77777777" w:rsidR="0042225C" w:rsidRPr="00100CB5" w:rsidRDefault="0042225C" w:rsidP="0042225C">
      <w:pPr>
        <w:spacing w:after="200"/>
        <w:ind w:left="2835"/>
        <w:contextualSpacing/>
        <w:jc w:val="both"/>
        <w:rPr>
          <w:rFonts w:ascii="Arial" w:eastAsia="Calibri" w:hAnsi="Arial" w:cs="Arial"/>
          <w:color w:val="000000"/>
          <w:lang w:val="en-US" w:eastAsia="en-US"/>
        </w:rPr>
      </w:pPr>
    </w:p>
    <w:p w14:paraId="2DCAD842" w14:textId="77777777" w:rsidR="00C526D6" w:rsidRPr="00100CB5" w:rsidRDefault="00C526D6" w:rsidP="0083255D">
      <w:pPr>
        <w:numPr>
          <w:ilvl w:val="0"/>
          <w:numId w:val="13"/>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 </w:t>
      </w:r>
    </w:p>
    <w:p w14:paraId="59D7354A" w14:textId="77777777" w:rsidR="00C526D6" w:rsidRPr="00100CB5" w:rsidRDefault="00C526D6" w:rsidP="00C526D6">
      <w:pPr>
        <w:ind w:left="720"/>
        <w:contextualSpacing/>
        <w:jc w:val="both"/>
        <w:rPr>
          <w:rFonts w:ascii="Arial" w:eastAsia="Calibri" w:hAnsi="Arial" w:cs="Arial"/>
          <w:color w:val="000000"/>
          <w:lang w:val="en-US" w:eastAsia="en-US"/>
        </w:rPr>
      </w:pPr>
    </w:p>
    <w:p w14:paraId="30244581" w14:textId="77777777" w:rsidR="00C526D6" w:rsidRPr="00100CB5" w:rsidRDefault="00C526D6" w:rsidP="00C526D6">
      <w:pPr>
        <w:ind w:left="2127" w:hanging="687"/>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(d)</w:t>
      </w:r>
      <w:r w:rsidRPr="00100CB5">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w:t>
      </w:r>
    </w:p>
    <w:p w14:paraId="7A8B35BC" w14:textId="77777777" w:rsidR="00C526D6" w:rsidRPr="00100CB5" w:rsidRDefault="00C526D6" w:rsidP="00C526D6">
      <w:pPr>
        <w:ind w:left="2127" w:hanging="709"/>
        <w:jc w:val="both"/>
        <w:rPr>
          <w:rFonts w:ascii="Arial" w:hAnsi="Arial" w:cs="Arial"/>
          <w:color w:val="000000"/>
        </w:rPr>
      </w:pPr>
    </w:p>
    <w:p w14:paraId="49995F43" w14:textId="0CF6C27F" w:rsidR="00C526D6" w:rsidRPr="0042225C" w:rsidRDefault="00C526D6" w:rsidP="0042225C">
      <w:pPr>
        <w:pStyle w:val="ListParagraph"/>
        <w:numPr>
          <w:ilvl w:val="0"/>
          <w:numId w:val="37"/>
        </w:numPr>
        <w:jc w:val="both"/>
        <w:rPr>
          <w:color w:val="000000"/>
        </w:rPr>
      </w:pPr>
      <w:r w:rsidRPr="0042225C">
        <w:rPr>
          <w:color w:val="000000"/>
        </w:rPr>
        <w:t xml:space="preserve">the cost of change sub-criterion described in Table 1 (Price sub-criterion </w:t>
      </w:r>
      <w:r w:rsidRPr="0042225C">
        <w:t>(</w:t>
      </w:r>
      <w:r w:rsidR="0042225C" w:rsidRPr="0042225C">
        <w:t>3</w:t>
      </w:r>
      <w:r w:rsidRPr="0042225C">
        <w:t>))</w:t>
      </w:r>
      <w:r w:rsidRPr="0042225C">
        <w:rPr>
          <w:color w:val="000000"/>
        </w:rPr>
        <w:t xml:space="preserve"> at paragraph </w:t>
      </w:r>
      <w:r w:rsidR="003818A0" w:rsidRPr="0042225C">
        <w:rPr>
          <w:color w:val="000000"/>
        </w:rPr>
        <w:t>12.1.</w:t>
      </w:r>
      <w:r w:rsidR="00072579">
        <w:rPr>
          <w:color w:val="000000"/>
        </w:rPr>
        <w:t>5</w:t>
      </w:r>
      <w:r w:rsidRPr="0042225C">
        <w:rPr>
          <w:color w:val="000000"/>
        </w:rPr>
        <w:t xml:space="preserve"> above and paragraph 12.2.4 below shall be applied; and</w:t>
      </w:r>
    </w:p>
    <w:p w14:paraId="3F634F05" w14:textId="46D55DA5" w:rsidR="00C526D6" w:rsidRPr="00100CB5" w:rsidRDefault="00C526D6" w:rsidP="00C526D6">
      <w:pPr>
        <w:ind w:left="2877" w:hanging="750"/>
        <w:jc w:val="both"/>
        <w:rPr>
          <w:rFonts w:ascii="Arial" w:hAnsi="Arial" w:cs="Arial"/>
          <w:color w:val="000000"/>
        </w:rPr>
      </w:pPr>
      <w:r w:rsidRPr="00100CB5">
        <w:rPr>
          <w:rFonts w:ascii="Arial" w:hAnsi="Arial" w:cs="Arial"/>
          <w:color w:val="000000"/>
        </w:rPr>
        <w:t>(ii)</w:t>
      </w:r>
      <w:r w:rsidRPr="00100CB5">
        <w:rPr>
          <w:rFonts w:ascii="Arial" w:hAnsi="Arial" w:cs="Arial"/>
          <w:color w:val="000000"/>
        </w:rPr>
        <w:tab/>
        <w:t xml:space="preserve">if this does not differentiate between the offers, the supply route and associated cost sub-criterion described in Table 1 (Quality, sub-criterion (3)) at paragraph </w:t>
      </w:r>
      <w:r w:rsidR="003818A0" w:rsidRPr="00100CB5">
        <w:rPr>
          <w:rFonts w:ascii="Arial" w:hAnsi="Arial" w:cs="Arial"/>
          <w:color w:val="000000"/>
        </w:rPr>
        <w:t>12.1.</w:t>
      </w:r>
      <w:r w:rsidR="00072579">
        <w:rPr>
          <w:rFonts w:ascii="Arial" w:hAnsi="Arial" w:cs="Arial"/>
          <w:color w:val="000000"/>
        </w:rPr>
        <w:t>5</w:t>
      </w:r>
      <w:r w:rsidRPr="00100CB5">
        <w:rPr>
          <w:rFonts w:ascii="Arial" w:hAnsi="Arial" w:cs="Arial"/>
          <w:color w:val="000000"/>
        </w:rPr>
        <w:t xml:space="preserve"> above and paragraph 12.2.5 below shall be applied; and </w:t>
      </w:r>
    </w:p>
    <w:p w14:paraId="5FDB4277" w14:textId="77777777" w:rsidR="00C526D6" w:rsidRPr="00100CB5" w:rsidRDefault="00C526D6" w:rsidP="00C526D6">
      <w:pPr>
        <w:ind w:left="2877" w:hanging="750"/>
        <w:jc w:val="both"/>
        <w:rPr>
          <w:rFonts w:ascii="Arial" w:hAnsi="Arial" w:cs="Arial"/>
          <w:color w:val="000000"/>
        </w:rPr>
      </w:pPr>
    </w:p>
    <w:p w14:paraId="7991AC4A" w14:textId="77777777" w:rsidR="00C526D6" w:rsidRPr="00100CB5" w:rsidRDefault="00C526D6" w:rsidP="0083255D">
      <w:pPr>
        <w:numPr>
          <w:ilvl w:val="2"/>
          <w:numId w:val="16"/>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 xml:space="preserve">In respect of </w:t>
      </w:r>
      <w:r w:rsidRPr="00100CB5">
        <w:rPr>
          <w:rFonts w:ascii="Arial" w:eastAsia="Calibri" w:hAnsi="Arial" w:cs="Arial"/>
          <w:b/>
          <w:u w:val="single"/>
          <w:lang w:val="en-US" w:eastAsia="en-US"/>
        </w:rPr>
        <w:t>each Product</w:t>
      </w:r>
      <w:r w:rsidRPr="00100CB5">
        <w:rPr>
          <w:rFonts w:ascii="Arial" w:eastAsia="Calibri" w:hAnsi="Arial" w:cs="Arial"/>
          <w:b/>
          <w:lang w:val="en-US" w:eastAsia="en-US"/>
        </w:rPr>
        <w:t xml:space="preserve">, the steps outlined in paragraph 12.2.1 (a) to (d) shall be repeated for each of the Lots being tendered (for the Product) </w:t>
      </w:r>
      <w:proofErr w:type="gramStart"/>
      <w:r w:rsidRPr="00100CB5">
        <w:rPr>
          <w:rFonts w:ascii="Arial" w:eastAsia="Calibri" w:hAnsi="Arial" w:cs="Arial"/>
          <w:b/>
          <w:lang w:val="en-US" w:eastAsia="en-US"/>
        </w:rPr>
        <w:t>in order to</w:t>
      </w:r>
      <w:proofErr w:type="gramEnd"/>
      <w:r w:rsidRPr="00100CB5">
        <w:rPr>
          <w:rFonts w:ascii="Arial" w:eastAsia="Calibri" w:hAnsi="Arial" w:cs="Arial"/>
          <w:b/>
          <w:lang w:val="en-US" w:eastAsia="en-US"/>
        </w:rPr>
        <w:t xml:space="preserve"> identify the Lowest Priced Compliant Offer for each such Lot.</w:t>
      </w:r>
    </w:p>
    <w:p w14:paraId="648B83A6" w14:textId="77777777" w:rsidR="00C526D6" w:rsidRPr="00100CB5" w:rsidRDefault="00C526D6" w:rsidP="0083255D">
      <w:pPr>
        <w:numPr>
          <w:ilvl w:val="2"/>
          <w:numId w:val="16"/>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Awards</w:t>
      </w:r>
    </w:p>
    <w:p w14:paraId="57465F61" w14:textId="33D241CA" w:rsidR="00C526D6" w:rsidRPr="00100CB5" w:rsidRDefault="00C526D6" w:rsidP="00C526D6">
      <w:pPr>
        <w:ind w:left="1418"/>
        <w:contextualSpacing/>
        <w:jc w:val="both"/>
        <w:rPr>
          <w:rFonts w:ascii="Arial" w:eastAsia="Calibri" w:hAnsi="Arial" w:cs="Arial"/>
          <w:color w:val="000000"/>
          <w:lang w:val="en-US" w:eastAsia="en-US"/>
        </w:rPr>
      </w:pPr>
      <w:r w:rsidRPr="004D6B28">
        <w:rPr>
          <w:rFonts w:ascii="Arial" w:eastAsia="Calibri" w:hAnsi="Arial" w:cs="Arial"/>
          <w:color w:val="000000"/>
          <w:highlight w:val="yellow"/>
          <w:lang w:val="en-US" w:eastAsia="en-US"/>
        </w:rPr>
        <w:t xml:space="preserve">For each </w:t>
      </w:r>
      <w:r w:rsidR="00747EB5" w:rsidRPr="004D6B28">
        <w:rPr>
          <w:rFonts w:ascii="Arial" w:eastAsia="Calibri" w:hAnsi="Arial" w:cs="Arial"/>
          <w:color w:val="000000"/>
          <w:highlight w:val="yellow"/>
          <w:lang w:val="en-US" w:eastAsia="en-US"/>
        </w:rPr>
        <w:t xml:space="preserve">transition </w:t>
      </w:r>
      <w:r w:rsidR="008E6534" w:rsidRPr="004D6B28">
        <w:rPr>
          <w:rFonts w:ascii="Arial" w:eastAsia="Calibri" w:hAnsi="Arial" w:cs="Arial"/>
          <w:color w:val="000000"/>
          <w:highlight w:val="yellow"/>
          <w:lang w:val="en-US" w:eastAsia="en-US"/>
        </w:rPr>
        <w:t xml:space="preserve">tender </w:t>
      </w:r>
      <w:r w:rsidR="00747EB5" w:rsidRPr="004D6B28">
        <w:rPr>
          <w:rFonts w:ascii="Arial" w:hAnsi="Arial" w:cs="Arial"/>
          <w:highlight w:val="yellow"/>
          <w:lang w:eastAsia="en-US"/>
        </w:rPr>
        <w:t>(CM/PHG/</w:t>
      </w:r>
      <w:r w:rsidR="00BA1CB6" w:rsidRPr="004D6B28">
        <w:rPr>
          <w:rFonts w:ascii="Arial" w:hAnsi="Arial" w:cs="Arial"/>
          <w:highlight w:val="yellow"/>
          <w:lang w:eastAsia="en-US"/>
        </w:rPr>
        <w:t>22</w:t>
      </w:r>
      <w:r w:rsidR="00747EB5" w:rsidRPr="004D6B28">
        <w:rPr>
          <w:rFonts w:ascii="Arial" w:hAnsi="Arial" w:cs="Arial"/>
          <w:highlight w:val="yellow"/>
          <w:lang w:eastAsia="en-US"/>
        </w:rPr>
        <w:t>/5</w:t>
      </w:r>
      <w:r w:rsidR="00802C40" w:rsidRPr="004D6B28">
        <w:rPr>
          <w:rFonts w:ascii="Arial" w:hAnsi="Arial" w:cs="Arial"/>
          <w:highlight w:val="yellow"/>
          <w:lang w:eastAsia="en-US"/>
        </w:rPr>
        <w:t>6</w:t>
      </w:r>
      <w:r w:rsidR="00D56C5A" w:rsidRPr="004D6B28">
        <w:rPr>
          <w:rFonts w:ascii="Arial" w:hAnsi="Arial" w:cs="Arial"/>
          <w:highlight w:val="yellow"/>
          <w:lang w:eastAsia="en-US"/>
        </w:rPr>
        <w:t>94</w:t>
      </w:r>
      <w:r w:rsidR="00747EB5" w:rsidRPr="004D6B28">
        <w:rPr>
          <w:rFonts w:ascii="Arial" w:hAnsi="Arial" w:cs="Arial"/>
          <w:highlight w:val="yellow"/>
          <w:lang w:eastAsia="en-US"/>
        </w:rPr>
        <w:t>/00</w:t>
      </w:r>
      <w:r w:rsidR="008E6534" w:rsidRPr="004D6B28">
        <w:rPr>
          <w:rFonts w:ascii="Arial" w:hAnsi="Arial" w:cs="Arial"/>
          <w:highlight w:val="yellow"/>
          <w:lang w:eastAsia="en-US"/>
        </w:rPr>
        <w:t>)</w:t>
      </w:r>
      <w:r w:rsidRPr="004D6B28">
        <w:rPr>
          <w:rFonts w:ascii="Arial" w:eastAsia="Calibri" w:hAnsi="Arial" w:cs="Arial"/>
          <w:color w:val="000000"/>
          <w:highlight w:val="yellow"/>
          <w:lang w:val="en-US" w:eastAsia="en-US"/>
        </w:rPr>
        <w:t>, t</w:t>
      </w:r>
      <w:r w:rsidRPr="004D6B28">
        <w:rPr>
          <w:rFonts w:ascii="Arial" w:eastAsia="Calibri" w:hAnsi="Arial" w:cs="Arial"/>
          <w:highlight w:val="yellow"/>
          <w:lang w:val="en-US" w:eastAsia="en-US"/>
        </w:rPr>
        <w:t xml:space="preserve">he Authority will identify the lowest cost solution for the Authority for </w:t>
      </w:r>
      <w:proofErr w:type="gramStart"/>
      <w:r w:rsidRPr="004D6B28">
        <w:rPr>
          <w:rFonts w:ascii="Arial" w:eastAsia="Calibri" w:hAnsi="Arial" w:cs="Arial"/>
          <w:highlight w:val="yellow"/>
          <w:lang w:val="en-US" w:eastAsia="en-US"/>
        </w:rPr>
        <w:t>all of</w:t>
      </w:r>
      <w:proofErr w:type="gramEnd"/>
      <w:r w:rsidRPr="004D6B28">
        <w:rPr>
          <w:rFonts w:ascii="Arial" w:eastAsia="Calibri" w:hAnsi="Arial" w:cs="Arial"/>
          <w:highlight w:val="yellow"/>
          <w:lang w:val="en-US" w:eastAsia="en-US"/>
        </w:rPr>
        <w:t xml:space="preserve"> the Lots being tendered. In respect of each Product, in furtherance of the </w:t>
      </w:r>
      <w:proofErr w:type="spellStart"/>
      <w:r w:rsidRPr="004D6B28">
        <w:rPr>
          <w:rFonts w:ascii="Arial" w:eastAsia="Calibri" w:hAnsi="Arial" w:cs="Arial"/>
          <w:highlight w:val="yellow"/>
          <w:lang w:val="en-US" w:eastAsia="en-US"/>
        </w:rPr>
        <w:t>lotting</w:t>
      </w:r>
      <w:proofErr w:type="spellEnd"/>
      <w:r w:rsidRPr="004D6B28">
        <w:rPr>
          <w:rFonts w:ascii="Arial" w:eastAsia="Calibri" w:hAnsi="Arial" w:cs="Arial"/>
          <w:highlight w:val="yellow"/>
          <w:lang w:val="en-US" w:eastAsia="en-US"/>
        </w:rPr>
        <w:t xml:space="preserve"> strategy </w:t>
      </w:r>
      <w:r w:rsidRPr="004D6B28">
        <w:rPr>
          <w:rFonts w:ascii="Arial" w:eastAsia="Calibri" w:hAnsi="Arial" w:cs="Arial"/>
          <w:color w:val="000000"/>
          <w:highlight w:val="yellow"/>
          <w:lang w:val="en-US" w:eastAsia="en-US"/>
        </w:rPr>
        <w:t xml:space="preserve">described at paragraph 8.9, </w:t>
      </w:r>
      <w:r w:rsidRPr="004D6B28">
        <w:rPr>
          <w:rFonts w:ascii="Arial" w:eastAsia="Calibri" w:hAnsi="Arial" w:cs="Arial"/>
          <w:highlight w:val="yellow"/>
          <w:lang w:val="en-US" w:eastAsia="en-US"/>
        </w:rPr>
        <w:t xml:space="preserve">awards </w:t>
      </w:r>
      <w:r w:rsidRPr="004D6B28">
        <w:rPr>
          <w:rFonts w:ascii="Arial" w:eastAsia="Calibri" w:hAnsi="Arial" w:cs="Arial"/>
          <w:color w:val="000000"/>
          <w:highlight w:val="yellow"/>
          <w:lang w:val="en-US" w:eastAsia="en-US"/>
        </w:rPr>
        <w:t>shall be made as follows:</w:t>
      </w:r>
    </w:p>
    <w:p w14:paraId="41C5F18B" w14:textId="77777777" w:rsidR="00C526D6" w:rsidRPr="00100CB5" w:rsidRDefault="00C526D6" w:rsidP="00C526D6">
      <w:pPr>
        <w:ind w:left="1418"/>
        <w:contextualSpacing/>
        <w:jc w:val="both"/>
        <w:rPr>
          <w:rFonts w:ascii="Arial" w:eastAsia="Calibri" w:hAnsi="Arial" w:cs="Arial"/>
          <w:color w:val="000000"/>
          <w:lang w:val="en-US" w:eastAsia="en-US"/>
        </w:rPr>
      </w:pPr>
    </w:p>
    <w:p w14:paraId="61D02B26" w14:textId="5BD467F3" w:rsidR="004917D9" w:rsidRPr="00100CB5" w:rsidRDefault="00C526D6" w:rsidP="0083255D">
      <w:pPr>
        <w:numPr>
          <w:ilvl w:val="0"/>
          <w:numId w:val="17"/>
        </w:numPr>
        <w:spacing w:after="200"/>
        <w:jc w:val="both"/>
        <w:rPr>
          <w:rFonts w:ascii="Arial" w:eastAsia="Calibri" w:hAnsi="Arial" w:cs="Arial"/>
          <w:color w:val="000000"/>
          <w:lang w:val="en-US" w:eastAsia="en-US"/>
        </w:rPr>
      </w:pPr>
      <w:r w:rsidRPr="00100CB5">
        <w:rPr>
          <w:rFonts w:ascii="Arial" w:eastAsia="Calibri" w:hAnsi="Arial" w:cs="Arial"/>
          <w:b/>
          <w:lang w:val="en-US" w:eastAsia="en-US"/>
        </w:rPr>
        <w:t>Where one Lot</w:t>
      </w:r>
      <w:r w:rsidR="008E6534" w:rsidRPr="00100CB5">
        <w:rPr>
          <w:rFonts w:ascii="Arial" w:eastAsia="Calibri" w:hAnsi="Arial" w:cs="Arial"/>
          <w:b/>
          <w:lang w:val="en-US" w:eastAsia="en-US"/>
        </w:rPr>
        <w:t xml:space="preserve"> </w:t>
      </w:r>
      <w:r w:rsidRPr="00100CB5">
        <w:rPr>
          <w:rFonts w:ascii="Arial" w:eastAsia="Calibri" w:hAnsi="Arial" w:cs="Arial"/>
          <w:b/>
          <w:lang w:val="en-US" w:eastAsia="en-US"/>
        </w:rPr>
        <w:t>is being tendered (as specified in Document</w:t>
      </w:r>
      <w:r w:rsidR="008E6534" w:rsidRPr="00100CB5">
        <w:rPr>
          <w:rFonts w:ascii="Arial" w:eastAsia="Calibri" w:hAnsi="Arial" w:cs="Arial"/>
          <w:b/>
          <w:lang w:val="en-US" w:eastAsia="en-US"/>
        </w:rPr>
        <w:t>s</w:t>
      </w:r>
      <w:r w:rsidRPr="00100CB5">
        <w:rPr>
          <w:rFonts w:ascii="Arial" w:eastAsia="Calibri" w:hAnsi="Arial" w:cs="Arial"/>
          <w:b/>
          <w:lang w:val="en-US" w:eastAsia="en-US"/>
        </w:rPr>
        <w:t xml:space="preserve"> No. 0</w:t>
      </w:r>
      <w:r w:rsidRPr="00867F49">
        <w:rPr>
          <w:rFonts w:ascii="Arial" w:eastAsia="Calibri" w:hAnsi="Arial" w:cs="Arial"/>
          <w:b/>
          <w:lang w:val="en-US" w:eastAsia="en-US"/>
        </w:rPr>
        <w:t>5a</w:t>
      </w:r>
      <w:r w:rsidR="00EE3013">
        <w:rPr>
          <w:rFonts w:ascii="Arial" w:eastAsia="Calibri" w:hAnsi="Arial" w:cs="Arial"/>
          <w:b/>
          <w:lang w:val="en-US" w:eastAsia="en-US"/>
        </w:rPr>
        <w:t>)</w:t>
      </w:r>
    </w:p>
    <w:p w14:paraId="0A143FDA" w14:textId="77777777" w:rsidR="00C526D6" w:rsidRPr="00100CB5" w:rsidRDefault="00C526D6" w:rsidP="004917D9">
      <w:pPr>
        <w:spacing w:after="200"/>
        <w:ind w:left="2153"/>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The </w:t>
      </w:r>
      <w:r w:rsidRPr="00100CB5">
        <w:rPr>
          <w:rFonts w:ascii="Arial" w:eastAsia="Calibri" w:hAnsi="Arial" w:cs="Arial"/>
          <w:lang w:val="en-US" w:eastAsia="en-US"/>
        </w:rPr>
        <w:t xml:space="preserve">Lot </w:t>
      </w:r>
      <w:r w:rsidR="008E6534" w:rsidRPr="00100CB5">
        <w:rPr>
          <w:rFonts w:ascii="Arial" w:eastAsia="Calibri" w:hAnsi="Arial" w:cs="Arial"/>
          <w:lang w:val="en-US" w:eastAsia="en-US"/>
        </w:rPr>
        <w:t xml:space="preserve">(or Region) </w:t>
      </w:r>
      <w:r w:rsidRPr="00100CB5">
        <w:rPr>
          <w:rFonts w:ascii="Arial" w:eastAsia="Calibri" w:hAnsi="Arial" w:cs="Arial"/>
          <w:lang w:val="en-US" w:eastAsia="en-US"/>
        </w:rPr>
        <w:t>shall be awarded to the Lowest Priced Compliant Offer</w:t>
      </w:r>
      <w:r w:rsidRPr="00100CB5">
        <w:rPr>
          <w:rFonts w:ascii="Arial" w:eastAsia="Calibri" w:hAnsi="Arial" w:cs="Arial"/>
          <w:color w:val="000000"/>
          <w:lang w:val="en-US" w:eastAsia="en-US"/>
        </w:rPr>
        <w:t>.</w:t>
      </w:r>
    </w:p>
    <w:p w14:paraId="45E24904" w14:textId="77777777" w:rsidR="00C526D6" w:rsidRPr="00100CB5" w:rsidRDefault="00C526D6" w:rsidP="00C526D6">
      <w:pPr>
        <w:ind w:left="1418" w:firstLine="22"/>
        <w:jc w:val="both"/>
        <w:rPr>
          <w:rFonts w:ascii="Arial" w:hAnsi="Arial" w:cs="Arial"/>
          <w:color w:val="000000"/>
        </w:rPr>
      </w:pPr>
    </w:p>
    <w:p w14:paraId="1517E87C" w14:textId="3119AD02" w:rsidR="00C526D6" w:rsidRPr="00100CB5" w:rsidRDefault="00C526D6" w:rsidP="00C526D6">
      <w:pPr>
        <w:ind w:left="2153" w:hanging="735"/>
        <w:jc w:val="both"/>
        <w:rPr>
          <w:rFonts w:ascii="Arial" w:hAnsi="Arial" w:cs="Arial"/>
          <w:b/>
        </w:rPr>
      </w:pPr>
      <w:r w:rsidRPr="00100CB5">
        <w:rPr>
          <w:rFonts w:ascii="Arial" w:hAnsi="Arial" w:cs="Arial"/>
        </w:rPr>
        <w:t>(b)</w:t>
      </w:r>
      <w:r w:rsidRPr="00100CB5">
        <w:rPr>
          <w:rFonts w:ascii="Arial" w:hAnsi="Arial" w:cs="Arial"/>
        </w:rPr>
        <w:tab/>
      </w:r>
      <w:r w:rsidRPr="00100CB5">
        <w:rPr>
          <w:rFonts w:ascii="Arial" w:hAnsi="Arial" w:cs="Arial"/>
          <w:b/>
        </w:rPr>
        <w:t>Where two Lots are being tendered (as specified in Document No. 05a</w:t>
      </w:r>
      <w:r w:rsidR="004917D9" w:rsidRPr="00100CB5">
        <w:rPr>
          <w:rFonts w:ascii="Arial" w:hAnsi="Arial" w:cs="Arial"/>
          <w:b/>
        </w:rPr>
        <w:t>)</w:t>
      </w:r>
      <w:r w:rsidRPr="00100CB5">
        <w:rPr>
          <w:rFonts w:ascii="Arial" w:hAnsi="Arial" w:cs="Arial"/>
          <w:b/>
        </w:rPr>
        <w:t>:</w:t>
      </w:r>
    </w:p>
    <w:p w14:paraId="513EA234" w14:textId="77777777" w:rsidR="00C526D6" w:rsidRPr="00100CB5" w:rsidRDefault="00C526D6" w:rsidP="00C526D6">
      <w:pPr>
        <w:ind w:left="1418"/>
        <w:jc w:val="both"/>
        <w:rPr>
          <w:rFonts w:ascii="Arial" w:hAnsi="Arial" w:cs="Arial"/>
          <w:b/>
          <w:u w:val="single"/>
        </w:rPr>
      </w:pPr>
    </w:p>
    <w:p w14:paraId="6AE197D4" w14:textId="77777777" w:rsidR="00C526D6" w:rsidRPr="00100CB5" w:rsidRDefault="00C526D6" w:rsidP="0083255D">
      <w:pPr>
        <w:numPr>
          <w:ilvl w:val="0"/>
          <w:numId w:val="18"/>
        </w:numPr>
        <w:spacing w:after="200"/>
        <w:ind w:left="2835" w:hanging="675"/>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the </w:t>
      </w:r>
      <w:r w:rsidRPr="00100CB5">
        <w:rPr>
          <w:rFonts w:ascii="Arial" w:eastAsia="Calibri" w:hAnsi="Arial" w:cs="Arial"/>
          <w:lang w:val="en-US" w:eastAsia="en-US"/>
        </w:rPr>
        <w:t xml:space="preserve">Lot with the highest estimated volumes (anticipated for the duration of the agreement excluding any extension period) shall be awarded to the Lowest Priced Compliant </w:t>
      </w:r>
      <w:proofErr w:type="gramStart"/>
      <w:r w:rsidRPr="00100CB5">
        <w:rPr>
          <w:rFonts w:ascii="Arial" w:eastAsia="Calibri" w:hAnsi="Arial" w:cs="Arial"/>
          <w:lang w:val="en-US" w:eastAsia="en-US"/>
        </w:rPr>
        <w:t>Offer</w:t>
      </w:r>
      <w:r w:rsidRPr="00100CB5">
        <w:rPr>
          <w:rFonts w:ascii="Arial" w:eastAsia="Calibri" w:hAnsi="Arial" w:cs="Arial"/>
          <w:color w:val="000000"/>
          <w:lang w:val="en-US" w:eastAsia="en-US"/>
        </w:rPr>
        <w:t>;</w:t>
      </w:r>
      <w:proofErr w:type="gramEnd"/>
    </w:p>
    <w:p w14:paraId="6B8A9247" w14:textId="77777777" w:rsidR="00C526D6" w:rsidRPr="00100CB5" w:rsidRDefault="00C526D6" w:rsidP="0083255D">
      <w:pPr>
        <w:numPr>
          <w:ilvl w:val="0"/>
          <w:numId w:val="19"/>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second. Such offer shall be the </w:t>
      </w:r>
      <w:r w:rsidRPr="00100CB5">
        <w:rPr>
          <w:rFonts w:ascii="Arial" w:eastAsia="Calibri" w:hAnsi="Arial" w:cs="Arial"/>
          <w:b/>
          <w:color w:val="000000"/>
          <w:lang w:val="en-US" w:eastAsia="en-US"/>
        </w:rPr>
        <w:t>Second 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12.2.3;</w:t>
      </w:r>
      <w:proofErr w:type="gramEnd"/>
    </w:p>
    <w:p w14:paraId="3E1AAE25" w14:textId="77777777" w:rsidR="00C526D6" w:rsidRPr="00100CB5" w:rsidRDefault="00C526D6" w:rsidP="0083255D">
      <w:pPr>
        <w:numPr>
          <w:ilvl w:val="0"/>
          <w:numId w:val="19"/>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where a Second Lowest Priced Compliant Offer is not identified, </w:t>
      </w:r>
      <w:r w:rsidRPr="00100CB5">
        <w:rPr>
          <w:rFonts w:ascii="Arial" w:eastAsia="Calibri" w:hAnsi="Arial" w:cs="Arial"/>
          <w:lang w:val="en-US" w:eastAsia="en-US"/>
        </w:rPr>
        <w:t xml:space="preserve">both of the Lots shall be awarded to the Lowest Priced Compliant </w:t>
      </w:r>
      <w:proofErr w:type="gramStart"/>
      <w:r w:rsidRPr="00100CB5">
        <w:rPr>
          <w:rFonts w:ascii="Arial" w:eastAsia="Calibri" w:hAnsi="Arial" w:cs="Arial"/>
          <w:lang w:val="en-US" w:eastAsia="en-US"/>
        </w:rPr>
        <w:t>Offer;</w:t>
      </w:r>
      <w:proofErr w:type="gramEnd"/>
    </w:p>
    <w:p w14:paraId="2097A121" w14:textId="77777777" w:rsidR="00C526D6" w:rsidRPr="00100CB5" w:rsidRDefault="00C526D6" w:rsidP="0083255D">
      <w:pPr>
        <w:numPr>
          <w:ilvl w:val="0"/>
          <w:numId w:val="19"/>
        </w:numPr>
        <w:spacing w:after="200"/>
        <w:jc w:val="both"/>
        <w:rPr>
          <w:rFonts w:ascii="Arial" w:eastAsia="Calibri" w:hAnsi="Arial" w:cs="Arial"/>
          <w:lang w:val="en-US" w:eastAsia="en-US"/>
        </w:rPr>
      </w:pPr>
      <w:r w:rsidRPr="00100CB5">
        <w:rPr>
          <w:rFonts w:ascii="Arial" w:eastAsia="Calibri" w:hAnsi="Arial" w:cs="Arial"/>
          <w:lang w:val="en-US" w:eastAsia="en-US"/>
        </w:rPr>
        <w:t>where a Second Lowest Priced Compliant Offer is identified, the Lot with the lowest estimated volumes (anticipated for the duration of the agreement excluding any extension period) shall be awarded to the Second Lowest Priced Compliant Offer.</w:t>
      </w:r>
    </w:p>
    <w:p w14:paraId="740D20BD" w14:textId="5508AC65" w:rsidR="00C526D6" w:rsidRPr="00100CB5" w:rsidRDefault="00C526D6" w:rsidP="00C526D6">
      <w:pPr>
        <w:ind w:left="2127" w:hanging="709"/>
        <w:jc w:val="both"/>
        <w:rPr>
          <w:rFonts w:ascii="Arial" w:hAnsi="Arial" w:cs="Arial"/>
          <w:b/>
        </w:rPr>
      </w:pPr>
      <w:r w:rsidRPr="00100CB5">
        <w:rPr>
          <w:rFonts w:ascii="Arial" w:hAnsi="Arial" w:cs="Arial"/>
        </w:rPr>
        <w:t>(c)</w:t>
      </w:r>
      <w:r w:rsidRPr="00100CB5">
        <w:rPr>
          <w:rFonts w:ascii="Arial" w:hAnsi="Arial" w:cs="Arial"/>
        </w:rPr>
        <w:tab/>
      </w:r>
      <w:r w:rsidRPr="00100CB5">
        <w:rPr>
          <w:rFonts w:ascii="Arial" w:hAnsi="Arial" w:cs="Arial"/>
          <w:b/>
        </w:rPr>
        <w:t xml:space="preserve">Where three Lots </w:t>
      </w:r>
      <w:r w:rsidR="008E6534" w:rsidRPr="00100CB5">
        <w:rPr>
          <w:rFonts w:ascii="Arial" w:hAnsi="Arial" w:cs="Arial"/>
          <w:b/>
        </w:rPr>
        <w:t xml:space="preserve">(or Regions within a Lot) </w:t>
      </w:r>
      <w:r w:rsidRPr="00100CB5">
        <w:rPr>
          <w:rFonts w:ascii="Arial" w:hAnsi="Arial" w:cs="Arial"/>
          <w:b/>
        </w:rPr>
        <w:t>are being tendered (as specified in Document No. 05a</w:t>
      </w:r>
      <w:r w:rsidR="00EE3013">
        <w:rPr>
          <w:rFonts w:ascii="Arial" w:hAnsi="Arial" w:cs="Arial"/>
          <w:b/>
        </w:rPr>
        <w:t>):</w:t>
      </w:r>
    </w:p>
    <w:p w14:paraId="36ADE3E1" w14:textId="77777777" w:rsidR="00C526D6" w:rsidRPr="00100CB5" w:rsidRDefault="00C526D6" w:rsidP="00C526D6">
      <w:pPr>
        <w:ind w:left="720"/>
        <w:jc w:val="both"/>
        <w:rPr>
          <w:rFonts w:ascii="Arial" w:hAnsi="Arial" w:cs="Arial"/>
        </w:rPr>
      </w:pPr>
    </w:p>
    <w:p w14:paraId="480BF3E6" w14:textId="77777777" w:rsidR="00C526D6" w:rsidRPr="00100CB5" w:rsidRDefault="00C526D6" w:rsidP="0083255D">
      <w:pPr>
        <w:numPr>
          <w:ilvl w:val="0"/>
          <w:numId w:val="20"/>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the </w:t>
      </w:r>
      <w:r w:rsidRPr="00100CB5">
        <w:rPr>
          <w:rFonts w:ascii="Arial" w:eastAsia="Calibri" w:hAnsi="Arial" w:cs="Arial"/>
          <w:lang w:val="en-US" w:eastAsia="en-US"/>
        </w:rPr>
        <w:t xml:space="preserve">Lot with the highest estimated volumes (anticipated for the duration of the agreement excluding any extension period) shall be awarded to the Lowest Priced Compliant </w:t>
      </w:r>
      <w:proofErr w:type="gramStart"/>
      <w:r w:rsidRPr="00100CB5">
        <w:rPr>
          <w:rFonts w:ascii="Arial" w:eastAsia="Calibri" w:hAnsi="Arial" w:cs="Arial"/>
          <w:lang w:val="en-US" w:eastAsia="en-US"/>
        </w:rPr>
        <w:t>Offer</w:t>
      </w:r>
      <w:r w:rsidRPr="00100CB5">
        <w:rPr>
          <w:rFonts w:ascii="Arial" w:eastAsia="Calibri" w:hAnsi="Arial" w:cs="Arial"/>
          <w:color w:val="000000"/>
          <w:lang w:val="en-US" w:eastAsia="en-US"/>
        </w:rPr>
        <w:t>;</w:t>
      </w:r>
      <w:proofErr w:type="gramEnd"/>
    </w:p>
    <w:p w14:paraId="0D988B23" w14:textId="77777777" w:rsidR="00C526D6" w:rsidRPr="00100CB5" w:rsidRDefault="00C526D6" w:rsidP="00C526D6">
      <w:pPr>
        <w:ind w:left="2880"/>
        <w:contextualSpacing/>
        <w:jc w:val="both"/>
        <w:rPr>
          <w:rFonts w:ascii="Arial" w:eastAsia="Calibri" w:hAnsi="Arial" w:cs="Arial"/>
          <w:color w:val="000000"/>
          <w:lang w:val="en-US" w:eastAsia="en-US"/>
        </w:rPr>
      </w:pPr>
    </w:p>
    <w:p w14:paraId="301E6341" w14:textId="77777777" w:rsidR="00C526D6" w:rsidRPr="00100CB5" w:rsidRDefault="00C526D6" w:rsidP="0083255D">
      <w:pPr>
        <w:numPr>
          <w:ilvl w:val="0"/>
          <w:numId w:val="20"/>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second. Such offer shall be the </w:t>
      </w:r>
      <w:r w:rsidRPr="00100CB5">
        <w:rPr>
          <w:rFonts w:ascii="Arial" w:eastAsia="Calibri" w:hAnsi="Arial" w:cs="Arial"/>
          <w:b/>
          <w:color w:val="000000"/>
          <w:lang w:val="en-US" w:eastAsia="en-US"/>
        </w:rPr>
        <w:t>Second 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12.2.3;</w:t>
      </w:r>
      <w:proofErr w:type="gramEnd"/>
    </w:p>
    <w:p w14:paraId="18D28E88" w14:textId="77777777" w:rsidR="00C526D6" w:rsidRPr="00100CB5" w:rsidRDefault="00C526D6" w:rsidP="00C526D6">
      <w:pPr>
        <w:ind w:left="2835"/>
        <w:contextualSpacing/>
        <w:jc w:val="both"/>
        <w:rPr>
          <w:rFonts w:ascii="Arial" w:eastAsia="Calibri" w:hAnsi="Arial" w:cs="Arial"/>
          <w:lang w:val="en-US" w:eastAsia="en-US"/>
        </w:rPr>
      </w:pPr>
    </w:p>
    <w:p w14:paraId="60B2A9AE" w14:textId="77777777" w:rsidR="00C526D6" w:rsidRPr="00100CB5" w:rsidRDefault="00C526D6" w:rsidP="0083255D">
      <w:pPr>
        <w:numPr>
          <w:ilvl w:val="0"/>
          <w:numId w:val="20"/>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third. Such offer shall be the </w:t>
      </w:r>
      <w:r w:rsidRPr="00100CB5">
        <w:rPr>
          <w:rFonts w:ascii="Arial" w:eastAsia="Calibri" w:hAnsi="Arial" w:cs="Arial"/>
          <w:b/>
          <w:color w:val="000000"/>
          <w:lang w:val="en-US" w:eastAsia="en-US"/>
        </w:rPr>
        <w:t>Third 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12.2.3;</w:t>
      </w:r>
      <w:proofErr w:type="gramEnd"/>
    </w:p>
    <w:p w14:paraId="412473D8" w14:textId="77777777" w:rsidR="00C526D6" w:rsidRPr="00100CB5" w:rsidRDefault="00C526D6" w:rsidP="00C526D6">
      <w:pPr>
        <w:ind w:left="2880"/>
        <w:contextualSpacing/>
        <w:jc w:val="both"/>
        <w:rPr>
          <w:rFonts w:ascii="Arial" w:eastAsia="Calibri" w:hAnsi="Arial" w:cs="Arial"/>
          <w:lang w:val="en-US" w:eastAsia="en-US"/>
        </w:rPr>
      </w:pPr>
    </w:p>
    <w:p w14:paraId="2E7CF412" w14:textId="77777777" w:rsidR="00C526D6" w:rsidRPr="00100CB5" w:rsidRDefault="00C526D6" w:rsidP="0083255D">
      <w:pPr>
        <w:numPr>
          <w:ilvl w:val="0"/>
          <w:numId w:val="20"/>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where both a Second Lowest Priced Compliant Offer and a Third Lowest Priced Compliant are not identified, all three </w:t>
      </w:r>
      <w:r w:rsidRPr="00100CB5">
        <w:rPr>
          <w:rFonts w:ascii="Arial" w:eastAsia="Calibri" w:hAnsi="Arial" w:cs="Arial"/>
          <w:lang w:val="en-US" w:eastAsia="en-US"/>
        </w:rPr>
        <w:t xml:space="preserve">Lots shall be awarded to the Lowest Priced Compliant </w:t>
      </w:r>
      <w:proofErr w:type="gramStart"/>
      <w:r w:rsidRPr="00100CB5">
        <w:rPr>
          <w:rFonts w:ascii="Arial" w:eastAsia="Calibri" w:hAnsi="Arial" w:cs="Arial"/>
          <w:lang w:val="en-US" w:eastAsia="en-US"/>
        </w:rPr>
        <w:t>Offer;</w:t>
      </w:r>
      <w:proofErr w:type="gramEnd"/>
    </w:p>
    <w:p w14:paraId="0AAC1EC6" w14:textId="77777777" w:rsidR="00C526D6" w:rsidRPr="00100CB5" w:rsidRDefault="00C526D6" w:rsidP="00C526D6">
      <w:pPr>
        <w:contextualSpacing/>
        <w:jc w:val="both"/>
        <w:rPr>
          <w:rFonts w:ascii="Arial" w:eastAsia="Calibri" w:hAnsi="Arial" w:cs="Arial"/>
          <w:lang w:val="en-US" w:eastAsia="en-US"/>
        </w:rPr>
      </w:pPr>
    </w:p>
    <w:p w14:paraId="0825494E" w14:textId="77777777" w:rsidR="00C526D6" w:rsidRPr="00100CB5" w:rsidRDefault="00C526D6" w:rsidP="0083255D">
      <w:pPr>
        <w:numPr>
          <w:ilvl w:val="0"/>
          <w:numId w:val="20"/>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where a Second Lowest Priced Compliant Offer is identified but a Third Lowest Priced Compliant Offer is not identified:</w:t>
      </w:r>
    </w:p>
    <w:p w14:paraId="1979F1BB" w14:textId="77777777" w:rsidR="00C526D6" w:rsidRPr="00100CB5" w:rsidRDefault="00C526D6" w:rsidP="00C526D6">
      <w:pPr>
        <w:ind w:left="2880"/>
        <w:contextualSpacing/>
        <w:jc w:val="both"/>
        <w:rPr>
          <w:rFonts w:ascii="Arial" w:eastAsia="Calibri" w:hAnsi="Arial" w:cs="Arial"/>
          <w:lang w:val="en-US" w:eastAsia="en-US"/>
        </w:rPr>
      </w:pPr>
    </w:p>
    <w:p w14:paraId="763B55D7" w14:textId="77777777" w:rsidR="00C526D6" w:rsidRPr="00100CB5" w:rsidRDefault="00C526D6" w:rsidP="0083255D">
      <w:pPr>
        <w:numPr>
          <w:ilvl w:val="1"/>
          <w:numId w:val="20"/>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the Lot with the second highest estimated volumes (anticipated for the duration of the agreement excluding any extension period) shall be awarded to the Lowest Priced Compliant Offer; and</w:t>
      </w:r>
    </w:p>
    <w:p w14:paraId="5D59212C" w14:textId="77777777" w:rsidR="00C526D6" w:rsidRPr="00100CB5" w:rsidRDefault="00C526D6" w:rsidP="00C526D6">
      <w:pPr>
        <w:ind w:left="2880"/>
        <w:contextualSpacing/>
        <w:jc w:val="both"/>
        <w:rPr>
          <w:rFonts w:ascii="Arial" w:eastAsia="Calibri" w:hAnsi="Arial" w:cs="Arial"/>
          <w:lang w:val="en-US" w:eastAsia="en-US"/>
        </w:rPr>
      </w:pPr>
    </w:p>
    <w:p w14:paraId="3F5A8FCB" w14:textId="77777777" w:rsidR="00C526D6" w:rsidRPr="00100CB5" w:rsidRDefault="00C526D6" w:rsidP="0083255D">
      <w:pPr>
        <w:numPr>
          <w:ilvl w:val="1"/>
          <w:numId w:val="20"/>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 xml:space="preserve">the Lot with the lowest estimated volumes (anticipated for the duration of the agreement excluding any extension period) shall be awarded to the Second Lowest Priced Compliant </w:t>
      </w:r>
      <w:proofErr w:type="gramStart"/>
      <w:r w:rsidRPr="00100CB5">
        <w:rPr>
          <w:rFonts w:ascii="Arial" w:eastAsia="Calibri" w:hAnsi="Arial" w:cs="Arial"/>
          <w:lang w:val="en-US" w:eastAsia="en-US"/>
        </w:rPr>
        <w:t>Offer;</w:t>
      </w:r>
      <w:proofErr w:type="gramEnd"/>
    </w:p>
    <w:p w14:paraId="104B2D6D" w14:textId="77777777" w:rsidR="00C526D6" w:rsidRPr="00100CB5" w:rsidRDefault="00C526D6" w:rsidP="00C526D6">
      <w:pPr>
        <w:ind w:left="2880"/>
        <w:contextualSpacing/>
        <w:jc w:val="both"/>
        <w:rPr>
          <w:rFonts w:ascii="Arial" w:eastAsia="Calibri" w:hAnsi="Arial" w:cs="Arial"/>
          <w:lang w:val="en-US" w:eastAsia="en-US"/>
        </w:rPr>
      </w:pPr>
    </w:p>
    <w:p w14:paraId="2F1A576F" w14:textId="77777777" w:rsidR="00C526D6" w:rsidRPr="00100CB5" w:rsidRDefault="00C526D6" w:rsidP="0083255D">
      <w:pPr>
        <w:numPr>
          <w:ilvl w:val="0"/>
          <w:numId w:val="20"/>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where the Third Lowest Priced Compliant Offer is identified:</w:t>
      </w:r>
    </w:p>
    <w:p w14:paraId="209916F1" w14:textId="77777777" w:rsidR="00C526D6" w:rsidRPr="00100CB5" w:rsidRDefault="00C526D6" w:rsidP="00C526D6">
      <w:pPr>
        <w:ind w:left="2880"/>
        <w:contextualSpacing/>
        <w:jc w:val="both"/>
        <w:rPr>
          <w:rFonts w:ascii="Arial" w:eastAsia="Calibri" w:hAnsi="Arial" w:cs="Arial"/>
          <w:lang w:val="en-US" w:eastAsia="en-US"/>
        </w:rPr>
      </w:pPr>
    </w:p>
    <w:p w14:paraId="2C11D852" w14:textId="77777777" w:rsidR="00C526D6" w:rsidRPr="00100CB5" w:rsidRDefault="00C526D6" w:rsidP="0083255D">
      <w:pPr>
        <w:numPr>
          <w:ilvl w:val="1"/>
          <w:numId w:val="20"/>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the Lot with the second highest estimated volumes (anticipated for the duration of the agreement excluding any extension period) shall be awarded to the Second Lowest Priced Compliant Offer; and</w:t>
      </w:r>
    </w:p>
    <w:p w14:paraId="43A4812E" w14:textId="77777777" w:rsidR="00C526D6" w:rsidRPr="00100CB5" w:rsidRDefault="00C526D6" w:rsidP="00C526D6">
      <w:pPr>
        <w:ind w:left="2880"/>
        <w:contextualSpacing/>
        <w:jc w:val="both"/>
        <w:rPr>
          <w:rFonts w:ascii="Arial" w:eastAsia="Calibri" w:hAnsi="Arial" w:cs="Arial"/>
          <w:lang w:val="en-US" w:eastAsia="en-US"/>
        </w:rPr>
      </w:pPr>
    </w:p>
    <w:p w14:paraId="18FC8ED1" w14:textId="77777777" w:rsidR="00C526D6" w:rsidRPr="00100CB5" w:rsidRDefault="00C526D6" w:rsidP="0083255D">
      <w:pPr>
        <w:numPr>
          <w:ilvl w:val="1"/>
          <w:numId w:val="20"/>
        </w:numPr>
        <w:spacing w:after="200"/>
        <w:contextualSpacing/>
        <w:jc w:val="both"/>
        <w:rPr>
          <w:rFonts w:ascii="Arial" w:eastAsia="Calibri" w:hAnsi="Arial" w:cs="Arial"/>
          <w:lang w:val="en-US" w:eastAsia="en-US"/>
        </w:rPr>
      </w:pPr>
      <w:r w:rsidRPr="00100CB5">
        <w:rPr>
          <w:rFonts w:ascii="Arial" w:eastAsia="Calibri" w:hAnsi="Arial" w:cs="Arial"/>
          <w:lang w:eastAsia="en-US"/>
        </w:rPr>
        <w:t>the Lot with the lowest estimated volumes (anticipated for the duration of the agreement excluding any extension period) shall be awarded to the Third Lowest Priced Compliant Offer.</w:t>
      </w:r>
    </w:p>
    <w:p w14:paraId="2BFF97E2" w14:textId="77777777" w:rsidR="00C526D6" w:rsidRPr="00100CB5" w:rsidRDefault="00C526D6" w:rsidP="00C526D6">
      <w:pPr>
        <w:ind w:left="720"/>
        <w:contextualSpacing/>
        <w:jc w:val="both"/>
        <w:rPr>
          <w:rFonts w:ascii="Arial" w:eastAsia="Calibri" w:hAnsi="Arial" w:cs="Arial"/>
          <w:lang w:val="en-US" w:eastAsia="en-US"/>
        </w:rPr>
      </w:pPr>
    </w:p>
    <w:p w14:paraId="4D2C2AE2" w14:textId="3050DFA3" w:rsidR="008E6534" w:rsidRPr="00F807D5" w:rsidRDefault="00C526D6" w:rsidP="00F807D5">
      <w:pPr>
        <w:ind w:left="1418"/>
        <w:contextualSpacing/>
        <w:jc w:val="both"/>
        <w:rPr>
          <w:rFonts w:ascii="Arial" w:eastAsia="Calibri" w:hAnsi="Arial" w:cs="Arial"/>
          <w:lang w:val="en-US" w:eastAsia="en-US"/>
        </w:rPr>
      </w:pPr>
      <w:r w:rsidRPr="00100CB5">
        <w:rPr>
          <w:rFonts w:ascii="Arial" w:eastAsia="Calibri" w:hAnsi="Arial" w:cs="Arial"/>
          <w:lang w:val="en-US" w:eastAsia="en-US"/>
        </w:rPr>
        <w:t xml:space="preserve">The process described in paragraphs 12.2.1 to 12.2.3 above shall be repeated until at least one or more Offerors are successfully appointed to the framework agreement for each Product for all of the applicable Lots or Regions, or none of the offers are found to be acceptable against the award criteria. </w:t>
      </w:r>
    </w:p>
    <w:p w14:paraId="5DC09E1E" w14:textId="77777777" w:rsidR="00C526D6" w:rsidRPr="00100CB5" w:rsidRDefault="00C526D6" w:rsidP="00C526D6">
      <w:pPr>
        <w:ind w:left="1418"/>
        <w:contextualSpacing/>
        <w:jc w:val="both"/>
        <w:rPr>
          <w:rFonts w:ascii="Arial" w:eastAsia="Calibri" w:hAnsi="Arial" w:cs="Arial"/>
          <w:lang w:val="en-US" w:eastAsia="en-US"/>
        </w:rPr>
      </w:pPr>
    </w:p>
    <w:p w14:paraId="417ED657" w14:textId="77777777" w:rsidR="00C526D6" w:rsidRPr="00100CB5" w:rsidRDefault="00C526D6" w:rsidP="0083255D">
      <w:pPr>
        <w:pStyle w:val="ListParagraph"/>
        <w:numPr>
          <w:ilvl w:val="2"/>
          <w:numId w:val="16"/>
        </w:numPr>
        <w:spacing w:after="200"/>
        <w:ind w:left="1418" w:hanging="851"/>
        <w:jc w:val="both"/>
        <w:rPr>
          <w:b/>
          <w:bCs/>
        </w:rPr>
      </w:pPr>
      <w:r w:rsidRPr="00100CB5">
        <w:rPr>
          <w:b/>
          <w:bCs/>
          <w:color w:val="000000"/>
        </w:rPr>
        <w:t>Cost of change</w:t>
      </w:r>
      <w:r w:rsidRPr="00100CB5">
        <w:rPr>
          <w:b/>
          <w:bCs/>
        </w:rPr>
        <w:t xml:space="preserve"> </w:t>
      </w:r>
    </w:p>
    <w:p w14:paraId="39F1A198" w14:textId="5B06DD92" w:rsidR="00C526D6" w:rsidRDefault="00C526D6" w:rsidP="00C526D6">
      <w:pPr>
        <w:ind w:left="1418"/>
        <w:jc w:val="both"/>
        <w:rPr>
          <w:rFonts w:ascii="Arial" w:hAnsi="Arial" w:cs="Arial"/>
        </w:rPr>
      </w:pPr>
      <w:r w:rsidRPr="00100CB5">
        <w:rPr>
          <w:rFonts w:ascii="Arial" w:hAnsi="Arial" w:cs="Arial"/>
        </w:rPr>
        <w:t xml:space="preserve">If the incumbent supplier (i.e. the supplier on the Framework Agreement immediately preceding that which is offered in this Invitation to Offer) and one or more other suppliers submit offers at exactly the same price, 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8.9 above respectively the award shall be made to the incumbent supplier.</w:t>
      </w:r>
    </w:p>
    <w:p w14:paraId="316F1B7B" w14:textId="0E7E17AD" w:rsidR="00FB3122" w:rsidRDefault="00FB3122" w:rsidP="00C526D6">
      <w:pPr>
        <w:ind w:left="1418"/>
        <w:jc w:val="both"/>
        <w:rPr>
          <w:rFonts w:ascii="Arial" w:hAnsi="Arial" w:cs="Arial"/>
        </w:rPr>
      </w:pPr>
    </w:p>
    <w:p w14:paraId="55B9C6DD" w14:textId="7EEBA6DC" w:rsidR="00FB3122" w:rsidRPr="00FB3122" w:rsidRDefault="00FB3122" w:rsidP="00FB3122">
      <w:pPr>
        <w:ind w:left="1418"/>
        <w:jc w:val="both"/>
        <w:rPr>
          <w:rFonts w:ascii="Arial" w:hAnsi="Arial" w:cs="Arial"/>
        </w:rPr>
      </w:pPr>
      <w:bookmarkStart w:id="13" w:name="_Hlk94866637"/>
      <w:r w:rsidRPr="00FB3122">
        <w:rPr>
          <w:rFonts w:ascii="Arial" w:hAnsi="Arial" w:cs="Arial"/>
        </w:rPr>
        <w:t>Where the offers cannot be distinguished by this methodology, we will offer a portion of the business to each of the suppliers who offer the same price.</w:t>
      </w:r>
    </w:p>
    <w:bookmarkEnd w:id="13"/>
    <w:p w14:paraId="05D123D5" w14:textId="77777777" w:rsidR="00C526D6" w:rsidRPr="00100CB5" w:rsidRDefault="00C526D6" w:rsidP="00C526D6">
      <w:pPr>
        <w:jc w:val="both"/>
        <w:rPr>
          <w:rFonts w:ascii="Arial" w:hAnsi="Arial" w:cs="Arial"/>
          <w:b/>
          <w:bCs/>
        </w:rPr>
      </w:pPr>
    </w:p>
    <w:p w14:paraId="43584D2A" w14:textId="77777777" w:rsidR="00C526D6" w:rsidRPr="00100CB5" w:rsidRDefault="00C526D6" w:rsidP="00C526D6">
      <w:pPr>
        <w:tabs>
          <w:tab w:val="left" w:pos="1418"/>
        </w:tabs>
        <w:ind w:firstLine="567"/>
        <w:jc w:val="both"/>
        <w:rPr>
          <w:rFonts w:ascii="Arial" w:hAnsi="Arial" w:cs="Arial"/>
          <w:b/>
          <w:bCs/>
        </w:rPr>
      </w:pPr>
      <w:r w:rsidRPr="00100CB5">
        <w:rPr>
          <w:rFonts w:ascii="Arial" w:hAnsi="Arial" w:cs="Arial"/>
          <w:bCs/>
        </w:rPr>
        <w:t>12.2.5</w:t>
      </w:r>
      <w:r w:rsidRPr="00100CB5">
        <w:rPr>
          <w:rFonts w:ascii="Arial" w:hAnsi="Arial" w:cs="Arial"/>
          <w:b/>
          <w:bCs/>
        </w:rPr>
        <w:tab/>
        <w:t>Supply route and associated cost</w:t>
      </w:r>
    </w:p>
    <w:p w14:paraId="2D95133C" w14:textId="77777777" w:rsidR="00C526D6" w:rsidRPr="00100CB5" w:rsidRDefault="00C526D6" w:rsidP="00C526D6">
      <w:pPr>
        <w:tabs>
          <w:tab w:val="left" w:pos="1418"/>
        </w:tabs>
        <w:ind w:firstLine="567"/>
        <w:jc w:val="both"/>
        <w:rPr>
          <w:rFonts w:ascii="Arial" w:hAnsi="Arial" w:cs="Arial"/>
          <w:b/>
          <w:bCs/>
        </w:rPr>
      </w:pPr>
    </w:p>
    <w:p w14:paraId="4B0FA981" w14:textId="77777777" w:rsidR="00C526D6" w:rsidRPr="00100CB5" w:rsidRDefault="00C526D6" w:rsidP="00C526D6">
      <w:pPr>
        <w:ind w:left="1418"/>
        <w:contextualSpacing/>
        <w:jc w:val="both"/>
        <w:rPr>
          <w:rFonts w:ascii="Arial" w:eastAsia="Calibri" w:hAnsi="Arial" w:cs="Arial"/>
          <w:lang w:val="en-US" w:eastAsia="en-US"/>
        </w:rPr>
      </w:pPr>
      <w:r w:rsidRPr="00100CB5">
        <w:rPr>
          <w:rFonts w:ascii="Arial" w:eastAsia="Calibri" w:hAnsi="Arial" w:cs="Arial"/>
          <w:lang w:val="en-US" w:eastAsia="en-US"/>
        </w:rPr>
        <w:t>If the cost of change sub-criterion</w:t>
      </w:r>
      <w:r w:rsidRPr="00100CB5">
        <w:rPr>
          <w:rFonts w:ascii="Arial" w:eastAsia="Calibri" w:hAnsi="Arial" w:cs="Arial"/>
          <w:color w:val="000000"/>
          <w:lang w:val="en-US" w:eastAsia="en-US"/>
        </w:rPr>
        <w:t xml:space="preserve"> does not differentiate between the </w:t>
      </w:r>
      <w:proofErr w:type="gramStart"/>
      <w:r w:rsidRPr="00100CB5">
        <w:rPr>
          <w:rFonts w:ascii="Arial" w:eastAsia="Calibri" w:hAnsi="Arial" w:cs="Arial"/>
          <w:color w:val="000000"/>
          <w:lang w:val="en-US" w:eastAsia="en-US"/>
        </w:rPr>
        <w:t>offers</w:t>
      </w:r>
      <w:proofErr w:type="gramEnd"/>
      <w:r w:rsidRPr="00100CB5">
        <w:rPr>
          <w:rFonts w:ascii="Arial" w:eastAsia="Calibri" w:hAnsi="Arial" w:cs="Arial"/>
          <w:lang w:val="en-US" w:eastAsia="en-US"/>
        </w:rPr>
        <w:t xml:space="preserve"> then supply routes shall be preferred in the following order and awards shall be made in this strict order of preference:</w:t>
      </w:r>
    </w:p>
    <w:p w14:paraId="32E6A95C" w14:textId="77777777" w:rsidR="00C526D6" w:rsidRPr="00100CB5" w:rsidRDefault="00C526D6" w:rsidP="00C526D6">
      <w:pPr>
        <w:ind w:left="2160"/>
        <w:contextualSpacing/>
        <w:jc w:val="both"/>
        <w:rPr>
          <w:rFonts w:ascii="Arial" w:eastAsia="Calibri" w:hAnsi="Arial" w:cs="Arial"/>
          <w:lang w:val="en-US" w:eastAsia="en-US"/>
        </w:rPr>
      </w:pPr>
    </w:p>
    <w:p w14:paraId="55FBECB0" w14:textId="77777777" w:rsidR="00C526D6" w:rsidRPr="00100CB5" w:rsidRDefault="00C526D6" w:rsidP="0083255D">
      <w:pPr>
        <w:numPr>
          <w:ilvl w:val="0"/>
          <w:numId w:val="11"/>
        </w:numPr>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three or more wholesalers and direct distribution </w:t>
      </w:r>
    </w:p>
    <w:p w14:paraId="3CB3F39B" w14:textId="77777777" w:rsidR="00C526D6" w:rsidRPr="00100CB5" w:rsidRDefault="00C526D6" w:rsidP="00C526D6">
      <w:pPr>
        <w:ind w:left="2835"/>
        <w:contextualSpacing/>
        <w:jc w:val="both"/>
        <w:rPr>
          <w:rFonts w:ascii="Arial" w:eastAsia="Calibri" w:hAnsi="Arial" w:cs="Arial"/>
          <w:lang w:val="en-US" w:eastAsia="en-US"/>
        </w:rPr>
      </w:pPr>
    </w:p>
    <w:p w14:paraId="5E9548B7" w14:textId="77777777" w:rsidR="00C526D6" w:rsidRPr="00100CB5" w:rsidRDefault="00C526D6" w:rsidP="0083255D">
      <w:pPr>
        <w:numPr>
          <w:ilvl w:val="0"/>
          <w:numId w:val="11"/>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two wholesalers and direct distribution </w:t>
      </w:r>
    </w:p>
    <w:p w14:paraId="2013724B" w14:textId="77777777" w:rsidR="00C526D6" w:rsidRPr="00100CB5" w:rsidRDefault="00C526D6" w:rsidP="00C526D6">
      <w:pPr>
        <w:tabs>
          <w:tab w:val="left" w:pos="2610"/>
        </w:tabs>
        <w:ind w:left="720"/>
        <w:contextualSpacing/>
        <w:jc w:val="both"/>
        <w:rPr>
          <w:rFonts w:ascii="Arial" w:eastAsia="Calibri" w:hAnsi="Arial" w:cs="Arial"/>
          <w:lang w:val="en-US" w:eastAsia="en-US"/>
        </w:rPr>
      </w:pPr>
      <w:r w:rsidRPr="00100CB5">
        <w:rPr>
          <w:rFonts w:ascii="Arial" w:eastAsia="Calibri" w:hAnsi="Arial" w:cs="Arial"/>
          <w:lang w:val="en-US" w:eastAsia="en-US"/>
        </w:rPr>
        <w:tab/>
      </w:r>
    </w:p>
    <w:p w14:paraId="25146A9C" w14:textId="77777777" w:rsidR="00C526D6" w:rsidRPr="00100CB5" w:rsidRDefault="00C526D6" w:rsidP="0083255D">
      <w:pPr>
        <w:numPr>
          <w:ilvl w:val="0"/>
          <w:numId w:val="11"/>
        </w:numPr>
        <w:tabs>
          <w:tab w:val="left" w:pos="1843"/>
          <w:tab w:val="left" w:pos="2835"/>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wholesaler and direct distribution </w:t>
      </w:r>
    </w:p>
    <w:p w14:paraId="1B4AA177" w14:textId="77777777" w:rsidR="00C526D6" w:rsidRPr="00100CB5" w:rsidRDefault="00C526D6" w:rsidP="00C526D6">
      <w:pPr>
        <w:tabs>
          <w:tab w:val="left" w:pos="2835"/>
        </w:tabs>
        <w:ind w:left="4260"/>
        <w:contextualSpacing/>
        <w:jc w:val="both"/>
        <w:rPr>
          <w:rFonts w:ascii="Arial" w:eastAsia="Calibri" w:hAnsi="Arial" w:cs="Arial"/>
          <w:lang w:val="en-US" w:eastAsia="en-US"/>
        </w:rPr>
      </w:pPr>
    </w:p>
    <w:p w14:paraId="19210DF3" w14:textId="77777777" w:rsidR="00C526D6" w:rsidRPr="00100CB5" w:rsidRDefault="00C526D6" w:rsidP="0083255D">
      <w:pPr>
        <w:numPr>
          <w:ilvl w:val="0"/>
          <w:numId w:val="11"/>
        </w:numPr>
        <w:tabs>
          <w:tab w:val="left" w:pos="1843"/>
        </w:tabs>
        <w:spacing w:after="200"/>
        <w:ind w:left="3544" w:hanging="2126"/>
        <w:contextualSpacing/>
        <w:jc w:val="both"/>
        <w:rPr>
          <w:rFonts w:ascii="Arial" w:eastAsia="Calibri" w:hAnsi="Arial" w:cs="Arial"/>
          <w:lang w:val="en-US" w:eastAsia="en-US"/>
        </w:rPr>
      </w:pPr>
      <w:r w:rsidRPr="00100CB5">
        <w:rPr>
          <w:rFonts w:ascii="Arial" w:eastAsia="Calibri" w:hAnsi="Arial" w:cs="Arial"/>
          <w:lang w:val="en-US" w:eastAsia="en-US"/>
        </w:rPr>
        <w:t>Three or more wholesalers</w:t>
      </w:r>
    </w:p>
    <w:p w14:paraId="2420F434" w14:textId="77777777" w:rsidR="00C526D6" w:rsidRPr="00100CB5" w:rsidRDefault="00C526D6" w:rsidP="00C526D6">
      <w:pPr>
        <w:tabs>
          <w:tab w:val="left" w:pos="268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1F4528F6" w14:textId="77777777" w:rsidR="00C526D6" w:rsidRPr="00100CB5" w:rsidRDefault="00C526D6" w:rsidP="0083255D">
      <w:pPr>
        <w:numPr>
          <w:ilvl w:val="0"/>
          <w:numId w:val="11"/>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Two wholesalers</w:t>
      </w:r>
    </w:p>
    <w:p w14:paraId="3B413671" w14:textId="77777777" w:rsidR="00C526D6" w:rsidRPr="00100CB5" w:rsidRDefault="00C526D6" w:rsidP="00C526D6">
      <w:pPr>
        <w:tabs>
          <w:tab w:val="left" w:pos="2835"/>
        </w:tabs>
        <w:ind w:left="4260"/>
        <w:contextualSpacing/>
        <w:jc w:val="both"/>
        <w:rPr>
          <w:rFonts w:ascii="Arial" w:eastAsia="Calibri" w:hAnsi="Arial" w:cs="Arial"/>
          <w:lang w:val="en-US" w:eastAsia="en-US"/>
        </w:rPr>
      </w:pPr>
    </w:p>
    <w:p w14:paraId="4FD2550E" w14:textId="77777777" w:rsidR="00C526D6" w:rsidRPr="00100CB5" w:rsidRDefault="00C526D6" w:rsidP="0083255D">
      <w:pPr>
        <w:numPr>
          <w:ilvl w:val="0"/>
          <w:numId w:val="11"/>
        </w:numPr>
        <w:tabs>
          <w:tab w:val="left" w:pos="1843"/>
        </w:tabs>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One wholesaler</w:t>
      </w:r>
    </w:p>
    <w:p w14:paraId="5315E947" w14:textId="77777777" w:rsidR="00C526D6" w:rsidRPr="00100CB5" w:rsidRDefault="00C526D6" w:rsidP="00C526D6">
      <w:pPr>
        <w:tabs>
          <w:tab w:val="left" w:pos="283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0AA337EA" w14:textId="7E57E294" w:rsidR="00C526D6" w:rsidRDefault="00C526D6" w:rsidP="0083255D">
      <w:pPr>
        <w:numPr>
          <w:ilvl w:val="0"/>
          <w:numId w:val="11"/>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Direct distribution only</w:t>
      </w:r>
    </w:p>
    <w:p w14:paraId="0C9C3564" w14:textId="5C780614" w:rsidR="00FB3122" w:rsidRDefault="00FB3122" w:rsidP="00FB3122">
      <w:pPr>
        <w:tabs>
          <w:tab w:val="left" w:pos="1843"/>
        </w:tabs>
        <w:spacing w:after="200"/>
        <w:contextualSpacing/>
        <w:jc w:val="both"/>
        <w:rPr>
          <w:rFonts w:ascii="Arial" w:eastAsia="Calibri" w:hAnsi="Arial" w:cs="Arial"/>
          <w:lang w:val="en-US" w:eastAsia="en-US"/>
        </w:rPr>
      </w:pPr>
    </w:p>
    <w:p w14:paraId="57281910" w14:textId="77777777" w:rsidR="000D1B0C" w:rsidRDefault="000D1B0C" w:rsidP="00FB3122">
      <w:pPr>
        <w:ind w:left="1418"/>
        <w:jc w:val="both"/>
        <w:rPr>
          <w:rFonts w:ascii="Arial" w:hAnsi="Arial" w:cs="Arial"/>
        </w:rPr>
      </w:pPr>
    </w:p>
    <w:p w14:paraId="0E057DE9" w14:textId="77777777" w:rsidR="000D1B0C" w:rsidRPr="000D1B0C" w:rsidRDefault="000D1B0C" w:rsidP="000D1B0C">
      <w:pPr>
        <w:ind w:left="1418" w:hanging="851"/>
        <w:jc w:val="both"/>
        <w:rPr>
          <w:rFonts w:ascii="Arial" w:hAnsi="Arial" w:cs="Arial"/>
        </w:rPr>
      </w:pPr>
      <w:r w:rsidRPr="000D1B0C">
        <w:rPr>
          <w:rFonts w:ascii="Arial" w:hAnsi="Arial" w:cs="Arial"/>
        </w:rPr>
        <w:t>12.2.6</w:t>
      </w:r>
      <w:r w:rsidRPr="000D1B0C">
        <w:rPr>
          <w:rFonts w:ascii="Arial" w:hAnsi="Arial" w:cs="Arial"/>
        </w:rPr>
        <w:tab/>
      </w:r>
      <w:r w:rsidRPr="000D1B0C">
        <w:rPr>
          <w:rFonts w:ascii="Arial" w:eastAsia="Calibri" w:hAnsi="Arial" w:cs="Arial"/>
          <w:lang w:val="en-US" w:eastAsia="en-US"/>
        </w:rPr>
        <w:t xml:space="preserve">If neither the cost of change or supply route and associated cost sub-criterion differentiates between the same price offers the Authority may award </w:t>
      </w:r>
      <w:r w:rsidRPr="000D1B0C">
        <w:rPr>
          <w:rFonts w:ascii="Arial" w:hAnsi="Arial" w:cs="Arial"/>
        </w:rPr>
        <w:t>a portion of the business to each of the suppliers who offered the same price on the basis of the most equitable duration volume split.</w:t>
      </w:r>
    </w:p>
    <w:p w14:paraId="62CF49BE" w14:textId="03BC19B5" w:rsidR="000D1B0C" w:rsidRPr="000D1B0C" w:rsidRDefault="000D1B0C" w:rsidP="00FB3122">
      <w:pPr>
        <w:ind w:left="1418"/>
        <w:jc w:val="both"/>
        <w:rPr>
          <w:rFonts w:ascii="Arial" w:hAnsi="Arial" w:cs="Arial"/>
        </w:rPr>
      </w:pPr>
    </w:p>
    <w:p w14:paraId="7777D104" w14:textId="75C1251B" w:rsidR="00C526D6" w:rsidRPr="00100CB5" w:rsidRDefault="00C526D6" w:rsidP="00C526D6">
      <w:pPr>
        <w:ind w:left="1418" w:hanging="851"/>
        <w:jc w:val="both"/>
        <w:rPr>
          <w:rFonts w:ascii="Arial" w:hAnsi="Arial" w:cs="Arial"/>
        </w:rPr>
      </w:pPr>
      <w:r w:rsidRPr="00100CB5">
        <w:rPr>
          <w:rFonts w:ascii="Arial" w:hAnsi="Arial" w:cs="Arial"/>
        </w:rPr>
        <w:t>12.2.</w:t>
      </w:r>
      <w:r w:rsidR="000D1B0C">
        <w:rPr>
          <w:rFonts w:ascii="Arial" w:hAnsi="Arial" w:cs="Arial"/>
        </w:rPr>
        <w:t>7</w:t>
      </w:r>
      <w:r w:rsidRPr="00100CB5">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4A9A7259" w14:textId="77777777" w:rsidR="00C526D6" w:rsidRPr="00100CB5" w:rsidRDefault="00C526D6" w:rsidP="00C526D6">
      <w:pPr>
        <w:ind w:left="1440" w:hanging="720"/>
        <w:jc w:val="both"/>
        <w:rPr>
          <w:rFonts w:ascii="Arial" w:hAnsi="Arial" w:cs="Arial"/>
        </w:rPr>
      </w:pPr>
    </w:p>
    <w:p w14:paraId="2221AFC1" w14:textId="77777777" w:rsidR="00C526D6" w:rsidRPr="00100CB5" w:rsidRDefault="00C526D6" w:rsidP="00C526D6">
      <w:pPr>
        <w:keepNext/>
        <w:ind w:left="567" w:hanging="567"/>
        <w:jc w:val="both"/>
        <w:outlineLvl w:val="1"/>
        <w:rPr>
          <w:rFonts w:ascii="Arial" w:hAnsi="Arial" w:cs="Arial"/>
          <w:b/>
          <w:bCs/>
          <w:iCs/>
        </w:rPr>
      </w:pPr>
      <w:r w:rsidRPr="00100CB5">
        <w:rPr>
          <w:rFonts w:ascii="Arial" w:hAnsi="Arial" w:cs="Arial"/>
          <w:bCs/>
          <w:iCs/>
        </w:rPr>
        <w:t>12.3</w:t>
      </w:r>
      <w:r w:rsidRPr="00100CB5">
        <w:rPr>
          <w:rFonts w:ascii="Arial" w:hAnsi="Arial" w:cs="Arial"/>
          <w:b/>
          <w:bCs/>
          <w:i/>
          <w:iCs/>
        </w:rPr>
        <w:tab/>
      </w:r>
      <w:r w:rsidRPr="00100CB5">
        <w:rPr>
          <w:rFonts w:ascii="Arial" w:hAnsi="Arial" w:cs="Arial"/>
          <w:b/>
          <w:bCs/>
          <w:iCs/>
        </w:rPr>
        <w:t>Evaluation Panel</w:t>
      </w:r>
    </w:p>
    <w:p w14:paraId="0160366A" w14:textId="77777777" w:rsidR="00C526D6" w:rsidRPr="00100CB5" w:rsidRDefault="00C526D6" w:rsidP="00C526D6">
      <w:pPr>
        <w:jc w:val="both"/>
        <w:rPr>
          <w:rFonts w:ascii="Arial" w:hAnsi="Arial" w:cs="Arial"/>
        </w:rPr>
      </w:pPr>
    </w:p>
    <w:p w14:paraId="631435EE" w14:textId="77777777" w:rsidR="00C526D6" w:rsidRPr="00100CB5" w:rsidRDefault="00C526D6" w:rsidP="00C526D6">
      <w:pPr>
        <w:ind w:left="567" w:hanging="567"/>
        <w:jc w:val="both"/>
        <w:rPr>
          <w:rFonts w:ascii="Arial" w:hAnsi="Arial" w:cs="Arial"/>
        </w:rPr>
      </w:pPr>
      <w:r w:rsidRPr="00100CB5">
        <w:rPr>
          <w:rFonts w:ascii="Arial" w:hAnsi="Arial" w:cs="Arial"/>
        </w:rPr>
        <w:tab/>
        <w:t>Offers shall be evaluated by an evaluation panel against the award criteria. The evaluation panel may comprise members of the NHS England and NHS Improvement Commercial Medicines Unit, the Pharmaceutical Market Support Group, NHS Trust pharmacy procurement group representatives, NHS England commissioners and clinical experts. </w:t>
      </w:r>
    </w:p>
    <w:p w14:paraId="1965D8DC" w14:textId="77777777" w:rsidR="00C526D6" w:rsidRPr="00100CB5" w:rsidRDefault="00C526D6" w:rsidP="00C526D6">
      <w:pPr>
        <w:ind w:left="567" w:hanging="567"/>
        <w:jc w:val="both"/>
        <w:rPr>
          <w:rFonts w:ascii="Arial" w:hAnsi="Arial" w:cs="Arial"/>
        </w:rPr>
      </w:pPr>
    </w:p>
    <w:p w14:paraId="733D365A" w14:textId="77777777" w:rsidR="00C526D6" w:rsidRPr="00100CB5" w:rsidRDefault="00C526D6" w:rsidP="00C526D6">
      <w:pPr>
        <w:ind w:left="567" w:hanging="567"/>
        <w:jc w:val="both"/>
        <w:rPr>
          <w:rFonts w:ascii="Arial" w:hAnsi="Arial" w:cs="Arial"/>
          <w:i/>
        </w:rPr>
      </w:pPr>
      <w:r w:rsidRPr="00100CB5">
        <w:rPr>
          <w:rFonts w:ascii="Arial" w:hAnsi="Arial" w:cs="Arial"/>
        </w:rPr>
        <w:t>12.4</w:t>
      </w:r>
      <w:r w:rsidRPr="00100CB5">
        <w:rPr>
          <w:rFonts w:ascii="Arial" w:hAnsi="Arial" w:cs="Arial"/>
          <w:b/>
        </w:rPr>
        <w:tab/>
        <w:t>Final Decision to Award</w:t>
      </w:r>
      <w:r w:rsidRPr="00100CB5">
        <w:rPr>
          <w:rFonts w:ascii="Arial" w:hAnsi="Arial" w:cs="Arial"/>
          <w:i/>
        </w:rPr>
        <w:t xml:space="preserve"> </w:t>
      </w:r>
    </w:p>
    <w:p w14:paraId="0E5B1103" w14:textId="77777777" w:rsidR="00C526D6" w:rsidRPr="00100CB5" w:rsidRDefault="00C526D6" w:rsidP="00C526D6">
      <w:pPr>
        <w:ind w:left="720" w:hanging="720"/>
        <w:jc w:val="both"/>
        <w:rPr>
          <w:rFonts w:ascii="Arial" w:hAnsi="Arial" w:cs="Arial"/>
        </w:rPr>
      </w:pPr>
    </w:p>
    <w:p w14:paraId="56A84C5F" w14:textId="77777777" w:rsidR="00C526D6" w:rsidRPr="00100CB5" w:rsidRDefault="00C526D6" w:rsidP="00C526D6">
      <w:pPr>
        <w:ind w:left="1440" w:hanging="873"/>
        <w:jc w:val="both"/>
        <w:rPr>
          <w:rFonts w:ascii="Arial" w:hAnsi="Arial" w:cs="Arial"/>
        </w:rPr>
      </w:pPr>
      <w:r w:rsidRPr="00100CB5">
        <w:rPr>
          <w:rFonts w:ascii="Arial" w:hAnsi="Arial" w:cs="Arial"/>
        </w:rPr>
        <w:t>12.4.1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1186BFC4" w14:textId="77777777" w:rsidR="00C526D6" w:rsidRPr="00100CB5" w:rsidRDefault="00C526D6" w:rsidP="00C526D6">
      <w:pPr>
        <w:ind w:left="720" w:hanging="873"/>
        <w:jc w:val="both"/>
        <w:rPr>
          <w:rFonts w:ascii="Arial" w:hAnsi="Arial" w:cs="Arial"/>
        </w:rPr>
      </w:pPr>
    </w:p>
    <w:p w14:paraId="79778137" w14:textId="77777777" w:rsidR="00C526D6" w:rsidRPr="00100CB5" w:rsidRDefault="00C526D6" w:rsidP="00C526D6">
      <w:pPr>
        <w:ind w:left="1440" w:hanging="873"/>
        <w:jc w:val="both"/>
        <w:rPr>
          <w:rFonts w:ascii="Arial" w:hAnsi="Arial" w:cs="Arial"/>
        </w:rPr>
      </w:pPr>
      <w:r w:rsidRPr="00100CB5">
        <w:rPr>
          <w:rFonts w:ascii="Arial" w:hAnsi="Arial" w:cs="Arial"/>
        </w:rPr>
        <w:t>12.4.2</w:t>
      </w:r>
      <w:r w:rsidRPr="00100CB5">
        <w:rPr>
          <w:rFonts w:ascii="Arial" w:hAnsi="Arial" w:cs="Arial"/>
        </w:rPr>
        <w:tab/>
        <w:t>The most economically advantageous tender for a particular Product in the relevant Lot shall be the Offer satisfying the award criteria and evaluation process set out in this Invitation to Offer.</w:t>
      </w:r>
    </w:p>
    <w:p w14:paraId="78A511F7" w14:textId="77777777" w:rsidR="00C526D6" w:rsidRPr="00100CB5" w:rsidRDefault="00C526D6" w:rsidP="00C526D6">
      <w:pPr>
        <w:ind w:left="720" w:hanging="873"/>
        <w:jc w:val="both"/>
        <w:rPr>
          <w:rFonts w:ascii="Arial" w:hAnsi="Arial" w:cs="Arial"/>
        </w:rPr>
      </w:pPr>
    </w:p>
    <w:p w14:paraId="6FAF1BA7" w14:textId="77777777" w:rsidR="00C526D6" w:rsidRPr="00100CB5" w:rsidRDefault="00C526D6" w:rsidP="00C526D6">
      <w:pPr>
        <w:ind w:left="1437" w:hanging="870"/>
        <w:jc w:val="both"/>
        <w:rPr>
          <w:rFonts w:ascii="Arial" w:hAnsi="Arial" w:cs="Arial"/>
        </w:rPr>
      </w:pPr>
      <w:r w:rsidRPr="00100CB5">
        <w:rPr>
          <w:rFonts w:ascii="Arial" w:hAnsi="Arial" w:cs="Arial"/>
        </w:rPr>
        <w:t>12.4.3</w:t>
      </w:r>
      <w:r w:rsidRPr="00100CB5">
        <w:rPr>
          <w:rFonts w:ascii="Arial" w:hAnsi="Arial" w:cs="Arial"/>
        </w:rPr>
        <w:tab/>
        <w:t xml:space="preserve">Once the Authority has decided to make an award of a framework agreement the Authority will inform the successful Offeror, along with all other tenderers via the </w:t>
      </w:r>
      <w:proofErr w:type="spellStart"/>
      <w:r w:rsidR="00747EB5" w:rsidRPr="00100CB5">
        <w:rPr>
          <w:rFonts w:ascii="Arial" w:hAnsi="Arial" w:cs="Arial"/>
        </w:rPr>
        <w:t>Atamis</w:t>
      </w:r>
      <w:proofErr w:type="spellEnd"/>
      <w:r w:rsidRPr="00100CB5">
        <w:rPr>
          <w:rFonts w:ascii="Arial" w:hAnsi="Arial" w:cs="Arial"/>
        </w:rPr>
        <w:t xml:space="preserve"> </w:t>
      </w:r>
      <w:proofErr w:type="spellStart"/>
      <w:r w:rsidRPr="00100CB5">
        <w:rPr>
          <w:rFonts w:ascii="Arial" w:hAnsi="Arial" w:cs="Arial"/>
        </w:rPr>
        <w:t>eTendering</w:t>
      </w:r>
      <w:proofErr w:type="spellEnd"/>
      <w:r w:rsidRPr="00100CB5">
        <w:rPr>
          <w:rFonts w:ascii="Arial" w:hAnsi="Arial" w:cs="Arial"/>
        </w:rPr>
        <w:t xml:space="preserve"> Portal of its intention to award a framework agreement and will allow a 10-day standstill period in accordance with Regulations 86 and 87 of the Public Contracts Regulations 2015.</w:t>
      </w:r>
    </w:p>
    <w:p w14:paraId="2BC4B74D" w14:textId="77777777" w:rsidR="00C526D6" w:rsidRPr="00100CB5" w:rsidRDefault="00C526D6" w:rsidP="00C526D6">
      <w:pPr>
        <w:ind w:left="1437" w:hanging="870"/>
        <w:jc w:val="both"/>
        <w:rPr>
          <w:rFonts w:ascii="Arial" w:hAnsi="Arial" w:cs="Arial"/>
        </w:rPr>
      </w:pPr>
    </w:p>
    <w:p w14:paraId="34B8D286" w14:textId="77777777" w:rsidR="00C526D6" w:rsidRPr="00100CB5" w:rsidRDefault="00C526D6" w:rsidP="00C526D6">
      <w:pPr>
        <w:ind w:left="1440" w:hanging="873"/>
        <w:jc w:val="both"/>
        <w:rPr>
          <w:rFonts w:ascii="Arial" w:hAnsi="Arial" w:cs="Arial"/>
        </w:rPr>
      </w:pPr>
      <w:r w:rsidRPr="00100CB5">
        <w:rPr>
          <w:rFonts w:ascii="Arial" w:hAnsi="Arial" w:cs="Arial"/>
        </w:rPr>
        <w:t>12.4.4</w:t>
      </w:r>
      <w:r w:rsidRPr="00100CB5">
        <w:rPr>
          <w:rFonts w:ascii="Arial" w:hAnsi="Arial" w:cs="Arial"/>
        </w:rPr>
        <w:tab/>
        <w:t xml:space="preserve">Should the successful Offeror for a particular Product within a Lot decline to accept a framework agreement 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w:t>
      </w:r>
      <w:r w:rsidR="00C13C20" w:rsidRPr="00100CB5">
        <w:rPr>
          <w:rFonts w:ascii="Arial" w:hAnsi="Arial" w:cs="Arial"/>
        </w:rPr>
        <w:t>.9</w:t>
      </w:r>
      <w:r w:rsidRPr="00100CB5">
        <w:rPr>
          <w:rFonts w:ascii="Arial" w:hAnsi="Arial" w:cs="Arial"/>
        </w:rPr>
        <w:t xml:space="preserve"> above respectively, it may be offered to the next ranked Offeror for that Product within the relevant Lot, until it has been accepted.</w:t>
      </w:r>
    </w:p>
    <w:p w14:paraId="31713872" w14:textId="77777777" w:rsidR="00C526D6" w:rsidRPr="00100CB5" w:rsidRDefault="00C526D6" w:rsidP="00C526D6">
      <w:pPr>
        <w:ind w:left="1440" w:hanging="873"/>
        <w:jc w:val="both"/>
        <w:rPr>
          <w:rFonts w:ascii="Arial" w:hAnsi="Arial" w:cs="Arial"/>
        </w:rPr>
      </w:pPr>
    </w:p>
    <w:p w14:paraId="5F8F381E" w14:textId="77777777" w:rsidR="00C526D6" w:rsidRPr="00100CB5" w:rsidRDefault="00C526D6" w:rsidP="00C526D6">
      <w:pPr>
        <w:keepNext/>
        <w:ind w:left="1440" w:hanging="873"/>
        <w:jc w:val="both"/>
        <w:outlineLvl w:val="1"/>
        <w:rPr>
          <w:rFonts w:ascii="Arial" w:hAnsi="Arial" w:cs="Arial"/>
          <w:bCs/>
          <w:iCs/>
        </w:rPr>
      </w:pPr>
      <w:r w:rsidRPr="00100CB5">
        <w:rPr>
          <w:rFonts w:ascii="Arial" w:hAnsi="Arial" w:cs="Arial"/>
          <w:bCs/>
          <w:iCs/>
        </w:rPr>
        <w:t>12.4.5</w:t>
      </w:r>
      <w:r w:rsidRPr="00100CB5">
        <w:rPr>
          <w:rFonts w:ascii="Arial" w:hAnsi="Arial" w:cs="Arial"/>
          <w:bCs/>
          <w:iCs/>
        </w:rPr>
        <w:tab/>
        <w:t>At any time following a standstill period of ten days, subject always to paragraph 10 above (and subject to there being no substantive challenge to that intention), a framework agreement shall be formally awarded, subject to contract, to the successful Offeror(s).</w:t>
      </w:r>
    </w:p>
    <w:p w14:paraId="1468B469" w14:textId="77777777" w:rsidR="0012034A" w:rsidRPr="00100CB5" w:rsidRDefault="0012034A" w:rsidP="0083255D">
      <w:pPr>
        <w:numPr>
          <w:ilvl w:val="0"/>
          <w:numId w:val="16"/>
        </w:numPr>
        <w:spacing w:before="240" w:line="360" w:lineRule="auto"/>
        <w:ind w:left="851" w:hanging="851"/>
        <w:rPr>
          <w:rFonts w:ascii="Arial" w:hAnsi="Arial" w:cs="Arial"/>
          <w:b/>
          <w:lang w:eastAsia="en-US"/>
        </w:rPr>
      </w:pPr>
      <w:r w:rsidRPr="00100CB5">
        <w:rPr>
          <w:rFonts w:ascii="Arial" w:hAnsi="Arial" w:cs="Arial"/>
          <w:b/>
          <w:lang w:eastAsia="en-US"/>
        </w:rPr>
        <w:t xml:space="preserve">E-auctions </w:t>
      </w:r>
    </w:p>
    <w:p w14:paraId="0FDDEE00" w14:textId="77777777" w:rsidR="0012034A" w:rsidRPr="00100CB5" w:rsidRDefault="0012034A" w:rsidP="00C30449">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50001EE9" w14:textId="77777777" w:rsidR="0012034A" w:rsidRPr="00100CB5" w:rsidRDefault="0012034A" w:rsidP="0083255D">
      <w:pPr>
        <w:numPr>
          <w:ilvl w:val="0"/>
          <w:numId w:val="16"/>
        </w:numPr>
        <w:spacing w:before="240" w:line="360" w:lineRule="auto"/>
        <w:ind w:left="0" w:firstLine="0"/>
        <w:rPr>
          <w:rFonts w:ascii="Arial" w:hAnsi="Arial" w:cs="Arial"/>
          <w:b/>
          <w:lang w:eastAsia="en-US"/>
        </w:rPr>
      </w:pPr>
      <w:r w:rsidRPr="00100CB5">
        <w:rPr>
          <w:rFonts w:ascii="Arial" w:hAnsi="Arial" w:cs="Arial"/>
          <w:b/>
          <w:lang w:eastAsia="en-US"/>
        </w:rPr>
        <w:t>Contract monitoring</w:t>
      </w:r>
      <w:r w:rsidR="006A4E79" w:rsidRPr="00100CB5">
        <w:rPr>
          <w:rFonts w:ascii="Arial" w:hAnsi="Arial" w:cs="Arial"/>
          <w:b/>
          <w:lang w:eastAsia="en-US"/>
        </w:rPr>
        <w:t xml:space="preserve"> </w:t>
      </w:r>
    </w:p>
    <w:p w14:paraId="2FAEB13A" w14:textId="77777777" w:rsidR="0012034A" w:rsidRPr="00100CB5" w:rsidRDefault="0012034A" w:rsidP="00C30449">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possible that measurement criteria will develop during the term of the framework agreement - this will also be documented following agreement with the Successful Offerors. </w:t>
      </w:r>
    </w:p>
    <w:p w14:paraId="5BD1DD14" w14:textId="77777777" w:rsidR="0012034A" w:rsidRPr="00100CB5" w:rsidRDefault="0012034A" w:rsidP="0083255D">
      <w:pPr>
        <w:numPr>
          <w:ilvl w:val="0"/>
          <w:numId w:val="16"/>
        </w:numPr>
        <w:spacing w:before="240" w:line="360" w:lineRule="auto"/>
        <w:ind w:left="0" w:firstLine="0"/>
        <w:rPr>
          <w:rFonts w:ascii="Arial" w:hAnsi="Arial" w:cs="Arial"/>
          <w:b/>
          <w:lang w:eastAsia="en-US"/>
        </w:rPr>
      </w:pPr>
      <w:r w:rsidRPr="00100CB5">
        <w:rPr>
          <w:rFonts w:ascii="Arial" w:hAnsi="Arial" w:cs="Arial"/>
          <w:b/>
          <w:lang w:eastAsia="en-US"/>
        </w:rPr>
        <w:t>Costs and expenses</w:t>
      </w:r>
      <w:r w:rsidR="006A4E79" w:rsidRPr="00100CB5">
        <w:rPr>
          <w:rFonts w:ascii="Arial" w:hAnsi="Arial" w:cs="Arial"/>
          <w:b/>
          <w:lang w:eastAsia="en-US"/>
        </w:rPr>
        <w:t xml:space="preserve"> </w:t>
      </w:r>
    </w:p>
    <w:p w14:paraId="1D1B2E65" w14:textId="77777777" w:rsidR="0012034A" w:rsidRPr="00100CB5" w:rsidRDefault="0012034A" w:rsidP="006F3400">
      <w:pPr>
        <w:ind w:left="720"/>
        <w:jc w:val="both"/>
        <w:rPr>
          <w:rFonts w:ascii="Arial" w:hAnsi="Arial" w:cs="Arial"/>
          <w:snapToGrid w:val="0"/>
          <w:lang w:eastAsia="en-US"/>
        </w:rPr>
      </w:pPr>
      <w:r w:rsidRPr="00100CB5">
        <w:rPr>
          <w:rFonts w:ascii="Arial" w:hAnsi="Arial" w:cs="Arial"/>
          <w:snapToGrid w:val="0"/>
          <w:lang w:eastAsia="en-US"/>
        </w:rPr>
        <w:t xml:space="preserve">The Authority will not be liable for any bid costs, expenditure, </w:t>
      </w:r>
      <w:proofErr w:type="gramStart"/>
      <w:r w:rsidRPr="00100CB5">
        <w:rPr>
          <w:rFonts w:ascii="Arial" w:hAnsi="Arial" w:cs="Arial"/>
          <w:snapToGrid w:val="0"/>
          <w:lang w:eastAsia="en-US"/>
        </w:rPr>
        <w:t>work</w:t>
      </w:r>
      <w:proofErr w:type="gramEnd"/>
      <w:r w:rsidRPr="00100CB5">
        <w:rPr>
          <w:rFonts w:ascii="Arial" w:hAnsi="Arial" w:cs="Arial"/>
          <w:snapToGrid w:val="0"/>
          <w:lang w:eastAsia="en-US"/>
        </w:rPr>
        <w:t xml:space="preserve"> or effort incurred by any Offeror in proceeding with or participating in this procurement, including if the procurement process is terminated or amended by the Authority.</w:t>
      </w:r>
    </w:p>
    <w:p w14:paraId="36CFA246" w14:textId="77777777" w:rsidR="0012034A" w:rsidRPr="00100CB5" w:rsidRDefault="0012034A" w:rsidP="0083255D">
      <w:pPr>
        <w:numPr>
          <w:ilvl w:val="0"/>
          <w:numId w:val="16"/>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56911924" w14:textId="77777777" w:rsidR="0012034A" w:rsidRPr="00100CB5" w:rsidRDefault="00C30449" w:rsidP="00747EB5">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w:t>
      </w:r>
      <w:r w:rsidR="00747EB5" w:rsidRPr="00100CB5">
        <w:rPr>
          <w:rFonts w:ascii="Arial" w:hAnsi="Arial" w:cs="Arial"/>
          <w:snapToGrid w:val="0"/>
          <w:lang w:eastAsia="en-US"/>
        </w:rPr>
        <w:t>6</w:t>
      </w:r>
      <w:r w:rsidRPr="00100CB5">
        <w:rPr>
          <w:rFonts w:ascii="Arial" w:hAnsi="Arial" w:cs="Arial"/>
          <w:snapToGrid w:val="0"/>
          <w:lang w:eastAsia="en-US"/>
        </w:rPr>
        <w:t>.1</w:t>
      </w:r>
      <w:r w:rsidRPr="00100CB5">
        <w:rPr>
          <w:rFonts w:ascii="Arial" w:hAnsi="Arial" w:cs="Arial"/>
          <w:snapToGrid w:val="0"/>
          <w:lang w:eastAsia="en-US"/>
        </w:rPr>
        <w:tab/>
      </w:r>
      <w:r w:rsidR="0012034A" w:rsidRPr="00100CB5">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177E5F62" w14:textId="77777777" w:rsidR="0012034A" w:rsidRPr="00100CB5" w:rsidRDefault="0012034A" w:rsidP="006F3400">
      <w:pPr>
        <w:jc w:val="both"/>
        <w:rPr>
          <w:rFonts w:ascii="Arial" w:hAnsi="Arial" w:cs="Arial"/>
          <w:snapToGrid w:val="0"/>
          <w:lang w:eastAsia="en-US"/>
        </w:rPr>
      </w:pPr>
    </w:p>
    <w:p w14:paraId="661DFC41" w14:textId="77777777" w:rsidR="0012034A" w:rsidRPr="00100CB5" w:rsidRDefault="0012034A" w:rsidP="0083255D">
      <w:pPr>
        <w:numPr>
          <w:ilvl w:val="1"/>
          <w:numId w:val="16"/>
        </w:numPr>
        <w:tabs>
          <w:tab w:val="left" w:pos="1418"/>
        </w:tabs>
        <w:ind w:left="1418" w:hanging="709"/>
        <w:jc w:val="both"/>
        <w:rPr>
          <w:rFonts w:ascii="Arial" w:hAnsi="Arial" w:cs="Arial"/>
          <w:snapToGrid w:val="0"/>
          <w:lang w:eastAsia="en-US"/>
        </w:rPr>
      </w:pPr>
      <w:r w:rsidRPr="00100CB5">
        <w:rPr>
          <w:rFonts w:ascii="Arial" w:hAnsi="Arial" w:cs="Arial"/>
          <w:snapToGrid w:val="0"/>
          <w:lang w:eastAsia="en-US"/>
        </w:rPr>
        <w:t xml:space="preserve">The Authority may extend the closing time and date for the return of offers to allow for significant amendments made by the Authority to be fully assessed and </w:t>
      </w:r>
      <w:proofErr w:type="gramStart"/>
      <w:r w:rsidRPr="00100CB5">
        <w:rPr>
          <w:rFonts w:ascii="Arial" w:hAnsi="Arial" w:cs="Arial"/>
          <w:snapToGrid w:val="0"/>
          <w:lang w:eastAsia="en-US"/>
        </w:rPr>
        <w:t>taken into account</w:t>
      </w:r>
      <w:proofErr w:type="gramEnd"/>
      <w:r w:rsidRPr="00100CB5">
        <w:rPr>
          <w:rFonts w:ascii="Arial" w:hAnsi="Arial" w:cs="Arial"/>
          <w:snapToGrid w:val="0"/>
          <w:lang w:eastAsia="en-US"/>
        </w:rPr>
        <w:t xml:space="preserve"> by Offerors.</w:t>
      </w:r>
    </w:p>
    <w:p w14:paraId="276338A9" w14:textId="77777777" w:rsidR="0012034A" w:rsidRPr="00100CB5" w:rsidRDefault="0012034A" w:rsidP="0083255D">
      <w:pPr>
        <w:numPr>
          <w:ilvl w:val="0"/>
          <w:numId w:val="16"/>
        </w:numPr>
        <w:spacing w:before="240" w:line="360" w:lineRule="auto"/>
        <w:ind w:left="0" w:firstLine="0"/>
        <w:jc w:val="both"/>
        <w:rPr>
          <w:rFonts w:ascii="Arial" w:hAnsi="Arial" w:cs="Arial"/>
          <w:b/>
          <w:lang w:eastAsia="en-US"/>
        </w:rPr>
      </w:pPr>
      <w:r w:rsidRPr="00100CB5">
        <w:rPr>
          <w:rFonts w:ascii="Arial" w:hAnsi="Arial" w:cs="Arial"/>
          <w:b/>
          <w:lang w:eastAsia="en-US"/>
        </w:rPr>
        <w:t>Procurement exercise timetable</w:t>
      </w:r>
      <w:r w:rsidR="006A4E79" w:rsidRPr="00100CB5">
        <w:rPr>
          <w:rFonts w:ascii="Arial" w:hAnsi="Arial" w:cs="Arial"/>
          <w:b/>
          <w:lang w:eastAsia="en-US"/>
        </w:rPr>
        <w:t xml:space="preserve"> </w:t>
      </w:r>
    </w:p>
    <w:p w14:paraId="24816637" w14:textId="77777777" w:rsidR="0012034A" w:rsidRPr="00100CB5" w:rsidRDefault="0012034A" w:rsidP="006F3400">
      <w:pPr>
        <w:ind w:left="720"/>
        <w:jc w:val="both"/>
        <w:rPr>
          <w:rFonts w:ascii="Arial" w:hAnsi="Arial" w:cs="Arial"/>
          <w:snapToGrid w:val="0"/>
          <w:lang w:eastAsia="en-US"/>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proofErr w:type="spellStart"/>
      <w:r w:rsidR="00B61A35" w:rsidRPr="00100CB5">
        <w:rPr>
          <w:rFonts w:ascii="Arial" w:hAnsi="Arial" w:cs="Arial"/>
        </w:rPr>
        <w:t>Atamis</w:t>
      </w:r>
      <w:proofErr w:type="spellEnd"/>
      <w:r w:rsidRPr="00100CB5">
        <w:rPr>
          <w:rFonts w:ascii="Arial" w:hAnsi="Arial" w:cs="Arial"/>
        </w:rPr>
        <w:t xml:space="preserve"> website.</w:t>
      </w:r>
    </w:p>
    <w:p w14:paraId="133B1603" w14:textId="566E20C4" w:rsidR="0012034A" w:rsidRDefault="0012034A" w:rsidP="0012034A">
      <w:pPr>
        <w:rPr>
          <w:rFonts w:ascii="Arial" w:hAnsi="Arial" w:cs="Arial"/>
        </w:rPr>
      </w:pPr>
    </w:p>
    <w:p w14:paraId="59EBEEB2" w14:textId="4B31074B" w:rsidR="00E11E4C" w:rsidRDefault="00E11E4C" w:rsidP="0012034A">
      <w:pPr>
        <w:rPr>
          <w:rFonts w:ascii="Arial" w:hAnsi="Arial" w:cs="Arial"/>
        </w:rPr>
      </w:pPr>
    </w:p>
    <w:p w14:paraId="32F19FEA" w14:textId="7A909B69" w:rsidR="00E11E4C" w:rsidRDefault="00E11E4C" w:rsidP="0012034A">
      <w:pPr>
        <w:rPr>
          <w:rFonts w:ascii="Arial" w:hAnsi="Arial" w:cs="Arial"/>
        </w:rPr>
      </w:pPr>
    </w:p>
    <w:p w14:paraId="18A70F52" w14:textId="5C038026" w:rsidR="00E11E4C" w:rsidRDefault="00E11E4C" w:rsidP="0012034A">
      <w:pPr>
        <w:rPr>
          <w:rFonts w:ascii="Arial" w:hAnsi="Arial" w:cs="Arial"/>
        </w:rPr>
      </w:pPr>
    </w:p>
    <w:p w14:paraId="0D5816F6" w14:textId="77777777" w:rsidR="00E11E4C" w:rsidRPr="00A174C1" w:rsidRDefault="00E11E4C" w:rsidP="0012034A">
      <w:pPr>
        <w:rPr>
          <w:rFonts w:ascii="Arial" w:hAnsi="Arial" w:cs="Arial"/>
        </w:rPr>
      </w:pPr>
    </w:p>
    <w:tbl>
      <w:tblPr>
        <w:tblpPr w:leftFromText="180" w:rightFromText="180" w:vertAnchor="text" w:tblpY="1"/>
        <w:tblOverlap w:val="never"/>
        <w:tblW w:w="9913" w:type="dxa"/>
        <w:tblCellMar>
          <w:left w:w="0" w:type="dxa"/>
          <w:right w:w="0" w:type="dxa"/>
        </w:tblCellMar>
        <w:tblLook w:val="0000" w:firstRow="0" w:lastRow="0" w:firstColumn="0" w:lastColumn="0" w:noHBand="0" w:noVBand="0"/>
      </w:tblPr>
      <w:tblGrid>
        <w:gridCol w:w="5494"/>
        <w:gridCol w:w="4419"/>
      </w:tblGrid>
      <w:tr w:rsidR="00A174C1" w:rsidRPr="00A174C1" w14:paraId="3810EDEB" w14:textId="77777777" w:rsidTr="005D7927">
        <w:trPr>
          <w:trHeight w:val="30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5CC8363F" w14:textId="77777777" w:rsidR="0012034A" w:rsidRPr="00A174C1" w:rsidRDefault="0012034A" w:rsidP="001A5559">
            <w:pPr>
              <w:rPr>
                <w:rFonts w:ascii="Arial" w:hAnsi="Arial" w:cs="Arial"/>
                <w:b/>
                <w:bCs/>
                <w:sz w:val="22"/>
                <w:szCs w:val="22"/>
              </w:rPr>
            </w:pPr>
            <w:r w:rsidRPr="00A174C1">
              <w:rPr>
                <w:rFonts w:ascii="Arial" w:hAnsi="Arial" w:cs="Arial"/>
                <w:b/>
                <w:bCs/>
                <w:sz w:val="22"/>
                <w:szCs w:val="22"/>
              </w:rPr>
              <w:t>Tender Stage</w:t>
            </w:r>
          </w:p>
        </w:tc>
        <w:tc>
          <w:tcPr>
            <w:tcW w:w="4419"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07D601D5" w14:textId="77777777" w:rsidR="0012034A" w:rsidRPr="00A174C1" w:rsidRDefault="00E12AD5" w:rsidP="001A5559">
            <w:pPr>
              <w:rPr>
                <w:rFonts w:ascii="Arial" w:hAnsi="Arial" w:cs="Arial"/>
                <w:b/>
                <w:bCs/>
                <w:sz w:val="22"/>
                <w:szCs w:val="22"/>
              </w:rPr>
            </w:pPr>
            <w:r w:rsidRPr="00A174C1">
              <w:rPr>
                <w:rFonts w:ascii="Arial" w:hAnsi="Arial" w:cs="Arial"/>
                <w:b/>
                <w:bCs/>
                <w:sz w:val="22"/>
                <w:szCs w:val="22"/>
              </w:rPr>
              <w:t xml:space="preserve">Estimated </w:t>
            </w:r>
            <w:r w:rsidR="0012034A" w:rsidRPr="00A174C1">
              <w:rPr>
                <w:rFonts w:ascii="Arial" w:hAnsi="Arial" w:cs="Arial"/>
                <w:b/>
                <w:bCs/>
                <w:sz w:val="22"/>
                <w:szCs w:val="22"/>
              </w:rPr>
              <w:t>Date</w:t>
            </w:r>
          </w:p>
        </w:tc>
      </w:tr>
      <w:tr w:rsidR="00A174C1" w:rsidRPr="00A174C1" w14:paraId="2753F93D" w14:textId="77777777" w:rsidTr="005D7927">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C842A48" w14:textId="77777777" w:rsidR="0012034A" w:rsidRPr="00A174C1" w:rsidRDefault="0012034A" w:rsidP="001A5559">
            <w:pPr>
              <w:rPr>
                <w:rFonts w:ascii="Arial" w:hAnsi="Arial" w:cs="Arial"/>
                <w:sz w:val="22"/>
                <w:szCs w:val="22"/>
              </w:rPr>
            </w:pPr>
            <w:r w:rsidRPr="00A174C1">
              <w:rPr>
                <w:rFonts w:ascii="Arial" w:hAnsi="Arial" w:cs="Arial"/>
                <w:sz w:val="22"/>
                <w:szCs w:val="22"/>
              </w:rPr>
              <w:t xml:space="preserve">Tender Documents Returned to CMU via </w:t>
            </w:r>
            <w:proofErr w:type="spellStart"/>
            <w:r w:rsidR="00B61A35" w:rsidRPr="00A174C1">
              <w:rPr>
                <w:rFonts w:ascii="Arial" w:hAnsi="Arial" w:cs="Arial"/>
                <w:sz w:val="22"/>
                <w:szCs w:val="22"/>
              </w:rPr>
              <w:t>Atamis</w:t>
            </w:r>
            <w:proofErr w:type="spellEnd"/>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75570B28" w14:textId="5B93FE2B" w:rsidR="00C13C20" w:rsidRPr="00A174C1" w:rsidRDefault="004C6846" w:rsidP="001A5559">
            <w:pPr>
              <w:rPr>
                <w:rFonts w:ascii="Arial" w:hAnsi="Arial" w:cs="Arial"/>
                <w:sz w:val="22"/>
                <w:szCs w:val="22"/>
              </w:rPr>
            </w:pPr>
            <w:r w:rsidRPr="00A174C1">
              <w:rPr>
                <w:rFonts w:ascii="Arial" w:hAnsi="Arial" w:cs="Arial"/>
                <w:sz w:val="22"/>
                <w:szCs w:val="22"/>
              </w:rPr>
              <w:t xml:space="preserve"> </w:t>
            </w:r>
            <w:r w:rsidR="00DC3E56" w:rsidRPr="00A174C1">
              <w:rPr>
                <w:rFonts w:ascii="Arial" w:hAnsi="Arial" w:cs="Arial"/>
                <w:sz w:val="22"/>
                <w:szCs w:val="22"/>
              </w:rPr>
              <w:t>21 February 2023 @ 13:00</w:t>
            </w:r>
          </w:p>
        </w:tc>
      </w:tr>
      <w:tr w:rsidR="00A174C1" w:rsidRPr="00A174C1" w14:paraId="5363ADFF" w14:textId="77777777" w:rsidTr="005D7927">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B8D6ECD" w14:textId="77777777" w:rsidR="0012034A" w:rsidRPr="00A174C1" w:rsidRDefault="0012034A" w:rsidP="001A5559">
            <w:pPr>
              <w:rPr>
                <w:rFonts w:ascii="Arial" w:hAnsi="Arial" w:cs="Arial"/>
                <w:sz w:val="22"/>
                <w:szCs w:val="22"/>
              </w:rPr>
            </w:pPr>
            <w:r w:rsidRPr="00A174C1">
              <w:rPr>
                <w:rFonts w:ascii="Arial" w:hAnsi="Arial" w:cs="Arial"/>
                <w:sz w:val="22"/>
                <w:szCs w:val="22"/>
              </w:rPr>
              <w:t>Evaluation Period</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5BE09FEA" w14:textId="22B84B92" w:rsidR="00C13C20" w:rsidRPr="00A174C1" w:rsidRDefault="004C6846" w:rsidP="001A5559">
            <w:pPr>
              <w:rPr>
                <w:rFonts w:ascii="Arial" w:hAnsi="Arial" w:cs="Arial"/>
                <w:bCs/>
                <w:sz w:val="22"/>
                <w:szCs w:val="22"/>
              </w:rPr>
            </w:pPr>
            <w:r w:rsidRPr="00A174C1">
              <w:rPr>
                <w:rFonts w:ascii="Arial" w:hAnsi="Arial" w:cs="Arial"/>
                <w:bCs/>
                <w:sz w:val="22"/>
                <w:szCs w:val="22"/>
              </w:rPr>
              <w:t xml:space="preserve"> </w:t>
            </w:r>
            <w:r w:rsidR="00DC3E56" w:rsidRPr="00A174C1">
              <w:rPr>
                <w:rFonts w:ascii="Arial" w:hAnsi="Arial" w:cs="Arial"/>
                <w:bCs/>
                <w:sz w:val="22"/>
                <w:szCs w:val="22"/>
              </w:rPr>
              <w:t>22 February 2023- 31 March 2023</w:t>
            </w:r>
          </w:p>
        </w:tc>
      </w:tr>
      <w:tr w:rsidR="00A174C1" w:rsidRPr="00A174C1" w14:paraId="5364C93E" w14:textId="77777777" w:rsidTr="005D7927">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216EF3F" w14:textId="77777777" w:rsidR="0012034A" w:rsidRPr="00A174C1" w:rsidRDefault="0012034A" w:rsidP="001A5559">
            <w:pPr>
              <w:rPr>
                <w:rFonts w:ascii="Arial" w:hAnsi="Arial" w:cs="Arial"/>
                <w:sz w:val="22"/>
                <w:szCs w:val="22"/>
              </w:rPr>
            </w:pPr>
            <w:r w:rsidRPr="00A174C1">
              <w:rPr>
                <w:rFonts w:ascii="Arial" w:hAnsi="Arial" w:cs="Arial"/>
                <w:sz w:val="22"/>
                <w:szCs w:val="22"/>
              </w:rPr>
              <w:t>Award notification issued to Offerors</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34E51509" w14:textId="6DBA9554" w:rsidR="0012034A" w:rsidRPr="00A174C1" w:rsidRDefault="004C6846" w:rsidP="001A5559">
            <w:pPr>
              <w:rPr>
                <w:rFonts w:ascii="Arial" w:hAnsi="Arial" w:cs="Arial"/>
                <w:bCs/>
                <w:sz w:val="22"/>
                <w:szCs w:val="22"/>
              </w:rPr>
            </w:pPr>
            <w:r w:rsidRPr="00A174C1">
              <w:rPr>
                <w:rFonts w:ascii="Arial" w:hAnsi="Arial" w:cs="Arial"/>
                <w:bCs/>
                <w:sz w:val="22"/>
                <w:szCs w:val="22"/>
              </w:rPr>
              <w:t xml:space="preserve"> </w:t>
            </w:r>
            <w:r w:rsidR="00DC3E56" w:rsidRPr="00A174C1">
              <w:rPr>
                <w:rFonts w:ascii="Arial" w:hAnsi="Arial" w:cs="Arial"/>
                <w:bCs/>
                <w:sz w:val="22"/>
                <w:szCs w:val="22"/>
              </w:rPr>
              <w:t>3 April 2023</w:t>
            </w:r>
          </w:p>
        </w:tc>
      </w:tr>
      <w:tr w:rsidR="00A174C1" w:rsidRPr="00A174C1" w14:paraId="01B5D2C0" w14:textId="77777777" w:rsidTr="005D7927">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C893A98" w14:textId="77777777" w:rsidR="0012034A" w:rsidRPr="00A174C1" w:rsidRDefault="0012034A" w:rsidP="001A5559">
            <w:pPr>
              <w:rPr>
                <w:rFonts w:ascii="Arial" w:hAnsi="Arial" w:cs="Arial"/>
                <w:sz w:val="22"/>
                <w:szCs w:val="22"/>
              </w:rPr>
            </w:pPr>
            <w:r w:rsidRPr="00A174C1">
              <w:rPr>
                <w:rFonts w:ascii="Arial" w:hAnsi="Arial" w:cs="Arial"/>
                <w:sz w:val="22"/>
                <w:szCs w:val="22"/>
              </w:rPr>
              <w:t>Agreement Commences</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1799C8B7" w14:textId="364D6C1D" w:rsidR="00C13C20" w:rsidRPr="00A174C1" w:rsidRDefault="004C6846" w:rsidP="001A5559">
            <w:pPr>
              <w:rPr>
                <w:rFonts w:ascii="Arial" w:hAnsi="Arial" w:cs="Arial"/>
                <w:sz w:val="22"/>
                <w:szCs w:val="22"/>
              </w:rPr>
            </w:pPr>
            <w:r w:rsidRPr="00A174C1">
              <w:rPr>
                <w:rFonts w:ascii="Arial" w:hAnsi="Arial" w:cs="Arial"/>
                <w:sz w:val="22"/>
                <w:szCs w:val="22"/>
              </w:rPr>
              <w:t xml:space="preserve"> </w:t>
            </w:r>
            <w:r w:rsidR="00DC3E56" w:rsidRPr="00A174C1">
              <w:rPr>
                <w:rFonts w:ascii="Arial" w:hAnsi="Arial" w:cs="Arial"/>
                <w:sz w:val="22"/>
                <w:szCs w:val="22"/>
              </w:rPr>
              <w:t>1 May 2023</w:t>
            </w:r>
          </w:p>
        </w:tc>
      </w:tr>
    </w:tbl>
    <w:p w14:paraId="3762C10E" w14:textId="77777777" w:rsidR="0012034A" w:rsidRPr="00A174C1" w:rsidRDefault="0012034A" w:rsidP="003C6FCF">
      <w:pPr>
        <w:tabs>
          <w:tab w:val="left" w:pos="720"/>
          <w:tab w:val="left" w:pos="900"/>
          <w:tab w:val="left" w:pos="1080"/>
        </w:tabs>
        <w:spacing w:before="240"/>
        <w:jc w:val="both"/>
        <w:rPr>
          <w:rFonts w:ascii="Arial" w:hAnsi="Arial" w:cs="Arial"/>
          <w:b/>
          <w:lang w:eastAsia="en-US"/>
        </w:rPr>
      </w:pPr>
    </w:p>
    <w:p w14:paraId="08CDBF97" w14:textId="77777777" w:rsidR="00747EB5" w:rsidRPr="00100CB5" w:rsidRDefault="00747EB5" w:rsidP="00747EB5">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583BBE26" w14:textId="77777777" w:rsidR="00747EB5" w:rsidRPr="00100CB5" w:rsidRDefault="00747EB5" w:rsidP="00747EB5">
      <w:pPr>
        <w:tabs>
          <w:tab w:val="left" w:pos="1134"/>
        </w:tabs>
        <w:contextualSpacing/>
        <w:rPr>
          <w:rFonts w:ascii="Arial" w:hAnsi="Arial" w:cs="Arial"/>
        </w:rPr>
      </w:pPr>
    </w:p>
    <w:p w14:paraId="06FA9DC9" w14:textId="77777777" w:rsidR="00747EB5" w:rsidRPr="00100CB5" w:rsidRDefault="00747EB5" w:rsidP="0083255D">
      <w:pPr>
        <w:pStyle w:val="ListParagraph"/>
        <w:numPr>
          <w:ilvl w:val="1"/>
          <w:numId w:val="30"/>
        </w:numPr>
        <w:tabs>
          <w:tab w:val="left" w:pos="1134"/>
          <w:tab w:val="left" w:pos="1418"/>
        </w:tabs>
        <w:spacing w:before="0" w:after="0" w:line="240" w:lineRule="auto"/>
        <w:ind w:left="1418" w:hanging="709"/>
        <w:jc w:val="both"/>
      </w:pPr>
      <w:r w:rsidRPr="00100CB5">
        <w:t xml:space="preserve">If the Framework Agreement is terminated, then the Authority may (at its option) re-tender the relevant Region </w:t>
      </w:r>
      <w:r w:rsidRPr="00100CB5">
        <w:rPr>
          <w:u w:val="single"/>
        </w:rPr>
        <w:t>or</w:t>
      </w:r>
      <w:r w:rsidRPr="00100CB5">
        <w:t xml:space="preserve"> replace the Supplier with an alternative supplier without re-opening competition (and the limitations above on the number of Regions which an Offeror may be awarded shall not apply in this case). If the Authority chooses the latter option, the order of preference in which alternative suppliers will be invited to replace the Supplier will be as follows </w:t>
      </w:r>
    </w:p>
    <w:p w14:paraId="5783E3A9" w14:textId="77777777" w:rsidR="00747EB5" w:rsidRPr="00100CB5" w:rsidRDefault="00747EB5" w:rsidP="00E12AD5">
      <w:pPr>
        <w:pStyle w:val="ListParagraph"/>
        <w:tabs>
          <w:tab w:val="left" w:pos="709"/>
        </w:tabs>
        <w:spacing w:before="0" w:after="0" w:line="240" w:lineRule="auto"/>
        <w:ind w:left="567" w:hanging="567"/>
        <w:jc w:val="both"/>
      </w:pPr>
    </w:p>
    <w:p w14:paraId="79C1BAB5" w14:textId="77777777" w:rsidR="00747EB5" w:rsidRPr="00100CB5" w:rsidRDefault="00747EB5" w:rsidP="00E12AD5">
      <w:pPr>
        <w:pStyle w:val="ListParagraph"/>
        <w:spacing w:before="0" w:after="0" w:line="240" w:lineRule="auto"/>
        <w:ind w:left="2160" w:hanging="742"/>
        <w:jc w:val="both"/>
      </w:pPr>
      <w:r w:rsidRPr="00100CB5">
        <w:t>18.1.1</w:t>
      </w:r>
      <w:r w:rsidRPr="00100CB5">
        <w:tab/>
        <w:t>where the Supplier being replaced submitted the Lowest-Priced Compliant Tender for the Region in question; the Offeror which submitted the second Lowest-Priced Compliant Tender for the Product for the Region in question; and then (if that Offeror does not accept the Authority's invitation) the other Offerors who submitted compliant tenders for the Region in question, in order of price (lowest first);</w:t>
      </w:r>
    </w:p>
    <w:p w14:paraId="1824BCAC" w14:textId="77777777" w:rsidR="00747EB5" w:rsidRPr="00100CB5" w:rsidRDefault="00747EB5" w:rsidP="00E12AD5">
      <w:pPr>
        <w:pStyle w:val="ListParagraph"/>
        <w:tabs>
          <w:tab w:val="left" w:pos="567"/>
        </w:tabs>
        <w:spacing w:before="0" w:after="0" w:line="240" w:lineRule="auto"/>
        <w:ind w:left="1418"/>
        <w:jc w:val="both"/>
      </w:pPr>
    </w:p>
    <w:p w14:paraId="5466E355" w14:textId="77777777" w:rsidR="00747EB5" w:rsidRPr="00100CB5" w:rsidRDefault="00747EB5" w:rsidP="0083255D">
      <w:pPr>
        <w:pStyle w:val="ListParagraph"/>
        <w:numPr>
          <w:ilvl w:val="2"/>
          <w:numId w:val="31"/>
        </w:numPr>
        <w:tabs>
          <w:tab w:val="left" w:pos="1418"/>
        </w:tabs>
        <w:spacing w:before="0" w:after="0" w:line="240" w:lineRule="auto"/>
        <w:jc w:val="both"/>
      </w:pPr>
      <w:r w:rsidRPr="00100CB5">
        <w:t>where the Supplier being replaced did not submit the Lowest-Priced Compliant Tender for the Region in question; the Offeror which submitted the Lowest-Priced Compliant Tender for the Product for the Region in question and then (if that Offeror does not accept the Authority's invitation) the other Offerors who submitted compliant tenders for the Region in question, in order of price (lowest first);</w:t>
      </w:r>
    </w:p>
    <w:p w14:paraId="0A2C0D59" w14:textId="77777777" w:rsidR="00747EB5" w:rsidRPr="00100CB5" w:rsidRDefault="00747EB5" w:rsidP="00E12AD5">
      <w:pPr>
        <w:pStyle w:val="ListParagraph"/>
        <w:spacing w:before="0" w:after="0" w:line="240" w:lineRule="auto"/>
        <w:jc w:val="both"/>
      </w:pPr>
    </w:p>
    <w:p w14:paraId="5708BE29" w14:textId="77777777" w:rsidR="00747EB5" w:rsidRPr="00100CB5" w:rsidRDefault="00747EB5" w:rsidP="0083255D">
      <w:pPr>
        <w:pStyle w:val="ListParagraph"/>
        <w:numPr>
          <w:ilvl w:val="2"/>
          <w:numId w:val="31"/>
        </w:numPr>
        <w:tabs>
          <w:tab w:val="left" w:pos="567"/>
        </w:tabs>
        <w:spacing w:before="0" w:after="0" w:line="240" w:lineRule="auto"/>
        <w:jc w:val="both"/>
      </w:pPr>
      <w:r w:rsidRPr="00100CB5">
        <w:t>any other supplier of the Product to other Regions, in order of the Lowest-Priced Compliant Bid first; and</w:t>
      </w:r>
    </w:p>
    <w:p w14:paraId="057418E5" w14:textId="77777777" w:rsidR="00747EB5" w:rsidRPr="00100CB5" w:rsidRDefault="00747EB5" w:rsidP="00E12AD5">
      <w:pPr>
        <w:pStyle w:val="ListParagraph"/>
        <w:spacing w:before="0" w:after="0" w:line="240" w:lineRule="auto"/>
        <w:jc w:val="both"/>
      </w:pPr>
    </w:p>
    <w:p w14:paraId="51EBAF2E" w14:textId="77777777" w:rsidR="00747EB5" w:rsidRPr="00100CB5" w:rsidRDefault="00747EB5" w:rsidP="0083255D">
      <w:pPr>
        <w:pStyle w:val="ListParagraph"/>
        <w:numPr>
          <w:ilvl w:val="2"/>
          <w:numId w:val="31"/>
        </w:numPr>
        <w:tabs>
          <w:tab w:val="left" w:pos="567"/>
        </w:tabs>
        <w:spacing w:before="0" w:after="0" w:line="240" w:lineRule="auto"/>
        <w:jc w:val="both"/>
      </w:pPr>
      <w:r w:rsidRPr="00100CB5">
        <w:t>any supplier which submitted a compliant tender for the Product but was not successful in being awarded any Region, in order of the Lowest-Priced Compliant Bid first.</w:t>
      </w:r>
    </w:p>
    <w:p w14:paraId="59AC5512" w14:textId="77777777" w:rsidR="00747EB5" w:rsidRPr="00100CB5" w:rsidRDefault="00747EB5" w:rsidP="00E12AD5">
      <w:pPr>
        <w:tabs>
          <w:tab w:val="left" w:pos="567"/>
        </w:tabs>
        <w:jc w:val="both"/>
        <w:rPr>
          <w:rFonts w:ascii="Arial" w:hAnsi="Arial" w:cs="Arial"/>
        </w:rPr>
      </w:pPr>
    </w:p>
    <w:p w14:paraId="434879D1" w14:textId="77777777" w:rsidR="00747EB5" w:rsidRPr="00100CB5" w:rsidRDefault="00747EB5" w:rsidP="0083255D">
      <w:pPr>
        <w:pStyle w:val="ListParagraph"/>
        <w:numPr>
          <w:ilvl w:val="1"/>
          <w:numId w:val="31"/>
        </w:numPr>
        <w:tabs>
          <w:tab w:val="left" w:pos="709"/>
        </w:tabs>
        <w:spacing w:before="0" w:after="0" w:line="240" w:lineRule="auto"/>
        <w:ind w:left="1418" w:hanging="567"/>
        <w:jc w:val="both"/>
      </w:pPr>
      <w:r w:rsidRPr="00100CB5">
        <w:t>Where an alternative supplier is appointed by one of the means above, upon acceptance, such alternative supplier shall be appointed in place of the Supplier for the remainder of the Term of the Framework Agreement plus any extension of that Framework Agreement.</w:t>
      </w:r>
    </w:p>
    <w:p w14:paraId="4E761E71" w14:textId="77777777" w:rsidR="00747EB5" w:rsidRPr="00100CB5" w:rsidRDefault="00747EB5" w:rsidP="00E12AD5">
      <w:pPr>
        <w:pStyle w:val="ListParagraph"/>
        <w:tabs>
          <w:tab w:val="left" w:pos="709"/>
        </w:tabs>
        <w:spacing w:before="0" w:after="0" w:line="240" w:lineRule="auto"/>
        <w:ind w:left="567"/>
        <w:jc w:val="both"/>
      </w:pPr>
    </w:p>
    <w:p w14:paraId="247AB4E3" w14:textId="77777777" w:rsidR="00747EB5" w:rsidRPr="00100CB5" w:rsidRDefault="00747EB5" w:rsidP="0083255D">
      <w:pPr>
        <w:pStyle w:val="ListParagraph"/>
        <w:numPr>
          <w:ilvl w:val="1"/>
          <w:numId w:val="31"/>
        </w:numPr>
        <w:tabs>
          <w:tab w:val="left" w:pos="709"/>
        </w:tabs>
        <w:spacing w:before="0" w:after="0" w:line="240" w:lineRule="auto"/>
        <w:ind w:left="1418" w:hanging="567"/>
        <w:jc w:val="both"/>
      </w:pPr>
      <w:r w:rsidRPr="00100CB5">
        <w:t>By participating in this procurement process, Offerors acknowledge and agree that the processes set out in this section 18 and in the relevant provisions of the Framework Agreement referred to above are clear, precise and unequivocal review clauses which fully satisfy the requirements of Regulation 72(1)(a) of the Public Contracts Regulations 2015.</w:t>
      </w:r>
    </w:p>
    <w:p w14:paraId="127A2828" w14:textId="77777777" w:rsidR="00747EB5" w:rsidRPr="00100CB5" w:rsidRDefault="00747EB5" w:rsidP="00E12AD5">
      <w:pPr>
        <w:pStyle w:val="ListParagraph"/>
        <w:spacing w:before="0" w:after="0" w:line="240" w:lineRule="auto"/>
        <w:jc w:val="both"/>
      </w:pPr>
    </w:p>
    <w:p w14:paraId="3CAD6066" w14:textId="77777777" w:rsidR="001800B2" w:rsidRPr="00AC645A" w:rsidRDefault="00747EB5" w:rsidP="0083255D">
      <w:pPr>
        <w:pStyle w:val="ListParagraph"/>
        <w:numPr>
          <w:ilvl w:val="1"/>
          <w:numId w:val="31"/>
        </w:numPr>
        <w:tabs>
          <w:tab w:val="left" w:pos="709"/>
        </w:tabs>
        <w:spacing w:before="0" w:after="0" w:line="240" w:lineRule="auto"/>
        <w:ind w:left="1418" w:hanging="567"/>
        <w:jc w:val="both"/>
      </w:pPr>
      <w:r w:rsidRPr="00AC645A">
        <w:t xml:space="preserve">Offerors should also note the contract terms contained within the Framework Agreement which are aimed at achieving continuity of supply and avoiding / </w:t>
      </w:r>
      <w:proofErr w:type="spellStart"/>
      <w:r w:rsidRPr="00AC645A">
        <w:t>minimising</w:t>
      </w:r>
      <w:proofErr w:type="spellEnd"/>
      <w:r w:rsidRPr="00AC645A">
        <w:t xml:space="preserve"> supply failures. </w:t>
      </w:r>
      <w:proofErr w:type="gramStart"/>
      <w:r w:rsidRPr="00AC645A">
        <w:t>In particular, these</w:t>
      </w:r>
      <w:proofErr w:type="gramEnd"/>
      <w:r w:rsidRPr="00AC645A">
        <w:t xml:space="preserve"> include</w:t>
      </w:r>
      <w:r w:rsidR="001800B2" w:rsidRPr="00AC645A">
        <w:t>:</w:t>
      </w:r>
    </w:p>
    <w:p w14:paraId="6258069A" w14:textId="77777777" w:rsidR="001800B2" w:rsidRPr="00AC645A" w:rsidRDefault="001800B2" w:rsidP="001800B2">
      <w:pPr>
        <w:pStyle w:val="ListParagraph"/>
      </w:pPr>
    </w:p>
    <w:p w14:paraId="267B25B2" w14:textId="7E72B065" w:rsidR="00EE300F" w:rsidRPr="00AC645A" w:rsidRDefault="001800B2" w:rsidP="00AC645A">
      <w:pPr>
        <w:pStyle w:val="ListParagraph"/>
        <w:numPr>
          <w:ilvl w:val="2"/>
          <w:numId w:val="31"/>
        </w:numPr>
        <w:tabs>
          <w:tab w:val="left" w:pos="709"/>
        </w:tabs>
        <w:spacing w:before="100" w:beforeAutospacing="1" w:after="100" w:afterAutospacing="1"/>
        <w:jc w:val="both"/>
      </w:pPr>
      <w:r w:rsidRPr="00AC645A">
        <w:t xml:space="preserve">Clause </w:t>
      </w:r>
      <w:r w:rsidR="00EE300F" w:rsidRPr="00AC645A">
        <w:t>7</w:t>
      </w:r>
      <w:r w:rsidRPr="00AC645A">
        <w:t xml:space="preserve"> of Schedule 2 – Initial S</w:t>
      </w:r>
      <w:r w:rsidR="004705EF">
        <w:t>t</w:t>
      </w:r>
      <w:r w:rsidRPr="00AC645A">
        <w:t xml:space="preserve">ock Level </w:t>
      </w:r>
      <w:r w:rsidR="00EE300F" w:rsidRPr="00AC645A">
        <w:t xml:space="preserve">and Contract Stock Level </w:t>
      </w:r>
      <w:r w:rsidRPr="00AC645A">
        <w:t xml:space="preserve">– condition </w:t>
      </w:r>
      <w:proofErr w:type="gramStart"/>
      <w:r w:rsidRPr="00AC645A">
        <w:t>precedent;</w:t>
      </w:r>
      <w:proofErr w:type="gramEnd"/>
    </w:p>
    <w:p w14:paraId="22DCA3C6" w14:textId="77777777" w:rsidR="00EE300F" w:rsidRPr="00AC645A" w:rsidRDefault="00EE300F" w:rsidP="00EE300F">
      <w:pPr>
        <w:pStyle w:val="ListParagraph"/>
        <w:tabs>
          <w:tab w:val="left" w:pos="709"/>
        </w:tabs>
        <w:spacing w:before="100" w:beforeAutospacing="1" w:after="100" w:afterAutospacing="1" w:line="240" w:lineRule="auto"/>
        <w:ind w:left="2138"/>
        <w:jc w:val="both"/>
      </w:pPr>
    </w:p>
    <w:p w14:paraId="09D09B49" w14:textId="592AF29A" w:rsidR="001800B2" w:rsidRPr="00AC645A" w:rsidRDefault="001800B2" w:rsidP="001800B2">
      <w:pPr>
        <w:pStyle w:val="ListParagraph"/>
        <w:numPr>
          <w:ilvl w:val="2"/>
          <w:numId w:val="31"/>
        </w:numPr>
        <w:tabs>
          <w:tab w:val="left" w:pos="709"/>
        </w:tabs>
        <w:spacing w:before="100" w:beforeAutospacing="1" w:after="100" w:afterAutospacing="1" w:line="240" w:lineRule="auto"/>
        <w:jc w:val="both"/>
      </w:pPr>
      <w:r w:rsidRPr="00AC645A">
        <w:t xml:space="preserve">Clause 8 of Schedule 2 – Stock Level Failure and </w:t>
      </w:r>
      <w:proofErr w:type="gramStart"/>
      <w:r w:rsidRPr="00AC645A">
        <w:t>Reporting;</w:t>
      </w:r>
      <w:proofErr w:type="gramEnd"/>
    </w:p>
    <w:p w14:paraId="5FA9EA71" w14:textId="77777777" w:rsidR="001800B2" w:rsidRPr="00AC645A" w:rsidRDefault="001800B2" w:rsidP="001800B2">
      <w:pPr>
        <w:pStyle w:val="ListParagraph"/>
        <w:tabs>
          <w:tab w:val="left" w:pos="709"/>
        </w:tabs>
        <w:spacing w:before="100" w:beforeAutospacing="1" w:after="100" w:afterAutospacing="1" w:line="240" w:lineRule="auto"/>
        <w:ind w:left="2138"/>
        <w:jc w:val="both"/>
      </w:pPr>
    </w:p>
    <w:p w14:paraId="0CB65128" w14:textId="26A33BB4" w:rsidR="001800B2" w:rsidRPr="00AC645A" w:rsidRDefault="001800B2" w:rsidP="001800B2">
      <w:pPr>
        <w:pStyle w:val="ListParagraph"/>
        <w:numPr>
          <w:ilvl w:val="2"/>
          <w:numId w:val="31"/>
        </w:numPr>
        <w:tabs>
          <w:tab w:val="left" w:pos="709"/>
        </w:tabs>
        <w:spacing w:before="100" w:beforeAutospacing="1" w:after="100" w:afterAutospacing="1" w:line="240" w:lineRule="auto"/>
        <w:jc w:val="both"/>
      </w:pPr>
      <w:r w:rsidRPr="00AC645A">
        <w:t>Clause 2</w:t>
      </w:r>
      <w:r w:rsidR="00EE300F" w:rsidRPr="00AC645A">
        <w:t>3</w:t>
      </w:r>
      <w:r w:rsidRPr="00AC645A">
        <w:t xml:space="preserve"> of Schedule 2 – Service Failures; and</w:t>
      </w:r>
    </w:p>
    <w:p w14:paraId="04F25D78" w14:textId="77777777" w:rsidR="001800B2" w:rsidRPr="00AC645A" w:rsidRDefault="001800B2" w:rsidP="001800B2">
      <w:pPr>
        <w:pStyle w:val="ListParagraph"/>
        <w:tabs>
          <w:tab w:val="left" w:pos="709"/>
        </w:tabs>
        <w:spacing w:before="100" w:beforeAutospacing="1" w:after="100" w:afterAutospacing="1" w:line="240" w:lineRule="auto"/>
        <w:ind w:left="2138"/>
        <w:jc w:val="both"/>
      </w:pPr>
    </w:p>
    <w:p w14:paraId="3B30A1A8" w14:textId="77777777" w:rsidR="001800B2" w:rsidRPr="00AC645A" w:rsidRDefault="00747EB5" w:rsidP="001800B2">
      <w:pPr>
        <w:pStyle w:val="ListParagraph"/>
        <w:numPr>
          <w:ilvl w:val="2"/>
          <w:numId w:val="31"/>
        </w:numPr>
        <w:tabs>
          <w:tab w:val="left" w:pos="709"/>
        </w:tabs>
        <w:spacing w:before="100" w:beforeAutospacing="1" w:after="100" w:afterAutospacing="1" w:line="240" w:lineRule="auto"/>
        <w:jc w:val="both"/>
      </w:pPr>
      <w:r w:rsidRPr="00AC645A">
        <w:t xml:space="preserve">the Key Performance Indicators set out at Schedule 5 Part A of the Framework Agreement. </w:t>
      </w:r>
    </w:p>
    <w:p w14:paraId="1D18C63C" w14:textId="77777777" w:rsidR="001800B2" w:rsidRPr="00AC645A" w:rsidRDefault="001800B2" w:rsidP="001800B2">
      <w:pPr>
        <w:pStyle w:val="ListParagraph"/>
        <w:tabs>
          <w:tab w:val="left" w:pos="709"/>
        </w:tabs>
        <w:spacing w:before="0" w:after="0" w:line="240" w:lineRule="auto"/>
        <w:ind w:left="2138"/>
        <w:jc w:val="both"/>
      </w:pPr>
    </w:p>
    <w:p w14:paraId="73634924" w14:textId="6D4CABB9" w:rsidR="00747EB5" w:rsidRPr="00AC645A" w:rsidRDefault="00747EB5" w:rsidP="001800B2">
      <w:pPr>
        <w:pStyle w:val="ListParagraph"/>
        <w:tabs>
          <w:tab w:val="left" w:pos="709"/>
        </w:tabs>
        <w:spacing w:before="0" w:after="0" w:line="240" w:lineRule="auto"/>
        <w:ind w:left="2138"/>
        <w:jc w:val="both"/>
      </w:pPr>
      <w:r w:rsidRPr="00AC645A">
        <w:t xml:space="preserve">Should suppliers fail to meet the performance levels specified in </w:t>
      </w:r>
      <w:r w:rsidR="001800B2" w:rsidRPr="00AC645A">
        <w:t>the Framework Agreement then</w:t>
      </w:r>
      <w:r w:rsidRPr="00AC645A">
        <w:t xml:space="preserve"> the sanctions specified in the Framework Agreement may apply. If the failure is such that one or more Warning Notices are issued, then in addition to the sanctions prescribed in </w:t>
      </w:r>
      <w:r w:rsidR="001800B2" w:rsidRPr="00AC645A">
        <w:t xml:space="preserve">Clause 24 of the Framework Agreement and in </w:t>
      </w:r>
      <w:r w:rsidRPr="00AC645A">
        <w:t>Schedule 5 Part A, the Authority may (in relation to future procurements) treat the issue of a Warning Notice as evidence of "</w:t>
      </w:r>
      <w:r w:rsidRPr="00AC645A">
        <w:rPr>
          <w:i/>
        </w:rPr>
        <w:t xml:space="preserve">significant or persistent deficiencies by the </w:t>
      </w:r>
      <w:r w:rsidRPr="00AC645A">
        <w:t>[supplier]</w:t>
      </w:r>
      <w:r w:rsidRPr="00AC645A">
        <w:rPr>
          <w:i/>
        </w:rPr>
        <w:t xml:space="preserve"> in the performance of a substantive requirement under a prior public contract</w:t>
      </w:r>
      <w:r w:rsidRPr="00AC645A">
        <w:t>" for the purposes of Regulation 57(8) of the Public Contracts Regulations 2015. This means that the Authority may choose to exclude the supplier from that procurement in accordance with Regulation 57(8), subject to the supplier's ability to demonstrate "self-cleaning" in accordance with Regulation 57(13) to 57(</w:t>
      </w:r>
      <w:proofErr w:type="gramStart"/>
      <w:r w:rsidRPr="00AC645A">
        <w:t>17)(</w:t>
      </w:r>
      <w:proofErr w:type="gramEnd"/>
      <w:r w:rsidRPr="00AC645A">
        <w:t xml:space="preserve">inclusive).  </w:t>
      </w:r>
    </w:p>
    <w:p w14:paraId="42F9D646" w14:textId="77777777" w:rsidR="00747EB5" w:rsidRPr="00AC645A" w:rsidRDefault="00747EB5" w:rsidP="00E12AD5">
      <w:pPr>
        <w:jc w:val="both"/>
        <w:rPr>
          <w:rFonts w:ascii="Arial" w:hAnsi="Arial" w:cs="Arial"/>
          <w:lang w:eastAsia="en-US"/>
        </w:rPr>
      </w:pPr>
    </w:p>
    <w:p w14:paraId="059E205D" w14:textId="77777777" w:rsidR="0012034A" w:rsidRPr="00AC645A" w:rsidRDefault="0012034A" w:rsidP="00E12AD5">
      <w:pPr>
        <w:tabs>
          <w:tab w:val="left" w:pos="720"/>
          <w:tab w:val="left" w:pos="900"/>
          <w:tab w:val="left" w:pos="1080"/>
        </w:tabs>
        <w:spacing w:before="240"/>
        <w:jc w:val="both"/>
        <w:rPr>
          <w:rFonts w:ascii="Arial" w:hAnsi="Arial" w:cs="Arial"/>
          <w:b/>
          <w:lang w:eastAsia="en-US"/>
        </w:rPr>
      </w:pPr>
    </w:p>
    <w:sectPr w:rsidR="0012034A" w:rsidRPr="00AC645A" w:rsidSect="00F53538">
      <w:headerReference w:type="default" r:id="rId13"/>
      <w:footerReference w:type="default" r:id="rId14"/>
      <w:headerReference w:type="first" r:id="rId15"/>
      <w:footerReference w:type="first" r:id="rId16"/>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5C053" w14:textId="77777777" w:rsidR="00945F7A" w:rsidRDefault="00945F7A">
      <w:r>
        <w:separator/>
      </w:r>
    </w:p>
  </w:endnote>
  <w:endnote w:type="continuationSeparator" w:id="0">
    <w:p w14:paraId="38226938" w14:textId="77777777" w:rsidR="00945F7A" w:rsidRDefault="0094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236E" w14:textId="77777777" w:rsidR="00BA1348" w:rsidRDefault="00BA1348" w:rsidP="00111B8A">
    <w:pPr>
      <w:pStyle w:val="NoSpacing"/>
      <w:tabs>
        <w:tab w:val="left" w:pos="4086"/>
      </w:tabs>
      <w:rPr>
        <w:color w:val="BFBFBF"/>
        <w:sz w:val="20"/>
        <w:szCs w:val="20"/>
      </w:rPr>
    </w:pPr>
    <w:r w:rsidRPr="00345362">
      <w:rPr>
        <w:color w:val="BFBFBF"/>
        <w:sz w:val="20"/>
        <w:szCs w:val="20"/>
      </w:rPr>
      <w:t>Document No. 0</w:t>
    </w:r>
    <w:r>
      <w:rPr>
        <w:color w:val="BFBFBF"/>
        <w:sz w:val="20"/>
        <w:szCs w:val="20"/>
      </w:rPr>
      <w:t xml:space="preserve">2 – Terms of offer </w:t>
    </w:r>
    <w:r>
      <w:rPr>
        <w:color w:val="BFBFBF"/>
        <w:sz w:val="20"/>
        <w:szCs w:val="20"/>
      </w:rPr>
      <w:tab/>
    </w:r>
  </w:p>
  <w:p w14:paraId="42B90083" w14:textId="48D75A45" w:rsidR="00BA1348" w:rsidRPr="00171A8D" w:rsidRDefault="00BA1348" w:rsidP="00706C67">
    <w:pPr>
      <w:pStyle w:val="Footer"/>
      <w:rPr>
        <w:rFonts w:ascii="Arial" w:hAnsi="Arial" w:cs="Arial"/>
        <w:sz w:val="20"/>
      </w:rPr>
    </w:pPr>
    <w:r w:rsidRPr="00171A8D">
      <w:rPr>
        <w:rFonts w:ascii="Arial" w:hAnsi="Arial" w:cs="Arial"/>
        <w:sz w:val="20"/>
      </w:rPr>
      <w:t>© NHS England 202</w:t>
    </w:r>
    <w:r w:rsidR="00647C95">
      <w:rPr>
        <w:rFonts w:ascii="Arial" w:hAnsi="Arial" w:cs="Arial"/>
        <w:sz w:val="20"/>
      </w:rPr>
      <w:t>2</w:t>
    </w:r>
  </w:p>
  <w:p w14:paraId="4E557B5A" w14:textId="77777777" w:rsidR="00BA1348" w:rsidRPr="00345362" w:rsidRDefault="00BA1348" w:rsidP="00345362">
    <w:pPr>
      <w:pStyle w:val="NoSpacing"/>
      <w:tabs>
        <w:tab w:val="right" w:pos="9781"/>
      </w:tabs>
      <w:rPr>
        <w:color w:val="BFBFBF"/>
        <w:sz w:val="20"/>
        <w:szCs w:val="20"/>
      </w:rPr>
    </w:pPr>
    <w:r>
      <w:rPr>
        <w:color w:val="BFBFBF"/>
        <w:sz w:val="20"/>
        <w:szCs w:val="20"/>
      </w:rPr>
      <w:tab/>
    </w:r>
    <w:r w:rsidRPr="00345362">
      <w:rPr>
        <w:color w:val="BFBFBF"/>
        <w:sz w:val="20"/>
        <w:szCs w:val="20"/>
      </w:rPr>
      <w:t xml:space="preserve">Page </w:t>
    </w:r>
    <w:r w:rsidRPr="00345362">
      <w:rPr>
        <w:color w:val="BFBFBF"/>
        <w:sz w:val="20"/>
        <w:szCs w:val="20"/>
      </w:rPr>
      <w:fldChar w:fldCharType="begin"/>
    </w:r>
    <w:r w:rsidRPr="00345362">
      <w:rPr>
        <w:color w:val="BFBFBF"/>
        <w:sz w:val="20"/>
        <w:szCs w:val="20"/>
      </w:rPr>
      <w:instrText xml:space="preserve"> PAGE </w:instrText>
    </w:r>
    <w:r w:rsidRPr="00345362">
      <w:rPr>
        <w:color w:val="BFBFBF"/>
        <w:sz w:val="20"/>
        <w:szCs w:val="20"/>
      </w:rPr>
      <w:fldChar w:fldCharType="separate"/>
    </w:r>
    <w:r>
      <w:rPr>
        <w:noProof/>
        <w:color w:val="BFBFBF"/>
        <w:sz w:val="20"/>
        <w:szCs w:val="20"/>
      </w:rPr>
      <w:t>17</w:t>
    </w:r>
    <w:r w:rsidRPr="00345362">
      <w:rPr>
        <w:color w:val="BFBFBF"/>
        <w:sz w:val="20"/>
        <w:szCs w:val="20"/>
      </w:rPr>
      <w:fldChar w:fldCharType="end"/>
    </w:r>
    <w:r w:rsidRPr="00345362">
      <w:rPr>
        <w:color w:val="BFBFBF"/>
        <w:sz w:val="20"/>
        <w:szCs w:val="20"/>
      </w:rPr>
      <w:t xml:space="preserve"> of </w:t>
    </w:r>
    <w:r w:rsidRPr="00345362">
      <w:rPr>
        <w:color w:val="BFBFBF"/>
        <w:sz w:val="20"/>
        <w:szCs w:val="20"/>
      </w:rPr>
      <w:fldChar w:fldCharType="begin"/>
    </w:r>
    <w:r w:rsidRPr="00345362">
      <w:rPr>
        <w:color w:val="BFBFBF"/>
        <w:sz w:val="20"/>
        <w:szCs w:val="20"/>
      </w:rPr>
      <w:instrText xml:space="preserve"> NUMPAGES  </w:instrText>
    </w:r>
    <w:r w:rsidRPr="00345362">
      <w:rPr>
        <w:color w:val="BFBFBF"/>
        <w:sz w:val="20"/>
        <w:szCs w:val="20"/>
      </w:rPr>
      <w:fldChar w:fldCharType="separate"/>
    </w:r>
    <w:r>
      <w:rPr>
        <w:noProof/>
        <w:color w:val="BFBFBF"/>
        <w:sz w:val="20"/>
        <w:szCs w:val="20"/>
      </w:rPr>
      <w:t>17</w:t>
    </w:r>
    <w:r w:rsidRPr="00345362">
      <w:rPr>
        <w:color w:val="BFBFBF"/>
        <w:sz w:val="20"/>
        <w:szCs w:val="20"/>
      </w:rPr>
      <w:fldChar w:fldCharType="end"/>
    </w:r>
  </w:p>
  <w:p w14:paraId="406A1CC3" w14:textId="77777777" w:rsidR="00BA1348" w:rsidRPr="00AF6391" w:rsidRDefault="00BA1348" w:rsidP="00345362">
    <w:pPr>
      <w:pStyle w:val="Footer"/>
      <w:jc w:val="center"/>
      <w:rPr>
        <w:rFonts w:ascii="Arial" w:hAnsi="Arial" w:cs="Arial"/>
        <w:color w:val="BFBFBF"/>
        <w:szCs w:val="24"/>
      </w:rPr>
    </w:pPr>
    <w:r w:rsidRPr="00AF6391">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1BEEF" w14:textId="77777777" w:rsidR="00BA1348" w:rsidRDefault="00BA1348">
    <w:pPr>
      <w:pStyle w:val="Footer"/>
      <w:jc w:val="right"/>
    </w:pPr>
    <w:r>
      <w:fldChar w:fldCharType="begin"/>
    </w:r>
    <w:r>
      <w:instrText xml:space="preserve"> PAGE   \* MERGEFORMAT </w:instrText>
    </w:r>
    <w:r>
      <w:fldChar w:fldCharType="separate"/>
    </w:r>
    <w:r>
      <w:rPr>
        <w:noProof/>
      </w:rPr>
      <w:t>0</w:t>
    </w:r>
    <w:r>
      <w:fldChar w:fldCharType="end"/>
    </w:r>
  </w:p>
  <w:p w14:paraId="1386B5D6" w14:textId="77777777" w:rsidR="00BA1348" w:rsidRPr="00D56DEC" w:rsidRDefault="00BA1348"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1DAF1" w14:textId="77777777" w:rsidR="00945F7A" w:rsidRDefault="00945F7A">
      <w:r>
        <w:separator/>
      </w:r>
    </w:p>
  </w:footnote>
  <w:footnote w:type="continuationSeparator" w:id="0">
    <w:p w14:paraId="42368C8D" w14:textId="77777777" w:rsidR="00945F7A" w:rsidRDefault="0094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A17F6" w14:textId="77777777" w:rsidR="00BA1348" w:rsidRPr="00AF6391" w:rsidRDefault="00BA1348" w:rsidP="00912DC1">
    <w:pPr>
      <w:pStyle w:val="Header"/>
      <w:jc w:val="center"/>
      <w:rPr>
        <w:rFonts w:ascii="Arial" w:hAnsi="Arial" w:cs="Arial"/>
        <w:color w:val="BFBFBF"/>
        <w:sz w:val="24"/>
        <w:szCs w:val="24"/>
      </w:rPr>
    </w:pPr>
    <w:r w:rsidRPr="00AF6391">
      <w:rPr>
        <w:rFonts w:ascii="Arial" w:hAnsi="Arial" w:cs="Arial"/>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4448D" w14:textId="77777777" w:rsidR="00BA1348" w:rsidRDefault="00BA1348">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7"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29"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2" w15:restartNumberingAfterBreak="0">
    <w:nsid w:val="30365307"/>
    <w:multiLevelType w:val="hybridMultilevel"/>
    <w:tmpl w:val="E38E7D52"/>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15E1795"/>
    <w:multiLevelType w:val="hybridMultilevel"/>
    <w:tmpl w:val="A6AA6BD4"/>
    <w:lvl w:ilvl="0" w:tplc="ACB65306">
      <w:start w:val="1"/>
      <w:numFmt w:val="lowerRoman"/>
      <w:lvlText w:val="(%1)"/>
      <w:lvlJc w:val="left"/>
      <w:pPr>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7" w15:restartNumberingAfterBreak="0">
    <w:nsid w:val="36EC487F"/>
    <w:multiLevelType w:val="hybridMultilevel"/>
    <w:tmpl w:val="B1B86380"/>
    <w:lvl w:ilvl="0" w:tplc="B7060B52">
      <w:start w:val="1"/>
      <w:numFmt w:val="lowerLetter"/>
      <w:lvlText w:val="(%1)"/>
      <w:lvlJc w:val="left"/>
      <w:pPr>
        <w:ind w:left="2912" w:hanging="36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18"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0" w15:restartNumberingAfterBreak="0">
    <w:nsid w:val="3B957153"/>
    <w:multiLevelType w:val="hybridMultilevel"/>
    <w:tmpl w:val="2B80586A"/>
    <w:lvl w:ilvl="0" w:tplc="01CAF4A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2" w15:restartNumberingAfterBreak="0">
    <w:nsid w:val="46EA54E7"/>
    <w:multiLevelType w:val="hybridMultilevel"/>
    <w:tmpl w:val="B4BC4788"/>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EB7F45"/>
    <w:multiLevelType w:val="hybridMultilevel"/>
    <w:tmpl w:val="BD04D34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5"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5D2C2AF3"/>
    <w:multiLevelType w:val="multilevel"/>
    <w:tmpl w:val="E5B885FC"/>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D1D310D"/>
    <w:multiLevelType w:val="multilevel"/>
    <w:tmpl w:val="586C9A46"/>
    <w:lvl w:ilvl="0">
      <w:start w:val="10"/>
      <w:numFmt w:val="decimal"/>
      <w:lvlText w:val="%1"/>
      <w:lvlJc w:val="left"/>
      <w:pPr>
        <w:ind w:left="672" w:hanging="672"/>
      </w:pPr>
      <w:rPr>
        <w:rFonts w:hint="default"/>
      </w:rPr>
    </w:lvl>
    <w:lvl w:ilvl="1">
      <w:start w:val="1"/>
      <w:numFmt w:val="decimal"/>
      <w:lvlText w:val="%1.%2"/>
      <w:lvlJc w:val="left"/>
      <w:pPr>
        <w:ind w:left="1315" w:hanging="672"/>
      </w:pPr>
      <w:rPr>
        <w:rFonts w:hint="default"/>
      </w:rPr>
    </w:lvl>
    <w:lvl w:ilvl="2">
      <w:start w:val="5"/>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32"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33"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5CE4084"/>
    <w:multiLevelType w:val="hybridMultilevel"/>
    <w:tmpl w:val="65CA6B5E"/>
    <w:lvl w:ilvl="0" w:tplc="1B6073D0">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6"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8"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6"/>
  </w:num>
  <w:num w:numId="3">
    <w:abstractNumId w:val="39"/>
  </w:num>
  <w:num w:numId="4">
    <w:abstractNumId w:val="0"/>
  </w:num>
  <w:num w:numId="5">
    <w:abstractNumId w:val="34"/>
  </w:num>
  <w:num w:numId="6">
    <w:abstractNumId w:val="25"/>
  </w:num>
  <w:num w:numId="7">
    <w:abstractNumId w:val="22"/>
  </w:num>
  <w:num w:numId="8">
    <w:abstractNumId w:val="24"/>
  </w:num>
  <w:num w:numId="9">
    <w:abstractNumId w:val="14"/>
  </w:num>
  <w:num w:numId="10">
    <w:abstractNumId w:val="12"/>
  </w:num>
  <w:num w:numId="11">
    <w:abstractNumId w:val="30"/>
  </w:num>
  <w:num w:numId="12">
    <w:abstractNumId w:val="1"/>
  </w:num>
  <w:num w:numId="13">
    <w:abstractNumId w:val="4"/>
  </w:num>
  <w:num w:numId="14">
    <w:abstractNumId w:val="11"/>
  </w:num>
  <w:num w:numId="15">
    <w:abstractNumId w:val="33"/>
  </w:num>
  <w:num w:numId="16">
    <w:abstractNumId w:val="10"/>
  </w:num>
  <w:num w:numId="17">
    <w:abstractNumId w:val="8"/>
  </w:num>
  <w:num w:numId="18">
    <w:abstractNumId w:val="26"/>
  </w:num>
  <w:num w:numId="19">
    <w:abstractNumId w:val="37"/>
  </w:num>
  <w:num w:numId="20">
    <w:abstractNumId w:val="3"/>
  </w:num>
  <w:num w:numId="21">
    <w:abstractNumId w:val="2"/>
  </w:num>
  <w:num w:numId="22">
    <w:abstractNumId w:val="28"/>
  </w:num>
  <w:num w:numId="23">
    <w:abstractNumId w:val="31"/>
  </w:num>
  <w:num w:numId="24">
    <w:abstractNumId w:val="32"/>
  </w:num>
  <w:num w:numId="25">
    <w:abstractNumId w:val="15"/>
  </w:num>
  <w:num w:numId="26">
    <w:abstractNumId w:val="20"/>
  </w:num>
  <w:num w:numId="27">
    <w:abstractNumId w:val="35"/>
  </w:num>
  <w:num w:numId="28">
    <w:abstractNumId w:val="9"/>
  </w:num>
  <w:num w:numId="29">
    <w:abstractNumId w:val="5"/>
  </w:num>
  <w:num w:numId="30">
    <w:abstractNumId w:val="36"/>
  </w:num>
  <w:num w:numId="31">
    <w:abstractNumId w:val="29"/>
  </w:num>
  <w:num w:numId="32">
    <w:abstractNumId w:val="7"/>
  </w:num>
  <w:num w:numId="33">
    <w:abstractNumId w:val="19"/>
  </w:num>
  <w:num w:numId="34">
    <w:abstractNumId w:val="23"/>
  </w:num>
  <w:num w:numId="35">
    <w:abstractNumId w:val="13"/>
  </w:num>
  <w:num w:numId="36">
    <w:abstractNumId w:val="27"/>
  </w:num>
  <w:num w:numId="37">
    <w:abstractNumId w:val="21"/>
  </w:num>
  <w:num w:numId="38">
    <w:abstractNumId w:val="38"/>
  </w:num>
  <w:num w:numId="39">
    <w:abstractNumId w:val="18"/>
  </w:num>
  <w:num w:numId="4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194"/>
    <w:rsid w:val="000034C5"/>
    <w:rsid w:val="00004055"/>
    <w:rsid w:val="00004636"/>
    <w:rsid w:val="000140F0"/>
    <w:rsid w:val="0001513D"/>
    <w:rsid w:val="000154ED"/>
    <w:rsid w:val="0001772F"/>
    <w:rsid w:val="00023005"/>
    <w:rsid w:val="0003238D"/>
    <w:rsid w:val="00032DEA"/>
    <w:rsid w:val="000331ED"/>
    <w:rsid w:val="000411A6"/>
    <w:rsid w:val="00041C8A"/>
    <w:rsid w:val="00042E5D"/>
    <w:rsid w:val="0004744C"/>
    <w:rsid w:val="000530D6"/>
    <w:rsid w:val="00055863"/>
    <w:rsid w:val="00070712"/>
    <w:rsid w:val="00072579"/>
    <w:rsid w:val="0007494D"/>
    <w:rsid w:val="00081E6F"/>
    <w:rsid w:val="000945C7"/>
    <w:rsid w:val="000972E1"/>
    <w:rsid w:val="00097EC8"/>
    <w:rsid w:val="000A01C7"/>
    <w:rsid w:val="000A33E6"/>
    <w:rsid w:val="000B1682"/>
    <w:rsid w:val="000B1994"/>
    <w:rsid w:val="000B1F6D"/>
    <w:rsid w:val="000B5AD1"/>
    <w:rsid w:val="000C3935"/>
    <w:rsid w:val="000C67B4"/>
    <w:rsid w:val="000C7D08"/>
    <w:rsid w:val="000D10C3"/>
    <w:rsid w:val="000D1B0C"/>
    <w:rsid w:val="000D1C4E"/>
    <w:rsid w:val="000D5800"/>
    <w:rsid w:val="000D7B86"/>
    <w:rsid w:val="000E022B"/>
    <w:rsid w:val="000E32E0"/>
    <w:rsid w:val="000E3567"/>
    <w:rsid w:val="00100047"/>
    <w:rsid w:val="00100CB5"/>
    <w:rsid w:val="00102F18"/>
    <w:rsid w:val="0010337A"/>
    <w:rsid w:val="00103579"/>
    <w:rsid w:val="0010389C"/>
    <w:rsid w:val="00104BA5"/>
    <w:rsid w:val="00104DDD"/>
    <w:rsid w:val="00106D72"/>
    <w:rsid w:val="00111B8A"/>
    <w:rsid w:val="001133A0"/>
    <w:rsid w:val="00114CC0"/>
    <w:rsid w:val="0012034A"/>
    <w:rsid w:val="00120E3E"/>
    <w:rsid w:val="00122441"/>
    <w:rsid w:val="001224EE"/>
    <w:rsid w:val="00126616"/>
    <w:rsid w:val="00127C68"/>
    <w:rsid w:val="00130906"/>
    <w:rsid w:val="00135FA8"/>
    <w:rsid w:val="00142039"/>
    <w:rsid w:val="001458C7"/>
    <w:rsid w:val="00151C7F"/>
    <w:rsid w:val="00152F6F"/>
    <w:rsid w:val="001565D4"/>
    <w:rsid w:val="001615B7"/>
    <w:rsid w:val="00164069"/>
    <w:rsid w:val="00166281"/>
    <w:rsid w:val="00171309"/>
    <w:rsid w:val="00171A8D"/>
    <w:rsid w:val="0017252C"/>
    <w:rsid w:val="00174B38"/>
    <w:rsid w:val="00175AC4"/>
    <w:rsid w:val="001800B2"/>
    <w:rsid w:val="00183131"/>
    <w:rsid w:val="001844A2"/>
    <w:rsid w:val="001956FB"/>
    <w:rsid w:val="001A5559"/>
    <w:rsid w:val="001A5846"/>
    <w:rsid w:val="001A6C52"/>
    <w:rsid w:val="001B3EC5"/>
    <w:rsid w:val="001B53A3"/>
    <w:rsid w:val="001B6D7E"/>
    <w:rsid w:val="001C1430"/>
    <w:rsid w:val="001C1823"/>
    <w:rsid w:val="001C2C8C"/>
    <w:rsid w:val="001C32C0"/>
    <w:rsid w:val="001C47CB"/>
    <w:rsid w:val="001D4D84"/>
    <w:rsid w:val="001E1E64"/>
    <w:rsid w:val="001E3980"/>
    <w:rsid w:val="001E7036"/>
    <w:rsid w:val="001F35ED"/>
    <w:rsid w:val="0020252F"/>
    <w:rsid w:val="00205137"/>
    <w:rsid w:val="002056E6"/>
    <w:rsid w:val="00210ADB"/>
    <w:rsid w:val="002120B4"/>
    <w:rsid w:val="00213492"/>
    <w:rsid w:val="00214EF0"/>
    <w:rsid w:val="00216C56"/>
    <w:rsid w:val="00216D44"/>
    <w:rsid w:val="002171F5"/>
    <w:rsid w:val="00222674"/>
    <w:rsid w:val="0023037D"/>
    <w:rsid w:val="00242703"/>
    <w:rsid w:val="00244A00"/>
    <w:rsid w:val="00244BA9"/>
    <w:rsid w:val="00244F6F"/>
    <w:rsid w:val="002503F0"/>
    <w:rsid w:val="00251424"/>
    <w:rsid w:val="00251B55"/>
    <w:rsid w:val="002525D5"/>
    <w:rsid w:val="002622AE"/>
    <w:rsid w:val="00265E5B"/>
    <w:rsid w:val="00266A51"/>
    <w:rsid w:val="00271678"/>
    <w:rsid w:val="002761C7"/>
    <w:rsid w:val="00276E0D"/>
    <w:rsid w:val="0027782D"/>
    <w:rsid w:val="00280F29"/>
    <w:rsid w:val="00285694"/>
    <w:rsid w:val="002857E7"/>
    <w:rsid w:val="00286D59"/>
    <w:rsid w:val="0028714B"/>
    <w:rsid w:val="002914F4"/>
    <w:rsid w:val="00294DCD"/>
    <w:rsid w:val="00295719"/>
    <w:rsid w:val="002969D2"/>
    <w:rsid w:val="002A7193"/>
    <w:rsid w:val="002B1BCF"/>
    <w:rsid w:val="002B299C"/>
    <w:rsid w:val="002B3704"/>
    <w:rsid w:val="002B3D37"/>
    <w:rsid w:val="002B5049"/>
    <w:rsid w:val="002C143B"/>
    <w:rsid w:val="002C7A3F"/>
    <w:rsid w:val="002D2C4E"/>
    <w:rsid w:val="002E0E0C"/>
    <w:rsid w:val="002E0E5E"/>
    <w:rsid w:val="002E1D61"/>
    <w:rsid w:val="002E470F"/>
    <w:rsid w:val="002E537D"/>
    <w:rsid w:val="002E586F"/>
    <w:rsid w:val="002F0A82"/>
    <w:rsid w:val="002F269C"/>
    <w:rsid w:val="002F2C35"/>
    <w:rsid w:val="002F4DFF"/>
    <w:rsid w:val="002F5148"/>
    <w:rsid w:val="0030007F"/>
    <w:rsid w:val="00301CE3"/>
    <w:rsid w:val="003033E5"/>
    <w:rsid w:val="00305778"/>
    <w:rsid w:val="00306794"/>
    <w:rsid w:val="003069A7"/>
    <w:rsid w:val="00307C79"/>
    <w:rsid w:val="003137C9"/>
    <w:rsid w:val="00314A30"/>
    <w:rsid w:val="00317982"/>
    <w:rsid w:val="0032057D"/>
    <w:rsid w:val="003229D3"/>
    <w:rsid w:val="00322CE8"/>
    <w:rsid w:val="00324271"/>
    <w:rsid w:val="003256D4"/>
    <w:rsid w:val="00330D16"/>
    <w:rsid w:val="00332121"/>
    <w:rsid w:val="00342730"/>
    <w:rsid w:val="00342ACE"/>
    <w:rsid w:val="003432DB"/>
    <w:rsid w:val="003443F7"/>
    <w:rsid w:val="00345362"/>
    <w:rsid w:val="003536CA"/>
    <w:rsid w:val="0035419C"/>
    <w:rsid w:val="003573C7"/>
    <w:rsid w:val="00357C73"/>
    <w:rsid w:val="003611CA"/>
    <w:rsid w:val="00364371"/>
    <w:rsid w:val="003701CF"/>
    <w:rsid w:val="00370D68"/>
    <w:rsid w:val="00373B0D"/>
    <w:rsid w:val="003808EF"/>
    <w:rsid w:val="003818A0"/>
    <w:rsid w:val="00386071"/>
    <w:rsid w:val="003867C5"/>
    <w:rsid w:val="003946C3"/>
    <w:rsid w:val="0039547B"/>
    <w:rsid w:val="003A2801"/>
    <w:rsid w:val="003A2882"/>
    <w:rsid w:val="003A32B8"/>
    <w:rsid w:val="003A4F07"/>
    <w:rsid w:val="003A7B49"/>
    <w:rsid w:val="003A7E09"/>
    <w:rsid w:val="003B169B"/>
    <w:rsid w:val="003B2375"/>
    <w:rsid w:val="003B48AC"/>
    <w:rsid w:val="003C112E"/>
    <w:rsid w:val="003C5819"/>
    <w:rsid w:val="003C6FCF"/>
    <w:rsid w:val="003C7818"/>
    <w:rsid w:val="003D07D9"/>
    <w:rsid w:val="003D24EC"/>
    <w:rsid w:val="003D7FDA"/>
    <w:rsid w:val="003E0365"/>
    <w:rsid w:val="003E1AD0"/>
    <w:rsid w:val="003E63CE"/>
    <w:rsid w:val="003E67D9"/>
    <w:rsid w:val="003F183B"/>
    <w:rsid w:val="003F21A8"/>
    <w:rsid w:val="003F287A"/>
    <w:rsid w:val="003F6CC6"/>
    <w:rsid w:val="003F7620"/>
    <w:rsid w:val="004010C7"/>
    <w:rsid w:val="004027B0"/>
    <w:rsid w:val="004050CA"/>
    <w:rsid w:val="00405ABC"/>
    <w:rsid w:val="00406035"/>
    <w:rsid w:val="00410CC5"/>
    <w:rsid w:val="00414925"/>
    <w:rsid w:val="00420792"/>
    <w:rsid w:val="0042225C"/>
    <w:rsid w:val="00434695"/>
    <w:rsid w:val="00443752"/>
    <w:rsid w:val="004444BB"/>
    <w:rsid w:val="00445699"/>
    <w:rsid w:val="004462DB"/>
    <w:rsid w:val="00446950"/>
    <w:rsid w:val="004472C5"/>
    <w:rsid w:val="004531B1"/>
    <w:rsid w:val="00456EA6"/>
    <w:rsid w:val="00464519"/>
    <w:rsid w:val="00464DC3"/>
    <w:rsid w:val="004668F3"/>
    <w:rsid w:val="004705EF"/>
    <w:rsid w:val="0047080A"/>
    <w:rsid w:val="00470BC1"/>
    <w:rsid w:val="00471A85"/>
    <w:rsid w:val="00472667"/>
    <w:rsid w:val="004730F7"/>
    <w:rsid w:val="00476171"/>
    <w:rsid w:val="00480233"/>
    <w:rsid w:val="00483935"/>
    <w:rsid w:val="00486641"/>
    <w:rsid w:val="00487445"/>
    <w:rsid w:val="004878EE"/>
    <w:rsid w:val="0049117D"/>
    <w:rsid w:val="004917D9"/>
    <w:rsid w:val="00492CAE"/>
    <w:rsid w:val="004964C3"/>
    <w:rsid w:val="00497B01"/>
    <w:rsid w:val="004A221B"/>
    <w:rsid w:val="004A74AC"/>
    <w:rsid w:val="004B23AF"/>
    <w:rsid w:val="004B25B4"/>
    <w:rsid w:val="004B27B6"/>
    <w:rsid w:val="004B7DD0"/>
    <w:rsid w:val="004C1471"/>
    <w:rsid w:val="004C6783"/>
    <w:rsid w:val="004C6846"/>
    <w:rsid w:val="004D28E2"/>
    <w:rsid w:val="004D6B28"/>
    <w:rsid w:val="004E20A2"/>
    <w:rsid w:val="004E2364"/>
    <w:rsid w:val="004E475E"/>
    <w:rsid w:val="004E7828"/>
    <w:rsid w:val="004F068D"/>
    <w:rsid w:val="004F06BB"/>
    <w:rsid w:val="004F379F"/>
    <w:rsid w:val="004F42C5"/>
    <w:rsid w:val="004F468A"/>
    <w:rsid w:val="004F7AD6"/>
    <w:rsid w:val="0050203C"/>
    <w:rsid w:val="00502524"/>
    <w:rsid w:val="00505A67"/>
    <w:rsid w:val="005130C1"/>
    <w:rsid w:val="0051487D"/>
    <w:rsid w:val="00514FCA"/>
    <w:rsid w:val="00515B15"/>
    <w:rsid w:val="00516E9D"/>
    <w:rsid w:val="00520A2F"/>
    <w:rsid w:val="005247B1"/>
    <w:rsid w:val="00525CC9"/>
    <w:rsid w:val="00526103"/>
    <w:rsid w:val="00526AE9"/>
    <w:rsid w:val="005275C5"/>
    <w:rsid w:val="00531665"/>
    <w:rsid w:val="005335E4"/>
    <w:rsid w:val="00533BF4"/>
    <w:rsid w:val="00533C4E"/>
    <w:rsid w:val="005350F6"/>
    <w:rsid w:val="00535252"/>
    <w:rsid w:val="00536355"/>
    <w:rsid w:val="00544B72"/>
    <w:rsid w:val="00545031"/>
    <w:rsid w:val="00547741"/>
    <w:rsid w:val="0055148C"/>
    <w:rsid w:val="00562F74"/>
    <w:rsid w:val="00564968"/>
    <w:rsid w:val="00564CE2"/>
    <w:rsid w:val="00564F8A"/>
    <w:rsid w:val="005677C4"/>
    <w:rsid w:val="00571661"/>
    <w:rsid w:val="005734B6"/>
    <w:rsid w:val="00576495"/>
    <w:rsid w:val="00580B7C"/>
    <w:rsid w:val="00585115"/>
    <w:rsid w:val="00585A72"/>
    <w:rsid w:val="00586EDC"/>
    <w:rsid w:val="0059183A"/>
    <w:rsid w:val="00593004"/>
    <w:rsid w:val="00594C98"/>
    <w:rsid w:val="00597DEF"/>
    <w:rsid w:val="005A1297"/>
    <w:rsid w:val="005A16E5"/>
    <w:rsid w:val="005A2E5C"/>
    <w:rsid w:val="005A5A96"/>
    <w:rsid w:val="005A6FCC"/>
    <w:rsid w:val="005B325E"/>
    <w:rsid w:val="005C21E4"/>
    <w:rsid w:val="005C286E"/>
    <w:rsid w:val="005C6489"/>
    <w:rsid w:val="005D2A6E"/>
    <w:rsid w:val="005D35F6"/>
    <w:rsid w:val="005D71E4"/>
    <w:rsid w:val="005D7927"/>
    <w:rsid w:val="005E143D"/>
    <w:rsid w:val="005E5830"/>
    <w:rsid w:val="005F06F6"/>
    <w:rsid w:val="005F142D"/>
    <w:rsid w:val="005F53BE"/>
    <w:rsid w:val="005F690E"/>
    <w:rsid w:val="005F7330"/>
    <w:rsid w:val="00600A98"/>
    <w:rsid w:val="00602DDC"/>
    <w:rsid w:val="006052AD"/>
    <w:rsid w:val="006072CC"/>
    <w:rsid w:val="006118E3"/>
    <w:rsid w:val="00612F98"/>
    <w:rsid w:val="00613654"/>
    <w:rsid w:val="00616A5A"/>
    <w:rsid w:val="00617BF0"/>
    <w:rsid w:val="00621BCA"/>
    <w:rsid w:val="00624AE9"/>
    <w:rsid w:val="00626584"/>
    <w:rsid w:val="0063161E"/>
    <w:rsid w:val="00633721"/>
    <w:rsid w:val="00634203"/>
    <w:rsid w:val="00634E15"/>
    <w:rsid w:val="0063680F"/>
    <w:rsid w:val="0063770E"/>
    <w:rsid w:val="006378AE"/>
    <w:rsid w:val="00647C95"/>
    <w:rsid w:val="00653B03"/>
    <w:rsid w:val="006617B9"/>
    <w:rsid w:val="00661F5C"/>
    <w:rsid w:val="00662934"/>
    <w:rsid w:val="006703EA"/>
    <w:rsid w:val="00671B54"/>
    <w:rsid w:val="00677341"/>
    <w:rsid w:val="00677839"/>
    <w:rsid w:val="00683BB4"/>
    <w:rsid w:val="00691CD4"/>
    <w:rsid w:val="0069325A"/>
    <w:rsid w:val="00694884"/>
    <w:rsid w:val="00697C26"/>
    <w:rsid w:val="006A4E79"/>
    <w:rsid w:val="006A5F96"/>
    <w:rsid w:val="006C0D53"/>
    <w:rsid w:val="006C4437"/>
    <w:rsid w:val="006C4DDA"/>
    <w:rsid w:val="006C6DC2"/>
    <w:rsid w:val="006C7289"/>
    <w:rsid w:val="006D48B4"/>
    <w:rsid w:val="006D7DD0"/>
    <w:rsid w:val="006E16F8"/>
    <w:rsid w:val="006E3E03"/>
    <w:rsid w:val="006F05C0"/>
    <w:rsid w:val="006F2DC6"/>
    <w:rsid w:val="006F3400"/>
    <w:rsid w:val="006F649C"/>
    <w:rsid w:val="006F6A6F"/>
    <w:rsid w:val="0070351A"/>
    <w:rsid w:val="00705FC4"/>
    <w:rsid w:val="00706C67"/>
    <w:rsid w:val="00707174"/>
    <w:rsid w:val="007146D5"/>
    <w:rsid w:val="007172BC"/>
    <w:rsid w:val="00722A29"/>
    <w:rsid w:val="0072338B"/>
    <w:rsid w:val="00724C1E"/>
    <w:rsid w:val="00725A91"/>
    <w:rsid w:val="0072636B"/>
    <w:rsid w:val="00730764"/>
    <w:rsid w:val="007320D8"/>
    <w:rsid w:val="00735609"/>
    <w:rsid w:val="007378A5"/>
    <w:rsid w:val="00737C44"/>
    <w:rsid w:val="0074374D"/>
    <w:rsid w:val="00747EB5"/>
    <w:rsid w:val="0075313F"/>
    <w:rsid w:val="0075437E"/>
    <w:rsid w:val="00755560"/>
    <w:rsid w:val="0075783A"/>
    <w:rsid w:val="007620E4"/>
    <w:rsid w:val="007676DC"/>
    <w:rsid w:val="007707B8"/>
    <w:rsid w:val="00773C13"/>
    <w:rsid w:val="0077486E"/>
    <w:rsid w:val="0077631A"/>
    <w:rsid w:val="007772DA"/>
    <w:rsid w:val="00780103"/>
    <w:rsid w:val="007902C9"/>
    <w:rsid w:val="00790D01"/>
    <w:rsid w:val="007934C7"/>
    <w:rsid w:val="0079520E"/>
    <w:rsid w:val="00795956"/>
    <w:rsid w:val="007A1972"/>
    <w:rsid w:val="007A5C02"/>
    <w:rsid w:val="007A74CA"/>
    <w:rsid w:val="007C4AC1"/>
    <w:rsid w:val="007C6E90"/>
    <w:rsid w:val="007D1976"/>
    <w:rsid w:val="007E1BF4"/>
    <w:rsid w:val="007F6EA9"/>
    <w:rsid w:val="00802C40"/>
    <w:rsid w:val="008031EE"/>
    <w:rsid w:val="008058F7"/>
    <w:rsid w:val="00814BA6"/>
    <w:rsid w:val="00814BE9"/>
    <w:rsid w:val="00815CD9"/>
    <w:rsid w:val="0081775F"/>
    <w:rsid w:val="00821E29"/>
    <w:rsid w:val="008274F7"/>
    <w:rsid w:val="0082774B"/>
    <w:rsid w:val="00830E94"/>
    <w:rsid w:val="0083255D"/>
    <w:rsid w:val="008349B9"/>
    <w:rsid w:val="008428DB"/>
    <w:rsid w:val="008438BC"/>
    <w:rsid w:val="00846652"/>
    <w:rsid w:val="00846F4B"/>
    <w:rsid w:val="008476EC"/>
    <w:rsid w:val="00863D35"/>
    <w:rsid w:val="00867F49"/>
    <w:rsid w:val="008710C0"/>
    <w:rsid w:val="00883EC2"/>
    <w:rsid w:val="00885714"/>
    <w:rsid w:val="00885AFC"/>
    <w:rsid w:val="008863B8"/>
    <w:rsid w:val="0088709C"/>
    <w:rsid w:val="00887618"/>
    <w:rsid w:val="0089323B"/>
    <w:rsid w:val="00894D96"/>
    <w:rsid w:val="008A01F1"/>
    <w:rsid w:val="008B2933"/>
    <w:rsid w:val="008B2F7D"/>
    <w:rsid w:val="008B4AF3"/>
    <w:rsid w:val="008C251E"/>
    <w:rsid w:val="008C350D"/>
    <w:rsid w:val="008C5213"/>
    <w:rsid w:val="008D1F82"/>
    <w:rsid w:val="008D4454"/>
    <w:rsid w:val="008D7EC0"/>
    <w:rsid w:val="008E3FA4"/>
    <w:rsid w:val="008E6534"/>
    <w:rsid w:val="008F0532"/>
    <w:rsid w:val="008F06AD"/>
    <w:rsid w:val="008F4DC8"/>
    <w:rsid w:val="008F6E1F"/>
    <w:rsid w:val="00900B7A"/>
    <w:rsid w:val="00901AE8"/>
    <w:rsid w:val="00903966"/>
    <w:rsid w:val="00905A77"/>
    <w:rsid w:val="009070BA"/>
    <w:rsid w:val="009071BE"/>
    <w:rsid w:val="00912DC1"/>
    <w:rsid w:val="0091740F"/>
    <w:rsid w:val="00917A17"/>
    <w:rsid w:val="00920654"/>
    <w:rsid w:val="00934357"/>
    <w:rsid w:val="00941AB5"/>
    <w:rsid w:val="00941D70"/>
    <w:rsid w:val="00945F7A"/>
    <w:rsid w:val="009467EB"/>
    <w:rsid w:val="00952C4E"/>
    <w:rsid w:val="00954F56"/>
    <w:rsid w:val="00955559"/>
    <w:rsid w:val="0095753C"/>
    <w:rsid w:val="00961E36"/>
    <w:rsid w:val="0096200C"/>
    <w:rsid w:val="00964CB1"/>
    <w:rsid w:val="0097004D"/>
    <w:rsid w:val="0097044F"/>
    <w:rsid w:val="009704FE"/>
    <w:rsid w:val="0097331A"/>
    <w:rsid w:val="009752C6"/>
    <w:rsid w:val="00980559"/>
    <w:rsid w:val="00991B13"/>
    <w:rsid w:val="00992349"/>
    <w:rsid w:val="00994191"/>
    <w:rsid w:val="00996BF3"/>
    <w:rsid w:val="009A0611"/>
    <w:rsid w:val="009A234E"/>
    <w:rsid w:val="009A590D"/>
    <w:rsid w:val="009B0459"/>
    <w:rsid w:val="009B68E1"/>
    <w:rsid w:val="009B7D72"/>
    <w:rsid w:val="009C00F6"/>
    <w:rsid w:val="009C57B6"/>
    <w:rsid w:val="009C5E31"/>
    <w:rsid w:val="009C6350"/>
    <w:rsid w:val="009C7D6B"/>
    <w:rsid w:val="009D6D38"/>
    <w:rsid w:val="009E2C31"/>
    <w:rsid w:val="009E4BEB"/>
    <w:rsid w:val="009F01EA"/>
    <w:rsid w:val="009F26D9"/>
    <w:rsid w:val="009F39AF"/>
    <w:rsid w:val="009F5DAE"/>
    <w:rsid w:val="009F72DB"/>
    <w:rsid w:val="00A00470"/>
    <w:rsid w:val="00A0492D"/>
    <w:rsid w:val="00A0779A"/>
    <w:rsid w:val="00A108E6"/>
    <w:rsid w:val="00A1393A"/>
    <w:rsid w:val="00A15526"/>
    <w:rsid w:val="00A174C1"/>
    <w:rsid w:val="00A203F0"/>
    <w:rsid w:val="00A222CF"/>
    <w:rsid w:val="00A256B7"/>
    <w:rsid w:val="00A33BDF"/>
    <w:rsid w:val="00A33F2C"/>
    <w:rsid w:val="00A345AA"/>
    <w:rsid w:val="00A356A2"/>
    <w:rsid w:val="00A41479"/>
    <w:rsid w:val="00A42A59"/>
    <w:rsid w:val="00A432CF"/>
    <w:rsid w:val="00A55DEA"/>
    <w:rsid w:val="00A61A4E"/>
    <w:rsid w:val="00A72F73"/>
    <w:rsid w:val="00A76698"/>
    <w:rsid w:val="00A828E6"/>
    <w:rsid w:val="00A84BF7"/>
    <w:rsid w:val="00A875A8"/>
    <w:rsid w:val="00A90DB4"/>
    <w:rsid w:val="00A92963"/>
    <w:rsid w:val="00A959AA"/>
    <w:rsid w:val="00AA146A"/>
    <w:rsid w:val="00AA2460"/>
    <w:rsid w:val="00AA2B29"/>
    <w:rsid w:val="00AA5DE8"/>
    <w:rsid w:val="00AB4DFB"/>
    <w:rsid w:val="00AC0BDA"/>
    <w:rsid w:val="00AC4142"/>
    <w:rsid w:val="00AC59AE"/>
    <w:rsid w:val="00AC607A"/>
    <w:rsid w:val="00AC645A"/>
    <w:rsid w:val="00AD04C2"/>
    <w:rsid w:val="00AD0B56"/>
    <w:rsid w:val="00AD452D"/>
    <w:rsid w:val="00AD7B48"/>
    <w:rsid w:val="00AE228C"/>
    <w:rsid w:val="00AE2F48"/>
    <w:rsid w:val="00AE5104"/>
    <w:rsid w:val="00AF2207"/>
    <w:rsid w:val="00AF2423"/>
    <w:rsid w:val="00AF50AD"/>
    <w:rsid w:val="00AF6391"/>
    <w:rsid w:val="00AF6E08"/>
    <w:rsid w:val="00AF7A77"/>
    <w:rsid w:val="00B02AF8"/>
    <w:rsid w:val="00B02D79"/>
    <w:rsid w:val="00B03223"/>
    <w:rsid w:val="00B07789"/>
    <w:rsid w:val="00B10FD0"/>
    <w:rsid w:val="00B1266D"/>
    <w:rsid w:val="00B231F4"/>
    <w:rsid w:val="00B235B2"/>
    <w:rsid w:val="00B24B60"/>
    <w:rsid w:val="00B24B69"/>
    <w:rsid w:val="00B362D8"/>
    <w:rsid w:val="00B437DD"/>
    <w:rsid w:val="00B43CA8"/>
    <w:rsid w:val="00B43EA6"/>
    <w:rsid w:val="00B45794"/>
    <w:rsid w:val="00B47AE4"/>
    <w:rsid w:val="00B50866"/>
    <w:rsid w:val="00B515DB"/>
    <w:rsid w:val="00B51E87"/>
    <w:rsid w:val="00B57949"/>
    <w:rsid w:val="00B61A35"/>
    <w:rsid w:val="00B64957"/>
    <w:rsid w:val="00B655A3"/>
    <w:rsid w:val="00B65F15"/>
    <w:rsid w:val="00B665A2"/>
    <w:rsid w:val="00B708F1"/>
    <w:rsid w:val="00B71FA5"/>
    <w:rsid w:val="00B72B5F"/>
    <w:rsid w:val="00B72F9D"/>
    <w:rsid w:val="00B754F5"/>
    <w:rsid w:val="00B77DC3"/>
    <w:rsid w:val="00B81901"/>
    <w:rsid w:val="00B835C2"/>
    <w:rsid w:val="00B85EED"/>
    <w:rsid w:val="00B937BA"/>
    <w:rsid w:val="00BA1348"/>
    <w:rsid w:val="00BA1CB6"/>
    <w:rsid w:val="00BA6F70"/>
    <w:rsid w:val="00BB0039"/>
    <w:rsid w:val="00BB34AB"/>
    <w:rsid w:val="00BB4923"/>
    <w:rsid w:val="00BB5262"/>
    <w:rsid w:val="00BC0663"/>
    <w:rsid w:val="00BC1F06"/>
    <w:rsid w:val="00BC33D5"/>
    <w:rsid w:val="00BC5C81"/>
    <w:rsid w:val="00BD05D1"/>
    <w:rsid w:val="00BD1F24"/>
    <w:rsid w:val="00BE0962"/>
    <w:rsid w:val="00BE2070"/>
    <w:rsid w:val="00BE3330"/>
    <w:rsid w:val="00BE531B"/>
    <w:rsid w:val="00BE747F"/>
    <w:rsid w:val="00BE7A78"/>
    <w:rsid w:val="00BF55FB"/>
    <w:rsid w:val="00BF6BC3"/>
    <w:rsid w:val="00BF71A2"/>
    <w:rsid w:val="00C02512"/>
    <w:rsid w:val="00C042BA"/>
    <w:rsid w:val="00C04603"/>
    <w:rsid w:val="00C0460E"/>
    <w:rsid w:val="00C06FEB"/>
    <w:rsid w:val="00C07CFF"/>
    <w:rsid w:val="00C10E00"/>
    <w:rsid w:val="00C13C20"/>
    <w:rsid w:val="00C162CE"/>
    <w:rsid w:val="00C25867"/>
    <w:rsid w:val="00C2761E"/>
    <w:rsid w:val="00C30449"/>
    <w:rsid w:val="00C3327A"/>
    <w:rsid w:val="00C35558"/>
    <w:rsid w:val="00C369C3"/>
    <w:rsid w:val="00C36F19"/>
    <w:rsid w:val="00C4043A"/>
    <w:rsid w:val="00C526D6"/>
    <w:rsid w:val="00C653EE"/>
    <w:rsid w:val="00C703CF"/>
    <w:rsid w:val="00C729C2"/>
    <w:rsid w:val="00C75A5F"/>
    <w:rsid w:val="00C75E2E"/>
    <w:rsid w:val="00C76ECE"/>
    <w:rsid w:val="00C77E76"/>
    <w:rsid w:val="00C81C9D"/>
    <w:rsid w:val="00C83F5C"/>
    <w:rsid w:val="00C8408B"/>
    <w:rsid w:val="00C878B8"/>
    <w:rsid w:val="00C91F1D"/>
    <w:rsid w:val="00C91FC2"/>
    <w:rsid w:val="00C92A6F"/>
    <w:rsid w:val="00C950B2"/>
    <w:rsid w:val="00C9548B"/>
    <w:rsid w:val="00C95CC5"/>
    <w:rsid w:val="00C96C9A"/>
    <w:rsid w:val="00CA3DD2"/>
    <w:rsid w:val="00CA4BA1"/>
    <w:rsid w:val="00CA6F32"/>
    <w:rsid w:val="00CB0B4D"/>
    <w:rsid w:val="00CB0C06"/>
    <w:rsid w:val="00CB44DA"/>
    <w:rsid w:val="00CB44EB"/>
    <w:rsid w:val="00CB6949"/>
    <w:rsid w:val="00CB7A0D"/>
    <w:rsid w:val="00CC0D2C"/>
    <w:rsid w:val="00CC1AA7"/>
    <w:rsid w:val="00CC71DF"/>
    <w:rsid w:val="00CD4C7D"/>
    <w:rsid w:val="00CD562E"/>
    <w:rsid w:val="00CD62B4"/>
    <w:rsid w:val="00CD64CB"/>
    <w:rsid w:val="00CE1467"/>
    <w:rsid w:val="00CE7D5B"/>
    <w:rsid w:val="00CF56F2"/>
    <w:rsid w:val="00CF6F4F"/>
    <w:rsid w:val="00D01AAC"/>
    <w:rsid w:val="00D04928"/>
    <w:rsid w:val="00D123A4"/>
    <w:rsid w:val="00D2243C"/>
    <w:rsid w:val="00D30DAE"/>
    <w:rsid w:val="00D35CC6"/>
    <w:rsid w:val="00D37AB7"/>
    <w:rsid w:val="00D40AC6"/>
    <w:rsid w:val="00D40C34"/>
    <w:rsid w:val="00D44C20"/>
    <w:rsid w:val="00D465E2"/>
    <w:rsid w:val="00D46D17"/>
    <w:rsid w:val="00D517DE"/>
    <w:rsid w:val="00D55C94"/>
    <w:rsid w:val="00D561D8"/>
    <w:rsid w:val="00D564A2"/>
    <w:rsid w:val="00D56C5A"/>
    <w:rsid w:val="00D56DEC"/>
    <w:rsid w:val="00D60C87"/>
    <w:rsid w:val="00D663BE"/>
    <w:rsid w:val="00D72DD7"/>
    <w:rsid w:val="00D74723"/>
    <w:rsid w:val="00D75546"/>
    <w:rsid w:val="00D84104"/>
    <w:rsid w:val="00D9130D"/>
    <w:rsid w:val="00D91881"/>
    <w:rsid w:val="00D921FA"/>
    <w:rsid w:val="00D94DEC"/>
    <w:rsid w:val="00DA0573"/>
    <w:rsid w:val="00DA1310"/>
    <w:rsid w:val="00DA2520"/>
    <w:rsid w:val="00DA3D23"/>
    <w:rsid w:val="00DA40F0"/>
    <w:rsid w:val="00DA605C"/>
    <w:rsid w:val="00DA7696"/>
    <w:rsid w:val="00DB022A"/>
    <w:rsid w:val="00DB44A4"/>
    <w:rsid w:val="00DB612E"/>
    <w:rsid w:val="00DB6BEA"/>
    <w:rsid w:val="00DC23C5"/>
    <w:rsid w:val="00DC23DA"/>
    <w:rsid w:val="00DC3E56"/>
    <w:rsid w:val="00DC79EC"/>
    <w:rsid w:val="00DD164C"/>
    <w:rsid w:val="00DD22FC"/>
    <w:rsid w:val="00DD2453"/>
    <w:rsid w:val="00DD5DBA"/>
    <w:rsid w:val="00DD659E"/>
    <w:rsid w:val="00DE48EA"/>
    <w:rsid w:val="00DE7A0F"/>
    <w:rsid w:val="00DF2C7B"/>
    <w:rsid w:val="00DF420C"/>
    <w:rsid w:val="00DF6560"/>
    <w:rsid w:val="00E028CE"/>
    <w:rsid w:val="00E106C1"/>
    <w:rsid w:val="00E11E4C"/>
    <w:rsid w:val="00E12AD5"/>
    <w:rsid w:val="00E12D48"/>
    <w:rsid w:val="00E200CB"/>
    <w:rsid w:val="00E224D8"/>
    <w:rsid w:val="00E24861"/>
    <w:rsid w:val="00E266C0"/>
    <w:rsid w:val="00E26F36"/>
    <w:rsid w:val="00E3607C"/>
    <w:rsid w:val="00E377BE"/>
    <w:rsid w:val="00E42396"/>
    <w:rsid w:val="00E44EFA"/>
    <w:rsid w:val="00E47F3C"/>
    <w:rsid w:val="00E608B6"/>
    <w:rsid w:val="00E639F7"/>
    <w:rsid w:val="00E74F1F"/>
    <w:rsid w:val="00E75CEA"/>
    <w:rsid w:val="00E77065"/>
    <w:rsid w:val="00E80B7A"/>
    <w:rsid w:val="00E83EEE"/>
    <w:rsid w:val="00E84B69"/>
    <w:rsid w:val="00E85891"/>
    <w:rsid w:val="00E90122"/>
    <w:rsid w:val="00E90394"/>
    <w:rsid w:val="00E95CDF"/>
    <w:rsid w:val="00E96364"/>
    <w:rsid w:val="00E97AB7"/>
    <w:rsid w:val="00EA22C8"/>
    <w:rsid w:val="00EA3B74"/>
    <w:rsid w:val="00EA4234"/>
    <w:rsid w:val="00EA43D7"/>
    <w:rsid w:val="00EA6E98"/>
    <w:rsid w:val="00EB4F0E"/>
    <w:rsid w:val="00EB532A"/>
    <w:rsid w:val="00EB7589"/>
    <w:rsid w:val="00EB7FF3"/>
    <w:rsid w:val="00EC0483"/>
    <w:rsid w:val="00EC6E77"/>
    <w:rsid w:val="00ED04DC"/>
    <w:rsid w:val="00ED0936"/>
    <w:rsid w:val="00EE300F"/>
    <w:rsid w:val="00EE3013"/>
    <w:rsid w:val="00EE46B6"/>
    <w:rsid w:val="00EE5809"/>
    <w:rsid w:val="00EF38A4"/>
    <w:rsid w:val="00EF401D"/>
    <w:rsid w:val="00EF57E9"/>
    <w:rsid w:val="00F00425"/>
    <w:rsid w:val="00F0113E"/>
    <w:rsid w:val="00F0172E"/>
    <w:rsid w:val="00F01906"/>
    <w:rsid w:val="00F01C25"/>
    <w:rsid w:val="00F04650"/>
    <w:rsid w:val="00F06AB2"/>
    <w:rsid w:val="00F076A5"/>
    <w:rsid w:val="00F1105A"/>
    <w:rsid w:val="00F12D72"/>
    <w:rsid w:val="00F14D37"/>
    <w:rsid w:val="00F15049"/>
    <w:rsid w:val="00F15476"/>
    <w:rsid w:val="00F21012"/>
    <w:rsid w:val="00F21FDD"/>
    <w:rsid w:val="00F25540"/>
    <w:rsid w:val="00F255E2"/>
    <w:rsid w:val="00F25ED1"/>
    <w:rsid w:val="00F30BEA"/>
    <w:rsid w:val="00F30D47"/>
    <w:rsid w:val="00F31CF5"/>
    <w:rsid w:val="00F31F8F"/>
    <w:rsid w:val="00F325F0"/>
    <w:rsid w:val="00F33E49"/>
    <w:rsid w:val="00F345EA"/>
    <w:rsid w:val="00F350C3"/>
    <w:rsid w:val="00F3746B"/>
    <w:rsid w:val="00F37AC4"/>
    <w:rsid w:val="00F41008"/>
    <w:rsid w:val="00F42D3A"/>
    <w:rsid w:val="00F42F1A"/>
    <w:rsid w:val="00F43B7F"/>
    <w:rsid w:val="00F4674B"/>
    <w:rsid w:val="00F504AF"/>
    <w:rsid w:val="00F53538"/>
    <w:rsid w:val="00F60118"/>
    <w:rsid w:val="00F60477"/>
    <w:rsid w:val="00F6090E"/>
    <w:rsid w:val="00F60936"/>
    <w:rsid w:val="00F61849"/>
    <w:rsid w:val="00F64EE8"/>
    <w:rsid w:val="00F67FDB"/>
    <w:rsid w:val="00F71CC3"/>
    <w:rsid w:val="00F738DA"/>
    <w:rsid w:val="00F74A38"/>
    <w:rsid w:val="00F757BE"/>
    <w:rsid w:val="00F80199"/>
    <w:rsid w:val="00F807D5"/>
    <w:rsid w:val="00F807E7"/>
    <w:rsid w:val="00F87544"/>
    <w:rsid w:val="00F903AB"/>
    <w:rsid w:val="00F90BE9"/>
    <w:rsid w:val="00F9414A"/>
    <w:rsid w:val="00F94C09"/>
    <w:rsid w:val="00FA6EBC"/>
    <w:rsid w:val="00FB3122"/>
    <w:rsid w:val="00FB6F11"/>
    <w:rsid w:val="00FD2EA0"/>
    <w:rsid w:val="00FD62EB"/>
    <w:rsid w:val="00FD6EDA"/>
    <w:rsid w:val="00FE269D"/>
    <w:rsid w:val="00FE7ED7"/>
    <w:rsid w:val="00FF0747"/>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0DF46"/>
  <w15:chartTrackingRefBased/>
  <w15:docId w15:val="{5F026BC8-972F-4893-BBC8-85584B89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36"/>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93562">
      <w:bodyDiv w:val="1"/>
      <w:marLeft w:val="0"/>
      <w:marRight w:val="0"/>
      <w:marTop w:val="0"/>
      <w:marBottom w:val="0"/>
      <w:divBdr>
        <w:top w:val="none" w:sz="0" w:space="0" w:color="auto"/>
        <w:left w:val="none" w:sz="0" w:space="0" w:color="auto"/>
        <w:bottom w:val="none" w:sz="0" w:space="0" w:color="auto"/>
        <w:right w:val="none" w:sz="0" w:space="0" w:color="auto"/>
      </w:divBdr>
    </w:div>
    <w:div w:id="468941439">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89431025">
      <w:bodyDiv w:val="1"/>
      <w:marLeft w:val="0"/>
      <w:marRight w:val="0"/>
      <w:marTop w:val="0"/>
      <w:marBottom w:val="0"/>
      <w:divBdr>
        <w:top w:val="none" w:sz="0" w:space="0" w:color="auto"/>
        <w:left w:val="none" w:sz="0" w:space="0" w:color="auto"/>
        <w:bottom w:val="none" w:sz="0" w:space="0" w:color="auto"/>
        <w:right w:val="none" w:sz="0" w:space="0" w:color="auto"/>
      </w:divBdr>
    </w:div>
    <w:div w:id="667488388">
      <w:bodyDiv w:val="1"/>
      <w:marLeft w:val="0"/>
      <w:marRight w:val="0"/>
      <w:marTop w:val="0"/>
      <w:marBottom w:val="0"/>
      <w:divBdr>
        <w:top w:val="none" w:sz="0" w:space="0" w:color="auto"/>
        <w:left w:val="none" w:sz="0" w:space="0" w:color="auto"/>
        <w:bottom w:val="none" w:sz="0" w:space="0" w:color="auto"/>
        <w:right w:val="none" w:sz="0" w:space="0" w:color="auto"/>
      </w:divBdr>
    </w:div>
    <w:div w:id="971792698">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6842464">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92441188">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53229226">
      <w:bodyDiv w:val="1"/>
      <w:marLeft w:val="0"/>
      <w:marRight w:val="0"/>
      <w:marTop w:val="0"/>
      <w:marBottom w:val="0"/>
      <w:divBdr>
        <w:top w:val="none" w:sz="0" w:space="0" w:color="auto"/>
        <w:left w:val="none" w:sz="0" w:space="0" w:color="auto"/>
        <w:bottom w:val="none" w:sz="0" w:space="0" w:color="auto"/>
        <w:right w:val="none" w:sz="0" w:space="0" w:color="auto"/>
      </w:divBdr>
    </w:div>
    <w:div w:id="1727142595">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1806755">
      <w:bodyDiv w:val="1"/>
      <w:marLeft w:val="0"/>
      <w:marRight w:val="0"/>
      <w:marTop w:val="0"/>
      <w:marBottom w:val="0"/>
      <w:divBdr>
        <w:top w:val="none" w:sz="0" w:space="0" w:color="auto"/>
        <w:left w:val="none" w:sz="0" w:space="0" w:color="auto"/>
        <w:bottom w:val="none" w:sz="0" w:space="0" w:color="auto"/>
        <w:right w:val="none" w:sz="0" w:space="0" w:color="auto"/>
      </w:divBdr>
    </w:div>
    <w:div w:id="2061319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gov.uk/government/publications/drugs-and-pharmaceutical-supplier-tender-submission"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image" Target="media/image1.png"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footer" Target="footer1.xml" Id="rId14" /><Relationship Type="http://schemas.openxmlformats.org/officeDocument/2006/relationships/customXml" Target="/customXML/item4.xml" Id="R8fa8763b309344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A2688436</value>
    </field>
    <field name="Objective-Title">
      <value order="0">Document No. 02 - Terms of offer</value>
    </field>
    <field name="Objective-Description">
      <value order="0"/>
    </field>
    <field name="Objective-CreationStamp">
      <value order="0">2022-07-11T11:55:26Z</value>
    </field>
    <field name="Objective-IsApproved">
      <value order="0">false</value>
    </field>
    <field name="Objective-IsPublished">
      <value order="0">true</value>
    </field>
    <field name="Objective-DatePublished">
      <value order="0">2023-01-13T15:48:55Z</value>
    </field>
    <field name="Objective-ModificationStamp">
      <value order="0">2023-01-13T15:48:56Z</value>
    </field>
    <field name="Objective-Owner">
      <value order="0">Giblin, Sharron</value>
    </field>
    <field name="Objective-Path">
      <value order="0">Global Folder:03 Generic Medicine Projects and Contracts:Live Projects:19 Generic Pharmaceuticals Projects 2022:CM/PHG/22/5694 - NHS National Generic Pharmaceuticals - Dasatinib:03 Tender for CM/PHG/22/5694 - NHS National Generic Pharmaceuticals - Dasatinib:02 ITO Documentation</value>
    </field>
    <field name="Objective-Parent">
      <value order="0">02 ITO Documentation</value>
    </field>
    <field name="Objective-State">
      <value order="0">Published</value>
    </field>
    <field name="Objective-VersionId">
      <value order="0">vA4133625</value>
    </field>
    <field name="Objective-Version">
      <value order="0">9.0</value>
    </field>
    <field name="Objective-VersionNumber">
      <value order="0">9</value>
    </field>
    <field name="Objective-VersionComment">
      <value order="0"/>
    </field>
    <field name="Objective-FileNumber">
      <value order="0">qA18969</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01A2D216-4159-47D1-8F18-C9F5B5C0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20</Pages>
  <Words>6764</Words>
  <Characters>38555</Characters>
  <Application>Microsoft Office Word</Application>
  <DocSecurity>0</DocSecurity>
  <Lines>321</Lines>
  <Paragraphs>90</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
      <vt:lpstr>    All Central Government Departments and their Executive Agencies and Non- Departm</vt:lpstr>
      <vt:lpstr>    For these purposes, the Authority may disclose within Government any of the Offe</vt:lpstr>
      <vt:lpstr>    4.2	Offerors should be aware of the Authority’s obligations and responsibilities</vt:lpstr>
      <vt:lpstr>10.		The Authority’s Rights </vt:lpstr>
      <vt:lpstr/>
      <vt:lpstr>10.1		The Authority reserves the right to:</vt:lpstr>
      <vt:lpstr>    </vt:lpstr>
      <vt:lpstr>    10.1.1	waive or change the requirements of this Invitation to Offer from time to</vt:lpstr>
      <vt:lpstr>    </vt:lpstr>
      <vt:lpstr>    10.1.2	seek clarification or documents in respect of an Offeror's submission;</vt:lpstr>
      <vt:lpstr>    10.1.3	disqualify any Offeror that does not submit a compliant Offer in accordan</vt:lpstr>
      <vt:lpstr>    </vt:lpstr>
      <vt:lpstr>    10.1.4	disqualify any Offeror that is guilty of serious misrepresentation in rel</vt:lpstr>
      <vt:lpstr>    </vt:lpstr>
      <vt:lpstr>    withdraw this Invitation to Offer at any time, or re-invite Offers on the same o</vt:lpstr>
      <vt:lpstr>    </vt:lpstr>
      <vt:lpstr>    accept an Offer either in whole or in part, each item being for this purpose tre</vt:lpstr>
      <vt:lpstr>    </vt:lpstr>
      <vt:lpstr>    choose not to award any framework agreement as a result of the procurement proce</vt:lpstr>
      <vt:lpstr>    </vt:lpstr>
      <vt:lpstr>    make whatever changes it sees fit to the timetable, structure or content of the </vt:lpstr>
      <vt:lpstr>    </vt:lpstr>
      <vt:lpstr>    at any time terminate the procurement process for any reason.</vt:lpstr>
      <vt:lpstr>    </vt:lpstr>
      <vt:lpstr>    </vt:lpstr>
      <vt:lpstr/>
      <vt:lpstr>    11.1	While the information contained in this Invitation to Offer is believed to </vt:lpstr>
      <vt:lpstr>    </vt:lpstr>
      <vt:lpstr>    11.2	If an Offeror proposes to enter into a framework agreement with the Authori</vt:lpstr>
      <vt:lpstr>    </vt:lpstr>
      <vt:lpstr>    11.3	Neither the issue of this Invitation to Offer, nor any of the information p</vt:lpstr>
      <vt:lpstr>    </vt:lpstr>
      <vt:lpstr>    12.1	Award Criteria </vt:lpstr>
      <vt:lpstr>    12.3	Evaluation Panel</vt:lpstr>
      <vt:lpstr>    12.4.5	At any time following a standstill period of ten days, subject always to </vt:lpstr>
    </vt:vector>
  </TitlesOfParts>
  <Company>IMS3</Company>
  <LinksUpToDate>false</LinksUpToDate>
  <CharactersWithSpaces>45229</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Sharron Giblin</cp:lastModifiedBy>
  <cp:revision>29</cp:revision>
  <cp:lastPrinted>2018-10-24T08:06:00Z</cp:lastPrinted>
  <dcterms:created xsi:type="dcterms:W3CDTF">2022-07-11T10:55:00Z</dcterms:created>
  <dcterms:modified xsi:type="dcterms:W3CDTF">2023-01-13T12:07:00Z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A2688436</vt:lpwstr>
  </property>
  <property fmtid="{D5CDD505-2E9C-101B-9397-08002B2CF9AE}" pid="3" name="Objective-Comment">
    <vt:lpwstr/>
  </property>
  <property fmtid="{D5CDD505-2E9C-101B-9397-08002B2CF9AE}" pid="4" name="Objective-CreationStamp">
    <vt:filetime>2022-12-21T13:31:58Z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2023-01-13T15:48:55Z</vt:filetime>
  </property>
  <property fmtid="{D5CDD505-2E9C-101B-9397-08002B2CF9AE}" pid="8" name="Objective-ModificationStamp">
    <vt:filetime>2023-01-13T15:48:56Z</vt:filetime>
  </property>
  <property fmtid="{D5CDD505-2E9C-101B-9397-08002B2CF9AE}" pid="9" name="Objective-Owner">
    <vt:lpwstr>Giblin, Sharron</vt:lpwstr>
  </property>
  <property fmtid="{D5CDD505-2E9C-101B-9397-08002B2CF9AE}" pid="10" name="Objective-Path">
    <vt:lpwstr>Global Folder:03 Generic Medicine Projects and Contracts:Live Projects:19 Generic Pharmaceuticals Projects 2022:CM/PHG/22/5694 - NHS National Generic Pharmaceuticals - Dasatinib:03 Tender for CM/PHG/22/5694 - NHS National Generic Pharmaceuticals - Dasatinib:02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9.0</vt:lpwstr>
  </property>
  <property fmtid="{D5CDD505-2E9C-101B-9397-08002B2CF9AE}" pid="15" name="Objective-VersionComment">
    <vt:lpwstr/>
  </property>
  <property fmtid="{D5CDD505-2E9C-101B-9397-08002B2CF9AE}" pid="16" name="Objective-VersionNumber">
    <vt:r8>9</vt:r8>
  </property>
  <property fmtid="{D5CDD505-2E9C-101B-9397-08002B2CF9AE}" pid="17" name="Objective-FileNumber">
    <vt:lpwstr>qA18969</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vA4133625</vt:lpwstr>
  </property>
</Properties>
</file>