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EBECB" w14:textId="1161742F" w:rsidR="00A85B19" w:rsidRPr="0041419B" w:rsidRDefault="00032803" w:rsidP="007279F4">
      <w:pPr>
        <w:pStyle w:val="CoverTitle"/>
        <w:rPr>
          <w:b/>
        </w:rPr>
      </w:pPr>
      <w:r w:rsidRPr="0041419B">
        <w:rPr>
          <w:b/>
        </w:rPr>
        <w:t>Specification for research project</w:t>
      </w:r>
    </w:p>
    <w:p w14:paraId="0B9A45D2" w14:textId="410FD944" w:rsidR="00032803" w:rsidRDefault="00F50D1C" w:rsidP="00032803">
      <w:pPr>
        <w:pStyle w:val="CoverSubTitle"/>
      </w:pPr>
      <w:r w:rsidRPr="00F50D1C">
        <w:t xml:space="preserve">Codify the impact of professional driving policies and defining best practice guidance </w:t>
      </w:r>
      <w:r w:rsidR="004F5756">
        <w:t>T1305</w:t>
      </w:r>
    </w:p>
    <w:p w14:paraId="18D3404C" w14:textId="0D3AA8A2" w:rsidR="002032C3" w:rsidRDefault="002032C3" w:rsidP="009C66F7">
      <w:pPr>
        <w:pStyle w:val="Body"/>
        <w:rPr>
          <w:b/>
        </w:rPr>
      </w:pPr>
    </w:p>
    <w:p w14:paraId="05659DDF" w14:textId="398307CA" w:rsidR="00D508FB" w:rsidRDefault="00D508FB" w:rsidP="00D508FB">
      <w:pPr>
        <w:pStyle w:val="Body"/>
      </w:pPr>
      <w:r w:rsidRPr="00CF133E">
        <w:t>The draft research specification and assessment criteria that follows is subject to change following supplier engagement. It outlines RSSB’s current proposed approach to</w:t>
      </w:r>
      <w:r>
        <w:t xml:space="preserve"> “</w:t>
      </w:r>
      <w:r w:rsidRPr="00F50D1C">
        <w:t>Codify the impact of professional driving policies and defining best practice guidance</w:t>
      </w:r>
      <w:r>
        <w:t>”</w:t>
      </w:r>
      <w:r w:rsidRPr="009A1359">
        <w:t xml:space="preserve">. </w:t>
      </w:r>
    </w:p>
    <w:p w14:paraId="26661A74" w14:textId="36AC10DD" w:rsidR="00D508FB" w:rsidRDefault="00D508FB" w:rsidP="00D508FB">
      <w:pPr>
        <w:pStyle w:val="Body"/>
      </w:pPr>
      <w:bookmarkStart w:id="0" w:name="_Hlk93317624"/>
      <w:r>
        <w:t xml:space="preserve">A pre-tender suppliers meeting has been arranged for </w:t>
      </w:r>
      <w:r>
        <w:t>03 May</w:t>
      </w:r>
      <w:r>
        <w:t xml:space="preserve"> 2022 at </w:t>
      </w:r>
      <w:r>
        <w:t>10:30</w:t>
      </w:r>
      <w:r>
        <w:t>-</w:t>
      </w:r>
      <w:r>
        <w:t>12:00</w:t>
      </w:r>
      <w:r>
        <w:t xml:space="preserve">, to be held remotely on Microsoft Teams. </w:t>
      </w:r>
      <w:bookmarkEnd w:id="0"/>
      <w:r>
        <w:t xml:space="preserve">The purpose of this meeting is to: </w:t>
      </w:r>
    </w:p>
    <w:p w14:paraId="36118E96" w14:textId="77777777" w:rsidR="00D508FB" w:rsidRDefault="00D508FB" w:rsidP="00D508FB">
      <w:pPr>
        <w:pStyle w:val="Body"/>
        <w:numPr>
          <w:ilvl w:val="0"/>
          <w:numId w:val="48"/>
        </w:numPr>
      </w:pPr>
      <w:r>
        <w:t>Provide an outline of the project proposal</w:t>
      </w:r>
    </w:p>
    <w:p w14:paraId="5A97DE0B" w14:textId="77777777" w:rsidR="00D508FB" w:rsidRDefault="00D508FB" w:rsidP="00D508FB">
      <w:pPr>
        <w:pStyle w:val="Body"/>
        <w:numPr>
          <w:ilvl w:val="0"/>
          <w:numId w:val="48"/>
        </w:numPr>
      </w:pPr>
      <w:r>
        <w:t>Provide interested suppliers an opportunity to discuss, understand and inform the research specification</w:t>
      </w:r>
    </w:p>
    <w:p w14:paraId="0F2E25C3" w14:textId="77777777" w:rsidR="00D508FB" w:rsidRDefault="00D508FB" w:rsidP="00D508FB">
      <w:pPr>
        <w:pStyle w:val="Body"/>
        <w:numPr>
          <w:ilvl w:val="0"/>
          <w:numId w:val="48"/>
        </w:numPr>
      </w:pPr>
      <w:r>
        <w:t>Provide interested suppliers an opportunity to form partnerships to deliver the research</w:t>
      </w:r>
      <w:r>
        <w:br/>
      </w:r>
    </w:p>
    <w:p w14:paraId="786B748A" w14:textId="77777777" w:rsidR="00D508FB" w:rsidRDefault="00D508FB" w:rsidP="00D508FB">
      <w:pPr>
        <w:pStyle w:val="Body"/>
      </w:pPr>
      <w:r>
        <w:t>Suppliers should be prepared to discuss the following:</w:t>
      </w:r>
    </w:p>
    <w:p w14:paraId="4D62D602" w14:textId="77777777" w:rsidR="00D508FB" w:rsidRDefault="00D508FB" w:rsidP="00D508FB">
      <w:pPr>
        <w:pStyle w:val="Body"/>
        <w:numPr>
          <w:ilvl w:val="0"/>
          <w:numId w:val="49"/>
        </w:numPr>
        <w:jc w:val="both"/>
      </w:pPr>
      <w:r>
        <w:t>What resources and information would suppliers require, to deliver robust outcomes?</w:t>
      </w:r>
    </w:p>
    <w:p w14:paraId="63B8D893" w14:textId="77777777" w:rsidR="00D508FB" w:rsidRDefault="00D508FB" w:rsidP="00D508FB">
      <w:pPr>
        <w:pStyle w:val="Body"/>
        <w:numPr>
          <w:ilvl w:val="0"/>
          <w:numId w:val="49"/>
        </w:numPr>
        <w:jc w:val="both"/>
      </w:pPr>
      <w:r>
        <w:t xml:space="preserve">What are the challenges and barriers to delivering this work? What enablers would support successful delivery of the project? </w:t>
      </w:r>
    </w:p>
    <w:p w14:paraId="4559750A" w14:textId="020FB925" w:rsidR="00D508FB" w:rsidRDefault="00D508FB" w:rsidP="00D508FB">
      <w:pPr>
        <w:pStyle w:val="Body"/>
        <w:numPr>
          <w:ilvl w:val="0"/>
          <w:numId w:val="49"/>
        </w:numPr>
        <w:jc w:val="both"/>
      </w:pPr>
      <w:r>
        <w:t xml:space="preserve">What is the estimated effort to deliver this work to quality and time? </w:t>
      </w:r>
    </w:p>
    <w:p w14:paraId="13EBE138" w14:textId="77777777" w:rsidR="00D508FB" w:rsidRDefault="00D508FB" w:rsidP="00D508FB">
      <w:pPr>
        <w:pStyle w:val="Body"/>
        <w:jc w:val="both"/>
      </w:pPr>
    </w:p>
    <w:p w14:paraId="5B2BD9FD" w14:textId="77777777" w:rsidR="00D508FB" w:rsidRDefault="00D508FB" w:rsidP="00D508FB">
      <w:pPr>
        <w:pStyle w:val="Body"/>
        <w:jc w:val="both"/>
      </w:pPr>
      <w:r>
        <w:t>Please note that following the suppliers meeting, RSSB may amend the document before publishing the invitation to tender.</w:t>
      </w:r>
    </w:p>
    <w:p w14:paraId="3C56A50A" w14:textId="7A873CA6" w:rsidR="00D508FB" w:rsidRDefault="00D508FB" w:rsidP="00D508FB">
      <w:pPr>
        <w:pStyle w:val="Body"/>
        <w:rPr>
          <w:b/>
        </w:rPr>
      </w:pPr>
      <w:bookmarkStart w:id="1" w:name="_Hlk93317646"/>
      <w:r>
        <w:t xml:space="preserve">Suppliers wishing to attend the event must confirm the name and email address of all attendees to </w:t>
      </w:r>
      <w:hyperlink r:id="rId11" w:history="1">
        <w:r w:rsidRPr="008F73D5">
          <w:rPr>
            <w:rStyle w:val="Hyperlink"/>
          </w:rPr>
          <w:t>Tanja.Odinsen@rssb.co.uk</w:t>
        </w:r>
      </w:hyperlink>
      <w:r>
        <w:t xml:space="preserve"> by 1</w:t>
      </w:r>
      <w:r>
        <w:t>2</w:t>
      </w:r>
      <w:r>
        <w:t xml:space="preserve">:00 on </w:t>
      </w:r>
      <w:r>
        <w:t>29</w:t>
      </w:r>
      <w:r>
        <w:t xml:space="preserve"> </w:t>
      </w:r>
      <w:r>
        <w:t>April</w:t>
      </w:r>
      <w:r>
        <w:t xml:space="preserve"> 2022, you will then be issued with </w:t>
      </w:r>
      <w:r>
        <w:t>a link</w:t>
      </w:r>
      <w:r>
        <w:t xml:space="preserve"> to </w:t>
      </w:r>
      <w:r>
        <w:t>join the Teams</w:t>
      </w:r>
      <w:r>
        <w:t xml:space="preserve"> meeting.</w:t>
      </w:r>
    </w:p>
    <w:bookmarkEnd w:id="1"/>
    <w:p w14:paraId="0770FB25" w14:textId="2A970582" w:rsidR="00DE3D78" w:rsidRDefault="00DE3D78" w:rsidP="009C66F7">
      <w:pPr>
        <w:pStyle w:val="Body"/>
        <w:rPr>
          <w:b/>
        </w:rPr>
      </w:pPr>
    </w:p>
    <w:p w14:paraId="2EB4C344" w14:textId="20E95120" w:rsidR="00DE3D78" w:rsidRDefault="00DE3D78" w:rsidP="009C66F7">
      <w:pPr>
        <w:pStyle w:val="Body"/>
        <w:rPr>
          <w:b/>
        </w:rPr>
      </w:pPr>
    </w:p>
    <w:p w14:paraId="5E232522" w14:textId="6882EBCA" w:rsidR="00B66214" w:rsidRPr="00D508FB" w:rsidRDefault="00C16E3D" w:rsidP="00D508FB">
      <w:pPr>
        <w:pStyle w:val="Body"/>
        <w:rPr>
          <w:b/>
        </w:rPr>
        <w:sectPr w:rsidR="00B66214" w:rsidRPr="00D508FB"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pPr>
      <w:r>
        <w:rPr>
          <w:b/>
        </w:rPr>
        <w:br/>
      </w:r>
    </w:p>
    <w:p w14:paraId="05547A46" w14:textId="0FB28D4C" w:rsidR="0054035A" w:rsidRPr="002C7A2C" w:rsidRDefault="002C7A2C" w:rsidP="00AA2069">
      <w:pPr>
        <w:pStyle w:val="Heading10"/>
        <w:keepNext/>
        <w:numPr>
          <w:ilvl w:val="0"/>
          <w:numId w:val="25"/>
        </w:numPr>
        <w:ind w:left="426" w:hanging="426"/>
        <w:outlineLvl w:val="9"/>
        <w:rPr>
          <w:rFonts w:ascii="Calibri" w:hAnsi="Calibri"/>
        </w:rPr>
      </w:pPr>
      <w:r w:rsidRPr="25396392">
        <w:rPr>
          <w:rFonts w:ascii="Calibri" w:hAnsi="Calibri"/>
        </w:rPr>
        <w:lastRenderedPageBreak/>
        <w:t>RSSB overview</w:t>
      </w:r>
    </w:p>
    <w:p w14:paraId="5E3AF618" w14:textId="77777777" w:rsidR="00E87146" w:rsidRDefault="00E87146" w:rsidP="00E87146">
      <w:pPr>
        <w:pStyle w:val="Body"/>
        <w:spacing w:line="276" w:lineRule="auto"/>
        <w:jc w:val="both"/>
        <w:rPr>
          <w:sz w:val="20"/>
          <w:szCs w:val="20"/>
        </w:rPr>
      </w:pPr>
      <w:r>
        <w:t>RSSB is a membership organisation that supports the GB rail industry by:</w:t>
      </w:r>
    </w:p>
    <w:p w14:paraId="16FFE28B" w14:textId="77777777" w:rsidR="00E87146" w:rsidRDefault="00E87146" w:rsidP="00AA2069">
      <w:pPr>
        <w:pStyle w:val="Bullet1"/>
        <w:numPr>
          <w:ilvl w:val="0"/>
          <w:numId w:val="41"/>
        </w:numPr>
        <w:tabs>
          <w:tab w:val="clear" w:pos="227"/>
        </w:tabs>
        <w:spacing w:line="276" w:lineRule="auto"/>
        <w:jc w:val="both"/>
      </w:pPr>
      <w:r>
        <w:rPr>
          <w:b/>
          <w:bCs/>
        </w:rPr>
        <w:t>Understanding safety risk</w:t>
      </w:r>
      <w:r>
        <w:t xml:space="preserve"> – Using safety intelligence with the latest risk modelling to inform members and support safe decision making. </w:t>
      </w:r>
    </w:p>
    <w:p w14:paraId="71A2B095" w14:textId="3FA2E945" w:rsidR="00E87146" w:rsidRDefault="00E87146" w:rsidP="00AA2069">
      <w:pPr>
        <w:pStyle w:val="Bullet1"/>
        <w:numPr>
          <w:ilvl w:val="0"/>
          <w:numId w:val="26"/>
        </w:numPr>
        <w:tabs>
          <w:tab w:val="clear" w:pos="227"/>
        </w:tabs>
        <w:spacing w:line="276" w:lineRule="auto"/>
        <w:ind w:firstLine="0"/>
        <w:jc w:val="both"/>
      </w:pPr>
      <w:r>
        <w:rPr>
          <w:b/>
          <w:bCs/>
        </w:rPr>
        <w:t>Guiding standardisation</w:t>
      </w:r>
      <w:r>
        <w:t xml:space="preserve"> – Creating, </w:t>
      </w:r>
      <w:r w:rsidR="00D508FB">
        <w:t>reviewing,</w:t>
      </w:r>
      <w:r>
        <w:t xml:space="preserve"> and simplifying GB standards; managing the Rule Book and making it easier for the railway to deliver efficiently and safely. </w:t>
      </w:r>
    </w:p>
    <w:p w14:paraId="095D25EA" w14:textId="77777777" w:rsidR="00E87146" w:rsidRDefault="00E87146" w:rsidP="00AA2069">
      <w:pPr>
        <w:pStyle w:val="Bullet1"/>
        <w:numPr>
          <w:ilvl w:val="0"/>
          <w:numId w:val="26"/>
        </w:numPr>
        <w:tabs>
          <w:tab w:val="clear" w:pos="227"/>
        </w:tabs>
        <w:spacing w:line="276" w:lineRule="auto"/>
        <w:ind w:firstLine="0"/>
        <w:jc w:val="both"/>
      </w:pPr>
      <w:r>
        <w:rPr>
          <w:b/>
          <w:bCs/>
        </w:rPr>
        <w:t>Leading the sustainability agenda</w:t>
      </w:r>
      <w:r>
        <w:t xml:space="preserve"> - Maintaining and growing rail’s position as Britain’s leading low-carbon and sustainable transport mode by working to address rail emissions and measuring the benefits rail provides to society.</w:t>
      </w:r>
    </w:p>
    <w:p w14:paraId="55843722" w14:textId="77777777" w:rsidR="00E87146" w:rsidRDefault="00E87146" w:rsidP="00AA2069">
      <w:pPr>
        <w:pStyle w:val="Bullet1"/>
        <w:numPr>
          <w:ilvl w:val="0"/>
          <w:numId w:val="26"/>
        </w:numPr>
        <w:tabs>
          <w:tab w:val="clear" w:pos="227"/>
        </w:tabs>
        <w:spacing w:line="276" w:lineRule="auto"/>
        <w:ind w:firstLine="0"/>
        <w:jc w:val="both"/>
      </w:pPr>
      <w:r>
        <w:rPr>
          <w:b/>
          <w:bCs/>
        </w:rPr>
        <w:t>Facilitating cross-industry collaboration</w:t>
      </w:r>
      <w:r>
        <w:t xml:space="preserve"> – </w:t>
      </w:r>
      <w:r w:rsidRPr="00F95B16">
        <w:t>As an independent, cross-industry body, developing industry strategies, and supporting activities that need collaboration, such as supplier assurance schemes and confidential reporting.</w:t>
      </w:r>
    </w:p>
    <w:p w14:paraId="6B14B7C0" w14:textId="10467C0E" w:rsidR="00D02A81" w:rsidRDefault="00E87146" w:rsidP="00AA2069">
      <w:pPr>
        <w:pStyle w:val="Bullet1"/>
        <w:numPr>
          <w:ilvl w:val="0"/>
          <w:numId w:val="26"/>
        </w:numPr>
        <w:tabs>
          <w:tab w:val="clear" w:pos="227"/>
        </w:tabs>
        <w:spacing w:line="276" w:lineRule="auto"/>
        <w:ind w:firstLine="0"/>
        <w:jc w:val="both"/>
      </w:pPr>
      <w:r>
        <w:rPr>
          <w:b/>
          <w:bCs/>
        </w:rPr>
        <w:t xml:space="preserve">Delivering new knowledge and solutions </w:t>
      </w:r>
      <w:r>
        <w:t xml:space="preserve">– Undertaking research that addresses the rail industries needs and opportunities, for now and for the future. Developing the new knowledge and solutions needed to inform the future of standards, drive improvements to the industry’s safety performance, and make rapid progress against the rail sustainability agenda. </w:t>
      </w:r>
    </w:p>
    <w:p w14:paraId="14DA3B7C" w14:textId="77777777" w:rsidR="00D02A81" w:rsidRDefault="00D02A81" w:rsidP="00D02A81">
      <w:pPr>
        <w:pStyle w:val="Bullet1"/>
        <w:numPr>
          <w:ilvl w:val="0"/>
          <w:numId w:val="0"/>
        </w:numPr>
        <w:ind w:left="360" w:hanging="360"/>
      </w:pPr>
    </w:p>
    <w:p w14:paraId="1328CBE8" w14:textId="77777777" w:rsidR="00005F35" w:rsidRDefault="00005F35" w:rsidP="00AA2069">
      <w:pPr>
        <w:pStyle w:val="Heading10"/>
        <w:keepNext/>
        <w:numPr>
          <w:ilvl w:val="0"/>
          <w:numId w:val="25"/>
        </w:numPr>
        <w:ind w:left="426" w:hanging="426"/>
        <w:outlineLvl w:val="9"/>
        <w:rPr>
          <w:rFonts w:ascii="Calibri" w:hAnsi="Calibri"/>
        </w:rPr>
        <w:sectPr w:rsidR="00005F35" w:rsidSect="00D26B62">
          <w:pgSz w:w="11906" w:h="16838"/>
          <w:pgMar w:top="1985" w:right="1985" w:bottom="1985" w:left="1985" w:header="567" w:footer="567" w:gutter="0"/>
          <w:cols w:space="708"/>
          <w:docGrid w:linePitch="360"/>
        </w:sectPr>
      </w:pPr>
    </w:p>
    <w:p w14:paraId="1F233E2D" w14:textId="484E3DDE" w:rsidR="0054035A" w:rsidRDefault="005047AB" w:rsidP="00AA2069">
      <w:pPr>
        <w:pStyle w:val="Heading10"/>
        <w:keepNext/>
        <w:numPr>
          <w:ilvl w:val="0"/>
          <w:numId w:val="25"/>
        </w:numPr>
        <w:ind w:left="426" w:hanging="426"/>
        <w:outlineLvl w:val="9"/>
        <w:rPr>
          <w:rFonts w:ascii="Calibri" w:hAnsi="Calibri"/>
        </w:rPr>
      </w:pPr>
      <w:r w:rsidRPr="25396392">
        <w:rPr>
          <w:rFonts w:ascii="Calibri" w:hAnsi="Calibri"/>
        </w:rPr>
        <w:lastRenderedPageBreak/>
        <w:t>B</w:t>
      </w:r>
      <w:r w:rsidR="0054035A" w:rsidRPr="25396392">
        <w:rPr>
          <w:rFonts w:ascii="Calibri" w:hAnsi="Calibri"/>
        </w:rPr>
        <w:t xml:space="preserve">ackground </w:t>
      </w:r>
    </w:p>
    <w:p w14:paraId="374A3EC5" w14:textId="1A8D2D3F" w:rsidR="00F50D1C" w:rsidRDefault="0CCBC5AB" w:rsidP="00F50D1C">
      <w:pPr>
        <w:pStyle w:val="Body"/>
      </w:pPr>
      <w:r>
        <w:t xml:space="preserve">Professional train driving is an established concept designed to improve driver safety and provide consistent performance. It is an approach used throughout the rail industry. Professional driving is a combination of personal mindset, behaviours, culture and driving techniques that minimise the risk of errors. </w:t>
      </w:r>
    </w:p>
    <w:p w14:paraId="106C4623" w14:textId="02382685" w:rsidR="006C4C3F" w:rsidRDefault="00F50D1C" w:rsidP="00F50D1C">
      <w:pPr>
        <w:pStyle w:val="Body"/>
      </w:pPr>
      <w:r>
        <w:t>Every passenger and freight operating company, as well as organisations who operate on-track machines, produce their own professional driving policies which identify good practice for correct and safe driving techniques. The purpose of these policies is to give maximum benefit in terms of safety, performance and passenger satisfaction that complement the requirements of train driving as set</w:t>
      </w:r>
      <w:r w:rsidR="001E51FE">
        <w:t xml:space="preserve"> </w:t>
      </w:r>
      <w:r>
        <w:t xml:space="preserve">out in the rule book and train driving competencies. </w:t>
      </w:r>
    </w:p>
    <w:p w14:paraId="3C02571B" w14:textId="350D8A53" w:rsidR="00F50D1C" w:rsidRDefault="00F50D1C" w:rsidP="00F50D1C">
      <w:pPr>
        <w:pStyle w:val="Body"/>
      </w:pPr>
      <w:r>
        <w:t>Professional driving involves meeting and exceeding the minimum competence requirements and seeking opportunities to train for further improvement in safety performance.</w:t>
      </w:r>
      <w:r w:rsidR="000942CA">
        <w:t xml:space="preserve"> </w:t>
      </w:r>
      <w:r>
        <w:t>They have grown organically over a number of years following advances in relevant research, changes to the Rule Book, the introduction of new rolling stock, the development of the ‘Eco driving’ concept, incident learning, and consultations with drivers and their trade union representatives. As a consequence, there can be considerable variation in driving techniques between operators driving on the same line of route and some policies do not enable the full benefits of the technical capabilities of the train to be realised.</w:t>
      </w:r>
    </w:p>
    <w:p w14:paraId="1AD9A99E" w14:textId="53EA0C99" w:rsidR="00504874" w:rsidRDefault="006C4C3F" w:rsidP="00F50D1C">
      <w:pPr>
        <w:pStyle w:val="Body"/>
      </w:pPr>
      <w:r>
        <w:t xml:space="preserve">Of note, </w:t>
      </w:r>
      <w:r w:rsidR="000942CA">
        <w:t xml:space="preserve">one development </w:t>
      </w:r>
      <w:r w:rsidR="001E51FE">
        <w:t xml:space="preserve">in professional driving policies </w:t>
      </w:r>
      <w:r w:rsidR="000942CA">
        <w:t xml:space="preserve">has been </w:t>
      </w:r>
      <w:r w:rsidR="001E51FE">
        <w:t>the</w:t>
      </w:r>
      <w:r>
        <w:t xml:space="preserve"> concept known as “defensive driving”</w:t>
      </w:r>
      <w:r w:rsidR="002145FC">
        <w:t xml:space="preserve">. </w:t>
      </w:r>
      <w:r>
        <w:t xml:space="preserve"> </w:t>
      </w:r>
      <w:r w:rsidR="002119C7">
        <w:t xml:space="preserve">This requires drivers to </w:t>
      </w:r>
      <w:r>
        <w:t xml:space="preserve">drive more cautiously with specific speeds at set distances, such as at the AWS magnet. These were put in place in response to the number of SPADs that the industry was having post privatisation. The situation has also changed with improved braking performance of many trains and uprated train protection including TPWS and in some cases ERTMS and ATP. </w:t>
      </w:r>
    </w:p>
    <w:p w14:paraId="64A3A269" w14:textId="76CC68B4" w:rsidR="006C4C3F" w:rsidRDefault="006C4C3F" w:rsidP="00F50D1C">
      <w:pPr>
        <w:pStyle w:val="Body"/>
      </w:pPr>
      <w:r>
        <w:t xml:space="preserve">The key issue is in fact the interaction of drivers with the system, as there is a perception that driver interaction is sub-optimal resulting in reduced system performance.  Consequently, industry is likely to be exposed to higher levels of safety risk and poorer train performance, leading to lower levels of customer satisfaction / confidence which ultimately have an economic impact. </w:t>
      </w:r>
    </w:p>
    <w:p w14:paraId="2B682DA3" w14:textId="3654F1B8" w:rsidR="000E4DC8" w:rsidRDefault="000E4DC8" w:rsidP="00F50D1C">
      <w:pPr>
        <w:pStyle w:val="Body"/>
      </w:pPr>
      <w:r>
        <w:t>Defensive driving practices are particularly associated with the leaf fall season</w:t>
      </w:r>
      <w:r w:rsidR="0047200F">
        <w:t>. M</w:t>
      </w:r>
      <w:r w:rsidR="0047200F" w:rsidRPr="0047200F">
        <w:t>ost operators have a policy of braking early under low adhesion conditions, the application of braking and emergency braking differs, which may not make best use of on-train equipment. Industry reports such as the 2006 ‘Goff Report’ previously highlighted how industry did not make the best use of</w:t>
      </w:r>
      <w:r w:rsidR="0047200F">
        <w:t xml:space="preserve"> </w:t>
      </w:r>
      <w:r w:rsidR="0047200F" w:rsidRPr="0047200F">
        <w:t>available adhesion’</w:t>
      </w:r>
      <w:r w:rsidR="0047200F">
        <w:t xml:space="preserve">. </w:t>
      </w:r>
      <w:r w:rsidR="0047200F" w:rsidRPr="0047200F">
        <w:t xml:space="preserve"> Recent RSSB research </w:t>
      </w:r>
      <w:r w:rsidR="0047200F">
        <w:t>(T1181 and COF-LAD</w:t>
      </w:r>
      <w:r w:rsidR="0047200F">
        <w:rPr>
          <w:rStyle w:val="FootnoteReference"/>
        </w:rPr>
        <w:footnoteReference w:id="2"/>
      </w:r>
      <w:r w:rsidR="0047200F">
        <w:t xml:space="preserve">) </w:t>
      </w:r>
      <w:r w:rsidR="0047200F" w:rsidRPr="0047200F">
        <w:t xml:space="preserve">identified that approximately half of time lost during deceleration on a </w:t>
      </w:r>
      <w:r w:rsidR="0047200F" w:rsidRPr="0047200F">
        <w:lastRenderedPageBreak/>
        <w:t>commuter rail line in autumn 2019 was due to the differences in braking practices</w:t>
      </w:r>
      <w:r w:rsidR="0047200F">
        <w:t xml:space="preserve">. </w:t>
      </w:r>
      <w:r w:rsidR="0047200F" w:rsidRPr="0047200F">
        <w:t>Driving practices were also implicated in the slight losses during the acceleration and cruising phases. One of the key recommendations for industry was to ‘consider a change to driving policy to make the most of the train’s capabilities to make the most of all available adhesion’.</w:t>
      </w:r>
      <w:r w:rsidR="0047200F">
        <w:t xml:space="preserve"> To this end RSSB </w:t>
      </w:r>
      <w:r w:rsidR="00504874">
        <w:t xml:space="preserve">recently published </w:t>
      </w:r>
      <w:r w:rsidR="0047200F">
        <w:t>T1221</w:t>
      </w:r>
      <w:r w:rsidR="00504874" w:rsidRPr="00504874">
        <w:t xml:space="preserve"> </w:t>
      </w:r>
      <w:r w:rsidR="00504874">
        <w:t xml:space="preserve">ADHERE: </w:t>
      </w:r>
      <w:r w:rsidR="00504874" w:rsidRPr="00535F8C">
        <w:t>Low adhesion driving policies</w:t>
      </w:r>
      <w:r w:rsidR="00504874">
        <w:rPr>
          <w:rStyle w:val="FootnoteReference"/>
        </w:rPr>
        <w:t xml:space="preserve"> </w:t>
      </w:r>
      <w:r w:rsidR="00504874">
        <w:rPr>
          <w:rStyle w:val="FootnoteReference"/>
        </w:rPr>
        <w:footnoteReference w:id="3"/>
      </w:r>
      <w:r w:rsidR="00504874">
        <w:t xml:space="preserve">. </w:t>
      </w:r>
      <w:r w:rsidR="00ED2B7C">
        <w:t>It</w:t>
      </w:r>
      <w:r w:rsidR="0047200F">
        <w:t xml:space="preserve"> </w:t>
      </w:r>
      <w:r w:rsidR="00504874">
        <w:t>defines best practice autumn</w:t>
      </w:r>
      <w:r w:rsidR="00504874" w:rsidRPr="00504874">
        <w:t xml:space="preserve"> driving policies</w:t>
      </w:r>
      <w:r w:rsidR="00504874">
        <w:t xml:space="preserve"> accounting for individual rolling stocks’ systems and capabilities to deal with low adhesion. </w:t>
      </w:r>
    </w:p>
    <w:p w14:paraId="5260DCE4" w14:textId="07E05762" w:rsidR="00ED2B7C" w:rsidRDefault="00504874" w:rsidP="006C4C3F">
      <w:pPr>
        <w:pStyle w:val="Body"/>
      </w:pPr>
      <w:r>
        <w:t xml:space="preserve">Looking at driving policies more widely, </w:t>
      </w:r>
      <w:r w:rsidR="006C4C3F">
        <w:t>Network Rail System</w:t>
      </w:r>
      <w:r w:rsidR="00747C4E">
        <w:t xml:space="preserve"> Operator</w:t>
      </w:r>
      <w:r w:rsidR="006C4C3F">
        <w:t xml:space="preserve"> </w:t>
      </w:r>
      <w:r>
        <w:t xml:space="preserve">are developing the </w:t>
      </w:r>
      <w:r w:rsidR="00F241D8">
        <w:t>‘</w:t>
      </w:r>
      <w:r w:rsidR="006C4C3F">
        <w:t>System Utilisation Definition (SUD) and the Time Signal at Red (TSAR) Metric</w:t>
      </w:r>
      <w:r w:rsidR="00F241D8">
        <w:t>’</w:t>
      </w:r>
      <w:r w:rsidR="006C4C3F">
        <w:t xml:space="preserve">. </w:t>
      </w:r>
      <w:r w:rsidR="00F241D8">
        <w:t xml:space="preserve">The work is investigating how driving practices impact </w:t>
      </w:r>
      <w:r>
        <w:t>capacity and downstream</w:t>
      </w:r>
      <w:r w:rsidR="00F241D8">
        <w:t xml:space="preserve"> impacts on performance. </w:t>
      </w:r>
      <w:r>
        <w:t xml:space="preserve">It </w:t>
      </w:r>
      <w:r w:rsidR="008057B4">
        <w:t>has</w:t>
      </w:r>
      <w:r w:rsidR="006C4C3F">
        <w:t xml:space="preserve"> </w:t>
      </w:r>
      <w:r>
        <w:t xml:space="preserve">already </w:t>
      </w:r>
      <w:r w:rsidR="006C4C3F">
        <w:t xml:space="preserve">shown capacity </w:t>
      </w:r>
      <w:r>
        <w:t>loss</w:t>
      </w:r>
      <w:r w:rsidR="006C4C3F">
        <w:t xml:space="preserve"> </w:t>
      </w:r>
      <w:r>
        <w:t xml:space="preserve">related to inefficient driving practices </w:t>
      </w:r>
      <w:r w:rsidR="006C4C3F">
        <w:t xml:space="preserve">although the exact level is still being assessed. </w:t>
      </w:r>
    </w:p>
    <w:p w14:paraId="5A94CF53" w14:textId="6E192C1E" w:rsidR="00504874" w:rsidRDefault="00504874" w:rsidP="006C4C3F">
      <w:pPr>
        <w:pStyle w:val="Body"/>
      </w:pPr>
      <w:r>
        <w:t xml:space="preserve">Network Rail’s work </w:t>
      </w:r>
      <w:r w:rsidR="00340B2C">
        <w:t xml:space="preserve">also </w:t>
      </w:r>
      <w:r>
        <w:t>clearly</w:t>
      </w:r>
      <w:r w:rsidR="00F50D1C">
        <w:t xml:space="preserve"> identified that timetable models and simulations do not fully account of different driving styles which limits their effectiveness in understanding how efficiently the railway system is being utilised. Some models and simulations will make assumptions on driving </w:t>
      </w:r>
      <w:r w:rsidR="00D508FB">
        <w:t>style,</w:t>
      </w:r>
      <w:r w:rsidR="00F50D1C">
        <w:t xml:space="preserve"> but they do not accurately represent real-world operation and therefore limits the accuracy of analysis that can be undertaken on system utilisation and how a planned timetable will operate.</w:t>
      </w:r>
    </w:p>
    <w:p w14:paraId="743FEBE5" w14:textId="41614F79" w:rsidR="00340B2C" w:rsidRPr="006C4C3F" w:rsidRDefault="00340B2C" w:rsidP="00340B2C">
      <w:pPr>
        <w:pStyle w:val="Body"/>
      </w:pPr>
      <w:r>
        <w:t>T1305 will build on these initiatives to define best practice driving policies and practices that better account for rolling stock and infrastructure systems and capabilities</w:t>
      </w:r>
      <w:r w:rsidR="005718D7">
        <w:t xml:space="preserve"> (work package </w:t>
      </w:r>
      <w:r w:rsidR="005C0BCC">
        <w:t>one</w:t>
      </w:r>
      <w:r w:rsidR="005718D7">
        <w:t>)</w:t>
      </w:r>
      <w:r>
        <w:t xml:space="preserve">. </w:t>
      </w:r>
      <w:r w:rsidR="005718D7">
        <w:t xml:space="preserve">Using the analysis and findings </w:t>
      </w:r>
      <w:r w:rsidR="005C0BCC">
        <w:t xml:space="preserve">from </w:t>
      </w:r>
      <w:r w:rsidR="005718D7">
        <w:t>which will underpin best practice driving policies</w:t>
      </w:r>
      <w:r w:rsidR="005C0BCC">
        <w:t xml:space="preserve">, this work </w:t>
      </w:r>
      <w:r w:rsidR="00D508FB">
        <w:t>seeks</w:t>
      </w:r>
      <w:r w:rsidR="005C0BCC">
        <w:t xml:space="preserve"> to improve timetable and capacity modelling (work package two). Here, the project will identify and codify the aspects of professional driving policies and practices that materially impact the reliability of service deliverable.</w:t>
      </w:r>
    </w:p>
    <w:p w14:paraId="337395A0" w14:textId="77777777" w:rsidR="00340B2C" w:rsidRDefault="00340B2C" w:rsidP="006C4C3F">
      <w:pPr>
        <w:pStyle w:val="Body"/>
      </w:pPr>
    </w:p>
    <w:p w14:paraId="2D4864D9" w14:textId="757C7965" w:rsidR="00ED2B7C" w:rsidRDefault="00ED2B7C" w:rsidP="006C4C3F">
      <w:pPr>
        <w:pStyle w:val="Body"/>
      </w:pPr>
    </w:p>
    <w:p w14:paraId="11E0B85F" w14:textId="4D18B9A3" w:rsidR="00032803" w:rsidRPr="006C4C3F" w:rsidRDefault="00F50D1C" w:rsidP="006C4C3F">
      <w:pPr>
        <w:pStyle w:val="Body"/>
      </w:pPr>
      <w:r>
        <w:br w:type="page"/>
      </w:r>
    </w:p>
    <w:p w14:paraId="750DE176" w14:textId="302AB694" w:rsidR="00032803" w:rsidRPr="00E5676E" w:rsidRDefault="0002683E" w:rsidP="00AA2069">
      <w:pPr>
        <w:pStyle w:val="Heading10"/>
        <w:keepNext/>
        <w:numPr>
          <w:ilvl w:val="0"/>
          <w:numId w:val="25"/>
        </w:numPr>
        <w:ind w:left="426" w:hanging="426"/>
        <w:outlineLvl w:val="9"/>
        <w:rPr>
          <w:rFonts w:ascii="Calibri" w:hAnsi="Calibri"/>
        </w:rPr>
      </w:pPr>
      <w:r w:rsidRPr="25396392">
        <w:rPr>
          <w:rFonts w:ascii="Calibri" w:hAnsi="Calibri"/>
        </w:rPr>
        <w:lastRenderedPageBreak/>
        <w:t>Project o</w:t>
      </w:r>
      <w:r w:rsidR="00032803" w:rsidRPr="25396392">
        <w:rPr>
          <w:rFonts w:ascii="Calibri" w:hAnsi="Calibri"/>
        </w:rPr>
        <w:t>bjectives</w:t>
      </w:r>
    </w:p>
    <w:p w14:paraId="0D1856B8" w14:textId="382DE66D" w:rsidR="00AF3E2E" w:rsidRDefault="009A1E65" w:rsidP="00AF3E2E">
      <w:pPr>
        <w:pStyle w:val="Body"/>
      </w:pPr>
      <w:r>
        <w:t xml:space="preserve">This objective of T1305 is to enable the creation </w:t>
      </w:r>
      <w:r w:rsidR="000151C8">
        <w:t xml:space="preserve">of more homogenised professional driving policies based on evidenced best practice and define an approach for codifying existing and future policies so that they can be used to inform more accurate modelling and simulation of the network, such as by TSAR. </w:t>
      </w:r>
      <w:r w:rsidR="00AF3E2E">
        <w:t>This research will deliver key outputs</w:t>
      </w:r>
      <w:r w:rsidR="00736036">
        <w:t xml:space="preserve"> through two work</w:t>
      </w:r>
      <w:r w:rsidR="00475E14">
        <w:t xml:space="preserve"> packages</w:t>
      </w:r>
      <w:r w:rsidR="00AF3E2E">
        <w:t>:</w:t>
      </w:r>
    </w:p>
    <w:p w14:paraId="79C39480" w14:textId="79626950" w:rsidR="00AF3E2E" w:rsidRDefault="000151C8" w:rsidP="00AA2069">
      <w:pPr>
        <w:pStyle w:val="Body"/>
        <w:numPr>
          <w:ilvl w:val="0"/>
          <w:numId w:val="42"/>
        </w:numPr>
        <w:spacing w:line="280" w:lineRule="exact"/>
      </w:pPr>
      <w:r>
        <w:t xml:space="preserve">Work </w:t>
      </w:r>
      <w:r w:rsidR="0035334E">
        <w:t>P</w:t>
      </w:r>
      <w:r>
        <w:t xml:space="preserve">ackage 1: </w:t>
      </w:r>
      <w:r w:rsidR="004F3751">
        <w:t>T1305-01</w:t>
      </w:r>
      <w:r>
        <w:t xml:space="preserve"> - </w:t>
      </w:r>
      <w:r w:rsidR="00AF3E2E">
        <w:t xml:space="preserve">Guidance </w:t>
      </w:r>
      <w:r w:rsidR="00F241D8">
        <w:t xml:space="preserve">for developing </w:t>
      </w:r>
      <w:r w:rsidR="00AF3E2E">
        <w:t xml:space="preserve">and </w:t>
      </w:r>
      <w:r w:rsidR="00F241D8">
        <w:t xml:space="preserve">adopting </w:t>
      </w:r>
      <w:r w:rsidR="00AF3E2E">
        <w:t>best practice driving policies and other instructions that influence driving practice</w:t>
      </w:r>
    </w:p>
    <w:p w14:paraId="6CDC8F89" w14:textId="28411E39" w:rsidR="000151C8" w:rsidRDefault="000151C8" w:rsidP="00AA2069">
      <w:pPr>
        <w:pStyle w:val="Body"/>
        <w:numPr>
          <w:ilvl w:val="0"/>
          <w:numId w:val="42"/>
        </w:numPr>
        <w:spacing w:line="280" w:lineRule="exact"/>
      </w:pPr>
      <w:r>
        <w:t xml:space="preserve">Work </w:t>
      </w:r>
      <w:r w:rsidR="0035334E">
        <w:t>P</w:t>
      </w:r>
      <w:r>
        <w:t xml:space="preserve">ackage 2: </w:t>
      </w:r>
      <w:r w:rsidR="004F3751">
        <w:t xml:space="preserve">T1305-02 </w:t>
      </w:r>
      <w:r w:rsidR="00AF3E2E">
        <w:t>An approach to codifying driving policies that is useable by modelling and simulation tools, such as TSAR</w:t>
      </w:r>
    </w:p>
    <w:p w14:paraId="345B770B" w14:textId="55BDEF0D" w:rsidR="00160466" w:rsidRPr="00504874" w:rsidRDefault="000151C8" w:rsidP="00340B2C">
      <w:pPr>
        <w:pStyle w:val="Body"/>
        <w:rPr>
          <w:i/>
          <w:iCs/>
        </w:rPr>
      </w:pPr>
      <w:r w:rsidRPr="00504874">
        <w:rPr>
          <w:i/>
          <w:iCs/>
        </w:rPr>
        <w:t xml:space="preserve">Progression to </w:t>
      </w:r>
      <w:r w:rsidR="0035334E" w:rsidRPr="00504874">
        <w:rPr>
          <w:i/>
          <w:iCs/>
        </w:rPr>
        <w:t>W</w:t>
      </w:r>
      <w:r w:rsidRPr="00504874">
        <w:rPr>
          <w:i/>
          <w:iCs/>
        </w:rPr>
        <w:t>ork</w:t>
      </w:r>
      <w:r w:rsidR="0035334E" w:rsidRPr="00504874">
        <w:rPr>
          <w:i/>
          <w:iCs/>
        </w:rPr>
        <w:t xml:space="preserve"> Package 2</w:t>
      </w:r>
      <w:r w:rsidR="00BF452C" w:rsidRPr="00504874">
        <w:rPr>
          <w:i/>
          <w:iCs/>
        </w:rPr>
        <w:t xml:space="preserve"> </w:t>
      </w:r>
      <w:r w:rsidR="002947E0" w:rsidRPr="00504874">
        <w:rPr>
          <w:i/>
          <w:iCs/>
        </w:rPr>
        <w:t xml:space="preserve">is gated. </w:t>
      </w:r>
      <w:r w:rsidR="0024045C" w:rsidRPr="00504874">
        <w:rPr>
          <w:i/>
          <w:iCs/>
        </w:rPr>
        <w:t xml:space="preserve">RSSB and the project steering group will decide on </w:t>
      </w:r>
      <w:r w:rsidR="00160466">
        <w:rPr>
          <w:i/>
          <w:iCs/>
        </w:rPr>
        <w:t xml:space="preserve">progression </w:t>
      </w:r>
      <w:r w:rsidR="0024045C" w:rsidRPr="00504874">
        <w:rPr>
          <w:i/>
          <w:iCs/>
        </w:rPr>
        <w:t>to Work Package 2</w:t>
      </w:r>
      <w:r w:rsidR="005718D7">
        <w:rPr>
          <w:i/>
          <w:iCs/>
        </w:rPr>
        <w:t xml:space="preserve"> before acceptance of the work package 1 deliverables. </w:t>
      </w:r>
    </w:p>
    <w:p w14:paraId="19A7A04C" w14:textId="77777777" w:rsidR="003367C7" w:rsidRDefault="003367C7" w:rsidP="00AF3E2E">
      <w:pPr>
        <w:pStyle w:val="Body"/>
      </w:pPr>
    </w:p>
    <w:p w14:paraId="308F5A9D" w14:textId="71AB0E26" w:rsidR="00C46670" w:rsidRDefault="00C46670" w:rsidP="003D4D85">
      <w:pPr>
        <w:pStyle w:val="Body"/>
      </w:pPr>
    </w:p>
    <w:p w14:paraId="0693FE7F" w14:textId="05F74F9C" w:rsidR="00032803" w:rsidRPr="00D62DE4" w:rsidRDefault="00032803" w:rsidP="00AA2069">
      <w:pPr>
        <w:pStyle w:val="Heading10"/>
        <w:keepNext/>
        <w:numPr>
          <w:ilvl w:val="0"/>
          <w:numId w:val="25"/>
        </w:numPr>
        <w:ind w:left="426" w:hanging="426"/>
        <w:outlineLvl w:val="9"/>
        <w:rPr>
          <w:rFonts w:ascii="Calibri" w:hAnsi="Calibri"/>
        </w:rPr>
      </w:pPr>
      <w:r>
        <w:br w:type="page"/>
      </w:r>
      <w:r w:rsidR="0002683E" w:rsidRPr="25396392">
        <w:rPr>
          <w:b/>
          <w:bCs/>
        </w:rPr>
        <w:lastRenderedPageBreak/>
        <w:t>Project</w:t>
      </w:r>
      <w:r w:rsidR="0002683E">
        <w:t xml:space="preserve"> </w:t>
      </w:r>
      <w:r w:rsidR="0002683E" w:rsidRPr="25396392">
        <w:rPr>
          <w:rFonts w:ascii="Calibri" w:hAnsi="Calibri"/>
        </w:rPr>
        <w:t>s</w:t>
      </w:r>
      <w:r w:rsidR="00875261" w:rsidRPr="25396392">
        <w:rPr>
          <w:rFonts w:ascii="Calibri" w:hAnsi="Calibri"/>
        </w:rPr>
        <w:t>cope</w:t>
      </w:r>
    </w:p>
    <w:p w14:paraId="15C2D8D1" w14:textId="243EB994" w:rsidR="00AF3E2E" w:rsidRDefault="009A1E65" w:rsidP="00AF3E2E">
      <w:pPr>
        <w:pStyle w:val="Body"/>
      </w:pPr>
      <w:r>
        <w:t xml:space="preserve">This </w:t>
      </w:r>
      <w:r w:rsidR="00AF3E2E">
        <w:t>research project will develop guidance on designing a best practice professional driving policy and an approach for codifying professional driving policies so that they can inform more accurate models and simulations. The work will be undertaken through the PERFORM research programme, tendered as a single project split into two work packages:</w:t>
      </w:r>
    </w:p>
    <w:p w14:paraId="6F04906E" w14:textId="27A5E01D" w:rsidR="00AF3E2E" w:rsidRPr="00BB0A16" w:rsidRDefault="00AF3E2E" w:rsidP="00AF3E2E">
      <w:pPr>
        <w:pStyle w:val="Body"/>
        <w:rPr>
          <w:b/>
          <w:bCs/>
        </w:rPr>
      </w:pPr>
      <w:r>
        <w:rPr>
          <w:b/>
          <w:bCs/>
        </w:rPr>
        <w:t xml:space="preserve">Work Package 1 </w:t>
      </w:r>
      <w:r w:rsidR="00FD4C79">
        <w:rPr>
          <w:b/>
          <w:bCs/>
        </w:rPr>
        <w:t>(</w:t>
      </w:r>
      <w:r w:rsidR="00FD4C79" w:rsidRPr="00265493">
        <w:rPr>
          <w:b/>
          <w:bCs/>
        </w:rPr>
        <w:t>T1305-01)</w:t>
      </w:r>
      <w:r w:rsidR="00FD4C79">
        <w:t xml:space="preserve"> </w:t>
      </w:r>
      <w:r>
        <w:rPr>
          <w:b/>
          <w:bCs/>
        </w:rPr>
        <w:t>– Creating Guidance for Best Practice Professional Driving Policies</w:t>
      </w:r>
    </w:p>
    <w:p w14:paraId="1D25C93E" w14:textId="77777777" w:rsidR="00AF3E2E" w:rsidRPr="005C3191" w:rsidRDefault="00AF3E2E" w:rsidP="00AF3E2E">
      <w:pPr>
        <w:pStyle w:val="Body"/>
      </w:pPr>
      <w:r>
        <w:t>The aim of this work package is</w:t>
      </w:r>
      <w:r w:rsidRPr="005C3191">
        <w:t xml:space="preserve"> to provide the GB rail industry with guidance and evidence on suitable professional driving policies to enable a more consistent and effective approach to reducing the risk of operational incidents whilst also ensuring high levels of train performance. The project shall identify how drivers can make the best use of available on-train equipment, producing separate guidance and evidence for:</w:t>
      </w:r>
    </w:p>
    <w:p w14:paraId="4DA61DF9" w14:textId="77777777" w:rsidR="00AF3E2E" w:rsidRPr="005C3191" w:rsidRDefault="00AF3E2E" w:rsidP="00AA2069">
      <w:pPr>
        <w:pStyle w:val="Body"/>
        <w:numPr>
          <w:ilvl w:val="0"/>
          <w:numId w:val="43"/>
        </w:numPr>
        <w:spacing w:line="280" w:lineRule="exact"/>
      </w:pPr>
      <w:r w:rsidRPr="005C3191">
        <w:t>Train Operating Companies (TOCs)</w:t>
      </w:r>
    </w:p>
    <w:p w14:paraId="78D8BA1D" w14:textId="77777777" w:rsidR="00AF3E2E" w:rsidRPr="005C3191" w:rsidRDefault="00AF3E2E" w:rsidP="00AA2069">
      <w:pPr>
        <w:pStyle w:val="Body"/>
        <w:numPr>
          <w:ilvl w:val="0"/>
          <w:numId w:val="43"/>
        </w:numPr>
        <w:spacing w:line="280" w:lineRule="exact"/>
      </w:pPr>
      <w:r w:rsidRPr="005C3191">
        <w:t>Freight Operating Companies (FOCs)</w:t>
      </w:r>
    </w:p>
    <w:p w14:paraId="2D68D084" w14:textId="77777777" w:rsidR="00AF3E2E" w:rsidRPr="005C3191" w:rsidRDefault="00AF3E2E" w:rsidP="00AA2069">
      <w:pPr>
        <w:pStyle w:val="Body"/>
        <w:numPr>
          <w:ilvl w:val="0"/>
          <w:numId w:val="43"/>
        </w:numPr>
        <w:spacing w:line="280" w:lineRule="exact"/>
      </w:pPr>
      <w:r w:rsidRPr="005C3191">
        <w:t>On-Track Machine (OTM) operators</w:t>
      </w:r>
    </w:p>
    <w:p w14:paraId="291413AC" w14:textId="77777777" w:rsidR="00AF3E2E" w:rsidRDefault="00AF3E2E" w:rsidP="00AF3E2E">
      <w:pPr>
        <w:pStyle w:val="Body"/>
      </w:pPr>
      <w:r>
        <w:t xml:space="preserve">This work package will also collate and examine the different sources that influence driving policy, such as local instructions and the sectional appendix, to provide a more holistic view and ensure the driving policy is not considered in isolation of other factors. </w:t>
      </w:r>
    </w:p>
    <w:p w14:paraId="02437E69" w14:textId="77777777" w:rsidR="00AF3E2E" w:rsidRDefault="00AF3E2E" w:rsidP="00AF3E2E">
      <w:pPr>
        <w:pStyle w:val="Body"/>
      </w:pPr>
      <w:r>
        <w:t>The desired outcome for this work package will be guidance on creating a professional driving policy that maximises the performance capabilities of modern rolling stock and the signalling capacity while still providing effective management of the train accident risk. The deliverables will also include focussed learning materials to support training and cultural change to facilitate implementation by operators.</w:t>
      </w:r>
    </w:p>
    <w:p w14:paraId="72553C36" w14:textId="2BDF568C" w:rsidR="00AF3E2E" w:rsidRDefault="00AF3E2E" w:rsidP="00AF3E2E">
      <w:pPr>
        <w:pStyle w:val="Body"/>
        <w:rPr>
          <w:b/>
          <w:bCs/>
        </w:rPr>
      </w:pPr>
      <w:r>
        <w:rPr>
          <w:b/>
          <w:bCs/>
        </w:rPr>
        <w:t xml:space="preserve">Work </w:t>
      </w:r>
      <w:r w:rsidRPr="00265493">
        <w:rPr>
          <w:b/>
          <w:bCs/>
        </w:rPr>
        <w:t xml:space="preserve">Package 2 </w:t>
      </w:r>
      <w:r w:rsidR="00265493" w:rsidRPr="00265493">
        <w:rPr>
          <w:b/>
          <w:bCs/>
        </w:rPr>
        <w:t xml:space="preserve">(T1305-02) </w:t>
      </w:r>
      <w:r w:rsidRPr="00265493">
        <w:rPr>
          <w:b/>
          <w:bCs/>
        </w:rPr>
        <w:t>– Codifying</w:t>
      </w:r>
      <w:r>
        <w:rPr>
          <w:b/>
          <w:bCs/>
        </w:rPr>
        <w:t xml:space="preserve"> Professional Driving Policies</w:t>
      </w:r>
    </w:p>
    <w:p w14:paraId="4AF3DB0E" w14:textId="77777777" w:rsidR="00AF3E2E" w:rsidRDefault="00AF3E2E" w:rsidP="00AF3E2E">
      <w:pPr>
        <w:pStyle w:val="Body"/>
      </w:pPr>
      <w:r>
        <w:t xml:space="preserve">The aim of this work package is to </w:t>
      </w:r>
      <w:r w:rsidRPr="00C1155D">
        <w:t xml:space="preserve">codify the different elements contained within a professional driving policy to enable driving behaviours to be accurately </w:t>
      </w:r>
      <w:r>
        <w:t xml:space="preserve">modelled / </w:t>
      </w:r>
      <w:r w:rsidRPr="00C1155D">
        <w:t>simulated</w:t>
      </w:r>
      <w:r>
        <w:t>.</w:t>
      </w:r>
      <w:r w:rsidRPr="00C1155D">
        <w:t xml:space="preserve"> </w:t>
      </w:r>
      <w:r>
        <w:t>This will enable a better</w:t>
      </w:r>
      <w:r w:rsidRPr="00C1155D">
        <w:t xml:space="preserve"> understand</w:t>
      </w:r>
      <w:r>
        <w:t>ing of:</w:t>
      </w:r>
    </w:p>
    <w:p w14:paraId="0827872C" w14:textId="77777777" w:rsidR="00AF3E2E" w:rsidRDefault="00AF3E2E" w:rsidP="00AA2069">
      <w:pPr>
        <w:pStyle w:val="Body"/>
        <w:numPr>
          <w:ilvl w:val="0"/>
          <w:numId w:val="44"/>
        </w:numPr>
        <w:spacing w:line="280" w:lineRule="exact"/>
      </w:pPr>
      <w:r>
        <w:t>T</w:t>
      </w:r>
      <w:r w:rsidRPr="00C1155D">
        <w:t>he whole system performance and safety impact that</w:t>
      </w:r>
      <w:r>
        <w:t xml:space="preserve"> a professional driving</w:t>
      </w:r>
      <w:r w:rsidRPr="00C1155D">
        <w:t xml:space="preserve"> policy has</w:t>
      </w:r>
    </w:p>
    <w:p w14:paraId="6F7969B7" w14:textId="77777777" w:rsidR="00AF3E2E" w:rsidRDefault="00AF3E2E" w:rsidP="00AA2069">
      <w:pPr>
        <w:pStyle w:val="Body"/>
        <w:numPr>
          <w:ilvl w:val="0"/>
          <w:numId w:val="44"/>
        </w:numPr>
        <w:spacing w:line="280" w:lineRule="exact"/>
      </w:pPr>
      <w:r>
        <w:t>H</w:t>
      </w:r>
      <w:r w:rsidRPr="00C1155D">
        <w:t>ow different driving policies</w:t>
      </w:r>
      <w:r>
        <w:t xml:space="preserve"> by operators on the same route</w:t>
      </w:r>
      <w:r w:rsidRPr="00C1155D">
        <w:t xml:space="preserve"> interact with each other</w:t>
      </w:r>
      <w:r>
        <w:t xml:space="preserve"> and the effect this has on whole system performance and safety</w:t>
      </w:r>
    </w:p>
    <w:p w14:paraId="1FD97D4E" w14:textId="77777777" w:rsidR="00AF3E2E" w:rsidRDefault="00AF3E2E" w:rsidP="00AA2069">
      <w:pPr>
        <w:pStyle w:val="Body"/>
        <w:numPr>
          <w:ilvl w:val="0"/>
          <w:numId w:val="44"/>
        </w:numPr>
        <w:spacing w:line="280" w:lineRule="exact"/>
      </w:pPr>
      <w:r>
        <w:t>Whether driving policies are making the best use of network capacity</w:t>
      </w:r>
    </w:p>
    <w:p w14:paraId="75A8DB7F" w14:textId="3AF62501" w:rsidR="00AF3E2E" w:rsidRDefault="00AF3E2E" w:rsidP="00AF3E2E">
      <w:pPr>
        <w:pStyle w:val="Body"/>
      </w:pPr>
      <w:r>
        <w:t xml:space="preserve">The desired outcome of this work package is a means of accurately modelling / simulating different driving policies to understand their impact on the wider network and to enable operators to quantify what the impact would be if they changed elements </w:t>
      </w:r>
      <w:r>
        <w:lastRenderedPageBreak/>
        <w:t>of their driving policy. It is intended for the outcomes to feed directly into the TSAR project that is being developed by Network Rail but should also be useable by other modelling and simulation tools</w:t>
      </w:r>
    </w:p>
    <w:p w14:paraId="1C563C7E" w14:textId="77777777" w:rsidR="00D97D45" w:rsidRPr="00176DDD" w:rsidRDefault="00D97D45" w:rsidP="00176DDD">
      <w:pPr>
        <w:pStyle w:val="Heading30"/>
        <w:rPr>
          <w:sz w:val="28"/>
          <w:szCs w:val="28"/>
        </w:rPr>
      </w:pPr>
      <w:r w:rsidRPr="00176DDD">
        <w:rPr>
          <w:sz w:val="28"/>
          <w:szCs w:val="28"/>
        </w:rPr>
        <w:t>In scope</w:t>
      </w:r>
    </w:p>
    <w:p w14:paraId="141563C1" w14:textId="77777777" w:rsidR="00253C47" w:rsidRDefault="00253C47" w:rsidP="00253C47">
      <w:pPr>
        <w:pStyle w:val="Body"/>
      </w:pPr>
      <w:r>
        <w:t>The supplier should establish an approach, utilising existing documentation and knowledge which should include, as minimum</w:t>
      </w:r>
      <w:r>
        <w:rPr>
          <w:rStyle w:val="FootnoteReference"/>
        </w:rPr>
        <w:footnoteReference w:id="4"/>
      </w:r>
      <w:r>
        <w:t>:</w:t>
      </w:r>
    </w:p>
    <w:p w14:paraId="13A0A26E" w14:textId="77777777" w:rsidR="00253C47"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Professional Driving Policies</w:t>
      </w:r>
    </w:p>
    <w:p w14:paraId="0F316C4D" w14:textId="759CB890" w:rsidR="00CC4870" w:rsidRPr="00D456A4" w:rsidRDefault="00CC4870" w:rsidP="00AA2069">
      <w:pPr>
        <w:pStyle w:val="ListParagraph"/>
        <w:numPr>
          <w:ilvl w:val="0"/>
          <w:numId w:val="24"/>
        </w:numPr>
        <w:rPr>
          <w:rFonts w:asciiTheme="minorHAnsi" w:hAnsiTheme="minorHAnsi"/>
          <w:sz w:val="22"/>
          <w:szCs w:val="22"/>
        </w:rPr>
      </w:pPr>
      <w:r>
        <w:rPr>
          <w:rFonts w:asciiTheme="minorHAnsi" w:hAnsiTheme="minorHAnsi"/>
          <w:sz w:val="22"/>
          <w:szCs w:val="22"/>
        </w:rPr>
        <w:t>Local</w:t>
      </w:r>
      <w:r w:rsidR="00D456A4">
        <w:rPr>
          <w:rFonts w:asciiTheme="minorHAnsi" w:hAnsiTheme="minorHAnsi"/>
          <w:sz w:val="22"/>
          <w:szCs w:val="22"/>
        </w:rPr>
        <w:t xml:space="preserve"> and national</w:t>
      </w:r>
      <w:r>
        <w:rPr>
          <w:rFonts w:asciiTheme="minorHAnsi" w:hAnsiTheme="minorHAnsi"/>
          <w:sz w:val="22"/>
          <w:szCs w:val="22"/>
        </w:rPr>
        <w:t xml:space="preserve"> instructions</w:t>
      </w:r>
      <w:r w:rsidRPr="00D456A4">
        <w:rPr>
          <w:rFonts w:asciiTheme="minorHAnsi" w:hAnsiTheme="minorHAnsi"/>
          <w:sz w:val="22"/>
          <w:szCs w:val="22"/>
        </w:rPr>
        <w:t xml:space="preserve"> </w:t>
      </w:r>
      <w:r w:rsidR="00D456A4">
        <w:rPr>
          <w:rFonts w:asciiTheme="minorHAnsi" w:hAnsiTheme="minorHAnsi"/>
          <w:sz w:val="22"/>
          <w:szCs w:val="22"/>
        </w:rPr>
        <w:t>(</w:t>
      </w:r>
      <w:r w:rsidR="00D508FB">
        <w:rPr>
          <w:rFonts w:asciiTheme="minorHAnsi" w:hAnsiTheme="minorHAnsi"/>
          <w:sz w:val="22"/>
          <w:szCs w:val="22"/>
        </w:rPr>
        <w:t>e.g.,</w:t>
      </w:r>
      <w:r w:rsidR="00D456A4">
        <w:rPr>
          <w:rFonts w:asciiTheme="minorHAnsi" w:hAnsiTheme="minorHAnsi"/>
          <w:sz w:val="22"/>
          <w:szCs w:val="22"/>
        </w:rPr>
        <w:t xml:space="preserve"> </w:t>
      </w:r>
      <w:r w:rsidR="009A1E65">
        <w:rPr>
          <w:rFonts w:asciiTheme="minorHAnsi" w:hAnsiTheme="minorHAnsi"/>
          <w:sz w:val="22"/>
          <w:szCs w:val="22"/>
        </w:rPr>
        <w:t>instructions in the S</w:t>
      </w:r>
      <w:r w:rsidR="00D456A4">
        <w:rPr>
          <w:rFonts w:asciiTheme="minorHAnsi" w:hAnsiTheme="minorHAnsi"/>
          <w:sz w:val="22"/>
          <w:szCs w:val="22"/>
        </w:rPr>
        <w:t xml:space="preserve">ectional </w:t>
      </w:r>
      <w:r w:rsidR="009A1E65">
        <w:rPr>
          <w:rFonts w:asciiTheme="minorHAnsi" w:hAnsiTheme="minorHAnsi"/>
          <w:sz w:val="22"/>
          <w:szCs w:val="22"/>
        </w:rPr>
        <w:t>A</w:t>
      </w:r>
      <w:r w:rsidR="00D456A4">
        <w:rPr>
          <w:rFonts w:asciiTheme="minorHAnsi" w:hAnsiTheme="minorHAnsi"/>
          <w:sz w:val="22"/>
          <w:szCs w:val="22"/>
        </w:rPr>
        <w:t>ppendix</w:t>
      </w:r>
      <w:r w:rsidR="009A1E65">
        <w:rPr>
          <w:rFonts w:asciiTheme="minorHAnsi" w:hAnsiTheme="minorHAnsi"/>
          <w:sz w:val="22"/>
          <w:szCs w:val="22"/>
        </w:rPr>
        <w:t>)</w:t>
      </w:r>
    </w:p>
    <w:p w14:paraId="2B369F29" w14:textId="77777777" w:rsidR="00253C47" w:rsidRPr="004747C9"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Training and competence management approaches</w:t>
      </w:r>
    </w:p>
    <w:p w14:paraId="6984A496" w14:textId="77777777" w:rsidR="00253C47"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Performance regime Schedule 8 protocols</w:t>
      </w:r>
    </w:p>
    <w:p w14:paraId="20AAED47" w14:textId="1631DF93" w:rsidR="00253C47" w:rsidRDefault="00EE5BA5" w:rsidP="00AA2069">
      <w:pPr>
        <w:pStyle w:val="ListParagraph"/>
        <w:numPr>
          <w:ilvl w:val="0"/>
          <w:numId w:val="24"/>
        </w:numPr>
        <w:rPr>
          <w:rFonts w:asciiTheme="minorHAnsi" w:hAnsiTheme="minorHAnsi"/>
          <w:sz w:val="22"/>
          <w:szCs w:val="22"/>
        </w:rPr>
      </w:pPr>
      <w:r>
        <w:rPr>
          <w:rFonts w:asciiTheme="minorHAnsi" w:hAnsiTheme="minorHAnsi"/>
          <w:sz w:val="22"/>
          <w:szCs w:val="22"/>
        </w:rPr>
        <w:t>Rolling stock specific considerations</w:t>
      </w:r>
    </w:p>
    <w:p w14:paraId="585D8E04" w14:textId="77777777" w:rsidR="00253C47"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Industry strategies</w:t>
      </w:r>
    </w:p>
    <w:p w14:paraId="181E0566" w14:textId="77777777" w:rsidR="00253C47"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Incident reports</w:t>
      </w:r>
    </w:p>
    <w:p w14:paraId="52C1DAA4" w14:textId="77777777" w:rsidR="00253C47" w:rsidRDefault="00253C47" w:rsidP="209A9399">
      <w:pPr>
        <w:pStyle w:val="ListParagraph"/>
        <w:numPr>
          <w:ilvl w:val="0"/>
          <w:numId w:val="24"/>
        </w:numPr>
        <w:rPr>
          <w:rFonts w:asciiTheme="minorHAnsi" w:hAnsiTheme="minorHAnsi"/>
          <w:sz w:val="22"/>
          <w:szCs w:val="22"/>
        </w:rPr>
      </w:pPr>
      <w:r w:rsidRPr="209A9399">
        <w:rPr>
          <w:rFonts w:asciiTheme="minorHAnsi" w:hAnsiTheme="minorHAnsi"/>
          <w:sz w:val="22"/>
          <w:szCs w:val="22"/>
        </w:rPr>
        <w:t>Academic studies</w:t>
      </w:r>
    </w:p>
    <w:p w14:paraId="7EF655E7" w14:textId="4C78C6DE" w:rsidR="209A9399" w:rsidRDefault="209A9399" w:rsidP="209A9399">
      <w:pPr>
        <w:pStyle w:val="ListParagraph"/>
        <w:numPr>
          <w:ilvl w:val="0"/>
          <w:numId w:val="24"/>
        </w:numPr>
        <w:rPr>
          <w:rFonts w:asciiTheme="minorHAnsi" w:hAnsiTheme="minorHAnsi"/>
          <w:sz w:val="22"/>
          <w:szCs w:val="22"/>
        </w:rPr>
      </w:pPr>
      <w:r w:rsidRPr="209A9399">
        <w:rPr>
          <w:rFonts w:asciiTheme="minorHAnsi" w:hAnsiTheme="minorHAnsi"/>
          <w:sz w:val="22"/>
          <w:szCs w:val="22"/>
        </w:rPr>
        <w:t>Previous RSSB funded research</w:t>
      </w:r>
      <w:r w:rsidR="00504874">
        <w:rPr>
          <w:rFonts w:asciiTheme="minorHAnsi" w:hAnsiTheme="minorHAnsi"/>
          <w:sz w:val="22"/>
          <w:szCs w:val="22"/>
        </w:rPr>
        <w:t xml:space="preserve"> (</w:t>
      </w:r>
      <w:r w:rsidR="00D508FB">
        <w:rPr>
          <w:rFonts w:asciiTheme="minorHAnsi" w:hAnsiTheme="minorHAnsi"/>
          <w:sz w:val="22"/>
          <w:szCs w:val="22"/>
        </w:rPr>
        <w:t>e.g.,</w:t>
      </w:r>
      <w:r w:rsidR="00504874">
        <w:rPr>
          <w:rFonts w:asciiTheme="minorHAnsi" w:hAnsiTheme="minorHAnsi"/>
          <w:sz w:val="22"/>
          <w:szCs w:val="22"/>
        </w:rPr>
        <w:t xml:space="preserve"> T1221)</w:t>
      </w:r>
    </w:p>
    <w:p w14:paraId="7E97794C" w14:textId="5CF7967E" w:rsidR="00253C47" w:rsidRDefault="00253C47" w:rsidP="00253C47">
      <w:pPr>
        <w:rPr>
          <w:rFonts w:asciiTheme="minorHAnsi" w:hAnsiTheme="minorHAnsi"/>
          <w:sz w:val="22"/>
          <w:szCs w:val="22"/>
        </w:rPr>
      </w:pPr>
    </w:p>
    <w:p w14:paraId="0A1E4716" w14:textId="77777777" w:rsidR="00253C47" w:rsidRPr="00176DDD" w:rsidRDefault="00253C47" w:rsidP="00253C47">
      <w:pPr>
        <w:pStyle w:val="Heading30"/>
        <w:rPr>
          <w:sz w:val="28"/>
          <w:szCs w:val="28"/>
        </w:rPr>
      </w:pPr>
      <w:r>
        <w:rPr>
          <w:color w:val="auto"/>
          <w:sz w:val="22"/>
        </w:rPr>
        <w:t xml:space="preserve">The supplier shall undertake the following tasks for TOCs, FOCs and OTM operators: </w:t>
      </w:r>
    </w:p>
    <w:p w14:paraId="4699C958" w14:textId="5B3C1112" w:rsidR="00253C47"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 xml:space="preserve">Identifying a list of goals </w:t>
      </w:r>
      <w:r w:rsidRPr="00D55E4C">
        <w:rPr>
          <w:rFonts w:asciiTheme="minorHAnsi" w:hAnsiTheme="minorHAnsi"/>
          <w:sz w:val="22"/>
          <w:szCs w:val="22"/>
        </w:rPr>
        <w:t>required from a driving policy, notably:</w:t>
      </w:r>
    </w:p>
    <w:p w14:paraId="14CE1135" w14:textId="069F7B57" w:rsidR="00253C47" w:rsidRPr="00D55E4C" w:rsidRDefault="00253C47" w:rsidP="00AA2069">
      <w:pPr>
        <w:pStyle w:val="ListParagraph"/>
        <w:numPr>
          <w:ilvl w:val="1"/>
          <w:numId w:val="24"/>
        </w:numPr>
        <w:rPr>
          <w:rFonts w:asciiTheme="minorHAnsi" w:hAnsiTheme="minorHAnsi"/>
          <w:sz w:val="22"/>
          <w:szCs w:val="22"/>
        </w:rPr>
      </w:pPr>
      <w:r w:rsidRPr="00D55E4C">
        <w:rPr>
          <w:rFonts w:asciiTheme="minorHAnsi" w:hAnsiTheme="minorHAnsi"/>
          <w:sz w:val="22"/>
          <w:szCs w:val="22"/>
        </w:rPr>
        <w:t xml:space="preserve">Safety </w:t>
      </w:r>
    </w:p>
    <w:p w14:paraId="4076E8BC" w14:textId="1F77AEE6" w:rsidR="00253C47" w:rsidRDefault="00253C47" w:rsidP="00AA2069">
      <w:pPr>
        <w:pStyle w:val="ListParagraph"/>
        <w:numPr>
          <w:ilvl w:val="1"/>
          <w:numId w:val="24"/>
        </w:numPr>
        <w:rPr>
          <w:rFonts w:asciiTheme="minorHAnsi" w:hAnsiTheme="minorHAnsi"/>
          <w:sz w:val="22"/>
          <w:szCs w:val="22"/>
        </w:rPr>
      </w:pPr>
      <w:r w:rsidRPr="00D55E4C">
        <w:rPr>
          <w:rFonts w:asciiTheme="minorHAnsi" w:hAnsiTheme="minorHAnsi"/>
          <w:sz w:val="22"/>
          <w:szCs w:val="22"/>
        </w:rPr>
        <w:t xml:space="preserve">Performance </w:t>
      </w:r>
    </w:p>
    <w:p w14:paraId="4D7D6F7E" w14:textId="471B2949" w:rsidR="008057B4" w:rsidRPr="00D55E4C" w:rsidRDefault="008057B4" w:rsidP="00AA2069">
      <w:pPr>
        <w:pStyle w:val="ListParagraph"/>
        <w:numPr>
          <w:ilvl w:val="1"/>
          <w:numId w:val="24"/>
        </w:numPr>
        <w:rPr>
          <w:rFonts w:asciiTheme="minorHAnsi" w:hAnsiTheme="minorHAnsi"/>
          <w:sz w:val="22"/>
          <w:szCs w:val="22"/>
        </w:rPr>
      </w:pPr>
      <w:r>
        <w:rPr>
          <w:rFonts w:asciiTheme="minorHAnsi" w:hAnsiTheme="minorHAnsi"/>
          <w:sz w:val="22"/>
          <w:szCs w:val="22"/>
        </w:rPr>
        <w:t>Sustainability</w:t>
      </w:r>
    </w:p>
    <w:p w14:paraId="2CCB3CE7" w14:textId="6F26F7D3" w:rsidR="00253C47" w:rsidRDefault="00253C47" w:rsidP="209A9399">
      <w:pPr>
        <w:pStyle w:val="ListParagraph"/>
        <w:numPr>
          <w:ilvl w:val="1"/>
          <w:numId w:val="24"/>
        </w:numPr>
        <w:rPr>
          <w:rFonts w:asciiTheme="minorHAnsi" w:hAnsiTheme="minorHAnsi"/>
          <w:sz w:val="22"/>
          <w:szCs w:val="22"/>
        </w:rPr>
      </w:pPr>
      <w:r w:rsidRPr="209A9399">
        <w:rPr>
          <w:rFonts w:asciiTheme="minorHAnsi" w:hAnsiTheme="minorHAnsi"/>
          <w:sz w:val="22"/>
          <w:szCs w:val="22"/>
        </w:rPr>
        <w:t>Maintainability of the asset (</w:t>
      </w:r>
      <w:r w:rsidR="00D508FB" w:rsidRPr="209A9399">
        <w:rPr>
          <w:rFonts w:asciiTheme="minorHAnsi" w:hAnsiTheme="minorHAnsi"/>
          <w:sz w:val="22"/>
          <w:szCs w:val="22"/>
        </w:rPr>
        <w:t>e.g.,</w:t>
      </w:r>
      <w:r w:rsidRPr="209A9399">
        <w:rPr>
          <w:rFonts w:asciiTheme="minorHAnsi" w:hAnsiTheme="minorHAnsi"/>
          <w:sz w:val="22"/>
          <w:szCs w:val="22"/>
        </w:rPr>
        <w:t xml:space="preserve"> wheel tread damage)</w:t>
      </w:r>
    </w:p>
    <w:p w14:paraId="5F47C315" w14:textId="780B9EDF" w:rsidR="209A9399" w:rsidRPr="008057B4" w:rsidRDefault="209A9399" w:rsidP="008057B4">
      <w:pPr>
        <w:rPr>
          <w:rFonts w:asciiTheme="minorHAnsi" w:hAnsiTheme="minorHAnsi"/>
          <w:sz w:val="22"/>
          <w:szCs w:val="22"/>
        </w:rPr>
      </w:pPr>
    </w:p>
    <w:p w14:paraId="0BEC4423" w14:textId="77777777" w:rsidR="00253C47" w:rsidRDefault="00253C47" w:rsidP="00AA2069">
      <w:pPr>
        <w:pStyle w:val="ListParagraph"/>
        <w:numPr>
          <w:ilvl w:val="0"/>
          <w:numId w:val="24"/>
        </w:numPr>
        <w:rPr>
          <w:rFonts w:asciiTheme="minorHAnsi" w:hAnsiTheme="minorHAnsi"/>
          <w:sz w:val="22"/>
          <w:szCs w:val="22"/>
        </w:rPr>
      </w:pPr>
      <w:r w:rsidRPr="00D50B0E">
        <w:rPr>
          <w:rFonts w:asciiTheme="minorHAnsi" w:hAnsiTheme="minorHAnsi"/>
          <w:sz w:val="22"/>
          <w:szCs w:val="22"/>
        </w:rPr>
        <w:t xml:space="preserve">Assessing </w:t>
      </w:r>
      <w:r>
        <w:rPr>
          <w:rFonts w:asciiTheme="minorHAnsi" w:hAnsiTheme="minorHAnsi"/>
          <w:sz w:val="22"/>
          <w:szCs w:val="22"/>
        </w:rPr>
        <w:t xml:space="preserve">how these goals relate to one another and the trade-off between them </w:t>
      </w:r>
    </w:p>
    <w:p w14:paraId="01FE9A82" w14:textId="77777777" w:rsidR="00253C47" w:rsidRDefault="00253C47" w:rsidP="00AA2069">
      <w:pPr>
        <w:pStyle w:val="ListParagraph"/>
        <w:numPr>
          <w:ilvl w:val="0"/>
          <w:numId w:val="24"/>
        </w:numPr>
        <w:rPr>
          <w:rFonts w:asciiTheme="minorHAnsi" w:hAnsiTheme="minorHAnsi"/>
          <w:sz w:val="22"/>
          <w:szCs w:val="22"/>
        </w:rPr>
      </w:pPr>
      <w:r w:rsidRPr="00D50B0E">
        <w:rPr>
          <w:rFonts w:asciiTheme="minorHAnsi" w:hAnsiTheme="minorHAnsi"/>
          <w:sz w:val="22"/>
          <w:szCs w:val="22"/>
        </w:rPr>
        <w:t>Grouping the goals relative to different types of train and operators that are different in nature</w:t>
      </w:r>
    </w:p>
    <w:p w14:paraId="15DEF9EE" w14:textId="6D7C1AB0" w:rsidR="00253C47"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A</w:t>
      </w:r>
      <w:r w:rsidRPr="001E6F1A">
        <w:rPr>
          <w:rFonts w:asciiTheme="minorHAnsi" w:hAnsiTheme="minorHAnsi"/>
          <w:sz w:val="22"/>
          <w:szCs w:val="22"/>
        </w:rPr>
        <w:t xml:space="preserve">ssessing the extent </w:t>
      </w:r>
      <w:r>
        <w:rPr>
          <w:rFonts w:asciiTheme="minorHAnsi" w:hAnsiTheme="minorHAnsi"/>
          <w:sz w:val="22"/>
          <w:szCs w:val="22"/>
        </w:rPr>
        <w:t xml:space="preserve">and confidence </w:t>
      </w:r>
      <w:r w:rsidRPr="001E6F1A">
        <w:rPr>
          <w:rFonts w:asciiTheme="minorHAnsi" w:hAnsiTheme="minorHAnsi"/>
          <w:sz w:val="22"/>
          <w:szCs w:val="22"/>
        </w:rPr>
        <w:t xml:space="preserve">to which </w:t>
      </w:r>
      <w:r>
        <w:rPr>
          <w:rFonts w:asciiTheme="minorHAnsi" w:hAnsiTheme="minorHAnsi"/>
          <w:sz w:val="22"/>
          <w:szCs w:val="22"/>
        </w:rPr>
        <w:t>operators</w:t>
      </w:r>
      <w:r w:rsidRPr="001E6F1A">
        <w:rPr>
          <w:rFonts w:asciiTheme="minorHAnsi" w:hAnsiTheme="minorHAnsi"/>
          <w:sz w:val="22"/>
          <w:szCs w:val="22"/>
        </w:rPr>
        <w:t xml:space="preserve"> believe those goals are achieved</w:t>
      </w:r>
    </w:p>
    <w:p w14:paraId="2626EE70" w14:textId="46EF16D5" w:rsidR="00253C47" w:rsidRDefault="00253C47" w:rsidP="00AA2069">
      <w:pPr>
        <w:pStyle w:val="ListParagraph"/>
        <w:numPr>
          <w:ilvl w:val="0"/>
          <w:numId w:val="24"/>
        </w:numPr>
        <w:rPr>
          <w:rFonts w:asciiTheme="minorHAnsi" w:hAnsiTheme="minorHAnsi"/>
          <w:sz w:val="22"/>
          <w:szCs w:val="22"/>
        </w:rPr>
      </w:pPr>
      <w:r w:rsidRPr="00140514">
        <w:rPr>
          <w:rFonts w:asciiTheme="minorHAnsi" w:hAnsiTheme="minorHAnsi"/>
          <w:sz w:val="22"/>
          <w:szCs w:val="22"/>
        </w:rPr>
        <w:t xml:space="preserve">Assessing the variability </w:t>
      </w:r>
      <w:r>
        <w:rPr>
          <w:rFonts w:asciiTheme="minorHAnsi" w:hAnsiTheme="minorHAnsi"/>
          <w:sz w:val="22"/>
          <w:szCs w:val="22"/>
        </w:rPr>
        <w:t>of driving instructions across comparable operators (</w:t>
      </w:r>
      <w:r w:rsidR="00D508FB">
        <w:rPr>
          <w:rFonts w:asciiTheme="minorHAnsi" w:hAnsiTheme="minorHAnsi"/>
          <w:sz w:val="22"/>
          <w:szCs w:val="22"/>
        </w:rPr>
        <w:t>i.e.,</w:t>
      </w:r>
      <w:r>
        <w:rPr>
          <w:rFonts w:asciiTheme="minorHAnsi" w:hAnsiTheme="minorHAnsi"/>
          <w:sz w:val="22"/>
          <w:szCs w:val="22"/>
        </w:rPr>
        <w:t xml:space="preserve"> same class/family/generation of rolling stock and same type of services (metro, etc))</w:t>
      </w:r>
    </w:p>
    <w:p w14:paraId="6A12275F" w14:textId="484B8EBC" w:rsidR="00253C47"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t>Assessing and comparing how organisational culture</w:t>
      </w:r>
      <w:r>
        <w:rPr>
          <w:rStyle w:val="FootnoteReference"/>
          <w:rFonts w:asciiTheme="minorHAnsi" w:hAnsiTheme="minorHAnsi"/>
          <w:sz w:val="22"/>
          <w:szCs w:val="22"/>
        </w:rPr>
        <w:footnoteReference w:id="5"/>
      </w:r>
      <w:r>
        <w:rPr>
          <w:rFonts w:asciiTheme="minorHAnsi" w:hAnsiTheme="minorHAnsi"/>
          <w:sz w:val="22"/>
          <w:szCs w:val="22"/>
        </w:rPr>
        <w:t xml:space="preserve"> is embedded in organisational policies related to safety-critical events and close calls </w:t>
      </w:r>
    </w:p>
    <w:p w14:paraId="557D5F05" w14:textId="5D0E48D6" w:rsidR="00253C47" w:rsidRPr="008B4F7C" w:rsidRDefault="00253C47" w:rsidP="00AA2069">
      <w:pPr>
        <w:pStyle w:val="ListParagraph"/>
        <w:numPr>
          <w:ilvl w:val="0"/>
          <w:numId w:val="24"/>
        </w:numPr>
        <w:rPr>
          <w:rFonts w:asciiTheme="minorHAnsi" w:hAnsiTheme="minorHAnsi"/>
          <w:sz w:val="22"/>
          <w:szCs w:val="22"/>
        </w:rPr>
      </w:pPr>
      <w:r>
        <w:rPr>
          <w:rFonts w:asciiTheme="minorHAnsi" w:hAnsiTheme="minorHAnsi"/>
          <w:sz w:val="22"/>
          <w:szCs w:val="22"/>
        </w:rPr>
        <w:lastRenderedPageBreak/>
        <w:t xml:space="preserve">Production of guidance and evidence on driving policies, </w:t>
      </w:r>
      <w:r w:rsidRPr="00983A7B">
        <w:rPr>
          <w:rFonts w:asciiTheme="minorHAnsi" w:hAnsiTheme="minorHAnsi"/>
          <w:sz w:val="22"/>
          <w:szCs w:val="22"/>
        </w:rPr>
        <w:t xml:space="preserve">to enable </w:t>
      </w:r>
      <w:r>
        <w:rPr>
          <w:rFonts w:asciiTheme="minorHAnsi" w:hAnsiTheme="minorHAnsi"/>
          <w:sz w:val="22"/>
          <w:szCs w:val="22"/>
        </w:rPr>
        <w:t xml:space="preserve">duty holders to implement </w:t>
      </w:r>
      <w:r w:rsidRPr="00983A7B">
        <w:rPr>
          <w:rFonts w:asciiTheme="minorHAnsi" w:hAnsiTheme="minorHAnsi"/>
          <w:sz w:val="22"/>
          <w:szCs w:val="22"/>
        </w:rPr>
        <w:t xml:space="preserve">a more consistent </w:t>
      </w:r>
      <w:r>
        <w:rPr>
          <w:rFonts w:asciiTheme="minorHAnsi" w:hAnsiTheme="minorHAnsi"/>
          <w:sz w:val="22"/>
          <w:szCs w:val="22"/>
        </w:rPr>
        <w:t xml:space="preserve">and effective </w:t>
      </w:r>
      <w:r w:rsidRPr="00983A7B">
        <w:rPr>
          <w:rFonts w:asciiTheme="minorHAnsi" w:hAnsiTheme="minorHAnsi"/>
          <w:sz w:val="22"/>
          <w:szCs w:val="22"/>
        </w:rPr>
        <w:t xml:space="preserve">approach on traction and braking </w:t>
      </w:r>
      <w:r>
        <w:rPr>
          <w:rFonts w:asciiTheme="minorHAnsi" w:hAnsiTheme="minorHAnsi"/>
          <w:sz w:val="22"/>
          <w:szCs w:val="22"/>
        </w:rPr>
        <w:t>that achieves the recognised and agreed goals</w:t>
      </w:r>
      <w:r w:rsidRPr="00983A7B">
        <w:rPr>
          <w:rFonts w:asciiTheme="minorHAnsi" w:hAnsiTheme="minorHAnsi"/>
          <w:sz w:val="22"/>
          <w:szCs w:val="22"/>
        </w:rPr>
        <w:t>.</w:t>
      </w:r>
      <w:r>
        <w:rPr>
          <w:rFonts w:asciiTheme="minorHAnsi" w:hAnsiTheme="minorHAnsi"/>
          <w:sz w:val="22"/>
          <w:szCs w:val="22"/>
        </w:rPr>
        <w:t xml:space="preserve"> </w:t>
      </w:r>
    </w:p>
    <w:p w14:paraId="21553BB6" w14:textId="7A477AB1" w:rsidR="00253C47" w:rsidRDefault="00253C47" w:rsidP="00253C47">
      <w:pPr>
        <w:rPr>
          <w:rFonts w:asciiTheme="minorHAnsi" w:hAnsiTheme="minorHAnsi"/>
          <w:sz w:val="22"/>
          <w:szCs w:val="22"/>
        </w:rPr>
      </w:pPr>
    </w:p>
    <w:p w14:paraId="2345E1F9" w14:textId="77777777" w:rsidR="00253C47" w:rsidRDefault="00253C47" w:rsidP="00253C47">
      <w:pPr>
        <w:rPr>
          <w:rFonts w:asciiTheme="minorHAnsi" w:hAnsiTheme="minorHAnsi"/>
          <w:sz w:val="22"/>
          <w:szCs w:val="22"/>
        </w:rPr>
      </w:pPr>
      <w:r>
        <w:rPr>
          <w:rFonts w:asciiTheme="minorHAnsi" w:hAnsiTheme="minorHAnsi"/>
          <w:sz w:val="22"/>
          <w:szCs w:val="22"/>
        </w:rPr>
        <w:t>The above tasks include the following scope:</w:t>
      </w:r>
    </w:p>
    <w:p w14:paraId="2F9272F2" w14:textId="77777777" w:rsidR="00253C47" w:rsidRDefault="00253C47" w:rsidP="00AA2069">
      <w:pPr>
        <w:pStyle w:val="ListParagraph"/>
        <w:numPr>
          <w:ilvl w:val="0"/>
          <w:numId w:val="45"/>
        </w:numPr>
        <w:rPr>
          <w:rFonts w:asciiTheme="minorHAnsi" w:hAnsiTheme="minorHAnsi"/>
          <w:sz w:val="22"/>
          <w:szCs w:val="22"/>
        </w:rPr>
      </w:pPr>
      <w:r>
        <w:rPr>
          <w:rFonts w:asciiTheme="minorHAnsi" w:hAnsiTheme="minorHAnsi"/>
          <w:sz w:val="22"/>
          <w:szCs w:val="22"/>
        </w:rPr>
        <w:t>Traction type, to include (but not be limited to):</w:t>
      </w:r>
    </w:p>
    <w:p w14:paraId="20506D4E" w14:textId="77777777" w:rsidR="00253C47" w:rsidRDefault="00253C47" w:rsidP="00AA2069">
      <w:pPr>
        <w:pStyle w:val="ListParagraph"/>
        <w:numPr>
          <w:ilvl w:val="1"/>
          <w:numId w:val="45"/>
        </w:numPr>
        <w:rPr>
          <w:rFonts w:asciiTheme="minorHAnsi" w:hAnsiTheme="minorHAnsi"/>
          <w:sz w:val="22"/>
          <w:szCs w:val="22"/>
        </w:rPr>
      </w:pPr>
      <w:r w:rsidRPr="008A0CA8">
        <w:rPr>
          <w:rFonts w:asciiTheme="minorHAnsi" w:hAnsiTheme="minorHAnsi"/>
          <w:sz w:val="22"/>
          <w:szCs w:val="22"/>
        </w:rPr>
        <w:t>Passenger trains</w:t>
      </w:r>
    </w:p>
    <w:p w14:paraId="487E1670" w14:textId="77777777" w:rsidR="00253C47" w:rsidRDefault="00253C47" w:rsidP="00AA2069">
      <w:pPr>
        <w:pStyle w:val="ListParagraph"/>
        <w:numPr>
          <w:ilvl w:val="2"/>
          <w:numId w:val="45"/>
        </w:numPr>
        <w:rPr>
          <w:rFonts w:asciiTheme="minorHAnsi" w:hAnsiTheme="minorHAnsi"/>
          <w:sz w:val="22"/>
          <w:szCs w:val="22"/>
        </w:rPr>
      </w:pPr>
      <w:r>
        <w:rPr>
          <w:rFonts w:asciiTheme="minorHAnsi" w:hAnsiTheme="minorHAnsi"/>
          <w:sz w:val="22"/>
          <w:szCs w:val="22"/>
        </w:rPr>
        <w:t>EMUs</w:t>
      </w:r>
    </w:p>
    <w:p w14:paraId="282F9D02" w14:textId="77777777" w:rsidR="00253C47" w:rsidRDefault="00253C47" w:rsidP="00AA2069">
      <w:pPr>
        <w:pStyle w:val="ListParagraph"/>
        <w:numPr>
          <w:ilvl w:val="2"/>
          <w:numId w:val="45"/>
        </w:numPr>
        <w:rPr>
          <w:rFonts w:asciiTheme="minorHAnsi" w:hAnsiTheme="minorHAnsi"/>
          <w:sz w:val="22"/>
          <w:szCs w:val="22"/>
        </w:rPr>
      </w:pPr>
      <w:r>
        <w:rPr>
          <w:rFonts w:asciiTheme="minorHAnsi" w:hAnsiTheme="minorHAnsi"/>
          <w:sz w:val="22"/>
          <w:szCs w:val="22"/>
        </w:rPr>
        <w:t>DMUs</w:t>
      </w:r>
    </w:p>
    <w:p w14:paraId="45A712CB" w14:textId="77777777" w:rsidR="00253C47" w:rsidRPr="00767365" w:rsidRDefault="00253C47" w:rsidP="209A9399">
      <w:pPr>
        <w:pStyle w:val="ListParagraph"/>
        <w:numPr>
          <w:ilvl w:val="2"/>
          <w:numId w:val="45"/>
        </w:numPr>
        <w:rPr>
          <w:rFonts w:asciiTheme="minorHAnsi" w:hAnsiTheme="minorHAnsi"/>
          <w:sz w:val="22"/>
          <w:szCs w:val="22"/>
        </w:rPr>
      </w:pPr>
      <w:r w:rsidRPr="209A9399">
        <w:rPr>
          <w:rFonts w:asciiTheme="minorHAnsi" w:hAnsiTheme="minorHAnsi"/>
          <w:sz w:val="22"/>
          <w:szCs w:val="22"/>
        </w:rPr>
        <w:t>Loco-hauled</w:t>
      </w:r>
    </w:p>
    <w:p w14:paraId="5A21C506" w14:textId="76DA8A5B" w:rsidR="209A9399" w:rsidRDefault="00504874" w:rsidP="209A9399">
      <w:pPr>
        <w:pStyle w:val="ListParagraph"/>
        <w:numPr>
          <w:ilvl w:val="2"/>
          <w:numId w:val="45"/>
        </w:numPr>
        <w:rPr>
          <w:rFonts w:asciiTheme="minorHAnsi" w:hAnsiTheme="minorHAnsi"/>
          <w:sz w:val="22"/>
          <w:szCs w:val="22"/>
        </w:rPr>
      </w:pPr>
      <w:r>
        <w:rPr>
          <w:rFonts w:asciiTheme="minorHAnsi" w:hAnsiTheme="minorHAnsi"/>
          <w:sz w:val="22"/>
          <w:szCs w:val="22"/>
        </w:rPr>
        <w:t>Multi</w:t>
      </w:r>
      <w:r w:rsidR="209A9399" w:rsidRPr="209A9399">
        <w:rPr>
          <w:rFonts w:asciiTheme="minorHAnsi" w:hAnsiTheme="minorHAnsi"/>
          <w:sz w:val="22"/>
          <w:szCs w:val="22"/>
        </w:rPr>
        <w:t>-mode trains</w:t>
      </w:r>
    </w:p>
    <w:p w14:paraId="6672C1D2" w14:textId="778F37B4" w:rsidR="209A9399" w:rsidRDefault="209A9399" w:rsidP="209A9399">
      <w:pPr>
        <w:pStyle w:val="ListParagraph"/>
        <w:numPr>
          <w:ilvl w:val="2"/>
          <w:numId w:val="45"/>
        </w:numPr>
        <w:rPr>
          <w:rFonts w:asciiTheme="minorHAnsi" w:hAnsiTheme="minorHAnsi"/>
          <w:sz w:val="22"/>
          <w:szCs w:val="22"/>
        </w:rPr>
      </w:pPr>
      <w:r w:rsidRPr="209A9399">
        <w:rPr>
          <w:rFonts w:asciiTheme="minorHAnsi" w:hAnsiTheme="minorHAnsi"/>
          <w:sz w:val="22"/>
          <w:szCs w:val="22"/>
        </w:rPr>
        <w:t>Battery trains</w:t>
      </w:r>
    </w:p>
    <w:p w14:paraId="3588D102" w14:textId="77777777" w:rsidR="00253C47" w:rsidRDefault="00253C47" w:rsidP="00AA2069">
      <w:pPr>
        <w:pStyle w:val="ListParagraph"/>
        <w:numPr>
          <w:ilvl w:val="1"/>
          <w:numId w:val="45"/>
        </w:numPr>
        <w:rPr>
          <w:rFonts w:asciiTheme="minorHAnsi" w:hAnsiTheme="minorHAnsi"/>
          <w:sz w:val="22"/>
          <w:szCs w:val="22"/>
        </w:rPr>
      </w:pPr>
      <w:r w:rsidRPr="008A0CA8">
        <w:rPr>
          <w:rFonts w:asciiTheme="minorHAnsi" w:hAnsiTheme="minorHAnsi"/>
          <w:sz w:val="22"/>
          <w:szCs w:val="22"/>
        </w:rPr>
        <w:t>Freight trains</w:t>
      </w:r>
    </w:p>
    <w:p w14:paraId="5CC71CB5" w14:textId="77777777" w:rsidR="00253C47" w:rsidRDefault="00253C47" w:rsidP="00AA2069">
      <w:pPr>
        <w:pStyle w:val="ListParagraph"/>
        <w:numPr>
          <w:ilvl w:val="1"/>
          <w:numId w:val="45"/>
        </w:numPr>
        <w:rPr>
          <w:rFonts w:asciiTheme="minorHAnsi" w:hAnsiTheme="minorHAnsi"/>
          <w:sz w:val="22"/>
          <w:szCs w:val="22"/>
        </w:rPr>
      </w:pPr>
      <w:r>
        <w:rPr>
          <w:rFonts w:asciiTheme="minorHAnsi" w:hAnsiTheme="minorHAnsi"/>
          <w:sz w:val="22"/>
          <w:szCs w:val="22"/>
        </w:rPr>
        <w:t>On-track machines</w:t>
      </w:r>
    </w:p>
    <w:p w14:paraId="5DA52392" w14:textId="77777777" w:rsidR="00253C47" w:rsidRPr="008A0CA8" w:rsidRDefault="00253C47" w:rsidP="00AA2069">
      <w:pPr>
        <w:pStyle w:val="ListParagraph"/>
        <w:numPr>
          <w:ilvl w:val="1"/>
          <w:numId w:val="45"/>
        </w:numPr>
        <w:rPr>
          <w:rFonts w:asciiTheme="minorHAnsi" w:hAnsiTheme="minorHAnsi"/>
          <w:sz w:val="22"/>
          <w:szCs w:val="22"/>
        </w:rPr>
      </w:pPr>
      <w:r>
        <w:rPr>
          <w:rFonts w:asciiTheme="minorHAnsi" w:hAnsiTheme="minorHAnsi"/>
          <w:sz w:val="22"/>
          <w:szCs w:val="22"/>
        </w:rPr>
        <w:t>Multi-purpose vehicles</w:t>
      </w:r>
    </w:p>
    <w:p w14:paraId="59625440" w14:textId="739224DF" w:rsidR="00253C47" w:rsidRPr="00EE5BA5" w:rsidRDefault="00253C47" w:rsidP="00AA2069">
      <w:pPr>
        <w:pStyle w:val="ListParagraph"/>
        <w:numPr>
          <w:ilvl w:val="1"/>
          <w:numId w:val="45"/>
        </w:numPr>
        <w:rPr>
          <w:rFonts w:asciiTheme="minorHAnsi" w:hAnsiTheme="minorHAnsi"/>
          <w:sz w:val="22"/>
          <w:szCs w:val="22"/>
        </w:rPr>
      </w:pPr>
      <w:r w:rsidRPr="008A0CA8">
        <w:rPr>
          <w:rFonts w:asciiTheme="minorHAnsi" w:hAnsiTheme="minorHAnsi"/>
          <w:sz w:val="22"/>
          <w:szCs w:val="22"/>
        </w:rPr>
        <w:t>Number of cars per train (</w:t>
      </w:r>
      <w:r w:rsidR="00D508FB" w:rsidRPr="008A0CA8">
        <w:rPr>
          <w:rFonts w:asciiTheme="minorHAnsi" w:hAnsiTheme="minorHAnsi"/>
          <w:sz w:val="22"/>
          <w:szCs w:val="22"/>
        </w:rPr>
        <w:t>e.g.,</w:t>
      </w:r>
      <w:r w:rsidRPr="008A0CA8">
        <w:rPr>
          <w:rFonts w:asciiTheme="minorHAnsi" w:hAnsiTheme="minorHAnsi"/>
          <w:sz w:val="22"/>
          <w:szCs w:val="22"/>
        </w:rPr>
        <w:t xml:space="preserve"> short formation trains, etc)</w:t>
      </w:r>
      <w:r w:rsidRPr="00EE5BA5">
        <w:rPr>
          <w:rFonts w:asciiTheme="minorHAnsi" w:hAnsiTheme="minorHAnsi"/>
          <w:sz w:val="22"/>
          <w:szCs w:val="22"/>
        </w:rPr>
        <w:br/>
      </w:r>
    </w:p>
    <w:p w14:paraId="2C46EFEC" w14:textId="77777777" w:rsidR="00253C47" w:rsidRPr="008A0CA8" w:rsidRDefault="00253C47" w:rsidP="00AA2069">
      <w:pPr>
        <w:pStyle w:val="ListParagraph"/>
        <w:numPr>
          <w:ilvl w:val="0"/>
          <w:numId w:val="45"/>
        </w:numPr>
        <w:rPr>
          <w:rFonts w:asciiTheme="minorHAnsi" w:hAnsiTheme="minorHAnsi"/>
          <w:sz w:val="22"/>
          <w:szCs w:val="22"/>
        </w:rPr>
      </w:pPr>
      <w:r w:rsidRPr="008A0CA8">
        <w:rPr>
          <w:rFonts w:asciiTheme="minorHAnsi" w:hAnsiTheme="minorHAnsi"/>
          <w:sz w:val="22"/>
          <w:szCs w:val="22"/>
        </w:rPr>
        <w:t>Operator type, to include (but not be limited to):</w:t>
      </w:r>
    </w:p>
    <w:p w14:paraId="386EEDF4" w14:textId="77777777" w:rsidR="00253C47" w:rsidRPr="008A0CA8" w:rsidRDefault="00253C47" w:rsidP="00AA2069">
      <w:pPr>
        <w:pStyle w:val="ListParagraph"/>
        <w:numPr>
          <w:ilvl w:val="1"/>
          <w:numId w:val="45"/>
        </w:numPr>
        <w:rPr>
          <w:rFonts w:asciiTheme="minorHAnsi" w:hAnsiTheme="minorHAnsi"/>
          <w:sz w:val="22"/>
          <w:szCs w:val="22"/>
        </w:rPr>
      </w:pPr>
      <w:r w:rsidRPr="008A0CA8">
        <w:rPr>
          <w:rFonts w:asciiTheme="minorHAnsi" w:hAnsiTheme="minorHAnsi"/>
          <w:sz w:val="22"/>
          <w:szCs w:val="22"/>
        </w:rPr>
        <w:t>Metro</w:t>
      </w:r>
      <w:r>
        <w:rPr>
          <w:rFonts w:asciiTheme="minorHAnsi" w:hAnsiTheme="minorHAnsi"/>
          <w:sz w:val="22"/>
          <w:szCs w:val="22"/>
        </w:rPr>
        <w:t xml:space="preserve"> (passenger)</w:t>
      </w:r>
    </w:p>
    <w:p w14:paraId="12AB6C7B" w14:textId="77777777" w:rsidR="00253C47" w:rsidRPr="008A0CA8" w:rsidRDefault="00253C47" w:rsidP="00AA2069">
      <w:pPr>
        <w:pStyle w:val="ListParagraph"/>
        <w:numPr>
          <w:ilvl w:val="1"/>
          <w:numId w:val="45"/>
        </w:numPr>
        <w:rPr>
          <w:rFonts w:asciiTheme="minorHAnsi" w:hAnsiTheme="minorHAnsi"/>
          <w:sz w:val="22"/>
          <w:szCs w:val="22"/>
        </w:rPr>
      </w:pPr>
      <w:r w:rsidRPr="008A0CA8">
        <w:rPr>
          <w:rFonts w:asciiTheme="minorHAnsi" w:hAnsiTheme="minorHAnsi"/>
          <w:sz w:val="22"/>
          <w:szCs w:val="22"/>
        </w:rPr>
        <w:t>Regional</w:t>
      </w:r>
      <w:r>
        <w:rPr>
          <w:rFonts w:asciiTheme="minorHAnsi" w:hAnsiTheme="minorHAnsi"/>
          <w:sz w:val="22"/>
          <w:szCs w:val="22"/>
        </w:rPr>
        <w:t xml:space="preserve"> (passenger)</w:t>
      </w:r>
    </w:p>
    <w:p w14:paraId="556D5F0F" w14:textId="77777777" w:rsidR="00253C47" w:rsidRDefault="00253C47" w:rsidP="209A9399">
      <w:pPr>
        <w:pStyle w:val="ListParagraph"/>
        <w:numPr>
          <w:ilvl w:val="1"/>
          <w:numId w:val="45"/>
        </w:numPr>
        <w:rPr>
          <w:rFonts w:asciiTheme="minorHAnsi" w:hAnsiTheme="minorHAnsi"/>
          <w:sz w:val="22"/>
          <w:szCs w:val="22"/>
        </w:rPr>
      </w:pPr>
      <w:r w:rsidRPr="209A9399">
        <w:rPr>
          <w:rFonts w:asciiTheme="minorHAnsi" w:hAnsiTheme="minorHAnsi"/>
          <w:sz w:val="22"/>
          <w:szCs w:val="22"/>
        </w:rPr>
        <w:t>Long-distance (passenger)</w:t>
      </w:r>
    </w:p>
    <w:p w14:paraId="113F3DC0" w14:textId="440D1EF9" w:rsidR="209A9399" w:rsidRDefault="209A9399" w:rsidP="209A9399">
      <w:pPr>
        <w:pStyle w:val="ListParagraph"/>
        <w:numPr>
          <w:ilvl w:val="1"/>
          <w:numId w:val="45"/>
        </w:numPr>
        <w:rPr>
          <w:rFonts w:asciiTheme="minorHAnsi" w:hAnsiTheme="minorHAnsi"/>
          <w:sz w:val="22"/>
          <w:szCs w:val="22"/>
        </w:rPr>
      </w:pPr>
      <w:r w:rsidRPr="209A9399">
        <w:rPr>
          <w:rFonts w:asciiTheme="minorHAnsi" w:hAnsiTheme="minorHAnsi"/>
          <w:sz w:val="22"/>
          <w:szCs w:val="22"/>
        </w:rPr>
        <w:t>High Speed (passenger)</w:t>
      </w:r>
    </w:p>
    <w:p w14:paraId="5FE49B03" w14:textId="77777777" w:rsidR="00253C47" w:rsidRPr="008A0CA8" w:rsidRDefault="00253C47" w:rsidP="00AA2069">
      <w:pPr>
        <w:pStyle w:val="ListParagraph"/>
        <w:numPr>
          <w:ilvl w:val="1"/>
          <w:numId w:val="45"/>
        </w:numPr>
        <w:rPr>
          <w:rFonts w:asciiTheme="minorHAnsi" w:hAnsiTheme="minorHAnsi"/>
          <w:sz w:val="22"/>
          <w:szCs w:val="22"/>
        </w:rPr>
      </w:pPr>
      <w:r>
        <w:rPr>
          <w:rFonts w:asciiTheme="minorHAnsi" w:hAnsiTheme="minorHAnsi"/>
          <w:sz w:val="22"/>
          <w:szCs w:val="22"/>
        </w:rPr>
        <w:t>Freight</w:t>
      </w:r>
    </w:p>
    <w:p w14:paraId="6C268DAC" w14:textId="73E8708E" w:rsidR="002F2F6E" w:rsidRPr="00265493" w:rsidRDefault="00253C47" w:rsidP="00AA2069">
      <w:pPr>
        <w:pStyle w:val="ListParagraph"/>
        <w:numPr>
          <w:ilvl w:val="1"/>
          <w:numId w:val="45"/>
        </w:numPr>
        <w:rPr>
          <w:rFonts w:asciiTheme="minorHAnsi" w:hAnsiTheme="minorHAnsi"/>
          <w:sz w:val="22"/>
          <w:szCs w:val="22"/>
        </w:rPr>
      </w:pPr>
      <w:r w:rsidRPr="00253C47">
        <w:rPr>
          <w:rFonts w:asciiTheme="minorHAnsi" w:hAnsiTheme="minorHAnsi"/>
          <w:sz w:val="22"/>
          <w:szCs w:val="22"/>
        </w:rPr>
        <w:t>OTM</w:t>
      </w:r>
      <w:r w:rsidRPr="00253C47">
        <w:rPr>
          <w:rFonts w:asciiTheme="minorHAnsi" w:hAnsiTheme="minorHAnsi"/>
          <w:sz w:val="22"/>
          <w:szCs w:val="22"/>
        </w:rPr>
        <w:br/>
      </w:r>
    </w:p>
    <w:p w14:paraId="7E637620" w14:textId="77777777" w:rsidR="00A64BD9" w:rsidRPr="00176DDD" w:rsidRDefault="00A64BD9" w:rsidP="00A64BD9">
      <w:pPr>
        <w:pStyle w:val="Heading30"/>
        <w:rPr>
          <w:sz w:val="28"/>
          <w:szCs w:val="28"/>
        </w:rPr>
      </w:pPr>
      <w:r w:rsidRPr="00176DDD">
        <w:rPr>
          <w:sz w:val="28"/>
          <w:szCs w:val="28"/>
        </w:rPr>
        <w:t>Out of scope</w:t>
      </w:r>
    </w:p>
    <w:p w14:paraId="56DD0961" w14:textId="77777777" w:rsidR="00253C47" w:rsidRDefault="00253C47" w:rsidP="00AA2069">
      <w:pPr>
        <w:pStyle w:val="ListParagraph"/>
        <w:numPr>
          <w:ilvl w:val="0"/>
          <w:numId w:val="46"/>
        </w:numPr>
        <w:rPr>
          <w:rFonts w:asciiTheme="minorHAnsi" w:hAnsiTheme="minorHAnsi"/>
          <w:sz w:val="22"/>
          <w:szCs w:val="22"/>
        </w:rPr>
      </w:pPr>
      <w:r>
        <w:rPr>
          <w:rFonts w:asciiTheme="minorHAnsi" w:hAnsiTheme="minorHAnsi"/>
          <w:sz w:val="22"/>
          <w:szCs w:val="22"/>
        </w:rPr>
        <w:t>Updating company driving policy documents</w:t>
      </w:r>
    </w:p>
    <w:p w14:paraId="6106B28A" w14:textId="77777777" w:rsidR="00253C47" w:rsidRPr="00047947" w:rsidRDefault="00253C47" w:rsidP="00AA2069">
      <w:pPr>
        <w:pStyle w:val="ListParagraph"/>
        <w:numPr>
          <w:ilvl w:val="0"/>
          <w:numId w:val="46"/>
        </w:numPr>
        <w:rPr>
          <w:rFonts w:asciiTheme="minorHAnsi" w:hAnsiTheme="minorHAnsi"/>
          <w:sz w:val="22"/>
          <w:szCs w:val="22"/>
        </w:rPr>
      </w:pPr>
      <w:r>
        <w:rPr>
          <w:rFonts w:asciiTheme="minorHAnsi" w:hAnsiTheme="minorHAnsi"/>
          <w:sz w:val="22"/>
          <w:szCs w:val="22"/>
        </w:rPr>
        <w:t>Road-rail machines</w:t>
      </w:r>
    </w:p>
    <w:p w14:paraId="58FC5410" w14:textId="30E6CD37" w:rsidR="00253C47" w:rsidRPr="00047947" w:rsidRDefault="00253C47" w:rsidP="00AA2069">
      <w:pPr>
        <w:pStyle w:val="ListParagraph"/>
        <w:numPr>
          <w:ilvl w:val="0"/>
          <w:numId w:val="46"/>
        </w:numPr>
        <w:rPr>
          <w:rFonts w:asciiTheme="minorHAnsi" w:hAnsiTheme="minorHAnsi"/>
          <w:sz w:val="22"/>
          <w:szCs w:val="22"/>
        </w:rPr>
      </w:pPr>
      <w:r w:rsidRPr="005720FD">
        <w:rPr>
          <w:rFonts w:asciiTheme="minorHAnsi" w:hAnsiTheme="minorHAnsi"/>
          <w:sz w:val="22"/>
          <w:szCs w:val="22"/>
        </w:rPr>
        <w:t xml:space="preserve">In-service trial of </w:t>
      </w:r>
      <w:r>
        <w:rPr>
          <w:rFonts w:asciiTheme="minorHAnsi" w:hAnsiTheme="minorHAnsi"/>
          <w:sz w:val="22"/>
          <w:szCs w:val="22"/>
        </w:rPr>
        <w:t xml:space="preserve">new </w:t>
      </w:r>
      <w:r w:rsidRPr="005720FD">
        <w:rPr>
          <w:rFonts w:asciiTheme="minorHAnsi" w:hAnsiTheme="minorHAnsi"/>
          <w:sz w:val="22"/>
          <w:szCs w:val="22"/>
        </w:rPr>
        <w:t>driving policies</w:t>
      </w:r>
    </w:p>
    <w:p w14:paraId="6331D449" w14:textId="215B9205" w:rsidR="00253C47" w:rsidRDefault="00253C47" w:rsidP="00AA2069">
      <w:pPr>
        <w:pStyle w:val="ListParagraph"/>
        <w:numPr>
          <w:ilvl w:val="0"/>
          <w:numId w:val="46"/>
        </w:numPr>
        <w:rPr>
          <w:rFonts w:asciiTheme="minorHAnsi" w:hAnsiTheme="minorHAnsi"/>
          <w:sz w:val="22"/>
          <w:szCs w:val="22"/>
        </w:rPr>
      </w:pPr>
      <w:r w:rsidRPr="005720FD">
        <w:rPr>
          <w:rFonts w:asciiTheme="minorHAnsi" w:hAnsiTheme="minorHAnsi"/>
          <w:sz w:val="22"/>
          <w:szCs w:val="22"/>
        </w:rPr>
        <w:t>In-service trial of training initiatives</w:t>
      </w:r>
    </w:p>
    <w:p w14:paraId="11943936" w14:textId="2AE31DFA" w:rsidR="00A64BD9" w:rsidRPr="00253C47" w:rsidRDefault="00A64BD9" w:rsidP="00AA2069">
      <w:pPr>
        <w:pStyle w:val="ListParagraph"/>
        <w:numPr>
          <w:ilvl w:val="0"/>
          <w:numId w:val="46"/>
        </w:numPr>
        <w:rPr>
          <w:rFonts w:asciiTheme="minorHAnsi" w:hAnsiTheme="minorHAnsi"/>
          <w:sz w:val="22"/>
          <w:szCs w:val="22"/>
        </w:rPr>
      </w:pPr>
      <w:r w:rsidRPr="00253C47">
        <w:rPr>
          <w:rFonts w:asciiTheme="minorHAnsi" w:hAnsiTheme="minorHAnsi"/>
          <w:sz w:val="22"/>
          <w:szCs w:val="22"/>
        </w:rPr>
        <w:br w:type="page"/>
      </w:r>
    </w:p>
    <w:p w14:paraId="257CADBC" w14:textId="77777777" w:rsidR="002F2F6E" w:rsidRPr="002F2F6E" w:rsidRDefault="002F2F6E" w:rsidP="002F2F6E">
      <w:pPr>
        <w:pStyle w:val="Heading30"/>
        <w:rPr>
          <w:sz w:val="28"/>
          <w:szCs w:val="28"/>
        </w:rPr>
      </w:pPr>
      <w:r w:rsidRPr="002F2F6E">
        <w:rPr>
          <w:sz w:val="28"/>
          <w:szCs w:val="28"/>
        </w:rPr>
        <w:lastRenderedPageBreak/>
        <w:t>On-going requirements</w:t>
      </w:r>
    </w:p>
    <w:p w14:paraId="68F77704" w14:textId="77777777" w:rsidR="00253C47" w:rsidRDefault="00253C47" w:rsidP="00253C47">
      <w:pPr>
        <w:pStyle w:val="Body"/>
      </w:pPr>
      <w:r w:rsidRPr="00700EC9">
        <w:t>In addition to the above, the supplier will be required to undertake the following tasks during delivery</w:t>
      </w:r>
      <w:r>
        <w:t>:</w:t>
      </w:r>
    </w:p>
    <w:p w14:paraId="789DD09B" w14:textId="03B62776" w:rsidR="00253C47" w:rsidRDefault="00253C47" w:rsidP="00AA2069">
      <w:pPr>
        <w:pStyle w:val="Body"/>
        <w:numPr>
          <w:ilvl w:val="0"/>
          <w:numId w:val="33"/>
        </w:numPr>
      </w:pPr>
      <w:r>
        <w:t xml:space="preserve">Attendance at project kick-off meeting </w:t>
      </w:r>
      <w:bookmarkStart w:id="2" w:name="_Hlk45024774"/>
      <w:r>
        <w:t>(to either be held remotely</w:t>
      </w:r>
      <w:r>
        <w:rPr>
          <w:rStyle w:val="FootnoteReference"/>
        </w:rPr>
        <w:footnoteReference w:id="6"/>
      </w:r>
      <w:r>
        <w:t>, or at RSSB’s offices</w:t>
      </w:r>
      <w:bookmarkEnd w:id="2"/>
      <w:r>
        <w:t xml:space="preserve"> (London))</w:t>
      </w:r>
    </w:p>
    <w:p w14:paraId="5958C9AF" w14:textId="77777777" w:rsidR="00253C47" w:rsidRDefault="00253C47" w:rsidP="00AA2069">
      <w:pPr>
        <w:pStyle w:val="Body"/>
        <w:numPr>
          <w:ilvl w:val="0"/>
          <w:numId w:val="33"/>
        </w:numPr>
      </w:pPr>
      <w:r>
        <w:t>Attendance at four steering group meetings (to either be held remotely, or at RSSB’s or the supplier’s offices)</w:t>
      </w:r>
    </w:p>
    <w:p w14:paraId="3E3E36AF" w14:textId="6E12993E" w:rsidR="00253C47" w:rsidRDefault="00253C47" w:rsidP="00AA2069">
      <w:pPr>
        <w:pStyle w:val="Body"/>
        <w:numPr>
          <w:ilvl w:val="0"/>
          <w:numId w:val="33"/>
        </w:numPr>
      </w:pPr>
      <w:r>
        <w:t>Presentations to four cross industry groups</w:t>
      </w:r>
      <w:r>
        <w:rPr>
          <w:rStyle w:val="FootnoteReference"/>
        </w:rPr>
        <w:footnoteReference w:id="7"/>
      </w:r>
      <w:r>
        <w:t xml:space="preserve"> (to either be held remotely, or at central London locations)</w:t>
      </w:r>
    </w:p>
    <w:p w14:paraId="73C4B7EE" w14:textId="77777777" w:rsidR="00253C47" w:rsidRDefault="00253C47" w:rsidP="00AA2069">
      <w:pPr>
        <w:pStyle w:val="Body"/>
        <w:numPr>
          <w:ilvl w:val="0"/>
          <w:numId w:val="33"/>
        </w:numPr>
      </w:pPr>
      <w:r>
        <w:t>Creation and maintenance of project management plan</w:t>
      </w:r>
    </w:p>
    <w:p w14:paraId="5CD115ED" w14:textId="77777777" w:rsidR="00253C47" w:rsidRDefault="00253C47" w:rsidP="00AA2069">
      <w:pPr>
        <w:pStyle w:val="Body"/>
        <w:numPr>
          <w:ilvl w:val="0"/>
          <w:numId w:val="33"/>
        </w:numPr>
      </w:pPr>
      <w:r>
        <w:t>Creation and maintenance of project risk register</w:t>
      </w:r>
    </w:p>
    <w:p w14:paraId="40520453" w14:textId="5C4317A9" w:rsidR="002F2F6E" w:rsidRDefault="00253C47" w:rsidP="00AA2069">
      <w:pPr>
        <w:pStyle w:val="Body"/>
        <w:numPr>
          <w:ilvl w:val="0"/>
          <w:numId w:val="33"/>
        </w:numPr>
      </w:pPr>
      <w:r>
        <w:t>Provision of monthly progress reports</w:t>
      </w:r>
      <w:r w:rsidR="002F2F6E">
        <w:br/>
      </w:r>
    </w:p>
    <w:p w14:paraId="21DBFE33" w14:textId="77777777" w:rsidR="00A64BD9" w:rsidRDefault="00D45795" w:rsidP="00D45795">
      <w:pPr>
        <w:pStyle w:val="Body"/>
        <w:spacing w:after="60" w:line="240" w:lineRule="auto"/>
        <w:sectPr w:rsidR="00A64BD9" w:rsidSect="00D65B95">
          <w:pgSz w:w="11906" w:h="16838"/>
          <w:pgMar w:top="1985" w:right="1985" w:bottom="1985" w:left="1985" w:header="567" w:footer="567" w:gutter="0"/>
          <w:cols w:space="708"/>
          <w:docGrid w:linePitch="360"/>
        </w:sectPr>
      </w:pPr>
      <w:r>
        <w:t>RSSB’s facilities can be provided to the supplier for meetings and/or workshops without cost (subject to RSSB meeting room availability). Where appropriate, meetings can be held elsewhere if RSSB considers this beneficial.</w:t>
      </w:r>
    </w:p>
    <w:p w14:paraId="1B7E1630" w14:textId="19E28383" w:rsidR="00D45795" w:rsidRPr="002F2F6E" w:rsidRDefault="00D45795" w:rsidP="00D45795">
      <w:pPr>
        <w:pStyle w:val="Body"/>
        <w:spacing w:after="60" w:line="240" w:lineRule="auto"/>
      </w:pPr>
    </w:p>
    <w:p w14:paraId="6B7C586D" w14:textId="50FD97E4" w:rsidR="00364F56" w:rsidRDefault="00364F56" w:rsidP="00AA2069">
      <w:pPr>
        <w:pStyle w:val="Heading10"/>
        <w:keepNext/>
        <w:numPr>
          <w:ilvl w:val="0"/>
          <w:numId w:val="25"/>
        </w:numPr>
        <w:ind w:left="426" w:hanging="426"/>
        <w:outlineLvl w:val="9"/>
        <w:rPr>
          <w:rFonts w:ascii="Calibri" w:hAnsi="Calibri"/>
        </w:rPr>
      </w:pPr>
      <w:r w:rsidRPr="25396392">
        <w:rPr>
          <w:rFonts w:ascii="Calibri" w:hAnsi="Calibri"/>
        </w:rPr>
        <w:t>Methodology</w:t>
      </w:r>
    </w:p>
    <w:p w14:paraId="74689E4A" w14:textId="459289E5" w:rsidR="00253C47" w:rsidRDefault="00253C47" w:rsidP="00253C47">
      <w:pPr>
        <w:pStyle w:val="Body"/>
      </w:pPr>
      <w:r w:rsidRPr="00F16FEE">
        <w:t xml:space="preserve">Tenderers are expected to propose a methodology suited to successfully meet the project’s objectives, </w:t>
      </w:r>
      <w:r w:rsidR="00D508FB" w:rsidRPr="00F16FEE">
        <w:t>scope,</w:t>
      </w:r>
      <w:r w:rsidRPr="00F16FEE">
        <w:t xml:space="preserve"> and deliverables.</w:t>
      </w:r>
    </w:p>
    <w:p w14:paraId="6C8D712B" w14:textId="77777777" w:rsidR="00253C47" w:rsidRDefault="00253C47" w:rsidP="00253C47">
      <w:pPr>
        <w:pStyle w:val="Body"/>
      </w:pPr>
      <w:r w:rsidRPr="00F16FEE">
        <w:t>Tenderers should factor the following within their proposals:</w:t>
      </w:r>
    </w:p>
    <w:p w14:paraId="093B7B3B" w14:textId="77777777" w:rsidR="00253C47" w:rsidRDefault="00253C47" w:rsidP="00AA2069">
      <w:pPr>
        <w:pStyle w:val="ListParagraph"/>
        <w:numPr>
          <w:ilvl w:val="0"/>
          <w:numId w:val="34"/>
        </w:numPr>
        <w:rPr>
          <w:rFonts w:ascii="Calibri" w:hAnsi="Calibri" w:cs="Arial"/>
          <w:sz w:val="22"/>
          <w:szCs w:val="22"/>
          <w:lang w:eastAsia="en-GB"/>
        </w:rPr>
      </w:pPr>
      <w:r>
        <w:rPr>
          <w:rFonts w:ascii="Calibri" w:hAnsi="Calibri" w:cs="Arial"/>
          <w:sz w:val="22"/>
          <w:szCs w:val="22"/>
          <w:lang w:eastAsia="en-GB"/>
        </w:rPr>
        <w:t>Review of existing industry documentation</w:t>
      </w:r>
    </w:p>
    <w:p w14:paraId="49F33C9B" w14:textId="200F4EB1" w:rsidR="00253C47" w:rsidRDefault="00253C47" w:rsidP="00AA2069">
      <w:pPr>
        <w:pStyle w:val="ListParagraph"/>
        <w:numPr>
          <w:ilvl w:val="0"/>
          <w:numId w:val="34"/>
        </w:numPr>
        <w:rPr>
          <w:rFonts w:ascii="Calibri" w:hAnsi="Calibri" w:cs="Arial"/>
          <w:sz w:val="22"/>
          <w:szCs w:val="22"/>
          <w:lang w:eastAsia="en-GB"/>
        </w:rPr>
      </w:pPr>
      <w:r w:rsidRPr="209A9399">
        <w:rPr>
          <w:rFonts w:ascii="Calibri" w:hAnsi="Calibri" w:cs="Arial"/>
          <w:sz w:val="22"/>
          <w:szCs w:val="22"/>
          <w:lang w:eastAsia="en-GB"/>
        </w:rPr>
        <w:t>Engagement with relevant operational practitioners to understand the effectiveness of current policies – Engagement should, for instance, include Operations Standards Specialists, Operations Safety Delivery Managers and Driver Team Managers for TOCs, FOCs and OTM operators, Trade Unions</w:t>
      </w:r>
    </w:p>
    <w:p w14:paraId="1368ECAA" w14:textId="12F13ACC" w:rsidR="00253C47" w:rsidRDefault="00253C47" w:rsidP="00AA2069">
      <w:pPr>
        <w:pStyle w:val="ListParagraph"/>
        <w:numPr>
          <w:ilvl w:val="0"/>
          <w:numId w:val="34"/>
        </w:numPr>
        <w:rPr>
          <w:rFonts w:ascii="Calibri" w:hAnsi="Calibri" w:cs="Arial"/>
          <w:sz w:val="22"/>
          <w:szCs w:val="22"/>
          <w:lang w:eastAsia="en-GB"/>
        </w:rPr>
      </w:pPr>
      <w:r>
        <w:rPr>
          <w:rFonts w:ascii="Calibri" w:hAnsi="Calibri" w:cs="Arial"/>
          <w:sz w:val="22"/>
          <w:szCs w:val="22"/>
          <w:lang w:eastAsia="en-GB"/>
        </w:rPr>
        <w:t>Engagement with a cross-sectional sample of train drivers and train driving instructors</w:t>
      </w:r>
      <w:r>
        <w:rPr>
          <w:rStyle w:val="FootnoteReference"/>
          <w:rFonts w:ascii="Calibri" w:hAnsi="Calibri" w:cs="Arial"/>
          <w:sz w:val="22"/>
          <w:szCs w:val="22"/>
          <w:lang w:eastAsia="en-GB"/>
        </w:rPr>
        <w:footnoteReference w:id="8"/>
      </w:r>
      <w:r>
        <w:rPr>
          <w:rFonts w:ascii="Calibri" w:hAnsi="Calibri" w:cs="Arial"/>
          <w:sz w:val="22"/>
          <w:szCs w:val="22"/>
          <w:lang w:eastAsia="en-GB"/>
        </w:rPr>
        <w:t xml:space="preserve"> for TOCs, FOCs and OTM operators to understand what they need from a policy for it to be fair and practicable; and to understand organisational culture around driving behaviours</w:t>
      </w:r>
    </w:p>
    <w:p w14:paraId="58FB4B29" w14:textId="2D1737CE" w:rsidR="00364F56" w:rsidRPr="00253C47" w:rsidRDefault="00253C47" w:rsidP="00AA2069">
      <w:pPr>
        <w:pStyle w:val="ListParagraph"/>
        <w:numPr>
          <w:ilvl w:val="0"/>
          <w:numId w:val="34"/>
        </w:numPr>
        <w:rPr>
          <w:rFonts w:asciiTheme="minorHAnsi" w:hAnsiTheme="minorHAnsi"/>
          <w:sz w:val="22"/>
          <w:szCs w:val="22"/>
        </w:rPr>
        <w:sectPr w:rsidR="00364F56" w:rsidRPr="00253C47" w:rsidSect="00D65B95">
          <w:pgSz w:w="11906" w:h="16838"/>
          <w:pgMar w:top="1985" w:right="1985" w:bottom="1985" w:left="1985" w:header="567" w:footer="567" w:gutter="0"/>
          <w:cols w:space="708"/>
          <w:docGrid w:linePitch="360"/>
        </w:sectPr>
      </w:pPr>
      <w:r w:rsidRPr="00253C47">
        <w:rPr>
          <w:rFonts w:ascii="Calibri" w:hAnsi="Calibri" w:cs="Arial"/>
          <w:sz w:val="22"/>
          <w:szCs w:val="22"/>
          <w:lang w:eastAsia="en-GB"/>
        </w:rPr>
        <w:t>Engagement with relevant rolling stock practitioners to understand the capabilities of on-train equipment – Engagement should, for instance, include Head of Fleet, Head of Engineering, Systems Engineers for TOCs, FOCs and OTM operators</w:t>
      </w:r>
    </w:p>
    <w:p w14:paraId="7BCCAD39" w14:textId="6EC4A97B" w:rsidR="006D4A18" w:rsidRPr="00A55716" w:rsidRDefault="004C4608" w:rsidP="00AA2069">
      <w:pPr>
        <w:pStyle w:val="Heading10"/>
        <w:keepNext/>
        <w:numPr>
          <w:ilvl w:val="0"/>
          <w:numId w:val="25"/>
        </w:numPr>
        <w:ind w:left="426" w:hanging="426"/>
        <w:outlineLvl w:val="9"/>
        <w:rPr>
          <w:rFonts w:ascii="Calibri" w:hAnsi="Calibri"/>
        </w:rPr>
      </w:pPr>
      <w:r w:rsidRPr="25396392">
        <w:rPr>
          <w:rFonts w:ascii="Calibri" w:hAnsi="Calibri"/>
        </w:rPr>
        <w:lastRenderedPageBreak/>
        <w:t>Project structure</w:t>
      </w:r>
    </w:p>
    <w:p w14:paraId="761E6362" w14:textId="0651C52D" w:rsidR="004C4608" w:rsidRDefault="004C4608" w:rsidP="004C4608">
      <w:pPr>
        <w:pStyle w:val="Body"/>
      </w:pPr>
      <w:r>
        <w:t xml:space="preserve">This project is structured in </w:t>
      </w:r>
      <w:r w:rsidR="00253C47">
        <w:t>2</w:t>
      </w:r>
      <w:r>
        <w:t xml:space="preserve"> </w:t>
      </w:r>
      <w:r w:rsidR="00D31A5B">
        <w:t xml:space="preserve">work </w:t>
      </w:r>
      <w:r>
        <w:t xml:space="preserve">packages, </w:t>
      </w:r>
      <w:r w:rsidRPr="00576B14">
        <w:rPr>
          <w:b/>
        </w:rPr>
        <w:t xml:space="preserve">of which </w:t>
      </w:r>
      <w:r w:rsidR="00EE5BA5">
        <w:rPr>
          <w:b/>
        </w:rPr>
        <w:t xml:space="preserve">both </w:t>
      </w:r>
      <w:r w:rsidRPr="00576B14">
        <w:rPr>
          <w:b/>
        </w:rPr>
        <w:t>Work Packag</w:t>
      </w:r>
      <w:r w:rsidRPr="00C86455">
        <w:rPr>
          <w:b/>
        </w:rPr>
        <w:t xml:space="preserve">e </w:t>
      </w:r>
      <w:r w:rsidR="00EE5BA5">
        <w:rPr>
          <w:b/>
        </w:rPr>
        <w:t>(</w:t>
      </w:r>
      <w:r w:rsidRPr="00C86455">
        <w:rPr>
          <w:b/>
        </w:rPr>
        <w:t>T</w:t>
      </w:r>
      <w:r w:rsidR="00EE5BA5">
        <w:rPr>
          <w:b/>
        </w:rPr>
        <w:t>1305-01 and T1305-02)</w:t>
      </w:r>
      <w:r w:rsidRPr="00576B14">
        <w:rPr>
          <w:b/>
        </w:rPr>
        <w:t xml:space="preserve"> </w:t>
      </w:r>
      <w:r w:rsidR="00EE5BA5">
        <w:rPr>
          <w:b/>
        </w:rPr>
        <w:t>are</w:t>
      </w:r>
      <w:r w:rsidRPr="00576B14">
        <w:rPr>
          <w:b/>
        </w:rPr>
        <w:t xml:space="preserve"> subject to </w:t>
      </w:r>
      <w:r w:rsidR="00FB6F78">
        <w:rPr>
          <w:b/>
        </w:rPr>
        <w:t xml:space="preserve">this </w:t>
      </w:r>
      <w:r w:rsidRPr="00576B14">
        <w:rPr>
          <w:b/>
        </w:rPr>
        <w:t>tender</w:t>
      </w:r>
      <w:r>
        <w:t>.</w:t>
      </w:r>
    </w:p>
    <w:tbl>
      <w:tblPr>
        <w:tblStyle w:val="TableGrid"/>
        <w:tblW w:w="8787" w:type="dxa"/>
        <w:jc w:val="center"/>
        <w:tblLook w:val="04A0" w:firstRow="1" w:lastRow="0" w:firstColumn="1" w:lastColumn="0" w:noHBand="0" w:noVBand="1"/>
      </w:tblPr>
      <w:tblGrid>
        <w:gridCol w:w="2547"/>
        <w:gridCol w:w="6240"/>
      </w:tblGrid>
      <w:tr w:rsidR="004C4608" w14:paraId="175E1EA9" w14:textId="77777777" w:rsidTr="00D23A73">
        <w:trPr>
          <w:trHeight w:val="168"/>
          <w:jc w:val="center"/>
        </w:trPr>
        <w:tc>
          <w:tcPr>
            <w:tcW w:w="8787" w:type="dxa"/>
            <w:gridSpan w:val="2"/>
          </w:tcPr>
          <w:p w14:paraId="06D7943A" w14:textId="1F02C682" w:rsidR="004C4608" w:rsidRPr="00C16E3D" w:rsidRDefault="004C4608" w:rsidP="00D23A73">
            <w:pPr>
              <w:pStyle w:val="Heading30"/>
              <w:spacing w:before="0"/>
              <w:rPr>
                <w:b/>
                <w:bCs/>
                <w:color w:val="000000" w:themeColor="text1"/>
              </w:rPr>
            </w:pPr>
            <w:r w:rsidRPr="00C16E3D">
              <w:rPr>
                <w:b/>
                <w:bCs/>
                <w:color w:val="000000" w:themeColor="text1"/>
                <w:sz w:val="28"/>
                <w:szCs w:val="28"/>
              </w:rPr>
              <w:t xml:space="preserve">Work Package </w:t>
            </w:r>
            <w:r w:rsidR="00EC261D" w:rsidRPr="00C16E3D">
              <w:rPr>
                <w:b/>
                <w:bCs/>
                <w:color w:val="000000" w:themeColor="text1"/>
                <w:sz w:val="28"/>
                <w:szCs w:val="28"/>
              </w:rPr>
              <w:t>T</w:t>
            </w:r>
            <w:r w:rsidR="00253C47">
              <w:rPr>
                <w:b/>
                <w:bCs/>
                <w:color w:val="000000" w:themeColor="text1"/>
                <w:sz w:val="28"/>
                <w:szCs w:val="28"/>
              </w:rPr>
              <w:t>1305-01</w:t>
            </w:r>
          </w:p>
        </w:tc>
      </w:tr>
      <w:tr w:rsidR="004C4608" w14:paraId="22BC0B92" w14:textId="77777777" w:rsidTr="00D23A73">
        <w:trPr>
          <w:trHeight w:val="373"/>
          <w:jc w:val="center"/>
        </w:trPr>
        <w:tc>
          <w:tcPr>
            <w:tcW w:w="2547" w:type="dxa"/>
          </w:tcPr>
          <w:p w14:paraId="10CAE59B" w14:textId="77777777" w:rsidR="004C4608" w:rsidRPr="00C16E3D" w:rsidRDefault="004C4608" w:rsidP="00D23A73">
            <w:pPr>
              <w:pStyle w:val="Body"/>
              <w:rPr>
                <w:color w:val="000000" w:themeColor="text1"/>
              </w:rPr>
            </w:pPr>
            <w:r w:rsidRPr="00C16E3D">
              <w:rPr>
                <w:b/>
                <w:color w:val="000000" w:themeColor="text1"/>
              </w:rPr>
              <w:t>Title</w:t>
            </w:r>
          </w:p>
        </w:tc>
        <w:tc>
          <w:tcPr>
            <w:tcW w:w="6240" w:type="dxa"/>
          </w:tcPr>
          <w:p w14:paraId="52D7253A" w14:textId="1F862BEE" w:rsidR="004C4608" w:rsidRPr="00C16E3D" w:rsidRDefault="00EE5BA5" w:rsidP="00D23A73">
            <w:pPr>
              <w:pStyle w:val="Body"/>
              <w:rPr>
                <w:color w:val="000000" w:themeColor="text1"/>
              </w:rPr>
            </w:pPr>
            <w:r>
              <w:rPr>
                <w:color w:val="000000" w:themeColor="text1"/>
              </w:rPr>
              <w:t>T1305-01</w:t>
            </w:r>
            <w:r w:rsidR="004C4608" w:rsidRPr="00C16E3D">
              <w:rPr>
                <w:color w:val="000000" w:themeColor="text1"/>
              </w:rPr>
              <w:t xml:space="preserve"> </w:t>
            </w:r>
            <w:r w:rsidR="000C3A22" w:rsidRPr="00C16E3D">
              <w:rPr>
                <w:color w:val="000000" w:themeColor="text1"/>
              </w:rPr>
              <w:t>–</w:t>
            </w:r>
            <w:r w:rsidR="004C4608" w:rsidRPr="00C16E3D">
              <w:rPr>
                <w:color w:val="000000" w:themeColor="text1"/>
              </w:rPr>
              <w:t xml:space="preserve"> </w:t>
            </w:r>
            <w:r w:rsidRPr="00EE5BA5">
              <w:rPr>
                <w:color w:val="000000" w:themeColor="text1"/>
              </w:rPr>
              <w:t>Guidance on creating best practice driving policies and other instructions that influence driving practice</w:t>
            </w:r>
          </w:p>
        </w:tc>
      </w:tr>
      <w:tr w:rsidR="004C4608" w14:paraId="1EFFA988" w14:textId="77777777" w:rsidTr="00D23A73">
        <w:trPr>
          <w:trHeight w:val="436"/>
          <w:jc w:val="center"/>
        </w:trPr>
        <w:tc>
          <w:tcPr>
            <w:tcW w:w="2547" w:type="dxa"/>
          </w:tcPr>
          <w:p w14:paraId="2314B04A" w14:textId="77777777" w:rsidR="004C4608" w:rsidRPr="00C16E3D" w:rsidRDefault="004C4608" w:rsidP="00D23A73">
            <w:pPr>
              <w:pStyle w:val="Body"/>
              <w:rPr>
                <w:b/>
                <w:color w:val="000000" w:themeColor="text1"/>
              </w:rPr>
            </w:pPr>
            <w:r w:rsidRPr="00C16E3D">
              <w:rPr>
                <w:b/>
                <w:color w:val="000000" w:themeColor="text1"/>
              </w:rPr>
              <w:t xml:space="preserve">Delivery </w:t>
            </w:r>
          </w:p>
        </w:tc>
        <w:tc>
          <w:tcPr>
            <w:tcW w:w="6240" w:type="dxa"/>
          </w:tcPr>
          <w:p w14:paraId="6BBBCEF6" w14:textId="6C93CCEF" w:rsidR="004C4608" w:rsidRPr="00C16E3D" w:rsidRDefault="000C3A22" w:rsidP="00D23A73">
            <w:pPr>
              <w:pStyle w:val="Body"/>
              <w:rPr>
                <w:color w:val="000000" w:themeColor="text1"/>
              </w:rPr>
            </w:pPr>
            <w:r w:rsidRPr="00C16E3D">
              <w:rPr>
                <w:color w:val="000000" w:themeColor="text1"/>
              </w:rPr>
              <w:t>Supplier (competitive tender)</w:t>
            </w:r>
          </w:p>
        </w:tc>
      </w:tr>
      <w:tr w:rsidR="004C4608" w14:paraId="43203C2C" w14:textId="77777777" w:rsidTr="00D23A73">
        <w:trPr>
          <w:trHeight w:val="420"/>
          <w:jc w:val="center"/>
        </w:trPr>
        <w:tc>
          <w:tcPr>
            <w:tcW w:w="2547" w:type="dxa"/>
          </w:tcPr>
          <w:p w14:paraId="51178B1D" w14:textId="77777777" w:rsidR="004C4608" w:rsidRDefault="004C4608" w:rsidP="00D23A73">
            <w:pPr>
              <w:pStyle w:val="Body"/>
            </w:pPr>
            <w:r>
              <w:rPr>
                <w:b/>
              </w:rPr>
              <w:t>Start</w:t>
            </w:r>
          </w:p>
        </w:tc>
        <w:tc>
          <w:tcPr>
            <w:tcW w:w="6240" w:type="dxa"/>
          </w:tcPr>
          <w:p w14:paraId="0F40C708" w14:textId="7388CC53" w:rsidR="004C4608" w:rsidRDefault="00BD375D" w:rsidP="00D23A73">
            <w:pPr>
              <w:pStyle w:val="Body"/>
            </w:pPr>
            <w:r>
              <w:t>June</w:t>
            </w:r>
            <w:r w:rsidR="006C6C1F">
              <w:t xml:space="preserve"> 2022</w:t>
            </w:r>
          </w:p>
        </w:tc>
      </w:tr>
      <w:tr w:rsidR="004C4608" w14:paraId="7315DFB6" w14:textId="77777777" w:rsidTr="00D23A73">
        <w:trPr>
          <w:trHeight w:val="420"/>
          <w:jc w:val="center"/>
        </w:trPr>
        <w:tc>
          <w:tcPr>
            <w:tcW w:w="2547" w:type="dxa"/>
          </w:tcPr>
          <w:p w14:paraId="46B13BA7" w14:textId="77777777" w:rsidR="004C4608" w:rsidRDefault="004C4608" w:rsidP="00D23A73">
            <w:pPr>
              <w:pStyle w:val="Body"/>
              <w:rPr>
                <w:b/>
              </w:rPr>
            </w:pPr>
            <w:r>
              <w:rPr>
                <w:b/>
              </w:rPr>
              <w:t>Completion</w:t>
            </w:r>
          </w:p>
        </w:tc>
        <w:tc>
          <w:tcPr>
            <w:tcW w:w="6240" w:type="dxa"/>
          </w:tcPr>
          <w:p w14:paraId="184A3D14" w14:textId="5999951D" w:rsidR="004C4608" w:rsidRDefault="00BD375D" w:rsidP="00D23A73">
            <w:pPr>
              <w:pStyle w:val="Body"/>
            </w:pPr>
            <w:r>
              <w:t>December</w:t>
            </w:r>
            <w:r w:rsidR="009C2700">
              <w:t xml:space="preserve"> 202</w:t>
            </w:r>
            <w:r w:rsidR="008806BC">
              <w:t>2</w:t>
            </w:r>
          </w:p>
        </w:tc>
      </w:tr>
    </w:tbl>
    <w:p w14:paraId="7CA43306" w14:textId="4E4EF3D5" w:rsidR="00253C47" w:rsidRDefault="00253C47" w:rsidP="004C4608">
      <w:pPr>
        <w:rPr>
          <w:lang w:eastAsia="en-GB"/>
        </w:rPr>
      </w:pPr>
    </w:p>
    <w:p w14:paraId="50E781FE" w14:textId="6B321068" w:rsidR="004B52C1" w:rsidRDefault="004B52C1" w:rsidP="004B52C1">
      <w:pPr>
        <w:pStyle w:val="Body"/>
        <w:spacing w:before="120" w:line="240" w:lineRule="auto"/>
      </w:pPr>
      <w:r w:rsidRPr="00883FCB">
        <w:rPr>
          <w:b/>
          <w:u w:val="single"/>
        </w:rPr>
        <w:t>Stage Gate</w:t>
      </w:r>
      <w:r w:rsidRPr="00FB5030">
        <w:rPr>
          <w:bCs/>
          <w:u w:val="single"/>
        </w:rPr>
        <w:t>:</w:t>
      </w:r>
      <w:r w:rsidRPr="00FB5030">
        <w:rPr>
          <w:bCs/>
        </w:rPr>
        <w:t xml:space="preserve"> </w:t>
      </w:r>
      <w:r w:rsidR="00915AA6">
        <w:rPr>
          <w:b/>
          <w:i/>
        </w:rPr>
        <w:t>During the</w:t>
      </w:r>
      <w:r w:rsidRPr="00883FCB">
        <w:rPr>
          <w:b/>
          <w:i/>
        </w:rPr>
        <w:t xml:space="preserve"> delivery of work package T</w:t>
      </w:r>
      <w:r>
        <w:rPr>
          <w:b/>
          <w:i/>
        </w:rPr>
        <w:t>1</w:t>
      </w:r>
      <w:r w:rsidR="00D27C5F">
        <w:rPr>
          <w:b/>
          <w:i/>
        </w:rPr>
        <w:t>305</w:t>
      </w:r>
      <w:r w:rsidRPr="00883FCB">
        <w:rPr>
          <w:b/>
          <w:i/>
        </w:rPr>
        <w:t>-0</w:t>
      </w:r>
      <w:r>
        <w:rPr>
          <w:b/>
          <w:i/>
        </w:rPr>
        <w:t>1,</w:t>
      </w:r>
      <w:r w:rsidRPr="00883FCB">
        <w:rPr>
          <w:b/>
          <w:i/>
        </w:rPr>
        <w:t xml:space="preserve"> a stage gate review meeting will be held with the project steering group to </w:t>
      </w:r>
      <w:r>
        <w:rPr>
          <w:b/>
          <w:i/>
        </w:rPr>
        <w:t>approve and reject progressing to work package T1</w:t>
      </w:r>
      <w:r w:rsidR="001F4D87">
        <w:rPr>
          <w:b/>
          <w:i/>
        </w:rPr>
        <w:t>305</w:t>
      </w:r>
      <w:r>
        <w:rPr>
          <w:b/>
          <w:i/>
        </w:rPr>
        <w:t>-02</w:t>
      </w:r>
    </w:p>
    <w:p w14:paraId="15B63AF8" w14:textId="77777777" w:rsidR="004B52C1" w:rsidRDefault="004B52C1" w:rsidP="004C4608">
      <w:pPr>
        <w:rPr>
          <w:lang w:eastAsia="en-GB"/>
        </w:rPr>
      </w:pPr>
    </w:p>
    <w:tbl>
      <w:tblPr>
        <w:tblStyle w:val="TableGrid"/>
        <w:tblW w:w="8787" w:type="dxa"/>
        <w:jc w:val="center"/>
        <w:tblLook w:val="04A0" w:firstRow="1" w:lastRow="0" w:firstColumn="1" w:lastColumn="0" w:noHBand="0" w:noVBand="1"/>
      </w:tblPr>
      <w:tblGrid>
        <w:gridCol w:w="2547"/>
        <w:gridCol w:w="6240"/>
      </w:tblGrid>
      <w:tr w:rsidR="00253C47" w14:paraId="000AB820" w14:textId="77777777" w:rsidTr="00176477">
        <w:trPr>
          <w:trHeight w:val="168"/>
          <w:jc w:val="center"/>
        </w:trPr>
        <w:tc>
          <w:tcPr>
            <w:tcW w:w="8787" w:type="dxa"/>
            <w:gridSpan w:val="2"/>
          </w:tcPr>
          <w:p w14:paraId="35224DAD" w14:textId="2FE09D9E" w:rsidR="00253C47" w:rsidRPr="00C16E3D" w:rsidRDefault="00253C47" w:rsidP="00176477">
            <w:pPr>
              <w:pStyle w:val="Heading30"/>
              <w:spacing w:before="0"/>
              <w:rPr>
                <w:b/>
                <w:bCs/>
                <w:color w:val="000000" w:themeColor="text1"/>
              </w:rPr>
            </w:pPr>
            <w:r w:rsidRPr="00C16E3D">
              <w:rPr>
                <w:b/>
                <w:bCs/>
                <w:color w:val="000000" w:themeColor="text1"/>
                <w:sz w:val="28"/>
                <w:szCs w:val="28"/>
              </w:rPr>
              <w:t>Work Package T</w:t>
            </w:r>
            <w:r w:rsidR="00EE5BA5">
              <w:rPr>
                <w:b/>
                <w:bCs/>
                <w:color w:val="000000" w:themeColor="text1"/>
                <w:sz w:val="28"/>
                <w:szCs w:val="28"/>
              </w:rPr>
              <w:t>1305-02</w:t>
            </w:r>
          </w:p>
        </w:tc>
      </w:tr>
      <w:tr w:rsidR="00253C47" w14:paraId="2D18E332" w14:textId="77777777" w:rsidTr="00176477">
        <w:trPr>
          <w:trHeight w:val="373"/>
          <w:jc w:val="center"/>
        </w:trPr>
        <w:tc>
          <w:tcPr>
            <w:tcW w:w="2547" w:type="dxa"/>
          </w:tcPr>
          <w:p w14:paraId="364641AC" w14:textId="77777777" w:rsidR="00253C47" w:rsidRPr="00C16E3D" w:rsidRDefault="00253C47" w:rsidP="00176477">
            <w:pPr>
              <w:pStyle w:val="Body"/>
              <w:rPr>
                <w:color w:val="000000" w:themeColor="text1"/>
              </w:rPr>
            </w:pPr>
            <w:r w:rsidRPr="00C16E3D">
              <w:rPr>
                <w:b/>
                <w:color w:val="000000" w:themeColor="text1"/>
              </w:rPr>
              <w:t>Title</w:t>
            </w:r>
          </w:p>
        </w:tc>
        <w:tc>
          <w:tcPr>
            <w:tcW w:w="6240" w:type="dxa"/>
          </w:tcPr>
          <w:p w14:paraId="4052371B" w14:textId="7D21EC65" w:rsidR="00253C47" w:rsidRPr="00C16E3D" w:rsidRDefault="00EE5BA5" w:rsidP="00176477">
            <w:pPr>
              <w:pStyle w:val="Body"/>
              <w:rPr>
                <w:color w:val="000000" w:themeColor="text1"/>
              </w:rPr>
            </w:pPr>
            <w:r>
              <w:rPr>
                <w:color w:val="000000" w:themeColor="text1"/>
              </w:rPr>
              <w:t>T1305-02</w:t>
            </w:r>
            <w:r w:rsidRPr="00C16E3D">
              <w:rPr>
                <w:color w:val="000000" w:themeColor="text1"/>
              </w:rPr>
              <w:t xml:space="preserve"> </w:t>
            </w:r>
            <w:r w:rsidR="00253C47" w:rsidRPr="00C16E3D">
              <w:rPr>
                <w:color w:val="000000" w:themeColor="text1"/>
              </w:rPr>
              <w:t xml:space="preserve">– </w:t>
            </w:r>
            <w:r w:rsidRPr="00EE5BA5">
              <w:rPr>
                <w:color w:val="000000" w:themeColor="text1"/>
              </w:rPr>
              <w:t>An approach to codifying driving policies that is useable by TSAR</w:t>
            </w:r>
          </w:p>
        </w:tc>
      </w:tr>
      <w:tr w:rsidR="00253C47" w14:paraId="081FF5BD" w14:textId="77777777" w:rsidTr="00176477">
        <w:trPr>
          <w:trHeight w:val="436"/>
          <w:jc w:val="center"/>
        </w:trPr>
        <w:tc>
          <w:tcPr>
            <w:tcW w:w="2547" w:type="dxa"/>
          </w:tcPr>
          <w:p w14:paraId="2ED0CD95" w14:textId="77777777" w:rsidR="00253C47" w:rsidRPr="00C16E3D" w:rsidRDefault="00253C47" w:rsidP="00176477">
            <w:pPr>
              <w:pStyle w:val="Body"/>
              <w:rPr>
                <w:b/>
                <w:color w:val="000000" w:themeColor="text1"/>
              </w:rPr>
            </w:pPr>
            <w:r w:rsidRPr="00C16E3D">
              <w:rPr>
                <w:b/>
                <w:color w:val="000000" w:themeColor="text1"/>
              </w:rPr>
              <w:t xml:space="preserve">Delivery </w:t>
            </w:r>
          </w:p>
        </w:tc>
        <w:tc>
          <w:tcPr>
            <w:tcW w:w="6240" w:type="dxa"/>
          </w:tcPr>
          <w:p w14:paraId="1B6B8D7F" w14:textId="77777777" w:rsidR="00253C47" w:rsidRPr="00C16E3D" w:rsidRDefault="00253C47" w:rsidP="00176477">
            <w:pPr>
              <w:pStyle w:val="Body"/>
              <w:rPr>
                <w:color w:val="000000" w:themeColor="text1"/>
              </w:rPr>
            </w:pPr>
            <w:r w:rsidRPr="00C16E3D">
              <w:rPr>
                <w:color w:val="000000" w:themeColor="text1"/>
              </w:rPr>
              <w:t>Supplier (competitive tender)</w:t>
            </w:r>
          </w:p>
        </w:tc>
      </w:tr>
      <w:tr w:rsidR="00253C47" w14:paraId="20C75DB6" w14:textId="77777777" w:rsidTr="00176477">
        <w:trPr>
          <w:trHeight w:val="420"/>
          <w:jc w:val="center"/>
        </w:trPr>
        <w:tc>
          <w:tcPr>
            <w:tcW w:w="2547" w:type="dxa"/>
          </w:tcPr>
          <w:p w14:paraId="4D231AC4" w14:textId="77777777" w:rsidR="00253C47" w:rsidRDefault="00253C47" w:rsidP="00176477">
            <w:pPr>
              <w:pStyle w:val="Body"/>
            </w:pPr>
            <w:r>
              <w:rPr>
                <w:b/>
              </w:rPr>
              <w:t>Start</w:t>
            </w:r>
          </w:p>
        </w:tc>
        <w:tc>
          <w:tcPr>
            <w:tcW w:w="6240" w:type="dxa"/>
          </w:tcPr>
          <w:p w14:paraId="56C6B981" w14:textId="1D135E2C" w:rsidR="00253C47" w:rsidRDefault="00BD375D" w:rsidP="00176477">
            <w:pPr>
              <w:pStyle w:val="Body"/>
            </w:pPr>
            <w:r>
              <w:t>September</w:t>
            </w:r>
            <w:r w:rsidR="008806BC">
              <w:t xml:space="preserve"> 2022</w:t>
            </w:r>
          </w:p>
        </w:tc>
      </w:tr>
      <w:tr w:rsidR="00253C47" w14:paraId="5579BDE5" w14:textId="77777777" w:rsidTr="00176477">
        <w:trPr>
          <w:trHeight w:val="420"/>
          <w:jc w:val="center"/>
        </w:trPr>
        <w:tc>
          <w:tcPr>
            <w:tcW w:w="2547" w:type="dxa"/>
          </w:tcPr>
          <w:p w14:paraId="1B62CC69" w14:textId="77777777" w:rsidR="00253C47" w:rsidRDefault="00253C47" w:rsidP="00176477">
            <w:pPr>
              <w:pStyle w:val="Body"/>
              <w:rPr>
                <w:b/>
              </w:rPr>
            </w:pPr>
            <w:r>
              <w:rPr>
                <w:b/>
              </w:rPr>
              <w:t>Completion</w:t>
            </w:r>
          </w:p>
        </w:tc>
        <w:tc>
          <w:tcPr>
            <w:tcW w:w="6240" w:type="dxa"/>
          </w:tcPr>
          <w:p w14:paraId="3848A1F3" w14:textId="25CE86C1" w:rsidR="00253C47" w:rsidRDefault="00BD375D" w:rsidP="00176477">
            <w:pPr>
              <w:pStyle w:val="Body"/>
            </w:pPr>
            <w:r>
              <w:t>March</w:t>
            </w:r>
            <w:r w:rsidR="008806BC">
              <w:t xml:space="preserve"> 2023</w:t>
            </w:r>
          </w:p>
        </w:tc>
      </w:tr>
    </w:tbl>
    <w:p w14:paraId="45ED2146" w14:textId="77777777" w:rsidR="00253C47" w:rsidRDefault="00253C47" w:rsidP="004C4608">
      <w:pPr>
        <w:rPr>
          <w:lang w:eastAsia="en-GB"/>
        </w:rPr>
      </w:pPr>
    </w:p>
    <w:p w14:paraId="1A885982" w14:textId="77777777" w:rsidR="005047AB" w:rsidRPr="009B21F8" w:rsidRDefault="005047AB" w:rsidP="009B21F8">
      <w:pPr>
        <w:rPr>
          <w:rFonts w:ascii="Calibri" w:hAnsi="Calibri" w:cs="Arial"/>
          <w:sz w:val="22"/>
          <w:szCs w:val="22"/>
          <w:lang w:eastAsia="en-GB"/>
        </w:rPr>
      </w:pPr>
      <w:r w:rsidRPr="009B21F8">
        <w:rPr>
          <w:rFonts w:ascii="Calibri" w:hAnsi="Calibri" w:cs="Arial"/>
          <w:sz w:val="22"/>
          <w:szCs w:val="22"/>
          <w:lang w:eastAsia="en-GB"/>
        </w:rPr>
        <w:br/>
      </w:r>
    </w:p>
    <w:p w14:paraId="6BA5598D" w14:textId="77777777" w:rsidR="001E1A5D" w:rsidRDefault="001E1A5D">
      <w:pPr>
        <w:rPr>
          <w:rFonts w:ascii="Calibri" w:hAnsi="Calibri" w:cs="Arial"/>
          <w:color w:val="00968E"/>
          <w:sz w:val="36"/>
          <w:szCs w:val="22"/>
          <w:lang w:eastAsia="en-GB"/>
        </w:rPr>
      </w:pPr>
      <w:r>
        <w:rPr>
          <w:rFonts w:ascii="Calibri" w:hAnsi="Calibri"/>
        </w:rPr>
        <w:br w:type="page"/>
      </w:r>
    </w:p>
    <w:p w14:paraId="7BDE9AC7" w14:textId="65B85518" w:rsidR="00032803" w:rsidRPr="0002231C" w:rsidRDefault="005047AB" w:rsidP="209A9399">
      <w:pPr>
        <w:pStyle w:val="Heading10"/>
        <w:keepNext/>
        <w:numPr>
          <w:ilvl w:val="0"/>
          <w:numId w:val="25"/>
        </w:numPr>
        <w:ind w:left="426" w:hanging="426"/>
        <w:rPr>
          <w:rFonts w:ascii="Calibri" w:hAnsi="Calibri"/>
        </w:rPr>
      </w:pPr>
      <w:r w:rsidRPr="209A9399">
        <w:rPr>
          <w:rFonts w:ascii="Calibri" w:hAnsi="Calibri"/>
        </w:rPr>
        <w:lastRenderedPageBreak/>
        <w:t>D</w:t>
      </w:r>
      <w:r w:rsidR="00875261" w:rsidRPr="209A9399">
        <w:rPr>
          <w:rFonts w:ascii="Calibri" w:hAnsi="Calibri"/>
        </w:rPr>
        <w:t>eliverables</w:t>
      </w:r>
    </w:p>
    <w:p w14:paraId="52C93FAD" w14:textId="64A8F7E5" w:rsidR="008A5735" w:rsidRPr="00471315" w:rsidRDefault="006A15C4" w:rsidP="00B95ACC">
      <w:pPr>
        <w:rPr>
          <w:rFonts w:ascii="Calibri" w:hAnsi="Calibri" w:cs="Arial"/>
          <w:b/>
          <w:bCs/>
          <w:sz w:val="22"/>
          <w:szCs w:val="22"/>
          <w:lang w:eastAsia="en-GB"/>
        </w:rPr>
      </w:pPr>
      <w:r w:rsidRPr="00471315">
        <w:rPr>
          <w:rFonts w:ascii="Calibri" w:hAnsi="Calibri" w:cs="Arial"/>
          <w:b/>
          <w:bCs/>
          <w:sz w:val="22"/>
          <w:szCs w:val="22"/>
          <w:lang w:eastAsia="en-GB"/>
        </w:rPr>
        <w:t>Th</w:t>
      </w:r>
      <w:r w:rsidR="00907126" w:rsidRPr="00471315">
        <w:rPr>
          <w:rFonts w:ascii="Calibri" w:hAnsi="Calibri" w:cs="Arial"/>
          <w:b/>
          <w:bCs/>
          <w:sz w:val="22"/>
          <w:szCs w:val="22"/>
          <w:lang w:eastAsia="en-GB"/>
        </w:rPr>
        <w:t>e</w:t>
      </w:r>
      <w:r w:rsidRPr="00471315">
        <w:rPr>
          <w:rFonts w:ascii="Calibri" w:hAnsi="Calibri" w:cs="Arial"/>
          <w:b/>
          <w:bCs/>
          <w:sz w:val="22"/>
          <w:szCs w:val="22"/>
          <w:lang w:eastAsia="en-GB"/>
        </w:rPr>
        <w:t xml:space="preserve"> </w:t>
      </w:r>
      <w:r w:rsidR="00611386" w:rsidRPr="00471315">
        <w:rPr>
          <w:rFonts w:ascii="Calibri" w:hAnsi="Calibri" w:cs="Arial"/>
          <w:b/>
          <w:bCs/>
          <w:color w:val="000000" w:themeColor="text1"/>
          <w:sz w:val="22"/>
          <w:szCs w:val="22"/>
          <w:lang w:eastAsia="en-GB"/>
        </w:rPr>
        <w:t>supplier</w:t>
      </w:r>
      <w:r w:rsidRPr="00471315">
        <w:rPr>
          <w:rFonts w:ascii="Calibri" w:hAnsi="Calibri" w:cs="Arial"/>
          <w:b/>
          <w:bCs/>
          <w:color w:val="000000" w:themeColor="text1"/>
          <w:sz w:val="22"/>
          <w:szCs w:val="22"/>
          <w:lang w:eastAsia="en-GB"/>
        </w:rPr>
        <w:t xml:space="preserve"> will </w:t>
      </w:r>
      <w:r w:rsidR="00611386" w:rsidRPr="00471315">
        <w:rPr>
          <w:rFonts w:ascii="Calibri" w:hAnsi="Calibri" w:cs="Arial"/>
          <w:b/>
          <w:bCs/>
          <w:color w:val="000000" w:themeColor="text1"/>
          <w:sz w:val="22"/>
          <w:szCs w:val="22"/>
          <w:lang w:eastAsia="en-GB"/>
        </w:rPr>
        <w:t>produce</w:t>
      </w:r>
      <w:r w:rsidRPr="00471315">
        <w:rPr>
          <w:rFonts w:ascii="Calibri" w:hAnsi="Calibri" w:cs="Arial"/>
          <w:b/>
          <w:bCs/>
          <w:color w:val="000000" w:themeColor="text1"/>
          <w:sz w:val="22"/>
          <w:szCs w:val="22"/>
          <w:lang w:eastAsia="en-GB"/>
        </w:rPr>
        <w:t xml:space="preserve"> the following deliverables</w:t>
      </w:r>
      <w:r w:rsidR="001E1A5D" w:rsidRPr="00471315">
        <w:rPr>
          <w:rFonts w:ascii="Calibri" w:hAnsi="Calibri" w:cs="Arial"/>
          <w:b/>
          <w:bCs/>
          <w:color w:val="000000" w:themeColor="text1"/>
          <w:sz w:val="22"/>
          <w:szCs w:val="22"/>
          <w:lang w:eastAsia="en-GB"/>
        </w:rPr>
        <w:t xml:space="preserve"> for Work Package 1 (T1305-01)</w:t>
      </w:r>
      <w:r w:rsidRPr="00471315">
        <w:rPr>
          <w:rFonts w:ascii="Calibri" w:hAnsi="Calibri" w:cs="Arial"/>
          <w:b/>
          <w:bCs/>
          <w:color w:val="000000" w:themeColor="text1"/>
          <w:sz w:val="22"/>
          <w:szCs w:val="22"/>
          <w:lang w:eastAsia="en-GB"/>
        </w:rPr>
        <w:t>:</w:t>
      </w:r>
      <w:r w:rsidR="00611386" w:rsidRPr="00471315">
        <w:rPr>
          <w:rFonts w:ascii="Calibri" w:hAnsi="Calibri" w:cs="Arial"/>
          <w:b/>
          <w:bCs/>
          <w:sz w:val="22"/>
          <w:szCs w:val="22"/>
          <w:lang w:eastAsia="en-GB"/>
        </w:rPr>
        <w:br/>
      </w:r>
    </w:p>
    <w:tbl>
      <w:tblPr>
        <w:tblStyle w:val="TableGrid"/>
        <w:tblW w:w="8075" w:type="dxa"/>
        <w:tblLook w:val="04A0" w:firstRow="1" w:lastRow="0" w:firstColumn="1" w:lastColumn="0" w:noHBand="0" w:noVBand="1"/>
      </w:tblPr>
      <w:tblGrid>
        <w:gridCol w:w="1838"/>
        <w:gridCol w:w="6237"/>
      </w:tblGrid>
      <w:tr w:rsidR="00EE5BA5" w14:paraId="4D0D323C" w14:textId="77777777" w:rsidTr="004625AC">
        <w:trPr>
          <w:trHeight w:val="434"/>
        </w:trPr>
        <w:tc>
          <w:tcPr>
            <w:tcW w:w="1838" w:type="dxa"/>
            <w:shd w:val="clear" w:color="auto" w:fill="F2F2F2" w:themeFill="background1" w:themeFillShade="F2"/>
          </w:tcPr>
          <w:p w14:paraId="0D9CAC50" w14:textId="442125FF" w:rsidR="00EE5BA5" w:rsidRPr="003E60E0" w:rsidRDefault="00EE5BA5" w:rsidP="00EE5BA5">
            <w:pPr>
              <w:pStyle w:val="Body"/>
              <w:rPr>
                <w:b/>
              </w:rPr>
            </w:pPr>
            <w:r w:rsidRPr="003E60E0">
              <w:rPr>
                <w:b/>
              </w:rPr>
              <w:t>Deliverable Title</w:t>
            </w:r>
          </w:p>
        </w:tc>
        <w:tc>
          <w:tcPr>
            <w:tcW w:w="6237" w:type="dxa"/>
          </w:tcPr>
          <w:p w14:paraId="4E8B3215" w14:textId="4E967288" w:rsidR="00EE5BA5" w:rsidRDefault="00EE5BA5" w:rsidP="00EE5BA5">
            <w:pPr>
              <w:pStyle w:val="Body"/>
            </w:pPr>
            <w:r>
              <w:t xml:space="preserve">Good practice </w:t>
            </w:r>
            <w:r w:rsidRPr="00A86C2D">
              <w:t xml:space="preserve">driving policies </w:t>
            </w:r>
            <w:r>
              <w:t xml:space="preserve">for </w:t>
            </w:r>
            <w:r w:rsidRPr="00A86C2D">
              <w:t>Train Operating Companies</w:t>
            </w:r>
          </w:p>
        </w:tc>
      </w:tr>
      <w:tr w:rsidR="00EE5BA5" w14:paraId="6F9D72AA" w14:textId="77777777" w:rsidTr="004625AC">
        <w:trPr>
          <w:trHeight w:val="419"/>
        </w:trPr>
        <w:tc>
          <w:tcPr>
            <w:tcW w:w="1838" w:type="dxa"/>
            <w:shd w:val="clear" w:color="auto" w:fill="F2F2F2" w:themeFill="background1" w:themeFillShade="F2"/>
          </w:tcPr>
          <w:p w14:paraId="0E4D0323" w14:textId="768AE8CE" w:rsidR="00EE5BA5" w:rsidRPr="003E60E0" w:rsidRDefault="00EE5BA5" w:rsidP="00EE5BA5">
            <w:pPr>
              <w:pStyle w:val="Body"/>
              <w:rPr>
                <w:b/>
              </w:rPr>
            </w:pPr>
            <w:r w:rsidRPr="003E60E0">
              <w:rPr>
                <w:b/>
              </w:rPr>
              <w:t>Deliverable Type</w:t>
            </w:r>
          </w:p>
        </w:tc>
        <w:tc>
          <w:tcPr>
            <w:tcW w:w="6237" w:type="dxa"/>
          </w:tcPr>
          <w:p w14:paraId="3B7E194D" w14:textId="33DE0E7C" w:rsidR="00EE5BA5" w:rsidRDefault="00EE5BA5" w:rsidP="00EE5BA5">
            <w:pPr>
              <w:pStyle w:val="Body"/>
            </w:pPr>
            <w:r>
              <w:t>Good practice guide</w:t>
            </w:r>
          </w:p>
        </w:tc>
      </w:tr>
      <w:tr w:rsidR="00EE5BA5" w14:paraId="4FA16709" w14:textId="77777777" w:rsidTr="004625AC">
        <w:trPr>
          <w:trHeight w:val="434"/>
        </w:trPr>
        <w:tc>
          <w:tcPr>
            <w:tcW w:w="1838" w:type="dxa"/>
            <w:shd w:val="clear" w:color="auto" w:fill="F2F2F2" w:themeFill="background1" w:themeFillShade="F2"/>
          </w:tcPr>
          <w:p w14:paraId="0644DFD8" w14:textId="3CD05C4D" w:rsidR="00EE5BA5" w:rsidRPr="003E60E0" w:rsidRDefault="00EE5BA5" w:rsidP="00EE5BA5">
            <w:pPr>
              <w:pStyle w:val="Body"/>
              <w:rPr>
                <w:b/>
              </w:rPr>
            </w:pPr>
            <w:r w:rsidRPr="003E60E0">
              <w:rPr>
                <w:b/>
              </w:rPr>
              <w:t>Description</w:t>
            </w:r>
          </w:p>
        </w:tc>
        <w:tc>
          <w:tcPr>
            <w:tcW w:w="6237" w:type="dxa"/>
          </w:tcPr>
          <w:p w14:paraId="4655B1BB" w14:textId="06A35657" w:rsidR="00EE5BA5" w:rsidRDefault="00EE5BA5" w:rsidP="00EE5BA5">
            <w:pPr>
              <w:pStyle w:val="Body"/>
            </w:pPr>
            <w:r>
              <w:t xml:space="preserve">The supplier shall produce a criterion-based good practice guide on driving policies for TOCs, based on traction and operator criteria; </w:t>
            </w:r>
            <w:r w:rsidRPr="00A86C2D">
              <w:t>to enable a more</w:t>
            </w:r>
            <w:r>
              <w:t xml:space="preserve"> effective and</w:t>
            </w:r>
            <w:r w:rsidRPr="00A86C2D">
              <w:t xml:space="preserve"> consistent approach</w:t>
            </w:r>
            <w:r>
              <w:t xml:space="preserve">, </w:t>
            </w:r>
            <w:r w:rsidRPr="005714DE">
              <w:t xml:space="preserve">facilitating an improvement in </w:t>
            </w:r>
            <w:r>
              <w:t>safe performance</w:t>
            </w:r>
            <w:r w:rsidRPr="005714DE">
              <w:t>.</w:t>
            </w:r>
            <w:r>
              <w:t xml:space="preserve"> The document shall be targeted towards </w:t>
            </w:r>
            <w:r w:rsidRPr="00C11E8F">
              <w:t>senior operational practitioners that are involved in the review and revision of Professional Driving Policies</w:t>
            </w:r>
            <w:r>
              <w:t xml:space="preserve">. </w:t>
            </w:r>
          </w:p>
          <w:p w14:paraId="1B4C0D28" w14:textId="1CBBAEF8" w:rsidR="00EE5BA5" w:rsidRDefault="00EE5BA5" w:rsidP="00EE5BA5">
            <w:pPr>
              <w:pStyle w:val="Body"/>
            </w:pPr>
            <w:r>
              <w:t xml:space="preserve">The document should be short, </w:t>
            </w:r>
            <w:r w:rsidR="00D508FB">
              <w:t>accessible,</w:t>
            </w:r>
            <w:r>
              <w:t xml:space="preserve"> and easy to use; and incorporate infographics where </w:t>
            </w:r>
            <w:r w:rsidRPr="00ED5266">
              <w:t>appropriate. The document shall</w:t>
            </w:r>
            <w:r>
              <w:t xml:space="preserve"> incorporate the underlying evidence to inspire confidence in the recommendations.</w:t>
            </w:r>
          </w:p>
        </w:tc>
      </w:tr>
      <w:tr w:rsidR="00EE5BA5" w14:paraId="1BC747E5" w14:textId="77777777" w:rsidTr="004625AC">
        <w:trPr>
          <w:trHeight w:val="419"/>
        </w:trPr>
        <w:tc>
          <w:tcPr>
            <w:tcW w:w="1838" w:type="dxa"/>
            <w:shd w:val="clear" w:color="auto" w:fill="F2F2F2" w:themeFill="background1" w:themeFillShade="F2"/>
          </w:tcPr>
          <w:p w14:paraId="7DFAA440" w14:textId="1521C2F2" w:rsidR="00EE5BA5" w:rsidRPr="003E60E0" w:rsidRDefault="00EE5BA5" w:rsidP="00EE5BA5">
            <w:pPr>
              <w:pStyle w:val="Body"/>
              <w:rPr>
                <w:b/>
              </w:rPr>
            </w:pPr>
            <w:r w:rsidRPr="003E60E0">
              <w:rPr>
                <w:b/>
              </w:rPr>
              <w:t>Publication</w:t>
            </w:r>
          </w:p>
        </w:tc>
        <w:tc>
          <w:tcPr>
            <w:tcW w:w="6237" w:type="dxa"/>
          </w:tcPr>
          <w:p w14:paraId="137C1F3E" w14:textId="00DAEB8F" w:rsidR="00EE5BA5" w:rsidRDefault="00EE5BA5" w:rsidP="00EE5BA5">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009A7B9F" w14:textId="1E9E6746" w:rsidR="00BB2989" w:rsidRDefault="00BB2989" w:rsidP="00BB2989">
      <w:pPr>
        <w:rPr>
          <w:rFonts w:ascii="Calibri" w:hAnsi="Calibri" w:cs="Arial"/>
          <w:color w:val="00B050"/>
          <w:sz w:val="22"/>
          <w:szCs w:val="22"/>
          <w:lang w:eastAsia="en-GB"/>
        </w:rPr>
      </w:pPr>
    </w:p>
    <w:tbl>
      <w:tblPr>
        <w:tblStyle w:val="TableGrid"/>
        <w:tblW w:w="8075" w:type="dxa"/>
        <w:tblLook w:val="04A0" w:firstRow="1" w:lastRow="0" w:firstColumn="1" w:lastColumn="0" w:noHBand="0" w:noVBand="1"/>
      </w:tblPr>
      <w:tblGrid>
        <w:gridCol w:w="1838"/>
        <w:gridCol w:w="6237"/>
      </w:tblGrid>
      <w:tr w:rsidR="00774BE7" w14:paraId="4BD61B7F" w14:textId="77777777" w:rsidTr="007E41AA">
        <w:trPr>
          <w:trHeight w:val="434"/>
        </w:trPr>
        <w:tc>
          <w:tcPr>
            <w:tcW w:w="1838" w:type="dxa"/>
            <w:shd w:val="clear" w:color="auto" w:fill="F2F2F2" w:themeFill="background1" w:themeFillShade="F2"/>
          </w:tcPr>
          <w:p w14:paraId="6495901B" w14:textId="77777777" w:rsidR="00774BE7" w:rsidRPr="003E60E0" w:rsidRDefault="00774BE7" w:rsidP="007E41AA">
            <w:pPr>
              <w:pStyle w:val="Body"/>
              <w:rPr>
                <w:b/>
              </w:rPr>
            </w:pPr>
            <w:r w:rsidRPr="003E60E0">
              <w:rPr>
                <w:b/>
              </w:rPr>
              <w:t>Deliverable Title</w:t>
            </w:r>
          </w:p>
        </w:tc>
        <w:tc>
          <w:tcPr>
            <w:tcW w:w="6237" w:type="dxa"/>
          </w:tcPr>
          <w:p w14:paraId="58C655CA" w14:textId="1639E5F4" w:rsidR="00774BE7" w:rsidRDefault="00774BE7" w:rsidP="007E41AA">
            <w:pPr>
              <w:pStyle w:val="Body"/>
            </w:pPr>
            <w:r>
              <w:t xml:space="preserve">Worked example – Best practice driving policy for </w:t>
            </w:r>
            <w:r w:rsidRPr="00A86C2D">
              <w:t>Train Operating Companies</w:t>
            </w:r>
          </w:p>
        </w:tc>
      </w:tr>
      <w:tr w:rsidR="00774BE7" w14:paraId="0D04CE99" w14:textId="77777777" w:rsidTr="007E41AA">
        <w:trPr>
          <w:trHeight w:val="419"/>
        </w:trPr>
        <w:tc>
          <w:tcPr>
            <w:tcW w:w="1838" w:type="dxa"/>
            <w:shd w:val="clear" w:color="auto" w:fill="F2F2F2" w:themeFill="background1" w:themeFillShade="F2"/>
          </w:tcPr>
          <w:p w14:paraId="6FE9AD4D" w14:textId="77777777" w:rsidR="00774BE7" w:rsidRPr="003E60E0" w:rsidRDefault="00774BE7" w:rsidP="007E41AA">
            <w:pPr>
              <w:pStyle w:val="Body"/>
              <w:rPr>
                <w:b/>
              </w:rPr>
            </w:pPr>
            <w:r w:rsidRPr="003E60E0">
              <w:rPr>
                <w:b/>
              </w:rPr>
              <w:t>Deliverable Type</w:t>
            </w:r>
          </w:p>
        </w:tc>
        <w:tc>
          <w:tcPr>
            <w:tcW w:w="6237" w:type="dxa"/>
          </w:tcPr>
          <w:p w14:paraId="72AA5ED4" w14:textId="4434D18E" w:rsidR="00774BE7" w:rsidRDefault="00774BE7" w:rsidP="007E41AA">
            <w:pPr>
              <w:pStyle w:val="Body"/>
            </w:pPr>
            <w:r>
              <w:t xml:space="preserve">Adoption support material </w:t>
            </w:r>
          </w:p>
        </w:tc>
      </w:tr>
      <w:tr w:rsidR="00774BE7" w14:paraId="1E46D0AA" w14:textId="77777777" w:rsidTr="007E41AA">
        <w:trPr>
          <w:trHeight w:val="434"/>
        </w:trPr>
        <w:tc>
          <w:tcPr>
            <w:tcW w:w="1838" w:type="dxa"/>
            <w:shd w:val="clear" w:color="auto" w:fill="F2F2F2" w:themeFill="background1" w:themeFillShade="F2"/>
          </w:tcPr>
          <w:p w14:paraId="0C76867F" w14:textId="77777777" w:rsidR="00774BE7" w:rsidRPr="003E60E0" w:rsidRDefault="00774BE7" w:rsidP="007E41AA">
            <w:pPr>
              <w:pStyle w:val="Body"/>
              <w:rPr>
                <w:b/>
              </w:rPr>
            </w:pPr>
            <w:r w:rsidRPr="003E60E0">
              <w:rPr>
                <w:b/>
              </w:rPr>
              <w:t>Description</w:t>
            </w:r>
          </w:p>
        </w:tc>
        <w:tc>
          <w:tcPr>
            <w:tcW w:w="6237" w:type="dxa"/>
          </w:tcPr>
          <w:p w14:paraId="480D22EC" w14:textId="3B01910D" w:rsidR="008057B4" w:rsidRDefault="00774BE7" w:rsidP="00774BE7">
            <w:pPr>
              <w:pStyle w:val="Body"/>
            </w:pPr>
            <w:r>
              <w:t>The supplier shall produce a</w:t>
            </w:r>
            <w:r w:rsidR="008057B4">
              <w:t xml:space="preserve"> worked example of a</w:t>
            </w:r>
            <w:r>
              <w:t xml:space="preserve"> </w:t>
            </w:r>
            <w:r w:rsidR="008057B4">
              <w:t xml:space="preserve">best practice </w:t>
            </w:r>
            <w:r>
              <w:t xml:space="preserve">Driving policy document </w:t>
            </w:r>
            <w:r w:rsidR="008057B4">
              <w:t xml:space="preserve">for TOCs. This will be </w:t>
            </w:r>
            <w:r>
              <w:t>based on the best practice identified</w:t>
            </w:r>
            <w:r w:rsidR="008057B4">
              <w:t xml:space="preserve"> in this project. </w:t>
            </w:r>
          </w:p>
          <w:p w14:paraId="70985020" w14:textId="3E25CE1A" w:rsidR="00774BE7" w:rsidRDefault="008057B4" w:rsidP="00774BE7">
            <w:pPr>
              <w:pStyle w:val="Body"/>
            </w:pPr>
            <w:r>
              <w:t xml:space="preserve">It </w:t>
            </w:r>
            <w:r w:rsidR="00774BE7">
              <w:t xml:space="preserve">should be short, </w:t>
            </w:r>
            <w:r w:rsidR="00D508FB">
              <w:t>accessible,</w:t>
            </w:r>
            <w:r w:rsidR="00774BE7">
              <w:t xml:space="preserve"> and easy to use; and incorporate infographics where </w:t>
            </w:r>
            <w:r w:rsidR="00774BE7" w:rsidRPr="00ED5266">
              <w:t>appropriate. The document shall</w:t>
            </w:r>
            <w:r>
              <w:t xml:space="preserve"> be designed in a way that enables operators to adapt it based on their own best practice needs. </w:t>
            </w:r>
          </w:p>
        </w:tc>
      </w:tr>
      <w:tr w:rsidR="00774BE7" w14:paraId="5A2B4C4F" w14:textId="77777777" w:rsidTr="007E41AA">
        <w:trPr>
          <w:trHeight w:val="419"/>
        </w:trPr>
        <w:tc>
          <w:tcPr>
            <w:tcW w:w="1838" w:type="dxa"/>
            <w:shd w:val="clear" w:color="auto" w:fill="F2F2F2" w:themeFill="background1" w:themeFillShade="F2"/>
          </w:tcPr>
          <w:p w14:paraId="1DBFD91C" w14:textId="77777777" w:rsidR="00774BE7" w:rsidRPr="003E60E0" w:rsidRDefault="00774BE7" w:rsidP="007E41AA">
            <w:pPr>
              <w:pStyle w:val="Body"/>
              <w:rPr>
                <w:b/>
              </w:rPr>
            </w:pPr>
            <w:r w:rsidRPr="003E60E0">
              <w:rPr>
                <w:b/>
              </w:rPr>
              <w:t>Publication</w:t>
            </w:r>
          </w:p>
        </w:tc>
        <w:tc>
          <w:tcPr>
            <w:tcW w:w="6237" w:type="dxa"/>
          </w:tcPr>
          <w:p w14:paraId="63F8C85C" w14:textId="77777777" w:rsidR="00774BE7" w:rsidRDefault="00774BE7" w:rsidP="007E41AA">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3DECB0F6" w14:textId="3C4DA09D" w:rsidR="00774BE7" w:rsidRDefault="00774BE7" w:rsidP="00BB2989">
      <w:pPr>
        <w:rPr>
          <w:rFonts w:ascii="Calibri" w:hAnsi="Calibri" w:cs="Arial"/>
          <w:color w:val="00B050"/>
          <w:sz w:val="22"/>
          <w:szCs w:val="22"/>
          <w:lang w:eastAsia="en-GB"/>
        </w:rPr>
      </w:pPr>
    </w:p>
    <w:p w14:paraId="0917794F" w14:textId="77777777" w:rsidR="00774BE7" w:rsidRDefault="00774BE7" w:rsidP="00BB2989">
      <w:pPr>
        <w:rPr>
          <w:rFonts w:ascii="Calibri" w:hAnsi="Calibri" w:cs="Arial"/>
          <w:color w:val="00B050"/>
          <w:sz w:val="22"/>
          <w:szCs w:val="22"/>
          <w:lang w:eastAsia="en-GB"/>
        </w:rPr>
      </w:pPr>
    </w:p>
    <w:tbl>
      <w:tblPr>
        <w:tblStyle w:val="TableGrid"/>
        <w:tblW w:w="8075" w:type="dxa"/>
        <w:tblLook w:val="04A0" w:firstRow="1" w:lastRow="0" w:firstColumn="1" w:lastColumn="0" w:noHBand="0" w:noVBand="1"/>
      </w:tblPr>
      <w:tblGrid>
        <w:gridCol w:w="1838"/>
        <w:gridCol w:w="6237"/>
      </w:tblGrid>
      <w:tr w:rsidR="001E1A5D" w14:paraId="02DF7890" w14:textId="77777777" w:rsidTr="00176477">
        <w:trPr>
          <w:trHeight w:val="434"/>
        </w:trPr>
        <w:tc>
          <w:tcPr>
            <w:tcW w:w="1838" w:type="dxa"/>
            <w:shd w:val="clear" w:color="auto" w:fill="F2F2F2" w:themeFill="background1" w:themeFillShade="F2"/>
          </w:tcPr>
          <w:p w14:paraId="0A350BD6" w14:textId="77777777" w:rsidR="001E1A5D" w:rsidRPr="003E60E0" w:rsidRDefault="001E1A5D" w:rsidP="00176477">
            <w:pPr>
              <w:pStyle w:val="Body"/>
              <w:rPr>
                <w:b/>
              </w:rPr>
            </w:pPr>
            <w:r>
              <w:lastRenderedPageBreak/>
              <w:br w:type="page"/>
            </w:r>
            <w:r w:rsidRPr="003E60E0">
              <w:rPr>
                <w:b/>
              </w:rPr>
              <w:t>Deliverable Title</w:t>
            </w:r>
          </w:p>
        </w:tc>
        <w:tc>
          <w:tcPr>
            <w:tcW w:w="6237" w:type="dxa"/>
          </w:tcPr>
          <w:p w14:paraId="3013CE56" w14:textId="002DC167" w:rsidR="001E1A5D" w:rsidRDefault="001E1A5D" w:rsidP="00176477">
            <w:pPr>
              <w:pStyle w:val="Body"/>
            </w:pPr>
            <w:r>
              <w:t xml:space="preserve">Good practice on </w:t>
            </w:r>
            <w:r w:rsidRPr="00A86C2D">
              <w:t xml:space="preserve">driving policies </w:t>
            </w:r>
            <w:r>
              <w:t>for Freight</w:t>
            </w:r>
            <w:r w:rsidRPr="00A86C2D">
              <w:t xml:space="preserve"> Operating Companies</w:t>
            </w:r>
          </w:p>
        </w:tc>
      </w:tr>
      <w:tr w:rsidR="001E1A5D" w14:paraId="363BB23C" w14:textId="77777777" w:rsidTr="00176477">
        <w:trPr>
          <w:trHeight w:val="419"/>
        </w:trPr>
        <w:tc>
          <w:tcPr>
            <w:tcW w:w="1838" w:type="dxa"/>
            <w:shd w:val="clear" w:color="auto" w:fill="F2F2F2" w:themeFill="background1" w:themeFillShade="F2"/>
          </w:tcPr>
          <w:p w14:paraId="5220CC15" w14:textId="77777777" w:rsidR="001E1A5D" w:rsidRPr="003E60E0" w:rsidRDefault="001E1A5D" w:rsidP="00176477">
            <w:pPr>
              <w:pStyle w:val="Body"/>
              <w:rPr>
                <w:b/>
              </w:rPr>
            </w:pPr>
            <w:r w:rsidRPr="003E60E0">
              <w:rPr>
                <w:b/>
              </w:rPr>
              <w:t>Deliverable Type</w:t>
            </w:r>
          </w:p>
        </w:tc>
        <w:tc>
          <w:tcPr>
            <w:tcW w:w="6237" w:type="dxa"/>
          </w:tcPr>
          <w:p w14:paraId="4F421C12" w14:textId="77777777" w:rsidR="001E1A5D" w:rsidRDefault="001E1A5D" w:rsidP="00176477">
            <w:pPr>
              <w:pStyle w:val="Body"/>
            </w:pPr>
            <w:r>
              <w:t>Good practice guide</w:t>
            </w:r>
          </w:p>
        </w:tc>
      </w:tr>
      <w:tr w:rsidR="001E1A5D" w14:paraId="235FE0A2" w14:textId="77777777" w:rsidTr="00176477">
        <w:trPr>
          <w:trHeight w:val="434"/>
        </w:trPr>
        <w:tc>
          <w:tcPr>
            <w:tcW w:w="1838" w:type="dxa"/>
            <w:shd w:val="clear" w:color="auto" w:fill="F2F2F2" w:themeFill="background1" w:themeFillShade="F2"/>
          </w:tcPr>
          <w:p w14:paraId="2B317D84" w14:textId="77777777" w:rsidR="001E1A5D" w:rsidRPr="003E60E0" w:rsidRDefault="001E1A5D" w:rsidP="00176477">
            <w:pPr>
              <w:pStyle w:val="Body"/>
              <w:rPr>
                <w:b/>
              </w:rPr>
            </w:pPr>
            <w:r w:rsidRPr="003E60E0">
              <w:rPr>
                <w:b/>
              </w:rPr>
              <w:t>Description</w:t>
            </w:r>
          </w:p>
        </w:tc>
        <w:tc>
          <w:tcPr>
            <w:tcW w:w="6237" w:type="dxa"/>
          </w:tcPr>
          <w:p w14:paraId="24A90300" w14:textId="0DC5AFE2" w:rsidR="001E1A5D" w:rsidRDefault="001E1A5D" w:rsidP="00176477">
            <w:pPr>
              <w:pStyle w:val="Body"/>
            </w:pPr>
            <w:r>
              <w:t xml:space="preserve">The supplier shall produce a criterion-based good practice guide on driving policies for FOCs, based on traction and operator criteria; </w:t>
            </w:r>
            <w:r w:rsidRPr="00A86C2D">
              <w:t>to enable a more</w:t>
            </w:r>
            <w:r>
              <w:t xml:space="preserve"> effective and</w:t>
            </w:r>
            <w:r w:rsidRPr="00A86C2D">
              <w:t xml:space="preserve"> consistent approach</w:t>
            </w:r>
            <w:r>
              <w:t xml:space="preserve">, </w:t>
            </w:r>
            <w:r w:rsidRPr="005714DE">
              <w:t xml:space="preserve">facilitating an improvement in </w:t>
            </w:r>
            <w:r>
              <w:t>safe performance</w:t>
            </w:r>
            <w:r w:rsidRPr="005714DE">
              <w:t>.</w:t>
            </w:r>
            <w:r>
              <w:t xml:space="preserve"> The document shall be targeted towards </w:t>
            </w:r>
            <w:r w:rsidRPr="00C11E8F">
              <w:t>senior operational practitioners that are involved in the review and revision of Professional Driving Policies</w:t>
            </w:r>
            <w:r>
              <w:t>.</w:t>
            </w:r>
          </w:p>
          <w:p w14:paraId="02E4ECDF" w14:textId="3EF70B1C" w:rsidR="001E1A5D" w:rsidRDefault="001E1A5D" w:rsidP="00176477">
            <w:pPr>
              <w:pStyle w:val="Body"/>
            </w:pPr>
            <w:r>
              <w:t xml:space="preserve">The document should be short, </w:t>
            </w:r>
            <w:r w:rsidR="00D508FB">
              <w:t>accessible,</w:t>
            </w:r>
            <w:r>
              <w:t xml:space="preserve"> and easy to use; and incorporate infographics where </w:t>
            </w:r>
            <w:r w:rsidRPr="00ED5266">
              <w:t>appropriate. The document shall</w:t>
            </w:r>
            <w:r>
              <w:t xml:space="preserve"> incorporate the underlying evidence to inspire confidence in the recommendations.</w:t>
            </w:r>
          </w:p>
        </w:tc>
      </w:tr>
      <w:tr w:rsidR="001E1A5D" w14:paraId="6CA950F7" w14:textId="77777777" w:rsidTr="00176477">
        <w:trPr>
          <w:trHeight w:val="419"/>
        </w:trPr>
        <w:tc>
          <w:tcPr>
            <w:tcW w:w="1838" w:type="dxa"/>
            <w:shd w:val="clear" w:color="auto" w:fill="F2F2F2" w:themeFill="background1" w:themeFillShade="F2"/>
          </w:tcPr>
          <w:p w14:paraId="3039747B" w14:textId="77777777" w:rsidR="001E1A5D" w:rsidRPr="003E60E0" w:rsidRDefault="001E1A5D" w:rsidP="00176477">
            <w:pPr>
              <w:pStyle w:val="Body"/>
              <w:rPr>
                <w:b/>
              </w:rPr>
            </w:pPr>
            <w:r w:rsidRPr="003E60E0">
              <w:rPr>
                <w:b/>
              </w:rPr>
              <w:t>Publication</w:t>
            </w:r>
          </w:p>
        </w:tc>
        <w:tc>
          <w:tcPr>
            <w:tcW w:w="6237" w:type="dxa"/>
          </w:tcPr>
          <w:p w14:paraId="2736640F" w14:textId="77777777" w:rsidR="001E1A5D" w:rsidRDefault="001E1A5D" w:rsidP="00176477">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6D743C57" w14:textId="32D88F15" w:rsidR="001E1A5D" w:rsidRDefault="001E1A5D" w:rsidP="00BB2989">
      <w:pPr>
        <w:rPr>
          <w:rFonts w:ascii="Calibri" w:hAnsi="Calibri" w:cs="Arial"/>
          <w:color w:val="000000" w:themeColor="text1"/>
          <w:sz w:val="22"/>
          <w:szCs w:val="22"/>
          <w:lang w:eastAsia="en-GB"/>
        </w:rPr>
      </w:pPr>
    </w:p>
    <w:tbl>
      <w:tblPr>
        <w:tblStyle w:val="TableGrid"/>
        <w:tblW w:w="8075" w:type="dxa"/>
        <w:tblLook w:val="04A0" w:firstRow="1" w:lastRow="0" w:firstColumn="1" w:lastColumn="0" w:noHBand="0" w:noVBand="1"/>
      </w:tblPr>
      <w:tblGrid>
        <w:gridCol w:w="1838"/>
        <w:gridCol w:w="6237"/>
      </w:tblGrid>
      <w:tr w:rsidR="008057B4" w14:paraId="0125D72C" w14:textId="77777777" w:rsidTr="007E41AA">
        <w:trPr>
          <w:trHeight w:val="434"/>
        </w:trPr>
        <w:tc>
          <w:tcPr>
            <w:tcW w:w="1838" w:type="dxa"/>
            <w:shd w:val="clear" w:color="auto" w:fill="F2F2F2" w:themeFill="background1" w:themeFillShade="F2"/>
          </w:tcPr>
          <w:p w14:paraId="67DC4DC9" w14:textId="77777777" w:rsidR="008057B4" w:rsidRPr="003E60E0" w:rsidRDefault="008057B4" w:rsidP="007E41AA">
            <w:pPr>
              <w:pStyle w:val="Body"/>
              <w:rPr>
                <w:b/>
              </w:rPr>
            </w:pPr>
            <w:r w:rsidRPr="003E60E0">
              <w:rPr>
                <w:b/>
              </w:rPr>
              <w:t>Deliverable Title</w:t>
            </w:r>
          </w:p>
        </w:tc>
        <w:tc>
          <w:tcPr>
            <w:tcW w:w="6237" w:type="dxa"/>
          </w:tcPr>
          <w:p w14:paraId="09A10412" w14:textId="2CB5693A" w:rsidR="008057B4" w:rsidRDefault="008057B4" w:rsidP="007E41AA">
            <w:pPr>
              <w:pStyle w:val="Body"/>
            </w:pPr>
            <w:r>
              <w:t xml:space="preserve">Worked example – Best practice driving policy for Freight </w:t>
            </w:r>
            <w:r w:rsidRPr="00A86C2D">
              <w:t>Operating Companies</w:t>
            </w:r>
          </w:p>
        </w:tc>
      </w:tr>
      <w:tr w:rsidR="008057B4" w14:paraId="5235C179" w14:textId="77777777" w:rsidTr="007E41AA">
        <w:trPr>
          <w:trHeight w:val="419"/>
        </w:trPr>
        <w:tc>
          <w:tcPr>
            <w:tcW w:w="1838" w:type="dxa"/>
            <w:shd w:val="clear" w:color="auto" w:fill="F2F2F2" w:themeFill="background1" w:themeFillShade="F2"/>
          </w:tcPr>
          <w:p w14:paraId="23BC620B" w14:textId="77777777" w:rsidR="008057B4" w:rsidRPr="003E60E0" w:rsidRDefault="008057B4" w:rsidP="007E41AA">
            <w:pPr>
              <w:pStyle w:val="Body"/>
              <w:rPr>
                <w:b/>
              </w:rPr>
            </w:pPr>
            <w:r w:rsidRPr="003E60E0">
              <w:rPr>
                <w:b/>
              </w:rPr>
              <w:t>Deliverable Type</w:t>
            </w:r>
          </w:p>
        </w:tc>
        <w:tc>
          <w:tcPr>
            <w:tcW w:w="6237" w:type="dxa"/>
          </w:tcPr>
          <w:p w14:paraId="0D09F62D" w14:textId="77777777" w:rsidR="008057B4" w:rsidRDefault="008057B4" w:rsidP="007E41AA">
            <w:pPr>
              <w:pStyle w:val="Body"/>
            </w:pPr>
            <w:r>
              <w:t xml:space="preserve">Adoption support material </w:t>
            </w:r>
          </w:p>
        </w:tc>
      </w:tr>
      <w:tr w:rsidR="008057B4" w14:paraId="5298B87C" w14:textId="77777777" w:rsidTr="007E41AA">
        <w:trPr>
          <w:trHeight w:val="434"/>
        </w:trPr>
        <w:tc>
          <w:tcPr>
            <w:tcW w:w="1838" w:type="dxa"/>
            <w:shd w:val="clear" w:color="auto" w:fill="F2F2F2" w:themeFill="background1" w:themeFillShade="F2"/>
          </w:tcPr>
          <w:p w14:paraId="734C2C16" w14:textId="77777777" w:rsidR="008057B4" w:rsidRPr="003E60E0" w:rsidRDefault="008057B4" w:rsidP="007E41AA">
            <w:pPr>
              <w:pStyle w:val="Body"/>
              <w:rPr>
                <w:b/>
              </w:rPr>
            </w:pPr>
            <w:r w:rsidRPr="003E60E0">
              <w:rPr>
                <w:b/>
              </w:rPr>
              <w:t>Description</w:t>
            </w:r>
          </w:p>
        </w:tc>
        <w:tc>
          <w:tcPr>
            <w:tcW w:w="6237" w:type="dxa"/>
          </w:tcPr>
          <w:p w14:paraId="4C444A84" w14:textId="004BBF2C" w:rsidR="008057B4" w:rsidRDefault="008057B4" w:rsidP="007E41AA">
            <w:pPr>
              <w:pStyle w:val="Body"/>
            </w:pPr>
            <w:r>
              <w:t xml:space="preserve">The supplier shall produce a worked example of a best practice Driving policy document for FOCs. This will be based on the best practice identified in this project. </w:t>
            </w:r>
          </w:p>
          <w:p w14:paraId="72EB93F9" w14:textId="5A0C02CC" w:rsidR="008057B4" w:rsidRDefault="008057B4" w:rsidP="007E41AA">
            <w:pPr>
              <w:pStyle w:val="Body"/>
            </w:pPr>
            <w:r>
              <w:t xml:space="preserve">It should be short, </w:t>
            </w:r>
            <w:r w:rsidR="00D508FB">
              <w:t>accessible,</w:t>
            </w:r>
            <w:r>
              <w:t xml:space="preserve"> and easy to use; and incorporate infographics where </w:t>
            </w:r>
            <w:r w:rsidRPr="00ED5266">
              <w:t>appropriate. The document shall</w:t>
            </w:r>
            <w:r>
              <w:t xml:space="preserve"> be designed in a way that enables operators to adapt it based on their own best practice needs. </w:t>
            </w:r>
          </w:p>
        </w:tc>
      </w:tr>
      <w:tr w:rsidR="008057B4" w14:paraId="0FC41FEA" w14:textId="77777777" w:rsidTr="007E41AA">
        <w:trPr>
          <w:trHeight w:val="419"/>
        </w:trPr>
        <w:tc>
          <w:tcPr>
            <w:tcW w:w="1838" w:type="dxa"/>
            <w:shd w:val="clear" w:color="auto" w:fill="F2F2F2" w:themeFill="background1" w:themeFillShade="F2"/>
          </w:tcPr>
          <w:p w14:paraId="47EA3ECB" w14:textId="77777777" w:rsidR="008057B4" w:rsidRPr="003E60E0" w:rsidRDefault="008057B4" w:rsidP="007E41AA">
            <w:pPr>
              <w:pStyle w:val="Body"/>
              <w:rPr>
                <w:b/>
              </w:rPr>
            </w:pPr>
            <w:r w:rsidRPr="003E60E0">
              <w:rPr>
                <w:b/>
              </w:rPr>
              <w:t>Publication</w:t>
            </w:r>
          </w:p>
        </w:tc>
        <w:tc>
          <w:tcPr>
            <w:tcW w:w="6237" w:type="dxa"/>
          </w:tcPr>
          <w:p w14:paraId="0077D21C" w14:textId="77777777" w:rsidR="008057B4" w:rsidRDefault="008057B4" w:rsidP="007E41AA">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50FF2932" w14:textId="20F94009" w:rsidR="008057B4" w:rsidRDefault="008057B4" w:rsidP="00BB2989">
      <w:pPr>
        <w:rPr>
          <w:rFonts w:ascii="Calibri" w:hAnsi="Calibri" w:cs="Arial"/>
          <w:color w:val="000000" w:themeColor="text1"/>
          <w:sz w:val="22"/>
          <w:szCs w:val="22"/>
          <w:lang w:eastAsia="en-GB"/>
        </w:rPr>
      </w:pPr>
    </w:p>
    <w:p w14:paraId="151A58E3" w14:textId="2ED0B81C" w:rsidR="008057B4" w:rsidRDefault="008057B4" w:rsidP="00BB2989">
      <w:pPr>
        <w:rPr>
          <w:rFonts w:ascii="Calibri" w:hAnsi="Calibri" w:cs="Arial"/>
          <w:color w:val="000000" w:themeColor="text1"/>
          <w:sz w:val="22"/>
          <w:szCs w:val="22"/>
          <w:lang w:eastAsia="en-GB"/>
        </w:rPr>
      </w:pPr>
    </w:p>
    <w:p w14:paraId="1833D421" w14:textId="175DB42E" w:rsidR="008057B4" w:rsidRDefault="008057B4" w:rsidP="00BB2989">
      <w:pPr>
        <w:rPr>
          <w:rFonts w:ascii="Calibri" w:hAnsi="Calibri" w:cs="Arial"/>
          <w:color w:val="000000" w:themeColor="text1"/>
          <w:sz w:val="22"/>
          <w:szCs w:val="22"/>
          <w:lang w:eastAsia="en-GB"/>
        </w:rPr>
      </w:pPr>
    </w:p>
    <w:p w14:paraId="00D6196A" w14:textId="30999CAC" w:rsidR="008057B4" w:rsidRDefault="008057B4" w:rsidP="00BB2989">
      <w:pPr>
        <w:rPr>
          <w:rFonts w:ascii="Calibri" w:hAnsi="Calibri" w:cs="Arial"/>
          <w:color w:val="000000" w:themeColor="text1"/>
          <w:sz w:val="22"/>
          <w:szCs w:val="22"/>
          <w:lang w:eastAsia="en-GB"/>
        </w:rPr>
      </w:pPr>
    </w:p>
    <w:p w14:paraId="101C4FED" w14:textId="2932E31F" w:rsidR="008057B4" w:rsidRDefault="008057B4" w:rsidP="00BB2989">
      <w:pPr>
        <w:rPr>
          <w:rFonts w:ascii="Calibri" w:hAnsi="Calibri" w:cs="Arial"/>
          <w:color w:val="000000" w:themeColor="text1"/>
          <w:sz w:val="22"/>
          <w:szCs w:val="22"/>
          <w:lang w:eastAsia="en-GB"/>
        </w:rPr>
      </w:pPr>
    </w:p>
    <w:p w14:paraId="203FD7F2" w14:textId="4C4C192C" w:rsidR="008057B4" w:rsidRDefault="008057B4" w:rsidP="00BB2989">
      <w:pPr>
        <w:rPr>
          <w:rFonts w:ascii="Calibri" w:hAnsi="Calibri" w:cs="Arial"/>
          <w:color w:val="000000" w:themeColor="text1"/>
          <w:sz w:val="22"/>
          <w:szCs w:val="22"/>
          <w:lang w:eastAsia="en-GB"/>
        </w:rPr>
      </w:pPr>
    </w:p>
    <w:p w14:paraId="1E6E7C4C" w14:textId="77777777" w:rsidR="008057B4" w:rsidRDefault="008057B4" w:rsidP="00BB2989">
      <w:pPr>
        <w:rPr>
          <w:rFonts w:ascii="Calibri" w:hAnsi="Calibri" w:cs="Arial"/>
          <w:color w:val="000000" w:themeColor="text1"/>
          <w:sz w:val="22"/>
          <w:szCs w:val="22"/>
          <w:lang w:eastAsia="en-GB"/>
        </w:rPr>
      </w:pPr>
    </w:p>
    <w:tbl>
      <w:tblPr>
        <w:tblStyle w:val="TableGrid"/>
        <w:tblW w:w="8075" w:type="dxa"/>
        <w:tblLook w:val="04A0" w:firstRow="1" w:lastRow="0" w:firstColumn="1" w:lastColumn="0" w:noHBand="0" w:noVBand="1"/>
      </w:tblPr>
      <w:tblGrid>
        <w:gridCol w:w="1838"/>
        <w:gridCol w:w="6237"/>
      </w:tblGrid>
      <w:tr w:rsidR="001E1A5D" w14:paraId="01E87BFC" w14:textId="77777777" w:rsidTr="00176477">
        <w:trPr>
          <w:trHeight w:val="434"/>
        </w:trPr>
        <w:tc>
          <w:tcPr>
            <w:tcW w:w="1838" w:type="dxa"/>
            <w:shd w:val="clear" w:color="auto" w:fill="F2F2F2" w:themeFill="background1" w:themeFillShade="F2"/>
          </w:tcPr>
          <w:p w14:paraId="06DE5BA7" w14:textId="77777777" w:rsidR="001E1A5D" w:rsidRPr="003E60E0" w:rsidRDefault="001E1A5D" w:rsidP="00176477">
            <w:pPr>
              <w:pStyle w:val="Body"/>
              <w:rPr>
                <w:b/>
              </w:rPr>
            </w:pPr>
            <w:r>
              <w:lastRenderedPageBreak/>
              <w:br w:type="page"/>
            </w:r>
            <w:r w:rsidRPr="003E60E0">
              <w:rPr>
                <w:b/>
              </w:rPr>
              <w:t>Deliverable Title</w:t>
            </w:r>
          </w:p>
        </w:tc>
        <w:tc>
          <w:tcPr>
            <w:tcW w:w="6237" w:type="dxa"/>
          </w:tcPr>
          <w:p w14:paraId="1B6EBA29" w14:textId="413B04E7" w:rsidR="001E1A5D" w:rsidRDefault="001E1A5D" w:rsidP="00176477">
            <w:pPr>
              <w:pStyle w:val="Body"/>
            </w:pPr>
            <w:r>
              <w:t xml:space="preserve">Good practice on </w:t>
            </w:r>
            <w:r w:rsidRPr="00A86C2D">
              <w:t xml:space="preserve">driving policies </w:t>
            </w:r>
            <w:r>
              <w:t>for On-track machine operators</w:t>
            </w:r>
          </w:p>
        </w:tc>
      </w:tr>
      <w:tr w:rsidR="001E1A5D" w14:paraId="1A2C3E1D" w14:textId="77777777" w:rsidTr="00176477">
        <w:trPr>
          <w:trHeight w:val="419"/>
        </w:trPr>
        <w:tc>
          <w:tcPr>
            <w:tcW w:w="1838" w:type="dxa"/>
            <w:shd w:val="clear" w:color="auto" w:fill="F2F2F2" w:themeFill="background1" w:themeFillShade="F2"/>
          </w:tcPr>
          <w:p w14:paraId="4EE911CB" w14:textId="77777777" w:rsidR="001E1A5D" w:rsidRPr="003E60E0" w:rsidRDefault="001E1A5D" w:rsidP="00176477">
            <w:pPr>
              <w:pStyle w:val="Body"/>
              <w:rPr>
                <w:b/>
              </w:rPr>
            </w:pPr>
            <w:r w:rsidRPr="003E60E0">
              <w:rPr>
                <w:b/>
              </w:rPr>
              <w:t>Deliverable Type</w:t>
            </w:r>
          </w:p>
        </w:tc>
        <w:tc>
          <w:tcPr>
            <w:tcW w:w="6237" w:type="dxa"/>
          </w:tcPr>
          <w:p w14:paraId="5E5C68C5" w14:textId="77777777" w:rsidR="001E1A5D" w:rsidRDefault="001E1A5D" w:rsidP="00176477">
            <w:pPr>
              <w:pStyle w:val="Body"/>
            </w:pPr>
            <w:r>
              <w:t>Good practice guide</w:t>
            </w:r>
          </w:p>
        </w:tc>
      </w:tr>
      <w:tr w:rsidR="001E1A5D" w14:paraId="7B9A3B7B" w14:textId="77777777" w:rsidTr="00176477">
        <w:trPr>
          <w:trHeight w:val="434"/>
        </w:trPr>
        <w:tc>
          <w:tcPr>
            <w:tcW w:w="1838" w:type="dxa"/>
            <w:shd w:val="clear" w:color="auto" w:fill="F2F2F2" w:themeFill="background1" w:themeFillShade="F2"/>
          </w:tcPr>
          <w:p w14:paraId="2E578B45" w14:textId="77777777" w:rsidR="001E1A5D" w:rsidRPr="003E60E0" w:rsidRDefault="001E1A5D" w:rsidP="00176477">
            <w:pPr>
              <w:pStyle w:val="Body"/>
              <w:rPr>
                <w:b/>
              </w:rPr>
            </w:pPr>
            <w:r w:rsidRPr="003E60E0">
              <w:rPr>
                <w:b/>
              </w:rPr>
              <w:t>Description</w:t>
            </w:r>
          </w:p>
        </w:tc>
        <w:tc>
          <w:tcPr>
            <w:tcW w:w="6237" w:type="dxa"/>
          </w:tcPr>
          <w:p w14:paraId="6F869A66" w14:textId="4A317C1C" w:rsidR="001E1A5D" w:rsidRDefault="001E1A5D" w:rsidP="00176477">
            <w:pPr>
              <w:pStyle w:val="Body"/>
            </w:pPr>
            <w:r>
              <w:t xml:space="preserve">The supplier shall produce a criterion-based good practice guide on driving policies for OTM operators, based on traction and operator criteria; </w:t>
            </w:r>
            <w:r w:rsidRPr="00A86C2D">
              <w:t>to enable a more</w:t>
            </w:r>
            <w:r>
              <w:t xml:space="preserve"> effective and</w:t>
            </w:r>
            <w:r w:rsidRPr="00A86C2D">
              <w:t xml:space="preserve"> consistent approach</w:t>
            </w:r>
            <w:r>
              <w:t xml:space="preserve">, </w:t>
            </w:r>
            <w:r w:rsidRPr="005714DE">
              <w:t xml:space="preserve">facilitating an improvement in </w:t>
            </w:r>
            <w:r>
              <w:t>safe performance</w:t>
            </w:r>
            <w:r w:rsidRPr="005714DE">
              <w:t>.</w:t>
            </w:r>
            <w:r>
              <w:t xml:space="preserve"> The document shall be targeted towards </w:t>
            </w:r>
            <w:r w:rsidRPr="00C11E8F">
              <w:t>senior operational practitioners that are involved in the review and revision of Professional Driving Policies</w:t>
            </w:r>
            <w:r>
              <w:t>.</w:t>
            </w:r>
          </w:p>
          <w:p w14:paraId="19DE2E13" w14:textId="4A82A6A5" w:rsidR="001E1A5D" w:rsidRDefault="001E1A5D" w:rsidP="00176477">
            <w:pPr>
              <w:pStyle w:val="Body"/>
            </w:pPr>
            <w:r>
              <w:t xml:space="preserve">The document should be short, </w:t>
            </w:r>
            <w:r w:rsidR="00D508FB">
              <w:t>accessible,</w:t>
            </w:r>
            <w:r>
              <w:t xml:space="preserve"> and easy to use; and incorporate infographics where </w:t>
            </w:r>
            <w:r w:rsidRPr="00ED5266">
              <w:t>appropriate. The document shall</w:t>
            </w:r>
            <w:r>
              <w:t xml:space="preserve"> incorporate the underlying evidence to inspire confidence in the recommendations.</w:t>
            </w:r>
          </w:p>
        </w:tc>
      </w:tr>
      <w:tr w:rsidR="001E1A5D" w14:paraId="56983C95" w14:textId="77777777" w:rsidTr="00176477">
        <w:trPr>
          <w:trHeight w:val="419"/>
        </w:trPr>
        <w:tc>
          <w:tcPr>
            <w:tcW w:w="1838" w:type="dxa"/>
            <w:shd w:val="clear" w:color="auto" w:fill="F2F2F2" w:themeFill="background1" w:themeFillShade="F2"/>
          </w:tcPr>
          <w:p w14:paraId="66E8E0CE" w14:textId="77777777" w:rsidR="001E1A5D" w:rsidRPr="003E60E0" w:rsidRDefault="001E1A5D" w:rsidP="00176477">
            <w:pPr>
              <w:pStyle w:val="Body"/>
              <w:rPr>
                <w:b/>
              </w:rPr>
            </w:pPr>
            <w:r w:rsidRPr="003E60E0">
              <w:rPr>
                <w:b/>
              </w:rPr>
              <w:t>Publication</w:t>
            </w:r>
          </w:p>
        </w:tc>
        <w:tc>
          <w:tcPr>
            <w:tcW w:w="6237" w:type="dxa"/>
          </w:tcPr>
          <w:p w14:paraId="0F053A3F" w14:textId="77777777" w:rsidR="001E1A5D" w:rsidRDefault="001E1A5D" w:rsidP="00176477">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55DC7411" w14:textId="7E18E603" w:rsidR="001E1A5D" w:rsidRDefault="001E1A5D" w:rsidP="00BB2989">
      <w:pPr>
        <w:rPr>
          <w:rFonts w:ascii="Calibri" w:hAnsi="Calibri" w:cs="Arial"/>
          <w:color w:val="000000" w:themeColor="text1"/>
          <w:sz w:val="22"/>
          <w:szCs w:val="22"/>
          <w:lang w:eastAsia="en-GB"/>
        </w:rPr>
      </w:pPr>
    </w:p>
    <w:tbl>
      <w:tblPr>
        <w:tblStyle w:val="TableGrid"/>
        <w:tblW w:w="8075" w:type="dxa"/>
        <w:tblLook w:val="04A0" w:firstRow="1" w:lastRow="0" w:firstColumn="1" w:lastColumn="0" w:noHBand="0" w:noVBand="1"/>
      </w:tblPr>
      <w:tblGrid>
        <w:gridCol w:w="1838"/>
        <w:gridCol w:w="6237"/>
      </w:tblGrid>
      <w:tr w:rsidR="008057B4" w14:paraId="2C25EF76" w14:textId="77777777" w:rsidTr="007E41AA">
        <w:trPr>
          <w:trHeight w:val="434"/>
        </w:trPr>
        <w:tc>
          <w:tcPr>
            <w:tcW w:w="1838" w:type="dxa"/>
            <w:shd w:val="clear" w:color="auto" w:fill="F2F2F2" w:themeFill="background1" w:themeFillShade="F2"/>
          </w:tcPr>
          <w:p w14:paraId="7E5EE5E7" w14:textId="77777777" w:rsidR="008057B4" w:rsidRPr="003E60E0" w:rsidRDefault="008057B4" w:rsidP="007E41AA">
            <w:pPr>
              <w:pStyle w:val="Body"/>
              <w:rPr>
                <w:b/>
              </w:rPr>
            </w:pPr>
            <w:r w:rsidRPr="003E60E0">
              <w:rPr>
                <w:b/>
              </w:rPr>
              <w:t>Deliverable Title</w:t>
            </w:r>
          </w:p>
        </w:tc>
        <w:tc>
          <w:tcPr>
            <w:tcW w:w="6237" w:type="dxa"/>
          </w:tcPr>
          <w:p w14:paraId="19A6B978" w14:textId="62852DE6" w:rsidR="008057B4" w:rsidRDefault="008057B4" w:rsidP="007E41AA">
            <w:pPr>
              <w:pStyle w:val="Body"/>
            </w:pPr>
            <w:r>
              <w:t>Worked example – Best practice driving policy for On-track machine operators</w:t>
            </w:r>
          </w:p>
        </w:tc>
      </w:tr>
      <w:tr w:rsidR="008057B4" w14:paraId="153E5EC6" w14:textId="77777777" w:rsidTr="007E41AA">
        <w:trPr>
          <w:trHeight w:val="419"/>
        </w:trPr>
        <w:tc>
          <w:tcPr>
            <w:tcW w:w="1838" w:type="dxa"/>
            <w:shd w:val="clear" w:color="auto" w:fill="F2F2F2" w:themeFill="background1" w:themeFillShade="F2"/>
          </w:tcPr>
          <w:p w14:paraId="4660448E" w14:textId="77777777" w:rsidR="008057B4" w:rsidRPr="003E60E0" w:rsidRDefault="008057B4" w:rsidP="007E41AA">
            <w:pPr>
              <w:pStyle w:val="Body"/>
              <w:rPr>
                <w:b/>
              </w:rPr>
            </w:pPr>
            <w:r w:rsidRPr="003E60E0">
              <w:rPr>
                <w:b/>
              </w:rPr>
              <w:t>Deliverable Type</w:t>
            </w:r>
          </w:p>
        </w:tc>
        <w:tc>
          <w:tcPr>
            <w:tcW w:w="6237" w:type="dxa"/>
          </w:tcPr>
          <w:p w14:paraId="7632C862" w14:textId="77777777" w:rsidR="008057B4" w:rsidRDefault="008057B4" w:rsidP="007E41AA">
            <w:pPr>
              <w:pStyle w:val="Body"/>
            </w:pPr>
            <w:r>
              <w:t xml:space="preserve">Adoption support material </w:t>
            </w:r>
          </w:p>
        </w:tc>
      </w:tr>
      <w:tr w:rsidR="008057B4" w14:paraId="26BC1D32" w14:textId="77777777" w:rsidTr="007E41AA">
        <w:trPr>
          <w:trHeight w:val="434"/>
        </w:trPr>
        <w:tc>
          <w:tcPr>
            <w:tcW w:w="1838" w:type="dxa"/>
            <w:shd w:val="clear" w:color="auto" w:fill="F2F2F2" w:themeFill="background1" w:themeFillShade="F2"/>
          </w:tcPr>
          <w:p w14:paraId="14C69F7C" w14:textId="77777777" w:rsidR="008057B4" w:rsidRPr="003E60E0" w:rsidRDefault="008057B4" w:rsidP="007E41AA">
            <w:pPr>
              <w:pStyle w:val="Body"/>
              <w:rPr>
                <w:b/>
              </w:rPr>
            </w:pPr>
            <w:r w:rsidRPr="003E60E0">
              <w:rPr>
                <w:b/>
              </w:rPr>
              <w:t>Description</w:t>
            </w:r>
          </w:p>
        </w:tc>
        <w:tc>
          <w:tcPr>
            <w:tcW w:w="6237" w:type="dxa"/>
          </w:tcPr>
          <w:p w14:paraId="22E10B73" w14:textId="680E9493" w:rsidR="008057B4" w:rsidRDefault="008057B4" w:rsidP="007E41AA">
            <w:pPr>
              <w:pStyle w:val="Body"/>
            </w:pPr>
            <w:r>
              <w:t xml:space="preserve">The supplier shall produce a worked example of a best practice Driving policy document for OTM operators. This will be based on the best practice identified in this project. </w:t>
            </w:r>
          </w:p>
          <w:p w14:paraId="2E81057B" w14:textId="7A66D7F8" w:rsidR="008057B4" w:rsidRDefault="008057B4" w:rsidP="007E41AA">
            <w:pPr>
              <w:pStyle w:val="Body"/>
            </w:pPr>
            <w:r>
              <w:t xml:space="preserve">It should be short, </w:t>
            </w:r>
            <w:r w:rsidR="00D508FB">
              <w:t>accessible,</w:t>
            </w:r>
            <w:r>
              <w:t xml:space="preserve"> and easy to use; and incorporate infographics where </w:t>
            </w:r>
            <w:r w:rsidRPr="00ED5266">
              <w:t>appropriate. The document shall</w:t>
            </w:r>
            <w:r>
              <w:t xml:space="preserve"> be designed in a way that enables operators to adapt it based on their own best practice needs. </w:t>
            </w:r>
          </w:p>
        </w:tc>
      </w:tr>
      <w:tr w:rsidR="008057B4" w14:paraId="7ED7C526" w14:textId="77777777" w:rsidTr="007E41AA">
        <w:trPr>
          <w:trHeight w:val="419"/>
        </w:trPr>
        <w:tc>
          <w:tcPr>
            <w:tcW w:w="1838" w:type="dxa"/>
            <w:shd w:val="clear" w:color="auto" w:fill="F2F2F2" w:themeFill="background1" w:themeFillShade="F2"/>
          </w:tcPr>
          <w:p w14:paraId="19B8D504" w14:textId="77777777" w:rsidR="008057B4" w:rsidRPr="003E60E0" w:rsidRDefault="008057B4" w:rsidP="007E41AA">
            <w:pPr>
              <w:pStyle w:val="Body"/>
              <w:rPr>
                <w:b/>
              </w:rPr>
            </w:pPr>
            <w:r w:rsidRPr="003E60E0">
              <w:rPr>
                <w:b/>
              </w:rPr>
              <w:t>Publication</w:t>
            </w:r>
          </w:p>
        </w:tc>
        <w:tc>
          <w:tcPr>
            <w:tcW w:w="6237" w:type="dxa"/>
          </w:tcPr>
          <w:p w14:paraId="62D0C9BA" w14:textId="77777777" w:rsidR="008057B4" w:rsidRDefault="008057B4" w:rsidP="007E41AA">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4F6881ED" w14:textId="774D4D37" w:rsidR="00774BE7" w:rsidRDefault="00774BE7" w:rsidP="00BB2989">
      <w:pPr>
        <w:rPr>
          <w:rFonts w:ascii="Calibri" w:hAnsi="Calibri" w:cs="Arial"/>
          <w:color w:val="000000" w:themeColor="text1"/>
          <w:sz w:val="22"/>
          <w:szCs w:val="22"/>
          <w:lang w:eastAsia="en-GB"/>
        </w:rPr>
      </w:pPr>
    </w:p>
    <w:p w14:paraId="6B983B4D" w14:textId="77777777" w:rsidR="00774BE7" w:rsidRDefault="00774BE7" w:rsidP="00BB2989">
      <w:pPr>
        <w:rPr>
          <w:rFonts w:ascii="Calibri" w:hAnsi="Calibri" w:cs="Arial"/>
          <w:color w:val="000000" w:themeColor="text1"/>
          <w:sz w:val="22"/>
          <w:szCs w:val="22"/>
          <w:lang w:eastAsia="en-GB"/>
        </w:rPr>
      </w:pPr>
    </w:p>
    <w:tbl>
      <w:tblPr>
        <w:tblStyle w:val="TableGrid"/>
        <w:tblW w:w="8075" w:type="dxa"/>
        <w:tblLook w:val="04A0" w:firstRow="1" w:lastRow="0" w:firstColumn="1" w:lastColumn="0" w:noHBand="0" w:noVBand="1"/>
      </w:tblPr>
      <w:tblGrid>
        <w:gridCol w:w="1838"/>
        <w:gridCol w:w="6237"/>
      </w:tblGrid>
      <w:tr w:rsidR="001E1A5D" w14:paraId="351E1457" w14:textId="77777777" w:rsidTr="00176477">
        <w:trPr>
          <w:trHeight w:val="434"/>
        </w:trPr>
        <w:tc>
          <w:tcPr>
            <w:tcW w:w="1838" w:type="dxa"/>
            <w:shd w:val="clear" w:color="auto" w:fill="F2F2F2" w:themeFill="background1" w:themeFillShade="F2"/>
          </w:tcPr>
          <w:p w14:paraId="5755B6A6" w14:textId="77777777" w:rsidR="001E1A5D" w:rsidRPr="003E60E0" w:rsidRDefault="001E1A5D" w:rsidP="00176477">
            <w:pPr>
              <w:pStyle w:val="Body"/>
              <w:rPr>
                <w:b/>
              </w:rPr>
            </w:pPr>
            <w:r w:rsidRPr="003E60E0">
              <w:rPr>
                <w:b/>
              </w:rPr>
              <w:t>Deliverable Title</w:t>
            </w:r>
          </w:p>
        </w:tc>
        <w:tc>
          <w:tcPr>
            <w:tcW w:w="6237" w:type="dxa"/>
          </w:tcPr>
          <w:p w14:paraId="0E4CD899" w14:textId="77777777" w:rsidR="001E1A5D" w:rsidRDefault="001E1A5D" w:rsidP="00176477">
            <w:pPr>
              <w:pStyle w:val="Body"/>
            </w:pPr>
            <w:r>
              <w:t>Evidence and analysis Report</w:t>
            </w:r>
          </w:p>
        </w:tc>
      </w:tr>
      <w:tr w:rsidR="001E1A5D" w14:paraId="6EECB41E" w14:textId="77777777" w:rsidTr="00176477">
        <w:trPr>
          <w:trHeight w:val="419"/>
        </w:trPr>
        <w:tc>
          <w:tcPr>
            <w:tcW w:w="1838" w:type="dxa"/>
            <w:shd w:val="clear" w:color="auto" w:fill="F2F2F2" w:themeFill="background1" w:themeFillShade="F2"/>
          </w:tcPr>
          <w:p w14:paraId="5DFF0E44" w14:textId="77777777" w:rsidR="001E1A5D" w:rsidRPr="003E60E0" w:rsidRDefault="001E1A5D" w:rsidP="00176477">
            <w:pPr>
              <w:pStyle w:val="Body"/>
              <w:rPr>
                <w:b/>
              </w:rPr>
            </w:pPr>
            <w:r w:rsidRPr="003E60E0">
              <w:rPr>
                <w:b/>
              </w:rPr>
              <w:t>Deliverable Type</w:t>
            </w:r>
          </w:p>
        </w:tc>
        <w:tc>
          <w:tcPr>
            <w:tcW w:w="6237" w:type="dxa"/>
          </w:tcPr>
          <w:p w14:paraId="1CD33D8B" w14:textId="6415D62C" w:rsidR="001E1A5D" w:rsidRDefault="006C4C3F" w:rsidP="00176477">
            <w:pPr>
              <w:pStyle w:val="Body"/>
            </w:pPr>
            <w:r>
              <w:t xml:space="preserve">Technical </w:t>
            </w:r>
            <w:r w:rsidR="001E1A5D">
              <w:t>Report</w:t>
            </w:r>
          </w:p>
        </w:tc>
      </w:tr>
      <w:tr w:rsidR="001E1A5D" w14:paraId="6AE9E721" w14:textId="77777777" w:rsidTr="00176477">
        <w:trPr>
          <w:trHeight w:val="434"/>
        </w:trPr>
        <w:tc>
          <w:tcPr>
            <w:tcW w:w="1838" w:type="dxa"/>
            <w:shd w:val="clear" w:color="auto" w:fill="F2F2F2" w:themeFill="background1" w:themeFillShade="F2"/>
          </w:tcPr>
          <w:p w14:paraId="09C6CCB3" w14:textId="77777777" w:rsidR="001E1A5D" w:rsidRPr="003E60E0" w:rsidRDefault="001E1A5D" w:rsidP="00176477">
            <w:pPr>
              <w:pStyle w:val="Body"/>
              <w:rPr>
                <w:b/>
              </w:rPr>
            </w:pPr>
            <w:r w:rsidRPr="003E60E0">
              <w:rPr>
                <w:b/>
              </w:rPr>
              <w:t>Description</w:t>
            </w:r>
          </w:p>
        </w:tc>
        <w:tc>
          <w:tcPr>
            <w:tcW w:w="6237" w:type="dxa"/>
          </w:tcPr>
          <w:p w14:paraId="2AA7B4CA" w14:textId="2A7D6C2A" w:rsidR="001E1A5D" w:rsidRDefault="001E1A5D" w:rsidP="00176477">
            <w:pPr>
              <w:pStyle w:val="Body"/>
            </w:pPr>
            <w:r>
              <w:t xml:space="preserve">The supplier shall provide </w:t>
            </w:r>
            <w:r w:rsidR="00774BE7">
              <w:t xml:space="preserve">a </w:t>
            </w:r>
            <w:r w:rsidR="00ED2B7C">
              <w:t>t</w:t>
            </w:r>
            <w:r w:rsidR="00774BE7" w:rsidRPr="00774BE7">
              <w:t xml:space="preserve">echnical report identifying core elements that should be included in </w:t>
            </w:r>
            <w:r w:rsidR="00774BE7">
              <w:t>the</w:t>
            </w:r>
            <w:r w:rsidR="00774BE7" w:rsidRPr="00774BE7">
              <w:t xml:space="preserve"> </w:t>
            </w:r>
            <w:r w:rsidR="00ED2B7C" w:rsidRPr="00774BE7">
              <w:t>P</w:t>
            </w:r>
            <w:r w:rsidR="00ED2B7C">
              <w:t xml:space="preserve">rofessional </w:t>
            </w:r>
            <w:r w:rsidR="00774BE7" w:rsidRPr="00774BE7">
              <w:t>D</w:t>
            </w:r>
            <w:r w:rsidR="00774BE7">
              <w:t xml:space="preserve">riving </w:t>
            </w:r>
            <w:r w:rsidR="00774BE7" w:rsidRPr="00774BE7">
              <w:t>P</w:t>
            </w:r>
            <w:r w:rsidR="00774BE7">
              <w:t>olicy</w:t>
            </w:r>
            <w:r w:rsidR="00774BE7" w:rsidRPr="00774BE7">
              <w:t xml:space="preserve"> </w:t>
            </w:r>
            <w:r w:rsidR="00774BE7" w:rsidRPr="00774BE7">
              <w:lastRenderedPageBreak/>
              <w:t xml:space="preserve">and </w:t>
            </w:r>
            <w:r w:rsidR="00774BE7">
              <w:t xml:space="preserve">the </w:t>
            </w:r>
            <w:r w:rsidR="00774BE7" w:rsidRPr="00774BE7">
              <w:t>evidence</w:t>
            </w:r>
            <w:r w:rsidR="00774BE7">
              <w:t>-</w:t>
            </w:r>
            <w:r w:rsidR="00774BE7" w:rsidRPr="00774BE7">
              <w:t>based guidance on what those instructions should be</w:t>
            </w:r>
            <w:r w:rsidR="00774BE7">
              <w:t>. It should include</w:t>
            </w:r>
            <w:r>
              <w:t xml:space="preserve"> key information that underpins the three good practice documentation, including:</w:t>
            </w:r>
          </w:p>
          <w:p w14:paraId="7ECF60FA" w14:textId="1772334A" w:rsidR="001E1A5D" w:rsidRDefault="001E1A5D" w:rsidP="00AA2069">
            <w:pPr>
              <w:pStyle w:val="Body"/>
              <w:numPr>
                <w:ilvl w:val="0"/>
                <w:numId w:val="47"/>
              </w:numPr>
            </w:pPr>
            <w:r>
              <w:t>Summary of key goals required from driving policies</w:t>
            </w:r>
          </w:p>
          <w:p w14:paraId="74C84E7A" w14:textId="77777777" w:rsidR="001E1A5D" w:rsidRPr="00C954D2" w:rsidRDefault="001E1A5D" w:rsidP="00AA2069">
            <w:pPr>
              <w:pStyle w:val="Body"/>
              <w:numPr>
                <w:ilvl w:val="0"/>
                <w:numId w:val="47"/>
              </w:numPr>
            </w:pPr>
            <w:r>
              <w:t xml:space="preserve">Assessment of </w:t>
            </w:r>
            <w:r w:rsidRPr="00C954D2">
              <w:t xml:space="preserve">how these goals relate to one another and the trade-off between them </w:t>
            </w:r>
          </w:p>
          <w:p w14:paraId="4377A1AB" w14:textId="77777777" w:rsidR="001E1A5D" w:rsidRDefault="001E1A5D" w:rsidP="00AA2069">
            <w:pPr>
              <w:pStyle w:val="Body"/>
              <w:numPr>
                <w:ilvl w:val="0"/>
                <w:numId w:val="47"/>
              </w:numPr>
            </w:pPr>
            <w:r>
              <w:t>Categorisation of the goals relative to different types of train and operators that are different in nature</w:t>
            </w:r>
          </w:p>
          <w:p w14:paraId="5F8206FE" w14:textId="13266E8C" w:rsidR="001E1A5D" w:rsidRDefault="001E1A5D" w:rsidP="00AA2069">
            <w:pPr>
              <w:pStyle w:val="Body"/>
              <w:numPr>
                <w:ilvl w:val="0"/>
                <w:numId w:val="47"/>
              </w:numPr>
            </w:pPr>
            <w:r>
              <w:t>Summary of the goals of current driving instructions</w:t>
            </w:r>
          </w:p>
          <w:p w14:paraId="1A53315E" w14:textId="77777777" w:rsidR="001E1A5D" w:rsidRDefault="001E1A5D" w:rsidP="00AA2069">
            <w:pPr>
              <w:pStyle w:val="Body"/>
              <w:numPr>
                <w:ilvl w:val="0"/>
                <w:numId w:val="47"/>
              </w:numPr>
            </w:pPr>
            <w:r>
              <w:t>Assessment of the extent and confidence to which operators believe those goals are achieved</w:t>
            </w:r>
          </w:p>
          <w:p w14:paraId="049996A1" w14:textId="446BA5B9" w:rsidR="001E1A5D" w:rsidRDefault="001E1A5D" w:rsidP="00AA2069">
            <w:pPr>
              <w:pStyle w:val="Body"/>
              <w:numPr>
                <w:ilvl w:val="0"/>
                <w:numId w:val="47"/>
              </w:numPr>
            </w:pPr>
            <w:r>
              <w:t>Assessment of the variability of driving instructions across comparable operators</w:t>
            </w:r>
          </w:p>
          <w:p w14:paraId="133449CD" w14:textId="70C17685" w:rsidR="001E1A5D" w:rsidRDefault="001E1A5D" w:rsidP="00AA2069">
            <w:pPr>
              <w:pStyle w:val="Body"/>
              <w:numPr>
                <w:ilvl w:val="0"/>
                <w:numId w:val="47"/>
              </w:numPr>
            </w:pPr>
            <w:r>
              <w:t>Comparison of driving instructions against wider driving policies</w:t>
            </w:r>
          </w:p>
          <w:p w14:paraId="5152A752" w14:textId="77777777" w:rsidR="001E1A5D" w:rsidRPr="00DB5ED6" w:rsidRDefault="001E1A5D" w:rsidP="00176477">
            <w:pPr>
              <w:pStyle w:val="Body"/>
            </w:pPr>
            <w:r>
              <w:t xml:space="preserve">The above points shall cover TOCs, FOCs and OTM operators; and </w:t>
            </w:r>
            <w:r w:rsidRPr="00787C95">
              <w:t>shall be anonymised.</w:t>
            </w:r>
          </w:p>
        </w:tc>
      </w:tr>
      <w:tr w:rsidR="001E1A5D" w14:paraId="275C5EEC" w14:textId="77777777" w:rsidTr="00176477">
        <w:trPr>
          <w:trHeight w:val="419"/>
        </w:trPr>
        <w:tc>
          <w:tcPr>
            <w:tcW w:w="1838" w:type="dxa"/>
            <w:shd w:val="clear" w:color="auto" w:fill="F2F2F2" w:themeFill="background1" w:themeFillShade="F2"/>
          </w:tcPr>
          <w:p w14:paraId="2A54BDDF" w14:textId="77777777" w:rsidR="001E1A5D" w:rsidRPr="003E60E0" w:rsidRDefault="001E1A5D" w:rsidP="00176477">
            <w:pPr>
              <w:pStyle w:val="Body"/>
              <w:rPr>
                <w:b/>
              </w:rPr>
            </w:pPr>
            <w:r w:rsidRPr="003E60E0">
              <w:rPr>
                <w:b/>
              </w:rPr>
              <w:lastRenderedPageBreak/>
              <w:t>Publication</w:t>
            </w:r>
          </w:p>
        </w:tc>
        <w:tc>
          <w:tcPr>
            <w:tcW w:w="6237" w:type="dxa"/>
          </w:tcPr>
          <w:p w14:paraId="1004E89C" w14:textId="77777777" w:rsidR="001E1A5D" w:rsidRDefault="001E1A5D" w:rsidP="00176477">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w:t>
            </w:r>
            <w:r>
              <w:t xml:space="preserve"> and the project steering group,</w:t>
            </w:r>
            <w:r w:rsidRPr="00201084">
              <w:t xml:space="preserve"> to allow for comment. The deliverable is to be made widely available</w:t>
            </w:r>
            <w:r>
              <w:t>.</w:t>
            </w:r>
          </w:p>
        </w:tc>
      </w:tr>
    </w:tbl>
    <w:p w14:paraId="38928CB7" w14:textId="1BCDCF79" w:rsidR="001E1A5D" w:rsidRDefault="001E1A5D" w:rsidP="00BB2989">
      <w:pPr>
        <w:rPr>
          <w:rFonts w:ascii="Calibri" w:hAnsi="Calibri" w:cs="Arial"/>
          <w:color w:val="000000" w:themeColor="text1"/>
          <w:sz w:val="22"/>
          <w:szCs w:val="22"/>
          <w:lang w:eastAsia="en-GB"/>
        </w:rPr>
      </w:pPr>
    </w:p>
    <w:tbl>
      <w:tblPr>
        <w:tblStyle w:val="TableGrid"/>
        <w:tblW w:w="8075" w:type="dxa"/>
        <w:tblLook w:val="04A0" w:firstRow="1" w:lastRow="0" w:firstColumn="1" w:lastColumn="0" w:noHBand="0" w:noVBand="1"/>
      </w:tblPr>
      <w:tblGrid>
        <w:gridCol w:w="1838"/>
        <w:gridCol w:w="6237"/>
      </w:tblGrid>
      <w:tr w:rsidR="001E1A5D" w14:paraId="41033583" w14:textId="77777777" w:rsidTr="00176477">
        <w:trPr>
          <w:trHeight w:val="434"/>
        </w:trPr>
        <w:tc>
          <w:tcPr>
            <w:tcW w:w="1838" w:type="dxa"/>
            <w:shd w:val="clear" w:color="auto" w:fill="F2F2F2" w:themeFill="background1" w:themeFillShade="F2"/>
          </w:tcPr>
          <w:p w14:paraId="5858BB01" w14:textId="77777777" w:rsidR="001E1A5D" w:rsidRPr="003E60E0" w:rsidRDefault="001E1A5D" w:rsidP="00176477">
            <w:pPr>
              <w:pStyle w:val="Body"/>
              <w:rPr>
                <w:b/>
              </w:rPr>
            </w:pPr>
            <w:r w:rsidRPr="003E60E0">
              <w:rPr>
                <w:b/>
              </w:rPr>
              <w:t>Deliverable Title</w:t>
            </w:r>
          </w:p>
        </w:tc>
        <w:tc>
          <w:tcPr>
            <w:tcW w:w="6237" w:type="dxa"/>
          </w:tcPr>
          <w:p w14:paraId="5F0AEBC1" w14:textId="0E800D88" w:rsidR="001E1A5D" w:rsidRDefault="001E1A5D" w:rsidP="00176477">
            <w:pPr>
              <w:pStyle w:val="Body"/>
            </w:pPr>
            <w:r>
              <w:t>Executive Summary Presentation</w:t>
            </w:r>
          </w:p>
        </w:tc>
      </w:tr>
      <w:tr w:rsidR="001E1A5D" w14:paraId="4E18D12D" w14:textId="77777777" w:rsidTr="00176477">
        <w:trPr>
          <w:trHeight w:val="419"/>
        </w:trPr>
        <w:tc>
          <w:tcPr>
            <w:tcW w:w="1838" w:type="dxa"/>
            <w:shd w:val="clear" w:color="auto" w:fill="F2F2F2" w:themeFill="background1" w:themeFillShade="F2"/>
          </w:tcPr>
          <w:p w14:paraId="3328B9BC" w14:textId="77777777" w:rsidR="001E1A5D" w:rsidRPr="003E60E0" w:rsidRDefault="001E1A5D" w:rsidP="00176477">
            <w:pPr>
              <w:pStyle w:val="Body"/>
              <w:rPr>
                <w:b/>
              </w:rPr>
            </w:pPr>
            <w:r w:rsidRPr="003E60E0">
              <w:rPr>
                <w:b/>
              </w:rPr>
              <w:t>Deliverable Type</w:t>
            </w:r>
          </w:p>
        </w:tc>
        <w:tc>
          <w:tcPr>
            <w:tcW w:w="6237" w:type="dxa"/>
          </w:tcPr>
          <w:p w14:paraId="3C6A1E4A" w14:textId="77777777" w:rsidR="001E1A5D" w:rsidRDefault="001E1A5D" w:rsidP="00176477">
            <w:pPr>
              <w:pStyle w:val="Body"/>
            </w:pPr>
            <w:r>
              <w:t>Presentation</w:t>
            </w:r>
          </w:p>
        </w:tc>
      </w:tr>
      <w:tr w:rsidR="001E1A5D" w:rsidRPr="00DB5ED6" w14:paraId="76D5C635" w14:textId="77777777" w:rsidTr="00176477">
        <w:trPr>
          <w:trHeight w:val="434"/>
        </w:trPr>
        <w:tc>
          <w:tcPr>
            <w:tcW w:w="1838" w:type="dxa"/>
            <w:shd w:val="clear" w:color="auto" w:fill="F2F2F2" w:themeFill="background1" w:themeFillShade="F2"/>
          </w:tcPr>
          <w:p w14:paraId="291D9273" w14:textId="77777777" w:rsidR="001E1A5D" w:rsidRPr="003E60E0" w:rsidRDefault="001E1A5D" w:rsidP="00176477">
            <w:pPr>
              <w:pStyle w:val="Body"/>
              <w:rPr>
                <w:b/>
              </w:rPr>
            </w:pPr>
            <w:r w:rsidRPr="003E60E0">
              <w:rPr>
                <w:b/>
              </w:rPr>
              <w:t>Description</w:t>
            </w:r>
          </w:p>
        </w:tc>
        <w:tc>
          <w:tcPr>
            <w:tcW w:w="6237" w:type="dxa"/>
          </w:tcPr>
          <w:p w14:paraId="6E881D37" w14:textId="42D6D82E" w:rsidR="001E1A5D" w:rsidRPr="00DB5ED6" w:rsidRDefault="001E1A5D" w:rsidP="00176477">
            <w:pPr>
              <w:pStyle w:val="Body"/>
            </w:pPr>
            <w:r>
              <w:t>The supplier shall prepare a summary presentation capturing the project methodology and key findings relating to TOCs, FOCs and OTM operators. The supplier shall deliver the presentation to the project steering group and up to four industry groups of RSSB choosing</w:t>
            </w:r>
          </w:p>
        </w:tc>
      </w:tr>
      <w:tr w:rsidR="001E1A5D" w14:paraId="3D637889" w14:textId="77777777" w:rsidTr="00176477">
        <w:trPr>
          <w:trHeight w:val="419"/>
        </w:trPr>
        <w:tc>
          <w:tcPr>
            <w:tcW w:w="1838" w:type="dxa"/>
            <w:shd w:val="clear" w:color="auto" w:fill="F2F2F2" w:themeFill="background1" w:themeFillShade="F2"/>
          </w:tcPr>
          <w:p w14:paraId="0221C995" w14:textId="77777777" w:rsidR="001E1A5D" w:rsidRPr="003E60E0" w:rsidRDefault="001E1A5D" w:rsidP="00176477">
            <w:pPr>
              <w:pStyle w:val="Body"/>
              <w:rPr>
                <w:b/>
              </w:rPr>
            </w:pPr>
            <w:r w:rsidRPr="003E60E0">
              <w:rPr>
                <w:b/>
              </w:rPr>
              <w:t>Publication</w:t>
            </w:r>
          </w:p>
        </w:tc>
        <w:tc>
          <w:tcPr>
            <w:tcW w:w="6237" w:type="dxa"/>
          </w:tcPr>
          <w:p w14:paraId="653F0303" w14:textId="77777777" w:rsidR="001E1A5D" w:rsidRDefault="001E1A5D" w:rsidP="00176477">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to allow for comment. The deliverable is to be made widely available</w:t>
            </w:r>
            <w:r>
              <w:t>.</w:t>
            </w:r>
          </w:p>
        </w:tc>
      </w:tr>
    </w:tbl>
    <w:p w14:paraId="419D1F10" w14:textId="43BD74F1" w:rsidR="001E1A5D" w:rsidRDefault="001E1A5D" w:rsidP="00BB2989">
      <w:pPr>
        <w:rPr>
          <w:rFonts w:ascii="Calibri" w:hAnsi="Calibri" w:cs="Arial"/>
          <w:color w:val="000000" w:themeColor="text1"/>
          <w:sz w:val="22"/>
          <w:szCs w:val="22"/>
          <w:lang w:eastAsia="en-GB"/>
        </w:rPr>
      </w:pPr>
    </w:p>
    <w:p w14:paraId="77A4AB52" w14:textId="77777777" w:rsidR="00BD31FA" w:rsidRDefault="00BD31FA" w:rsidP="001E1A5D">
      <w:pPr>
        <w:rPr>
          <w:rFonts w:ascii="Calibri" w:hAnsi="Calibri" w:cs="Arial"/>
          <w:b/>
          <w:bCs/>
          <w:sz w:val="22"/>
          <w:szCs w:val="22"/>
          <w:lang w:eastAsia="en-GB"/>
        </w:rPr>
      </w:pPr>
    </w:p>
    <w:p w14:paraId="49C4E0FC" w14:textId="77777777" w:rsidR="00BD31FA" w:rsidRDefault="00BD31FA" w:rsidP="001E1A5D">
      <w:pPr>
        <w:rPr>
          <w:rFonts w:ascii="Calibri" w:hAnsi="Calibri" w:cs="Arial"/>
          <w:b/>
          <w:bCs/>
          <w:sz w:val="22"/>
          <w:szCs w:val="22"/>
          <w:lang w:eastAsia="en-GB"/>
        </w:rPr>
      </w:pPr>
    </w:p>
    <w:p w14:paraId="39529049" w14:textId="034D5BBC" w:rsidR="001E1A5D" w:rsidRPr="00471315" w:rsidRDefault="001E1A5D" w:rsidP="001E1A5D">
      <w:pPr>
        <w:rPr>
          <w:rFonts w:ascii="Calibri" w:hAnsi="Calibri" w:cs="Arial"/>
          <w:b/>
          <w:bCs/>
          <w:sz w:val="22"/>
          <w:szCs w:val="22"/>
          <w:lang w:eastAsia="en-GB"/>
        </w:rPr>
      </w:pPr>
      <w:r w:rsidRPr="00471315">
        <w:rPr>
          <w:rFonts w:ascii="Calibri" w:hAnsi="Calibri" w:cs="Arial"/>
          <w:b/>
          <w:bCs/>
          <w:sz w:val="22"/>
          <w:szCs w:val="22"/>
          <w:lang w:eastAsia="en-GB"/>
        </w:rPr>
        <w:lastRenderedPageBreak/>
        <w:t xml:space="preserve">The </w:t>
      </w:r>
      <w:r w:rsidRPr="00471315">
        <w:rPr>
          <w:rFonts w:ascii="Calibri" w:hAnsi="Calibri" w:cs="Arial"/>
          <w:b/>
          <w:bCs/>
          <w:color w:val="000000" w:themeColor="text1"/>
          <w:sz w:val="22"/>
          <w:szCs w:val="22"/>
          <w:lang w:eastAsia="en-GB"/>
        </w:rPr>
        <w:t>supplier will produce the following deliverables for Work Package 2 (T1305-02):</w:t>
      </w:r>
      <w:r w:rsidRPr="00471315">
        <w:rPr>
          <w:rFonts w:ascii="Calibri" w:hAnsi="Calibri" w:cs="Arial"/>
          <w:b/>
          <w:bCs/>
          <w:sz w:val="22"/>
          <w:szCs w:val="22"/>
          <w:lang w:eastAsia="en-GB"/>
        </w:rPr>
        <w:br/>
      </w:r>
    </w:p>
    <w:tbl>
      <w:tblPr>
        <w:tblStyle w:val="TableGrid"/>
        <w:tblW w:w="8075" w:type="dxa"/>
        <w:tblLook w:val="04A0" w:firstRow="1" w:lastRow="0" w:firstColumn="1" w:lastColumn="0" w:noHBand="0" w:noVBand="1"/>
      </w:tblPr>
      <w:tblGrid>
        <w:gridCol w:w="1838"/>
        <w:gridCol w:w="6237"/>
      </w:tblGrid>
      <w:tr w:rsidR="001E1A5D" w:rsidRPr="00471315" w14:paraId="45D44A8E" w14:textId="77777777" w:rsidTr="00BD31FA">
        <w:trPr>
          <w:trHeight w:val="434"/>
        </w:trPr>
        <w:tc>
          <w:tcPr>
            <w:tcW w:w="1838" w:type="dxa"/>
            <w:shd w:val="clear" w:color="auto" w:fill="auto"/>
          </w:tcPr>
          <w:p w14:paraId="2F761125" w14:textId="77777777" w:rsidR="001E1A5D" w:rsidRPr="00BD31FA" w:rsidRDefault="001E1A5D" w:rsidP="00176477">
            <w:pPr>
              <w:pStyle w:val="Body"/>
              <w:rPr>
                <w:b/>
              </w:rPr>
            </w:pPr>
            <w:r w:rsidRPr="00BD31FA">
              <w:rPr>
                <w:b/>
              </w:rPr>
              <w:t>Deliverable Title</w:t>
            </w:r>
          </w:p>
        </w:tc>
        <w:tc>
          <w:tcPr>
            <w:tcW w:w="6237" w:type="dxa"/>
          </w:tcPr>
          <w:p w14:paraId="5F7C7D00" w14:textId="0F2AAE9F" w:rsidR="001E1A5D" w:rsidRPr="00ED2B7C" w:rsidRDefault="008057B4" w:rsidP="00176477">
            <w:pPr>
              <w:pStyle w:val="Body"/>
            </w:pPr>
            <w:r w:rsidRPr="00ED2B7C">
              <w:t xml:space="preserve">Identifying critical elements of professional driving policies </w:t>
            </w:r>
            <w:r w:rsidR="00ED2B7C" w:rsidRPr="00ED2B7C">
              <w:t xml:space="preserve">for railway performance and </w:t>
            </w:r>
            <w:r w:rsidR="005C0BCC">
              <w:t>capacity</w:t>
            </w:r>
            <w:r w:rsidR="00ED2B7C" w:rsidRPr="00ED2B7C">
              <w:t xml:space="preserve"> model</w:t>
            </w:r>
            <w:r w:rsidR="005C0BCC">
              <w:t>ling</w:t>
            </w:r>
          </w:p>
        </w:tc>
      </w:tr>
      <w:tr w:rsidR="001E1A5D" w:rsidRPr="00471315" w14:paraId="0673C6B0" w14:textId="77777777" w:rsidTr="00BD31FA">
        <w:trPr>
          <w:trHeight w:val="419"/>
        </w:trPr>
        <w:tc>
          <w:tcPr>
            <w:tcW w:w="1838" w:type="dxa"/>
            <w:shd w:val="clear" w:color="auto" w:fill="auto"/>
          </w:tcPr>
          <w:p w14:paraId="7C3D1674" w14:textId="77777777" w:rsidR="001E1A5D" w:rsidRPr="00BD31FA" w:rsidRDefault="001E1A5D" w:rsidP="00176477">
            <w:pPr>
              <w:pStyle w:val="Body"/>
              <w:rPr>
                <w:b/>
              </w:rPr>
            </w:pPr>
            <w:r w:rsidRPr="00BD31FA">
              <w:rPr>
                <w:b/>
              </w:rPr>
              <w:t>Deliverable Type</w:t>
            </w:r>
          </w:p>
        </w:tc>
        <w:tc>
          <w:tcPr>
            <w:tcW w:w="6237" w:type="dxa"/>
          </w:tcPr>
          <w:p w14:paraId="4E935D6C" w14:textId="2EDF6E72" w:rsidR="001E1A5D" w:rsidRPr="00ED2B7C" w:rsidRDefault="006C4C3F" w:rsidP="00176477">
            <w:pPr>
              <w:pStyle w:val="Body"/>
            </w:pPr>
            <w:r w:rsidRPr="00ED2B7C">
              <w:t xml:space="preserve">Technical </w:t>
            </w:r>
            <w:r w:rsidR="001E1A5D" w:rsidRPr="00ED2B7C">
              <w:t>Report</w:t>
            </w:r>
          </w:p>
        </w:tc>
      </w:tr>
      <w:tr w:rsidR="001E1A5D" w:rsidRPr="00471315" w14:paraId="495620DF" w14:textId="77777777" w:rsidTr="00BD31FA">
        <w:trPr>
          <w:trHeight w:val="434"/>
        </w:trPr>
        <w:tc>
          <w:tcPr>
            <w:tcW w:w="1838" w:type="dxa"/>
            <w:shd w:val="clear" w:color="auto" w:fill="auto"/>
          </w:tcPr>
          <w:p w14:paraId="229A083C" w14:textId="77777777" w:rsidR="001E1A5D" w:rsidRPr="00BD31FA" w:rsidRDefault="001E1A5D" w:rsidP="00176477">
            <w:pPr>
              <w:pStyle w:val="Body"/>
              <w:rPr>
                <w:b/>
              </w:rPr>
            </w:pPr>
            <w:r w:rsidRPr="00BD31FA">
              <w:rPr>
                <w:b/>
              </w:rPr>
              <w:t>Description</w:t>
            </w:r>
          </w:p>
        </w:tc>
        <w:tc>
          <w:tcPr>
            <w:tcW w:w="6237" w:type="dxa"/>
          </w:tcPr>
          <w:p w14:paraId="47F1D49A" w14:textId="77777777" w:rsidR="00BD31FA" w:rsidRDefault="00ED2B7C" w:rsidP="008057B4">
            <w:pPr>
              <w:pStyle w:val="Body"/>
            </w:pPr>
            <w:r>
              <w:t>The supplier shall provide a t</w:t>
            </w:r>
            <w:r w:rsidRPr="00774BE7">
              <w:t xml:space="preserve">echnical report identifying elements </w:t>
            </w:r>
            <w:r>
              <w:t xml:space="preserve">of </w:t>
            </w:r>
            <w:r w:rsidRPr="00774BE7">
              <w:t>P</w:t>
            </w:r>
            <w:r>
              <w:t xml:space="preserve">rofessional </w:t>
            </w:r>
            <w:r w:rsidRPr="00774BE7">
              <w:t>D</w:t>
            </w:r>
            <w:r>
              <w:t xml:space="preserve">riving </w:t>
            </w:r>
            <w:r w:rsidRPr="00774BE7">
              <w:t>P</w:t>
            </w:r>
            <w:r>
              <w:t>olicy</w:t>
            </w:r>
            <w:r w:rsidRPr="00774BE7">
              <w:t xml:space="preserve"> </w:t>
            </w:r>
            <w:r w:rsidR="005C0BCC">
              <w:t>that materially</w:t>
            </w:r>
            <w:r w:rsidR="00BD31FA">
              <w:t xml:space="preserve"> impact on service delivery and capacity. It will define all aspects that should be included to inform models and simulations allowing them to more accurately represent driving style. </w:t>
            </w:r>
          </w:p>
          <w:p w14:paraId="7C57A4B1" w14:textId="510DDD78" w:rsidR="001E1A5D" w:rsidRPr="001B04EB" w:rsidRDefault="00BD31FA" w:rsidP="008057B4">
            <w:pPr>
              <w:pStyle w:val="Body"/>
            </w:pPr>
            <w:r>
              <w:t>The report should include a template for how that information is presented &amp; formatted to be read by a modelling/simulation tool.</w:t>
            </w:r>
          </w:p>
        </w:tc>
      </w:tr>
      <w:tr w:rsidR="001E1A5D" w14:paraId="063A295C" w14:textId="77777777" w:rsidTr="00176477">
        <w:trPr>
          <w:trHeight w:val="419"/>
        </w:trPr>
        <w:tc>
          <w:tcPr>
            <w:tcW w:w="1838" w:type="dxa"/>
            <w:shd w:val="clear" w:color="auto" w:fill="F2F2F2" w:themeFill="background1" w:themeFillShade="F2"/>
          </w:tcPr>
          <w:p w14:paraId="0837ED8C" w14:textId="77777777" w:rsidR="001E1A5D" w:rsidRPr="003E60E0" w:rsidRDefault="001E1A5D" w:rsidP="00176477">
            <w:pPr>
              <w:pStyle w:val="Body"/>
              <w:rPr>
                <w:b/>
              </w:rPr>
            </w:pPr>
            <w:r w:rsidRPr="003E60E0">
              <w:rPr>
                <w:b/>
              </w:rPr>
              <w:t>Publication</w:t>
            </w:r>
          </w:p>
        </w:tc>
        <w:tc>
          <w:tcPr>
            <w:tcW w:w="6237" w:type="dxa"/>
          </w:tcPr>
          <w:p w14:paraId="64A0C1DD" w14:textId="77777777" w:rsidR="001E1A5D" w:rsidRDefault="001E1A5D" w:rsidP="00176477">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w:t>
            </w:r>
            <w:r>
              <w:t xml:space="preserve"> and the project steering group,</w:t>
            </w:r>
            <w:r w:rsidRPr="00201084">
              <w:t xml:space="preserve"> to allow for comment. The deliverable is to be made widely available</w:t>
            </w:r>
            <w:r>
              <w:t>.</w:t>
            </w:r>
          </w:p>
        </w:tc>
      </w:tr>
    </w:tbl>
    <w:p w14:paraId="6BC1AFCF" w14:textId="0B1ED809" w:rsidR="001E1A5D" w:rsidRPr="00B95ACC" w:rsidRDefault="001E1A5D" w:rsidP="001E1A5D">
      <w:pPr>
        <w:rPr>
          <w:rFonts w:ascii="Calibri" w:hAnsi="Calibri" w:cs="Arial"/>
          <w:sz w:val="22"/>
          <w:szCs w:val="22"/>
          <w:lang w:eastAsia="en-GB"/>
        </w:rPr>
      </w:pPr>
    </w:p>
    <w:tbl>
      <w:tblPr>
        <w:tblStyle w:val="TableGrid"/>
        <w:tblW w:w="8075" w:type="dxa"/>
        <w:tblLook w:val="04A0" w:firstRow="1" w:lastRow="0" w:firstColumn="1" w:lastColumn="0" w:noHBand="0" w:noVBand="1"/>
      </w:tblPr>
      <w:tblGrid>
        <w:gridCol w:w="1838"/>
        <w:gridCol w:w="6237"/>
      </w:tblGrid>
      <w:tr w:rsidR="006C4C3F" w:rsidRPr="00BD31FA" w14:paraId="5C17BEE4" w14:textId="77777777" w:rsidTr="00BD31FA">
        <w:trPr>
          <w:trHeight w:val="434"/>
        </w:trPr>
        <w:tc>
          <w:tcPr>
            <w:tcW w:w="1838" w:type="dxa"/>
            <w:shd w:val="clear" w:color="auto" w:fill="auto"/>
          </w:tcPr>
          <w:p w14:paraId="728CD6F2" w14:textId="77777777" w:rsidR="006C4C3F" w:rsidRPr="00BD31FA" w:rsidRDefault="006C4C3F" w:rsidP="00176477">
            <w:pPr>
              <w:pStyle w:val="Body"/>
              <w:rPr>
                <w:b/>
              </w:rPr>
            </w:pPr>
            <w:r w:rsidRPr="00BD31FA">
              <w:rPr>
                <w:b/>
              </w:rPr>
              <w:t>Deliverable Title</w:t>
            </w:r>
          </w:p>
        </w:tc>
        <w:tc>
          <w:tcPr>
            <w:tcW w:w="6237" w:type="dxa"/>
            <w:shd w:val="clear" w:color="auto" w:fill="auto"/>
          </w:tcPr>
          <w:p w14:paraId="201EE3D9" w14:textId="31D7BADA" w:rsidR="006C4C3F" w:rsidRPr="00BD31FA" w:rsidRDefault="00BD31FA" w:rsidP="00176477">
            <w:pPr>
              <w:pStyle w:val="Body"/>
            </w:pPr>
            <w:r w:rsidRPr="00BD31FA">
              <w:t xml:space="preserve">Case study demonstrating the benefit of codifying the tool in TSAR </w:t>
            </w:r>
          </w:p>
        </w:tc>
      </w:tr>
      <w:tr w:rsidR="006C4C3F" w:rsidRPr="00BD31FA" w14:paraId="03B78A53" w14:textId="77777777" w:rsidTr="00BD31FA">
        <w:trPr>
          <w:trHeight w:val="419"/>
        </w:trPr>
        <w:tc>
          <w:tcPr>
            <w:tcW w:w="1838" w:type="dxa"/>
            <w:shd w:val="clear" w:color="auto" w:fill="auto"/>
          </w:tcPr>
          <w:p w14:paraId="16032079" w14:textId="77777777" w:rsidR="006C4C3F" w:rsidRPr="00BD31FA" w:rsidRDefault="006C4C3F" w:rsidP="00176477">
            <w:pPr>
              <w:pStyle w:val="Body"/>
              <w:rPr>
                <w:b/>
              </w:rPr>
            </w:pPr>
            <w:r w:rsidRPr="00BD31FA">
              <w:rPr>
                <w:b/>
              </w:rPr>
              <w:t>Deliverable Type</w:t>
            </w:r>
          </w:p>
        </w:tc>
        <w:tc>
          <w:tcPr>
            <w:tcW w:w="6237" w:type="dxa"/>
            <w:shd w:val="clear" w:color="auto" w:fill="auto"/>
          </w:tcPr>
          <w:p w14:paraId="11018E2A" w14:textId="7B644441" w:rsidR="006C4C3F" w:rsidRPr="00BD31FA" w:rsidRDefault="00BD31FA" w:rsidP="00176477">
            <w:pPr>
              <w:pStyle w:val="Body"/>
            </w:pPr>
            <w:r>
              <w:t>Case study (</w:t>
            </w:r>
            <w:r w:rsidRPr="00BD31FA">
              <w:t xml:space="preserve">Technical </w:t>
            </w:r>
            <w:r w:rsidR="006C4C3F" w:rsidRPr="00BD31FA">
              <w:t>Report</w:t>
            </w:r>
            <w:r>
              <w:t>)</w:t>
            </w:r>
          </w:p>
        </w:tc>
      </w:tr>
      <w:tr w:rsidR="006C4C3F" w:rsidRPr="00BD31FA" w14:paraId="0913A573" w14:textId="77777777" w:rsidTr="00BD31FA">
        <w:trPr>
          <w:trHeight w:val="434"/>
        </w:trPr>
        <w:tc>
          <w:tcPr>
            <w:tcW w:w="1838" w:type="dxa"/>
            <w:shd w:val="clear" w:color="auto" w:fill="auto"/>
          </w:tcPr>
          <w:p w14:paraId="334233F2" w14:textId="77777777" w:rsidR="006C4C3F" w:rsidRPr="00BD31FA" w:rsidRDefault="006C4C3F" w:rsidP="00176477">
            <w:pPr>
              <w:pStyle w:val="Body"/>
              <w:rPr>
                <w:b/>
              </w:rPr>
            </w:pPr>
            <w:r w:rsidRPr="00BD31FA">
              <w:rPr>
                <w:b/>
              </w:rPr>
              <w:t>Description</w:t>
            </w:r>
          </w:p>
        </w:tc>
        <w:tc>
          <w:tcPr>
            <w:tcW w:w="6237" w:type="dxa"/>
            <w:shd w:val="clear" w:color="auto" w:fill="auto"/>
          </w:tcPr>
          <w:p w14:paraId="01EC7469" w14:textId="77777777" w:rsidR="006C4C3F" w:rsidRDefault="001B04EB" w:rsidP="00176477">
            <w:pPr>
              <w:pStyle w:val="Body"/>
            </w:pPr>
            <w:r>
              <w:t xml:space="preserve">The supplier shall prepare a case study using the worked examples from work package one. It will demonstrate how codifying driving policies can provide a more granular model of how driving practices impacts system utilisation. </w:t>
            </w:r>
          </w:p>
          <w:p w14:paraId="04609A7F" w14:textId="71969AAC" w:rsidR="001B04EB" w:rsidRPr="00BD31FA" w:rsidRDefault="001B04EB" w:rsidP="00176477">
            <w:pPr>
              <w:pStyle w:val="Body"/>
            </w:pPr>
            <w:r>
              <w:t>The case study will also demonstrate the impacts of changing elements of driving policies on capacity and reliability of service delivery.</w:t>
            </w:r>
          </w:p>
        </w:tc>
      </w:tr>
      <w:tr w:rsidR="006C4C3F" w:rsidRPr="00BD31FA" w14:paraId="701B2190" w14:textId="77777777" w:rsidTr="00BD31FA">
        <w:trPr>
          <w:trHeight w:val="419"/>
        </w:trPr>
        <w:tc>
          <w:tcPr>
            <w:tcW w:w="1838" w:type="dxa"/>
            <w:shd w:val="clear" w:color="auto" w:fill="auto"/>
          </w:tcPr>
          <w:p w14:paraId="51BEDFCE" w14:textId="77777777" w:rsidR="006C4C3F" w:rsidRPr="00BD31FA" w:rsidRDefault="006C4C3F" w:rsidP="00176477">
            <w:pPr>
              <w:pStyle w:val="Body"/>
              <w:rPr>
                <w:b/>
              </w:rPr>
            </w:pPr>
            <w:r w:rsidRPr="00BD31FA">
              <w:rPr>
                <w:b/>
              </w:rPr>
              <w:t>Publication</w:t>
            </w:r>
          </w:p>
        </w:tc>
        <w:tc>
          <w:tcPr>
            <w:tcW w:w="6237" w:type="dxa"/>
            <w:shd w:val="clear" w:color="auto" w:fill="auto"/>
          </w:tcPr>
          <w:p w14:paraId="229CB010" w14:textId="77777777" w:rsidR="006C4C3F" w:rsidRPr="00BD31FA" w:rsidRDefault="006C4C3F" w:rsidP="00176477">
            <w:pPr>
              <w:pStyle w:val="Body"/>
            </w:pPr>
            <w:r w:rsidRPr="00BD31FA">
              <w:t>The deliverable is to be produced in the standard RSSB format and is to incorporate appropriate infographics. The deliverable shall be reviewed by RSSB and the project steering group, to allow for comment. The deliverable is to be made widely available.</w:t>
            </w:r>
          </w:p>
        </w:tc>
      </w:tr>
    </w:tbl>
    <w:p w14:paraId="563C0A01" w14:textId="1DC00EDD" w:rsidR="001E1A5D" w:rsidRPr="006C4C3F" w:rsidRDefault="001E1A5D" w:rsidP="00BB2989">
      <w:pPr>
        <w:rPr>
          <w:rFonts w:ascii="Calibri" w:hAnsi="Calibri" w:cs="Arial"/>
          <w:color w:val="000000" w:themeColor="text1"/>
          <w:sz w:val="22"/>
          <w:szCs w:val="22"/>
          <w:highlight w:val="yellow"/>
          <w:lang w:eastAsia="en-GB"/>
        </w:rPr>
      </w:pPr>
    </w:p>
    <w:tbl>
      <w:tblPr>
        <w:tblStyle w:val="TableGrid"/>
        <w:tblW w:w="8075" w:type="dxa"/>
        <w:tblLook w:val="04A0" w:firstRow="1" w:lastRow="0" w:firstColumn="1" w:lastColumn="0" w:noHBand="0" w:noVBand="1"/>
      </w:tblPr>
      <w:tblGrid>
        <w:gridCol w:w="1838"/>
        <w:gridCol w:w="6237"/>
      </w:tblGrid>
      <w:tr w:rsidR="006C4C3F" w:rsidRPr="006C4C3F" w14:paraId="7A807A00" w14:textId="77777777" w:rsidTr="00176477">
        <w:trPr>
          <w:trHeight w:val="434"/>
        </w:trPr>
        <w:tc>
          <w:tcPr>
            <w:tcW w:w="1838" w:type="dxa"/>
            <w:shd w:val="clear" w:color="auto" w:fill="F2F2F2" w:themeFill="background1" w:themeFillShade="F2"/>
          </w:tcPr>
          <w:p w14:paraId="5FF035C5" w14:textId="77777777" w:rsidR="006C4C3F" w:rsidRPr="00BD31FA" w:rsidRDefault="006C4C3F" w:rsidP="00176477">
            <w:pPr>
              <w:pStyle w:val="Body"/>
              <w:rPr>
                <w:b/>
              </w:rPr>
            </w:pPr>
            <w:r w:rsidRPr="00BD31FA">
              <w:rPr>
                <w:b/>
              </w:rPr>
              <w:t>Deliverable Title</w:t>
            </w:r>
          </w:p>
        </w:tc>
        <w:tc>
          <w:tcPr>
            <w:tcW w:w="6237" w:type="dxa"/>
          </w:tcPr>
          <w:p w14:paraId="1D4BA833" w14:textId="1A02CF7E" w:rsidR="006C4C3F" w:rsidRPr="00BD31FA" w:rsidRDefault="00BD31FA" w:rsidP="00176477">
            <w:pPr>
              <w:pStyle w:val="Body"/>
            </w:pPr>
            <w:r w:rsidRPr="00BD31FA">
              <w:t>Business and safety case for implementing best practice guidance</w:t>
            </w:r>
          </w:p>
        </w:tc>
      </w:tr>
      <w:tr w:rsidR="006C4C3F" w:rsidRPr="006C4C3F" w14:paraId="2AF679DA" w14:textId="77777777" w:rsidTr="00176477">
        <w:trPr>
          <w:trHeight w:val="419"/>
        </w:trPr>
        <w:tc>
          <w:tcPr>
            <w:tcW w:w="1838" w:type="dxa"/>
            <w:shd w:val="clear" w:color="auto" w:fill="F2F2F2" w:themeFill="background1" w:themeFillShade="F2"/>
          </w:tcPr>
          <w:p w14:paraId="2DD54B29" w14:textId="77777777" w:rsidR="006C4C3F" w:rsidRPr="00BD31FA" w:rsidRDefault="006C4C3F" w:rsidP="00176477">
            <w:pPr>
              <w:pStyle w:val="Body"/>
              <w:rPr>
                <w:b/>
              </w:rPr>
            </w:pPr>
            <w:r w:rsidRPr="00BD31FA">
              <w:rPr>
                <w:b/>
              </w:rPr>
              <w:t>Deliverable Type</w:t>
            </w:r>
          </w:p>
        </w:tc>
        <w:tc>
          <w:tcPr>
            <w:tcW w:w="6237" w:type="dxa"/>
          </w:tcPr>
          <w:p w14:paraId="6AB132CB" w14:textId="579E5084" w:rsidR="006C4C3F" w:rsidRPr="00BD31FA" w:rsidRDefault="00BD31FA" w:rsidP="00176477">
            <w:pPr>
              <w:pStyle w:val="Body"/>
            </w:pPr>
            <w:r w:rsidRPr="00BD31FA">
              <w:t>Executive summary presentation</w:t>
            </w:r>
          </w:p>
        </w:tc>
      </w:tr>
      <w:tr w:rsidR="006C4C3F" w:rsidRPr="006C4C3F" w14:paraId="78A3854E" w14:textId="77777777" w:rsidTr="00176477">
        <w:trPr>
          <w:trHeight w:val="434"/>
        </w:trPr>
        <w:tc>
          <w:tcPr>
            <w:tcW w:w="1838" w:type="dxa"/>
            <w:shd w:val="clear" w:color="auto" w:fill="F2F2F2" w:themeFill="background1" w:themeFillShade="F2"/>
          </w:tcPr>
          <w:p w14:paraId="4CAD6D72" w14:textId="77777777" w:rsidR="006C4C3F" w:rsidRPr="00BD31FA" w:rsidRDefault="006C4C3F" w:rsidP="00176477">
            <w:pPr>
              <w:pStyle w:val="Body"/>
              <w:rPr>
                <w:b/>
              </w:rPr>
            </w:pPr>
            <w:r w:rsidRPr="00BD31FA">
              <w:rPr>
                <w:b/>
              </w:rPr>
              <w:t>Description</w:t>
            </w:r>
          </w:p>
        </w:tc>
        <w:tc>
          <w:tcPr>
            <w:tcW w:w="6237" w:type="dxa"/>
          </w:tcPr>
          <w:p w14:paraId="6BB34361" w14:textId="35171652" w:rsidR="00BD31FA" w:rsidRPr="00BD31FA" w:rsidRDefault="00BD31FA" w:rsidP="00176477">
            <w:pPr>
              <w:pStyle w:val="Body"/>
            </w:pPr>
            <w:r w:rsidRPr="00BD31FA">
              <w:t xml:space="preserve">This presentation will provide a clear and compelling overview of the business and safety case for implementing best practice guidance. </w:t>
            </w:r>
          </w:p>
          <w:p w14:paraId="5821D4F6" w14:textId="5F1F380E" w:rsidR="00BD31FA" w:rsidRPr="00BD31FA" w:rsidRDefault="00BD31FA" w:rsidP="00176477">
            <w:pPr>
              <w:pStyle w:val="Body"/>
            </w:pPr>
            <w:r w:rsidRPr="00BD31FA">
              <w:lastRenderedPageBreak/>
              <w:t>This should be targeted towards senior operational practitioners that are involved in the review and revision of Professional Driving Policies, notably, Heads of Operations, Heads of Standards and Heads of Safety. It will demonstrate the benefits through the model and translate that into a case that operators can use to change their policies.</w:t>
            </w:r>
          </w:p>
          <w:p w14:paraId="344C92AB" w14:textId="5C12CBD0" w:rsidR="006C4C3F" w:rsidRPr="00BD31FA" w:rsidRDefault="00BD31FA" w:rsidP="00176477">
            <w:pPr>
              <w:pStyle w:val="Body"/>
            </w:pPr>
            <w:r w:rsidRPr="00BD31FA">
              <w:t xml:space="preserve">All calculations and assumptions underpinning findings and recommendations made in this presentation should be documented in an additional appendix document </w:t>
            </w:r>
          </w:p>
        </w:tc>
      </w:tr>
      <w:tr w:rsidR="006C4C3F" w14:paraId="7796A30D" w14:textId="77777777" w:rsidTr="00176477">
        <w:trPr>
          <w:trHeight w:val="419"/>
        </w:trPr>
        <w:tc>
          <w:tcPr>
            <w:tcW w:w="1838" w:type="dxa"/>
            <w:shd w:val="clear" w:color="auto" w:fill="F2F2F2" w:themeFill="background1" w:themeFillShade="F2"/>
          </w:tcPr>
          <w:p w14:paraId="343E03B6" w14:textId="77777777" w:rsidR="006C4C3F" w:rsidRPr="00BD31FA" w:rsidRDefault="006C4C3F" w:rsidP="00176477">
            <w:pPr>
              <w:pStyle w:val="Body"/>
              <w:rPr>
                <w:b/>
              </w:rPr>
            </w:pPr>
            <w:r w:rsidRPr="00BD31FA">
              <w:rPr>
                <w:b/>
              </w:rPr>
              <w:lastRenderedPageBreak/>
              <w:t>Publication</w:t>
            </w:r>
          </w:p>
        </w:tc>
        <w:tc>
          <w:tcPr>
            <w:tcW w:w="6237" w:type="dxa"/>
          </w:tcPr>
          <w:p w14:paraId="4A21390E" w14:textId="77777777" w:rsidR="006C4C3F" w:rsidRPr="00BD31FA" w:rsidRDefault="006C4C3F" w:rsidP="00176477">
            <w:pPr>
              <w:pStyle w:val="Body"/>
            </w:pPr>
            <w:r w:rsidRPr="00BD31FA">
              <w:t>The deliverable is to be produced in the standard RSSB format and is to incorporate appropriate infographics. The deliverable shall be reviewed by RSSB, to allow for comment. The deliverable is to be made widely available.</w:t>
            </w:r>
          </w:p>
        </w:tc>
      </w:tr>
    </w:tbl>
    <w:p w14:paraId="6C06E79C" w14:textId="77777777" w:rsidR="006C4C3F" w:rsidRDefault="006C4C3F" w:rsidP="00BB2989">
      <w:pPr>
        <w:rPr>
          <w:rFonts w:ascii="Calibri" w:hAnsi="Calibri" w:cs="Arial"/>
          <w:color w:val="000000" w:themeColor="text1"/>
          <w:sz w:val="22"/>
          <w:szCs w:val="22"/>
          <w:lang w:eastAsia="en-GB"/>
        </w:rPr>
      </w:pPr>
    </w:p>
    <w:p w14:paraId="16F88BA9" w14:textId="753C5E53" w:rsidR="009B21F8" w:rsidRDefault="00520FC4" w:rsidP="00BB2989">
      <w:pPr>
        <w:rPr>
          <w:rFonts w:ascii="Calibri" w:hAnsi="Calibri"/>
        </w:rPr>
      </w:pPr>
      <w:r>
        <w:rPr>
          <w:rFonts w:ascii="Calibri" w:hAnsi="Calibri" w:cs="Arial"/>
          <w:color w:val="000000" w:themeColor="text1"/>
          <w:sz w:val="22"/>
          <w:szCs w:val="22"/>
          <w:lang w:eastAsia="en-GB"/>
        </w:rPr>
        <w:t>Where a deliverable is submitted that closely meets the requirements</w:t>
      </w:r>
      <w:r w:rsidRPr="00C16E3D">
        <w:rPr>
          <w:rFonts w:ascii="Calibri" w:hAnsi="Calibri" w:cs="Arial"/>
          <w:color w:val="000000" w:themeColor="text1"/>
          <w:sz w:val="22"/>
          <w:szCs w:val="22"/>
          <w:lang w:eastAsia="en-GB"/>
        </w:rPr>
        <w:t xml:space="preserve">, it is anticipated that RSSB shall provide </w:t>
      </w:r>
      <w:r w:rsidR="00BD31FA" w:rsidRPr="00C16E3D">
        <w:rPr>
          <w:rFonts w:ascii="Calibri" w:hAnsi="Calibri" w:cs="Arial"/>
          <w:color w:val="000000" w:themeColor="text1"/>
          <w:sz w:val="22"/>
          <w:szCs w:val="22"/>
          <w:lang w:eastAsia="en-GB"/>
        </w:rPr>
        <w:t>single consolidated feedback</w:t>
      </w:r>
      <w:r w:rsidRPr="00C16E3D">
        <w:rPr>
          <w:rFonts w:ascii="Calibri" w:hAnsi="Calibri" w:cs="Arial"/>
          <w:color w:val="000000" w:themeColor="text1"/>
          <w:sz w:val="22"/>
          <w:szCs w:val="22"/>
          <w:lang w:eastAsia="en-GB"/>
        </w:rPr>
        <w:t xml:space="preserve"> on a complete deliverable from the project steering group, followed by a single consolidated review from an executive panel. Within the schedule the supplier should allow for two weeks for each review to return comments.</w:t>
      </w:r>
      <w:r w:rsidR="00315B74">
        <w:rPr>
          <w:rFonts w:ascii="Calibri" w:hAnsi="Calibri"/>
        </w:rPr>
        <w:br w:type="page"/>
      </w:r>
    </w:p>
    <w:p w14:paraId="5812984D" w14:textId="77777777" w:rsidR="009B21F8" w:rsidRDefault="009B21F8" w:rsidP="00AA2069">
      <w:pPr>
        <w:pStyle w:val="Heading10"/>
        <w:keepNext/>
        <w:numPr>
          <w:ilvl w:val="0"/>
          <w:numId w:val="25"/>
        </w:numPr>
        <w:ind w:left="426" w:hanging="426"/>
        <w:outlineLvl w:val="9"/>
        <w:rPr>
          <w:rFonts w:ascii="Calibri" w:hAnsi="Calibri"/>
        </w:rPr>
        <w:sectPr w:rsidR="009B21F8" w:rsidSect="00D65B95">
          <w:pgSz w:w="11906" w:h="16838"/>
          <w:pgMar w:top="1985" w:right="1985" w:bottom="1985" w:left="1985" w:header="567" w:footer="567" w:gutter="0"/>
          <w:cols w:space="708"/>
          <w:docGrid w:linePitch="360"/>
        </w:sectPr>
      </w:pPr>
    </w:p>
    <w:p w14:paraId="5C69ADDE" w14:textId="780F6D32" w:rsidR="00425161" w:rsidRDefault="00032803" w:rsidP="00AA2069">
      <w:pPr>
        <w:pStyle w:val="Heading10"/>
        <w:keepNext/>
        <w:numPr>
          <w:ilvl w:val="0"/>
          <w:numId w:val="40"/>
        </w:numPr>
        <w:outlineLvl w:val="9"/>
        <w:rPr>
          <w:rFonts w:ascii="Calibri" w:hAnsi="Calibri"/>
        </w:rPr>
      </w:pPr>
      <w:r w:rsidRPr="00C8304E">
        <w:rPr>
          <w:rFonts w:ascii="Calibri" w:hAnsi="Calibri"/>
        </w:rPr>
        <w:lastRenderedPageBreak/>
        <w:t>Stakeholder roles and responsibilities</w:t>
      </w:r>
    </w:p>
    <w:p w14:paraId="166F9C9A" w14:textId="15D7AB23" w:rsidR="00520FC4" w:rsidRPr="00520FC4" w:rsidRDefault="00585D12" w:rsidP="00520FC4">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98"/>
        <w:gridCol w:w="3123"/>
        <w:gridCol w:w="5602"/>
      </w:tblGrid>
      <w:tr w:rsidR="00520FC4" w14:paraId="22D2B771" w14:textId="77777777" w:rsidTr="00520FC4">
        <w:trPr>
          <w:jc w:val="center"/>
        </w:trPr>
        <w:tc>
          <w:tcPr>
            <w:tcW w:w="1113" w:type="dxa"/>
            <w:vAlign w:val="center"/>
          </w:tcPr>
          <w:p w14:paraId="52D77179" w14:textId="77777777" w:rsidR="00520FC4" w:rsidRPr="006133E3" w:rsidRDefault="00520FC4" w:rsidP="00520FC4">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2E290B45" w14:textId="77777777" w:rsidR="00520FC4" w:rsidRPr="006133E3" w:rsidRDefault="00520FC4" w:rsidP="00520FC4">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77A22783" w14:textId="77777777" w:rsidR="00520FC4" w:rsidRPr="006133E3" w:rsidRDefault="00520FC4" w:rsidP="00520FC4">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520FC4" w14:paraId="35A503E7" w14:textId="77777777" w:rsidTr="00520FC4">
        <w:trPr>
          <w:jc w:val="center"/>
        </w:trPr>
        <w:tc>
          <w:tcPr>
            <w:tcW w:w="1113" w:type="dxa"/>
          </w:tcPr>
          <w:p w14:paraId="08D41E6E" w14:textId="77777777" w:rsidR="00520FC4" w:rsidRPr="006133E3" w:rsidRDefault="00520FC4" w:rsidP="00520FC4">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4CA0142A" w14:textId="77777777" w:rsidR="00520FC4" w:rsidRDefault="00520FC4" w:rsidP="00520FC4">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34325D8F" w14:textId="77777777" w:rsidR="00520FC4" w:rsidRPr="002D270C" w:rsidRDefault="00520FC4" w:rsidP="00520FC4">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B3C09AC" w14:textId="4530FDCE" w:rsidR="00520FC4" w:rsidRDefault="00520FC4" w:rsidP="00AA2069">
            <w:pPr>
              <w:numPr>
                <w:ilvl w:val="0"/>
                <w:numId w:val="31"/>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 xml:space="preserve">Organisation, </w:t>
            </w:r>
            <w:r w:rsidR="00D508FB">
              <w:rPr>
                <w:rFonts w:asciiTheme="minorHAnsi" w:hAnsiTheme="minorHAnsi" w:cstheme="minorHAnsi"/>
                <w:sz w:val="20"/>
                <w:szCs w:val="20"/>
                <w:lang w:eastAsia="en-GB"/>
              </w:rPr>
              <w:t>co-ordination,</w:t>
            </w:r>
            <w:r>
              <w:rPr>
                <w:rFonts w:asciiTheme="minorHAnsi" w:hAnsiTheme="minorHAnsi" w:cstheme="minorHAnsi"/>
                <w:sz w:val="20"/>
                <w:szCs w:val="20"/>
                <w:lang w:eastAsia="en-GB"/>
              </w:rPr>
              <w:t xml:space="preserve"> and chair of project meetings.</w:t>
            </w:r>
          </w:p>
          <w:p w14:paraId="194BD358" w14:textId="77777777" w:rsidR="00520FC4" w:rsidRDefault="00520FC4" w:rsidP="00AA2069">
            <w:pPr>
              <w:numPr>
                <w:ilvl w:val="0"/>
                <w:numId w:val="31"/>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0CF791DE" w14:textId="77777777" w:rsidR="00520FC4" w:rsidRDefault="00520FC4" w:rsidP="00AA2069">
            <w:pPr>
              <w:numPr>
                <w:ilvl w:val="0"/>
                <w:numId w:val="31"/>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10A39C49" w14:textId="77777777" w:rsidR="00520FC4" w:rsidRPr="00C16E3D" w:rsidRDefault="00520FC4" w:rsidP="00AA2069">
            <w:pPr>
              <w:numPr>
                <w:ilvl w:val="0"/>
                <w:numId w:val="31"/>
              </w:numPr>
              <w:spacing w:line="276" w:lineRule="auto"/>
              <w:rPr>
                <w:rFonts w:asciiTheme="minorHAnsi" w:hAnsiTheme="minorHAnsi" w:cstheme="minorHAnsi"/>
                <w:color w:val="000000" w:themeColor="text1"/>
                <w:sz w:val="20"/>
                <w:szCs w:val="20"/>
                <w:lang w:eastAsia="en-GB"/>
              </w:rPr>
            </w:pPr>
            <w:r w:rsidRPr="00C16E3D">
              <w:rPr>
                <w:rFonts w:asciiTheme="minorHAnsi" w:hAnsiTheme="minorHAnsi" w:cstheme="minorHAnsi"/>
                <w:color w:val="000000" w:themeColor="text1"/>
                <w:sz w:val="20"/>
                <w:szCs w:val="20"/>
                <w:lang w:eastAsia="en-GB"/>
              </w:rPr>
              <w:t>Dissemination of deliverables to project steering group and governance group.</w:t>
            </w:r>
          </w:p>
          <w:p w14:paraId="6FAF5D8E"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C16E3D">
              <w:rPr>
                <w:rFonts w:asciiTheme="minorHAnsi" w:hAnsiTheme="minorHAnsi" w:cstheme="minorHAnsi"/>
                <w:color w:val="000000" w:themeColor="text1"/>
                <w:sz w:val="20"/>
                <w:szCs w:val="20"/>
                <w:lang w:eastAsia="en-GB"/>
              </w:rPr>
              <w:t xml:space="preserve">Authorisation of payment </w:t>
            </w:r>
            <w:r>
              <w:rPr>
                <w:rFonts w:asciiTheme="minorHAnsi" w:hAnsiTheme="minorHAnsi" w:cstheme="minorHAnsi"/>
                <w:sz w:val="20"/>
                <w:szCs w:val="20"/>
                <w:lang w:eastAsia="en-GB"/>
              </w:rPr>
              <w:t>within agreed project spend.</w:t>
            </w:r>
          </w:p>
        </w:tc>
      </w:tr>
      <w:tr w:rsidR="00520FC4" w:rsidRPr="006133E3" w14:paraId="7C35755A" w14:textId="77777777" w:rsidTr="00520FC4">
        <w:trPr>
          <w:jc w:val="center"/>
        </w:trPr>
        <w:tc>
          <w:tcPr>
            <w:tcW w:w="1113" w:type="dxa"/>
          </w:tcPr>
          <w:p w14:paraId="16937D60" w14:textId="77777777" w:rsidR="00520FC4" w:rsidRPr="006133E3" w:rsidRDefault="00520FC4" w:rsidP="00520FC4">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333D9827" w14:textId="77777777" w:rsidR="00520FC4" w:rsidRPr="006133E3" w:rsidRDefault="00520FC4" w:rsidP="00520FC4">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RSSB 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5D02E68F"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5353E659"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54B8BB79"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4DFCF450"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520FC4" w14:paraId="53D48AA9" w14:textId="77777777" w:rsidTr="00520FC4">
        <w:trPr>
          <w:jc w:val="center"/>
        </w:trPr>
        <w:tc>
          <w:tcPr>
            <w:tcW w:w="1113" w:type="dxa"/>
          </w:tcPr>
          <w:p w14:paraId="29E40B29" w14:textId="77777777" w:rsidR="00520FC4" w:rsidRPr="006133E3" w:rsidRDefault="00520FC4" w:rsidP="00520FC4">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2C8CFB56" w14:textId="77777777" w:rsidR="00520FC4" w:rsidRPr="006133E3" w:rsidRDefault="00520FC4" w:rsidP="00520FC4">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3792EB1C"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1A5254FC"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39309C8"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1AEB2D60"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4B388F0C"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520FC4" w14:paraId="01C3765A" w14:textId="77777777" w:rsidTr="00520FC4">
        <w:trPr>
          <w:jc w:val="center"/>
        </w:trPr>
        <w:tc>
          <w:tcPr>
            <w:tcW w:w="1113" w:type="dxa"/>
          </w:tcPr>
          <w:p w14:paraId="1BD8644A" w14:textId="77777777" w:rsidR="00520FC4" w:rsidRPr="006133E3" w:rsidRDefault="00520FC4" w:rsidP="00520FC4">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578C3E21" w14:textId="77777777" w:rsidR="00520FC4" w:rsidRPr="004525DB" w:rsidRDefault="00520FC4" w:rsidP="00520FC4">
            <w:pPr>
              <w:pStyle w:val="NormalWeb"/>
              <w:spacing w:before="40" w:beforeAutospacing="0" w:after="40" w:afterAutospacing="0" w:line="260" w:lineRule="exact"/>
              <w:rPr>
                <w:rFonts w:asciiTheme="minorHAnsi" w:hAnsiTheme="minorHAnsi" w:cstheme="minorHAnsi"/>
                <w:color w:val="000000"/>
                <w:kern w:val="28"/>
                <w:sz w:val="20"/>
                <w:szCs w:val="20"/>
              </w:rPr>
            </w:pPr>
            <w:r w:rsidRPr="004525DB">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I</w:t>
            </w:r>
            <w:r w:rsidRPr="004525DB">
              <w:rPr>
                <w:rFonts w:asciiTheme="minorHAnsi" w:hAnsiTheme="minorHAnsi" w:cstheme="minorHAnsi"/>
                <w:color w:val="000000"/>
                <w:kern w:val="28"/>
                <w:sz w:val="20"/>
                <w:szCs w:val="20"/>
              </w:rPr>
              <w:t xml:space="preserve">ndustry </w:t>
            </w:r>
            <w:r>
              <w:rPr>
                <w:rFonts w:asciiTheme="minorHAnsi" w:hAnsiTheme="minorHAnsi" w:cstheme="minorHAnsi"/>
                <w:color w:val="000000"/>
                <w:kern w:val="28"/>
                <w:sz w:val="20"/>
                <w:szCs w:val="20"/>
              </w:rPr>
              <w:t>S</w:t>
            </w:r>
            <w:r w:rsidRPr="004525DB">
              <w:rPr>
                <w:rFonts w:asciiTheme="minorHAnsi" w:hAnsiTheme="minorHAnsi" w:cstheme="minorHAnsi"/>
                <w:color w:val="000000"/>
                <w:kern w:val="28"/>
                <w:sz w:val="20"/>
                <w:szCs w:val="20"/>
              </w:rPr>
              <w:t xml:space="preserve">ponsor acts as figurehead for the research, championing its importance and its outputs. </w:t>
            </w:r>
          </w:p>
          <w:p w14:paraId="3A384A43" w14:textId="77777777" w:rsidR="00520FC4" w:rsidRPr="006133E3" w:rsidRDefault="00520FC4" w:rsidP="00520FC4">
            <w:pPr>
              <w:pStyle w:val="NormalWeb"/>
              <w:spacing w:before="40" w:beforeAutospacing="0" w:after="40" w:afterAutospacing="0" w:line="260" w:lineRule="exact"/>
              <w:rPr>
                <w:rFonts w:asciiTheme="minorHAnsi" w:hAnsiTheme="minorHAnsi" w:cstheme="minorHAnsi"/>
                <w:color w:val="000000"/>
                <w:kern w:val="28"/>
                <w:sz w:val="20"/>
                <w:szCs w:val="20"/>
              </w:rPr>
            </w:pPr>
            <w:r w:rsidRPr="004525DB">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I</w:t>
            </w:r>
            <w:r w:rsidRPr="004525DB">
              <w:rPr>
                <w:rFonts w:asciiTheme="minorHAnsi" w:hAnsiTheme="minorHAnsi" w:cstheme="minorHAnsi"/>
                <w:color w:val="000000"/>
                <w:kern w:val="28"/>
                <w:sz w:val="20"/>
                <w:szCs w:val="20"/>
              </w:rPr>
              <w:t xml:space="preserve">ndustry </w:t>
            </w:r>
            <w:r>
              <w:rPr>
                <w:rFonts w:asciiTheme="minorHAnsi" w:hAnsiTheme="minorHAnsi" w:cstheme="minorHAnsi"/>
                <w:color w:val="000000"/>
                <w:kern w:val="28"/>
                <w:sz w:val="20"/>
                <w:szCs w:val="20"/>
              </w:rPr>
              <w:t>S</w:t>
            </w:r>
            <w:r w:rsidRPr="004525DB">
              <w:rPr>
                <w:rFonts w:asciiTheme="minorHAnsi" w:hAnsiTheme="minorHAnsi" w:cstheme="minorHAnsi"/>
                <w:color w:val="000000"/>
                <w:kern w:val="28"/>
                <w:sz w:val="20"/>
                <w:szCs w:val="20"/>
              </w:rPr>
              <w:t xml:space="preserve">ponsor forms part of the </w:t>
            </w:r>
            <w:r>
              <w:rPr>
                <w:rFonts w:asciiTheme="minorHAnsi" w:hAnsiTheme="minorHAnsi" w:cstheme="minorHAnsi"/>
                <w:color w:val="000000"/>
                <w:kern w:val="28"/>
                <w:sz w:val="20"/>
                <w:szCs w:val="20"/>
              </w:rPr>
              <w:t>P</w:t>
            </w:r>
            <w:r w:rsidRPr="004525DB">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4525DB">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4525DB">
              <w:rPr>
                <w:rFonts w:asciiTheme="minorHAnsi" w:hAnsiTheme="minorHAnsi" w:cstheme="minorHAnsi"/>
                <w:color w:val="000000"/>
                <w:kern w:val="28"/>
                <w:sz w:val="20"/>
                <w:szCs w:val="20"/>
              </w:rPr>
              <w:t xml:space="preserve">roup, however, their key role as </w:t>
            </w:r>
            <w:r>
              <w:rPr>
                <w:rFonts w:asciiTheme="minorHAnsi" w:hAnsiTheme="minorHAnsi" w:cstheme="minorHAnsi"/>
                <w:color w:val="000000"/>
                <w:kern w:val="28"/>
                <w:sz w:val="20"/>
                <w:szCs w:val="20"/>
              </w:rPr>
              <w:t>Industry S</w:t>
            </w:r>
            <w:r w:rsidRPr="004525DB">
              <w:rPr>
                <w:rFonts w:asciiTheme="minorHAnsi" w:hAnsiTheme="minorHAnsi" w:cstheme="minorHAnsi"/>
                <w:color w:val="000000"/>
                <w:kern w:val="28"/>
                <w:sz w:val="20"/>
                <w:szCs w:val="20"/>
              </w:rPr>
              <w:t xml:space="preserve">ponsor is to provide steer to the </w:t>
            </w:r>
            <w:r w:rsidRPr="004525DB">
              <w:rPr>
                <w:rFonts w:asciiTheme="minorHAnsi" w:hAnsiTheme="minorHAnsi" w:cstheme="minorHAnsi"/>
                <w:color w:val="000000"/>
                <w:kern w:val="28"/>
                <w:sz w:val="20"/>
                <w:szCs w:val="20"/>
              </w:rPr>
              <w:lastRenderedPageBreak/>
              <w:t>research as it progresses and to influence industry to make use of its findings.</w:t>
            </w:r>
          </w:p>
        </w:tc>
        <w:tc>
          <w:tcPr>
            <w:tcW w:w="5661" w:type="dxa"/>
          </w:tcPr>
          <w:p w14:paraId="1C85B0C0"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4FDA895F"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0DD4D044"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38467082" w14:textId="77777777" w:rsidR="00520FC4"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015700B9" w14:textId="77777777" w:rsidR="00520FC4" w:rsidRPr="006133E3" w:rsidRDefault="00520FC4" w:rsidP="00AA2069">
            <w:pPr>
              <w:numPr>
                <w:ilvl w:val="0"/>
                <w:numId w:val="31"/>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520FC4" w14:paraId="572CA633" w14:textId="77777777" w:rsidTr="00520FC4">
        <w:trPr>
          <w:jc w:val="center"/>
        </w:trPr>
        <w:tc>
          <w:tcPr>
            <w:tcW w:w="1113" w:type="dxa"/>
          </w:tcPr>
          <w:p w14:paraId="42A01690" w14:textId="77777777" w:rsidR="00520FC4" w:rsidRPr="006133E3" w:rsidRDefault="00520FC4" w:rsidP="00520FC4">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Project S</w:t>
            </w:r>
            <w:r w:rsidRPr="006133E3">
              <w:rPr>
                <w:rFonts w:asciiTheme="minorHAnsi" w:hAnsiTheme="minorHAnsi" w:cstheme="minorHAnsi"/>
                <w:color w:val="000000"/>
                <w:kern w:val="28"/>
                <w:sz w:val="20"/>
                <w:szCs w:val="20"/>
              </w:rPr>
              <w:t>upporters</w:t>
            </w:r>
          </w:p>
        </w:tc>
        <w:tc>
          <w:tcPr>
            <w:tcW w:w="3149" w:type="dxa"/>
          </w:tcPr>
          <w:p w14:paraId="128E7CAD" w14:textId="77777777" w:rsidR="00520FC4" w:rsidRPr="006133E3" w:rsidRDefault="00520FC4" w:rsidP="00520FC4">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two </w:t>
            </w:r>
            <w:r>
              <w:rPr>
                <w:rFonts w:asciiTheme="minorHAnsi" w:hAnsiTheme="minorHAnsi" w:cstheme="minorHAnsi"/>
                <w:color w:val="000000"/>
                <w:kern w:val="28"/>
                <w:sz w:val="20"/>
                <w:szCs w:val="20"/>
              </w:rPr>
              <w:t>Industry 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 represent parts of industry complementary to the Industry Sponsor’s organisation.</w:t>
            </w:r>
          </w:p>
        </w:tc>
        <w:tc>
          <w:tcPr>
            <w:tcW w:w="5661" w:type="dxa"/>
          </w:tcPr>
          <w:p w14:paraId="7F51A25B"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79CE6F05"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7F861DA8"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520FC4" w14:paraId="072F9FD0" w14:textId="77777777" w:rsidTr="00520FC4">
        <w:trPr>
          <w:jc w:val="center"/>
        </w:trPr>
        <w:tc>
          <w:tcPr>
            <w:tcW w:w="1113" w:type="dxa"/>
          </w:tcPr>
          <w:p w14:paraId="66F0C938" w14:textId="77777777" w:rsidR="00520FC4" w:rsidRPr="006133E3" w:rsidRDefault="00520FC4" w:rsidP="00520FC4">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3E644941" w14:textId="77777777" w:rsidR="00520FC4" w:rsidRPr="006133E3" w:rsidRDefault="00520FC4" w:rsidP="00520FC4">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 ensures the project is specified and delivered to take into account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285B0946" w14:textId="30F890FC"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w:t>
            </w:r>
            <w:r w:rsidR="00D508FB" w:rsidRPr="006133E3">
              <w:rPr>
                <w:rFonts w:asciiTheme="minorHAnsi" w:hAnsiTheme="minorHAnsi" w:cstheme="minorHAnsi"/>
                <w:sz w:val="20"/>
                <w:szCs w:val="20"/>
                <w:lang w:eastAsia="en-GB"/>
              </w:rPr>
              <w:t>i.e.,</w:t>
            </w:r>
            <w:r w:rsidRPr="006133E3">
              <w:rPr>
                <w:rFonts w:asciiTheme="minorHAnsi" w:hAnsiTheme="minorHAnsi" w:cstheme="minorHAnsi"/>
                <w:sz w:val="20"/>
                <w:szCs w:val="20"/>
                <w:lang w:eastAsia="en-GB"/>
              </w:rPr>
              <w:t xml:space="preserve"> the business case, </w:t>
            </w:r>
            <w:r w:rsidR="00D508FB" w:rsidRPr="006133E3">
              <w:rPr>
                <w:rFonts w:asciiTheme="minorHAnsi" w:hAnsiTheme="minorHAnsi" w:cstheme="minorHAnsi"/>
                <w:sz w:val="20"/>
                <w:szCs w:val="20"/>
                <w:lang w:eastAsia="en-GB"/>
              </w:rPr>
              <w:t>specification,</w:t>
            </w:r>
            <w:r w:rsidRPr="006133E3">
              <w:rPr>
                <w:rFonts w:asciiTheme="minorHAnsi" w:hAnsiTheme="minorHAnsi" w:cstheme="minorHAnsi"/>
                <w:sz w:val="20"/>
                <w:szCs w:val="20"/>
                <w:lang w:eastAsia="en-GB"/>
              </w:rPr>
              <w:t xml:space="preserve"> and implementation plan)</w:t>
            </w:r>
          </w:p>
          <w:p w14:paraId="477F80EB"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181A3F2"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657B35F5"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42D1D6F0"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520FC4" w14:paraId="1878D2AE" w14:textId="77777777" w:rsidTr="00520FC4">
        <w:trPr>
          <w:jc w:val="center"/>
        </w:trPr>
        <w:tc>
          <w:tcPr>
            <w:tcW w:w="1113" w:type="dxa"/>
          </w:tcPr>
          <w:p w14:paraId="4912B43F" w14:textId="77777777" w:rsidR="00520FC4" w:rsidRPr="00C16E3D" w:rsidRDefault="00520FC4" w:rsidP="00520FC4">
            <w:pPr>
              <w:pStyle w:val="Body"/>
              <w:rPr>
                <w:rFonts w:asciiTheme="minorHAnsi" w:hAnsiTheme="minorHAnsi" w:cstheme="minorHAnsi"/>
                <w:color w:val="000000" w:themeColor="text1"/>
                <w:kern w:val="28"/>
                <w:sz w:val="20"/>
                <w:szCs w:val="20"/>
              </w:rPr>
            </w:pPr>
            <w:r w:rsidRPr="00C16E3D">
              <w:rPr>
                <w:rFonts w:asciiTheme="minorHAnsi" w:hAnsiTheme="minorHAnsi" w:cstheme="minorHAnsi"/>
                <w:color w:val="000000" w:themeColor="text1"/>
                <w:kern w:val="28"/>
                <w:sz w:val="20"/>
                <w:szCs w:val="20"/>
              </w:rPr>
              <w:t xml:space="preserve">Primary </w:t>
            </w:r>
            <w:r>
              <w:rPr>
                <w:rFonts w:asciiTheme="minorHAnsi" w:hAnsiTheme="minorHAnsi" w:cstheme="minorHAnsi"/>
                <w:color w:val="000000" w:themeColor="text1"/>
                <w:kern w:val="28"/>
                <w:sz w:val="20"/>
                <w:szCs w:val="20"/>
              </w:rPr>
              <w:t>G</w:t>
            </w:r>
            <w:r w:rsidRPr="00C16E3D">
              <w:rPr>
                <w:rFonts w:asciiTheme="minorHAnsi" w:hAnsiTheme="minorHAnsi" w:cstheme="minorHAnsi"/>
                <w:color w:val="000000" w:themeColor="text1"/>
                <w:kern w:val="28"/>
                <w:sz w:val="20"/>
                <w:szCs w:val="20"/>
              </w:rPr>
              <w:t>overnance Group</w:t>
            </w:r>
          </w:p>
        </w:tc>
        <w:tc>
          <w:tcPr>
            <w:tcW w:w="3149" w:type="dxa"/>
          </w:tcPr>
          <w:p w14:paraId="6D99ABE0" w14:textId="77777777" w:rsidR="00520FC4" w:rsidRPr="00C16E3D" w:rsidRDefault="00520FC4" w:rsidP="00520FC4">
            <w:pPr>
              <w:pStyle w:val="NormalWeb"/>
              <w:spacing w:before="40" w:beforeAutospacing="0" w:after="40" w:afterAutospacing="0" w:line="260" w:lineRule="exact"/>
              <w:rPr>
                <w:rFonts w:asciiTheme="minorHAnsi" w:hAnsiTheme="minorHAnsi" w:cstheme="minorHAnsi"/>
                <w:color w:val="000000" w:themeColor="text1"/>
                <w:kern w:val="28"/>
                <w:sz w:val="20"/>
                <w:szCs w:val="20"/>
              </w:rPr>
            </w:pPr>
            <w:r w:rsidRPr="00C16E3D">
              <w:rPr>
                <w:rFonts w:asciiTheme="minorHAnsi" w:hAnsiTheme="minorHAnsi" w:cstheme="minorHAnsi"/>
                <w:color w:val="000000" w:themeColor="text1"/>
                <w:kern w:val="28"/>
                <w:sz w:val="20"/>
                <w:szCs w:val="20"/>
              </w:rPr>
              <w:t xml:space="preserve">The </w:t>
            </w:r>
            <w:r>
              <w:rPr>
                <w:rFonts w:asciiTheme="minorHAnsi" w:hAnsiTheme="minorHAnsi" w:cstheme="minorHAnsi"/>
                <w:color w:val="000000" w:themeColor="text1"/>
                <w:kern w:val="28"/>
                <w:sz w:val="20"/>
                <w:szCs w:val="20"/>
              </w:rPr>
              <w:t>P</w:t>
            </w:r>
            <w:r w:rsidRPr="00C16E3D">
              <w:rPr>
                <w:rFonts w:asciiTheme="minorHAnsi" w:hAnsiTheme="minorHAnsi" w:cstheme="minorHAnsi"/>
                <w:color w:val="000000" w:themeColor="text1"/>
                <w:kern w:val="28"/>
                <w:sz w:val="20"/>
                <w:szCs w:val="20"/>
              </w:rPr>
              <w:t xml:space="preserve">rimary </w:t>
            </w:r>
            <w:r>
              <w:rPr>
                <w:rFonts w:asciiTheme="minorHAnsi" w:hAnsiTheme="minorHAnsi" w:cstheme="minorHAnsi"/>
                <w:color w:val="000000" w:themeColor="text1"/>
                <w:kern w:val="28"/>
                <w:sz w:val="20"/>
                <w:szCs w:val="20"/>
              </w:rPr>
              <w:t>G</w:t>
            </w:r>
            <w:r w:rsidRPr="00C16E3D">
              <w:rPr>
                <w:rFonts w:asciiTheme="minorHAnsi" w:hAnsiTheme="minorHAnsi" w:cstheme="minorHAnsi"/>
                <w:color w:val="000000" w:themeColor="text1"/>
                <w:kern w:val="28"/>
                <w:sz w:val="20"/>
                <w:szCs w:val="20"/>
              </w:rPr>
              <w:t xml:space="preserve">overnance </w:t>
            </w:r>
            <w:r>
              <w:rPr>
                <w:rFonts w:asciiTheme="minorHAnsi" w:hAnsiTheme="minorHAnsi" w:cstheme="minorHAnsi"/>
                <w:color w:val="000000" w:themeColor="text1"/>
                <w:kern w:val="28"/>
                <w:sz w:val="20"/>
                <w:szCs w:val="20"/>
              </w:rPr>
              <w:t>G</w:t>
            </w:r>
            <w:r w:rsidRPr="00C16E3D">
              <w:rPr>
                <w:rFonts w:asciiTheme="minorHAnsi" w:hAnsiTheme="minorHAnsi" w:cstheme="minorHAnsi"/>
                <w:color w:val="000000" w:themeColor="text1"/>
                <w:kern w:val="28"/>
                <w:sz w:val="20"/>
                <w:szCs w:val="20"/>
              </w:rPr>
              <w:t>roup is an established industry group that has responsibility to steer and oversee activities in a specific topic area.</w:t>
            </w:r>
          </w:p>
        </w:tc>
        <w:tc>
          <w:tcPr>
            <w:tcW w:w="5661" w:type="dxa"/>
          </w:tcPr>
          <w:p w14:paraId="3B63AC28"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79D05711" w14:textId="77777777" w:rsidR="00520FC4" w:rsidRPr="006133E3" w:rsidRDefault="00520FC4" w:rsidP="00AA2069">
            <w:pPr>
              <w:numPr>
                <w:ilvl w:val="0"/>
                <w:numId w:val="31"/>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48A90D87" w14:textId="77777777" w:rsidR="00520FC4" w:rsidRPr="006133E3" w:rsidRDefault="00520FC4" w:rsidP="00AA2069">
            <w:pPr>
              <w:numPr>
                <w:ilvl w:val="0"/>
                <w:numId w:val="31"/>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419B1BD0" w14:textId="50C0FB25" w:rsidR="00520FC4" w:rsidRPr="00520FC4" w:rsidRDefault="00520FC4" w:rsidP="00520FC4">
      <w:pPr>
        <w:tabs>
          <w:tab w:val="left" w:pos="945"/>
        </w:tabs>
        <w:rPr>
          <w:lang w:eastAsia="en-GB"/>
        </w:rPr>
      </w:pPr>
    </w:p>
    <w:p w14:paraId="7C7034B2" w14:textId="7686D599" w:rsidR="00520FC4" w:rsidRPr="00520FC4" w:rsidRDefault="00520FC4" w:rsidP="00520FC4">
      <w:pPr>
        <w:tabs>
          <w:tab w:val="left" w:pos="945"/>
        </w:tabs>
        <w:rPr>
          <w:lang w:eastAsia="en-GB"/>
        </w:rPr>
        <w:sectPr w:rsidR="00520FC4" w:rsidRPr="00520FC4" w:rsidSect="00D26B62">
          <w:pgSz w:w="11906" w:h="16838"/>
          <w:pgMar w:top="1985" w:right="1985" w:bottom="1985" w:left="1985" w:header="567" w:footer="567" w:gutter="0"/>
          <w:cols w:space="708"/>
          <w:docGrid w:linePitch="360"/>
        </w:sectPr>
      </w:pPr>
      <w:r>
        <w:rPr>
          <w:lang w:eastAsia="en-GB"/>
        </w:rPr>
        <w:tab/>
      </w:r>
    </w:p>
    <w:p w14:paraId="77A29A01" w14:textId="49FAEF5A" w:rsidR="00694131" w:rsidRPr="00191D59" w:rsidRDefault="00032803" w:rsidP="00AA2069">
      <w:pPr>
        <w:pStyle w:val="Heading10"/>
        <w:keepNext/>
        <w:numPr>
          <w:ilvl w:val="0"/>
          <w:numId w:val="40"/>
        </w:numPr>
        <w:ind w:left="426" w:hanging="426"/>
        <w:outlineLvl w:val="9"/>
        <w:rPr>
          <w:rFonts w:ascii="Calibri" w:hAnsi="Calibri"/>
        </w:rPr>
      </w:pPr>
      <w:r w:rsidRPr="004161CA">
        <w:rPr>
          <w:rFonts w:ascii="Calibri" w:hAnsi="Calibri"/>
        </w:rPr>
        <w:lastRenderedPageBreak/>
        <w:t xml:space="preserve">Budget, </w:t>
      </w:r>
      <w:r w:rsidR="00D508FB" w:rsidRPr="004161CA">
        <w:rPr>
          <w:rFonts w:ascii="Calibri" w:hAnsi="Calibri"/>
        </w:rPr>
        <w:t>timescales,</w:t>
      </w:r>
      <w:r w:rsidRPr="004161CA">
        <w:rPr>
          <w:rFonts w:ascii="Calibri" w:hAnsi="Calibri"/>
        </w:rPr>
        <w:t xml:space="preserve"> and responsibilities</w:t>
      </w:r>
    </w:p>
    <w:p w14:paraId="7F68ED39" w14:textId="376E9437" w:rsidR="00DC5230" w:rsidRPr="00053C28" w:rsidRDefault="00E3480B" w:rsidP="00694131">
      <w:pPr>
        <w:rPr>
          <w:rFonts w:ascii="Calibri" w:hAnsi="Calibri" w:cs="Arial"/>
          <w:sz w:val="22"/>
          <w:szCs w:val="22"/>
          <w:lang w:eastAsia="en-GB"/>
        </w:rPr>
      </w:pPr>
      <w:r w:rsidRPr="00053C28">
        <w:rPr>
          <w:rFonts w:ascii="Calibri" w:hAnsi="Calibri" w:cs="Arial"/>
          <w:sz w:val="22"/>
          <w:szCs w:val="22"/>
          <w:lang w:eastAsia="en-GB"/>
        </w:rPr>
        <w:t>The budget for this work is up to</w:t>
      </w:r>
      <w:r w:rsidR="00C05403">
        <w:rPr>
          <w:rFonts w:ascii="Calibri" w:hAnsi="Calibri" w:cs="Arial"/>
          <w:sz w:val="22"/>
          <w:szCs w:val="22"/>
          <w:lang w:eastAsia="en-GB"/>
        </w:rPr>
        <w:t xml:space="preserve"> </w:t>
      </w:r>
      <w:r w:rsidR="007323C6">
        <w:rPr>
          <w:rFonts w:ascii="Calibri" w:hAnsi="Calibri" w:cs="Arial"/>
          <w:sz w:val="22"/>
          <w:szCs w:val="22"/>
          <w:lang w:eastAsia="en-GB"/>
        </w:rPr>
        <w:t xml:space="preserve">£75,000 for T1305-01 and £75,000 for </w:t>
      </w:r>
      <w:r w:rsidR="00D54FF2">
        <w:rPr>
          <w:rFonts w:ascii="Calibri" w:hAnsi="Calibri" w:cs="Arial"/>
          <w:sz w:val="22"/>
          <w:szCs w:val="22"/>
          <w:lang w:eastAsia="en-GB"/>
        </w:rPr>
        <w:t>T1305-02</w:t>
      </w:r>
      <w:r w:rsidR="002628DD" w:rsidRPr="00053C28">
        <w:rPr>
          <w:rFonts w:ascii="Calibri" w:hAnsi="Calibri" w:cs="Arial"/>
          <w:sz w:val="22"/>
          <w:szCs w:val="22"/>
          <w:lang w:eastAsia="en-GB"/>
        </w:rPr>
        <w:t>.</w:t>
      </w:r>
      <w:r w:rsidR="00694131" w:rsidRPr="00053C28">
        <w:rPr>
          <w:rFonts w:ascii="Calibri" w:hAnsi="Calibri" w:cs="Arial"/>
          <w:sz w:val="22"/>
          <w:szCs w:val="22"/>
          <w:lang w:eastAsia="en-GB"/>
        </w:rPr>
        <w:t xml:space="preserve"> </w:t>
      </w:r>
      <w:r w:rsidR="00DE4158" w:rsidRPr="00DE4158">
        <w:rPr>
          <w:rFonts w:ascii="Calibri" w:hAnsi="Calibri" w:cs="Arial"/>
          <w:sz w:val="22"/>
          <w:szCs w:val="22"/>
          <w:lang w:eastAsia="en-GB"/>
        </w:rPr>
        <w:t>The supplier should provide separate costings for work packages 1 and 2</w:t>
      </w:r>
      <w:r w:rsidR="00DE4158">
        <w:rPr>
          <w:rFonts w:ascii="Calibri" w:hAnsi="Calibri" w:cs="Arial"/>
          <w:sz w:val="22"/>
          <w:szCs w:val="22"/>
          <w:lang w:eastAsia="en-GB"/>
        </w:rPr>
        <w:t xml:space="preserve">. </w:t>
      </w:r>
      <w:r w:rsidR="00DC5230" w:rsidRPr="00053C28">
        <w:rPr>
          <w:rFonts w:ascii="Calibri" w:hAnsi="Calibri" w:cs="Arial"/>
          <w:sz w:val="22"/>
          <w:szCs w:val="22"/>
          <w:lang w:eastAsia="en-GB"/>
        </w:rPr>
        <w:t>If, whilst compiling a response, tenderers determine that it is not feasible to submit a quote to this budget but still wish to provide a response, they shall:</w:t>
      </w:r>
    </w:p>
    <w:p w14:paraId="1323821B" w14:textId="42C25E5E" w:rsidR="00DC5230" w:rsidRPr="00053C28" w:rsidRDefault="007F30D2" w:rsidP="00AA2069">
      <w:pPr>
        <w:pStyle w:val="ListParagraph"/>
        <w:numPr>
          <w:ilvl w:val="0"/>
          <w:numId w:val="29"/>
        </w:numPr>
        <w:rPr>
          <w:rFonts w:ascii="Calibri" w:hAnsi="Calibri" w:cs="Arial"/>
          <w:sz w:val="22"/>
          <w:szCs w:val="22"/>
          <w:lang w:eastAsia="en-GB"/>
        </w:rPr>
      </w:pPr>
      <w:r w:rsidRPr="00053C28">
        <w:rPr>
          <w:rFonts w:ascii="Calibri" w:hAnsi="Calibri" w:cs="Arial"/>
          <w:sz w:val="22"/>
          <w:szCs w:val="22"/>
          <w:lang w:eastAsia="en-GB"/>
        </w:rPr>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35AB0A4D" w14:textId="18A02CFD" w:rsidR="00EF7F13" w:rsidRPr="00053C28" w:rsidRDefault="00EF7F13" w:rsidP="00AA2069">
      <w:pPr>
        <w:pStyle w:val="ListParagraph"/>
        <w:numPr>
          <w:ilvl w:val="0"/>
          <w:numId w:val="29"/>
        </w:numPr>
        <w:rPr>
          <w:rFonts w:ascii="Calibri" w:hAnsi="Calibri" w:cs="Arial"/>
          <w:sz w:val="22"/>
          <w:szCs w:val="22"/>
          <w:lang w:eastAsia="en-GB"/>
        </w:rPr>
      </w:pPr>
      <w:r w:rsidRPr="00053C28">
        <w:rPr>
          <w:rFonts w:ascii="Calibri" w:hAnsi="Calibri" w:cs="Arial"/>
          <w:sz w:val="22"/>
          <w:szCs w:val="22"/>
          <w:lang w:eastAsia="en-GB"/>
        </w:rPr>
        <w:t xml:space="preserve">Provide a supporting explanation as to why an increase in budget is required to deliver the work to a good standard. </w:t>
      </w:r>
    </w:p>
    <w:p w14:paraId="429F87C9" w14:textId="30D328CF" w:rsidR="00694131" w:rsidRPr="00694131" w:rsidRDefault="00694131" w:rsidP="00694131">
      <w:pPr>
        <w:rPr>
          <w:rFonts w:ascii="Calibri" w:hAnsi="Calibri" w:cs="Arial"/>
          <w:sz w:val="22"/>
          <w:szCs w:val="22"/>
          <w:lang w:eastAsia="en-GB"/>
        </w:rPr>
      </w:pPr>
    </w:p>
    <w:p w14:paraId="7D29026E" w14:textId="764261DF" w:rsidR="00032803" w:rsidRDefault="0055621F" w:rsidP="00694131">
      <w:pPr>
        <w:rPr>
          <w:rFonts w:ascii="Calibri" w:hAnsi="Calibri" w:cs="Arial"/>
          <w:sz w:val="22"/>
          <w:szCs w:val="22"/>
          <w:lang w:eastAsia="en-GB"/>
        </w:rPr>
      </w:pPr>
      <w:r w:rsidRPr="209A9399">
        <w:rPr>
          <w:rFonts w:ascii="Calibri" w:hAnsi="Calibri" w:cs="Arial"/>
          <w:sz w:val="22"/>
          <w:szCs w:val="22"/>
          <w:lang w:eastAsia="en-GB"/>
        </w:rPr>
        <w:t xml:space="preserve">RSSB expects the work to start in </w:t>
      </w:r>
      <w:r w:rsidR="00E317C6" w:rsidRPr="209A9399">
        <w:rPr>
          <w:rFonts w:ascii="Calibri" w:hAnsi="Calibri" w:cs="Arial"/>
          <w:sz w:val="22"/>
          <w:szCs w:val="22"/>
          <w:lang w:eastAsia="en-GB"/>
        </w:rPr>
        <w:t>[Month]</w:t>
      </w:r>
      <w:r w:rsidRPr="209A9399">
        <w:rPr>
          <w:rFonts w:ascii="Calibri" w:hAnsi="Calibri" w:cs="Arial"/>
          <w:sz w:val="22"/>
          <w:szCs w:val="22"/>
          <w:lang w:eastAsia="en-GB"/>
        </w:rPr>
        <w:t xml:space="preserve"> </w:t>
      </w:r>
      <w:r w:rsidR="00E317C6" w:rsidRPr="209A9399">
        <w:rPr>
          <w:rFonts w:ascii="Calibri" w:hAnsi="Calibri" w:cs="Arial"/>
          <w:sz w:val="22"/>
          <w:szCs w:val="22"/>
          <w:lang w:eastAsia="en-GB"/>
        </w:rPr>
        <w:t>[20##]</w:t>
      </w:r>
      <w:r w:rsidR="00EF0FFB" w:rsidRPr="209A9399">
        <w:rPr>
          <w:rFonts w:ascii="Calibri" w:hAnsi="Calibri" w:cs="Arial"/>
          <w:sz w:val="22"/>
          <w:szCs w:val="22"/>
          <w:lang w:eastAsia="en-GB"/>
        </w:rPr>
        <w:t>,</w:t>
      </w:r>
      <w:r w:rsidRPr="209A9399">
        <w:rPr>
          <w:rFonts w:ascii="Calibri" w:hAnsi="Calibri" w:cs="Arial"/>
          <w:sz w:val="22"/>
          <w:szCs w:val="22"/>
          <w:lang w:eastAsia="en-GB"/>
        </w:rPr>
        <w:t xml:space="preserve"> </w:t>
      </w:r>
      <w:r w:rsidR="00EF0FFB" w:rsidRPr="209A9399">
        <w:rPr>
          <w:rFonts w:ascii="Calibri" w:hAnsi="Calibri" w:cs="Arial"/>
          <w:sz w:val="22"/>
          <w:szCs w:val="22"/>
          <w:lang w:eastAsia="en-GB"/>
        </w:rPr>
        <w:t>w</w:t>
      </w:r>
      <w:r w:rsidRPr="209A9399">
        <w:rPr>
          <w:rFonts w:ascii="Calibri" w:hAnsi="Calibri" w:cs="Arial"/>
          <w:sz w:val="22"/>
          <w:szCs w:val="22"/>
          <w:lang w:eastAsia="en-GB"/>
        </w:rPr>
        <w:t xml:space="preserve">e envisage this research to take less than </w:t>
      </w:r>
      <w:r w:rsidR="00E317C6" w:rsidRPr="209A9399">
        <w:rPr>
          <w:rFonts w:ascii="Calibri" w:hAnsi="Calibri" w:cs="Arial"/>
          <w:sz w:val="22"/>
          <w:szCs w:val="22"/>
          <w:lang w:eastAsia="en-GB"/>
        </w:rPr>
        <w:t>1</w:t>
      </w:r>
      <w:r w:rsidR="00ED2B7C">
        <w:rPr>
          <w:rFonts w:ascii="Calibri" w:hAnsi="Calibri" w:cs="Arial"/>
          <w:sz w:val="22"/>
          <w:szCs w:val="22"/>
          <w:lang w:eastAsia="en-GB"/>
        </w:rPr>
        <w:t>1</w:t>
      </w:r>
      <w:r w:rsidRPr="209A9399">
        <w:rPr>
          <w:rFonts w:ascii="Calibri" w:hAnsi="Calibri" w:cs="Arial"/>
          <w:sz w:val="22"/>
          <w:szCs w:val="22"/>
          <w:lang w:eastAsia="en-GB"/>
        </w:rPr>
        <w:t xml:space="preserve"> months to complete.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7096AC61" w14:textId="77777777" w:rsidR="00EE5BA5" w:rsidRPr="00694131" w:rsidRDefault="00EE5BA5" w:rsidP="00694131">
      <w:pPr>
        <w:rPr>
          <w:rFonts w:ascii="Calibri" w:hAnsi="Calibri" w:cs="Arial"/>
          <w:sz w:val="22"/>
          <w:szCs w:val="22"/>
          <w:lang w:eastAsia="en-GB"/>
        </w:rPr>
      </w:pPr>
    </w:p>
    <w:p w14:paraId="60CC24C2" w14:textId="7394A866" w:rsidR="00032803" w:rsidRPr="004161CA" w:rsidRDefault="00CA7DFA" w:rsidP="00AA2069">
      <w:pPr>
        <w:pStyle w:val="Heading10"/>
        <w:keepNext/>
        <w:numPr>
          <w:ilvl w:val="0"/>
          <w:numId w:val="40"/>
        </w:numPr>
        <w:ind w:left="426" w:hanging="426"/>
        <w:outlineLvl w:val="9"/>
        <w:rPr>
          <w:rFonts w:ascii="Calibri" w:hAnsi="Calibri"/>
        </w:rPr>
      </w:pPr>
      <w:r w:rsidRPr="001264DF">
        <w:rPr>
          <w:rFonts w:ascii="Calibri" w:hAnsi="Calibri"/>
        </w:rPr>
        <w:t xml:space="preserve"> </w:t>
      </w:r>
      <w:r w:rsidR="00032803" w:rsidRPr="004161CA">
        <w:rPr>
          <w:rFonts w:ascii="Calibri" w:hAnsi="Calibri"/>
        </w:rPr>
        <w:t xml:space="preserve">Critical success </w:t>
      </w:r>
      <w:r w:rsidR="00E3480B">
        <w:rPr>
          <w:rFonts w:ascii="Calibri" w:hAnsi="Calibri"/>
        </w:rPr>
        <w:t>criteria</w:t>
      </w:r>
      <w:r w:rsidR="00032803" w:rsidRPr="004161CA">
        <w:rPr>
          <w:rFonts w:ascii="Calibri" w:hAnsi="Calibri"/>
        </w:rPr>
        <w:t xml:space="preserve"> and risk management</w:t>
      </w:r>
    </w:p>
    <w:p w14:paraId="3D209798" w14:textId="77777777" w:rsidR="00EE5BA5" w:rsidRPr="00610B0B" w:rsidRDefault="00EE5BA5" w:rsidP="00EE5BA5">
      <w:pPr>
        <w:rPr>
          <w:rFonts w:ascii="Calibri" w:hAnsi="Calibri" w:cs="Arial"/>
          <w:sz w:val="22"/>
          <w:szCs w:val="22"/>
          <w:lang w:eastAsia="en-GB"/>
        </w:rPr>
      </w:pPr>
      <w:r w:rsidRPr="00610B0B">
        <w:rPr>
          <w:rFonts w:ascii="Calibri" w:hAnsi="Calibri" w:cs="Arial"/>
          <w:sz w:val="22"/>
          <w:szCs w:val="22"/>
          <w:lang w:eastAsia="en-GB"/>
        </w:rPr>
        <w:t>The followin</w:t>
      </w:r>
      <w:r>
        <w:rPr>
          <w:rFonts w:ascii="Calibri" w:hAnsi="Calibri" w:cs="Arial"/>
          <w:sz w:val="22"/>
          <w:szCs w:val="22"/>
          <w:lang w:eastAsia="en-GB"/>
        </w:rPr>
        <w:t>g critical success criteria</w:t>
      </w:r>
      <w:r w:rsidRPr="00610B0B">
        <w:rPr>
          <w:rFonts w:ascii="Calibri" w:hAnsi="Calibri" w:cs="Arial"/>
          <w:sz w:val="22"/>
          <w:szCs w:val="22"/>
          <w:lang w:eastAsia="en-GB"/>
        </w:rPr>
        <w:t xml:space="preserve"> have been identified to help ensure successful delivery and </w:t>
      </w:r>
      <w:r>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Pr>
          <w:rFonts w:ascii="Calibri" w:hAnsi="Calibri" w:cs="Arial"/>
          <w:sz w:val="22"/>
          <w:szCs w:val="22"/>
          <w:lang w:eastAsia="en-GB"/>
        </w:rPr>
        <w:t>:</w:t>
      </w:r>
    </w:p>
    <w:p w14:paraId="26647983" w14:textId="77777777" w:rsidR="00EE5BA5" w:rsidRDefault="00EE5BA5" w:rsidP="00AA2069">
      <w:pPr>
        <w:pStyle w:val="ListParagraph"/>
        <w:numPr>
          <w:ilvl w:val="0"/>
          <w:numId w:val="24"/>
        </w:numPr>
        <w:rPr>
          <w:rFonts w:asciiTheme="minorHAnsi" w:hAnsiTheme="minorHAnsi"/>
          <w:sz w:val="22"/>
          <w:szCs w:val="22"/>
        </w:rPr>
      </w:pPr>
      <w:r>
        <w:rPr>
          <w:rFonts w:asciiTheme="minorHAnsi" w:hAnsiTheme="minorHAnsi"/>
          <w:sz w:val="22"/>
          <w:szCs w:val="22"/>
        </w:rPr>
        <w:t>Assessment of a wide range of data sources</w:t>
      </w:r>
    </w:p>
    <w:p w14:paraId="77966184" w14:textId="77777777" w:rsidR="00EE5BA5" w:rsidRPr="00406F79" w:rsidRDefault="00EE5BA5" w:rsidP="00AA2069">
      <w:pPr>
        <w:pStyle w:val="ListParagraph"/>
        <w:numPr>
          <w:ilvl w:val="0"/>
          <w:numId w:val="24"/>
        </w:numPr>
        <w:rPr>
          <w:rFonts w:asciiTheme="minorHAnsi" w:hAnsiTheme="minorHAnsi"/>
          <w:sz w:val="20"/>
          <w:szCs w:val="22"/>
        </w:rPr>
      </w:pPr>
      <w:r>
        <w:rPr>
          <w:rFonts w:asciiTheme="minorHAnsi" w:hAnsiTheme="minorHAnsi"/>
          <w:sz w:val="22"/>
        </w:rPr>
        <w:t>Significant engagement with industry</w:t>
      </w:r>
    </w:p>
    <w:p w14:paraId="1B49B914" w14:textId="163D19F7" w:rsidR="00EE5BA5" w:rsidRPr="00B62A73" w:rsidRDefault="00EE5BA5" w:rsidP="00AA2069">
      <w:pPr>
        <w:pStyle w:val="ListParagraph"/>
        <w:numPr>
          <w:ilvl w:val="0"/>
          <w:numId w:val="24"/>
        </w:numPr>
        <w:rPr>
          <w:rFonts w:asciiTheme="minorHAnsi" w:hAnsiTheme="minorHAnsi"/>
          <w:sz w:val="20"/>
          <w:szCs w:val="22"/>
        </w:rPr>
      </w:pPr>
      <w:r>
        <w:rPr>
          <w:rFonts w:asciiTheme="minorHAnsi" w:hAnsiTheme="minorHAnsi"/>
          <w:sz w:val="22"/>
        </w:rPr>
        <w:t xml:space="preserve">Well targeted outputs, suitable for implementation by relevant </w:t>
      </w:r>
      <w:r w:rsidRPr="003B41A2">
        <w:rPr>
          <w:rFonts w:asciiTheme="minorHAnsi" w:hAnsiTheme="minorHAnsi"/>
          <w:sz w:val="22"/>
        </w:rPr>
        <w:t>senior operational practitioners</w:t>
      </w:r>
    </w:p>
    <w:p w14:paraId="1784EA5E" w14:textId="77777777" w:rsidR="00B62A73" w:rsidRDefault="00B62A73" w:rsidP="00B62A73">
      <w:pPr>
        <w:rPr>
          <w:rFonts w:asciiTheme="minorHAnsi" w:hAnsiTheme="minorHAnsi"/>
          <w:sz w:val="20"/>
          <w:szCs w:val="22"/>
        </w:rPr>
      </w:pPr>
    </w:p>
    <w:p w14:paraId="2EB0A39D" w14:textId="0E17F0BC" w:rsidR="00B62A73" w:rsidRDefault="000F24DE" w:rsidP="00AB6D7E">
      <w:pPr>
        <w:pStyle w:val="Body"/>
        <w:spacing w:after="0"/>
      </w:pPr>
      <w:r>
        <w:t>To deliver outputs that are implementable</w:t>
      </w:r>
      <w:r w:rsidR="00ED3AC5">
        <w:t xml:space="preserve">, it is critical that named individuals </w:t>
      </w:r>
      <w:r w:rsidR="009E1440">
        <w:t>in the supplier project team have the following demonstrable skills and knowledge</w:t>
      </w:r>
      <w:r w:rsidR="00846D14">
        <w:t>:</w:t>
      </w:r>
    </w:p>
    <w:p w14:paraId="0084F2A4" w14:textId="78EB0871" w:rsidR="00AB6D7E" w:rsidRDefault="00AB6D7E" w:rsidP="00AA2069">
      <w:pPr>
        <w:pStyle w:val="Body"/>
        <w:numPr>
          <w:ilvl w:val="0"/>
          <w:numId w:val="24"/>
        </w:numPr>
        <w:spacing w:after="0"/>
      </w:pPr>
      <w:r>
        <w:t xml:space="preserve">Understanding of how to enable cultural change </w:t>
      </w:r>
      <w:r w:rsidR="009E1440">
        <w:t>in GB rail</w:t>
      </w:r>
    </w:p>
    <w:p w14:paraId="075D1E40" w14:textId="77777777" w:rsidR="00AB6D7E" w:rsidRDefault="00AB6D7E" w:rsidP="00AA2069">
      <w:pPr>
        <w:pStyle w:val="Body"/>
        <w:numPr>
          <w:ilvl w:val="0"/>
          <w:numId w:val="24"/>
        </w:numPr>
        <w:spacing w:after="0"/>
      </w:pPr>
      <w:r>
        <w:t>Good understanding of train driving requirements including train driving polices</w:t>
      </w:r>
    </w:p>
    <w:p w14:paraId="1A5E3839" w14:textId="77777777" w:rsidR="00AB6D7E" w:rsidRDefault="00AB6D7E" w:rsidP="00AA2069">
      <w:pPr>
        <w:pStyle w:val="Body"/>
        <w:numPr>
          <w:ilvl w:val="0"/>
          <w:numId w:val="24"/>
        </w:numPr>
        <w:spacing w:after="0"/>
      </w:pPr>
      <w:r w:rsidRPr="000A49BD">
        <w:t>Good understanding of railway operations</w:t>
      </w:r>
      <w:r>
        <w:t xml:space="preserve"> with front-line experience</w:t>
      </w:r>
    </w:p>
    <w:p w14:paraId="2B9F9FD0" w14:textId="5E6B9A8E" w:rsidR="00AB6D7E" w:rsidRDefault="00AB6D7E" w:rsidP="00AA2069">
      <w:pPr>
        <w:pStyle w:val="Body"/>
        <w:numPr>
          <w:ilvl w:val="0"/>
          <w:numId w:val="24"/>
        </w:numPr>
        <w:spacing w:after="0"/>
      </w:pPr>
      <w:r>
        <w:t xml:space="preserve">Has experience with </w:t>
      </w:r>
      <w:r w:rsidR="005B04A2">
        <w:t>a Railway Undertaking (</w:t>
      </w:r>
      <w:r w:rsidR="00D508FB">
        <w:t>i.e.,</w:t>
      </w:r>
      <w:r w:rsidR="005B04A2">
        <w:t xml:space="preserve"> a TOC, FOC or </w:t>
      </w:r>
      <w:r w:rsidR="002B7128">
        <w:t>OTM)</w:t>
      </w:r>
    </w:p>
    <w:p w14:paraId="25C2BA21" w14:textId="77777777" w:rsidR="00AB6D7E" w:rsidRPr="000C7F2D" w:rsidRDefault="00AB6D7E" w:rsidP="00AA2069">
      <w:pPr>
        <w:pStyle w:val="Body"/>
        <w:numPr>
          <w:ilvl w:val="0"/>
          <w:numId w:val="24"/>
        </w:numPr>
        <w:spacing w:after="0"/>
      </w:pPr>
      <w:r w:rsidRPr="0074462B">
        <w:t>Good understanding</w:t>
      </w:r>
      <w:r>
        <w:t xml:space="preserve"> of train service</w:t>
      </w:r>
      <w:r w:rsidRPr="000A49BD">
        <w:t xml:space="preserve"> performance </w:t>
      </w:r>
      <w:r w:rsidRPr="000C7F2D">
        <w:t>management</w:t>
      </w:r>
      <w:r>
        <w:t xml:space="preserve"> </w:t>
      </w:r>
      <w:r w:rsidRPr="000C7F2D">
        <w:t>and systems</w:t>
      </w:r>
    </w:p>
    <w:p w14:paraId="3A6B51BA" w14:textId="77777777" w:rsidR="00AB6D7E" w:rsidRPr="000C7F2D" w:rsidRDefault="00AB6D7E" w:rsidP="00AA2069">
      <w:pPr>
        <w:pStyle w:val="Body"/>
        <w:numPr>
          <w:ilvl w:val="0"/>
          <w:numId w:val="24"/>
        </w:numPr>
        <w:spacing w:after="0"/>
      </w:pPr>
      <w:r>
        <w:t>Good understanding of s</w:t>
      </w:r>
      <w:r w:rsidRPr="000A49BD">
        <w:t>afety</w:t>
      </w:r>
      <w:r w:rsidRPr="000C7F2D">
        <w:t xml:space="preserve"> management and systems</w:t>
      </w:r>
    </w:p>
    <w:p w14:paraId="422B2493" w14:textId="77777777" w:rsidR="00AB6D7E" w:rsidRDefault="00AB6D7E" w:rsidP="00AA2069">
      <w:pPr>
        <w:pStyle w:val="Body"/>
        <w:numPr>
          <w:ilvl w:val="0"/>
          <w:numId w:val="24"/>
        </w:numPr>
        <w:spacing w:after="0"/>
      </w:pPr>
      <w:r>
        <w:t>Has a high enough standing within the industry to work with range of experienced staff</w:t>
      </w:r>
    </w:p>
    <w:p w14:paraId="0C26EF07" w14:textId="77777777" w:rsidR="00AB6D7E" w:rsidRDefault="00AB6D7E" w:rsidP="00AA2069">
      <w:pPr>
        <w:pStyle w:val="Body"/>
        <w:numPr>
          <w:ilvl w:val="0"/>
          <w:numId w:val="24"/>
        </w:numPr>
        <w:spacing w:after="0"/>
      </w:pPr>
      <w:r>
        <w:t>Understanding of project management processes</w:t>
      </w:r>
    </w:p>
    <w:p w14:paraId="4CAC87EE" w14:textId="77777777" w:rsidR="00AB6D7E" w:rsidRDefault="00AB6D7E" w:rsidP="00AA2069">
      <w:pPr>
        <w:pStyle w:val="Body"/>
        <w:numPr>
          <w:ilvl w:val="0"/>
          <w:numId w:val="24"/>
        </w:numPr>
        <w:spacing w:after="0"/>
      </w:pPr>
      <w:r>
        <w:t>Ability to communicate well verbally and in writing</w:t>
      </w:r>
    </w:p>
    <w:p w14:paraId="7589582C" w14:textId="77777777" w:rsidR="00B62A73" w:rsidRDefault="00B62A73" w:rsidP="00B62A73">
      <w:pPr>
        <w:rPr>
          <w:rFonts w:asciiTheme="minorHAnsi" w:hAnsiTheme="minorHAnsi"/>
          <w:sz w:val="20"/>
          <w:szCs w:val="22"/>
        </w:rPr>
      </w:pPr>
    </w:p>
    <w:p w14:paraId="086AA38E" w14:textId="77777777" w:rsidR="00B62A73" w:rsidRPr="00B62A73" w:rsidRDefault="00B62A73" w:rsidP="00B62A73">
      <w:pPr>
        <w:rPr>
          <w:rFonts w:asciiTheme="minorHAnsi" w:hAnsiTheme="minorHAnsi"/>
          <w:sz w:val="20"/>
          <w:szCs w:val="22"/>
        </w:rPr>
      </w:pPr>
    </w:p>
    <w:p w14:paraId="764DE544" w14:textId="77777777" w:rsidR="00EE5BA5" w:rsidRPr="000545C4" w:rsidRDefault="00EE5BA5" w:rsidP="00EE5BA5">
      <w:pPr>
        <w:rPr>
          <w:rFonts w:ascii="Calibri" w:hAnsi="Calibri" w:cs="Arial"/>
          <w:sz w:val="22"/>
          <w:szCs w:val="22"/>
          <w:lang w:eastAsia="en-GB"/>
        </w:rPr>
      </w:pPr>
      <w:r w:rsidRPr="000545C4">
        <w:rPr>
          <w:rFonts w:ascii="Calibri" w:hAnsi="Calibri" w:cs="Arial"/>
          <w:sz w:val="22"/>
          <w:szCs w:val="22"/>
          <w:lang w:eastAsia="en-GB"/>
        </w:rPr>
        <w:lastRenderedPageBreak/>
        <w:t xml:space="preserve">The </w:t>
      </w:r>
      <w:r>
        <w:rPr>
          <w:rFonts w:ascii="Calibri" w:hAnsi="Calibri" w:cs="Arial"/>
          <w:sz w:val="22"/>
          <w:szCs w:val="22"/>
          <w:lang w:eastAsia="en-GB"/>
        </w:rPr>
        <w:t>following initial risks have been identified to highlight where the project may encounter issues during delivery, the supplier will be expected to propose approaches to mitigate these risks and any others they perceive:</w:t>
      </w:r>
    </w:p>
    <w:p w14:paraId="256159F7" w14:textId="02DE9611" w:rsidR="00EE5BA5" w:rsidRDefault="00EE5BA5" w:rsidP="00AA2069">
      <w:pPr>
        <w:pStyle w:val="ListParagraph"/>
        <w:numPr>
          <w:ilvl w:val="0"/>
          <w:numId w:val="24"/>
        </w:numPr>
        <w:rPr>
          <w:rFonts w:asciiTheme="minorHAnsi" w:hAnsiTheme="minorHAnsi"/>
          <w:sz w:val="22"/>
          <w:szCs w:val="22"/>
        </w:rPr>
      </w:pPr>
      <w:r>
        <w:rPr>
          <w:rFonts w:asciiTheme="minorHAnsi" w:hAnsiTheme="minorHAnsi"/>
          <w:sz w:val="22"/>
          <w:szCs w:val="22"/>
        </w:rPr>
        <w:t>Access to key stakeholders may be additionally challenging due to post-COVID-19 resource constrain</w:t>
      </w:r>
      <w:r w:rsidR="005C0C5A">
        <w:rPr>
          <w:rFonts w:asciiTheme="minorHAnsi" w:hAnsiTheme="minorHAnsi"/>
          <w:sz w:val="22"/>
          <w:szCs w:val="22"/>
        </w:rPr>
        <w:t>t</w:t>
      </w:r>
      <w:r>
        <w:rPr>
          <w:rFonts w:asciiTheme="minorHAnsi" w:hAnsiTheme="minorHAnsi"/>
          <w:sz w:val="22"/>
          <w:szCs w:val="22"/>
        </w:rPr>
        <w:t>s</w:t>
      </w:r>
    </w:p>
    <w:p w14:paraId="25DC3B46" w14:textId="664CA074" w:rsidR="00BF1853" w:rsidRPr="00EE5BA5" w:rsidRDefault="00EE5BA5" w:rsidP="209A9399">
      <w:pPr>
        <w:pStyle w:val="ListParagraph"/>
        <w:keepNext/>
        <w:numPr>
          <w:ilvl w:val="0"/>
          <w:numId w:val="24"/>
        </w:numPr>
        <w:rPr>
          <w:rFonts w:ascii="Calibri" w:hAnsi="Calibri" w:cs="Arial"/>
          <w:sz w:val="22"/>
          <w:szCs w:val="22"/>
          <w:lang w:eastAsia="en-GB"/>
        </w:rPr>
      </w:pPr>
      <w:r w:rsidRPr="209A9399">
        <w:rPr>
          <w:rFonts w:asciiTheme="minorHAnsi" w:hAnsiTheme="minorHAnsi"/>
          <w:sz w:val="22"/>
          <w:szCs w:val="22"/>
        </w:rPr>
        <w:t>Lack of buy in among senior rail leadership</w:t>
      </w:r>
    </w:p>
    <w:p w14:paraId="614378D4" w14:textId="40D9FDB0" w:rsidR="209A9399" w:rsidRDefault="209A9399" w:rsidP="209A9399">
      <w:pPr>
        <w:pStyle w:val="ListParagraph"/>
        <w:keepNext/>
        <w:numPr>
          <w:ilvl w:val="0"/>
          <w:numId w:val="24"/>
        </w:numPr>
        <w:rPr>
          <w:rFonts w:asciiTheme="minorHAnsi" w:hAnsiTheme="minorHAnsi" w:cs="Arial"/>
          <w:sz w:val="22"/>
          <w:szCs w:val="22"/>
          <w:lang w:eastAsia="en-GB"/>
        </w:rPr>
        <w:sectPr w:rsidR="209A9399" w:rsidSect="00D65B95">
          <w:pgSz w:w="11906" w:h="16838"/>
          <w:pgMar w:top="1985" w:right="1985" w:bottom="1985" w:left="1985" w:header="567" w:footer="567" w:gutter="0"/>
          <w:cols w:space="708"/>
          <w:docGrid w:linePitch="360"/>
        </w:sectPr>
      </w:pPr>
      <w:r w:rsidRPr="209A9399">
        <w:rPr>
          <w:rFonts w:asciiTheme="minorHAnsi" w:hAnsiTheme="minorHAnsi" w:cs="Arial"/>
          <w:sz w:val="22"/>
          <w:szCs w:val="22"/>
          <w:lang w:eastAsia="en-GB"/>
        </w:rPr>
        <w:t>Lack of buy in from Trade Unions</w:t>
      </w:r>
    </w:p>
    <w:p w14:paraId="59FCA981" w14:textId="19A2ECDF" w:rsidR="007808E9" w:rsidRPr="00152BBC" w:rsidRDefault="00032803" w:rsidP="00AA2069">
      <w:pPr>
        <w:pStyle w:val="Heading10"/>
        <w:keepNext/>
        <w:numPr>
          <w:ilvl w:val="0"/>
          <w:numId w:val="40"/>
        </w:numPr>
        <w:ind w:left="426" w:hanging="426"/>
        <w:outlineLvl w:val="9"/>
        <w:rPr>
          <w:rFonts w:ascii="Calibri" w:hAnsi="Calibri"/>
        </w:rPr>
      </w:pPr>
      <w:r w:rsidRPr="002A7F4D">
        <w:rPr>
          <w:rFonts w:ascii="Calibri" w:hAnsi="Calibri"/>
        </w:rPr>
        <w:lastRenderedPageBreak/>
        <w:t>Selection and award criteria</w:t>
      </w:r>
    </w:p>
    <w:p w14:paraId="5CDE70B4" w14:textId="33FE46DF" w:rsidR="00520FC4" w:rsidRPr="00BD375D" w:rsidRDefault="00520FC4" w:rsidP="00520FC4">
      <w:pPr>
        <w:pStyle w:val="Heading30"/>
        <w:rPr>
          <w:b/>
          <w:color w:val="auto"/>
          <w:sz w:val="20"/>
          <w:szCs w:val="20"/>
        </w:rPr>
      </w:pPr>
      <w:r w:rsidRPr="00BD375D">
        <w:rPr>
          <w:b/>
          <w:color w:val="auto"/>
          <w:sz w:val="20"/>
          <w:szCs w:val="20"/>
        </w:rPr>
        <w:t>Tenderer refers to the organisation, or organisations that are part of this tender, and experience can be drawn from across any involved party.</w:t>
      </w:r>
      <w:r w:rsidR="00BD375D">
        <w:rPr>
          <w:b/>
          <w:color w:val="auto"/>
          <w:sz w:val="20"/>
          <w:szCs w:val="20"/>
        </w:rPr>
        <w:t xml:space="preserve"> </w:t>
      </w:r>
      <w:r w:rsidRPr="00BD375D">
        <w:rPr>
          <w:b/>
          <w:color w:val="auto"/>
          <w:sz w:val="20"/>
          <w:szCs w:val="20"/>
        </w:rPr>
        <w:t>Tenderers must carefully read the selection criteria in order to address EACH requirement. Tenderers shall fail the selection criteria unless they address EACH requirement, tenderers that fail the selection criteria will not have their award criteria evaluated. The stated limit on the length of each response must be adhered to. Responses will only be evaluated within the stated length limit, any response exceeding the stated limit will be disregarded beyond that limit.</w:t>
      </w:r>
    </w:p>
    <w:p w14:paraId="326CBE00" w14:textId="2A9CCFD9" w:rsidR="00EC673A" w:rsidRPr="00EC673A" w:rsidRDefault="00EC673A" w:rsidP="00520FC4">
      <w:pPr>
        <w:pStyle w:val="Heading30"/>
        <w:rPr>
          <w:sz w:val="28"/>
          <w:szCs w:val="28"/>
        </w:rPr>
      </w:pPr>
      <w:r>
        <w:rPr>
          <w:sz w:val="28"/>
          <w:szCs w:val="28"/>
        </w:rPr>
        <w:t>Selection criteria</w:t>
      </w:r>
    </w:p>
    <w:tbl>
      <w:tblPr>
        <w:tblStyle w:val="TableGrid"/>
        <w:tblW w:w="533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11482"/>
      </w:tblGrid>
      <w:tr w:rsidR="00202FFE" w:rsidRPr="00EC673A" w14:paraId="025E5068" w14:textId="77777777" w:rsidTr="00202FFE">
        <w:trPr>
          <w:trHeight w:val="876"/>
          <w:tblHeader/>
        </w:trPr>
        <w:tc>
          <w:tcPr>
            <w:tcW w:w="1106" w:type="pct"/>
            <w:tcBorders>
              <w:top w:val="single" w:sz="4" w:space="0" w:color="auto"/>
              <w:left w:val="single" w:sz="4" w:space="0" w:color="auto"/>
              <w:bottom w:val="single" w:sz="4" w:space="0" w:color="auto"/>
              <w:right w:val="single" w:sz="4" w:space="0" w:color="auto"/>
            </w:tcBorders>
          </w:tcPr>
          <w:p w14:paraId="10C1D31B" w14:textId="77777777" w:rsidR="00202FFE" w:rsidRPr="00EC673A" w:rsidRDefault="00202FFE" w:rsidP="00875261">
            <w:pPr>
              <w:spacing w:after="120" w:line="300" w:lineRule="exact"/>
              <w:jc w:val="both"/>
              <w:rPr>
                <w:rFonts w:asciiTheme="minorHAnsi" w:hAnsiTheme="minorHAnsi" w:cstheme="minorHAnsi"/>
                <w:b/>
                <w:sz w:val="22"/>
                <w:szCs w:val="22"/>
              </w:rPr>
            </w:pPr>
            <w:r w:rsidRPr="00EC673A">
              <w:rPr>
                <w:rFonts w:asciiTheme="minorHAnsi" w:hAnsiTheme="minorHAnsi" w:cstheme="minorHAnsi"/>
                <w:b/>
                <w:sz w:val="22"/>
                <w:szCs w:val="22"/>
              </w:rPr>
              <w:lastRenderedPageBreak/>
              <w:t>Selection criteria</w:t>
            </w:r>
          </w:p>
        </w:tc>
        <w:tc>
          <w:tcPr>
            <w:tcW w:w="3894" w:type="pct"/>
            <w:tcBorders>
              <w:top w:val="single" w:sz="4" w:space="0" w:color="auto"/>
              <w:left w:val="single" w:sz="4" w:space="0" w:color="auto"/>
              <w:bottom w:val="single" w:sz="4" w:space="0" w:color="auto"/>
              <w:right w:val="single" w:sz="4" w:space="0" w:color="auto"/>
            </w:tcBorders>
          </w:tcPr>
          <w:p w14:paraId="76CC62C2" w14:textId="442C6C73" w:rsidR="00202FFE" w:rsidRPr="00EC673A" w:rsidRDefault="00202FFE" w:rsidP="00875261">
            <w:pPr>
              <w:spacing w:after="120" w:line="300" w:lineRule="exact"/>
              <w:rPr>
                <w:rFonts w:asciiTheme="minorHAnsi" w:hAnsiTheme="minorHAnsi" w:cstheme="minorHAnsi"/>
                <w:b/>
                <w:sz w:val="22"/>
                <w:szCs w:val="22"/>
              </w:rPr>
            </w:pPr>
            <w:r w:rsidRPr="00EC673A">
              <w:rPr>
                <w:rFonts w:asciiTheme="minorHAnsi" w:hAnsiTheme="minorHAnsi" w:cstheme="minorHAnsi"/>
                <w:b/>
                <w:sz w:val="22"/>
                <w:szCs w:val="22"/>
              </w:rPr>
              <w:t>Detail</w:t>
            </w:r>
            <w:r>
              <w:rPr>
                <w:rFonts w:asciiTheme="minorHAnsi" w:hAnsiTheme="minorHAnsi" w:cstheme="minorHAnsi"/>
                <w:b/>
                <w:sz w:val="22"/>
                <w:szCs w:val="22"/>
              </w:rPr>
              <w:t xml:space="preserve"> and Evaluation Criteria</w:t>
            </w:r>
          </w:p>
        </w:tc>
      </w:tr>
      <w:tr w:rsidR="001E1A5D" w:rsidRPr="00F545BB" w14:paraId="27B2FD57" w14:textId="77777777" w:rsidTr="00DC3FBC">
        <w:trPr>
          <w:trHeight w:val="724"/>
          <w:tblHeader/>
        </w:trPr>
        <w:tc>
          <w:tcPr>
            <w:tcW w:w="1106" w:type="pct"/>
            <w:tcBorders>
              <w:top w:val="single" w:sz="4" w:space="0" w:color="auto"/>
              <w:left w:val="single" w:sz="4" w:space="0" w:color="auto"/>
              <w:bottom w:val="single" w:sz="4" w:space="0" w:color="auto"/>
              <w:right w:val="single" w:sz="4" w:space="0" w:color="auto"/>
            </w:tcBorders>
          </w:tcPr>
          <w:p w14:paraId="34E2BB84"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b/>
                <w:sz w:val="20"/>
                <w:szCs w:val="20"/>
              </w:rPr>
              <w:t>S1</w:t>
            </w:r>
            <w:r w:rsidRPr="00F545BB">
              <w:rPr>
                <w:rFonts w:asciiTheme="minorHAnsi" w:hAnsiTheme="minorHAnsi" w:cstheme="minorHAnsi"/>
                <w:sz w:val="20"/>
                <w:szCs w:val="20"/>
              </w:rPr>
              <w:t xml:space="preserve"> Tenderer’s organisational expertise in train driving activities</w:t>
            </w:r>
          </w:p>
          <w:p w14:paraId="79408F24"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[Total 1 page for all examples]</w:t>
            </w:r>
          </w:p>
        </w:tc>
        <w:tc>
          <w:tcPr>
            <w:tcW w:w="3894" w:type="pct"/>
            <w:tcBorders>
              <w:top w:val="single" w:sz="4" w:space="0" w:color="auto"/>
              <w:left w:val="single" w:sz="4" w:space="0" w:color="auto"/>
              <w:bottom w:val="single" w:sz="4" w:space="0" w:color="auto"/>
              <w:right w:val="single" w:sz="4" w:space="0" w:color="auto"/>
            </w:tcBorders>
          </w:tcPr>
          <w:p w14:paraId="3CC05043"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The tenderer shall provide a short description of at least two completed examples within the past five years that focused on train driving activities (for instance, policies, training, investigations, etc) </w:t>
            </w:r>
          </w:p>
          <w:p w14:paraId="38D401AB"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For clarification, a ‘completed example’ refers to work specifically completed by the tenderer. If the completed work forms part of a larger activity (involving other organisations), the overall activity does not need to have been completed.</w:t>
            </w:r>
          </w:p>
          <w:p w14:paraId="3850C31B"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In order to </w:t>
            </w:r>
            <w:r w:rsidRPr="00F545BB">
              <w:rPr>
                <w:rFonts w:asciiTheme="minorHAnsi" w:hAnsiTheme="minorHAnsi" w:cstheme="minorHAnsi"/>
                <w:color w:val="00B050"/>
                <w:sz w:val="20"/>
                <w:szCs w:val="20"/>
              </w:rPr>
              <w:t>pass</w:t>
            </w:r>
            <w:r w:rsidRPr="00F545BB">
              <w:rPr>
                <w:rFonts w:asciiTheme="minorHAnsi" w:hAnsiTheme="minorHAnsi" w:cstheme="minorHAnsi"/>
                <w:sz w:val="20"/>
                <w:szCs w:val="20"/>
              </w:rPr>
              <w:t xml:space="preserve"> the selection criteria, the tenderer’s response must address the above and:</w:t>
            </w:r>
          </w:p>
          <w:p w14:paraId="0D59AF50"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Demonstrate a track record of successfully delivering work focused on train driving activities</w:t>
            </w:r>
          </w:p>
          <w:p w14:paraId="44A754FF"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Give RSSB full confidence in the tenderer’s expertise on train driving activities </w:t>
            </w:r>
          </w:p>
          <w:p w14:paraId="627498AC"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The tenderer shall </w:t>
            </w:r>
            <w:r w:rsidRPr="00F545BB">
              <w:rPr>
                <w:rFonts w:asciiTheme="minorHAnsi" w:hAnsiTheme="minorHAnsi" w:cstheme="minorHAnsi"/>
                <w:color w:val="FF0000"/>
                <w:sz w:val="20"/>
                <w:szCs w:val="20"/>
              </w:rPr>
              <w:t>fail</w:t>
            </w:r>
            <w:r w:rsidRPr="00F545BB">
              <w:rPr>
                <w:rFonts w:asciiTheme="minorHAnsi" w:hAnsiTheme="minorHAnsi" w:cstheme="minorHAnsi"/>
                <w:sz w:val="20"/>
                <w:szCs w:val="20"/>
              </w:rPr>
              <w:t xml:space="preserve"> the selection criteria if it either fails to provide a short description of at least two completed examples within the past five years that focused on train driving activities; or the provided example fails to achieve ANY of the following:</w:t>
            </w:r>
          </w:p>
          <w:p w14:paraId="2E11D6C0"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Demonstrate a track record of successfully delivering work focused on train driving activities</w:t>
            </w:r>
          </w:p>
          <w:p w14:paraId="7D685C89"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Give RSSB full confidence in the tenderer’s expertise on train driving activities </w:t>
            </w:r>
          </w:p>
        </w:tc>
      </w:tr>
      <w:tr w:rsidR="001E1A5D" w:rsidRPr="00F545BB" w14:paraId="13C7A4BD" w14:textId="77777777" w:rsidTr="00DC3FBC">
        <w:trPr>
          <w:trHeight w:val="724"/>
          <w:tblHeader/>
        </w:trPr>
        <w:tc>
          <w:tcPr>
            <w:tcW w:w="1106" w:type="pct"/>
            <w:tcBorders>
              <w:top w:val="single" w:sz="4" w:space="0" w:color="auto"/>
              <w:left w:val="single" w:sz="4" w:space="0" w:color="auto"/>
              <w:bottom w:val="single" w:sz="4" w:space="0" w:color="auto"/>
              <w:right w:val="single" w:sz="4" w:space="0" w:color="auto"/>
            </w:tcBorders>
          </w:tcPr>
          <w:p w14:paraId="18ADB8F7"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b/>
                <w:sz w:val="20"/>
                <w:szCs w:val="20"/>
              </w:rPr>
              <w:t>S2</w:t>
            </w:r>
            <w:r w:rsidRPr="00F545BB">
              <w:rPr>
                <w:rFonts w:asciiTheme="minorHAnsi" w:hAnsiTheme="minorHAnsi" w:cstheme="minorHAnsi"/>
                <w:sz w:val="20"/>
                <w:szCs w:val="20"/>
              </w:rPr>
              <w:t xml:space="preserve"> Tenderer’s organisational expertise in rolling stock</w:t>
            </w:r>
          </w:p>
          <w:p w14:paraId="5B9DA4B6" w14:textId="77777777" w:rsidR="001E1A5D" w:rsidRPr="00F545BB" w:rsidRDefault="001E1A5D" w:rsidP="00176477">
            <w:pPr>
              <w:spacing w:after="60" w:line="200" w:lineRule="exact"/>
              <w:rPr>
                <w:rFonts w:asciiTheme="minorHAnsi" w:hAnsiTheme="minorHAnsi" w:cstheme="minorHAnsi"/>
                <w:b/>
                <w:sz w:val="20"/>
                <w:szCs w:val="20"/>
              </w:rPr>
            </w:pPr>
            <w:r w:rsidRPr="00F545BB">
              <w:rPr>
                <w:rFonts w:asciiTheme="minorHAnsi" w:hAnsiTheme="minorHAnsi" w:cstheme="minorHAnsi"/>
                <w:sz w:val="20"/>
                <w:szCs w:val="20"/>
              </w:rPr>
              <w:t>[Total 1 page for all examples]</w:t>
            </w:r>
          </w:p>
        </w:tc>
        <w:tc>
          <w:tcPr>
            <w:tcW w:w="3894" w:type="pct"/>
            <w:tcBorders>
              <w:top w:val="single" w:sz="4" w:space="0" w:color="auto"/>
              <w:left w:val="single" w:sz="4" w:space="0" w:color="auto"/>
              <w:bottom w:val="single" w:sz="4" w:space="0" w:color="auto"/>
              <w:right w:val="single" w:sz="4" w:space="0" w:color="auto"/>
            </w:tcBorders>
          </w:tcPr>
          <w:p w14:paraId="49C4B0CF"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The tenderer shall provide a short description of at least one completed example within the past five years that focused on rolling stock (for instance, braking, WSP, sanding systems, etc) </w:t>
            </w:r>
          </w:p>
          <w:p w14:paraId="19BFD51C"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For clarification, a ‘completed example’ refers to work specifically completed by the tenderer. If the completed work forms part of a larger activity (involving other organisations), the overall activity does not need to have been completed.</w:t>
            </w:r>
          </w:p>
          <w:p w14:paraId="6F5F59D4"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In order to </w:t>
            </w:r>
            <w:r w:rsidRPr="00F545BB">
              <w:rPr>
                <w:rFonts w:asciiTheme="minorHAnsi" w:hAnsiTheme="minorHAnsi" w:cstheme="minorHAnsi"/>
                <w:color w:val="00B050"/>
                <w:sz w:val="20"/>
                <w:szCs w:val="20"/>
              </w:rPr>
              <w:t>pass</w:t>
            </w:r>
            <w:r w:rsidRPr="00F545BB">
              <w:rPr>
                <w:rFonts w:asciiTheme="minorHAnsi" w:hAnsiTheme="minorHAnsi" w:cstheme="minorHAnsi"/>
                <w:sz w:val="20"/>
                <w:szCs w:val="20"/>
              </w:rPr>
              <w:t xml:space="preserve"> the selection criteria, the tenderer’s response must address the above and:</w:t>
            </w:r>
          </w:p>
          <w:p w14:paraId="3805FEDF"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Demonstrate a track record of successfully delivering work focused on rolling stock</w:t>
            </w:r>
          </w:p>
          <w:p w14:paraId="590F775E"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Give RSSB full confidence in the tenderer’s expertise on rolling stock </w:t>
            </w:r>
          </w:p>
          <w:p w14:paraId="4163407E" w14:textId="77777777" w:rsidR="001E1A5D" w:rsidRPr="00F545BB" w:rsidRDefault="001E1A5D" w:rsidP="00176477">
            <w:p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The tenderer shall </w:t>
            </w:r>
            <w:r w:rsidRPr="00F545BB">
              <w:rPr>
                <w:rFonts w:asciiTheme="minorHAnsi" w:hAnsiTheme="minorHAnsi" w:cstheme="minorHAnsi"/>
                <w:color w:val="FF0000"/>
                <w:sz w:val="20"/>
                <w:szCs w:val="20"/>
              </w:rPr>
              <w:t>fail</w:t>
            </w:r>
            <w:r w:rsidRPr="00F545BB">
              <w:rPr>
                <w:rFonts w:asciiTheme="minorHAnsi" w:hAnsiTheme="minorHAnsi" w:cstheme="minorHAnsi"/>
                <w:sz w:val="20"/>
                <w:szCs w:val="20"/>
              </w:rPr>
              <w:t xml:space="preserve"> the selection criteria if it either fails to provide a short description of at least one completed example within the past five years that focused on rolling stock; or the provided example fails to achieve ANY of the following:</w:t>
            </w:r>
          </w:p>
          <w:p w14:paraId="17ADF878"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Demonstrate a track record of successfully delivering work focused on rolling stock</w:t>
            </w:r>
          </w:p>
          <w:p w14:paraId="0821CD24" w14:textId="77777777" w:rsidR="001E1A5D" w:rsidRPr="00F545BB" w:rsidRDefault="001E1A5D" w:rsidP="00AA2069">
            <w:pPr>
              <w:pStyle w:val="ListParagraph"/>
              <w:numPr>
                <w:ilvl w:val="0"/>
                <w:numId w:val="38"/>
              </w:numPr>
              <w:spacing w:after="60" w:line="200" w:lineRule="exact"/>
              <w:rPr>
                <w:rFonts w:asciiTheme="minorHAnsi" w:hAnsiTheme="minorHAnsi" w:cstheme="minorHAnsi"/>
                <w:sz w:val="20"/>
                <w:szCs w:val="20"/>
              </w:rPr>
            </w:pPr>
            <w:r w:rsidRPr="00F545BB">
              <w:rPr>
                <w:rFonts w:asciiTheme="minorHAnsi" w:hAnsiTheme="minorHAnsi" w:cstheme="minorHAnsi"/>
                <w:sz w:val="20"/>
                <w:szCs w:val="20"/>
              </w:rPr>
              <w:t xml:space="preserve">Give RSSB full confidence in the tenderer’s expertise on rolling stock </w:t>
            </w:r>
          </w:p>
        </w:tc>
      </w:tr>
    </w:tbl>
    <w:p w14:paraId="6AEDED4F" w14:textId="35180C04" w:rsidR="00E772E5" w:rsidRDefault="00E772E5" w:rsidP="00D65903">
      <w:pPr>
        <w:rPr>
          <w:rStyle w:val="CommentReference"/>
          <w:rFonts w:eastAsia="Arial"/>
          <w:lang w:val="x-none"/>
        </w:rPr>
      </w:pPr>
    </w:p>
    <w:p w14:paraId="172D6B25" w14:textId="77777777" w:rsidR="00382426" w:rsidRDefault="00382426" w:rsidP="00D65903">
      <w:pPr>
        <w:rPr>
          <w:rStyle w:val="CommentReference"/>
          <w:rFonts w:eastAsia="Arial"/>
          <w:lang w:val="x-none"/>
        </w:rPr>
        <w:sectPr w:rsidR="00382426" w:rsidSect="00FB4F82">
          <w:pgSz w:w="16838" w:h="11906" w:orient="landscape"/>
          <w:pgMar w:top="1800" w:right="1440" w:bottom="1800" w:left="1560" w:header="708" w:footer="708" w:gutter="0"/>
          <w:cols w:space="720"/>
          <w:docGrid w:linePitch="326"/>
        </w:sectPr>
      </w:pPr>
    </w:p>
    <w:p w14:paraId="2620D2C1" w14:textId="77777777" w:rsidR="00E772E5" w:rsidRPr="00E772E5" w:rsidRDefault="00E772E5" w:rsidP="00E772E5">
      <w:pPr>
        <w:pStyle w:val="Heading30"/>
        <w:rPr>
          <w:sz w:val="28"/>
          <w:szCs w:val="28"/>
        </w:rPr>
      </w:pPr>
      <w:r w:rsidRPr="00E772E5">
        <w:rPr>
          <w:sz w:val="28"/>
          <w:szCs w:val="28"/>
        </w:rPr>
        <w:lastRenderedPageBreak/>
        <w:t>Award criteria scoring</w:t>
      </w:r>
    </w:p>
    <w:p w14:paraId="54420A42" w14:textId="03ECC7DD" w:rsidR="00E772E5" w:rsidRPr="00354CC4" w:rsidRDefault="00E772E5" w:rsidP="00E772E5">
      <w:pPr>
        <w:pStyle w:val="Body"/>
        <w:rPr>
          <w:rFonts w:eastAsiaTheme="minorHAnsi"/>
        </w:rPr>
      </w:pPr>
      <w:r w:rsidRPr="00E478F2">
        <w:rPr>
          <w:rFonts w:eastAsiaTheme="minorHAnsi"/>
        </w:rPr>
        <w:t xml:space="preserve">Each of the criteria set out in the weighted award criteria are scored 0-5. The below </w:t>
      </w:r>
      <w:r w:rsidR="00D508FB" w:rsidRPr="00E478F2">
        <w:rPr>
          <w:rFonts w:eastAsiaTheme="minorHAnsi"/>
        </w:rPr>
        <w:t>explains</w:t>
      </w:r>
      <w:r w:rsidRPr="00E478F2">
        <w:rPr>
          <w:rFonts w:eastAsiaTheme="minorHAnsi"/>
        </w:rPr>
        <w:t xml:space="preserve"> the scoring system used</w:t>
      </w:r>
      <w:r>
        <w:rPr>
          <w:rFonts w:eastAsiaTheme="minorHAnsi"/>
        </w:rPr>
        <w:t>:</w:t>
      </w:r>
    </w:p>
    <w:tbl>
      <w:tblPr>
        <w:tblW w:w="5513" w:type="pct"/>
        <w:jc w:val="center"/>
        <w:tblCellMar>
          <w:left w:w="0" w:type="dxa"/>
          <w:right w:w="0" w:type="dxa"/>
        </w:tblCellMar>
        <w:tblLook w:val="04A0" w:firstRow="1" w:lastRow="0" w:firstColumn="1" w:lastColumn="0" w:noHBand="0" w:noVBand="1"/>
      </w:tblPr>
      <w:tblGrid>
        <w:gridCol w:w="1457"/>
        <w:gridCol w:w="13779"/>
      </w:tblGrid>
      <w:tr w:rsidR="00E772E5" w:rsidRPr="00354CC4" w14:paraId="33625BF5" w14:textId="77777777" w:rsidTr="005D21E3">
        <w:trPr>
          <w:trHeight w:val="70"/>
          <w:jc w:val="center"/>
        </w:trPr>
        <w:tc>
          <w:tcPr>
            <w:tcW w:w="47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4905F25"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Grade</w:t>
            </w:r>
          </w:p>
        </w:tc>
        <w:tc>
          <w:tcPr>
            <w:tcW w:w="452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9EC7C3"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Definition of grade</w:t>
            </w:r>
          </w:p>
        </w:tc>
      </w:tr>
      <w:tr w:rsidR="00E772E5" w:rsidRPr="00354CC4" w14:paraId="7E4C53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6E90DB"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5</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FB80D02"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Excellent Tender Response that (where applicable):</w:t>
            </w:r>
          </w:p>
          <w:p w14:paraId="42D7CB56"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all aspects of the question in an informed and comprehensive manner; </w:t>
            </w:r>
          </w:p>
          <w:p w14:paraId="6BA07243"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Demonstrates a thorough understanding of what is being asked for;</w:t>
            </w:r>
          </w:p>
          <w:p w14:paraId="054C743F"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evidence of how that understanding can be applied in practice;</w:t>
            </w:r>
          </w:p>
          <w:p w14:paraId="61144AC2"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Offers full confidence that the Tenderer will deliver the service in full;</w:t>
            </w:r>
          </w:p>
          <w:p w14:paraId="6284E551"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the majority of areas of doubt and uncertainty; and </w:t>
            </w:r>
          </w:p>
          <w:p w14:paraId="1F5E4366"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 xml:space="preserve">Provides certain, unambiguous commitments or statements of intent that permit reliance through translation into contractual terms </w:t>
            </w:r>
          </w:p>
        </w:tc>
      </w:tr>
      <w:tr w:rsidR="00E772E5" w:rsidRPr="00354CC4" w14:paraId="4593AF9A" w14:textId="77777777" w:rsidTr="005D21E3">
        <w:trPr>
          <w:trHeight w:val="861"/>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3BB96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4</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B459C2E" w14:textId="77777777" w:rsidR="00E772E5" w:rsidRPr="00354CC4" w:rsidRDefault="00E772E5" w:rsidP="005D21E3">
            <w:pPr>
              <w:jc w:val="both"/>
              <w:rPr>
                <w:rFonts w:asciiTheme="minorHAnsi" w:hAnsiTheme="minorHAnsi"/>
                <w:sz w:val="22"/>
                <w:szCs w:val="22"/>
                <w:lang w:eastAsia="en-GB"/>
              </w:rPr>
            </w:pPr>
            <w:r w:rsidRPr="00354CC4">
              <w:rPr>
                <w:rFonts w:asciiTheme="minorHAnsi" w:hAnsiTheme="minorHAnsi"/>
                <w:sz w:val="22"/>
                <w:szCs w:val="22"/>
                <w:lang w:eastAsia="en-GB"/>
              </w:rPr>
              <w:t>A Good Tender Response that (where applicable):</w:t>
            </w:r>
          </w:p>
          <w:p w14:paraId="38858E24"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Addresses all aspects of the question and is generally of a good standard;</w:t>
            </w:r>
          </w:p>
          <w:p w14:paraId="76AAD79D"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Demonstrates a good understanding of what is being asked for;</w:t>
            </w:r>
          </w:p>
          <w:p w14:paraId="131E8864"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a worked-up methodical approach;</w:t>
            </w:r>
          </w:p>
          <w:p w14:paraId="15631C9A"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Offers confidence that the Tenderer will deliver the service in full, with limited areas of doubt or uncertainty;</w:t>
            </w:r>
          </w:p>
          <w:p w14:paraId="164D033C"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key areas of doubt and uncertainty; and </w:t>
            </w:r>
          </w:p>
          <w:p w14:paraId="2381CC9F"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commitments that can be translated well into contractual terms</w:t>
            </w:r>
          </w:p>
        </w:tc>
      </w:tr>
      <w:tr w:rsidR="00E772E5" w:rsidRPr="00354CC4" w14:paraId="732B0B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C4777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3</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52900BB"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Satisfactory Tender Response that (where applicable):</w:t>
            </w:r>
          </w:p>
          <w:p w14:paraId="110DC540"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Addresses the majority of the question and is generally of a good standard but lacks substance or detail in some areas;</w:t>
            </w:r>
          </w:p>
          <w:p w14:paraId="5854EE62"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Demonstrates an understanding of what is being asked for;</w:t>
            </w:r>
          </w:p>
          <w:p w14:paraId="4D4A000A"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a satisfactory approach;</w:t>
            </w:r>
          </w:p>
          <w:p w14:paraId="2AF062B1"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Offers a general level of confidence that the Tenderer will deliver the service (but with room for doubt in some areas);</w:t>
            </w:r>
          </w:p>
          <w:p w14:paraId="6306D8B8"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Address some areas of doubt and uncertainty; and</w:t>
            </w:r>
          </w:p>
          <w:p w14:paraId="18B5026F"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some commitments that can be translated well into contractual terms.</w:t>
            </w:r>
          </w:p>
        </w:tc>
      </w:tr>
      <w:tr w:rsidR="00E772E5" w:rsidRPr="00354CC4" w14:paraId="065C1AB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7483D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lastRenderedPageBreak/>
              <w:t>2</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1F3CBAA"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Poor Tender Response that (where applicable):</w:t>
            </w:r>
          </w:p>
          <w:p w14:paraId="30D927CE"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Addresses some of the question but either lacks relevant information and detail or lacks substance in a manner that would suggest the response is a “model answer”;</w:t>
            </w:r>
          </w:p>
          <w:p w14:paraId="15D8C4CF"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Demonstrates some understanding but with a lack of clarity in key areas;</w:t>
            </w:r>
          </w:p>
          <w:p w14:paraId="3802EACD"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is not wholly appropriate or viable or lacks evidence;</w:t>
            </w:r>
          </w:p>
          <w:p w14:paraId="62F69DC0"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does not outweigh the doubt;</w:t>
            </w:r>
          </w:p>
          <w:p w14:paraId="2A0EC271"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Does not address many areas of doubt and uncertainty; and</w:t>
            </w:r>
          </w:p>
          <w:p w14:paraId="13462DEA"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Does not offer sufficient commitment (with doubt as to the extent to which would translate into contractual terms).</w:t>
            </w:r>
          </w:p>
        </w:tc>
      </w:tr>
      <w:tr w:rsidR="00E772E5" w:rsidRPr="00354CC4" w14:paraId="3ABF6699"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6799482"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1</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5142F147"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Unsatisfactory Tenderer response that (where applicable):</w:t>
            </w:r>
          </w:p>
          <w:p w14:paraId="102F1786"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Does not address the question or has omissions;</w:t>
            </w:r>
          </w:p>
          <w:p w14:paraId="79A62447"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Lacks understanding in significant areas:</w:t>
            </w:r>
          </w:p>
          <w:p w14:paraId="75CAA543"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has gaps or creates concerns;</w:t>
            </w:r>
          </w:p>
          <w:p w14:paraId="7A32E3B6"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is low;</w:t>
            </w:r>
          </w:p>
          <w:p w14:paraId="0D56BE5F"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Creates uncertainty; and</w:t>
            </w:r>
          </w:p>
          <w:p w14:paraId="53D202B9"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 Displays significant lack of commitment (with doubt as to the extent to which would translate into contractual terms)</w:t>
            </w:r>
          </w:p>
        </w:tc>
      </w:tr>
      <w:tr w:rsidR="00E772E5" w:rsidRPr="00354CC4" w14:paraId="60FB4316"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BCFCAE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0</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4DA8F403"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Unacceptable Tenderer response that (where applicable):</w:t>
            </w:r>
          </w:p>
          <w:p w14:paraId="65A5F1FA"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Provides no response or omissions/oversights that prevent scoring;</w:t>
            </w:r>
          </w:p>
          <w:p w14:paraId="2A40EA53"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Refuses to deliver the requirement; and</w:t>
            </w:r>
          </w:p>
          <w:p w14:paraId="176A3837" w14:textId="77777777" w:rsidR="00E772E5" w:rsidRPr="00354CC4" w:rsidRDefault="00E772E5" w:rsidP="00AA2069">
            <w:pPr>
              <w:numPr>
                <w:ilvl w:val="0"/>
                <w:numId w:val="32"/>
              </w:numPr>
              <w:jc w:val="both"/>
              <w:rPr>
                <w:rFonts w:asciiTheme="minorHAnsi" w:hAnsiTheme="minorHAnsi"/>
                <w:sz w:val="22"/>
                <w:szCs w:val="22"/>
                <w:lang w:eastAsia="en-GB"/>
              </w:rPr>
            </w:pPr>
            <w:r w:rsidRPr="00354CC4">
              <w:rPr>
                <w:rFonts w:asciiTheme="minorHAnsi" w:hAnsiTheme="minorHAnsi"/>
                <w:sz w:val="22"/>
                <w:szCs w:val="22"/>
                <w:lang w:eastAsia="en-GB"/>
              </w:rPr>
              <w:t xml:space="preserve">Creates concerns so significant that the response would be detrimental to the interests of RSSB  </w:t>
            </w:r>
          </w:p>
        </w:tc>
      </w:tr>
    </w:tbl>
    <w:p w14:paraId="7DDB88F5" w14:textId="12648547" w:rsidR="00E772E5" w:rsidRDefault="00E772E5" w:rsidP="00D65903">
      <w:pPr>
        <w:rPr>
          <w:lang w:eastAsia="en-GB"/>
        </w:rPr>
        <w:sectPr w:rsidR="00E772E5" w:rsidSect="00FB4F82">
          <w:pgSz w:w="16838" w:h="11906" w:orient="landscape"/>
          <w:pgMar w:top="1800" w:right="1440" w:bottom="1800" w:left="1560" w:header="708" w:footer="708" w:gutter="0"/>
          <w:cols w:space="720"/>
          <w:docGrid w:linePitch="326"/>
        </w:sectPr>
      </w:pPr>
    </w:p>
    <w:p w14:paraId="6A221B15" w14:textId="0F24375C" w:rsidR="00FB4F82" w:rsidRPr="00823C59" w:rsidRDefault="00FB4F82" w:rsidP="00FB4F82">
      <w:pPr>
        <w:rPr>
          <w:lang w:eastAsia="en-GB"/>
        </w:rPr>
      </w:pPr>
    </w:p>
    <w:tbl>
      <w:tblPr>
        <w:tblStyle w:val="TableGrid"/>
        <w:tblW w:w="5007"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7798"/>
        <w:gridCol w:w="2248"/>
      </w:tblGrid>
      <w:tr w:rsidR="003B7775" w:rsidRPr="00D65903" w14:paraId="41C60764" w14:textId="77777777" w:rsidTr="209A9399">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D45D1" w14:textId="68E381AD" w:rsidR="003B7775" w:rsidRPr="00D65903" w:rsidRDefault="00FB4F82" w:rsidP="00875261">
            <w:pPr>
              <w:spacing w:after="120" w:line="300" w:lineRule="exact"/>
              <w:rPr>
                <w:rFonts w:asciiTheme="minorHAnsi" w:hAnsiTheme="minorHAnsi" w:cstheme="minorHAnsi"/>
                <w:b/>
                <w:sz w:val="22"/>
                <w:szCs w:val="22"/>
              </w:rPr>
            </w:pPr>
            <w:r>
              <w:rPr>
                <w:rFonts w:asciiTheme="minorHAnsi" w:hAnsiTheme="minorHAnsi"/>
              </w:rPr>
              <w:tab/>
            </w:r>
            <w:r w:rsidR="003B7775" w:rsidRPr="00D65903">
              <w:rPr>
                <w:rFonts w:asciiTheme="minorHAnsi" w:hAnsiTheme="minorHAnsi" w:cstheme="minorHAnsi"/>
                <w:b/>
                <w:sz w:val="22"/>
                <w:szCs w:val="22"/>
              </w:rPr>
              <w:t>Award criteria</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C4130" w14:textId="754B0212"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Detail</w:t>
            </w:r>
            <w:r>
              <w:rPr>
                <w:rFonts w:asciiTheme="minorHAnsi" w:hAnsiTheme="minorHAnsi" w:cstheme="minorHAnsi"/>
                <w:b/>
                <w:sz w:val="22"/>
                <w:szCs w:val="22"/>
              </w:rPr>
              <w:t xml:space="preserve"> and Evaluation Criteria</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35E50" w14:textId="77777777"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 xml:space="preserve">Weighting </w:t>
            </w:r>
          </w:p>
        </w:tc>
      </w:tr>
      <w:tr w:rsidR="001E1A5D" w:rsidRPr="00D65903" w14:paraId="4AA2B568" w14:textId="77777777" w:rsidTr="209A9399">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855C25" w14:textId="77777777" w:rsidR="001E1A5D" w:rsidRPr="00070925" w:rsidRDefault="001E1A5D" w:rsidP="001E1A5D">
            <w:pPr>
              <w:spacing w:after="120" w:line="300" w:lineRule="exact"/>
              <w:rPr>
                <w:rFonts w:asciiTheme="minorHAnsi" w:hAnsiTheme="minorHAnsi" w:cstheme="minorHAnsi"/>
                <w:sz w:val="22"/>
                <w:szCs w:val="22"/>
              </w:rPr>
            </w:pPr>
            <w:r w:rsidRPr="00070925">
              <w:rPr>
                <w:rFonts w:asciiTheme="minorHAnsi" w:hAnsiTheme="minorHAnsi" w:cstheme="minorHAnsi"/>
                <w:b/>
                <w:sz w:val="22"/>
                <w:szCs w:val="22"/>
              </w:rPr>
              <w:t xml:space="preserve">W1 </w:t>
            </w:r>
            <w:r w:rsidRPr="00070925">
              <w:rPr>
                <w:rFonts w:asciiTheme="minorHAnsi" w:hAnsiTheme="minorHAnsi" w:cstheme="minorHAnsi"/>
                <w:sz w:val="22"/>
                <w:szCs w:val="22"/>
              </w:rPr>
              <w:t>Summary of proposal</w:t>
            </w:r>
          </w:p>
          <w:p w14:paraId="0F910321" w14:textId="592CD241" w:rsidR="001E1A5D" w:rsidRPr="00395624" w:rsidRDefault="001E1A5D" w:rsidP="001E1A5D">
            <w:pPr>
              <w:spacing w:after="120" w:line="300" w:lineRule="exact"/>
              <w:rPr>
                <w:rFonts w:asciiTheme="minorHAnsi" w:hAnsiTheme="minorHAnsi" w:cstheme="minorHAnsi"/>
                <w:sz w:val="22"/>
                <w:szCs w:val="22"/>
                <w:highlight w:val="green"/>
              </w:rPr>
            </w:pPr>
            <w:r w:rsidRPr="00070925">
              <w:rPr>
                <w:rFonts w:asciiTheme="minorHAnsi" w:hAnsiTheme="minorHAnsi" w:cstheme="minorHAnsi"/>
                <w:sz w:val="22"/>
                <w:szCs w:val="22"/>
              </w:rPr>
              <w:t>[Max 1 page]</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D266FD" w14:textId="77777777" w:rsidR="001E1A5D"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t>T</w:t>
            </w:r>
            <w:r w:rsidRPr="00070925">
              <w:rPr>
                <w:rFonts w:asciiTheme="minorHAnsi" w:hAnsiTheme="minorHAnsi" w:cstheme="minorHAnsi"/>
                <w:sz w:val="22"/>
                <w:szCs w:val="22"/>
              </w:rPr>
              <w:t>enderer</w:t>
            </w:r>
            <w:r>
              <w:rPr>
                <w:rFonts w:asciiTheme="minorHAnsi" w:hAnsiTheme="minorHAnsi" w:cstheme="minorHAnsi"/>
                <w:sz w:val="22"/>
                <w:szCs w:val="22"/>
              </w:rPr>
              <w:t xml:space="preserve">s should outline their ability to concisely summarise key aspects of their proposal. The information will be used by RSSB to contextualise the tenderer’s response. </w:t>
            </w:r>
            <w:r>
              <w:rPr>
                <w:rFonts w:asciiTheme="minorHAnsi" w:hAnsiTheme="minorHAnsi" w:cstheme="minorHAnsi"/>
                <w:sz w:val="22"/>
                <w:szCs w:val="22"/>
              </w:rPr>
              <w:br/>
            </w:r>
          </w:p>
          <w:p w14:paraId="20C5A4A5" w14:textId="77777777" w:rsidR="001E1A5D"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t>The tenderer’s response shall be evaluated on the following criteria within the maximum stated page limit:</w:t>
            </w:r>
          </w:p>
          <w:p w14:paraId="594A1246" w14:textId="77777777" w:rsidR="001E1A5D" w:rsidRDefault="001E1A5D" w:rsidP="00AA2069">
            <w:pPr>
              <w:pStyle w:val="ListParagraph"/>
              <w:numPr>
                <w:ilvl w:val="0"/>
                <w:numId w:val="35"/>
              </w:numPr>
              <w:spacing w:after="120" w:line="300" w:lineRule="exact"/>
              <w:rPr>
                <w:rFonts w:asciiTheme="minorHAnsi" w:hAnsiTheme="minorHAnsi" w:cstheme="minorHAnsi"/>
                <w:sz w:val="22"/>
                <w:szCs w:val="22"/>
              </w:rPr>
            </w:pPr>
            <w:r>
              <w:rPr>
                <w:rFonts w:asciiTheme="minorHAnsi" w:hAnsiTheme="minorHAnsi" w:cstheme="minorHAnsi"/>
                <w:sz w:val="22"/>
                <w:szCs w:val="22"/>
              </w:rPr>
              <w:t>The tenderer has clearly outlined their understanding of the project’s objectives and outputs;</w:t>
            </w:r>
          </w:p>
          <w:p w14:paraId="4931C994" w14:textId="09ABFA73" w:rsidR="001E1A5D" w:rsidRPr="002E2FA5" w:rsidRDefault="001E1A5D" w:rsidP="00AA2069">
            <w:pPr>
              <w:pStyle w:val="ListParagraph"/>
              <w:numPr>
                <w:ilvl w:val="0"/>
                <w:numId w:val="35"/>
              </w:num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The tenderer has summarised their proposal (excluding any pricing information), outlining how it shall clearly address the project’s objectives and outputs. </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0C42C" w14:textId="7AFE584F" w:rsidR="001E1A5D" w:rsidRPr="00070925"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t>N/A</w:t>
            </w:r>
            <w:r w:rsidRPr="00070925">
              <w:rPr>
                <w:rFonts w:asciiTheme="minorHAnsi" w:hAnsiTheme="minorHAnsi" w:cstheme="minorHAnsi"/>
                <w:sz w:val="22"/>
                <w:szCs w:val="22"/>
              </w:rPr>
              <w:br/>
              <w:t>(For information only)</w:t>
            </w:r>
          </w:p>
        </w:tc>
      </w:tr>
      <w:tr w:rsidR="001E1A5D" w:rsidRPr="00D65903" w14:paraId="0023F772" w14:textId="77777777" w:rsidTr="209A9399">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84A704" w14:textId="77777777" w:rsidR="001E1A5D" w:rsidRPr="00386BF8" w:rsidRDefault="001E1A5D" w:rsidP="001E1A5D">
            <w:pPr>
              <w:spacing w:after="120" w:line="300" w:lineRule="exact"/>
              <w:rPr>
                <w:rFonts w:asciiTheme="minorHAnsi" w:hAnsiTheme="minorHAnsi" w:cstheme="minorHAnsi"/>
                <w:sz w:val="22"/>
                <w:szCs w:val="22"/>
              </w:rPr>
            </w:pPr>
            <w:r w:rsidRPr="00386BF8">
              <w:rPr>
                <w:rFonts w:asciiTheme="minorHAnsi" w:hAnsiTheme="minorHAnsi" w:cstheme="minorHAnsi"/>
                <w:b/>
                <w:sz w:val="22"/>
                <w:szCs w:val="22"/>
              </w:rPr>
              <w:t>W2</w:t>
            </w:r>
            <w:r w:rsidRPr="00386BF8">
              <w:rPr>
                <w:rFonts w:asciiTheme="minorHAnsi" w:hAnsiTheme="minorHAnsi" w:cstheme="minorHAnsi"/>
                <w:sz w:val="22"/>
                <w:szCs w:val="22"/>
              </w:rPr>
              <w:t xml:space="preserve"> </w:t>
            </w:r>
            <w:bookmarkStart w:id="3" w:name="_Hlk30161751"/>
            <w:r w:rsidRPr="00CB2123">
              <w:rPr>
                <w:rFonts w:asciiTheme="minorHAnsi" w:hAnsiTheme="minorHAnsi" w:cstheme="minorHAnsi"/>
                <w:sz w:val="22"/>
                <w:szCs w:val="22"/>
              </w:rPr>
              <w:t>Supplier’s understanding and methodology</w:t>
            </w:r>
            <w:bookmarkEnd w:id="3"/>
          </w:p>
          <w:p w14:paraId="27D991F1" w14:textId="3307FE73" w:rsidR="001E1A5D" w:rsidRPr="00386BF8" w:rsidRDefault="001E1A5D" w:rsidP="001E1A5D">
            <w:pPr>
              <w:spacing w:after="120" w:line="300" w:lineRule="exact"/>
              <w:rPr>
                <w:rFonts w:asciiTheme="minorHAnsi" w:hAnsiTheme="minorHAnsi" w:cstheme="minorHAnsi"/>
                <w:sz w:val="22"/>
                <w:szCs w:val="22"/>
              </w:rPr>
            </w:pPr>
            <w:r w:rsidRPr="00386BF8">
              <w:rPr>
                <w:rFonts w:asciiTheme="minorHAnsi" w:hAnsiTheme="minorHAnsi" w:cstheme="minorHAnsi"/>
                <w:sz w:val="22"/>
                <w:szCs w:val="22"/>
              </w:rPr>
              <w:t xml:space="preserve">[Max </w:t>
            </w:r>
            <w:r>
              <w:rPr>
                <w:rFonts w:asciiTheme="minorHAnsi" w:hAnsiTheme="minorHAnsi" w:cstheme="minorHAnsi"/>
                <w:sz w:val="22"/>
                <w:szCs w:val="22"/>
              </w:rPr>
              <w:t>4</w:t>
            </w:r>
            <w:r w:rsidRPr="00386BF8">
              <w:rPr>
                <w:rFonts w:asciiTheme="minorHAnsi" w:hAnsiTheme="minorHAnsi" w:cstheme="minorHAnsi"/>
                <w:sz w:val="22"/>
                <w:szCs w:val="22"/>
              </w:rPr>
              <w:t xml:space="preserve">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A0E93A" w14:textId="77777777" w:rsidR="001E1A5D" w:rsidRDefault="001E1A5D" w:rsidP="001E1A5D">
            <w:pPr>
              <w:rPr>
                <w:rFonts w:asciiTheme="minorHAnsi" w:hAnsiTheme="minorHAnsi" w:cstheme="minorHAnsi"/>
                <w:sz w:val="22"/>
                <w:szCs w:val="22"/>
              </w:rPr>
            </w:pPr>
            <w:r w:rsidRPr="00CB2123">
              <w:rPr>
                <w:rFonts w:asciiTheme="minorHAnsi" w:hAnsiTheme="minorHAnsi" w:cstheme="minorHAnsi"/>
                <w:sz w:val="22"/>
                <w:szCs w:val="22"/>
              </w:rPr>
              <w:t>Tenderers should clearly outline their understanding and methodology to carry out the required works defined in the project specification.</w:t>
            </w:r>
          </w:p>
          <w:p w14:paraId="2F2044E4" w14:textId="77777777" w:rsidR="001E1A5D" w:rsidRDefault="001E1A5D" w:rsidP="001E1A5D">
            <w:pPr>
              <w:rPr>
                <w:rFonts w:asciiTheme="minorHAnsi" w:hAnsiTheme="minorHAnsi"/>
                <w:sz w:val="22"/>
                <w:szCs w:val="28"/>
              </w:rPr>
            </w:pPr>
          </w:p>
          <w:p w14:paraId="03FFAB1C" w14:textId="77777777" w:rsidR="001E1A5D" w:rsidRPr="005A499F" w:rsidRDefault="001E1A5D" w:rsidP="001E1A5D">
            <w:pPr>
              <w:rPr>
                <w:rFonts w:asciiTheme="minorHAnsi" w:hAnsiTheme="minorHAnsi"/>
                <w:sz w:val="22"/>
                <w:szCs w:val="28"/>
                <w:lang w:eastAsia="en-GB"/>
              </w:rPr>
            </w:pPr>
            <w:r w:rsidRPr="005A499F">
              <w:rPr>
                <w:rFonts w:asciiTheme="minorHAnsi" w:hAnsiTheme="minorHAnsi"/>
                <w:sz w:val="22"/>
                <w:szCs w:val="28"/>
                <w:lang w:eastAsia="en-GB"/>
              </w:rPr>
              <w:t>The tenderer’s response</w:t>
            </w:r>
            <w:r>
              <w:rPr>
                <w:rFonts w:asciiTheme="minorHAnsi" w:hAnsiTheme="minorHAnsi"/>
                <w:sz w:val="22"/>
                <w:szCs w:val="28"/>
                <w:lang w:eastAsia="en-GB"/>
              </w:rPr>
              <w:t xml:space="preserve"> shall be evaluated on the following criteria within the maximum stated page limit</w:t>
            </w:r>
            <w:r w:rsidRPr="005A499F">
              <w:rPr>
                <w:rFonts w:asciiTheme="minorHAnsi" w:hAnsiTheme="minorHAnsi"/>
                <w:sz w:val="22"/>
                <w:szCs w:val="28"/>
                <w:lang w:eastAsia="en-GB"/>
              </w:rPr>
              <w:t>:</w:t>
            </w:r>
          </w:p>
          <w:p w14:paraId="02540134" w14:textId="77777777" w:rsidR="001E1A5D" w:rsidRDefault="001E1A5D" w:rsidP="00AA2069">
            <w:pPr>
              <w:pStyle w:val="ListParagraph"/>
              <w:numPr>
                <w:ilvl w:val="0"/>
                <w:numId w:val="30"/>
              </w:numPr>
              <w:rPr>
                <w:rFonts w:asciiTheme="minorHAnsi" w:hAnsiTheme="minorHAnsi"/>
                <w:sz w:val="22"/>
                <w:szCs w:val="28"/>
              </w:rPr>
            </w:pPr>
            <w:r>
              <w:rPr>
                <w:rFonts w:asciiTheme="minorHAnsi" w:hAnsiTheme="minorHAnsi"/>
                <w:sz w:val="22"/>
                <w:szCs w:val="28"/>
              </w:rPr>
              <w:t>The tenderer clearly d</w:t>
            </w:r>
            <w:r w:rsidRPr="005A499F">
              <w:rPr>
                <w:rFonts w:asciiTheme="minorHAnsi" w:hAnsiTheme="minorHAnsi"/>
                <w:sz w:val="22"/>
                <w:szCs w:val="28"/>
              </w:rPr>
              <w:t>emonstrates their understanding of each of the</w:t>
            </w:r>
            <w:r>
              <w:rPr>
                <w:rFonts w:asciiTheme="minorHAnsi" w:hAnsiTheme="minorHAnsi"/>
                <w:sz w:val="22"/>
                <w:szCs w:val="28"/>
              </w:rPr>
              <w:t xml:space="preserve"> project</w:t>
            </w:r>
            <w:r w:rsidRPr="005A499F">
              <w:rPr>
                <w:rFonts w:asciiTheme="minorHAnsi" w:hAnsiTheme="minorHAnsi"/>
                <w:sz w:val="22"/>
                <w:szCs w:val="28"/>
              </w:rPr>
              <w:t xml:space="preserve"> objectives</w:t>
            </w:r>
            <w:r>
              <w:rPr>
                <w:rFonts w:asciiTheme="minorHAnsi" w:hAnsiTheme="minorHAnsi"/>
                <w:sz w:val="22"/>
                <w:szCs w:val="28"/>
              </w:rPr>
              <w:t xml:space="preserve"> and outputs</w:t>
            </w:r>
            <w:r w:rsidRPr="005A499F">
              <w:rPr>
                <w:rFonts w:asciiTheme="minorHAnsi" w:hAnsiTheme="minorHAnsi"/>
                <w:sz w:val="22"/>
                <w:szCs w:val="28"/>
              </w:rPr>
              <w:t>;</w:t>
            </w:r>
          </w:p>
          <w:p w14:paraId="6BBEEBEC" w14:textId="77777777" w:rsidR="001E1A5D" w:rsidRPr="001629B2" w:rsidRDefault="001E1A5D" w:rsidP="00AA2069">
            <w:pPr>
              <w:pStyle w:val="ListParagraph"/>
              <w:numPr>
                <w:ilvl w:val="0"/>
                <w:numId w:val="30"/>
              </w:numPr>
              <w:rPr>
                <w:rFonts w:asciiTheme="minorHAnsi" w:hAnsiTheme="minorHAnsi"/>
                <w:sz w:val="22"/>
                <w:szCs w:val="28"/>
              </w:rPr>
            </w:pPr>
            <w:r w:rsidRPr="00C64DCA">
              <w:rPr>
                <w:rFonts w:asciiTheme="minorHAnsi" w:hAnsiTheme="minorHAnsi"/>
                <w:sz w:val="22"/>
                <w:szCs w:val="28"/>
              </w:rPr>
              <w:t xml:space="preserve">The tenderer </w:t>
            </w:r>
            <w:r>
              <w:rPr>
                <w:rFonts w:asciiTheme="minorHAnsi" w:hAnsiTheme="minorHAnsi"/>
                <w:sz w:val="22"/>
                <w:szCs w:val="28"/>
              </w:rPr>
              <w:t xml:space="preserve">establishes and presents a clear and appropriate </w:t>
            </w:r>
            <w:r w:rsidRPr="00C64DCA">
              <w:rPr>
                <w:rFonts w:asciiTheme="minorHAnsi" w:hAnsiTheme="minorHAnsi"/>
                <w:sz w:val="22"/>
                <w:szCs w:val="28"/>
              </w:rPr>
              <w:t>methodology to address each of the project objectives and to deliver each of the project outputs, detailing how it shall commit to ensuring the project and outputs are delivered to a sufficient quality</w:t>
            </w:r>
            <w:r>
              <w:rPr>
                <w:rFonts w:asciiTheme="minorHAnsi" w:hAnsiTheme="minorHAnsi"/>
                <w:sz w:val="22"/>
                <w:szCs w:val="28"/>
              </w:rPr>
              <w:t>;</w:t>
            </w:r>
          </w:p>
          <w:p w14:paraId="166DBA3F" w14:textId="77777777" w:rsidR="001E1A5D" w:rsidRDefault="001E1A5D" w:rsidP="00AA2069">
            <w:pPr>
              <w:pStyle w:val="ListParagraph"/>
              <w:numPr>
                <w:ilvl w:val="0"/>
                <w:numId w:val="30"/>
              </w:numPr>
              <w:rPr>
                <w:rFonts w:asciiTheme="minorHAnsi" w:hAnsiTheme="minorHAnsi"/>
                <w:sz w:val="22"/>
                <w:szCs w:val="28"/>
              </w:rPr>
            </w:pPr>
            <w:r>
              <w:rPr>
                <w:rFonts w:asciiTheme="minorHAnsi" w:hAnsiTheme="minorHAnsi"/>
                <w:sz w:val="22"/>
                <w:szCs w:val="28"/>
              </w:rPr>
              <w:lastRenderedPageBreak/>
              <w:t xml:space="preserve">The tenderer presents </w:t>
            </w:r>
            <w:r w:rsidRPr="00DA1D5E">
              <w:rPr>
                <w:rFonts w:asciiTheme="minorHAnsi" w:hAnsiTheme="minorHAnsi"/>
                <w:sz w:val="22"/>
                <w:szCs w:val="28"/>
              </w:rPr>
              <w:t>a viable and practical approach to</w:t>
            </w:r>
            <w:r>
              <w:rPr>
                <w:rFonts w:asciiTheme="minorHAnsi" w:hAnsiTheme="minorHAnsi"/>
                <w:sz w:val="22"/>
                <w:szCs w:val="28"/>
              </w:rPr>
              <w:t>:</w:t>
            </w:r>
          </w:p>
          <w:p w14:paraId="0A8EB086" w14:textId="77777777" w:rsidR="001E1A5D" w:rsidRDefault="001E1A5D" w:rsidP="00AA2069">
            <w:pPr>
              <w:pStyle w:val="ListParagraph"/>
              <w:numPr>
                <w:ilvl w:val="1"/>
                <w:numId w:val="30"/>
              </w:numPr>
              <w:rPr>
                <w:rFonts w:asciiTheme="minorHAnsi" w:hAnsiTheme="minorHAnsi"/>
                <w:sz w:val="22"/>
                <w:szCs w:val="28"/>
              </w:rPr>
            </w:pPr>
            <w:r>
              <w:rPr>
                <w:rFonts w:asciiTheme="minorHAnsi" w:hAnsiTheme="minorHAnsi"/>
                <w:sz w:val="22"/>
                <w:szCs w:val="28"/>
              </w:rPr>
              <w:t>Identify a list of goals required from a low adhesion driving policies</w:t>
            </w:r>
          </w:p>
          <w:p w14:paraId="1F16A98C" w14:textId="77777777" w:rsidR="001E1A5D" w:rsidRPr="00C954D2" w:rsidRDefault="001E1A5D" w:rsidP="00AA2069">
            <w:pPr>
              <w:pStyle w:val="ListParagraph"/>
              <w:numPr>
                <w:ilvl w:val="1"/>
                <w:numId w:val="30"/>
              </w:numPr>
              <w:rPr>
                <w:rFonts w:asciiTheme="minorHAnsi" w:hAnsiTheme="minorHAnsi"/>
                <w:sz w:val="22"/>
                <w:szCs w:val="28"/>
              </w:rPr>
            </w:pPr>
            <w:r w:rsidRPr="00C954D2">
              <w:rPr>
                <w:rFonts w:asciiTheme="minorHAnsi" w:hAnsiTheme="minorHAnsi"/>
                <w:sz w:val="22"/>
                <w:szCs w:val="28"/>
              </w:rPr>
              <w:t xml:space="preserve">Assess how these goals relate to one another and the trade-off between them </w:t>
            </w:r>
          </w:p>
          <w:p w14:paraId="4373216C" w14:textId="77777777" w:rsidR="001E1A5D" w:rsidRDefault="001E1A5D" w:rsidP="00AA2069">
            <w:pPr>
              <w:pStyle w:val="ListParagraph"/>
              <w:numPr>
                <w:ilvl w:val="1"/>
                <w:numId w:val="30"/>
              </w:numPr>
              <w:rPr>
                <w:rFonts w:asciiTheme="minorHAnsi" w:hAnsiTheme="minorHAnsi"/>
                <w:sz w:val="22"/>
                <w:szCs w:val="28"/>
              </w:rPr>
            </w:pPr>
            <w:r>
              <w:rPr>
                <w:rFonts w:asciiTheme="minorHAnsi" w:hAnsiTheme="minorHAnsi"/>
                <w:sz w:val="22"/>
                <w:szCs w:val="28"/>
              </w:rPr>
              <w:t>Group the goals relative to different types of train and operators that are different in nature</w:t>
            </w:r>
          </w:p>
          <w:p w14:paraId="32D6039A" w14:textId="0FB81474" w:rsidR="001E1A5D" w:rsidRPr="00BB2371" w:rsidRDefault="001E1A5D" w:rsidP="00AA2069">
            <w:pPr>
              <w:pStyle w:val="ListParagraph"/>
              <w:numPr>
                <w:ilvl w:val="1"/>
                <w:numId w:val="30"/>
              </w:numPr>
              <w:rPr>
                <w:rFonts w:asciiTheme="minorHAnsi" w:hAnsiTheme="minorHAnsi"/>
                <w:sz w:val="22"/>
                <w:szCs w:val="28"/>
              </w:rPr>
            </w:pPr>
            <w:r w:rsidRPr="00BB2371">
              <w:rPr>
                <w:rFonts w:asciiTheme="minorHAnsi" w:hAnsiTheme="minorHAnsi"/>
                <w:sz w:val="22"/>
                <w:szCs w:val="28"/>
              </w:rPr>
              <w:t>Identi</w:t>
            </w:r>
            <w:r>
              <w:rPr>
                <w:rFonts w:asciiTheme="minorHAnsi" w:hAnsiTheme="minorHAnsi"/>
                <w:sz w:val="22"/>
                <w:szCs w:val="28"/>
              </w:rPr>
              <w:t>fy</w:t>
            </w:r>
            <w:r w:rsidRPr="00BB2371">
              <w:rPr>
                <w:rFonts w:asciiTheme="minorHAnsi" w:hAnsiTheme="minorHAnsi"/>
                <w:sz w:val="22"/>
                <w:szCs w:val="28"/>
              </w:rPr>
              <w:t xml:space="preserve"> the goals of current driving instructions </w:t>
            </w:r>
          </w:p>
          <w:p w14:paraId="5754FCD7" w14:textId="77777777" w:rsidR="001E1A5D" w:rsidRPr="00BB2371" w:rsidRDefault="001E1A5D" w:rsidP="00AA2069">
            <w:pPr>
              <w:pStyle w:val="ListParagraph"/>
              <w:numPr>
                <w:ilvl w:val="1"/>
                <w:numId w:val="30"/>
              </w:numPr>
              <w:rPr>
                <w:rFonts w:asciiTheme="minorHAnsi" w:hAnsiTheme="minorHAnsi"/>
                <w:sz w:val="22"/>
                <w:szCs w:val="28"/>
              </w:rPr>
            </w:pPr>
            <w:r w:rsidRPr="00BB2371">
              <w:rPr>
                <w:rFonts w:asciiTheme="minorHAnsi" w:hAnsiTheme="minorHAnsi"/>
                <w:sz w:val="22"/>
                <w:szCs w:val="28"/>
              </w:rPr>
              <w:t xml:space="preserve">Assess the extent </w:t>
            </w:r>
            <w:r>
              <w:rPr>
                <w:rFonts w:asciiTheme="minorHAnsi" w:hAnsiTheme="minorHAnsi"/>
                <w:sz w:val="22"/>
                <w:szCs w:val="28"/>
              </w:rPr>
              <w:t xml:space="preserve">and confidence </w:t>
            </w:r>
            <w:r w:rsidRPr="00BB2371">
              <w:rPr>
                <w:rFonts w:asciiTheme="minorHAnsi" w:hAnsiTheme="minorHAnsi"/>
                <w:sz w:val="22"/>
                <w:szCs w:val="28"/>
              </w:rPr>
              <w:t>to which operators believe those goals are achieved</w:t>
            </w:r>
          </w:p>
          <w:p w14:paraId="7274B266" w14:textId="3912579E" w:rsidR="001E1A5D" w:rsidRPr="00BB2371" w:rsidRDefault="001E1A5D" w:rsidP="00AA2069">
            <w:pPr>
              <w:pStyle w:val="ListParagraph"/>
              <w:numPr>
                <w:ilvl w:val="1"/>
                <w:numId w:val="30"/>
              </w:numPr>
              <w:rPr>
                <w:rFonts w:asciiTheme="minorHAnsi" w:hAnsiTheme="minorHAnsi"/>
                <w:sz w:val="22"/>
                <w:szCs w:val="28"/>
              </w:rPr>
            </w:pPr>
            <w:r w:rsidRPr="00BB2371">
              <w:rPr>
                <w:rFonts w:asciiTheme="minorHAnsi" w:hAnsiTheme="minorHAnsi"/>
                <w:sz w:val="22"/>
                <w:szCs w:val="28"/>
              </w:rPr>
              <w:t>Asses</w:t>
            </w:r>
            <w:r w:rsidR="002B7128">
              <w:rPr>
                <w:rFonts w:asciiTheme="minorHAnsi" w:hAnsiTheme="minorHAnsi"/>
                <w:sz w:val="22"/>
                <w:szCs w:val="28"/>
              </w:rPr>
              <w:t>s</w:t>
            </w:r>
            <w:r w:rsidRPr="00BB2371">
              <w:rPr>
                <w:rFonts w:asciiTheme="minorHAnsi" w:hAnsiTheme="minorHAnsi"/>
                <w:sz w:val="22"/>
                <w:szCs w:val="28"/>
              </w:rPr>
              <w:t xml:space="preserve"> the variability of driving instructions across comparable operators</w:t>
            </w:r>
          </w:p>
          <w:p w14:paraId="01ECDB49" w14:textId="23F567A1" w:rsidR="001E1A5D" w:rsidRPr="00BB2371" w:rsidRDefault="001E1A5D" w:rsidP="00AA2069">
            <w:pPr>
              <w:pStyle w:val="ListParagraph"/>
              <w:numPr>
                <w:ilvl w:val="1"/>
                <w:numId w:val="30"/>
              </w:numPr>
              <w:rPr>
                <w:rFonts w:asciiTheme="minorHAnsi" w:hAnsiTheme="minorHAnsi"/>
                <w:sz w:val="22"/>
                <w:szCs w:val="28"/>
              </w:rPr>
            </w:pPr>
            <w:r w:rsidRPr="00BB2371">
              <w:rPr>
                <w:rFonts w:asciiTheme="minorHAnsi" w:hAnsiTheme="minorHAnsi"/>
                <w:sz w:val="22"/>
                <w:szCs w:val="28"/>
              </w:rPr>
              <w:t>Compare driving instructions against wider driving policies</w:t>
            </w:r>
          </w:p>
          <w:p w14:paraId="76A5261B" w14:textId="6A13E247" w:rsidR="001E1A5D" w:rsidRPr="00BB2371" w:rsidRDefault="001E1A5D" w:rsidP="00AA2069">
            <w:pPr>
              <w:pStyle w:val="ListParagraph"/>
              <w:numPr>
                <w:ilvl w:val="1"/>
                <w:numId w:val="30"/>
              </w:numPr>
              <w:rPr>
                <w:rFonts w:asciiTheme="minorHAnsi" w:hAnsiTheme="minorHAnsi"/>
                <w:sz w:val="22"/>
                <w:szCs w:val="28"/>
              </w:rPr>
            </w:pPr>
            <w:r w:rsidRPr="00BB2371">
              <w:rPr>
                <w:rFonts w:asciiTheme="minorHAnsi" w:hAnsiTheme="minorHAnsi"/>
                <w:sz w:val="22"/>
                <w:szCs w:val="28"/>
              </w:rPr>
              <w:t xml:space="preserve">Assess how </w:t>
            </w:r>
            <w:r>
              <w:rPr>
                <w:rFonts w:asciiTheme="minorHAnsi" w:hAnsiTheme="minorHAnsi"/>
                <w:sz w:val="22"/>
                <w:szCs w:val="28"/>
              </w:rPr>
              <w:t>organisational</w:t>
            </w:r>
            <w:r w:rsidRPr="00BB2371">
              <w:rPr>
                <w:rFonts w:asciiTheme="minorHAnsi" w:hAnsiTheme="minorHAnsi"/>
                <w:sz w:val="22"/>
                <w:szCs w:val="28"/>
              </w:rPr>
              <w:t xml:space="preserve"> culture is embedded in organisational policies related to </w:t>
            </w:r>
            <w:r w:rsidR="002B7128">
              <w:rPr>
                <w:rFonts w:asciiTheme="minorHAnsi" w:hAnsiTheme="minorHAnsi"/>
                <w:sz w:val="22"/>
                <w:szCs w:val="28"/>
              </w:rPr>
              <w:t>safety events (</w:t>
            </w:r>
            <w:r w:rsidR="00D508FB">
              <w:rPr>
                <w:rFonts w:asciiTheme="minorHAnsi" w:hAnsiTheme="minorHAnsi"/>
                <w:sz w:val="22"/>
                <w:szCs w:val="28"/>
              </w:rPr>
              <w:t>e.g.,</w:t>
            </w:r>
            <w:r w:rsidR="002B7128">
              <w:rPr>
                <w:rFonts w:asciiTheme="minorHAnsi" w:hAnsiTheme="minorHAnsi"/>
                <w:sz w:val="22"/>
                <w:szCs w:val="28"/>
              </w:rPr>
              <w:t xml:space="preserve"> </w:t>
            </w:r>
            <w:r w:rsidRPr="00BB2371">
              <w:rPr>
                <w:rFonts w:asciiTheme="minorHAnsi" w:hAnsiTheme="minorHAnsi"/>
                <w:sz w:val="22"/>
                <w:szCs w:val="28"/>
              </w:rPr>
              <w:t>SPADs and station overruns</w:t>
            </w:r>
            <w:r w:rsidR="002B7128">
              <w:rPr>
                <w:rFonts w:asciiTheme="minorHAnsi" w:hAnsiTheme="minorHAnsi"/>
                <w:sz w:val="22"/>
                <w:szCs w:val="28"/>
              </w:rPr>
              <w:t>) and close calls</w:t>
            </w:r>
          </w:p>
          <w:p w14:paraId="540E7FF2" w14:textId="7F9AE7DE" w:rsidR="001E1A5D" w:rsidRPr="00A749D2" w:rsidRDefault="001E1A5D" w:rsidP="00AA2069">
            <w:pPr>
              <w:pStyle w:val="ListParagraph"/>
              <w:numPr>
                <w:ilvl w:val="0"/>
                <w:numId w:val="30"/>
              </w:numPr>
              <w:rPr>
                <w:rFonts w:asciiTheme="minorHAnsi" w:hAnsiTheme="minorHAnsi"/>
                <w:sz w:val="22"/>
                <w:szCs w:val="28"/>
              </w:rPr>
            </w:pPr>
            <w:r w:rsidRPr="00A749D2">
              <w:rPr>
                <w:rFonts w:asciiTheme="minorHAnsi" w:hAnsiTheme="minorHAnsi"/>
                <w:sz w:val="22"/>
                <w:szCs w:val="28"/>
              </w:rPr>
              <w:t>The tenderer addresses the success criteria in order to ensure successful project delivery and increased likelihood of industry implementation</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4CC06" w14:textId="412CF9B3" w:rsidR="001E1A5D" w:rsidRPr="00D65903"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30</w:t>
            </w:r>
            <w:r w:rsidRPr="00D65903">
              <w:rPr>
                <w:rFonts w:asciiTheme="minorHAnsi" w:hAnsiTheme="minorHAnsi" w:cstheme="minorHAnsi"/>
                <w:sz w:val="22"/>
                <w:szCs w:val="22"/>
              </w:rPr>
              <w:t>%</w:t>
            </w:r>
          </w:p>
        </w:tc>
      </w:tr>
      <w:tr w:rsidR="001E1A5D" w:rsidRPr="00D65903" w14:paraId="35C5BA32" w14:textId="77777777" w:rsidTr="209A9399">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83A780" w14:textId="13FD7E63" w:rsidR="001E1A5D" w:rsidRDefault="001E1A5D" w:rsidP="001E1A5D">
            <w:pPr>
              <w:spacing w:after="120" w:line="300" w:lineRule="exact"/>
              <w:rPr>
                <w:rFonts w:asciiTheme="minorHAnsi" w:hAnsiTheme="minorHAnsi" w:cstheme="minorHAnsi"/>
                <w:sz w:val="22"/>
                <w:szCs w:val="22"/>
              </w:rPr>
            </w:pPr>
            <w:r>
              <w:rPr>
                <w:rFonts w:asciiTheme="minorHAnsi" w:hAnsiTheme="minorHAnsi" w:cstheme="minorHAnsi"/>
                <w:b/>
                <w:sz w:val="22"/>
                <w:szCs w:val="22"/>
              </w:rPr>
              <w:t>W3</w:t>
            </w:r>
            <w:r w:rsidRPr="00D65903">
              <w:rPr>
                <w:rFonts w:asciiTheme="minorHAnsi" w:hAnsiTheme="minorHAnsi" w:cstheme="minorHAnsi"/>
                <w:sz w:val="22"/>
                <w:szCs w:val="22"/>
              </w:rPr>
              <w:t xml:space="preserve"> </w:t>
            </w:r>
            <w:r w:rsidR="002B7128">
              <w:rPr>
                <w:rFonts w:asciiTheme="minorHAnsi" w:hAnsiTheme="minorHAnsi" w:cstheme="minorHAnsi"/>
                <w:sz w:val="22"/>
                <w:szCs w:val="22"/>
              </w:rPr>
              <w:t>I</w:t>
            </w:r>
            <w:r w:rsidRPr="00382426">
              <w:rPr>
                <w:rFonts w:asciiTheme="minorHAnsi" w:hAnsiTheme="minorHAnsi" w:cstheme="minorHAnsi"/>
                <w:sz w:val="22"/>
                <w:szCs w:val="22"/>
              </w:rPr>
              <w:t>ndividual expertise</w:t>
            </w:r>
          </w:p>
          <w:p w14:paraId="54D541A7" w14:textId="32BD8363" w:rsidR="001E1A5D" w:rsidRPr="00D65903"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t>[Max 4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0DE8AA" w14:textId="47DCCBF6" w:rsidR="001E1A5D" w:rsidRPr="00382426" w:rsidRDefault="001E1A5D" w:rsidP="001E1A5D">
            <w:pPr>
              <w:rPr>
                <w:rFonts w:asciiTheme="minorHAnsi" w:hAnsiTheme="minorHAnsi" w:cstheme="minorHAnsi"/>
                <w:sz w:val="22"/>
                <w:szCs w:val="22"/>
              </w:rPr>
            </w:pPr>
            <w:r w:rsidRPr="00382426">
              <w:rPr>
                <w:rFonts w:asciiTheme="minorHAnsi" w:hAnsiTheme="minorHAnsi"/>
                <w:sz w:val="22"/>
                <w:szCs w:val="22"/>
                <w:lang w:eastAsia="en-GB"/>
              </w:rPr>
              <w:t>Tenderers should clearly outline how their individual expertise can directly address the r</w:t>
            </w:r>
            <w:r w:rsidRPr="00382426">
              <w:rPr>
                <w:rFonts w:asciiTheme="minorHAnsi" w:hAnsiTheme="minorHAnsi" w:cstheme="minorHAnsi"/>
                <w:sz w:val="22"/>
                <w:szCs w:val="22"/>
              </w:rPr>
              <w:t>equired works defined in the project specification.</w:t>
            </w:r>
          </w:p>
          <w:p w14:paraId="2FA36EAE" w14:textId="77777777" w:rsidR="001E1A5D" w:rsidRPr="00382426" w:rsidRDefault="001E1A5D" w:rsidP="001E1A5D">
            <w:pPr>
              <w:rPr>
                <w:rFonts w:asciiTheme="minorHAnsi" w:hAnsiTheme="minorHAnsi"/>
                <w:sz w:val="22"/>
                <w:szCs w:val="22"/>
              </w:rPr>
            </w:pPr>
          </w:p>
          <w:p w14:paraId="2BD9CBC9" w14:textId="77777777" w:rsidR="001E1A5D" w:rsidRPr="00382426" w:rsidRDefault="001E1A5D" w:rsidP="001E1A5D">
            <w:p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tenderer’s response shall be evaluated on the following criteria within the maximum stated page limit:</w:t>
            </w:r>
          </w:p>
          <w:p w14:paraId="5D6BB38C" w14:textId="4986DFAE" w:rsidR="001E1A5D" w:rsidRDefault="001E1A5D" w:rsidP="00AA2069">
            <w:pPr>
              <w:pStyle w:val="ListParagraph"/>
              <w:numPr>
                <w:ilvl w:val="0"/>
                <w:numId w:val="39"/>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 xml:space="preserve">The tenderer outlines relevant activities undertaken by </w:t>
            </w:r>
            <w:r w:rsidR="00846D14">
              <w:rPr>
                <w:rFonts w:asciiTheme="minorHAnsi" w:hAnsiTheme="minorHAnsi" w:cstheme="minorHAnsi"/>
                <w:sz w:val="22"/>
                <w:szCs w:val="22"/>
              </w:rPr>
              <w:t xml:space="preserve">named individuals within </w:t>
            </w:r>
            <w:r w:rsidRPr="00382426">
              <w:rPr>
                <w:rFonts w:asciiTheme="minorHAnsi" w:hAnsiTheme="minorHAnsi" w:cstheme="minorHAnsi"/>
                <w:sz w:val="22"/>
                <w:szCs w:val="22"/>
              </w:rPr>
              <w:t>their organisation, that demonstrates suitable experience to meet the project requirements</w:t>
            </w:r>
            <w:r w:rsidR="002C2977">
              <w:rPr>
                <w:rFonts w:asciiTheme="minorHAnsi" w:hAnsiTheme="minorHAnsi" w:cstheme="minorHAnsi"/>
                <w:sz w:val="22"/>
                <w:szCs w:val="22"/>
              </w:rPr>
              <w:t>, notably individuals will need to demonstrate they have the following expertise and experience:</w:t>
            </w:r>
          </w:p>
          <w:p w14:paraId="1720D6C9" w14:textId="77777777" w:rsidR="002C2977" w:rsidRDefault="002C2977" w:rsidP="00AA2069">
            <w:pPr>
              <w:pStyle w:val="Body"/>
              <w:numPr>
                <w:ilvl w:val="1"/>
                <w:numId w:val="39"/>
              </w:numPr>
              <w:spacing w:after="0"/>
            </w:pPr>
            <w:r>
              <w:t>Understanding of how to enable cultural change in GB rail</w:t>
            </w:r>
          </w:p>
          <w:p w14:paraId="71260B56" w14:textId="5F88CEBE" w:rsidR="2E1BE94F" w:rsidRDefault="2E1BE94F" w:rsidP="209A9399">
            <w:pPr>
              <w:pStyle w:val="Body"/>
              <w:numPr>
                <w:ilvl w:val="1"/>
                <w:numId w:val="39"/>
              </w:numPr>
              <w:spacing w:after="0"/>
            </w:pPr>
            <w:r>
              <w:lastRenderedPageBreak/>
              <w:t>Good understanding of train driving requirements including train driving polices. Experience in train driving is desirable but not essential</w:t>
            </w:r>
          </w:p>
          <w:p w14:paraId="673E172F" w14:textId="77777777" w:rsidR="002C2977" w:rsidRDefault="002C2977" w:rsidP="00AA2069">
            <w:pPr>
              <w:pStyle w:val="Body"/>
              <w:numPr>
                <w:ilvl w:val="1"/>
                <w:numId w:val="39"/>
              </w:numPr>
              <w:spacing w:after="0"/>
            </w:pPr>
            <w:r w:rsidRPr="000A49BD">
              <w:t>Good understanding of railway operations</w:t>
            </w:r>
            <w:r>
              <w:t xml:space="preserve"> with front-line experience</w:t>
            </w:r>
          </w:p>
          <w:p w14:paraId="540C53D8" w14:textId="12590683" w:rsidR="002C2977" w:rsidRDefault="002C2977" w:rsidP="00AA2069">
            <w:pPr>
              <w:pStyle w:val="Body"/>
              <w:numPr>
                <w:ilvl w:val="1"/>
                <w:numId w:val="39"/>
              </w:numPr>
              <w:spacing w:after="0"/>
            </w:pPr>
            <w:r>
              <w:t>Has experience with a Railway Undertaking (</w:t>
            </w:r>
            <w:r w:rsidR="00D508FB">
              <w:t>i.e.,</w:t>
            </w:r>
            <w:r>
              <w:t xml:space="preserve"> a TOC, FOC or OTM)</w:t>
            </w:r>
          </w:p>
          <w:p w14:paraId="77F96347" w14:textId="77777777" w:rsidR="002C2977" w:rsidRPr="000C7F2D" w:rsidRDefault="002C2977" w:rsidP="00AA2069">
            <w:pPr>
              <w:pStyle w:val="Body"/>
              <w:numPr>
                <w:ilvl w:val="1"/>
                <w:numId w:val="39"/>
              </w:numPr>
              <w:spacing w:after="0"/>
            </w:pPr>
            <w:r w:rsidRPr="0074462B">
              <w:t>Good understanding</w:t>
            </w:r>
            <w:r>
              <w:t xml:space="preserve"> of train service</w:t>
            </w:r>
            <w:r w:rsidRPr="000A49BD">
              <w:t xml:space="preserve"> performance </w:t>
            </w:r>
            <w:r w:rsidRPr="000C7F2D">
              <w:t>management</w:t>
            </w:r>
            <w:r>
              <w:t xml:space="preserve"> </w:t>
            </w:r>
            <w:r w:rsidRPr="000C7F2D">
              <w:t>and systems</w:t>
            </w:r>
          </w:p>
          <w:p w14:paraId="35628485" w14:textId="77777777" w:rsidR="002C2977" w:rsidRPr="000C7F2D" w:rsidRDefault="002C2977" w:rsidP="00AA2069">
            <w:pPr>
              <w:pStyle w:val="Body"/>
              <w:numPr>
                <w:ilvl w:val="1"/>
                <w:numId w:val="39"/>
              </w:numPr>
              <w:spacing w:after="0"/>
            </w:pPr>
            <w:r>
              <w:t>Good understanding of s</w:t>
            </w:r>
            <w:r w:rsidRPr="000A49BD">
              <w:t>afety</w:t>
            </w:r>
            <w:r w:rsidRPr="000C7F2D">
              <w:t xml:space="preserve"> management and systems</w:t>
            </w:r>
          </w:p>
          <w:p w14:paraId="1F82A12F" w14:textId="77777777" w:rsidR="002C2977" w:rsidRDefault="002C2977" w:rsidP="00AA2069">
            <w:pPr>
              <w:pStyle w:val="Body"/>
              <w:numPr>
                <w:ilvl w:val="1"/>
                <w:numId w:val="39"/>
              </w:numPr>
              <w:spacing w:after="0"/>
            </w:pPr>
            <w:r>
              <w:t>Has a high enough standing within the industry to work with range of experienced staff</w:t>
            </w:r>
          </w:p>
          <w:p w14:paraId="716E4AC2" w14:textId="77777777" w:rsidR="002C2977" w:rsidRDefault="002C2977" w:rsidP="00AA2069">
            <w:pPr>
              <w:pStyle w:val="Body"/>
              <w:numPr>
                <w:ilvl w:val="1"/>
                <w:numId w:val="39"/>
              </w:numPr>
              <w:spacing w:after="0"/>
            </w:pPr>
            <w:r>
              <w:t>Understanding of project management processes</w:t>
            </w:r>
          </w:p>
          <w:p w14:paraId="6D6D59F4" w14:textId="7B02D42E" w:rsidR="002C2977" w:rsidRPr="002C2977" w:rsidRDefault="002C2977" w:rsidP="00AA2069">
            <w:pPr>
              <w:pStyle w:val="Body"/>
              <w:numPr>
                <w:ilvl w:val="1"/>
                <w:numId w:val="39"/>
              </w:numPr>
              <w:spacing w:after="0"/>
            </w:pPr>
            <w:r>
              <w:t>Ability to communicate well verbally and in writing</w:t>
            </w:r>
          </w:p>
          <w:p w14:paraId="07D3FC09" w14:textId="77777777" w:rsidR="001E1A5D" w:rsidRDefault="001E1A5D" w:rsidP="00AA2069">
            <w:pPr>
              <w:pStyle w:val="ListParagraph"/>
              <w:numPr>
                <w:ilvl w:val="0"/>
                <w:numId w:val="39"/>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demonstrates what capabilities individual project team members will bring and how this shall contribute to successfully meeting the project’s objectives and outputs. To support RSSB’s evaluation, the tenderer shall provide a one-page CV for each key project member within an appendix.</w:t>
            </w:r>
          </w:p>
          <w:p w14:paraId="4B661492" w14:textId="6A788BEE" w:rsidR="001E1A5D" w:rsidRPr="00382426" w:rsidRDefault="001E1A5D" w:rsidP="00AA2069">
            <w:pPr>
              <w:pStyle w:val="ListParagraph"/>
              <w:numPr>
                <w:ilvl w:val="1"/>
                <w:numId w:val="39"/>
              </w:numPr>
              <w:spacing w:after="120" w:line="300" w:lineRule="exact"/>
              <w:rPr>
                <w:rFonts w:asciiTheme="minorHAnsi" w:hAnsiTheme="minorHAnsi" w:cstheme="minorHAnsi"/>
                <w:sz w:val="22"/>
                <w:szCs w:val="22"/>
              </w:rPr>
            </w:pPr>
            <w:r w:rsidRPr="00382426">
              <w:rPr>
                <w:rFonts w:asciiTheme="minorHAnsi" w:hAnsiTheme="minorHAnsi" w:cstheme="minorHAnsi"/>
                <w:b/>
                <w:bCs/>
                <w:sz w:val="22"/>
                <w:szCs w:val="22"/>
              </w:rPr>
              <w:t>The tenderer must not provide any team members or CVs unless that person is expected to have a role in the project</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7AFF2" w14:textId="28AB48E6" w:rsidR="001E1A5D" w:rsidRPr="00D65903" w:rsidRDefault="001E1A5D" w:rsidP="209A9399">
            <w:pPr>
              <w:spacing w:after="120" w:line="300" w:lineRule="exact"/>
              <w:rPr>
                <w:rFonts w:asciiTheme="minorHAnsi" w:hAnsiTheme="minorHAnsi" w:cstheme="minorBidi"/>
                <w:sz w:val="22"/>
                <w:szCs w:val="22"/>
              </w:rPr>
            </w:pPr>
            <w:r w:rsidRPr="209A9399">
              <w:rPr>
                <w:rFonts w:asciiTheme="minorHAnsi" w:hAnsiTheme="minorHAnsi" w:cstheme="minorBidi"/>
                <w:sz w:val="22"/>
                <w:szCs w:val="22"/>
              </w:rPr>
              <w:lastRenderedPageBreak/>
              <w:t>30%</w:t>
            </w:r>
          </w:p>
        </w:tc>
      </w:tr>
      <w:tr w:rsidR="001E1A5D" w:rsidRPr="00A54208" w14:paraId="5652A424" w14:textId="77777777" w:rsidTr="209A9399">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DFF9D" w14:textId="77777777" w:rsidR="001E1A5D" w:rsidRPr="00A54208" w:rsidRDefault="001E1A5D" w:rsidP="001E1A5D">
            <w:pPr>
              <w:spacing w:after="120" w:line="300" w:lineRule="exact"/>
              <w:rPr>
                <w:rFonts w:asciiTheme="minorHAnsi" w:hAnsiTheme="minorHAnsi" w:cstheme="minorHAnsi"/>
                <w:sz w:val="22"/>
                <w:szCs w:val="22"/>
              </w:rPr>
            </w:pPr>
            <w:r w:rsidRPr="00A54208">
              <w:rPr>
                <w:rFonts w:asciiTheme="minorHAnsi" w:hAnsiTheme="minorHAnsi" w:cstheme="minorHAnsi"/>
                <w:b/>
                <w:sz w:val="22"/>
                <w:szCs w:val="22"/>
              </w:rPr>
              <w:t>W4</w:t>
            </w:r>
            <w:r w:rsidRPr="00A54208">
              <w:rPr>
                <w:rFonts w:asciiTheme="minorHAnsi" w:hAnsiTheme="minorHAnsi" w:cstheme="minorHAnsi"/>
                <w:sz w:val="22"/>
                <w:szCs w:val="22"/>
              </w:rPr>
              <w:t xml:space="preserve"> Project management: Planning and engagement</w:t>
            </w:r>
          </w:p>
          <w:p w14:paraId="7E526532" w14:textId="73B3D0B2" w:rsidR="001E1A5D" w:rsidRPr="007F7351" w:rsidRDefault="001E1A5D" w:rsidP="001E1A5D">
            <w:pPr>
              <w:spacing w:after="120" w:line="300" w:lineRule="exact"/>
              <w:rPr>
                <w:rFonts w:asciiTheme="minorHAnsi" w:hAnsiTheme="minorHAnsi" w:cstheme="minorHAnsi"/>
                <w:sz w:val="22"/>
                <w:szCs w:val="22"/>
              </w:rPr>
            </w:pPr>
            <w:r w:rsidRPr="00A54208">
              <w:rPr>
                <w:rFonts w:asciiTheme="minorHAnsi" w:hAnsiTheme="minorHAnsi" w:cstheme="minorHAnsi"/>
                <w:sz w:val="22"/>
                <w:szCs w:val="22"/>
              </w:rPr>
              <w:t xml:space="preserve">[Max </w:t>
            </w:r>
            <w:r>
              <w:rPr>
                <w:rFonts w:asciiTheme="minorHAnsi" w:hAnsiTheme="minorHAnsi" w:cstheme="minorHAnsi"/>
                <w:sz w:val="22"/>
                <w:szCs w:val="22"/>
              </w:rPr>
              <w:t>4</w:t>
            </w:r>
            <w:r w:rsidRPr="00A54208">
              <w:rPr>
                <w:rFonts w:asciiTheme="minorHAnsi" w:hAnsiTheme="minorHAnsi" w:cstheme="minorHAnsi"/>
                <w:sz w:val="22"/>
                <w:szCs w:val="22"/>
              </w:rPr>
              <w:t xml:space="preserve">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4B7481" w14:textId="77777777" w:rsidR="001E1A5D" w:rsidRPr="00A54208" w:rsidRDefault="001E1A5D" w:rsidP="001E1A5D">
            <w:pPr>
              <w:rPr>
                <w:rFonts w:asciiTheme="minorHAnsi" w:hAnsiTheme="minorHAnsi"/>
                <w:sz w:val="22"/>
                <w:szCs w:val="22"/>
                <w:lang w:eastAsia="en-GB"/>
              </w:rPr>
            </w:pPr>
            <w:r w:rsidRPr="00A54208">
              <w:rPr>
                <w:rFonts w:asciiTheme="minorHAnsi" w:hAnsiTheme="minorHAnsi"/>
                <w:sz w:val="22"/>
                <w:szCs w:val="22"/>
                <w:lang w:eastAsia="en-GB"/>
              </w:rPr>
              <w:t>Tenderers should outline the processes and resources it proposes to use in order to fulfil RSSB’s requirements.</w:t>
            </w:r>
          </w:p>
          <w:p w14:paraId="20C1345C" w14:textId="77777777" w:rsidR="001E1A5D" w:rsidRPr="00A54208" w:rsidRDefault="001E1A5D" w:rsidP="001E1A5D">
            <w:pPr>
              <w:rPr>
                <w:rFonts w:asciiTheme="minorHAnsi" w:hAnsiTheme="minorHAnsi"/>
                <w:sz w:val="22"/>
                <w:szCs w:val="22"/>
                <w:lang w:eastAsia="en-GB"/>
              </w:rPr>
            </w:pPr>
          </w:p>
          <w:p w14:paraId="2F026971" w14:textId="77777777" w:rsidR="001E1A5D" w:rsidRPr="00A54208" w:rsidRDefault="001E1A5D" w:rsidP="001E1A5D">
            <w:pPr>
              <w:rPr>
                <w:rFonts w:asciiTheme="minorHAnsi" w:hAnsiTheme="minorHAnsi"/>
                <w:sz w:val="22"/>
                <w:szCs w:val="22"/>
                <w:lang w:eastAsia="en-GB"/>
              </w:rPr>
            </w:pPr>
            <w:r w:rsidRPr="00A54208">
              <w:rPr>
                <w:rFonts w:asciiTheme="minorHAnsi" w:hAnsiTheme="minorHAnsi"/>
                <w:sz w:val="22"/>
                <w:szCs w:val="22"/>
                <w:lang w:eastAsia="en-GB"/>
              </w:rPr>
              <w:t>The tender’s response shall be evaluated on the following criteria within the maximum stated page limit:</w:t>
            </w:r>
          </w:p>
          <w:p w14:paraId="0A93DA7D" w14:textId="1E02FC72" w:rsidR="001E1A5D" w:rsidRPr="00A54208" w:rsidRDefault="001E1A5D" w:rsidP="00AA2069">
            <w:pPr>
              <w:numPr>
                <w:ilvl w:val="0"/>
                <w:numId w:val="28"/>
              </w:numPr>
              <w:contextualSpacing/>
              <w:rPr>
                <w:rFonts w:asciiTheme="minorHAnsi" w:hAnsiTheme="minorHAnsi"/>
                <w:sz w:val="22"/>
                <w:szCs w:val="22"/>
                <w:lang w:eastAsia="en-GB"/>
              </w:rPr>
            </w:pPr>
            <w:r w:rsidRPr="00A54208">
              <w:rPr>
                <w:rFonts w:asciiTheme="minorHAnsi" w:hAnsiTheme="minorHAnsi"/>
                <w:sz w:val="22"/>
                <w:szCs w:val="22"/>
                <w:lang w:eastAsia="en-GB"/>
              </w:rPr>
              <w:lastRenderedPageBreak/>
              <w:t xml:space="preserve">The tenderer provides adequate allocation of resource to successfully deliver outcomes to time, </w:t>
            </w:r>
            <w:r w:rsidR="00D508FB" w:rsidRPr="00A54208">
              <w:rPr>
                <w:rFonts w:asciiTheme="minorHAnsi" w:hAnsiTheme="minorHAnsi"/>
                <w:sz w:val="22"/>
                <w:szCs w:val="22"/>
                <w:lang w:eastAsia="en-GB"/>
              </w:rPr>
              <w:t>cost,</w:t>
            </w:r>
            <w:r w:rsidRPr="00A54208">
              <w:rPr>
                <w:rFonts w:asciiTheme="minorHAnsi" w:hAnsiTheme="minorHAnsi"/>
                <w:sz w:val="22"/>
                <w:szCs w:val="22"/>
                <w:lang w:eastAsia="en-GB"/>
              </w:rPr>
              <w:t xml:space="preserve"> and quality</w:t>
            </w:r>
            <w:r w:rsidRPr="00A54208">
              <w:rPr>
                <w:rStyle w:val="FootnoteReference"/>
                <w:rFonts w:asciiTheme="minorHAnsi" w:hAnsiTheme="minorHAnsi"/>
                <w:sz w:val="22"/>
                <w:szCs w:val="22"/>
                <w:lang w:eastAsia="en-GB"/>
              </w:rPr>
              <w:footnoteReference w:id="9"/>
            </w:r>
            <w:r w:rsidRPr="00A54208">
              <w:rPr>
                <w:rFonts w:asciiTheme="minorHAnsi" w:hAnsiTheme="minorHAnsi"/>
                <w:sz w:val="22"/>
                <w:szCs w:val="22"/>
                <w:lang w:eastAsia="en-GB"/>
              </w:rPr>
              <w:t>. To support RSSB’s evaluation, the tenderer shall provide:</w:t>
            </w:r>
          </w:p>
          <w:p w14:paraId="653196FE" w14:textId="77777777" w:rsidR="001E1A5D" w:rsidRPr="00A54208"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A Gantt chart detailing key tasks and timeframes</w:t>
            </w:r>
          </w:p>
          <w:p w14:paraId="3A7A8735" w14:textId="1E1AFD75" w:rsidR="001E1A5D" w:rsidRPr="00A54208"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 xml:space="preserve">A resource table that details task, role, </w:t>
            </w:r>
            <w:r w:rsidR="00D508FB" w:rsidRPr="00A54208">
              <w:rPr>
                <w:rFonts w:asciiTheme="minorHAnsi" w:hAnsiTheme="minorHAnsi" w:cstheme="minorHAnsi"/>
                <w:sz w:val="22"/>
                <w:szCs w:val="22"/>
              </w:rPr>
              <w:t>name,</w:t>
            </w:r>
            <w:r w:rsidRPr="00A54208">
              <w:rPr>
                <w:rFonts w:asciiTheme="minorHAnsi" w:hAnsiTheme="minorHAnsi" w:cstheme="minorHAnsi"/>
                <w:sz w:val="22"/>
                <w:szCs w:val="22"/>
              </w:rPr>
              <w:t xml:space="preserve"> and effort (in days). The table should include total effort (in days). </w:t>
            </w:r>
          </w:p>
          <w:p w14:paraId="09A1DC8A" w14:textId="77777777" w:rsidR="001E1A5D" w:rsidRPr="00A54208" w:rsidRDefault="001E1A5D" w:rsidP="00AA2069">
            <w:pPr>
              <w:pStyle w:val="ListParagraph"/>
              <w:numPr>
                <w:ilvl w:val="0"/>
                <w:numId w:val="28"/>
              </w:numPr>
              <w:spacing w:after="120" w:line="300" w:lineRule="exact"/>
              <w:rPr>
                <w:rFonts w:asciiTheme="minorHAnsi" w:hAnsiTheme="minorHAnsi" w:cstheme="minorHAnsi"/>
                <w:sz w:val="22"/>
                <w:szCs w:val="22"/>
              </w:rPr>
            </w:pPr>
            <w:r w:rsidRPr="00A54208">
              <w:rPr>
                <w:rFonts w:asciiTheme="minorHAnsi" w:hAnsiTheme="minorHAnsi" w:cstheme="minorHAnsi"/>
                <w:sz w:val="22"/>
                <w:szCs w:val="22"/>
              </w:rPr>
              <w:t>The tenderer provides a clear engagement plan detailing:</w:t>
            </w:r>
          </w:p>
          <w:p w14:paraId="21965D45" w14:textId="77777777" w:rsidR="001E1A5D" w:rsidRPr="00A54208"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Which stakeholders it intends to engage with</w:t>
            </w:r>
          </w:p>
          <w:p w14:paraId="2084F051" w14:textId="77777777" w:rsidR="001E1A5D" w:rsidRPr="00A54208"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When (and how) it intends to engage with stakeholders</w:t>
            </w:r>
          </w:p>
          <w:p w14:paraId="27041B82" w14:textId="77777777" w:rsidR="001E1A5D"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What input it shall seek from stakeholders</w:t>
            </w:r>
          </w:p>
          <w:p w14:paraId="3A012C38" w14:textId="63A01A06" w:rsidR="001E1A5D" w:rsidRPr="00B91F26" w:rsidRDefault="001E1A5D" w:rsidP="00AA2069">
            <w:pPr>
              <w:pStyle w:val="ListParagraph"/>
              <w:numPr>
                <w:ilvl w:val="2"/>
                <w:numId w:val="39"/>
              </w:numPr>
              <w:spacing w:after="120" w:line="300" w:lineRule="exact"/>
              <w:rPr>
                <w:rFonts w:asciiTheme="minorHAnsi" w:hAnsiTheme="minorHAnsi" w:cstheme="minorHAnsi"/>
                <w:sz w:val="22"/>
                <w:szCs w:val="22"/>
              </w:rPr>
            </w:pPr>
            <w:r w:rsidRPr="00D35B11">
              <w:rPr>
                <w:rFonts w:asciiTheme="minorHAnsi" w:hAnsiTheme="minorHAnsi" w:cstheme="minorHAnsi"/>
                <w:sz w:val="22"/>
                <w:szCs w:val="22"/>
              </w:rPr>
              <w:t>A ranking of stakeholders by order of priority, outlining how the stakeholders will have impact on successful delivery of the project.</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A4053" w14:textId="308C3CC3" w:rsidR="001E1A5D" w:rsidRPr="00A54208"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20</w:t>
            </w:r>
            <w:r w:rsidRPr="00A54208">
              <w:rPr>
                <w:rFonts w:asciiTheme="minorHAnsi" w:hAnsiTheme="minorHAnsi" w:cstheme="minorHAnsi"/>
                <w:sz w:val="22"/>
                <w:szCs w:val="22"/>
              </w:rPr>
              <w:t>%</w:t>
            </w:r>
          </w:p>
        </w:tc>
      </w:tr>
      <w:tr w:rsidR="001E1A5D" w:rsidRPr="006129F4" w14:paraId="17364B92" w14:textId="77777777" w:rsidTr="209A9399">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03DC22" w14:textId="77777777" w:rsidR="001E1A5D" w:rsidRPr="006129F4" w:rsidRDefault="001E1A5D" w:rsidP="001E1A5D">
            <w:pPr>
              <w:spacing w:after="120" w:line="300" w:lineRule="exact"/>
              <w:rPr>
                <w:rFonts w:asciiTheme="minorHAnsi" w:hAnsiTheme="minorHAnsi" w:cstheme="minorHAnsi"/>
                <w:sz w:val="22"/>
                <w:szCs w:val="22"/>
              </w:rPr>
            </w:pPr>
            <w:r w:rsidRPr="006129F4">
              <w:rPr>
                <w:rFonts w:asciiTheme="minorHAnsi" w:hAnsiTheme="minorHAnsi" w:cstheme="minorHAnsi"/>
                <w:b/>
                <w:sz w:val="22"/>
                <w:szCs w:val="22"/>
              </w:rPr>
              <w:t>W</w:t>
            </w:r>
            <w:r>
              <w:rPr>
                <w:rFonts w:asciiTheme="minorHAnsi" w:hAnsiTheme="minorHAnsi" w:cstheme="minorHAnsi"/>
                <w:b/>
                <w:sz w:val="22"/>
                <w:szCs w:val="22"/>
              </w:rPr>
              <w:t>5</w:t>
            </w:r>
            <w:r w:rsidRPr="006129F4">
              <w:rPr>
                <w:rFonts w:asciiTheme="minorHAnsi" w:hAnsiTheme="minorHAnsi" w:cstheme="minorHAnsi"/>
                <w:b/>
                <w:sz w:val="22"/>
                <w:szCs w:val="22"/>
              </w:rPr>
              <w:t xml:space="preserve"> </w:t>
            </w:r>
            <w:r w:rsidRPr="006129F4">
              <w:rPr>
                <w:rFonts w:asciiTheme="minorHAnsi" w:hAnsiTheme="minorHAnsi" w:cstheme="minorHAnsi"/>
                <w:sz w:val="22"/>
                <w:szCs w:val="22"/>
              </w:rPr>
              <w:t>Risks and opportunities</w:t>
            </w:r>
          </w:p>
          <w:p w14:paraId="0ABCE2EB" w14:textId="2220CF48" w:rsidR="001E1A5D" w:rsidRPr="006129F4" w:rsidRDefault="001E1A5D" w:rsidP="001E1A5D">
            <w:pPr>
              <w:spacing w:after="120" w:line="300" w:lineRule="exact"/>
              <w:rPr>
                <w:rFonts w:asciiTheme="minorHAnsi" w:hAnsiTheme="minorHAnsi" w:cstheme="minorHAnsi"/>
                <w:sz w:val="22"/>
                <w:szCs w:val="22"/>
              </w:rPr>
            </w:pPr>
            <w:r w:rsidRPr="006129F4">
              <w:rPr>
                <w:rFonts w:asciiTheme="minorHAnsi" w:hAnsiTheme="minorHAnsi" w:cstheme="minorHAnsi"/>
                <w:sz w:val="22"/>
                <w:szCs w:val="22"/>
              </w:rPr>
              <w:t xml:space="preserve">[Max </w:t>
            </w:r>
            <w:r>
              <w:rPr>
                <w:rFonts w:asciiTheme="minorHAnsi" w:hAnsiTheme="minorHAnsi" w:cstheme="minorHAnsi"/>
                <w:sz w:val="22"/>
                <w:szCs w:val="22"/>
              </w:rPr>
              <w:t>2</w:t>
            </w:r>
            <w:r w:rsidRPr="006129F4">
              <w:rPr>
                <w:rFonts w:asciiTheme="minorHAnsi" w:hAnsiTheme="minorHAnsi" w:cstheme="minorHAnsi"/>
                <w:sz w:val="22"/>
                <w:szCs w:val="22"/>
              </w:rPr>
              <w:t xml:space="preserve"> pages]</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788236" w14:textId="77777777" w:rsidR="001E1A5D" w:rsidRPr="006129F4" w:rsidRDefault="001E1A5D" w:rsidP="001E1A5D">
            <w:pPr>
              <w:spacing w:after="120" w:line="300" w:lineRule="exact"/>
              <w:rPr>
                <w:rFonts w:asciiTheme="minorHAnsi" w:hAnsiTheme="minorHAnsi" w:cstheme="minorHAnsi"/>
                <w:sz w:val="22"/>
                <w:szCs w:val="22"/>
              </w:rPr>
            </w:pPr>
            <w:r>
              <w:rPr>
                <w:rFonts w:asciiTheme="minorHAnsi" w:hAnsiTheme="minorHAnsi"/>
                <w:sz w:val="22"/>
                <w:szCs w:val="22"/>
                <w:lang w:eastAsia="en-GB"/>
              </w:rPr>
              <w:t>Using the RSSB supplied ‘</w:t>
            </w:r>
            <w:r w:rsidRPr="001502F5">
              <w:rPr>
                <w:rFonts w:asciiTheme="minorHAnsi" w:hAnsiTheme="minorHAnsi"/>
                <w:sz w:val="22"/>
                <w:szCs w:val="22"/>
                <w:lang w:eastAsia="en-GB"/>
              </w:rPr>
              <w:t>Risk and Opportunity register templates and guidance</w:t>
            </w:r>
            <w:r>
              <w:rPr>
                <w:rFonts w:asciiTheme="minorHAnsi" w:hAnsiTheme="minorHAnsi"/>
                <w:sz w:val="22"/>
                <w:szCs w:val="22"/>
                <w:lang w:eastAsia="en-GB"/>
              </w:rPr>
              <w:t>’</w:t>
            </w:r>
            <w:r>
              <w:rPr>
                <w:rFonts w:asciiTheme="minorHAnsi" w:hAnsiTheme="minorHAnsi"/>
                <w:sz w:val="22"/>
                <w:szCs w:val="22"/>
              </w:rPr>
              <w:t>, t</w:t>
            </w:r>
            <w:r w:rsidRPr="006129F4">
              <w:rPr>
                <w:rFonts w:asciiTheme="minorHAnsi" w:hAnsiTheme="minorHAnsi" w:cstheme="minorHAnsi"/>
                <w:sz w:val="22"/>
                <w:szCs w:val="22"/>
              </w:rPr>
              <w:t>enderers should detail what risks and opportunities</w:t>
            </w:r>
            <w:r w:rsidRPr="006129F4">
              <w:rPr>
                <w:rStyle w:val="FootnoteReference"/>
                <w:rFonts w:asciiTheme="minorHAnsi" w:hAnsiTheme="minorHAnsi" w:cstheme="minorHAnsi"/>
                <w:sz w:val="22"/>
                <w:szCs w:val="22"/>
              </w:rPr>
              <w:footnoteReference w:id="10"/>
            </w:r>
            <w:r w:rsidRPr="006129F4">
              <w:rPr>
                <w:rFonts w:asciiTheme="minorHAnsi" w:hAnsiTheme="minorHAnsi" w:cstheme="minorHAnsi"/>
                <w:sz w:val="22"/>
                <w:szCs w:val="22"/>
              </w:rPr>
              <w:t xml:space="preserve"> are foreseen in the delivery of the project.</w:t>
            </w:r>
          </w:p>
          <w:p w14:paraId="06280147" w14:textId="77777777" w:rsidR="001E1A5D" w:rsidRPr="006129F4" w:rsidRDefault="001E1A5D" w:rsidP="001E1A5D">
            <w:pPr>
              <w:rPr>
                <w:rFonts w:asciiTheme="minorHAnsi" w:hAnsiTheme="minorHAnsi"/>
                <w:sz w:val="22"/>
                <w:szCs w:val="22"/>
                <w:lang w:eastAsia="en-GB"/>
              </w:rPr>
            </w:pPr>
            <w:r>
              <w:rPr>
                <w:rFonts w:asciiTheme="minorHAnsi" w:hAnsiTheme="minorHAnsi"/>
                <w:sz w:val="22"/>
                <w:szCs w:val="22"/>
                <w:lang w:eastAsia="en-GB"/>
              </w:rPr>
              <w:t>T</w:t>
            </w:r>
            <w:r w:rsidRPr="006129F4">
              <w:rPr>
                <w:rFonts w:asciiTheme="minorHAnsi" w:hAnsiTheme="minorHAnsi"/>
                <w:sz w:val="22"/>
                <w:szCs w:val="22"/>
                <w:lang w:eastAsia="en-GB"/>
              </w:rPr>
              <w:t>he tenderer’s response shall be evaluated on the following criteria within the maximum stated page limit:</w:t>
            </w:r>
          </w:p>
          <w:p w14:paraId="47C5A1FC" w14:textId="77777777" w:rsidR="001E1A5D" w:rsidRDefault="001E1A5D" w:rsidP="00AA2069">
            <w:pPr>
              <w:pStyle w:val="ListParagraph"/>
              <w:numPr>
                <w:ilvl w:val="0"/>
                <w:numId w:val="36"/>
              </w:numPr>
              <w:spacing w:after="120" w:line="300" w:lineRule="exact"/>
              <w:rPr>
                <w:rFonts w:asciiTheme="minorHAnsi" w:hAnsiTheme="minorHAnsi" w:cstheme="minorHAnsi"/>
                <w:sz w:val="22"/>
                <w:szCs w:val="22"/>
              </w:rPr>
            </w:pPr>
            <w:r>
              <w:rPr>
                <w:rFonts w:asciiTheme="minorHAnsi" w:hAnsiTheme="minorHAnsi" w:cstheme="minorHAnsi"/>
                <w:sz w:val="22"/>
                <w:szCs w:val="22"/>
              </w:rPr>
              <w:t>For each risk, t</w:t>
            </w:r>
            <w:r w:rsidRPr="006129F4">
              <w:rPr>
                <w:rFonts w:asciiTheme="minorHAnsi" w:hAnsiTheme="minorHAnsi" w:cstheme="minorHAnsi"/>
                <w:sz w:val="22"/>
                <w:szCs w:val="22"/>
              </w:rPr>
              <w:t xml:space="preserve">he tenderer shall </w:t>
            </w:r>
            <w:r>
              <w:rPr>
                <w:rFonts w:asciiTheme="minorHAnsi" w:hAnsiTheme="minorHAnsi" w:cstheme="minorHAnsi"/>
                <w:sz w:val="22"/>
                <w:szCs w:val="22"/>
              </w:rPr>
              <w:t>detail:</w:t>
            </w:r>
          </w:p>
          <w:p w14:paraId="03E42C4C" w14:textId="77777777" w:rsidR="001E1A5D"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Description of the impact and probability of the risk if unmitigated</w:t>
            </w:r>
          </w:p>
          <w:p w14:paraId="63841ABA" w14:textId="77777777" w:rsidR="001E1A5D"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 xml:space="preserve">Impact of the risk on Time, Quality and Cost </w:t>
            </w:r>
            <w:r>
              <w:rPr>
                <w:rFonts w:asciiTheme="minorHAnsi" w:hAnsiTheme="minorHAnsi" w:cstheme="minorHAnsi"/>
                <w:sz w:val="22"/>
                <w:szCs w:val="22"/>
              </w:rPr>
              <w:t>(scored out of 5)</w:t>
            </w:r>
          </w:p>
          <w:p w14:paraId="5E023779" w14:textId="77777777" w:rsidR="001E1A5D"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 xml:space="preserve">Likelihood of the risk occurring </w:t>
            </w:r>
            <w:r>
              <w:rPr>
                <w:rFonts w:asciiTheme="minorHAnsi" w:hAnsiTheme="minorHAnsi" w:cstheme="minorHAnsi"/>
                <w:sz w:val="22"/>
                <w:szCs w:val="22"/>
              </w:rPr>
              <w:t>(scored out of 5)</w:t>
            </w:r>
          </w:p>
          <w:p w14:paraId="1616F7FF" w14:textId="77777777" w:rsidR="001E1A5D"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Pr>
                <w:rFonts w:asciiTheme="minorHAnsi" w:hAnsiTheme="minorHAnsi" w:cstheme="minorHAnsi"/>
                <w:sz w:val="22"/>
                <w:szCs w:val="22"/>
              </w:rPr>
              <w:lastRenderedPageBreak/>
              <w:t>Provide a risk rating (impact * likelihood)</w:t>
            </w:r>
          </w:p>
          <w:p w14:paraId="0A34BFB7" w14:textId="77777777" w:rsidR="001E1A5D"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 xml:space="preserve">Actions to address probability and impact of the risk; and revised </w:t>
            </w:r>
            <w:r>
              <w:rPr>
                <w:rFonts w:asciiTheme="minorHAnsi" w:hAnsiTheme="minorHAnsi" w:cstheme="minorHAnsi"/>
                <w:sz w:val="22"/>
                <w:szCs w:val="22"/>
              </w:rPr>
              <w:t>r</w:t>
            </w:r>
            <w:r w:rsidRPr="00275F75">
              <w:rPr>
                <w:rFonts w:asciiTheme="minorHAnsi" w:hAnsiTheme="minorHAnsi" w:cstheme="minorHAnsi"/>
                <w:sz w:val="22"/>
                <w:szCs w:val="22"/>
              </w:rPr>
              <w:t xml:space="preserve">isk </w:t>
            </w:r>
            <w:r>
              <w:rPr>
                <w:rFonts w:asciiTheme="minorHAnsi" w:hAnsiTheme="minorHAnsi" w:cstheme="minorHAnsi"/>
                <w:sz w:val="22"/>
                <w:szCs w:val="22"/>
              </w:rPr>
              <w:t>r</w:t>
            </w:r>
            <w:r w:rsidRPr="00275F75">
              <w:rPr>
                <w:rFonts w:asciiTheme="minorHAnsi" w:hAnsiTheme="minorHAnsi" w:cstheme="minorHAnsi"/>
                <w:sz w:val="22"/>
                <w:szCs w:val="22"/>
              </w:rPr>
              <w:t>ating</w:t>
            </w:r>
            <w:r>
              <w:rPr>
                <w:rFonts w:asciiTheme="minorHAnsi" w:hAnsiTheme="minorHAnsi" w:cstheme="minorHAnsi"/>
                <w:sz w:val="22"/>
                <w:szCs w:val="22"/>
              </w:rPr>
              <w:t xml:space="preserve"> </w:t>
            </w:r>
            <w:r w:rsidRPr="00275F75">
              <w:rPr>
                <w:rFonts w:asciiTheme="minorHAnsi" w:hAnsiTheme="minorHAnsi" w:cstheme="minorHAnsi"/>
                <w:sz w:val="22"/>
                <w:szCs w:val="22"/>
              </w:rPr>
              <w:t>with mitigation in place</w:t>
            </w:r>
          </w:p>
          <w:p w14:paraId="24AB8D4C" w14:textId="77777777" w:rsidR="001E1A5D"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Actions to be taken should the risk be realised</w:t>
            </w:r>
          </w:p>
          <w:p w14:paraId="645870D4" w14:textId="77777777" w:rsidR="001E1A5D" w:rsidRPr="00A5399E" w:rsidRDefault="001E1A5D" w:rsidP="00AA2069">
            <w:pPr>
              <w:pStyle w:val="ListParagraph"/>
              <w:numPr>
                <w:ilvl w:val="1"/>
                <w:numId w:val="39"/>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Specific individual ultimately responsible for the risk control</w:t>
            </w:r>
            <w:r>
              <w:rPr>
                <w:rFonts w:asciiTheme="minorHAnsi" w:hAnsiTheme="minorHAnsi" w:cstheme="minorHAnsi"/>
                <w:sz w:val="22"/>
                <w:szCs w:val="22"/>
              </w:rPr>
              <w:br/>
            </w:r>
          </w:p>
          <w:p w14:paraId="2FED5526" w14:textId="77777777" w:rsidR="001E1A5D" w:rsidRDefault="001E1A5D" w:rsidP="00AA2069">
            <w:pPr>
              <w:pStyle w:val="ListParagraph"/>
              <w:numPr>
                <w:ilvl w:val="0"/>
                <w:numId w:val="39"/>
              </w:numPr>
              <w:spacing w:after="120" w:line="300" w:lineRule="exact"/>
              <w:rPr>
                <w:rFonts w:asciiTheme="minorHAnsi" w:hAnsiTheme="minorHAnsi" w:cstheme="minorHAnsi"/>
                <w:sz w:val="22"/>
                <w:szCs w:val="22"/>
              </w:rPr>
            </w:pPr>
            <w:r>
              <w:rPr>
                <w:rFonts w:asciiTheme="minorHAnsi" w:hAnsiTheme="minorHAnsi" w:cstheme="minorHAnsi"/>
                <w:sz w:val="22"/>
                <w:szCs w:val="22"/>
              </w:rPr>
              <w:t>For each opportunity, the tenderer shall detail:</w:t>
            </w:r>
          </w:p>
          <w:p w14:paraId="3EE86E5E" w14:textId="77777777" w:rsidR="001E1A5D" w:rsidRDefault="001E1A5D" w:rsidP="00AA2069">
            <w:pPr>
              <w:pStyle w:val="ListParagraph"/>
              <w:numPr>
                <w:ilvl w:val="1"/>
                <w:numId w:val="39"/>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 xml:space="preserve">Description of </w:t>
            </w:r>
            <w:r>
              <w:rPr>
                <w:rFonts w:asciiTheme="minorHAnsi" w:hAnsiTheme="minorHAnsi" w:cstheme="minorHAnsi"/>
                <w:sz w:val="22"/>
                <w:szCs w:val="22"/>
              </w:rPr>
              <w:t xml:space="preserve">the </w:t>
            </w:r>
            <w:r w:rsidRPr="007A73BC">
              <w:rPr>
                <w:rFonts w:asciiTheme="minorHAnsi" w:hAnsiTheme="minorHAnsi" w:cstheme="minorHAnsi"/>
                <w:sz w:val="22"/>
                <w:szCs w:val="22"/>
              </w:rPr>
              <w:t>opportunity</w:t>
            </w:r>
          </w:p>
          <w:p w14:paraId="75DEE4A3" w14:textId="77777777" w:rsidR="001E1A5D" w:rsidRDefault="001E1A5D" w:rsidP="00AA2069">
            <w:pPr>
              <w:pStyle w:val="ListParagraph"/>
              <w:numPr>
                <w:ilvl w:val="1"/>
                <w:numId w:val="39"/>
              </w:numPr>
              <w:spacing w:after="120" w:line="300" w:lineRule="exact"/>
              <w:rPr>
                <w:rFonts w:asciiTheme="minorHAnsi" w:hAnsiTheme="minorHAnsi" w:cstheme="minorHAnsi"/>
                <w:sz w:val="22"/>
                <w:szCs w:val="22"/>
              </w:rPr>
            </w:pPr>
            <w:r>
              <w:rPr>
                <w:rFonts w:asciiTheme="minorHAnsi" w:hAnsiTheme="minorHAnsi" w:cstheme="minorHAnsi"/>
                <w:sz w:val="22"/>
                <w:szCs w:val="22"/>
              </w:rPr>
              <w:t>T</w:t>
            </w:r>
            <w:r w:rsidRPr="007A73BC">
              <w:rPr>
                <w:rFonts w:asciiTheme="minorHAnsi" w:hAnsiTheme="minorHAnsi" w:cstheme="minorHAnsi"/>
                <w:sz w:val="22"/>
                <w:szCs w:val="22"/>
              </w:rPr>
              <w:t>he benefits of realising the opportunity on project Time, Quality and Cost</w:t>
            </w:r>
          </w:p>
          <w:p w14:paraId="02F62EEA" w14:textId="77777777" w:rsidR="001E1A5D" w:rsidRDefault="001E1A5D" w:rsidP="00AA2069">
            <w:pPr>
              <w:pStyle w:val="ListParagraph"/>
              <w:numPr>
                <w:ilvl w:val="1"/>
                <w:numId w:val="39"/>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Actions to be taken to support the opportunity being realised</w:t>
            </w:r>
          </w:p>
          <w:p w14:paraId="3972777D" w14:textId="77777777" w:rsidR="001E1A5D" w:rsidRDefault="001E1A5D" w:rsidP="00AA2069">
            <w:pPr>
              <w:pStyle w:val="ListParagraph"/>
              <w:numPr>
                <w:ilvl w:val="1"/>
                <w:numId w:val="39"/>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Specific individual ultimately responsible for the opportunity</w:t>
            </w:r>
          </w:p>
          <w:p w14:paraId="0B5A0201" w14:textId="775EBDE4" w:rsidR="001E1A5D" w:rsidRPr="00275F75"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Please note: </w:t>
            </w:r>
            <w:r w:rsidRPr="00275F75">
              <w:rPr>
                <w:rFonts w:asciiTheme="minorHAnsi" w:hAnsiTheme="minorHAnsi" w:cstheme="minorHAnsi"/>
                <w:sz w:val="22"/>
                <w:szCs w:val="22"/>
              </w:rPr>
              <w:t>Tenderers must not use their own template</w:t>
            </w:r>
            <w:r>
              <w:rPr>
                <w:rFonts w:asciiTheme="minorHAnsi" w:hAnsiTheme="minorHAnsi" w:cstheme="minorHAnsi"/>
                <w:sz w:val="22"/>
                <w:szCs w:val="22"/>
              </w:rPr>
              <w:t xml:space="preserve"> for this section.</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DF75" w14:textId="7595FE88" w:rsidR="001E1A5D" w:rsidRPr="006129F4" w:rsidRDefault="001E1A5D" w:rsidP="001E1A5D">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10</w:t>
            </w:r>
            <w:r w:rsidRPr="006129F4">
              <w:rPr>
                <w:rFonts w:asciiTheme="minorHAnsi" w:hAnsiTheme="minorHAnsi" w:cstheme="minorHAnsi"/>
                <w:sz w:val="22"/>
                <w:szCs w:val="22"/>
              </w:rPr>
              <w:t>%</w:t>
            </w:r>
          </w:p>
        </w:tc>
      </w:tr>
      <w:tr w:rsidR="00A54208" w:rsidRPr="00D65903" w14:paraId="521BBA53" w14:textId="77777777" w:rsidTr="209A9399">
        <w:trPr>
          <w:trHeight w:val="724"/>
          <w:jc w:val="center"/>
        </w:trPr>
        <w:tc>
          <w:tcPr>
            <w:tcW w:w="10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DEAA2" w14:textId="2AD52933" w:rsidR="00A54208" w:rsidRPr="00D65903" w:rsidRDefault="00A54208" w:rsidP="00A54208">
            <w:pPr>
              <w:spacing w:after="120" w:line="300" w:lineRule="exact"/>
              <w:rPr>
                <w:rFonts w:asciiTheme="minorHAnsi" w:hAnsiTheme="minorHAnsi" w:cstheme="minorHAnsi"/>
                <w:sz w:val="22"/>
                <w:szCs w:val="22"/>
              </w:rPr>
            </w:pPr>
            <w:r w:rsidRPr="00D65903">
              <w:rPr>
                <w:rFonts w:asciiTheme="minorHAnsi" w:hAnsiTheme="minorHAnsi" w:cstheme="minorHAnsi"/>
                <w:b/>
                <w:sz w:val="22"/>
                <w:szCs w:val="22"/>
              </w:rPr>
              <w:t>W</w:t>
            </w:r>
            <w:r w:rsidR="00D35B11">
              <w:rPr>
                <w:rFonts w:asciiTheme="minorHAnsi" w:hAnsiTheme="minorHAnsi" w:cstheme="minorHAnsi"/>
                <w:b/>
                <w:sz w:val="22"/>
                <w:szCs w:val="22"/>
              </w:rPr>
              <w:t>6</w:t>
            </w:r>
            <w:r w:rsidRPr="00D65903">
              <w:rPr>
                <w:rFonts w:asciiTheme="minorHAnsi" w:hAnsiTheme="minorHAnsi" w:cstheme="minorHAnsi"/>
                <w:b/>
                <w:sz w:val="22"/>
                <w:szCs w:val="22"/>
              </w:rPr>
              <w:t xml:space="preserve"> </w:t>
            </w:r>
            <w:r w:rsidRPr="00D65903">
              <w:rPr>
                <w:rFonts w:asciiTheme="minorHAnsi" w:hAnsiTheme="minorHAnsi" w:cstheme="minorHAnsi"/>
                <w:sz w:val="22"/>
                <w:szCs w:val="22"/>
              </w:rPr>
              <w:t>Cost of project</w:t>
            </w:r>
          </w:p>
        </w:tc>
        <w:tc>
          <w:tcPr>
            <w:tcW w:w="30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500BC" w14:textId="7066C877" w:rsidR="00A54208" w:rsidRDefault="00A54208" w:rsidP="00A54208">
            <w:pPr>
              <w:pStyle w:val="TableBodyLeft"/>
              <w:rPr>
                <w:rFonts w:asciiTheme="minorHAnsi" w:hAnsiTheme="minorHAnsi" w:cstheme="minorHAnsi"/>
              </w:rPr>
            </w:pPr>
            <w:r w:rsidRPr="00D65903">
              <w:rPr>
                <w:rFonts w:asciiTheme="minorHAnsi" w:hAnsiTheme="minorHAnsi" w:cstheme="minorHAnsi"/>
              </w:rPr>
              <w:t>Tenderers should</w:t>
            </w:r>
            <w:r>
              <w:rPr>
                <w:rFonts w:asciiTheme="minorHAnsi" w:hAnsiTheme="minorHAnsi" w:cstheme="minorHAnsi"/>
              </w:rPr>
              <w:t xml:space="preserve"> p</w:t>
            </w:r>
            <w:r w:rsidRPr="00A076CC">
              <w:rPr>
                <w:rFonts w:asciiTheme="minorHAnsi" w:hAnsiTheme="minorHAnsi" w:cstheme="minorHAnsi"/>
              </w:rPr>
              <w:t>rovide a fixed cost for the project and the associated cost break down.</w:t>
            </w:r>
          </w:p>
          <w:p w14:paraId="32256874" w14:textId="77777777" w:rsidR="00A54208" w:rsidRDefault="00A54208" w:rsidP="00A54208">
            <w:pPr>
              <w:pStyle w:val="TableBodyLeft"/>
              <w:rPr>
                <w:rFonts w:asciiTheme="minorHAnsi" w:hAnsiTheme="minorHAnsi" w:cstheme="minorHAnsi"/>
              </w:rPr>
            </w:pPr>
          </w:p>
          <w:p w14:paraId="266067E1" w14:textId="4070B17A" w:rsidR="00A54208" w:rsidRDefault="00A54208" w:rsidP="00A54208">
            <w:p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The tender with the lowest total cost will receive 100% of the available weighted score (</w:t>
            </w:r>
            <w:r w:rsidR="00323200">
              <w:rPr>
                <w:rFonts w:asciiTheme="minorHAnsi" w:hAnsiTheme="minorHAnsi" w:cstheme="minorHAnsi"/>
                <w:sz w:val="22"/>
                <w:szCs w:val="22"/>
              </w:rPr>
              <w:t>[</w:t>
            </w:r>
            <w:r w:rsidRPr="00A076CC">
              <w:rPr>
                <w:rFonts w:asciiTheme="minorHAnsi" w:hAnsiTheme="minorHAnsi" w:cstheme="minorHAnsi"/>
                <w:sz w:val="22"/>
                <w:szCs w:val="22"/>
              </w:rPr>
              <w:t>#%</w:t>
            </w:r>
            <w:r w:rsidR="00323200">
              <w:rPr>
                <w:rFonts w:asciiTheme="minorHAnsi" w:hAnsiTheme="minorHAnsi" w:cstheme="minorHAnsi"/>
                <w:sz w:val="22"/>
                <w:szCs w:val="22"/>
              </w:rPr>
              <w:t>]</w:t>
            </w:r>
            <w:r w:rsidRPr="00A076CC">
              <w:rPr>
                <w:rFonts w:asciiTheme="minorHAnsi" w:hAnsiTheme="minorHAnsi" w:cstheme="minorHAnsi"/>
                <w:sz w:val="22"/>
                <w:szCs w:val="22"/>
              </w:rPr>
              <w:t>).</w:t>
            </w:r>
            <w:r>
              <w:rPr>
                <w:rFonts w:asciiTheme="minorHAnsi" w:hAnsiTheme="minorHAnsi" w:cstheme="minorHAnsi"/>
                <w:sz w:val="22"/>
                <w:szCs w:val="22"/>
              </w:rPr>
              <w:t xml:space="preserve"> </w:t>
            </w:r>
            <w:r w:rsidRPr="00A076CC">
              <w:rPr>
                <w:rFonts w:asciiTheme="minorHAnsi" w:hAnsiTheme="minorHAnsi" w:cstheme="minorHAnsi"/>
                <w:sz w:val="22"/>
                <w:szCs w:val="22"/>
              </w:rPr>
              <w:t>Other tenderers will receive a pro-rated score relative to the lowest cost according to the following formula:</w:t>
            </w:r>
          </w:p>
          <w:p w14:paraId="219EAEC9" w14:textId="21C8D8E7" w:rsidR="00A54208" w:rsidRPr="00A076CC" w:rsidRDefault="00A54208" w:rsidP="00AA2069">
            <w:pPr>
              <w:pStyle w:val="ListParagraph"/>
              <w:numPr>
                <w:ilvl w:val="0"/>
                <w:numId w:val="37"/>
              </w:num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 xml:space="preserve">Score of other tender = lowest tender total cost / other tender total cost x </w:t>
            </w:r>
            <w:r w:rsidR="00323200">
              <w:rPr>
                <w:rFonts w:asciiTheme="minorHAnsi" w:hAnsiTheme="minorHAnsi" w:cstheme="minorHAnsi"/>
                <w:sz w:val="22"/>
                <w:szCs w:val="22"/>
              </w:rPr>
              <w:t>[</w:t>
            </w:r>
            <w:r w:rsidRPr="00A076CC">
              <w:rPr>
                <w:rFonts w:asciiTheme="minorHAnsi" w:hAnsiTheme="minorHAnsi" w:cstheme="minorHAnsi"/>
                <w:sz w:val="22"/>
                <w:szCs w:val="22"/>
              </w:rPr>
              <w:t>%</w:t>
            </w:r>
            <w:r w:rsidR="00323200">
              <w:rPr>
                <w:rFonts w:asciiTheme="minorHAnsi" w:hAnsiTheme="minorHAnsi" w:cstheme="minorHAnsi"/>
                <w:sz w:val="22"/>
                <w:szCs w:val="22"/>
              </w:rPr>
              <w:t>]</w:t>
            </w:r>
            <w:r w:rsidRPr="00A076CC">
              <w:rPr>
                <w:rFonts w:asciiTheme="minorHAnsi" w:hAnsiTheme="minorHAnsi" w:cstheme="minorHAnsi"/>
                <w:sz w:val="22"/>
                <w:szCs w:val="22"/>
              </w:rPr>
              <w:t>.</w:t>
            </w:r>
          </w:p>
        </w:tc>
        <w:tc>
          <w:tcPr>
            <w:tcW w:w="8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757AE" w14:textId="4E185787" w:rsidR="00A54208" w:rsidRPr="00D65903" w:rsidRDefault="101EEE4D" w:rsidP="209A9399">
            <w:pPr>
              <w:spacing w:after="120" w:line="300" w:lineRule="exact"/>
              <w:rPr>
                <w:rFonts w:asciiTheme="minorHAnsi" w:hAnsiTheme="minorHAnsi" w:cstheme="minorBidi"/>
                <w:sz w:val="22"/>
                <w:szCs w:val="22"/>
              </w:rPr>
            </w:pPr>
            <w:r w:rsidRPr="209A9399">
              <w:rPr>
                <w:rFonts w:asciiTheme="minorHAnsi" w:hAnsiTheme="minorHAnsi" w:cstheme="minorBidi"/>
                <w:sz w:val="22"/>
                <w:szCs w:val="22"/>
              </w:rPr>
              <w:t>[10]%</w:t>
            </w:r>
          </w:p>
        </w:tc>
      </w:tr>
    </w:tbl>
    <w:p w14:paraId="0CC7F5C5" w14:textId="77777777" w:rsidR="00D65903" w:rsidRDefault="00D65903" w:rsidP="00D65903">
      <w:pPr>
        <w:jc w:val="center"/>
        <w:rPr>
          <w:lang w:eastAsia="en-GB"/>
        </w:rPr>
      </w:pPr>
    </w:p>
    <w:p w14:paraId="6E2C4474" w14:textId="7C7611E7" w:rsidR="008C0F69" w:rsidRPr="00D65903" w:rsidRDefault="008C0F69" w:rsidP="00D65903">
      <w:pPr>
        <w:tabs>
          <w:tab w:val="center" w:pos="6434"/>
        </w:tabs>
        <w:rPr>
          <w:lang w:eastAsia="en-GB"/>
        </w:rPr>
        <w:sectPr w:rsidR="008C0F69" w:rsidRPr="00D65903" w:rsidSect="008C0F69">
          <w:pgSz w:w="16838" w:h="11906" w:orient="landscape"/>
          <w:pgMar w:top="1985" w:right="1985" w:bottom="1985" w:left="1985" w:header="567" w:footer="567" w:gutter="0"/>
          <w:cols w:space="708"/>
          <w:docGrid w:linePitch="360"/>
        </w:sectPr>
      </w:pPr>
    </w:p>
    <w:p w14:paraId="04BCEA91" w14:textId="77777777" w:rsidR="00ED45F6" w:rsidRPr="00662004" w:rsidRDefault="00ED45F6" w:rsidP="00ED45F6">
      <w:pPr>
        <w:pStyle w:val="Heading10"/>
        <w:keepNext/>
        <w:numPr>
          <w:ilvl w:val="0"/>
          <w:numId w:val="40"/>
        </w:numPr>
        <w:ind w:left="426" w:hanging="426"/>
        <w:outlineLvl w:val="9"/>
        <w:rPr>
          <w:rFonts w:ascii="Calibri" w:hAnsi="Calibri"/>
        </w:rPr>
      </w:pPr>
      <w:r w:rsidRPr="00662004">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ED45F6" w:rsidRPr="00662004" w14:paraId="099FF287" w14:textId="77777777" w:rsidTr="00F94288">
        <w:trPr>
          <w:trHeight w:val="504"/>
        </w:trPr>
        <w:tc>
          <w:tcPr>
            <w:tcW w:w="3095" w:type="pct"/>
          </w:tcPr>
          <w:p w14:paraId="5E7F655D" w14:textId="77777777" w:rsidR="00ED45F6" w:rsidRPr="00662004" w:rsidRDefault="00ED45F6" w:rsidP="00F94288">
            <w:pPr>
              <w:spacing w:before="120" w:after="120"/>
              <w:rPr>
                <w:rFonts w:asciiTheme="minorHAnsi" w:hAnsiTheme="minorHAnsi" w:cstheme="minorHAnsi"/>
                <w:b/>
                <w:sz w:val="22"/>
                <w:szCs w:val="22"/>
              </w:rPr>
            </w:pPr>
          </w:p>
        </w:tc>
        <w:tc>
          <w:tcPr>
            <w:tcW w:w="1905" w:type="pct"/>
          </w:tcPr>
          <w:p w14:paraId="58608375" w14:textId="77777777" w:rsidR="00ED45F6" w:rsidRPr="00662004" w:rsidRDefault="00ED45F6" w:rsidP="00F94288">
            <w:pPr>
              <w:spacing w:before="120" w:after="120"/>
              <w:jc w:val="center"/>
              <w:rPr>
                <w:rFonts w:asciiTheme="minorHAnsi" w:hAnsiTheme="minorHAnsi" w:cstheme="minorHAnsi"/>
                <w:b/>
                <w:sz w:val="22"/>
                <w:szCs w:val="22"/>
              </w:rPr>
            </w:pPr>
            <w:r w:rsidRPr="00662004">
              <w:rPr>
                <w:rFonts w:asciiTheme="minorHAnsi" w:hAnsiTheme="minorHAnsi" w:cstheme="minorHAnsi"/>
                <w:b/>
                <w:sz w:val="22"/>
                <w:szCs w:val="22"/>
              </w:rPr>
              <w:t>Start Date</w:t>
            </w:r>
          </w:p>
        </w:tc>
      </w:tr>
      <w:tr w:rsidR="00ED45F6" w:rsidRPr="00662004" w14:paraId="788157DD" w14:textId="77777777" w:rsidTr="00F94288">
        <w:trPr>
          <w:trHeight w:val="504"/>
        </w:trPr>
        <w:tc>
          <w:tcPr>
            <w:tcW w:w="3095" w:type="pct"/>
          </w:tcPr>
          <w:p w14:paraId="5827E268" w14:textId="77777777" w:rsidR="00ED45F6" w:rsidRPr="00662004" w:rsidRDefault="00ED45F6" w:rsidP="00F94288">
            <w:pPr>
              <w:spacing w:before="120" w:after="120"/>
              <w:jc w:val="both"/>
              <w:rPr>
                <w:rFonts w:asciiTheme="minorHAnsi" w:hAnsiTheme="minorHAnsi" w:cstheme="minorHAnsi"/>
                <w:sz w:val="22"/>
                <w:szCs w:val="22"/>
              </w:rPr>
            </w:pPr>
            <w:r w:rsidRPr="00662004">
              <w:rPr>
                <w:rFonts w:asciiTheme="minorHAnsi" w:hAnsiTheme="minorHAnsi" w:cstheme="minorHAnsi"/>
                <w:sz w:val="22"/>
                <w:szCs w:val="22"/>
              </w:rPr>
              <w:t>Supplier engagement meeting (if applicable)</w:t>
            </w:r>
          </w:p>
        </w:tc>
        <w:tc>
          <w:tcPr>
            <w:tcW w:w="1905" w:type="pct"/>
          </w:tcPr>
          <w:p w14:paraId="0D25A6EC" w14:textId="1653D622" w:rsidR="00ED45F6" w:rsidRPr="00662004" w:rsidRDefault="00ED45F6" w:rsidP="00F94288">
            <w:pPr>
              <w:spacing w:before="120" w:after="120"/>
              <w:rPr>
                <w:rFonts w:asciiTheme="minorHAnsi" w:hAnsiTheme="minorHAnsi" w:cstheme="minorHAnsi"/>
                <w:sz w:val="22"/>
                <w:szCs w:val="22"/>
              </w:rPr>
            </w:pPr>
            <w:r>
              <w:rPr>
                <w:rFonts w:asciiTheme="minorHAnsi" w:hAnsiTheme="minorHAnsi" w:cstheme="minorHAnsi"/>
                <w:sz w:val="22"/>
                <w:szCs w:val="22"/>
              </w:rPr>
              <w:t>03/05/22 10:30-12:00</w:t>
            </w:r>
          </w:p>
        </w:tc>
      </w:tr>
      <w:tr w:rsidR="00ED45F6" w:rsidRPr="00662004" w14:paraId="016193CA" w14:textId="77777777" w:rsidTr="00F94288">
        <w:trPr>
          <w:trHeight w:val="504"/>
        </w:trPr>
        <w:tc>
          <w:tcPr>
            <w:tcW w:w="3095" w:type="pct"/>
          </w:tcPr>
          <w:p w14:paraId="1514B8F7" w14:textId="77777777" w:rsidR="00ED45F6" w:rsidRPr="00662004" w:rsidRDefault="00ED45F6" w:rsidP="00F94288">
            <w:pPr>
              <w:spacing w:before="120" w:after="120"/>
              <w:rPr>
                <w:rFonts w:asciiTheme="minorHAnsi" w:hAnsiTheme="minorHAnsi" w:cstheme="minorHAnsi"/>
                <w:sz w:val="22"/>
                <w:szCs w:val="22"/>
              </w:rPr>
            </w:pPr>
            <w:r w:rsidRPr="00662004">
              <w:rPr>
                <w:rFonts w:asciiTheme="minorHAnsi" w:hAnsiTheme="minorHAnsi" w:cstheme="minorHAnsi"/>
                <w:sz w:val="22"/>
                <w:szCs w:val="22"/>
              </w:rPr>
              <w:t>Request for proposal issued on Delta eSourcing</w:t>
            </w:r>
          </w:p>
        </w:tc>
        <w:tc>
          <w:tcPr>
            <w:tcW w:w="1905" w:type="pct"/>
          </w:tcPr>
          <w:p w14:paraId="5708A2FC" w14:textId="1ED3042B" w:rsidR="00ED45F6" w:rsidRPr="00662004" w:rsidRDefault="00ED45F6" w:rsidP="00F94288">
            <w:pPr>
              <w:spacing w:before="120" w:after="120"/>
              <w:rPr>
                <w:rFonts w:asciiTheme="minorHAnsi" w:hAnsiTheme="minorHAnsi" w:cstheme="minorHAnsi"/>
                <w:sz w:val="22"/>
                <w:szCs w:val="22"/>
              </w:rPr>
            </w:pPr>
            <w:r>
              <w:rPr>
                <w:rFonts w:asciiTheme="minorHAnsi" w:hAnsiTheme="minorHAnsi" w:cstheme="minorHAnsi"/>
                <w:sz w:val="22"/>
                <w:szCs w:val="22"/>
              </w:rPr>
              <w:t>13/05</w:t>
            </w:r>
            <w:r w:rsidRPr="00662004">
              <w:rPr>
                <w:rFonts w:asciiTheme="minorHAnsi" w:hAnsiTheme="minorHAnsi" w:cstheme="minorHAnsi"/>
                <w:sz w:val="22"/>
                <w:szCs w:val="22"/>
              </w:rPr>
              <w:t>/2022</w:t>
            </w:r>
          </w:p>
        </w:tc>
      </w:tr>
      <w:tr w:rsidR="00ED45F6" w:rsidRPr="00662004" w14:paraId="6EEDB0E2" w14:textId="77777777" w:rsidTr="00F94288">
        <w:trPr>
          <w:trHeight w:val="516"/>
        </w:trPr>
        <w:tc>
          <w:tcPr>
            <w:tcW w:w="3095" w:type="pct"/>
          </w:tcPr>
          <w:p w14:paraId="176F51A0" w14:textId="77777777" w:rsidR="00ED45F6" w:rsidRPr="00662004" w:rsidRDefault="00ED45F6" w:rsidP="00F94288">
            <w:pPr>
              <w:spacing w:before="120" w:after="120"/>
              <w:jc w:val="both"/>
              <w:rPr>
                <w:rFonts w:asciiTheme="minorHAnsi" w:hAnsiTheme="minorHAnsi" w:cstheme="minorHAnsi"/>
                <w:sz w:val="22"/>
                <w:szCs w:val="22"/>
              </w:rPr>
            </w:pPr>
            <w:r w:rsidRPr="00662004">
              <w:rPr>
                <w:rFonts w:asciiTheme="minorHAnsi" w:hAnsiTheme="minorHAnsi" w:cstheme="minorHAnsi"/>
                <w:sz w:val="22"/>
                <w:szCs w:val="22"/>
              </w:rPr>
              <w:t xml:space="preserve">Supplier clarification questions deadline </w:t>
            </w:r>
          </w:p>
        </w:tc>
        <w:tc>
          <w:tcPr>
            <w:tcW w:w="1905" w:type="pct"/>
          </w:tcPr>
          <w:p w14:paraId="249B252B" w14:textId="2EA583CA" w:rsidR="00ED45F6" w:rsidRPr="00662004" w:rsidRDefault="00ED45F6" w:rsidP="00F94288">
            <w:pPr>
              <w:spacing w:before="120" w:after="120"/>
              <w:rPr>
                <w:rFonts w:asciiTheme="minorHAnsi" w:hAnsiTheme="minorHAnsi" w:cstheme="minorHAnsi"/>
                <w:sz w:val="22"/>
                <w:szCs w:val="22"/>
              </w:rPr>
            </w:pPr>
            <w:r>
              <w:rPr>
                <w:rFonts w:asciiTheme="minorHAnsi" w:hAnsiTheme="minorHAnsi" w:cstheme="minorHAnsi"/>
                <w:sz w:val="22"/>
                <w:szCs w:val="22"/>
              </w:rPr>
              <w:t>0</w:t>
            </w:r>
            <w:r w:rsidR="00E23744">
              <w:rPr>
                <w:rFonts w:asciiTheme="minorHAnsi" w:hAnsiTheme="minorHAnsi" w:cstheme="minorHAnsi"/>
                <w:sz w:val="22"/>
                <w:szCs w:val="22"/>
              </w:rPr>
              <w:t>3</w:t>
            </w:r>
            <w:r w:rsidRPr="00662004">
              <w:rPr>
                <w:rFonts w:asciiTheme="minorHAnsi" w:hAnsiTheme="minorHAnsi" w:cstheme="minorHAnsi"/>
                <w:sz w:val="22"/>
                <w:szCs w:val="22"/>
              </w:rPr>
              <w:t>/</w:t>
            </w:r>
            <w:r>
              <w:rPr>
                <w:rFonts w:asciiTheme="minorHAnsi" w:hAnsiTheme="minorHAnsi" w:cstheme="minorHAnsi"/>
                <w:sz w:val="22"/>
                <w:szCs w:val="22"/>
              </w:rPr>
              <w:t>06</w:t>
            </w:r>
            <w:r w:rsidRPr="00662004">
              <w:rPr>
                <w:rFonts w:asciiTheme="minorHAnsi" w:hAnsiTheme="minorHAnsi" w:cstheme="minorHAnsi"/>
                <w:sz w:val="22"/>
                <w:szCs w:val="22"/>
              </w:rPr>
              <w:t>/2022; 1</w:t>
            </w:r>
            <w:r>
              <w:rPr>
                <w:rFonts w:asciiTheme="minorHAnsi" w:hAnsiTheme="minorHAnsi" w:cstheme="minorHAnsi"/>
                <w:sz w:val="22"/>
                <w:szCs w:val="22"/>
              </w:rPr>
              <w:t>4</w:t>
            </w:r>
            <w:r w:rsidRPr="00662004">
              <w:rPr>
                <w:rFonts w:asciiTheme="minorHAnsi" w:hAnsiTheme="minorHAnsi" w:cstheme="minorHAnsi"/>
                <w:sz w:val="22"/>
                <w:szCs w:val="22"/>
              </w:rPr>
              <w:t>:00 hours</w:t>
            </w:r>
          </w:p>
        </w:tc>
      </w:tr>
      <w:tr w:rsidR="00ED45F6" w:rsidRPr="00662004" w14:paraId="5BC32283" w14:textId="77777777" w:rsidTr="00F94288">
        <w:trPr>
          <w:trHeight w:val="280"/>
        </w:trPr>
        <w:tc>
          <w:tcPr>
            <w:tcW w:w="3095" w:type="pct"/>
          </w:tcPr>
          <w:p w14:paraId="2FA7B085" w14:textId="77777777" w:rsidR="00ED45F6" w:rsidRPr="00662004" w:rsidRDefault="00ED45F6" w:rsidP="00F94288">
            <w:pPr>
              <w:spacing w:before="120" w:after="120"/>
              <w:jc w:val="both"/>
              <w:rPr>
                <w:rFonts w:asciiTheme="minorHAnsi" w:hAnsiTheme="minorHAnsi" w:cstheme="minorHAnsi"/>
                <w:b/>
                <w:color w:val="FF0000"/>
                <w:sz w:val="22"/>
                <w:szCs w:val="22"/>
              </w:rPr>
            </w:pPr>
            <w:r w:rsidRPr="00662004">
              <w:rPr>
                <w:rFonts w:asciiTheme="minorHAnsi" w:hAnsiTheme="minorHAnsi" w:cstheme="minorHAnsi"/>
                <w:b/>
                <w:sz w:val="22"/>
                <w:szCs w:val="22"/>
              </w:rPr>
              <w:t>Deadline for Submitting tenders</w:t>
            </w:r>
          </w:p>
        </w:tc>
        <w:tc>
          <w:tcPr>
            <w:tcW w:w="1905" w:type="pct"/>
          </w:tcPr>
          <w:p w14:paraId="4F2BBB74" w14:textId="37E5BC96" w:rsidR="00ED45F6" w:rsidRPr="00662004" w:rsidRDefault="00E23744" w:rsidP="00F94288">
            <w:pPr>
              <w:spacing w:before="120" w:after="120"/>
              <w:rPr>
                <w:rFonts w:asciiTheme="minorHAnsi" w:hAnsiTheme="minorHAnsi" w:cstheme="minorHAnsi"/>
                <w:b/>
                <w:color w:val="FF0000"/>
                <w:sz w:val="22"/>
                <w:szCs w:val="22"/>
              </w:rPr>
            </w:pPr>
            <w:r>
              <w:rPr>
                <w:rFonts w:asciiTheme="minorHAnsi" w:hAnsiTheme="minorHAnsi" w:cstheme="minorHAnsi"/>
                <w:b/>
                <w:color w:val="FF0000"/>
                <w:sz w:val="22"/>
                <w:szCs w:val="22"/>
              </w:rPr>
              <w:t>10</w:t>
            </w:r>
            <w:r w:rsidR="00ED45F6" w:rsidRPr="00662004">
              <w:rPr>
                <w:rFonts w:asciiTheme="minorHAnsi" w:hAnsiTheme="minorHAnsi" w:cstheme="minorHAnsi"/>
                <w:b/>
                <w:color w:val="FF0000"/>
                <w:sz w:val="22"/>
                <w:szCs w:val="22"/>
              </w:rPr>
              <w:t>/0</w:t>
            </w:r>
            <w:r>
              <w:rPr>
                <w:rFonts w:asciiTheme="minorHAnsi" w:hAnsiTheme="minorHAnsi" w:cstheme="minorHAnsi"/>
                <w:b/>
                <w:color w:val="FF0000"/>
                <w:sz w:val="22"/>
                <w:szCs w:val="22"/>
              </w:rPr>
              <w:t>6</w:t>
            </w:r>
            <w:r w:rsidR="00ED45F6" w:rsidRPr="00662004">
              <w:rPr>
                <w:rFonts w:asciiTheme="minorHAnsi" w:hAnsiTheme="minorHAnsi" w:cstheme="minorHAnsi"/>
                <w:b/>
                <w:color w:val="FF0000"/>
                <w:sz w:val="22"/>
                <w:szCs w:val="22"/>
              </w:rPr>
              <w:t>/2022; 1</w:t>
            </w:r>
            <w:r>
              <w:rPr>
                <w:rFonts w:asciiTheme="minorHAnsi" w:hAnsiTheme="minorHAnsi" w:cstheme="minorHAnsi"/>
                <w:b/>
                <w:color w:val="FF0000"/>
                <w:sz w:val="22"/>
                <w:szCs w:val="22"/>
              </w:rPr>
              <w:t>4</w:t>
            </w:r>
            <w:r w:rsidR="00ED45F6" w:rsidRPr="00662004">
              <w:rPr>
                <w:rFonts w:asciiTheme="minorHAnsi" w:hAnsiTheme="minorHAnsi" w:cstheme="minorHAnsi"/>
                <w:b/>
                <w:color w:val="FF0000"/>
                <w:sz w:val="22"/>
                <w:szCs w:val="22"/>
              </w:rPr>
              <w:t>:00 hours</w:t>
            </w:r>
          </w:p>
        </w:tc>
      </w:tr>
      <w:tr w:rsidR="00ED45F6" w:rsidRPr="00662004" w14:paraId="56C2C397" w14:textId="77777777" w:rsidTr="00F94288">
        <w:trPr>
          <w:trHeight w:val="624"/>
        </w:trPr>
        <w:tc>
          <w:tcPr>
            <w:tcW w:w="3095" w:type="pct"/>
          </w:tcPr>
          <w:p w14:paraId="680FDF78" w14:textId="77777777" w:rsidR="00ED45F6" w:rsidRPr="00662004" w:rsidRDefault="00ED45F6" w:rsidP="00F94288">
            <w:pPr>
              <w:spacing w:before="120" w:after="120"/>
              <w:rPr>
                <w:rFonts w:asciiTheme="minorHAnsi" w:hAnsiTheme="minorHAnsi" w:cstheme="minorHAnsi"/>
                <w:sz w:val="22"/>
                <w:szCs w:val="22"/>
                <w:highlight w:val="yellow"/>
              </w:rPr>
            </w:pPr>
            <w:r w:rsidRPr="00662004">
              <w:rPr>
                <w:rFonts w:asciiTheme="minorHAnsi" w:hAnsiTheme="minorHAnsi" w:cstheme="minorHAnsi"/>
                <w:sz w:val="22"/>
                <w:szCs w:val="22"/>
              </w:rPr>
              <w:t>Evaluation and moderation</w:t>
            </w:r>
          </w:p>
        </w:tc>
        <w:tc>
          <w:tcPr>
            <w:tcW w:w="1905" w:type="pct"/>
          </w:tcPr>
          <w:p w14:paraId="43FCDD4E" w14:textId="477DE990" w:rsidR="00ED45F6" w:rsidRPr="00662004" w:rsidRDefault="00ED45F6" w:rsidP="00F94288">
            <w:pPr>
              <w:spacing w:before="120" w:after="120"/>
              <w:rPr>
                <w:rFonts w:asciiTheme="minorHAnsi" w:hAnsiTheme="minorHAnsi" w:cstheme="minorHAnsi"/>
                <w:sz w:val="22"/>
                <w:szCs w:val="22"/>
              </w:rPr>
            </w:pPr>
            <w:r w:rsidRPr="00662004">
              <w:rPr>
                <w:rFonts w:asciiTheme="minorHAnsi" w:hAnsiTheme="minorHAnsi" w:cstheme="minorHAnsi"/>
                <w:sz w:val="22"/>
                <w:szCs w:val="22"/>
              </w:rPr>
              <w:t xml:space="preserve">w/c </w:t>
            </w:r>
            <w:r w:rsidR="00E23744">
              <w:rPr>
                <w:rFonts w:asciiTheme="minorHAnsi" w:hAnsiTheme="minorHAnsi" w:cstheme="minorHAnsi"/>
                <w:sz w:val="22"/>
                <w:szCs w:val="22"/>
              </w:rPr>
              <w:t>13</w:t>
            </w:r>
            <w:r w:rsidRPr="00662004">
              <w:rPr>
                <w:rFonts w:asciiTheme="minorHAnsi" w:hAnsiTheme="minorHAnsi" w:cstheme="minorHAnsi"/>
                <w:sz w:val="22"/>
                <w:szCs w:val="22"/>
              </w:rPr>
              <w:t>/0</w:t>
            </w:r>
            <w:r w:rsidR="00E23744">
              <w:rPr>
                <w:rFonts w:asciiTheme="minorHAnsi" w:hAnsiTheme="minorHAnsi" w:cstheme="minorHAnsi"/>
                <w:sz w:val="22"/>
                <w:szCs w:val="22"/>
              </w:rPr>
              <w:t>6</w:t>
            </w:r>
            <w:r w:rsidRPr="00662004">
              <w:rPr>
                <w:rFonts w:asciiTheme="minorHAnsi" w:hAnsiTheme="minorHAnsi" w:cstheme="minorHAnsi"/>
                <w:sz w:val="22"/>
                <w:szCs w:val="22"/>
              </w:rPr>
              <w:t>/2022</w:t>
            </w:r>
          </w:p>
        </w:tc>
      </w:tr>
      <w:tr w:rsidR="00ED45F6" w:rsidRPr="00662004" w14:paraId="390C594E" w14:textId="77777777" w:rsidTr="00F94288">
        <w:trPr>
          <w:trHeight w:val="504"/>
        </w:trPr>
        <w:tc>
          <w:tcPr>
            <w:tcW w:w="3095" w:type="pct"/>
          </w:tcPr>
          <w:p w14:paraId="08D651EC" w14:textId="77777777" w:rsidR="00ED45F6" w:rsidRPr="00662004" w:rsidRDefault="00ED45F6" w:rsidP="00F94288">
            <w:pPr>
              <w:spacing w:before="120" w:after="120"/>
              <w:jc w:val="both"/>
              <w:rPr>
                <w:rFonts w:asciiTheme="minorHAnsi" w:hAnsiTheme="minorHAnsi" w:cstheme="minorHAnsi"/>
                <w:sz w:val="22"/>
                <w:szCs w:val="22"/>
              </w:rPr>
            </w:pPr>
            <w:r w:rsidRPr="00662004">
              <w:rPr>
                <w:rFonts w:asciiTheme="minorHAnsi" w:hAnsiTheme="minorHAnsi" w:cstheme="minorHAnsi"/>
                <w:sz w:val="22"/>
                <w:szCs w:val="22"/>
              </w:rPr>
              <w:t>Estimated notification of award decision</w:t>
            </w:r>
          </w:p>
        </w:tc>
        <w:tc>
          <w:tcPr>
            <w:tcW w:w="1905" w:type="pct"/>
          </w:tcPr>
          <w:p w14:paraId="21118AF3" w14:textId="23442649" w:rsidR="00ED45F6" w:rsidRPr="00662004" w:rsidRDefault="00ED45F6" w:rsidP="00F94288">
            <w:pPr>
              <w:spacing w:before="120" w:after="120"/>
              <w:rPr>
                <w:rFonts w:asciiTheme="minorHAnsi" w:hAnsiTheme="minorHAnsi" w:cstheme="minorHAnsi"/>
                <w:sz w:val="22"/>
                <w:szCs w:val="22"/>
              </w:rPr>
            </w:pPr>
            <w:r w:rsidRPr="00662004">
              <w:rPr>
                <w:rFonts w:asciiTheme="minorHAnsi" w:hAnsiTheme="minorHAnsi" w:cstheme="minorHAnsi"/>
                <w:sz w:val="22"/>
                <w:szCs w:val="22"/>
              </w:rPr>
              <w:t>w/</w:t>
            </w:r>
            <w:r w:rsidR="00E23744">
              <w:rPr>
                <w:rFonts w:asciiTheme="minorHAnsi" w:hAnsiTheme="minorHAnsi" w:cstheme="minorHAnsi"/>
                <w:sz w:val="22"/>
                <w:szCs w:val="22"/>
              </w:rPr>
              <w:t>e</w:t>
            </w:r>
            <w:r w:rsidRPr="00662004">
              <w:rPr>
                <w:rFonts w:asciiTheme="minorHAnsi" w:hAnsiTheme="minorHAnsi" w:cstheme="minorHAnsi"/>
                <w:sz w:val="22"/>
                <w:szCs w:val="22"/>
              </w:rPr>
              <w:t xml:space="preserve"> </w:t>
            </w:r>
            <w:r w:rsidR="00E23744">
              <w:rPr>
                <w:rFonts w:asciiTheme="minorHAnsi" w:hAnsiTheme="minorHAnsi" w:cstheme="minorHAnsi"/>
                <w:sz w:val="22"/>
                <w:szCs w:val="22"/>
              </w:rPr>
              <w:t>24</w:t>
            </w:r>
            <w:r w:rsidRPr="00662004">
              <w:rPr>
                <w:rFonts w:asciiTheme="minorHAnsi" w:hAnsiTheme="minorHAnsi" w:cstheme="minorHAnsi"/>
                <w:sz w:val="22"/>
                <w:szCs w:val="22"/>
              </w:rPr>
              <w:t>/0</w:t>
            </w:r>
            <w:r w:rsidR="00E23744">
              <w:rPr>
                <w:rFonts w:asciiTheme="minorHAnsi" w:hAnsiTheme="minorHAnsi" w:cstheme="minorHAnsi"/>
                <w:sz w:val="22"/>
                <w:szCs w:val="22"/>
              </w:rPr>
              <w:t>6</w:t>
            </w:r>
            <w:r w:rsidRPr="00662004">
              <w:rPr>
                <w:rFonts w:asciiTheme="minorHAnsi" w:hAnsiTheme="minorHAnsi" w:cstheme="minorHAnsi"/>
                <w:sz w:val="22"/>
                <w:szCs w:val="22"/>
              </w:rPr>
              <w:t>/2022</w:t>
            </w:r>
          </w:p>
        </w:tc>
      </w:tr>
      <w:tr w:rsidR="00ED45F6" w:rsidRPr="00662004" w14:paraId="01F31784" w14:textId="77777777" w:rsidTr="00F94288">
        <w:trPr>
          <w:trHeight w:val="504"/>
        </w:trPr>
        <w:tc>
          <w:tcPr>
            <w:tcW w:w="3095" w:type="pct"/>
          </w:tcPr>
          <w:p w14:paraId="29CAD4B0" w14:textId="77777777" w:rsidR="00ED45F6" w:rsidRPr="00662004" w:rsidRDefault="00ED45F6" w:rsidP="00F94288">
            <w:pPr>
              <w:spacing w:before="120" w:after="120"/>
              <w:jc w:val="both"/>
              <w:rPr>
                <w:rFonts w:asciiTheme="minorHAnsi" w:hAnsiTheme="minorHAnsi" w:cstheme="minorHAnsi"/>
                <w:sz w:val="22"/>
                <w:szCs w:val="22"/>
              </w:rPr>
            </w:pPr>
            <w:r w:rsidRPr="00662004">
              <w:rPr>
                <w:rFonts w:asciiTheme="minorHAnsi" w:hAnsiTheme="minorHAnsi" w:cstheme="minorHAnsi"/>
                <w:sz w:val="22"/>
                <w:szCs w:val="22"/>
              </w:rPr>
              <w:t>Target contract commencement date</w:t>
            </w:r>
          </w:p>
        </w:tc>
        <w:tc>
          <w:tcPr>
            <w:tcW w:w="1905" w:type="pct"/>
          </w:tcPr>
          <w:p w14:paraId="654E2520" w14:textId="0F3989ED" w:rsidR="00ED45F6" w:rsidRPr="00662004" w:rsidRDefault="00E23744" w:rsidP="00F94288">
            <w:pPr>
              <w:spacing w:before="120" w:after="120"/>
              <w:rPr>
                <w:rFonts w:asciiTheme="minorHAnsi" w:hAnsiTheme="minorHAnsi" w:cstheme="minorHAnsi"/>
                <w:sz w:val="22"/>
                <w:szCs w:val="22"/>
              </w:rPr>
            </w:pPr>
            <w:r>
              <w:rPr>
                <w:rFonts w:asciiTheme="minorHAnsi" w:hAnsiTheme="minorHAnsi" w:cstheme="minorHAnsi"/>
                <w:sz w:val="22"/>
                <w:szCs w:val="22"/>
              </w:rPr>
              <w:t>w/c 04</w:t>
            </w:r>
            <w:r w:rsidR="00ED45F6" w:rsidRPr="00662004">
              <w:rPr>
                <w:rFonts w:asciiTheme="minorHAnsi" w:hAnsiTheme="minorHAnsi" w:cstheme="minorHAnsi"/>
                <w:sz w:val="22"/>
                <w:szCs w:val="22"/>
              </w:rPr>
              <w:t>/0</w:t>
            </w:r>
            <w:r>
              <w:rPr>
                <w:rFonts w:asciiTheme="minorHAnsi" w:hAnsiTheme="minorHAnsi" w:cstheme="minorHAnsi"/>
                <w:sz w:val="22"/>
                <w:szCs w:val="22"/>
              </w:rPr>
              <w:t>7</w:t>
            </w:r>
            <w:r w:rsidR="00ED45F6" w:rsidRPr="00662004">
              <w:rPr>
                <w:rFonts w:asciiTheme="minorHAnsi" w:hAnsiTheme="minorHAnsi" w:cstheme="minorHAnsi"/>
                <w:sz w:val="22"/>
                <w:szCs w:val="22"/>
              </w:rPr>
              <w:t>/2022</w:t>
            </w:r>
          </w:p>
        </w:tc>
      </w:tr>
    </w:tbl>
    <w:p w14:paraId="65D9E317" w14:textId="77777777" w:rsidR="00ED45F6" w:rsidRDefault="00ED45F6" w:rsidP="00ED45F6">
      <w:pPr>
        <w:spacing w:after="120" w:line="300" w:lineRule="exact"/>
        <w:rPr>
          <w:rFonts w:ascii="Calibri" w:hAnsi="Calibri" w:cs="Calibri"/>
          <w:sz w:val="22"/>
          <w:szCs w:val="22"/>
          <w:lang w:eastAsia="en-GB"/>
        </w:rPr>
      </w:pPr>
      <w:r w:rsidRPr="00662004">
        <w:rPr>
          <w:rFonts w:ascii="Calibri" w:hAnsi="Calibri" w:cs="Calibri"/>
          <w:sz w:val="22"/>
          <w:szCs w:val="22"/>
          <w:lang w:eastAsia="en-GB"/>
        </w:rPr>
        <w:br/>
        <w:t>Note: RSSB reserves the right to amend these dates as business requirements demand and will communicate any changes to tenderers.</w:t>
      </w:r>
    </w:p>
    <w:p w14:paraId="72E9D5C7" w14:textId="77777777" w:rsidR="00ED45F6" w:rsidRDefault="00ED45F6" w:rsidP="00ED45F6">
      <w:pPr>
        <w:spacing w:after="120" w:line="300" w:lineRule="exact"/>
        <w:rPr>
          <w:rFonts w:ascii="Calibri" w:hAnsi="Calibri" w:cs="Calibri"/>
          <w:sz w:val="22"/>
          <w:szCs w:val="22"/>
          <w:lang w:eastAsia="en-GB"/>
        </w:rPr>
      </w:pPr>
    </w:p>
    <w:p w14:paraId="7B6915EA" w14:textId="7C42C2C5" w:rsidR="008B2DCE" w:rsidRPr="008B6D09" w:rsidRDefault="008B2DCE" w:rsidP="008B6D09">
      <w:pPr>
        <w:pStyle w:val="Body"/>
      </w:pPr>
    </w:p>
    <w:sectPr w:rsidR="008B2DCE" w:rsidRPr="008B6D09"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9EFF" w14:textId="77777777" w:rsidR="00D04F4C" w:rsidRDefault="00D04F4C" w:rsidP="0003785D">
      <w:r>
        <w:separator/>
      </w:r>
    </w:p>
  </w:endnote>
  <w:endnote w:type="continuationSeparator" w:id="0">
    <w:p w14:paraId="1CA5D6C6" w14:textId="77777777" w:rsidR="00D04F4C" w:rsidRDefault="00D04F4C" w:rsidP="0003785D">
      <w:r>
        <w:continuationSeparator/>
      </w:r>
    </w:p>
  </w:endnote>
  <w:endnote w:type="continuationNotice" w:id="1">
    <w:p w14:paraId="5DFE4BB9" w14:textId="77777777" w:rsidR="00D04F4C" w:rsidRDefault="00D04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0"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AF57" w14:textId="77777777" w:rsidR="00520FC4" w:rsidRDefault="00520FC4" w:rsidP="00674166">
    <w:pPr>
      <w:pStyle w:val="FooterLef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726474"/>
      <w:docPartObj>
        <w:docPartGallery w:val="Page Numbers (Bottom of Page)"/>
        <w:docPartUnique/>
      </w:docPartObj>
    </w:sdtPr>
    <w:sdtEndPr>
      <w:rPr>
        <w:noProof/>
      </w:rPr>
    </w:sdtEndPr>
    <w:sdtContent>
      <w:p w14:paraId="41A5F5B5" w14:textId="427A3A27" w:rsidR="00D508FB" w:rsidRDefault="00D508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D457D" w14:textId="636BE081" w:rsidR="00520FC4" w:rsidRPr="00D508FB" w:rsidRDefault="00ED45F6" w:rsidP="00D508FB">
    <w:pPr>
      <w:pStyle w:val="Footer"/>
    </w:pPr>
    <w:r>
      <w:t>T1305 Supplier Engagement 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D908" w14:textId="77777777" w:rsidR="00D04F4C" w:rsidRDefault="00D04F4C" w:rsidP="0003785D">
      <w:r>
        <w:separator/>
      </w:r>
    </w:p>
  </w:footnote>
  <w:footnote w:type="continuationSeparator" w:id="0">
    <w:p w14:paraId="207092A5" w14:textId="77777777" w:rsidR="00D04F4C" w:rsidRDefault="00D04F4C" w:rsidP="0003785D">
      <w:r>
        <w:continuationSeparator/>
      </w:r>
    </w:p>
  </w:footnote>
  <w:footnote w:type="continuationNotice" w:id="1">
    <w:p w14:paraId="094C4752" w14:textId="77777777" w:rsidR="00D04F4C" w:rsidRDefault="00D04F4C"/>
  </w:footnote>
  <w:footnote w:id="2">
    <w:p w14:paraId="1F73C2AB" w14:textId="20795A39" w:rsidR="0047200F" w:rsidRDefault="0047200F">
      <w:pPr>
        <w:pStyle w:val="FootnoteText"/>
      </w:pPr>
      <w:r>
        <w:rPr>
          <w:rStyle w:val="FootnoteReference"/>
        </w:rPr>
        <w:footnoteRef/>
      </w:r>
      <w:r>
        <w:t xml:space="preserve"> </w:t>
      </w:r>
      <w:r w:rsidRPr="0047200F">
        <w:t>https://www.rssb.co.uk/en/research-catalogue/CatalogueItem/T1181</w:t>
      </w:r>
    </w:p>
  </w:footnote>
  <w:footnote w:id="3">
    <w:p w14:paraId="743FFA03" w14:textId="2FCFD1BE" w:rsidR="00504874" w:rsidRDefault="00504874">
      <w:pPr>
        <w:pStyle w:val="FootnoteText"/>
      </w:pPr>
      <w:r>
        <w:rPr>
          <w:rStyle w:val="FootnoteReference"/>
        </w:rPr>
        <w:footnoteRef/>
      </w:r>
      <w:r>
        <w:t xml:space="preserve"> </w:t>
      </w:r>
      <w:hyperlink r:id="rId1" w:history="1">
        <w:r>
          <w:rPr>
            <w:rStyle w:val="Hyperlink"/>
          </w:rPr>
          <w:t>ADHERE: Low adhesion driving policies (T1221) (rssb.co.uk)</w:t>
        </w:r>
      </w:hyperlink>
    </w:p>
  </w:footnote>
  <w:footnote w:id="4">
    <w:p w14:paraId="4756B785" w14:textId="77777777" w:rsidR="00253C47" w:rsidRPr="00F23456" w:rsidRDefault="00253C47" w:rsidP="00253C47">
      <w:pPr>
        <w:pStyle w:val="FootnoteText"/>
        <w:rPr>
          <w:rFonts w:asciiTheme="minorHAnsi" w:hAnsiTheme="minorHAnsi" w:cstheme="minorHAnsi"/>
        </w:rPr>
      </w:pPr>
      <w:r w:rsidRPr="00F23456">
        <w:rPr>
          <w:rStyle w:val="FootnoteReference"/>
          <w:rFonts w:asciiTheme="minorHAnsi" w:hAnsiTheme="minorHAnsi" w:cstheme="minorHAnsi"/>
        </w:rPr>
        <w:footnoteRef/>
      </w:r>
      <w:r w:rsidRPr="00F23456">
        <w:rPr>
          <w:rFonts w:asciiTheme="minorHAnsi" w:hAnsiTheme="minorHAnsi" w:cstheme="minorHAnsi"/>
        </w:rPr>
        <w:t xml:space="preserve"> Ahead of the project commencing work, RSSB will acquire as many </w:t>
      </w:r>
      <w:r>
        <w:rPr>
          <w:rFonts w:asciiTheme="minorHAnsi" w:hAnsiTheme="minorHAnsi" w:cstheme="minorHAnsi"/>
        </w:rPr>
        <w:t>Professional Driving Policies</w:t>
      </w:r>
      <w:r w:rsidRPr="00F23456">
        <w:rPr>
          <w:rFonts w:asciiTheme="minorHAnsi" w:hAnsiTheme="minorHAnsi" w:cstheme="minorHAnsi"/>
        </w:rPr>
        <w:t xml:space="preserve"> </w:t>
      </w:r>
      <w:r>
        <w:rPr>
          <w:rFonts w:asciiTheme="minorHAnsi" w:hAnsiTheme="minorHAnsi" w:cstheme="minorHAnsi"/>
        </w:rPr>
        <w:t xml:space="preserve">and supporting documentation </w:t>
      </w:r>
      <w:r w:rsidRPr="00F23456">
        <w:rPr>
          <w:rFonts w:asciiTheme="minorHAnsi" w:hAnsiTheme="minorHAnsi" w:cstheme="minorHAnsi"/>
        </w:rPr>
        <w:t xml:space="preserve">as it can from TOCs, FOCs and OTM operators. </w:t>
      </w:r>
      <w:r>
        <w:rPr>
          <w:rFonts w:asciiTheme="minorHAnsi" w:hAnsiTheme="minorHAnsi" w:cstheme="minorHAnsi"/>
        </w:rPr>
        <w:t xml:space="preserve">RSSB has to date acquired documentation from 14 TOCs (34 documents and 1 video); 3 FOCs (6 documents); and 4 OTM operators (5 documents). The documentation shall be shared with the awarded supplier ahead of the project commencing work (for clarification, the documentation shall </w:t>
      </w:r>
      <w:r w:rsidRPr="0060587E">
        <w:rPr>
          <w:rFonts w:asciiTheme="minorHAnsi" w:hAnsiTheme="minorHAnsi" w:cstheme="minorHAnsi"/>
        </w:rPr>
        <w:t>not</w:t>
      </w:r>
      <w:r>
        <w:rPr>
          <w:rFonts w:asciiTheme="minorHAnsi" w:hAnsiTheme="minorHAnsi" w:cstheme="minorHAnsi"/>
        </w:rPr>
        <w:t xml:space="preserve"> be shared with tenderers during the tendering stage). </w:t>
      </w:r>
      <w:r w:rsidRPr="00F23456">
        <w:rPr>
          <w:rFonts w:asciiTheme="minorHAnsi" w:hAnsiTheme="minorHAnsi" w:cstheme="minorHAnsi"/>
        </w:rPr>
        <w:t xml:space="preserve">The supplier </w:t>
      </w:r>
      <w:r>
        <w:rPr>
          <w:rFonts w:asciiTheme="minorHAnsi" w:hAnsiTheme="minorHAnsi" w:cstheme="minorHAnsi"/>
        </w:rPr>
        <w:t>shall be</w:t>
      </w:r>
      <w:r w:rsidRPr="00F23456">
        <w:rPr>
          <w:rFonts w:asciiTheme="minorHAnsi" w:hAnsiTheme="minorHAnsi" w:cstheme="minorHAnsi"/>
        </w:rPr>
        <w:t xml:space="preserve"> responsible for acquiring any additional documentation and for arranging discussions with operators.  </w:t>
      </w:r>
    </w:p>
  </w:footnote>
  <w:footnote w:id="5">
    <w:p w14:paraId="45B33827" w14:textId="77777777" w:rsidR="00253C47" w:rsidRPr="00767365" w:rsidRDefault="00253C47" w:rsidP="00253C47">
      <w:pPr>
        <w:pStyle w:val="FootnoteText"/>
        <w:rPr>
          <w:rFonts w:asciiTheme="minorHAnsi" w:hAnsiTheme="minorHAnsi" w:cstheme="minorHAnsi"/>
        </w:rPr>
      </w:pPr>
      <w:r w:rsidRPr="00767365">
        <w:rPr>
          <w:rStyle w:val="FootnoteReference"/>
          <w:rFonts w:asciiTheme="minorHAnsi" w:hAnsiTheme="minorHAnsi" w:cstheme="minorHAnsi"/>
        </w:rPr>
        <w:footnoteRef/>
      </w:r>
      <w:r w:rsidRPr="00767365">
        <w:rPr>
          <w:rFonts w:asciiTheme="minorHAnsi" w:hAnsiTheme="minorHAnsi" w:cstheme="minorHAnsi"/>
        </w:rPr>
        <w:t xml:space="preserve"> Fair culture</w:t>
      </w:r>
    </w:p>
  </w:footnote>
  <w:footnote w:id="6">
    <w:p w14:paraId="7E149D26" w14:textId="2B581721" w:rsidR="00253C47" w:rsidRDefault="00253C47">
      <w:pPr>
        <w:pStyle w:val="FootnoteText"/>
      </w:pPr>
      <w:r>
        <w:rPr>
          <w:rStyle w:val="FootnoteReference"/>
        </w:rPr>
        <w:footnoteRef/>
      </w:r>
      <w:r>
        <w:t xml:space="preserve"> At RSSB</w:t>
      </w:r>
      <w:r w:rsidR="00ED2B7C">
        <w:t>’s</w:t>
      </w:r>
      <w:r>
        <w:t xml:space="preserve"> discretion</w:t>
      </w:r>
    </w:p>
  </w:footnote>
  <w:footnote w:id="7">
    <w:p w14:paraId="5A8DD336" w14:textId="23CF40C0" w:rsidR="00253C47" w:rsidRDefault="00253C47">
      <w:pPr>
        <w:pStyle w:val="FootnoteText"/>
      </w:pPr>
      <w:r>
        <w:rPr>
          <w:rStyle w:val="FootnoteReference"/>
        </w:rPr>
        <w:footnoteRef/>
      </w:r>
      <w:r>
        <w:t xml:space="preserve"> To be decided by RSSB</w:t>
      </w:r>
    </w:p>
  </w:footnote>
  <w:footnote w:id="8">
    <w:p w14:paraId="12908BEF" w14:textId="77777777" w:rsidR="00253C47" w:rsidRPr="004E0840" w:rsidRDefault="00253C47" w:rsidP="00253C47">
      <w:pPr>
        <w:pStyle w:val="FootnoteText"/>
        <w:rPr>
          <w:rFonts w:asciiTheme="minorHAnsi" w:hAnsiTheme="minorHAnsi" w:cstheme="minorHAnsi"/>
        </w:rPr>
      </w:pPr>
      <w:r w:rsidRPr="004E0840">
        <w:rPr>
          <w:rStyle w:val="FootnoteReference"/>
          <w:rFonts w:asciiTheme="minorHAnsi" w:hAnsiTheme="minorHAnsi" w:cstheme="minorHAnsi"/>
        </w:rPr>
        <w:footnoteRef/>
      </w:r>
      <w:r w:rsidRPr="004E0840">
        <w:rPr>
          <w:rFonts w:asciiTheme="minorHAnsi" w:hAnsiTheme="minorHAnsi" w:cstheme="minorHAnsi"/>
        </w:rPr>
        <w:t xml:space="preserve"> A maximum of 10 individuals</w:t>
      </w:r>
      <w:r>
        <w:rPr>
          <w:rFonts w:asciiTheme="minorHAnsi" w:hAnsiTheme="minorHAnsi" w:cstheme="minorHAnsi"/>
        </w:rPr>
        <w:t xml:space="preserve"> in total</w:t>
      </w:r>
    </w:p>
  </w:footnote>
  <w:footnote w:id="9">
    <w:p w14:paraId="1013432E" w14:textId="77777777" w:rsidR="001E1A5D" w:rsidRPr="00ED3A6B" w:rsidRDefault="001E1A5D" w:rsidP="00A54208">
      <w:pPr>
        <w:pStyle w:val="FootnoteText"/>
        <w:spacing w:afterLines="60" w:after="144"/>
        <w:rPr>
          <w:rFonts w:asciiTheme="minorHAnsi" w:hAnsiTheme="minorHAnsi" w:cstheme="minorHAnsi"/>
        </w:rPr>
      </w:pPr>
      <w:r w:rsidRPr="00ED3A6B">
        <w:rPr>
          <w:rStyle w:val="FootnoteReference"/>
          <w:rFonts w:asciiTheme="minorHAnsi" w:hAnsiTheme="minorHAnsi" w:cstheme="minorHAnsi"/>
        </w:rPr>
        <w:footnoteRef/>
      </w:r>
      <w:r w:rsidRPr="00ED3A6B">
        <w:rPr>
          <w:rFonts w:asciiTheme="minorHAnsi" w:hAnsiTheme="minorHAnsi" w:cstheme="minorHAnsi"/>
        </w:rPr>
        <w:t xml:space="preserve"> </w:t>
      </w:r>
      <w:r>
        <w:rPr>
          <w:rFonts w:asciiTheme="minorHAnsi" w:hAnsiTheme="minorHAnsi" w:cstheme="minorHAnsi"/>
        </w:rPr>
        <w:t xml:space="preserve">For clarity, </w:t>
      </w:r>
      <w:r w:rsidRPr="00ED3A6B">
        <w:rPr>
          <w:rFonts w:asciiTheme="minorHAnsi" w:hAnsiTheme="minorHAnsi" w:cstheme="minorHAnsi"/>
        </w:rPr>
        <w:t>‘</w:t>
      </w:r>
      <w:r>
        <w:rPr>
          <w:rFonts w:asciiTheme="minorHAnsi" w:hAnsiTheme="minorHAnsi" w:cstheme="minorHAnsi"/>
        </w:rPr>
        <w:t>q</w:t>
      </w:r>
      <w:r w:rsidRPr="00ED3A6B">
        <w:rPr>
          <w:rFonts w:asciiTheme="minorHAnsi" w:hAnsiTheme="minorHAnsi" w:cstheme="minorHAnsi"/>
        </w:rPr>
        <w:t>uality’ is defined as the delivery of robust outputs that successfully meet the project’s objectives</w:t>
      </w:r>
    </w:p>
  </w:footnote>
  <w:footnote w:id="10">
    <w:p w14:paraId="78E1879A" w14:textId="77777777" w:rsidR="001E1A5D" w:rsidRPr="00B16E1C" w:rsidRDefault="001E1A5D" w:rsidP="006129F4">
      <w:pPr>
        <w:pStyle w:val="FootnoteText"/>
        <w:spacing w:afterLines="60" w:after="144"/>
        <w:rPr>
          <w:rFonts w:asciiTheme="minorHAnsi" w:hAnsiTheme="minorHAnsi" w:cstheme="minorHAnsi"/>
        </w:rPr>
      </w:pPr>
      <w:r w:rsidRPr="00B16E1C">
        <w:rPr>
          <w:rStyle w:val="FootnoteReference"/>
          <w:rFonts w:asciiTheme="minorHAnsi" w:hAnsiTheme="minorHAnsi" w:cstheme="minorHAnsi"/>
        </w:rPr>
        <w:footnoteRef/>
      </w:r>
      <w:r w:rsidRPr="00B16E1C">
        <w:rPr>
          <w:rFonts w:asciiTheme="minorHAnsi" w:hAnsiTheme="minorHAnsi" w:cstheme="minorHAnsi"/>
        </w:rPr>
        <w:t xml:space="preserve"> For clarity, ‘opportunities’ is defined as an upside, beneficial source of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74D4" w14:textId="5892C803" w:rsidR="00520FC4" w:rsidRPr="0003785D" w:rsidRDefault="00520FC4" w:rsidP="0003785D">
    <w:pPr>
      <w:pStyle w:val="Image"/>
    </w:pPr>
    <w:r>
      <w:rPr>
        <w:noProof/>
        <w:color w:val="2B579A"/>
        <w:shd w:val="clear" w:color="auto" w:fill="E6E6E6"/>
      </w:rPr>
      <w:drawing>
        <wp:anchor distT="0" distB="0" distL="114300" distR="114300" simplePos="0" relativeHeight="251658240"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20C3E7A"/>
    <w:multiLevelType w:val="hybridMultilevel"/>
    <w:tmpl w:val="2F46D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A6B29"/>
    <w:multiLevelType w:val="hybridMultilevel"/>
    <w:tmpl w:val="4A92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55E69"/>
    <w:multiLevelType w:val="hybridMultilevel"/>
    <w:tmpl w:val="6052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0340A"/>
    <w:multiLevelType w:val="hybridMultilevel"/>
    <w:tmpl w:val="570C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94F8D"/>
    <w:multiLevelType w:val="hybridMultilevel"/>
    <w:tmpl w:val="3390A7E6"/>
    <w:lvl w:ilvl="0" w:tplc="D62E1D8C">
      <w:start w:val="1"/>
      <w:numFmt w:val="decimal"/>
      <w:lvlText w:val="%1."/>
      <w:lvlJc w:val="left"/>
      <w:pPr>
        <w:tabs>
          <w:tab w:val="num" w:pos="720"/>
        </w:tabs>
        <w:ind w:left="720" w:hanging="360"/>
      </w:pPr>
    </w:lvl>
    <w:lvl w:ilvl="1" w:tplc="E04E9872" w:tentative="1">
      <w:start w:val="1"/>
      <w:numFmt w:val="decimal"/>
      <w:lvlText w:val="%2."/>
      <w:lvlJc w:val="left"/>
      <w:pPr>
        <w:tabs>
          <w:tab w:val="num" w:pos="1440"/>
        </w:tabs>
        <w:ind w:left="1440" w:hanging="360"/>
      </w:pPr>
    </w:lvl>
    <w:lvl w:ilvl="2" w:tplc="D6980F74" w:tentative="1">
      <w:start w:val="1"/>
      <w:numFmt w:val="decimal"/>
      <w:lvlText w:val="%3."/>
      <w:lvlJc w:val="left"/>
      <w:pPr>
        <w:tabs>
          <w:tab w:val="num" w:pos="2160"/>
        </w:tabs>
        <w:ind w:left="2160" w:hanging="360"/>
      </w:pPr>
    </w:lvl>
    <w:lvl w:ilvl="3" w:tplc="3086137A" w:tentative="1">
      <w:start w:val="1"/>
      <w:numFmt w:val="decimal"/>
      <w:lvlText w:val="%4."/>
      <w:lvlJc w:val="left"/>
      <w:pPr>
        <w:tabs>
          <w:tab w:val="num" w:pos="2880"/>
        </w:tabs>
        <w:ind w:left="2880" w:hanging="360"/>
      </w:pPr>
    </w:lvl>
    <w:lvl w:ilvl="4" w:tplc="98A80380" w:tentative="1">
      <w:start w:val="1"/>
      <w:numFmt w:val="decimal"/>
      <w:lvlText w:val="%5."/>
      <w:lvlJc w:val="left"/>
      <w:pPr>
        <w:tabs>
          <w:tab w:val="num" w:pos="3600"/>
        </w:tabs>
        <w:ind w:left="3600" w:hanging="360"/>
      </w:pPr>
    </w:lvl>
    <w:lvl w:ilvl="5" w:tplc="9D2E7CE0" w:tentative="1">
      <w:start w:val="1"/>
      <w:numFmt w:val="decimal"/>
      <w:lvlText w:val="%6."/>
      <w:lvlJc w:val="left"/>
      <w:pPr>
        <w:tabs>
          <w:tab w:val="num" w:pos="4320"/>
        </w:tabs>
        <w:ind w:left="4320" w:hanging="360"/>
      </w:pPr>
    </w:lvl>
    <w:lvl w:ilvl="6" w:tplc="35C8AACC" w:tentative="1">
      <w:start w:val="1"/>
      <w:numFmt w:val="decimal"/>
      <w:lvlText w:val="%7."/>
      <w:lvlJc w:val="left"/>
      <w:pPr>
        <w:tabs>
          <w:tab w:val="num" w:pos="5040"/>
        </w:tabs>
        <w:ind w:left="5040" w:hanging="360"/>
      </w:pPr>
    </w:lvl>
    <w:lvl w:ilvl="7" w:tplc="FA424BA4" w:tentative="1">
      <w:start w:val="1"/>
      <w:numFmt w:val="decimal"/>
      <w:lvlText w:val="%8."/>
      <w:lvlJc w:val="left"/>
      <w:pPr>
        <w:tabs>
          <w:tab w:val="num" w:pos="5760"/>
        </w:tabs>
        <w:ind w:left="5760" w:hanging="360"/>
      </w:pPr>
    </w:lvl>
    <w:lvl w:ilvl="8" w:tplc="248C870C" w:tentative="1">
      <w:start w:val="1"/>
      <w:numFmt w:val="decimal"/>
      <w:lvlText w:val="%9."/>
      <w:lvlJc w:val="left"/>
      <w:pPr>
        <w:tabs>
          <w:tab w:val="num" w:pos="6480"/>
        </w:tabs>
        <w:ind w:left="6480" w:hanging="360"/>
      </w:pPr>
    </w:lvl>
  </w:abstractNum>
  <w:abstractNum w:abstractNumId="20"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2"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8C9112B"/>
    <w:multiLevelType w:val="hybridMultilevel"/>
    <w:tmpl w:val="EFAEA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8901B4"/>
    <w:multiLevelType w:val="hybridMultilevel"/>
    <w:tmpl w:val="1C0C794E"/>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680145"/>
    <w:multiLevelType w:val="hybridMultilevel"/>
    <w:tmpl w:val="C52A68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D073E"/>
    <w:multiLevelType w:val="hybridMultilevel"/>
    <w:tmpl w:val="2C26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422C46"/>
    <w:multiLevelType w:val="hybridMultilevel"/>
    <w:tmpl w:val="59D4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683B47"/>
    <w:multiLevelType w:val="hybridMultilevel"/>
    <w:tmpl w:val="AE3A7C96"/>
    <w:lvl w:ilvl="0" w:tplc="9FF28904">
      <w:start w:val="8"/>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947B96"/>
    <w:multiLevelType w:val="hybridMultilevel"/>
    <w:tmpl w:val="E64EB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8" w15:restartNumberingAfterBreak="0">
    <w:nsid w:val="7D463C1D"/>
    <w:multiLevelType w:val="hybridMultilevel"/>
    <w:tmpl w:val="BA9E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3"/>
  </w:num>
  <w:num w:numId="4">
    <w:abstractNumId w:val="23"/>
  </w:num>
  <w:num w:numId="5">
    <w:abstractNumId w:val="43"/>
  </w:num>
  <w:num w:numId="6">
    <w:abstractNumId w:val="0"/>
  </w:num>
  <w:num w:numId="7">
    <w:abstractNumId w:val="45"/>
  </w:num>
  <w:num w:numId="8">
    <w:abstractNumId w:val="42"/>
  </w:num>
  <w:num w:numId="9">
    <w:abstractNumId w:val="1"/>
  </w:num>
  <w:num w:numId="10">
    <w:abstractNumId w:val="24"/>
  </w:num>
  <w:num w:numId="11">
    <w:abstractNumId w:val="47"/>
  </w:num>
  <w:num w:numId="12">
    <w:abstractNumId w:val="3"/>
  </w:num>
  <w:num w:numId="13">
    <w:abstractNumId w:val="46"/>
  </w:num>
  <w:num w:numId="14">
    <w:abstractNumId w:val="32"/>
  </w:num>
  <w:num w:numId="15">
    <w:abstractNumId w:val="29"/>
  </w:num>
  <w:num w:numId="16">
    <w:abstractNumId w:val="5"/>
  </w:num>
  <w:num w:numId="17">
    <w:abstractNumId w:val="37"/>
  </w:num>
  <w:num w:numId="18">
    <w:abstractNumId w:val="9"/>
  </w:num>
  <w:num w:numId="19">
    <w:abstractNumId w:val="18"/>
  </w:num>
  <w:num w:numId="20">
    <w:abstractNumId w:val="20"/>
  </w:num>
  <w:num w:numId="21">
    <w:abstractNumId w:val="31"/>
  </w:num>
  <w:num w:numId="22">
    <w:abstractNumId w:val="21"/>
  </w:num>
  <w:num w:numId="23">
    <w:abstractNumId w:val="15"/>
  </w:num>
  <w:num w:numId="24">
    <w:abstractNumId w:val="26"/>
  </w:num>
  <w:num w:numId="25">
    <w:abstractNumId w:val="30"/>
  </w:num>
  <w:num w:numId="26">
    <w:abstractNumId w:val="11"/>
  </w:num>
  <w:num w:numId="27">
    <w:abstractNumId w:val="10"/>
  </w:num>
  <w:num w:numId="28">
    <w:abstractNumId w:val="22"/>
  </w:num>
  <w:num w:numId="29">
    <w:abstractNumId w:val="34"/>
  </w:num>
  <w:num w:numId="30">
    <w:abstractNumId w:val="41"/>
  </w:num>
  <w:num w:numId="31">
    <w:abstractNumId w:val="27"/>
  </w:num>
  <w:num w:numId="32">
    <w:abstractNumId w:val="14"/>
  </w:num>
  <w:num w:numId="33">
    <w:abstractNumId w:val="17"/>
  </w:num>
  <w:num w:numId="34">
    <w:abstractNumId w:val="44"/>
  </w:num>
  <w:num w:numId="35">
    <w:abstractNumId w:val="33"/>
  </w:num>
  <w:num w:numId="36">
    <w:abstractNumId w:val="7"/>
  </w:num>
  <w:num w:numId="37">
    <w:abstractNumId w:val="36"/>
  </w:num>
  <w:num w:numId="38">
    <w:abstractNumId w:val="38"/>
  </w:num>
  <w:num w:numId="39">
    <w:abstractNumId w:val="8"/>
  </w:num>
  <w:num w:numId="40">
    <w:abstractNumId w:val="39"/>
  </w:num>
  <w:num w:numId="41">
    <w:abstractNumId w:val="6"/>
  </w:num>
  <w:num w:numId="42">
    <w:abstractNumId w:val="35"/>
  </w:num>
  <w:num w:numId="43">
    <w:abstractNumId w:val="19"/>
  </w:num>
  <w:num w:numId="44">
    <w:abstractNumId w:val="40"/>
  </w:num>
  <w:num w:numId="45">
    <w:abstractNumId w:val="4"/>
  </w:num>
  <w:num w:numId="46">
    <w:abstractNumId w:val="12"/>
  </w:num>
  <w:num w:numId="47">
    <w:abstractNumId w:val="48"/>
  </w:num>
  <w:num w:numId="48">
    <w:abstractNumId w:val="28"/>
  </w:num>
  <w:num w:numId="49">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3D79"/>
    <w:rsid w:val="000048BB"/>
    <w:rsid w:val="00004AB4"/>
    <w:rsid w:val="00005F35"/>
    <w:rsid w:val="0000650A"/>
    <w:rsid w:val="00007301"/>
    <w:rsid w:val="000104EA"/>
    <w:rsid w:val="0001228D"/>
    <w:rsid w:val="00014790"/>
    <w:rsid w:val="000151C8"/>
    <w:rsid w:val="00015F83"/>
    <w:rsid w:val="000172D3"/>
    <w:rsid w:val="0002231C"/>
    <w:rsid w:val="0002245E"/>
    <w:rsid w:val="00023C66"/>
    <w:rsid w:val="00023DDF"/>
    <w:rsid w:val="0002683E"/>
    <w:rsid w:val="00027D88"/>
    <w:rsid w:val="00031959"/>
    <w:rsid w:val="00032803"/>
    <w:rsid w:val="00036305"/>
    <w:rsid w:val="0003785D"/>
    <w:rsid w:val="00040064"/>
    <w:rsid w:val="00040660"/>
    <w:rsid w:val="00040D14"/>
    <w:rsid w:val="00042BB8"/>
    <w:rsid w:val="00045001"/>
    <w:rsid w:val="00045282"/>
    <w:rsid w:val="00045FC8"/>
    <w:rsid w:val="000464CC"/>
    <w:rsid w:val="00046606"/>
    <w:rsid w:val="00047C3D"/>
    <w:rsid w:val="00050658"/>
    <w:rsid w:val="00050D31"/>
    <w:rsid w:val="0005122A"/>
    <w:rsid w:val="00053C28"/>
    <w:rsid w:val="000545C4"/>
    <w:rsid w:val="00055E7F"/>
    <w:rsid w:val="00057A40"/>
    <w:rsid w:val="000600B0"/>
    <w:rsid w:val="00062711"/>
    <w:rsid w:val="00063588"/>
    <w:rsid w:val="0006478A"/>
    <w:rsid w:val="00064BD0"/>
    <w:rsid w:val="000666FF"/>
    <w:rsid w:val="00067440"/>
    <w:rsid w:val="00067A43"/>
    <w:rsid w:val="00070925"/>
    <w:rsid w:val="0007177D"/>
    <w:rsid w:val="00077D42"/>
    <w:rsid w:val="000900AF"/>
    <w:rsid w:val="00091DF7"/>
    <w:rsid w:val="00093B9C"/>
    <w:rsid w:val="000942CA"/>
    <w:rsid w:val="00095757"/>
    <w:rsid w:val="00095A03"/>
    <w:rsid w:val="00096479"/>
    <w:rsid w:val="000A04BD"/>
    <w:rsid w:val="000A15E7"/>
    <w:rsid w:val="000A1AA9"/>
    <w:rsid w:val="000A1B01"/>
    <w:rsid w:val="000A1E86"/>
    <w:rsid w:val="000A2D19"/>
    <w:rsid w:val="000A3709"/>
    <w:rsid w:val="000A4667"/>
    <w:rsid w:val="000A5057"/>
    <w:rsid w:val="000A7126"/>
    <w:rsid w:val="000A7430"/>
    <w:rsid w:val="000A7DAC"/>
    <w:rsid w:val="000B3445"/>
    <w:rsid w:val="000B397F"/>
    <w:rsid w:val="000B3EC3"/>
    <w:rsid w:val="000B6F82"/>
    <w:rsid w:val="000C1C27"/>
    <w:rsid w:val="000C2152"/>
    <w:rsid w:val="000C3A22"/>
    <w:rsid w:val="000C3D03"/>
    <w:rsid w:val="000C6B43"/>
    <w:rsid w:val="000D1933"/>
    <w:rsid w:val="000D1938"/>
    <w:rsid w:val="000D1A59"/>
    <w:rsid w:val="000D3F24"/>
    <w:rsid w:val="000D7E0F"/>
    <w:rsid w:val="000E1B11"/>
    <w:rsid w:val="000E2AA0"/>
    <w:rsid w:val="000E4DC8"/>
    <w:rsid w:val="000E5223"/>
    <w:rsid w:val="000E52F8"/>
    <w:rsid w:val="000F24DE"/>
    <w:rsid w:val="000F3413"/>
    <w:rsid w:val="000F46E4"/>
    <w:rsid w:val="000F4C25"/>
    <w:rsid w:val="001006F8"/>
    <w:rsid w:val="001007D1"/>
    <w:rsid w:val="00100BAD"/>
    <w:rsid w:val="00103FDD"/>
    <w:rsid w:val="00105AA8"/>
    <w:rsid w:val="00106649"/>
    <w:rsid w:val="00106943"/>
    <w:rsid w:val="00112B0D"/>
    <w:rsid w:val="00114050"/>
    <w:rsid w:val="001145A1"/>
    <w:rsid w:val="00114D12"/>
    <w:rsid w:val="00116A88"/>
    <w:rsid w:val="001203BF"/>
    <w:rsid w:val="001217F7"/>
    <w:rsid w:val="00122840"/>
    <w:rsid w:val="00125064"/>
    <w:rsid w:val="00125189"/>
    <w:rsid w:val="001264DF"/>
    <w:rsid w:val="00134002"/>
    <w:rsid w:val="0013478B"/>
    <w:rsid w:val="00134A7B"/>
    <w:rsid w:val="00137827"/>
    <w:rsid w:val="00137998"/>
    <w:rsid w:val="0014075C"/>
    <w:rsid w:val="00142B68"/>
    <w:rsid w:val="0014557C"/>
    <w:rsid w:val="001502F5"/>
    <w:rsid w:val="00152787"/>
    <w:rsid w:val="00152BBC"/>
    <w:rsid w:val="00155CBF"/>
    <w:rsid w:val="0015732D"/>
    <w:rsid w:val="00160466"/>
    <w:rsid w:val="001629B2"/>
    <w:rsid w:val="00163128"/>
    <w:rsid w:val="001640EB"/>
    <w:rsid w:val="00166007"/>
    <w:rsid w:val="00166182"/>
    <w:rsid w:val="00167865"/>
    <w:rsid w:val="0017053B"/>
    <w:rsid w:val="0017283E"/>
    <w:rsid w:val="0017286F"/>
    <w:rsid w:val="00173170"/>
    <w:rsid w:val="00175769"/>
    <w:rsid w:val="00176477"/>
    <w:rsid w:val="00176DDD"/>
    <w:rsid w:val="00177EC5"/>
    <w:rsid w:val="001802BE"/>
    <w:rsid w:val="00180DB2"/>
    <w:rsid w:val="00184B6D"/>
    <w:rsid w:val="001907AE"/>
    <w:rsid w:val="00191D59"/>
    <w:rsid w:val="00193B46"/>
    <w:rsid w:val="00197D47"/>
    <w:rsid w:val="001A2D42"/>
    <w:rsid w:val="001A74CF"/>
    <w:rsid w:val="001A763A"/>
    <w:rsid w:val="001B04EB"/>
    <w:rsid w:val="001B1224"/>
    <w:rsid w:val="001B2F18"/>
    <w:rsid w:val="001B367C"/>
    <w:rsid w:val="001B4560"/>
    <w:rsid w:val="001B5368"/>
    <w:rsid w:val="001B621B"/>
    <w:rsid w:val="001B6647"/>
    <w:rsid w:val="001B78A2"/>
    <w:rsid w:val="001B7C1B"/>
    <w:rsid w:val="001C0DF4"/>
    <w:rsid w:val="001C1509"/>
    <w:rsid w:val="001C2122"/>
    <w:rsid w:val="001C4B6E"/>
    <w:rsid w:val="001D0F8B"/>
    <w:rsid w:val="001D11EB"/>
    <w:rsid w:val="001D33E3"/>
    <w:rsid w:val="001D4B6F"/>
    <w:rsid w:val="001D5108"/>
    <w:rsid w:val="001D775D"/>
    <w:rsid w:val="001E146A"/>
    <w:rsid w:val="001E1A5D"/>
    <w:rsid w:val="001E1B9F"/>
    <w:rsid w:val="001E3419"/>
    <w:rsid w:val="001E38A6"/>
    <w:rsid w:val="001E51FE"/>
    <w:rsid w:val="001E53FD"/>
    <w:rsid w:val="001E604B"/>
    <w:rsid w:val="001E6E1E"/>
    <w:rsid w:val="001E7912"/>
    <w:rsid w:val="001E7B04"/>
    <w:rsid w:val="001F22B3"/>
    <w:rsid w:val="001F2849"/>
    <w:rsid w:val="001F2882"/>
    <w:rsid w:val="001F4D87"/>
    <w:rsid w:val="001F5871"/>
    <w:rsid w:val="001F5925"/>
    <w:rsid w:val="001F6223"/>
    <w:rsid w:val="001F64ED"/>
    <w:rsid w:val="001F7353"/>
    <w:rsid w:val="001F7840"/>
    <w:rsid w:val="001F7A6C"/>
    <w:rsid w:val="00201084"/>
    <w:rsid w:val="002015D7"/>
    <w:rsid w:val="00202120"/>
    <w:rsid w:val="002026D1"/>
    <w:rsid w:val="00202FFE"/>
    <w:rsid w:val="0020300A"/>
    <w:rsid w:val="002032C3"/>
    <w:rsid w:val="00206873"/>
    <w:rsid w:val="00207354"/>
    <w:rsid w:val="002102CD"/>
    <w:rsid w:val="0021088A"/>
    <w:rsid w:val="002119C7"/>
    <w:rsid w:val="00211CA5"/>
    <w:rsid w:val="002123E6"/>
    <w:rsid w:val="002145FC"/>
    <w:rsid w:val="0021504D"/>
    <w:rsid w:val="0022069F"/>
    <w:rsid w:val="002227F6"/>
    <w:rsid w:val="00222D2F"/>
    <w:rsid w:val="00222F75"/>
    <w:rsid w:val="00223ADE"/>
    <w:rsid w:val="002305B6"/>
    <w:rsid w:val="0023251B"/>
    <w:rsid w:val="002333DF"/>
    <w:rsid w:val="002345D7"/>
    <w:rsid w:val="002401A8"/>
    <w:rsid w:val="002402CB"/>
    <w:rsid w:val="0024045C"/>
    <w:rsid w:val="00241B1C"/>
    <w:rsid w:val="002426D4"/>
    <w:rsid w:val="00242AAD"/>
    <w:rsid w:val="0024671C"/>
    <w:rsid w:val="00246B2F"/>
    <w:rsid w:val="00247F4F"/>
    <w:rsid w:val="00253C47"/>
    <w:rsid w:val="002569DA"/>
    <w:rsid w:val="00256E7C"/>
    <w:rsid w:val="002628DD"/>
    <w:rsid w:val="00263D66"/>
    <w:rsid w:val="00265493"/>
    <w:rsid w:val="00267C6F"/>
    <w:rsid w:val="00267F2D"/>
    <w:rsid w:val="00271D1D"/>
    <w:rsid w:val="00272CF4"/>
    <w:rsid w:val="00272E61"/>
    <w:rsid w:val="0027371E"/>
    <w:rsid w:val="00275AEF"/>
    <w:rsid w:val="00275F75"/>
    <w:rsid w:val="00277AF2"/>
    <w:rsid w:val="00280F6A"/>
    <w:rsid w:val="002866E3"/>
    <w:rsid w:val="00287CDB"/>
    <w:rsid w:val="00290D4D"/>
    <w:rsid w:val="002947E0"/>
    <w:rsid w:val="002A04C5"/>
    <w:rsid w:val="002A2A92"/>
    <w:rsid w:val="002A4FD2"/>
    <w:rsid w:val="002A6750"/>
    <w:rsid w:val="002A7F4D"/>
    <w:rsid w:val="002B06CD"/>
    <w:rsid w:val="002B2866"/>
    <w:rsid w:val="002B28E4"/>
    <w:rsid w:val="002B30F6"/>
    <w:rsid w:val="002B53D6"/>
    <w:rsid w:val="002B545D"/>
    <w:rsid w:val="002B562C"/>
    <w:rsid w:val="002B7128"/>
    <w:rsid w:val="002B7A89"/>
    <w:rsid w:val="002C2977"/>
    <w:rsid w:val="002C2CFF"/>
    <w:rsid w:val="002C3A20"/>
    <w:rsid w:val="002C7A2C"/>
    <w:rsid w:val="002D0428"/>
    <w:rsid w:val="002D2271"/>
    <w:rsid w:val="002D2E9C"/>
    <w:rsid w:val="002D2FA7"/>
    <w:rsid w:val="002D477C"/>
    <w:rsid w:val="002D5374"/>
    <w:rsid w:val="002D5FF4"/>
    <w:rsid w:val="002D648F"/>
    <w:rsid w:val="002E1E8B"/>
    <w:rsid w:val="002E2F7E"/>
    <w:rsid w:val="002E2FA5"/>
    <w:rsid w:val="002E5223"/>
    <w:rsid w:val="002E6DC7"/>
    <w:rsid w:val="002E6EDC"/>
    <w:rsid w:val="002F1FAC"/>
    <w:rsid w:val="002F2093"/>
    <w:rsid w:val="002F2F6E"/>
    <w:rsid w:val="002F5AA3"/>
    <w:rsid w:val="00301677"/>
    <w:rsid w:val="003021D6"/>
    <w:rsid w:val="003030E2"/>
    <w:rsid w:val="0030608A"/>
    <w:rsid w:val="00307AB8"/>
    <w:rsid w:val="00307C0E"/>
    <w:rsid w:val="00311017"/>
    <w:rsid w:val="003112E3"/>
    <w:rsid w:val="00314318"/>
    <w:rsid w:val="0031591E"/>
    <w:rsid w:val="00315B74"/>
    <w:rsid w:val="00317651"/>
    <w:rsid w:val="00317F2B"/>
    <w:rsid w:val="00321152"/>
    <w:rsid w:val="003218DC"/>
    <w:rsid w:val="00322E54"/>
    <w:rsid w:val="00323074"/>
    <w:rsid w:val="00323200"/>
    <w:rsid w:val="00324A79"/>
    <w:rsid w:val="00326011"/>
    <w:rsid w:val="00326CC6"/>
    <w:rsid w:val="00326D86"/>
    <w:rsid w:val="00327976"/>
    <w:rsid w:val="00330696"/>
    <w:rsid w:val="00330B81"/>
    <w:rsid w:val="00332581"/>
    <w:rsid w:val="00334BFE"/>
    <w:rsid w:val="003367C7"/>
    <w:rsid w:val="00340B2C"/>
    <w:rsid w:val="0034111B"/>
    <w:rsid w:val="00341334"/>
    <w:rsid w:val="003427AF"/>
    <w:rsid w:val="003427E7"/>
    <w:rsid w:val="00342A2E"/>
    <w:rsid w:val="00344C66"/>
    <w:rsid w:val="00346A9F"/>
    <w:rsid w:val="003476FE"/>
    <w:rsid w:val="003530CC"/>
    <w:rsid w:val="0035334E"/>
    <w:rsid w:val="0035434B"/>
    <w:rsid w:val="0035436B"/>
    <w:rsid w:val="003577D4"/>
    <w:rsid w:val="00357863"/>
    <w:rsid w:val="00360B24"/>
    <w:rsid w:val="00364F56"/>
    <w:rsid w:val="00366EF9"/>
    <w:rsid w:val="00370B83"/>
    <w:rsid w:val="00370CF1"/>
    <w:rsid w:val="00373EBC"/>
    <w:rsid w:val="00375C89"/>
    <w:rsid w:val="003801C6"/>
    <w:rsid w:val="003801DB"/>
    <w:rsid w:val="00380F5A"/>
    <w:rsid w:val="00381655"/>
    <w:rsid w:val="00382426"/>
    <w:rsid w:val="00383481"/>
    <w:rsid w:val="00385855"/>
    <w:rsid w:val="00385D51"/>
    <w:rsid w:val="00386BF8"/>
    <w:rsid w:val="0039240D"/>
    <w:rsid w:val="00392D19"/>
    <w:rsid w:val="00393DE4"/>
    <w:rsid w:val="00395222"/>
    <w:rsid w:val="00395624"/>
    <w:rsid w:val="003966C4"/>
    <w:rsid w:val="00396BCF"/>
    <w:rsid w:val="00397AA2"/>
    <w:rsid w:val="003A07B0"/>
    <w:rsid w:val="003A3C81"/>
    <w:rsid w:val="003A3D27"/>
    <w:rsid w:val="003A463F"/>
    <w:rsid w:val="003A63C9"/>
    <w:rsid w:val="003A6AFD"/>
    <w:rsid w:val="003A6B4C"/>
    <w:rsid w:val="003A73A9"/>
    <w:rsid w:val="003A7BD6"/>
    <w:rsid w:val="003B01F9"/>
    <w:rsid w:val="003B05EF"/>
    <w:rsid w:val="003B074C"/>
    <w:rsid w:val="003B4220"/>
    <w:rsid w:val="003B5726"/>
    <w:rsid w:val="003B62C9"/>
    <w:rsid w:val="003B662E"/>
    <w:rsid w:val="003B7775"/>
    <w:rsid w:val="003C01DC"/>
    <w:rsid w:val="003C1431"/>
    <w:rsid w:val="003C434B"/>
    <w:rsid w:val="003C7D93"/>
    <w:rsid w:val="003D45F2"/>
    <w:rsid w:val="003D4D85"/>
    <w:rsid w:val="003D54B6"/>
    <w:rsid w:val="003D77DC"/>
    <w:rsid w:val="003D7AAE"/>
    <w:rsid w:val="003E14CF"/>
    <w:rsid w:val="003E20EF"/>
    <w:rsid w:val="003E26D7"/>
    <w:rsid w:val="003E2CD9"/>
    <w:rsid w:val="003E425C"/>
    <w:rsid w:val="003E4C69"/>
    <w:rsid w:val="003E60E0"/>
    <w:rsid w:val="003E6342"/>
    <w:rsid w:val="003E728B"/>
    <w:rsid w:val="003F0294"/>
    <w:rsid w:val="003F1B1B"/>
    <w:rsid w:val="003F2584"/>
    <w:rsid w:val="003F4A30"/>
    <w:rsid w:val="003F4BC4"/>
    <w:rsid w:val="003F5D74"/>
    <w:rsid w:val="003F5EAA"/>
    <w:rsid w:val="003F6FCA"/>
    <w:rsid w:val="00400488"/>
    <w:rsid w:val="004030DE"/>
    <w:rsid w:val="00403FD0"/>
    <w:rsid w:val="004045D0"/>
    <w:rsid w:val="00406150"/>
    <w:rsid w:val="00410F07"/>
    <w:rsid w:val="004125FE"/>
    <w:rsid w:val="0041419B"/>
    <w:rsid w:val="00414879"/>
    <w:rsid w:val="00416132"/>
    <w:rsid w:val="004161CA"/>
    <w:rsid w:val="004163CF"/>
    <w:rsid w:val="00416982"/>
    <w:rsid w:val="00417B7B"/>
    <w:rsid w:val="00420962"/>
    <w:rsid w:val="004232B1"/>
    <w:rsid w:val="004236BB"/>
    <w:rsid w:val="00425161"/>
    <w:rsid w:val="004264C0"/>
    <w:rsid w:val="00427D02"/>
    <w:rsid w:val="004306CA"/>
    <w:rsid w:val="00431664"/>
    <w:rsid w:val="00433086"/>
    <w:rsid w:val="00433EAC"/>
    <w:rsid w:val="00436568"/>
    <w:rsid w:val="00436E27"/>
    <w:rsid w:val="00436F87"/>
    <w:rsid w:val="00437134"/>
    <w:rsid w:val="004413B0"/>
    <w:rsid w:val="00442865"/>
    <w:rsid w:val="00442C8E"/>
    <w:rsid w:val="00443F8E"/>
    <w:rsid w:val="00443FAF"/>
    <w:rsid w:val="0044412F"/>
    <w:rsid w:val="00446335"/>
    <w:rsid w:val="00447701"/>
    <w:rsid w:val="004525DB"/>
    <w:rsid w:val="00454596"/>
    <w:rsid w:val="00456204"/>
    <w:rsid w:val="0045692B"/>
    <w:rsid w:val="004625AC"/>
    <w:rsid w:val="00463B4A"/>
    <w:rsid w:val="00463DCC"/>
    <w:rsid w:val="00465C6E"/>
    <w:rsid w:val="00465D24"/>
    <w:rsid w:val="004664D7"/>
    <w:rsid w:val="004666E1"/>
    <w:rsid w:val="00467BA9"/>
    <w:rsid w:val="00471315"/>
    <w:rsid w:val="004718E4"/>
    <w:rsid w:val="0047200F"/>
    <w:rsid w:val="00475E14"/>
    <w:rsid w:val="0047756F"/>
    <w:rsid w:val="00480814"/>
    <w:rsid w:val="0048109D"/>
    <w:rsid w:val="0048171A"/>
    <w:rsid w:val="00482230"/>
    <w:rsid w:val="0048358F"/>
    <w:rsid w:val="00483C4B"/>
    <w:rsid w:val="0049292B"/>
    <w:rsid w:val="00495925"/>
    <w:rsid w:val="004959BD"/>
    <w:rsid w:val="004A0C64"/>
    <w:rsid w:val="004A111C"/>
    <w:rsid w:val="004A3733"/>
    <w:rsid w:val="004A3787"/>
    <w:rsid w:val="004A3F70"/>
    <w:rsid w:val="004A4181"/>
    <w:rsid w:val="004A7D5F"/>
    <w:rsid w:val="004B27A0"/>
    <w:rsid w:val="004B52C1"/>
    <w:rsid w:val="004B5C20"/>
    <w:rsid w:val="004B78FC"/>
    <w:rsid w:val="004B7BBB"/>
    <w:rsid w:val="004C4608"/>
    <w:rsid w:val="004C5344"/>
    <w:rsid w:val="004C59B1"/>
    <w:rsid w:val="004C5BAF"/>
    <w:rsid w:val="004C75A1"/>
    <w:rsid w:val="004D06B4"/>
    <w:rsid w:val="004D1829"/>
    <w:rsid w:val="004D2368"/>
    <w:rsid w:val="004D39AA"/>
    <w:rsid w:val="004D5CA0"/>
    <w:rsid w:val="004D7273"/>
    <w:rsid w:val="004E4DC4"/>
    <w:rsid w:val="004E5CB1"/>
    <w:rsid w:val="004E658A"/>
    <w:rsid w:val="004F00A4"/>
    <w:rsid w:val="004F0353"/>
    <w:rsid w:val="004F0563"/>
    <w:rsid w:val="004F0D95"/>
    <w:rsid w:val="004F3751"/>
    <w:rsid w:val="004F5756"/>
    <w:rsid w:val="004F5FCD"/>
    <w:rsid w:val="004F6564"/>
    <w:rsid w:val="00503098"/>
    <w:rsid w:val="0050469F"/>
    <w:rsid w:val="005047AB"/>
    <w:rsid w:val="00504874"/>
    <w:rsid w:val="00504AC1"/>
    <w:rsid w:val="00505B2A"/>
    <w:rsid w:val="0050724D"/>
    <w:rsid w:val="0050746A"/>
    <w:rsid w:val="0050796B"/>
    <w:rsid w:val="00507F0C"/>
    <w:rsid w:val="00507F80"/>
    <w:rsid w:val="00511D8D"/>
    <w:rsid w:val="005150E3"/>
    <w:rsid w:val="005170FA"/>
    <w:rsid w:val="00520FC4"/>
    <w:rsid w:val="00523E0C"/>
    <w:rsid w:val="0052419C"/>
    <w:rsid w:val="0052436A"/>
    <w:rsid w:val="00527C89"/>
    <w:rsid w:val="005302A4"/>
    <w:rsid w:val="00532FAF"/>
    <w:rsid w:val="005349D0"/>
    <w:rsid w:val="00535C6B"/>
    <w:rsid w:val="0054035A"/>
    <w:rsid w:val="00542493"/>
    <w:rsid w:val="00544785"/>
    <w:rsid w:val="00544FE5"/>
    <w:rsid w:val="00546361"/>
    <w:rsid w:val="00547F63"/>
    <w:rsid w:val="00553060"/>
    <w:rsid w:val="00553D21"/>
    <w:rsid w:val="00553F77"/>
    <w:rsid w:val="0055621F"/>
    <w:rsid w:val="00556ED7"/>
    <w:rsid w:val="00556F79"/>
    <w:rsid w:val="00557610"/>
    <w:rsid w:val="0055795A"/>
    <w:rsid w:val="00560914"/>
    <w:rsid w:val="005636AE"/>
    <w:rsid w:val="00565059"/>
    <w:rsid w:val="00566266"/>
    <w:rsid w:val="00571090"/>
    <w:rsid w:val="005718D7"/>
    <w:rsid w:val="00573392"/>
    <w:rsid w:val="0057352C"/>
    <w:rsid w:val="00576B14"/>
    <w:rsid w:val="00577662"/>
    <w:rsid w:val="00577801"/>
    <w:rsid w:val="00582678"/>
    <w:rsid w:val="00582A2C"/>
    <w:rsid w:val="00583100"/>
    <w:rsid w:val="00583EDD"/>
    <w:rsid w:val="005840D1"/>
    <w:rsid w:val="00585CFB"/>
    <w:rsid w:val="00585D12"/>
    <w:rsid w:val="00586A7A"/>
    <w:rsid w:val="0058708B"/>
    <w:rsid w:val="00587B6D"/>
    <w:rsid w:val="00587CCB"/>
    <w:rsid w:val="00587FD9"/>
    <w:rsid w:val="005920CD"/>
    <w:rsid w:val="00592C7C"/>
    <w:rsid w:val="00595EEE"/>
    <w:rsid w:val="00596790"/>
    <w:rsid w:val="005A0CC7"/>
    <w:rsid w:val="005A15A7"/>
    <w:rsid w:val="005A329D"/>
    <w:rsid w:val="005A499F"/>
    <w:rsid w:val="005A798E"/>
    <w:rsid w:val="005B04A2"/>
    <w:rsid w:val="005B0E60"/>
    <w:rsid w:val="005B1ED0"/>
    <w:rsid w:val="005B2A00"/>
    <w:rsid w:val="005B4DAE"/>
    <w:rsid w:val="005B7230"/>
    <w:rsid w:val="005C0BCC"/>
    <w:rsid w:val="005C0C5A"/>
    <w:rsid w:val="005C1DDB"/>
    <w:rsid w:val="005C2665"/>
    <w:rsid w:val="005C29B8"/>
    <w:rsid w:val="005C4E1F"/>
    <w:rsid w:val="005C62D0"/>
    <w:rsid w:val="005C67EF"/>
    <w:rsid w:val="005D0A52"/>
    <w:rsid w:val="005D1D4A"/>
    <w:rsid w:val="005D21E3"/>
    <w:rsid w:val="005D262A"/>
    <w:rsid w:val="005D263C"/>
    <w:rsid w:val="005D46FD"/>
    <w:rsid w:val="005D46FF"/>
    <w:rsid w:val="005D644D"/>
    <w:rsid w:val="005E0FA3"/>
    <w:rsid w:val="005E2482"/>
    <w:rsid w:val="005E448E"/>
    <w:rsid w:val="005E4B66"/>
    <w:rsid w:val="005E5055"/>
    <w:rsid w:val="005E525C"/>
    <w:rsid w:val="005E6B5A"/>
    <w:rsid w:val="005F1D65"/>
    <w:rsid w:val="005F39AD"/>
    <w:rsid w:val="005F41FA"/>
    <w:rsid w:val="005F4D9A"/>
    <w:rsid w:val="005F5FD4"/>
    <w:rsid w:val="005F6BAE"/>
    <w:rsid w:val="005F6E74"/>
    <w:rsid w:val="005F6FBC"/>
    <w:rsid w:val="006007BE"/>
    <w:rsid w:val="006031A4"/>
    <w:rsid w:val="0060597B"/>
    <w:rsid w:val="006064FF"/>
    <w:rsid w:val="00610885"/>
    <w:rsid w:val="00610B0B"/>
    <w:rsid w:val="00610DB9"/>
    <w:rsid w:val="00611386"/>
    <w:rsid w:val="0061191F"/>
    <w:rsid w:val="006129F4"/>
    <w:rsid w:val="00613729"/>
    <w:rsid w:val="00613EC7"/>
    <w:rsid w:val="006160D0"/>
    <w:rsid w:val="006207AB"/>
    <w:rsid w:val="00620FA0"/>
    <w:rsid w:val="0062110D"/>
    <w:rsid w:val="00622787"/>
    <w:rsid w:val="00622A78"/>
    <w:rsid w:val="00625B03"/>
    <w:rsid w:val="00631E89"/>
    <w:rsid w:val="00633998"/>
    <w:rsid w:val="00635AE9"/>
    <w:rsid w:val="00636632"/>
    <w:rsid w:val="00640A11"/>
    <w:rsid w:val="006418C4"/>
    <w:rsid w:val="0064370B"/>
    <w:rsid w:val="00644405"/>
    <w:rsid w:val="00646DD6"/>
    <w:rsid w:val="006520E9"/>
    <w:rsid w:val="00656A5B"/>
    <w:rsid w:val="006578C7"/>
    <w:rsid w:val="00662679"/>
    <w:rsid w:val="006645FA"/>
    <w:rsid w:val="00664AEA"/>
    <w:rsid w:val="00665D05"/>
    <w:rsid w:val="006719F2"/>
    <w:rsid w:val="00674166"/>
    <w:rsid w:val="0067669F"/>
    <w:rsid w:val="00677B4C"/>
    <w:rsid w:val="00684BCD"/>
    <w:rsid w:val="0068523D"/>
    <w:rsid w:val="0068622C"/>
    <w:rsid w:val="006862E5"/>
    <w:rsid w:val="00687527"/>
    <w:rsid w:val="00694131"/>
    <w:rsid w:val="00696D1C"/>
    <w:rsid w:val="006A095A"/>
    <w:rsid w:val="006A15C4"/>
    <w:rsid w:val="006A2A93"/>
    <w:rsid w:val="006A3B4E"/>
    <w:rsid w:val="006A4AEC"/>
    <w:rsid w:val="006B0D09"/>
    <w:rsid w:val="006B1B60"/>
    <w:rsid w:val="006B7269"/>
    <w:rsid w:val="006C1BA3"/>
    <w:rsid w:val="006C2F7C"/>
    <w:rsid w:val="006C4C3F"/>
    <w:rsid w:val="006C6C1F"/>
    <w:rsid w:val="006C76C3"/>
    <w:rsid w:val="006D4779"/>
    <w:rsid w:val="006D4A18"/>
    <w:rsid w:val="006E1B07"/>
    <w:rsid w:val="006E215A"/>
    <w:rsid w:val="006E2708"/>
    <w:rsid w:val="006E348E"/>
    <w:rsid w:val="006E35B3"/>
    <w:rsid w:val="006E59D3"/>
    <w:rsid w:val="006E6437"/>
    <w:rsid w:val="006E69B3"/>
    <w:rsid w:val="006E7034"/>
    <w:rsid w:val="006E74A4"/>
    <w:rsid w:val="006E7F8F"/>
    <w:rsid w:val="006F0476"/>
    <w:rsid w:val="006F21F7"/>
    <w:rsid w:val="006F2886"/>
    <w:rsid w:val="006F2BBD"/>
    <w:rsid w:val="006F5237"/>
    <w:rsid w:val="0070097E"/>
    <w:rsid w:val="00704C7E"/>
    <w:rsid w:val="00706259"/>
    <w:rsid w:val="007070D1"/>
    <w:rsid w:val="007075DC"/>
    <w:rsid w:val="007078C5"/>
    <w:rsid w:val="00707D3A"/>
    <w:rsid w:val="00711531"/>
    <w:rsid w:val="00712D3E"/>
    <w:rsid w:val="0071601A"/>
    <w:rsid w:val="007167B6"/>
    <w:rsid w:val="00720811"/>
    <w:rsid w:val="007226E6"/>
    <w:rsid w:val="007233DA"/>
    <w:rsid w:val="00723934"/>
    <w:rsid w:val="007279F4"/>
    <w:rsid w:val="00727F38"/>
    <w:rsid w:val="007323C6"/>
    <w:rsid w:val="007350A2"/>
    <w:rsid w:val="0073567C"/>
    <w:rsid w:val="00736036"/>
    <w:rsid w:val="00737E41"/>
    <w:rsid w:val="0074071F"/>
    <w:rsid w:val="00740722"/>
    <w:rsid w:val="00741332"/>
    <w:rsid w:val="007419E2"/>
    <w:rsid w:val="00742F2A"/>
    <w:rsid w:val="0074556C"/>
    <w:rsid w:val="007458AB"/>
    <w:rsid w:val="00746C68"/>
    <w:rsid w:val="00747C4E"/>
    <w:rsid w:val="007501A1"/>
    <w:rsid w:val="00750268"/>
    <w:rsid w:val="007511AE"/>
    <w:rsid w:val="007531C3"/>
    <w:rsid w:val="007536DC"/>
    <w:rsid w:val="00753CB0"/>
    <w:rsid w:val="0075464C"/>
    <w:rsid w:val="0075783D"/>
    <w:rsid w:val="00761ED5"/>
    <w:rsid w:val="00767018"/>
    <w:rsid w:val="00771231"/>
    <w:rsid w:val="0077434F"/>
    <w:rsid w:val="00774BE7"/>
    <w:rsid w:val="0077663C"/>
    <w:rsid w:val="007808E9"/>
    <w:rsid w:val="0078406D"/>
    <w:rsid w:val="00784994"/>
    <w:rsid w:val="007866E2"/>
    <w:rsid w:val="00786BEE"/>
    <w:rsid w:val="00787E94"/>
    <w:rsid w:val="00792D09"/>
    <w:rsid w:val="007961A0"/>
    <w:rsid w:val="0079747F"/>
    <w:rsid w:val="007A4309"/>
    <w:rsid w:val="007A6DDC"/>
    <w:rsid w:val="007A71CD"/>
    <w:rsid w:val="007A73BC"/>
    <w:rsid w:val="007B096E"/>
    <w:rsid w:val="007B4813"/>
    <w:rsid w:val="007B54B4"/>
    <w:rsid w:val="007B6028"/>
    <w:rsid w:val="007B7955"/>
    <w:rsid w:val="007C0176"/>
    <w:rsid w:val="007C4082"/>
    <w:rsid w:val="007C4856"/>
    <w:rsid w:val="007C5EF0"/>
    <w:rsid w:val="007C61C6"/>
    <w:rsid w:val="007C6D8B"/>
    <w:rsid w:val="007C7171"/>
    <w:rsid w:val="007D0976"/>
    <w:rsid w:val="007D21C3"/>
    <w:rsid w:val="007D3486"/>
    <w:rsid w:val="007D6211"/>
    <w:rsid w:val="007D658E"/>
    <w:rsid w:val="007D7BC6"/>
    <w:rsid w:val="007E1765"/>
    <w:rsid w:val="007E4C0E"/>
    <w:rsid w:val="007E54C1"/>
    <w:rsid w:val="007E65B6"/>
    <w:rsid w:val="007F30D2"/>
    <w:rsid w:val="007F4A8B"/>
    <w:rsid w:val="007F7351"/>
    <w:rsid w:val="00800619"/>
    <w:rsid w:val="00801DD1"/>
    <w:rsid w:val="00803693"/>
    <w:rsid w:val="00803876"/>
    <w:rsid w:val="008057B4"/>
    <w:rsid w:val="008060E1"/>
    <w:rsid w:val="00811C66"/>
    <w:rsid w:val="008148E7"/>
    <w:rsid w:val="00814AFC"/>
    <w:rsid w:val="00815061"/>
    <w:rsid w:val="00815120"/>
    <w:rsid w:val="00816F6E"/>
    <w:rsid w:val="00823507"/>
    <w:rsid w:val="00823829"/>
    <w:rsid w:val="00823C59"/>
    <w:rsid w:val="00824116"/>
    <w:rsid w:val="00826AC3"/>
    <w:rsid w:val="00826BD5"/>
    <w:rsid w:val="00830112"/>
    <w:rsid w:val="008310C6"/>
    <w:rsid w:val="00835EF2"/>
    <w:rsid w:val="00837438"/>
    <w:rsid w:val="00837C49"/>
    <w:rsid w:val="00842C62"/>
    <w:rsid w:val="00842F89"/>
    <w:rsid w:val="00843B88"/>
    <w:rsid w:val="00845F71"/>
    <w:rsid w:val="00846D14"/>
    <w:rsid w:val="00850E49"/>
    <w:rsid w:val="00852708"/>
    <w:rsid w:val="00852A7E"/>
    <w:rsid w:val="00853AFA"/>
    <w:rsid w:val="0085447B"/>
    <w:rsid w:val="008553D5"/>
    <w:rsid w:val="00856404"/>
    <w:rsid w:val="008570C6"/>
    <w:rsid w:val="0085734D"/>
    <w:rsid w:val="008615CF"/>
    <w:rsid w:val="008640DE"/>
    <w:rsid w:val="00865384"/>
    <w:rsid w:val="00866DAA"/>
    <w:rsid w:val="00872D44"/>
    <w:rsid w:val="00874EEF"/>
    <w:rsid w:val="00875261"/>
    <w:rsid w:val="008806BC"/>
    <w:rsid w:val="00885406"/>
    <w:rsid w:val="00886909"/>
    <w:rsid w:val="00887F23"/>
    <w:rsid w:val="00891443"/>
    <w:rsid w:val="00893112"/>
    <w:rsid w:val="008931EC"/>
    <w:rsid w:val="0089484E"/>
    <w:rsid w:val="00895AED"/>
    <w:rsid w:val="00896506"/>
    <w:rsid w:val="008972BA"/>
    <w:rsid w:val="008A09CC"/>
    <w:rsid w:val="008A1954"/>
    <w:rsid w:val="008A252F"/>
    <w:rsid w:val="008A46D0"/>
    <w:rsid w:val="008A5735"/>
    <w:rsid w:val="008A598C"/>
    <w:rsid w:val="008A5BC8"/>
    <w:rsid w:val="008A6F92"/>
    <w:rsid w:val="008A7B92"/>
    <w:rsid w:val="008A7DE9"/>
    <w:rsid w:val="008B027D"/>
    <w:rsid w:val="008B10D9"/>
    <w:rsid w:val="008B250E"/>
    <w:rsid w:val="008B272D"/>
    <w:rsid w:val="008B2DCE"/>
    <w:rsid w:val="008B3673"/>
    <w:rsid w:val="008B389E"/>
    <w:rsid w:val="008B475D"/>
    <w:rsid w:val="008B47B7"/>
    <w:rsid w:val="008B57D9"/>
    <w:rsid w:val="008B696F"/>
    <w:rsid w:val="008B6D09"/>
    <w:rsid w:val="008C0D85"/>
    <w:rsid w:val="008C0F62"/>
    <w:rsid w:val="008C0F69"/>
    <w:rsid w:val="008C28E2"/>
    <w:rsid w:val="008C298E"/>
    <w:rsid w:val="008C5E9E"/>
    <w:rsid w:val="008D088D"/>
    <w:rsid w:val="008D263C"/>
    <w:rsid w:val="008D36B9"/>
    <w:rsid w:val="008D4416"/>
    <w:rsid w:val="008D510A"/>
    <w:rsid w:val="008E0B09"/>
    <w:rsid w:val="008E2122"/>
    <w:rsid w:val="008E379A"/>
    <w:rsid w:val="008E7A2E"/>
    <w:rsid w:val="008F04B0"/>
    <w:rsid w:val="008F16D8"/>
    <w:rsid w:val="008F302F"/>
    <w:rsid w:val="008F6D97"/>
    <w:rsid w:val="00901EB2"/>
    <w:rsid w:val="00902C68"/>
    <w:rsid w:val="00906A75"/>
    <w:rsid w:val="00907126"/>
    <w:rsid w:val="00907ABB"/>
    <w:rsid w:val="00910B17"/>
    <w:rsid w:val="00912EE6"/>
    <w:rsid w:val="0091375D"/>
    <w:rsid w:val="009148AB"/>
    <w:rsid w:val="0091540C"/>
    <w:rsid w:val="0091569D"/>
    <w:rsid w:val="00915AA6"/>
    <w:rsid w:val="0091699E"/>
    <w:rsid w:val="00916E86"/>
    <w:rsid w:val="00917332"/>
    <w:rsid w:val="009209A1"/>
    <w:rsid w:val="00923B5C"/>
    <w:rsid w:val="00925A1A"/>
    <w:rsid w:val="00926520"/>
    <w:rsid w:val="00927AD4"/>
    <w:rsid w:val="00927F3F"/>
    <w:rsid w:val="00930E00"/>
    <w:rsid w:val="00931E25"/>
    <w:rsid w:val="00933E15"/>
    <w:rsid w:val="00935980"/>
    <w:rsid w:val="00936D13"/>
    <w:rsid w:val="00937E3F"/>
    <w:rsid w:val="009439EB"/>
    <w:rsid w:val="009451EE"/>
    <w:rsid w:val="0095074C"/>
    <w:rsid w:val="00950C5E"/>
    <w:rsid w:val="00952118"/>
    <w:rsid w:val="0095236B"/>
    <w:rsid w:val="00954BDD"/>
    <w:rsid w:val="00961B2A"/>
    <w:rsid w:val="009632BF"/>
    <w:rsid w:val="009635C2"/>
    <w:rsid w:val="00964952"/>
    <w:rsid w:val="00965E00"/>
    <w:rsid w:val="009677D2"/>
    <w:rsid w:val="00967B84"/>
    <w:rsid w:val="00967C0C"/>
    <w:rsid w:val="00970190"/>
    <w:rsid w:val="00971DFA"/>
    <w:rsid w:val="0097446B"/>
    <w:rsid w:val="0097557B"/>
    <w:rsid w:val="0097723E"/>
    <w:rsid w:val="00977A0A"/>
    <w:rsid w:val="009805FC"/>
    <w:rsid w:val="00980E6B"/>
    <w:rsid w:val="009860CA"/>
    <w:rsid w:val="009861AE"/>
    <w:rsid w:val="00986434"/>
    <w:rsid w:val="009874FA"/>
    <w:rsid w:val="009902E9"/>
    <w:rsid w:val="00990BA6"/>
    <w:rsid w:val="00990DE7"/>
    <w:rsid w:val="00993A8A"/>
    <w:rsid w:val="009943F9"/>
    <w:rsid w:val="009963C6"/>
    <w:rsid w:val="00997AB6"/>
    <w:rsid w:val="00997CC6"/>
    <w:rsid w:val="009A0329"/>
    <w:rsid w:val="009A1D5D"/>
    <w:rsid w:val="009A1E65"/>
    <w:rsid w:val="009A43CE"/>
    <w:rsid w:val="009A59F9"/>
    <w:rsid w:val="009A729E"/>
    <w:rsid w:val="009A76F8"/>
    <w:rsid w:val="009B0375"/>
    <w:rsid w:val="009B21F8"/>
    <w:rsid w:val="009C00F6"/>
    <w:rsid w:val="009C1C84"/>
    <w:rsid w:val="009C2700"/>
    <w:rsid w:val="009C36FD"/>
    <w:rsid w:val="009C3991"/>
    <w:rsid w:val="009C49D1"/>
    <w:rsid w:val="009C5395"/>
    <w:rsid w:val="009C55B0"/>
    <w:rsid w:val="009C5E5D"/>
    <w:rsid w:val="009C635A"/>
    <w:rsid w:val="009C66F7"/>
    <w:rsid w:val="009C7BE1"/>
    <w:rsid w:val="009D159F"/>
    <w:rsid w:val="009D19CA"/>
    <w:rsid w:val="009D27A8"/>
    <w:rsid w:val="009D299B"/>
    <w:rsid w:val="009D444C"/>
    <w:rsid w:val="009E1440"/>
    <w:rsid w:val="009E1F97"/>
    <w:rsid w:val="009E27A3"/>
    <w:rsid w:val="009E3561"/>
    <w:rsid w:val="009E497E"/>
    <w:rsid w:val="009E5BF2"/>
    <w:rsid w:val="009F0474"/>
    <w:rsid w:val="009F1720"/>
    <w:rsid w:val="009F20F1"/>
    <w:rsid w:val="009F23AA"/>
    <w:rsid w:val="009F7987"/>
    <w:rsid w:val="00A02185"/>
    <w:rsid w:val="00A0736A"/>
    <w:rsid w:val="00A076CC"/>
    <w:rsid w:val="00A11FF1"/>
    <w:rsid w:val="00A12089"/>
    <w:rsid w:val="00A1209F"/>
    <w:rsid w:val="00A121C4"/>
    <w:rsid w:val="00A14B79"/>
    <w:rsid w:val="00A15044"/>
    <w:rsid w:val="00A17B8B"/>
    <w:rsid w:val="00A20453"/>
    <w:rsid w:val="00A24757"/>
    <w:rsid w:val="00A27B41"/>
    <w:rsid w:val="00A300C4"/>
    <w:rsid w:val="00A30F5C"/>
    <w:rsid w:val="00A311CC"/>
    <w:rsid w:val="00A313B6"/>
    <w:rsid w:val="00A31D78"/>
    <w:rsid w:val="00A32E86"/>
    <w:rsid w:val="00A33648"/>
    <w:rsid w:val="00A3449E"/>
    <w:rsid w:val="00A3582E"/>
    <w:rsid w:val="00A43021"/>
    <w:rsid w:val="00A51797"/>
    <w:rsid w:val="00A54208"/>
    <w:rsid w:val="00A544AB"/>
    <w:rsid w:val="00A5450D"/>
    <w:rsid w:val="00A55557"/>
    <w:rsid w:val="00A55716"/>
    <w:rsid w:val="00A608DB"/>
    <w:rsid w:val="00A6310B"/>
    <w:rsid w:val="00A64001"/>
    <w:rsid w:val="00A64BD9"/>
    <w:rsid w:val="00A67F2B"/>
    <w:rsid w:val="00A71245"/>
    <w:rsid w:val="00A72A3C"/>
    <w:rsid w:val="00A735A9"/>
    <w:rsid w:val="00A749D2"/>
    <w:rsid w:val="00A76A3F"/>
    <w:rsid w:val="00A80DB7"/>
    <w:rsid w:val="00A81851"/>
    <w:rsid w:val="00A81B3B"/>
    <w:rsid w:val="00A81B84"/>
    <w:rsid w:val="00A83C62"/>
    <w:rsid w:val="00A84106"/>
    <w:rsid w:val="00A84EDF"/>
    <w:rsid w:val="00A85B19"/>
    <w:rsid w:val="00A90396"/>
    <w:rsid w:val="00A90455"/>
    <w:rsid w:val="00A91977"/>
    <w:rsid w:val="00A91D84"/>
    <w:rsid w:val="00A92A2B"/>
    <w:rsid w:val="00A931A4"/>
    <w:rsid w:val="00A96121"/>
    <w:rsid w:val="00A966ED"/>
    <w:rsid w:val="00AA076F"/>
    <w:rsid w:val="00AA2069"/>
    <w:rsid w:val="00AA223D"/>
    <w:rsid w:val="00AA40B1"/>
    <w:rsid w:val="00AA5D54"/>
    <w:rsid w:val="00AB4B3A"/>
    <w:rsid w:val="00AB508F"/>
    <w:rsid w:val="00AB6D7E"/>
    <w:rsid w:val="00AB714A"/>
    <w:rsid w:val="00AB76FE"/>
    <w:rsid w:val="00AC2D6D"/>
    <w:rsid w:val="00AC39A2"/>
    <w:rsid w:val="00AC3D2F"/>
    <w:rsid w:val="00AC6DE9"/>
    <w:rsid w:val="00AC7464"/>
    <w:rsid w:val="00AD08D0"/>
    <w:rsid w:val="00AD0B57"/>
    <w:rsid w:val="00AD2CCA"/>
    <w:rsid w:val="00AD562B"/>
    <w:rsid w:val="00AD69E0"/>
    <w:rsid w:val="00AD6F40"/>
    <w:rsid w:val="00AE0358"/>
    <w:rsid w:val="00AE1484"/>
    <w:rsid w:val="00AE28FC"/>
    <w:rsid w:val="00AE4430"/>
    <w:rsid w:val="00AE4751"/>
    <w:rsid w:val="00AE78A7"/>
    <w:rsid w:val="00AE7DF4"/>
    <w:rsid w:val="00AF06A6"/>
    <w:rsid w:val="00AF23D0"/>
    <w:rsid w:val="00AF37F8"/>
    <w:rsid w:val="00AF3E2E"/>
    <w:rsid w:val="00AF4253"/>
    <w:rsid w:val="00AF4BF3"/>
    <w:rsid w:val="00AF4C21"/>
    <w:rsid w:val="00AF66F8"/>
    <w:rsid w:val="00AF6E72"/>
    <w:rsid w:val="00B00C4B"/>
    <w:rsid w:val="00B071CF"/>
    <w:rsid w:val="00B12295"/>
    <w:rsid w:val="00B12BE2"/>
    <w:rsid w:val="00B135B4"/>
    <w:rsid w:val="00B15403"/>
    <w:rsid w:val="00B1605F"/>
    <w:rsid w:val="00B259D3"/>
    <w:rsid w:val="00B26DE9"/>
    <w:rsid w:val="00B278F8"/>
    <w:rsid w:val="00B30018"/>
    <w:rsid w:val="00B32575"/>
    <w:rsid w:val="00B332E8"/>
    <w:rsid w:val="00B34E30"/>
    <w:rsid w:val="00B36F4E"/>
    <w:rsid w:val="00B461FA"/>
    <w:rsid w:val="00B46B35"/>
    <w:rsid w:val="00B47AF8"/>
    <w:rsid w:val="00B5008F"/>
    <w:rsid w:val="00B508A9"/>
    <w:rsid w:val="00B52D93"/>
    <w:rsid w:val="00B53547"/>
    <w:rsid w:val="00B53BC6"/>
    <w:rsid w:val="00B54E70"/>
    <w:rsid w:val="00B55A28"/>
    <w:rsid w:val="00B564DB"/>
    <w:rsid w:val="00B61D29"/>
    <w:rsid w:val="00B62A73"/>
    <w:rsid w:val="00B66214"/>
    <w:rsid w:val="00B678DE"/>
    <w:rsid w:val="00B67DD8"/>
    <w:rsid w:val="00B702ED"/>
    <w:rsid w:val="00B72BA1"/>
    <w:rsid w:val="00B74CC7"/>
    <w:rsid w:val="00B74DAC"/>
    <w:rsid w:val="00B75FD0"/>
    <w:rsid w:val="00B807EA"/>
    <w:rsid w:val="00B82724"/>
    <w:rsid w:val="00B84487"/>
    <w:rsid w:val="00B84F90"/>
    <w:rsid w:val="00B86B8A"/>
    <w:rsid w:val="00B91F26"/>
    <w:rsid w:val="00B928F8"/>
    <w:rsid w:val="00B94964"/>
    <w:rsid w:val="00B94F2E"/>
    <w:rsid w:val="00B95ACC"/>
    <w:rsid w:val="00B9637C"/>
    <w:rsid w:val="00B97B90"/>
    <w:rsid w:val="00B97E4B"/>
    <w:rsid w:val="00BA0948"/>
    <w:rsid w:val="00BA15D8"/>
    <w:rsid w:val="00BA2D0A"/>
    <w:rsid w:val="00BA32D4"/>
    <w:rsid w:val="00BA341D"/>
    <w:rsid w:val="00BA3690"/>
    <w:rsid w:val="00BA41BC"/>
    <w:rsid w:val="00BA4CB4"/>
    <w:rsid w:val="00BA4D29"/>
    <w:rsid w:val="00BA5291"/>
    <w:rsid w:val="00BA6807"/>
    <w:rsid w:val="00BA6FB0"/>
    <w:rsid w:val="00BB001D"/>
    <w:rsid w:val="00BB09E5"/>
    <w:rsid w:val="00BB1800"/>
    <w:rsid w:val="00BB2989"/>
    <w:rsid w:val="00BB37E9"/>
    <w:rsid w:val="00BB53BE"/>
    <w:rsid w:val="00BB68D0"/>
    <w:rsid w:val="00BB6A34"/>
    <w:rsid w:val="00BB745C"/>
    <w:rsid w:val="00BC2350"/>
    <w:rsid w:val="00BC31A4"/>
    <w:rsid w:val="00BC4A4D"/>
    <w:rsid w:val="00BC66B3"/>
    <w:rsid w:val="00BD0C83"/>
    <w:rsid w:val="00BD0F5D"/>
    <w:rsid w:val="00BD1986"/>
    <w:rsid w:val="00BD2DBB"/>
    <w:rsid w:val="00BD31FA"/>
    <w:rsid w:val="00BD375D"/>
    <w:rsid w:val="00BD4051"/>
    <w:rsid w:val="00BD7BA6"/>
    <w:rsid w:val="00BE0E6B"/>
    <w:rsid w:val="00BE0E8A"/>
    <w:rsid w:val="00BE1D34"/>
    <w:rsid w:val="00BE1E36"/>
    <w:rsid w:val="00BE2D72"/>
    <w:rsid w:val="00BE30BD"/>
    <w:rsid w:val="00BE3883"/>
    <w:rsid w:val="00BE38C8"/>
    <w:rsid w:val="00BE4A3A"/>
    <w:rsid w:val="00BE7205"/>
    <w:rsid w:val="00BF100B"/>
    <w:rsid w:val="00BF1853"/>
    <w:rsid w:val="00BF227E"/>
    <w:rsid w:val="00BF2730"/>
    <w:rsid w:val="00BF452C"/>
    <w:rsid w:val="00BF5C26"/>
    <w:rsid w:val="00BF600D"/>
    <w:rsid w:val="00BF6471"/>
    <w:rsid w:val="00BF6CF0"/>
    <w:rsid w:val="00BF6F7B"/>
    <w:rsid w:val="00BF74CE"/>
    <w:rsid w:val="00C00410"/>
    <w:rsid w:val="00C05403"/>
    <w:rsid w:val="00C06857"/>
    <w:rsid w:val="00C12194"/>
    <w:rsid w:val="00C13662"/>
    <w:rsid w:val="00C155AE"/>
    <w:rsid w:val="00C15913"/>
    <w:rsid w:val="00C16E3D"/>
    <w:rsid w:val="00C20032"/>
    <w:rsid w:val="00C225C1"/>
    <w:rsid w:val="00C26D57"/>
    <w:rsid w:val="00C3027A"/>
    <w:rsid w:val="00C3183A"/>
    <w:rsid w:val="00C32F1E"/>
    <w:rsid w:val="00C33F7D"/>
    <w:rsid w:val="00C341E0"/>
    <w:rsid w:val="00C34470"/>
    <w:rsid w:val="00C34CF2"/>
    <w:rsid w:val="00C3751F"/>
    <w:rsid w:val="00C404C4"/>
    <w:rsid w:val="00C411AA"/>
    <w:rsid w:val="00C4393D"/>
    <w:rsid w:val="00C43C61"/>
    <w:rsid w:val="00C443C8"/>
    <w:rsid w:val="00C46670"/>
    <w:rsid w:val="00C51133"/>
    <w:rsid w:val="00C514B3"/>
    <w:rsid w:val="00C51932"/>
    <w:rsid w:val="00C52001"/>
    <w:rsid w:val="00C5562F"/>
    <w:rsid w:val="00C621CC"/>
    <w:rsid w:val="00C62BAC"/>
    <w:rsid w:val="00C63020"/>
    <w:rsid w:val="00C63D1A"/>
    <w:rsid w:val="00C64DCA"/>
    <w:rsid w:val="00C67235"/>
    <w:rsid w:val="00C7372C"/>
    <w:rsid w:val="00C744F0"/>
    <w:rsid w:val="00C75BFF"/>
    <w:rsid w:val="00C75C18"/>
    <w:rsid w:val="00C7646C"/>
    <w:rsid w:val="00C816F7"/>
    <w:rsid w:val="00C81DAE"/>
    <w:rsid w:val="00C82882"/>
    <w:rsid w:val="00C8304E"/>
    <w:rsid w:val="00C847A1"/>
    <w:rsid w:val="00C869F9"/>
    <w:rsid w:val="00C95956"/>
    <w:rsid w:val="00C95990"/>
    <w:rsid w:val="00CA0DB6"/>
    <w:rsid w:val="00CA31AE"/>
    <w:rsid w:val="00CA365D"/>
    <w:rsid w:val="00CA4153"/>
    <w:rsid w:val="00CA5150"/>
    <w:rsid w:val="00CA5499"/>
    <w:rsid w:val="00CA5CDC"/>
    <w:rsid w:val="00CA73EA"/>
    <w:rsid w:val="00CA7DFA"/>
    <w:rsid w:val="00CB02FF"/>
    <w:rsid w:val="00CB1050"/>
    <w:rsid w:val="00CB2123"/>
    <w:rsid w:val="00CB219F"/>
    <w:rsid w:val="00CB22EA"/>
    <w:rsid w:val="00CB304A"/>
    <w:rsid w:val="00CB60A5"/>
    <w:rsid w:val="00CB6598"/>
    <w:rsid w:val="00CC0375"/>
    <w:rsid w:val="00CC197C"/>
    <w:rsid w:val="00CC2358"/>
    <w:rsid w:val="00CC2D16"/>
    <w:rsid w:val="00CC4870"/>
    <w:rsid w:val="00CC5A98"/>
    <w:rsid w:val="00CC64D4"/>
    <w:rsid w:val="00CD09B5"/>
    <w:rsid w:val="00CD2C70"/>
    <w:rsid w:val="00CD34E9"/>
    <w:rsid w:val="00CD5A38"/>
    <w:rsid w:val="00CD6DDA"/>
    <w:rsid w:val="00CE1504"/>
    <w:rsid w:val="00CE1916"/>
    <w:rsid w:val="00CE3709"/>
    <w:rsid w:val="00CE3BCA"/>
    <w:rsid w:val="00CE480B"/>
    <w:rsid w:val="00CE4C48"/>
    <w:rsid w:val="00CE6067"/>
    <w:rsid w:val="00CE7AFA"/>
    <w:rsid w:val="00CF0BC4"/>
    <w:rsid w:val="00CF1AC8"/>
    <w:rsid w:val="00CF1BA9"/>
    <w:rsid w:val="00CF34BE"/>
    <w:rsid w:val="00CF599D"/>
    <w:rsid w:val="00CF7392"/>
    <w:rsid w:val="00CF769D"/>
    <w:rsid w:val="00D002F7"/>
    <w:rsid w:val="00D02A81"/>
    <w:rsid w:val="00D0489D"/>
    <w:rsid w:val="00D04EEC"/>
    <w:rsid w:val="00D04F4C"/>
    <w:rsid w:val="00D05450"/>
    <w:rsid w:val="00D05C3C"/>
    <w:rsid w:val="00D10AAF"/>
    <w:rsid w:val="00D11754"/>
    <w:rsid w:val="00D1177A"/>
    <w:rsid w:val="00D13175"/>
    <w:rsid w:val="00D137B0"/>
    <w:rsid w:val="00D13CF7"/>
    <w:rsid w:val="00D1535E"/>
    <w:rsid w:val="00D1751D"/>
    <w:rsid w:val="00D217EB"/>
    <w:rsid w:val="00D22DB7"/>
    <w:rsid w:val="00D23A73"/>
    <w:rsid w:val="00D24882"/>
    <w:rsid w:val="00D24A34"/>
    <w:rsid w:val="00D26B62"/>
    <w:rsid w:val="00D279FC"/>
    <w:rsid w:val="00D27AFB"/>
    <w:rsid w:val="00D27C5F"/>
    <w:rsid w:val="00D30A16"/>
    <w:rsid w:val="00D3130F"/>
    <w:rsid w:val="00D31A5B"/>
    <w:rsid w:val="00D35B11"/>
    <w:rsid w:val="00D3670F"/>
    <w:rsid w:val="00D371CD"/>
    <w:rsid w:val="00D4103B"/>
    <w:rsid w:val="00D425EE"/>
    <w:rsid w:val="00D456A4"/>
    <w:rsid w:val="00D45795"/>
    <w:rsid w:val="00D4621B"/>
    <w:rsid w:val="00D46F89"/>
    <w:rsid w:val="00D47499"/>
    <w:rsid w:val="00D508FB"/>
    <w:rsid w:val="00D52732"/>
    <w:rsid w:val="00D531A6"/>
    <w:rsid w:val="00D54FF2"/>
    <w:rsid w:val="00D5594F"/>
    <w:rsid w:val="00D564F9"/>
    <w:rsid w:val="00D617D9"/>
    <w:rsid w:val="00D62DE4"/>
    <w:rsid w:val="00D65903"/>
    <w:rsid w:val="00D65B95"/>
    <w:rsid w:val="00D66984"/>
    <w:rsid w:val="00D67EE0"/>
    <w:rsid w:val="00D70DD4"/>
    <w:rsid w:val="00D72700"/>
    <w:rsid w:val="00D73B6A"/>
    <w:rsid w:val="00D80AFA"/>
    <w:rsid w:val="00D939F1"/>
    <w:rsid w:val="00D93CAA"/>
    <w:rsid w:val="00D945C3"/>
    <w:rsid w:val="00D97D45"/>
    <w:rsid w:val="00DA1D5E"/>
    <w:rsid w:val="00DA3C5F"/>
    <w:rsid w:val="00DA5606"/>
    <w:rsid w:val="00DA60F7"/>
    <w:rsid w:val="00DB00A9"/>
    <w:rsid w:val="00DB1720"/>
    <w:rsid w:val="00DB2D42"/>
    <w:rsid w:val="00DB350C"/>
    <w:rsid w:val="00DB425A"/>
    <w:rsid w:val="00DB63D2"/>
    <w:rsid w:val="00DC03F8"/>
    <w:rsid w:val="00DC05E6"/>
    <w:rsid w:val="00DC3FBC"/>
    <w:rsid w:val="00DC5230"/>
    <w:rsid w:val="00DC530C"/>
    <w:rsid w:val="00DC7140"/>
    <w:rsid w:val="00DC7B97"/>
    <w:rsid w:val="00DD1ABC"/>
    <w:rsid w:val="00DD308D"/>
    <w:rsid w:val="00DD3C0B"/>
    <w:rsid w:val="00DD52F6"/>
    <w:rsid w:val="00DD772A"/>
    <w:rsid w:val="00DD7F4D"/>
    <w:rsid w:val="00DE2011"/>
    <w:rsid w:val="00DE3D78"/>
    <w:rsid w:val="00DE4158"/>
    <w:rsid w:val="00DE49D1"/>
    <w:rsid w:val="00DF0D34"/>
    <w:rsid w:val="00DF64A3"/>
    <w:rsid w:val="00DF6F1A"/>
    <w:rsid w:val="00DF74B2"/>
    <w:rsid w:val="00E00729"/>
    <w:rsid w:val="00E00C43"/>
    <w:rsid w:val="00E04231"/>
    <w:rsid w:val="00E0481D"/>
    <w:rsid w:val="00E07F6C"/>
    <w:rsid w:val="00E1438E"/>
    <w:rsid w:val="00E16CA1"/>
    <w:rsid w:val="00E172D2"/>
    <w:rsid w:val="00E20067"/>
    <w:rsid w:val="00E200C5"/>
    <w:rsid w:val="00E21277"/>
    <w:rsid w:val="00E23744"/>
    <w:rsid w:val="00E317C6"/>
    <w:rsid w:val="00E3186D"/>
    <w:rsid w:val="00E32EB0"/>
    <w:rsid w:val="00E33828"/>
    <w:rsid w:val="00E339C5"/>
    <w:rsid w:val="00E3480B"/>
    <w:rsid w:val="00E34FC1"/>
    <w:rsid w:val="00E36E32"/>
    <w:rsid w:val="00E36E64"/>
    <w:rsid w:val="00E37124"/>
    <w:rsid w:val="00E403AB"/>
    <w:rsid w:val="00E41D6A"/>
    <w:rsid w:val="00E41E39"/>
    <w:rsid w:val="00E4251D"/>
    <w:rsid w:val="00E44366"/>
    <w:rsid w:val="00E517B1"/>
    <w:rsid w:val="00E52392"/>
    <w:rsid w:val="00E5388A"/>
    <w:rsid w:val="00E53C15"/>
    <w:rsid w:val="00E5598F"/>
    <w:rsid w:val="00E5676E"/>
    <w:rsid w:val="00E568A4"/>
    <w:rsid w:val="00E607C3"/>
    <w:rsid w:val="00E610A4"/>
    <w:rsid w:val="00E615FD"/>
    <w:rsid w:val="00E6189A"/>
    <w:rsid w:val="00E62A95"/>
    <w:rsid w:val="00E63910"/>
    <w:rsid w:val="00E643A6"/>
    <w:rsid w:val="00E7198E"/>
    <w:rsid w:val="00E73F6E"/>
    <w:rsid w:val="00E740D1"/>
    <w:rsid w:val="00E74162"/>
    <w:rsid w:val="00E745A3"/>
    <w:rsid w:val="00E75B5E"/>
    <w:rsid w:val="00E772E5"/>
    <w:rsid w:val="00E8594C"/>
    <w:rsid w:val="00E87146"/>
    <w:rsid w:val="00E909DF"/>
    <w:rsid w:val="00E920BE"/>
    <w:rsid w:val="00E94B95"/>
    <w:rsid w:val="00E94CC6"/>
    <w:rsid w:val="00E952DB"/>
    <w:rsid w:val="00E96267"/>
    <w:rsid w:val="00E96A60"/>
    <w:rsid w:val="00EA296D"/>
    <w:rsid w:val="00EA2DFB"/>
    <w:rsid w:val="00EA3614"/>
    <w:rsid w:val="00EA6B4D"/>
    <w:rsid w:val="00EB07E6"/>
    <w:rsid w:val="00EB22C5"/>
    <w:rsid w:val="00EB579F"/>
    <w:rsid w:val="00EC04EA"/>
    <w:rsid w:val="00EC063D"/>
    <w:rsid w:val="00EC160E"/>
    <w:rsid w:val="00EC1CE3"/>
    <w:rsid w:val="00EC261D"/>
    <w:rsid w:val="00EC2C5A"/>
    <w:rsid w:val="00EC2DA1"/>
    <w:rsid w:val="00EC4A73"/>
    <w:rsid w:val="00EC5B64"/>
    <w:rsid w:val="00EC673A"/>
    <w:rsid w:val="00ED04CC"/>
    <w:rsid w:val="00ED2B7C"/>
    <w:rsid w:val="00ED3AC5"/>
    <w:rsid w:val="00ED401D"/>
    <w:rsid w:val="00ED45B2"/>
    <w:rsid w:val="00ED45F6"/>
    <w:rsid w:val="00ED501C"/>
    <w:rsid w:val="00ED5AF3"/>
    <w:rsid w:val="00EE1C42"/>
    <w:rsid w:val="00EE2D23"/>
    <w:rsid w:val="00EE3533"/>
    <w:rsid w:val="00EE45A8"/>
    <w:rsid w:val="00EE5009"/>
    <w:rsid w:val="00EE5BA5"/>
    <w:rsid w:val="00EE5F8F"/>
    <w:rsid w:val="00EE6865"/>
    <w:rsid w:val="00EE7861"/>
    <w:rsid w:val="00EE7CC6"/>
    <w:rsid w:val="00EF0FFB"/>
    <w:rsid w:val="00EF18EE"/>
    <w:rsid w:val="00EF1D54"/>
    <w:rsid w:val="00EF293B"/>
    <w:rsid w:val="00EF2AD1"/>
    <w:rsid w:val="00EF3029"/>
    <w:rsid w:val="00EF30C1"/>
    <w:rsid w:val="00EF3823"/>
    <w:rsid w:val="00EF4CBE"/>
    <w:rsid w:val="00EF6220"/>
    <w:rsid w:val="00EF62D8"/>
    <w:rsid w:val="00EF7F13"/>
    <w:rsid w:val="00F00A4A"/>
    <w:rsid w:val="00F043C4"/>
    <w:rsid w:val="00F059C7"/>
    <w:rsid w:val="00F06335"/>
    <w:rsid w:val="00F07A29"/>
    <w:rsid w:val="00F15790"/>
    <w:rsid w:val="00F1750D"/>
    <w:rsid w:val="00F20294"/>
    <w:rsid w:val="00F20624"/>
    <w:rsid w:val="00F215B2"/>
    <w:rsid w:val="00F21A20"/>
    <w:rsid w:val="00F2244D"/>
    <w:rsid w:val="00F22F23"/>
    <w:rsid w:val="00F241D8"/>
    <w:rsid w:val="00F26681"/>
    <w:rsid w:val="00F26A60"/>
    <w:rsid w:val="00F26B5D"/>
    <w:rsid w:val="00F27060"/>
    <w:rsid w:val="00F270FA"/>
    <w:rsid w:val="00F27B14"/>
    <w:rsid w:val="00F33F05"/>
    <w:rsid w:val="00F405C4"/>
    <w:rsid w:val="00F413DC"/>
    <w:rsid w:val="00F4287C"/>
    <w:rsid w:val="00F451CD"/>
    <w:rsid w:val="00F47E34"/>
    <w:rsid w:val="00F50D1C"/>
    <w:rsid w:val="00F5257B"/>
    <w:rsid w:val="00F53D98"/>
    <w:rsid w:val="00F5656D"/>
    <w:rsid w:val="00F56632"/>
    <w:rsid w:val="00F62B1B"/>
    <w:rsid w:val="00F62C55"/>
    <w:rsid w:val="00F655A8"/>
    <w:rsid w:val="00F65A17"/>
    <w:rsid w:val="00F72317"/>
    <w:rsid w:val="00F72FC9"/>
    <w:rsid w:val="00F8262F"/>
    <w:rsid w:val="00F848E6"/>
    <w:rsid w:val="00F867C2"/>
    <w:rsid w:val="00F87C08"/>
    <w:rsid w:val="00F90946"/>
    <w:rsid w:val="00F91E11"/>
    <w:rsid w:val="00F93229"/>
    <w:rsid w:val="00F9475B"/>
    <w:rsid w:val="00F970F5"/>
    <w:rsid w:val="00FA3A34"/>
    <w:rsid w:val="00FB2610"/>
    <w:rsid w:val="00FB3532"/>
    <w:rsid w:val="00FB4AB7"/>
    <w:rsid w:val="00FB4F82"/>
    <w:rsid w:val="00FB524E"/>
    <w:rsid w:val="00FB6F78"/>
    <w:rsid w:val="00FB7E65"/>
    <w:rsid w:val="00FC04EC"/>
    <w:rsid w:val="00FC142D"/>
    <w:rsid w:val="00FC4C03"/>
    <w:rsid w:val="00FC5F1F"/>
    <w:rsid w:val="00FC7A69"/>
    <w:rsid w:val="00FD2EC5"/>
    <w:rsid w:val="00FD3A39"/>
    <w:rsid w:val="00FD4746"/>
    <w:rsid w:val="00FD4C79"/>
    <w:rsid w:val="00FD5A90"/>
    <w:rsid w:val="00FD7062"/>
    <w:rsid w:val="00FE378D"/>
    <w:rsid w:val="00FE3D20"/>
    <w:rsid w:val="00FE4094"/>
    <w:rsid w:val="00FE6ADC"/>
    <w:rsid w:val="00FF098B"/>
    <w:rsid w:val="00FF220E"/>
    <w:rsid w:val="00FF3E3C"/>
    <w:rsid w:val="00FF3E9B"/>
    <w:rsid w:val="02416453"/>
    <w:rsid w:val="0275E490"/>
    <w:rsid w:val="06AF6212"/>
    <w:rsid w:val="07C04876"/>
    <w:rsid w:val="092C1B65"/>
    <w:rsid w:val="0A5FE7B1"/>
    <w:rsid w:val="0C25E34C"/>
    <w:rsid w:val="0C7828C4"/>
    <w:rsid w:val="0CCBC5AB"/>
    <w:rsid w:val="0D112141"/>
    <w:rsid w:val="0DBF7BD6"/>
    <w:rsid w:val="101EEE4D"/>
    <w:rsid w:val="162C8212"/>
    <w:rsid w:val="1685544A"/>
    <w:rsid w:val="16D5F141"/>
    <w:rsid w:val="173C3FAA"/>
    <w:rsid w:val="17A83FCE"/>
    <w:rsid w:val="184B223D"/>
    <w:rsid w:val="18C07B45"/>
    <w:rsid w:val="1A8676E0"/>
    <w:rsid w:val="1C999EAB"/>
    <w:rsid w:val="1CB6523A"/>
    <w:rsid w:val="209A9399"/>
    <w:rsid w:val="20C7BEC3"/>
    <w:rsid w:val="21460699"/>
    <w:rsid w:val="21B206BD"/>
    <w:rsid w:val="2244727A"/>
    <w:rsid w:val="22F73FB6"/>
    <w:rsid w:val="25396392"/>
    <w:rsid w:val="258801FA"/>
    <w:rsid w:val="25937A5A"/>
    <w:rsid w:val="294B2431"/>
    <w:rsid w:val="299CFFD9"/>
    <w:rsid w:val="2A1E68B9"/>
    <w:rsid w:val="2C2A99F4"/>
    <w:rsid w:val="2C4A1B45"/>
    <w:rsid w:val="2E1BE94F"/>
    <w:rsid w:val="2FCDA362"/>
    <w:rsid w:val="32088DEF"/>
    <w:rsid w:val="320D6D4E"/>
    <w:rsid w:val="324D84DE"/>
    <w:rsid w:val="3340785F"/>
    <w:rsid w:val="33B63B37"/>
    <w:rsid w:val="344B0DF7"/>
    <w:rsid w:val="34FA9B21"/>
    <w:rsid w:val="36D69B67"/>
    <w:rsid w:val="36E557F6"/>
    <w:rsid w:val="372A4EE5"/>
    <w:rsid w:val="3766C0D6"/>
    <w:rsid w:val="38C6DDFC"/>
    <w:rsid w:val="394097BA"/>
    <w:rsid w:val="3A280748"/>
    <w:rsid w:val="3B163A95"/>
    <w:rsid w:val="3B4CC8F5"/>
    <w:rsid w:val="3BD1B881"/>
    <w:rsid w:val="3D5F1092"/>
    <w:rsid w:val="3E3EDB50"/>
    <w:rsid w:val="3FCA5D38"/>
    <w:rsid w:val="4201FD87"/>
    <w:rsid w:val="42C5CDA0"/>
    <w:rsid w:val="42D173A8"/>
    <w:rsid w:val="43016682"/>
    <w:rsid w:val="4373601C"/>
    <w:rsid w:val="458AE279"/>
    <w:rsid w:val="45F37E06"/>
    <w:rsid w:val="48124BD9"/>
    <w:rsid w:val="483B260E"/>
    <w:rsid w:val="497B0232"/>
    <w:rsid w:val="4BDACAE5"/>
    <w:rsid w:val="4C9D3A38"/>
    <w:rsid w:val="4CEF15E0"/>
    <w:rsid w:val="4D610A51"/>
    <w:rsid w:val="4EE1E155"/>
    <w:rsid w:val="4F7CAFFB"/>
    <w:rsid w:val="5004B5A6"/>
    <w:rsid w:val="508EBAB7"/>
    <w:rsid w:val="531FB969"/>
    <w:rsid w:val="5410D3F4"/>
    <w:rsid w:val="57EBA2A8"/>
    <w:rsid w:val="5AB8D6DD"/>
    <w:rsid w:val="5BC8E95B"/>
    <w:rsid w:val="5F182880"/>
    <w:rsid w:val="61D5E846"/>
    <w:rsid w:val="63763B72"/>
    <w:rsid w:val="64B3295D"/>
    <w:rsid w:val="6617E3A7"/>
    <w:rsid w:val="66C57623"/>
    <w:rsid w:val="695A01A5"/>
    <w:rsid w:val="69FFE404"/>
    <w:rsid w:val="6C85F63B"/>
    <w:rsid w:val="6DE972CB"/>
    <w:rsid w:val="6F8394F3"/>
    <w:rsid w:val="6FB3A6A1"/>
    <w:rsid w:val="7233F75C"/>
    <w:rsid w:val="7383DB39"/>
    <w:rsid w:val="74421BAC"/>
    <w:rsid w:val="745629C6"/>
    <w:rsid w:val="7671CF70"/>
    <w:rsid w:val="76CFE898"/>
    <w:rsid w:val="78643739"/>
    <w:rsid w:val="79C4F574"/>
    <w:rsid w:val="7C21A191"/>
    <w:rsid w:val="7D03B44A"/>
    <w:rsid w:val="7E1AF9C6"/>
    <w:rsid w:val="7E5FF0B5"/>
    <w:rsid w:val="7EFEE2A8"/>
    <w:rsid w:val="7F2FD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97569"/>
  <w15:docId w15:val="{71ECB912-4BCB-49FC-A76C-81BFC413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link w:val="FooterChar"/>
    <w:uiPriority w:val="99"/>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link w:val="NormalWebChar"/>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semiHidden/>
    <w:unhideWhenUsed/>
    <w:rsid w:val="00A54208"/>
    <w:rPr>
      <w:sz w:val="20"/>
      <w:szCs w:val="20"/>
    </w:rPr>
  </w:style>
  <w:style w:type="character" w:customStyle="1" w:styleId="FootnoteTextChar">
    <w:name w:val="Footnote Text Char"/>
    <w:basedOn w:val="DefaultParagraphFont"/>
    <w:link w:val="FootnoteText"/>
    <w:semiHidden/>
    <w:rsid w:val="00A54208"/>
    <w:rPr>
      <w:rFonts w:ascii="Arial" w:hAnsi="Arial"/>
      <w:lang w:eastAsia="en-US"/>
    </w:rPr>
  </w:style>
  <w:style w:type="character" w:styleId="FootnoteReference">
    <w:name w:val="footnote reference"/>
    <w:basedOn w:val="DefaultParagraphFont"/>
    <w:uiPriority w:val="99"/>
    <w:semiHidden/>
    <w:unhideWhenUsed/>
    <w:rsid w:val="00A54208"/>
    <w:rPr>
      <w:vertAlign w:val="superscript"/>
    </w:rPr>
  </w:style>
  <w:style w:type="character" w:styleId="Hyperlink">
    <w:name w:val="Hyperlink"/>
    <w:basedOn w:val="DefaultParagraphFont"/>
    <w:unhideWhenUsed/>
    <w:rsid w:val="00F91E11"/>
    <w:rPr>
      <w:color w:val="0563C1" w:themeColor="hyperlink"/>
      <w:u w:val="single"/>
    </w:rPr>
  </w:style>
  <w:style w:type="character" w:styleId="UnresolvedMention">
    <w:name w:val="Unresolved Mention"/>
    <w:basedOn w:val="DefaultParagraphFont"/>
    <w:uiPriority w:val="99"/>
    <w:semiHidden/>
    <w:unhideWhenUsed/>
    <w:rsid w:val="00F91E11"/>
    <w:rPr>
      <w:color w:val="605E5C"/>
      <w:shd w:val="clear" w:color="auto" w:fill="E1DFDD"/>
    </w:rPr>
  </w:style>
  <w:style w:type="character" w:styleId="FollowedHyperlink">
    <w:name w:val="FollowedHyperlink"/>
    <w:basedOn w:val="DefaultParagraphFont"/>
    <w:semiHidden/>
    <w:unhideWhenUsed/>
    <w:rsid w:val="00F91E11"/>
    <w:rPr>
      <w:color w:val="954F72" w:themeColor="followedHyperlink"/>
      <w:u w:val="single"/>
    </w:rPr>
  </w:style>
  <w:style w:type="character" w:customStyle="1" w:styleId="NormalWebChar">
    <w:name w:val="Normal (Web) Char"/>
    <w:basedOn w:val="DefaultParagraphFont"/>
    <w:link w:val="NormalWeb"/>
    <w:uiPriority w:val="99"/>
    <w:rsid w:val="006C4C3F"/>
    <w:rPr>
      <w:rFonts w:eastAsiaTheme="minorHAnsi"/>
      <w:sz w:val="22"/>
      <w:szCs w:val="22"/>
      <w:lang w:bidi="he-IL"/>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D508FB"/>
    <w:rPr>
      <w:rFonts w:asciiTheme="minorHAnsi" w:hAnsiTheme="minorHAns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1091002841">
      <w:bodyDiv w:val="1"/>
      <w:marLeft w:val="0"/>
      <w:marRight w:val="0"/>
      <w:marTop w:val="0"/>
      <w:marBottom w:val="0"/>
      <w:divBdr>
        <w:top w:val="none" w:sz="0" w:space="0" w:color="auto"/>
        <w:left w:val="none" w:sz="0" w:space="0" w:color="auto"/>
        <w:bottom w:val="none" w:sz="0" w:space="0" w:color="auto"/>
        <w:right w:val="none" w:sz="0" w:space="0" w:color="auto"/>
      </w:divBdr>
    </w:div>
    <w:div w:id="1132820371">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ssb.co.uk/research-catalogue/CatalogueItem/T12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BD707A06F7D8488B878E69673BFC56" ma:contentTypeVersion="4" ma:contentTypeDescription="Create a new document." ma:contentTypeScope="" ma:versionID="62f261de9a7fcf1dadca63790098bc96">
  <xsd:schema xmlns:xsd="http://www.w3.org/2001/XMLSchema" xmlns:xs="http://www.w3.org/2001/XMLSchema" xmlns:p="http://schemas.microsoft.com/office/2006/metadata/properties" xmlns:ns2="1d645d24-33a1-4370-a181-c640294a0f40" targetNamespace="http://schemas.microsoft.com/office/2006/metadata/properties" ma:root="true" ma:fieldsID="933aa089e0d90e14e819abe6d0606148" ns2:_="">
    <xsd:import namespace="1d645d24-33a1-4370-a181-c640294a0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45d24-33a1-4370-a181-c640294a0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91F9B4-6A05-418A-8973-705F5703A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45d24-33a1-4370-a181-c640294a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A0F30-FF0D-4F45-9ACC-43A768A70835}">
  <ds:schemaRefs>
    <ds:schemaRef ds:uri="http://schemas.openxmlformats.org/officeDocument/2006/bibliography"/>
  </ds:schemaRefs>
</ds:datastoreItem>
</file>

<file path=customXml/itemProps4.xml><?xml version="1.0" encoding="utf-8"?>
<ds:datastoreItem xmlns:ds="http://schemas.openxmlformats.org/officeDocument/2006/customXml" ds:itemID="{7228E237-816D-4C76-A4B4-B1B852925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RSSB-A4-document-2016</Template>
  <TotalTime>5</TotalTime>
  <Pages>31</Pages>
  <Words>6990</Words>
  <Characters>39913</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R&amp;D Specification Template</vt:lpstr>
    </vt:vector>
  </TitlesOfParts>
  <Company>RSSB</Company>
  <LinksUpToDate>false</LinksUpToDate>
  <CharactersWithSpaces>46810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R&amp;D Specification Template</dc:title>
  <dc:subject/>
  <dc:creator>Ben Altman</dc:creator>
  <cp:keywords/>
  <cp:lastModifiedBy>Tanja Odinsen</cp:lastModifiedBy>
  <cp:revision>2</cp:revision>
  <dcterms:created xsi:type="dcterms:W3CDTF">2022-04-20T10:39:00Z</dcterms:created>
  <dcterms:modified xsi:type="dcterms:W3CDTF">2022-04-20T10:39:00Z</dcterms:modified>
  <cp:contentStatus>live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0x010100D5BD707A06F7D8488B878E69673BFC56</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Dept Owner0">
    <vt:lpwstr>Chief Executive</vt:lpwstr>
  </property>
  <property fmtid="{D5CDD505-2E9C-101B-9397-08002B2CF9AE}" pid="8" name="TaxKeyword">
    <vt:lpwstr/>
  </property>
  <property fmtid="{D5CDD505-2E9C-101B-9397-08002B2CF9AE}" pid="9" name="Withdrawl Date">
    <vt:lpwstr>2099-12-31T00:00:00Z</vt:lpwstr>
  </property>
</Properties>
</file>