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Order Schedule 14 (Service Levels)</w:t>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363.0" w:type="dxa"/>
        <w:jc w:val="left"/>
        <w:tblInd w:w="959.0" w:type="dxa"/>
        <w:tblLayout w:type="fixed"/>
        <w:tblLook w:val="0400"/>
      </w:tblPr>
      <w:tblGrid>
        <w:gridCol w:w="2410"/>
        <w:gridCol w:w="5953"/>
        <w:tblGridChange w:id="0">
          <w:tblGrid>
            <w:gridCol w:w="2410"/>
            <w:gridCol w:w="5953"/>
          </w:tblGrid>
        </w:tblGridChange>
      </w:tblGrid>
      <w:tr>
        <w:trPr>
          <w:cantSplit w:val="0"/>
          <w:tblHeader w:val="0"/>
        </w:trPr>
        <w:tc>
          <w:tcPr>
            <w:shd w:fill="auto" w:val="cle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“Critical Service Level Failure”</w:t>
            </w:r>
          </w:p>
        </w:tc>
        <w:tc>
          <w:tcPr>
            <w:shd w:fill="auto" w:val="clear"/>
          </w:tcPr>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Order Form;</w:t>
            </w:r>
          </w:p>
        </w:tc>
      </w:tr>
      <w:tr>
        <w:trPr>
          <w:cantSplit w:val="0"/>
          <w:tblHeader w:val="0"/>
        </w:trPr>
        <w:tc>
          <w:tcPr>
            <w:shd w:fill="auto"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Credits"</w:t>
            </w:r>
          </w:p>
        </w:tc>
        <w:tc>
          <w:tcPr>
            <w:shd w:fill="auto" w:val="clear"/>
          </w:tcPr>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service credits specified in the Annex to Part A of this Schedule being payable by the Supplier to the Buyer in respect of any failure by the Supplier to meet one or more Service Levels;</w:t>
            </w:r>
          </w:p>
        </w:tc>
      </w:tr>
      <w:tr>
        <w:trPr>
          <w:cantSplit w:val="0"/>
          <w:trHeight w:val="359" w:hRule="atLeast"/>
          <w:tblHeader w:val="0"/>
        </w:trPr>
        <w:tc>
          <w:tcPr>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Credit Cap"</w:t>
            </w:r>
          </w:p>
        </w:tc>
        <w:tc>
          <w:tcPr>
            <w:shd w:fill="auto" w:val="clear"/>
          </w:tcPr>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Order Form;</w:t>
            </w:r>
          </w:p>
        </w:tc>
      </w:tr>
      <w:tr>
        <w:trPr>
          <w:cantSplit w:val="0"/>
          <w:tblHeader w:val="0"/>
        </w:trPr>
        <w:tc>
          <w:tcPr>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 Failure"</w:t>
            </w:r>
          </w:p>
        </w:tc>
        <w:tc>
          <w:tcPr>
            <w:shd w:fill="auto" w:val="clear"/>
          </w:tcPr>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 failure to meet the Service Level Performance Measure in respect of a Service Level;</w:t>
            </w:r>
          </w:p>
        </w:tc>
      </w:tr>
      <w:tr>
        <w:trPr>
          <w:cantSplit w:val="0"/>
          <w:tblHeader w:val="0"/>
        </w:trPr>
        <w:tc>
          <w:tcPr>
            <w:shd w:fill="auto"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 Performance Measure"</w:t>
            </w:r>
          </w:p>
        </w:tc>
        <w:tc>
          <w:tcPr>
            <w:shd w:fill="auto" w:val="clear"/>
          </w:tcPr>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as set out against the relevant Service Level in the Annex to Part A of this Schedule; and</w:t>
            </w:r>
          </w:p>
        </w:tc>
      </w:tr>
      <w:tr>
        <w:trPr>
          <w:cantSplit w:val="0"/>
          <w:tblHeader w:val="0"/>
        </w:trPr>
        <w:tc>
          <w:tcPr>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 Threshold"</w:t>
            </w:r>
          </w:p>
        </w:tc>
        <w:tc>
          <w:tcPr>
            <w:shd w:fill="auto" w:val="clear"/>
          </w:tcPr>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as set out against the relevant Service Level in the Annex to Part A of this Schedule.</w:t>
            </w:r>
          </w:p>
        </w:tc>
      </w:tr>
    </w:tbl>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you don’t meet the Service Levels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at all times provide the Deliverables to meet or exceed the Service Level Performance Measure for each Service Level.</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send Performance Monitoring Reports to the Buyer detailing the level of service which was achieved in accordance with the provisions of Part B (Performance Monitoring) of this Schedule.</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Service Credit shall be the Buyer’s exclusive financial remedy for a Service Level Failure except where: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over the previous (twelve) 12 Month period exceeded the Service Credit Cap; and/or</w:t>
      </w:r>
    </w:p>
    <w:p w:rsidR="00000000" w:rsidDel="00000000" w:rsidP="00000000" w:rsidRDefault="00000000" w:rsidRPr="00000000" w14:paraId="0000001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 Level Failure:</w:t>
      </w:r>
    </w:p>
    <w:p w:rsidR="00000000" w:rsidDel="00000000" w:rsidP="00000000" w:rsidRDefault="00000000" w:rsidRPr="00000000" w14:paraId="0000001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exceeds the relevant Service Level Threshold;</w:t>
      </w:r>
    </w:p>
    <w:p w:rsidR="00000000" w:rsidDel="00000000" w:rsidP="00000000" w:rsidRDefault="00000000" w:rsidRPr="00000000" w14:paraId="0000001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arisen due to a Prohibited Act or wilful Default by the Supplier; </w:t>
      </w:r>
    </w:p>
    <w:p w:rsidR="00000000" w:rsidDel="00000000" w:rsidP="00000000" w:rsidRDefault="00000000" w:rsidRPr="00000000" w14:paraId="0000001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results in the corruption or loss of any Government Data; and/or</w:t>
      </w:r>
    </w:p>
    <w:p w:rsidR="00000000" w:rsidDel="00000000" w:rsidP="00000000" w:rsidRDefault="00000000" w:rsidRPr="00000000" w14:paraId="0000001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results in the Buyer being required to make a compensation payment to one or more third parties; and/or</w:t>
      </w:r>
    </w:p>
    <w:p w:rsidR="00000000" w:rsidDel="00000000" w:rsidP="00000000" w:rsidRDefault="00000000" w:rsidRPr="00000000" w14:paraId="0000001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is otherwise entitled to or does terminate this Contract pursuant to Clause 10.4 (CCS and Buyer Termination Rights).</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number of Service Levels for which the weighting is to be changed does not exceed the number applicable as at the Start Date; </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principal purpose of the change is to reflect changes in the Buyer's business requirements and/or priorities or to reflect changing industry standards; and</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no change to the Service Credit Cap.</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Critical Service Level Failure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occurrence of a Critical Service Level Failure:</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Service Credits that would otherwise have accrued during the relevant Service Period shall not accrue; and</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(subject to the Service Credit Cap) be entitled to withhold and retain as compensation a sum equal to any Charges which would otherwise have been due to the Supplier in respect of that Service Period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Compensation for Critical Service Level Failure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that the operation of this paragraph 3 shall be without prejudice to the right of the Buyer to terminate this Contract and/or to claim damages from the Supplier for material Default.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426"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Part A: Service Levels and Service Credits </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Service Levels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level of performance of the Supplier:</w:t>
      </w:r>
    </w:p>
    <w:p w:rsidR="00000000" w:rsidDel="00000000" w:rsidP="00000000" w:rsidRDefault="00000000" w:rsidRPr="00000000" w14:paraId="0000002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likely to or fails to meet any Service Level Performance Measure; or</w:t>
      </w:r>
    </w:p>
    <w:p w:rsidR="00000000" w:rsidDel="00000000" w:rsidP="00000000" w:rsidRDefault="00000000" w:rsidRPr="00000000" w14:paraId="0000002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likely to cause or causes a Critical Service Failure to occur,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immediately notify the Buyer in writing and the Buyer, in its absolute discretion and without limiting any other of its rights, may:</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the Supplier to immediately take all remedial action that is reasonable to mitigate the impact on the Buyer and to rectify or prevent a Service Level Failure or Critical Service Level Failure from taking place or recurring; </w:t>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instruct the Supplier to comply with the Rectification Plan Process; </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Service Level Failure has occurred, deduct the applicable Service Level Credits payable by the Supplier to the Buyer; and/or</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Critical Service Level Failure has occurred, exercise its right to Compensation for Critical Service Level Failure (including the right to terminate for material Default).</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Service Credits</w:t>
      </w:r>
    </w:p>
    <w:p w:rsidR="00000000" w:rsidDel="00000000" w:rsidP="00000000" w:rsidRDefault="00000000" w:rsidRPr="00000000" w14:paraId="0000003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use the Performance Monitoring Reports supplied by the Supplier to verify the calculation and accuracy of the Service Credits, if any, applicable to each Service Period.</w:t>
      </w:r>
    </w:p>
    <w:p w:rsidR="00000000" w:rsidDel="00000000" w:rsidP="00000000" w:rsidRDefault="00000000" w:rsidRPr="00000000" w14:paraId="0000003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000000" w:rsidDel="00000000" w:rsidP="00000000" w:rsidRDefault="00000000" w:rsidRPr="00000000" w14:paraId="0000003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Annex A to Part A: Services Levels and Service Credits Table</w:t>
      </w:r>
    </w:p>
    <w:p w:rsidR="00000000" w:rsidDel="00000000" w:rsidP="00000000" w:rsidRDefault="00000000" w:rsidRPr="00000000" w14:paraId="00000037">
      <w:pPr>
        <w:spacing w:after="0" w:line="240" w:lineRule="auto"/>
        <w:rPr>
          <w:rFonts w:ascii="Arial" w:cs="Arial" w:eastAsia="Arial" w:hAnsi="Arial"/>
        </w:rPr>
      </w:pPr>
      <w:r w:rsidDel="00000000" w:rsidR="00000000" w:rsidRPr="00000000">
        <w:rPr>
          <w:rtl w:val="0"/>
        </w:rPr>
      </w:r>
    </w:p>
    <w:tbl>
      <w:tblPr>
        <w:tblStyle w:val="Table2"/>
        <w:tblW w:w="8299.0" w:type="dxa"/>
        <w:jc w:val="left"/>
        <w:tblInd w:w="72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1235"/>
        <w:gridCol w:w="2268"/>
        <w:gridCol w:w="3516"/>
        <w:gridCol w:w="1280"/>
        <w:tblGridChange w:id="0">
          <w:tblGrid>
            <w:gridCol w:w="1235"/>
            <w:gridCol w:w="2268"/>
            <w:gridCol w:w="3516"/>
            <w:gridCol w:w="1280"/>
          </w:tblGrid>
        </w:tblGridChange>
      </w:tblGrid>
      <w:tr>
        <w:trPr>
          <w:cantSplit w:val="0"/>
          <w:tblHeader w:val="0"/>
        </w:trPr>
        <w:tc>
          <w:tcPr>
            <w:shd w:fill="b8cce4" w:val="clear"/>
          </w:tcPr>
          <w:p w:rsidR="00000000" w:rsidDel="00000000" w:rsidP="00000000" w:rsidRDefault="00000000" w:rsidRPr="00000000" w14:paraId="00000038">
            <w:pPr>
              <w:pStyle w:val="Heading2"/>
              <w:keepNext w:val="0"/>
              <w:keepLines w:val="0"/>
              <w:spacing w:after="240" w:before="0" w:line="240" w:lineRule="auto"/>
              <w:ind w:left="-13" w:firstLine="0"/>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KPI/ SLA</w:t>
            </w:r>
          </w:p>
        </w:tc>
        <w:tc>
          <w:tcPr>
            <w:shd w:fill="b8cce4" w:val="clear"/>
          </w:tcPr>
          <w:p w:rsidR="00000000" w:rsidDel="00000000" w:rsidP="00000000" w:rsidRDefault="00000000" w:rsidRPr="00000000" w14:paraId="00000039">
            <w:pPr>
              <w:pStyle w:val="Heading2"/>
              <w:keepNext w:val="0"/>
              <w:keepLines w:val="0"/>
              <w:spacing w:after="240" w:before="0" w:line="240" w:lineRule="auto"/>
              <w:ind w:left="23" w:firstLine="0"/>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Service Area</w:t>
            </w:r>
          </w:p>
        </w:tc>
        <w:tc>
          <w:tcPr>
            <w:shd w:fill="b8cce4" w:val="clear"/>
          </w:tcPr>
          <w:p w:rsidR="00000000" w:rsidDel="00000000" w:rsidP="00000000" w:rsidRDefault="00000000" w:rsidRPr="00000000" w14:paraId="0000003A">
            <w:pPr>
              <w:pStyle w:val="Heading2"/>
              <w:keepNext w:val="0"/>
              <w:keepLines w:val="0"/>
              <w:spacing w:after="240" w:before="0" w:line="240" w:lineRule="auto"/>
              <w:ind w:left="32" w:firstLine="0"/>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KPI/SLA description</w:t>
            </w:r>
          </w:p>
        </w:tc>
        <w:tc>
          <w:tcPr>
            <w:shd w:fill="b8cce4" w:val="clear"/>
          </w:tcPr>
          <w:p w:rsidR="00000000" w:rsidDel="00000000" w:rsidP="00000000" w:rsidRDefault="00000000" w:rsidRPr="00000000" w14:paraId="0000003B">
            <w:pPr>
              <w:pStyle w:val="Heading2"/>
              <w:keepNext w:val="0"/>
              <w:keepLines w:val="0"/>
              <w:spacing w:after="240" w:before="0" w:line="240" w:lineRule="auto"/>
              <w:ind w:left="68" w:hanging="85"/>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Target</w:t>
            </w:r>
          </w:p>
        </w:tc>
      </w:tr>
      <w:tr>
        <w:trPr>
          <w:cantSplit w:val="0"/>
          <w:tblHeader w:val="0"/>
        </w:trPr>
        <w:tc>
          <w:tcPr/>
          <w:p w:rsidR="00000000" w:rsidDel="00000000" w:rsidP="00000000" w:rsidRDefault="00000000" w:rsidRPr="00000000" w14:paraId="0000003C">
            <w:pPr>
              <w:pStyle w:val="Heading2"/>
              <w:keepNext w:val="0"/>
              <w:keepLines w:val="0"/>
              <w:spacing w:after="240" w:before="0" w:line="240" w:lineRule="auto"/>
              <w:ind w:left="129" w:firstLine="0"/>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1</w:t>
            </w:r>
          </w:p>
        </w:tc>
        <w:tc>
          <w:tcPr/>
          <w:p w:rsidR="00000000" w:rsidDel="00000000" w:rsidP="00000000" w:rsidRDefault="00000000" w:rsidRPr="00000000" w14:paraId="0000003D">
            <w:pPr>
              <w:pStyle w:val="Heading2"/>
              <w:keepNext w:val="0"/>
              <w:keepLines w:val="0"/>
              <w:spacing w:after="240" w:before="0" w:line="240" w:lineRule="auto"/>
              <w:ind w:left="29" w:firstLine="0"/>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Responsiveness</w:t>
            </w:r>
          </w:p>
        </w:tc>
        <w:tc>
          <w:tcPr/>
          <w:p w:rsidR="00000000" w:rsidDel="00000000" w:rsidP="00000000" w:rsidRDefault="00000000" w:rsidRPr="00000000" w14:paraId="0000003E">
            <w:pPr>
              <w:spacing w:after="120" w:before="120" w:line="240" w:lineRule="auto"/>
              <w:ind w:left="113" w:right="113"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 must respond to email requests from the Inquiry Key Staff* marked URGENT within 1 working day. </w:t>
            </w:r>
          </w:p>
          <w:p w:rsidR="00000000" w:rsidDel="00000000" w:rsidP="00000000" w:rsidRDefault="00000000" w:rsidRPr="00000000" w14:paraId="0000003F">
            <w:pPr>
              <w:spacing w:after="120" w:before="120" w:line="240" w:lineRule="auto"/>
              <w:ind w:left="113" w:right="113"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list of those defined as key staff can be found in the Order Form</w:t>
            </w:r>
          </w:p>
        </w:tc>
        <w:tc>
          <w:tcPr/>
          <w:p w:rsidR="00000000" w:rsidDel="00000000" w:rsidP="00000000" w:rsidRDefault="00000000" w:rsidRPr="00000000" w14:paraId="00000040">
            <w:pPr>
              <w:pStyle w:val="Heading2"/>
              <w:keepNext w:val="0"/>
              <w:keepLines w:val="0"/>
              <w:spacing w:after="240" w:before="0" w:line="240" w:lineRule="auto"/>
              <w:ind w:left="720"/>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95%</w:t>
            </w:r>
          </w:p>
        </w:tc>
      </w:tr>
      <w:tr>
        <w:trPr>
          <w:cantSplit w:val="0"/>
          <w:tblHeader w:val="0"/>
        </w:trPr>
        <w:tc>
          <w:tcPr/>
          <w:p w:rsidR="00000000" w:rsidDel="00000000" w:rsidP="00000000" w:rsidRDefault="00000000" w:rsidRPr="00000000" w14:paraId="00000041">
            <w:pPr>
              <w:pStyle w:val="Heading2"/>
              <w:keepNext w:val="0"/>
              <w:keepLines w:val="0"/>
              <w:spacing w:after="240" w:before="0" w:line="240" w:lineRule="auto"/>
              <w:ind w:left="129" w:firstLine="0"/>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2</w:t>
            </w:r>
          </w:p>
        </w:tc>
        <w:tc>
          <w:tcPr/>
          <w:p w:rsidR="00000000" w:rsidDel="00000000" w:rsidP="00000000" w:rsidRDefault="00000000" w:rsidRPr="00000000" w14:paraId="00000042">
            <w:pPr>
              <w:pStyle w:val="Heading2"/>
              <w:keepNext w:val="0"/>
              <w:keepLines w:val="0"/>
              <w:spacing w:after="240" w:before="0" w:line="240" w:lineRule="auto"/>
              <w:ind w:left="-41" w:firstLine="0"/>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Responsiveness</w:t>
            </w:r>
          </w:p>
        </w:tc>
        <w:tc>
          <w:tcPr/>
          <w:p w:rsidR="00000000" w:rsidDel="00000000" w:rsidP="00000000" w:rsidRDefault="00000000" w:rsidRPr="00000000" w14:paraId="00000043">
            <w:pPr>
              <w:spacing w:after="120" w:before="120" w:line="240" w:lineRule="auto"/>
              <w:ind w:left="32" w:right="113"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 must respond to other, non-urgent email requests from Inquiry Key Staff* within 2 working days.</w:t>
            </w:r>
          </w:p>
          <w:p w:rsidR="00000000" w:rsidDel="00000000" w:rsidP="00000000" w:rsidRDefault="00000000" w:rsidRPr="00000000" w14:paraId="00000044">
            <w:pPr>
              <w:pStyle w:val="Heading2"/>
              <w:keepNext w:val="0"/>
              <w:keepLines w:val="0"/>
              <w:spacing w:after="240" w:before="0" w:line="240" w:lineRule="auto"/>
              <w:ind w:left="32" w:firstLine="0"/>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*The list of those defined as key staff can be found in the Order Form</w:t>
            </w:r>
          </w:p>
        </w:tc>
        <w:tc>
          <w:tcPr/>
          <w:p w:rsidR="00000000" w:rsidDel="00000000" w:rsidP="00000000" w:rsidRDefault="00000000" w:rsidRPr="00000000" w14:paraId="00000045">
            <w:pPr>
              <w:pStyle w:val="Heading2"/>
              <w:keepNext w:val="0"/>
              <w:keepLines w:val="0"/>
              <w:spacing w:after="240" w:before="0" w:line="240" w:lineRule="auto"/>
              <w:ind w:left="68" w:hanging="85"/>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95%</w:t>
            </w:r>
          </w:p>
        </w:tc>
      </w:tr>
      <w:tr>
        <w:trPr>
          <w:cantSplit w:val="0"/>
          <w:tblHeader w:val="0"/>
        </w:trPr>
        <w:tc>
          <w:tcPr/>
          <w:p w:rsidR="00000000" w:rsidDel="00000000" w:rsidP="00000000" w:rsidRDefault="00000000" w:rsidRPr="00000000" w14:paraId="00000046">
            <w:pPr>
              <w:pStyle w:val="Heading2"/>
              <w:keepNext w:val="0"/>
              <w:keepLines w:val="0"/>
              <w:spacing w:after="240" w:before="0" w:line="240" w:lineRule="auto"/>
              <w:ind w:left="129" w:firstLine="0"/>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3</w:t>
            </w:r>
          </w:p>
        </w:tc>
        <w:tc>
          <w:tcPr/>
          <w:p w:rsidR="00000000" w:rsidDel="00000000" w:rsidP="00000000" w:rsidRDefault="00000000" w:rsidRPr="00000000" w14:paraId="00000047">
            <w:pPr>
              <w:pStyle w:val="Heading2"/>
              <w:keepNext w:val="0"/>
              <w:keepLines w:val="0"/>
              <w:spacing w:after="240" w:before="0" w:line="240" w:lineRule="auto"/>
              <w:ind w:left="720"/>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Minimum sample size</w:t>
            </w:r>
          </w:p>
        </w:tc>
        <w:tc>
          <w:tcPr/>
          <w:p w:rsidR="00000000" w:rsidDel="00000000" w:rsidP="00000000" w:rsidRDefault="00000000" w:rsidRPr="00000000" w14:paraId="00000048">
            <w:pPr>
              <w:pStyle w:val="Heading2"/>
              <w:keepNext w:val="0"/>
              <w:keepLines w:val="0"/>
              <w:spacing w:after="240" w:before="0" w:line="240" w:lineRule="auto"/>
              <w:ind w:left="720"/>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The supplier must meet the minimum sample size in each staff type (referenced in Section 9 - Volumes of this Statement of Requirements) </w:t>
            </w:r>
          </w:p>
        </w:tc>
        <w:tc>
          <w:tcPr/>
          <w:p w:rsidR="00000000" w:rsidDel="00000000" w:rsidP="00000000" w:rsidRDefault="00000000" w:rsidRPr="00000000" w14:paraId="00000049">
            <w:pPr>
              <w:pStyle w:val="Heading2"/>
              <w:keepNext w:val="0"/>
              <w:keepLines w:val="0"/>
              <w:spacing w:after="240" w:before="0" w:line="240" w:lineRule="auto"/>
              <w:ind w:left="68" w:hanging="85"/>
              <w:jc w:val="left"/>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5 of 8 staff types</w:t>
            </w:r>
          </w:p>
        </w:tc>
      </w:tr>
    </w:tbl>
    <w:p w:rsidR="00000000" w:rsidDel="00000000" w:rsidP="00000000" w:rsidRDefault="00000000" w:rsidRPr="00000000" w14:paraId="0000004A">
      <w:pPr>
        <w:spacing w:after="0" w:line="240" w:lineRule="auto"/>
        <w:rPr>
          <w:rFonts w:ascii="Arial Bold" w:cs="Arial Bold" w:eastAsia="Arial Bold" w:hAnsi="Arial Bold"/>
          <w:b w:val="1"/>
          <w:sz w:val="36"/>
          <w:szCs w:val="36"/>
        </w:rPr>
      </w:pPr>
      <w:r w:rsidDel="00000000" w:rsidR="00000000" w:rsidRPr="00000000">
        <w:rPr>
          <w:rtl w:val="0"/>
        </w:rPr>
      </w:r>
    </w:p>
    <w:p w:rsidR="00000000" w:rsidDel="00000000" w:rsidP="00000000" w:rsidRDefault="00000000" w:rsidRPr="00000000" w14:paraId="0000004B">
      <w:pPr>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Credits shall be calculated on the basis of the following formula:</w:t>
      </w:r>
    </w:p>
    <w:p w:rsidR="00000000" w:rsidDel="00000000" w:rsidP="00000000" w:rsidRDefault="00000000" w:rsidRPr="00000000" w14:paraId="0000004D">
      <w:pPr>
        <w:ind w:left="709"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[Example:</w:t>
      </w:r>
    </w:p>
    <w:tbl>
      <w:tblPr>
        <w:tblStyle w:val="Table3"/>
        <w:tblW w:w="9026.0" w:type="dxa"/>
        <w:jc w:val="left"/>
        <w:tblLayout w:type="fixed"/>
        <w:tblLook w:val="0000"/>
      </w:tblPr>
      <w:tblGrid>
        <w:gridCol w:w="4375"/>
        <w:gridCol w:w="685"/>
        <w:gridCol w:w="3966"/>
        <w:tblGridChange w:id="0">
          <w:tblGrid>
            <w:gridCol w:w="4375"/>
            <w:gridCol w:w="685"/>
            <w:gridCol w:w="3966"/>
          </w:tblGrid>
        </w:tblGridChange>
      </w:tblGrid>
      <w:tr>
        <w:trPr>
          <w:cantSplit w:val="0"/>
          <w:tblHeader w:val="0"/>
        </w:trPr>
        <w:tc>
          <w:tcPr/>
          <w:p w:rsidR="00000000" w:rsidDel="00000000" w:rsidP="00000000" w:rsidRDefault="00000000" w:rsidRPr="00000000" w14:paraId="0000004E">
            <w:pPr>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Formula: x% (Service Level Performance Measure) - x% (actual Service Level performance)  </w:t>
            </w:r>
          </w:p>
        </w:tc>
        <w:tc>
          <w:tcPr/>
          <w:p w:rsidR="00000000" w:rsidDel="00000000" w:rsidP="00000000" w:rsidRDefault="00000000" w:rsidRPr="00000000" w14:paraId="0000004F">
            <w:pPr>
              <w:ind w:left="21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50">
            <w:pPr>
              <w:ind w:left="14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x% of the Charges payable to the Buyer as Service Credits to be deducted from the next Invoice payable by the Buyer</w:t>
            </w:r>
          </w:p>
        </w:tc>
      </w:tr>
      <w:tr>
        <w:trPr>
          <w:cantSplit w:val="0"/>
          <w:tblHeader w:val="0"/>
        </w:trPr>
        <w:tc>
          <w:tcPr/>
          <w:p w:rsidR="00000000" w:rsidDel="00000000" w:rsidP="00000000" w:rsidRDefault="00000000" w:rsidRPr="00000000" w14:paraId="00000051">
            <w:pPr>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Worked example: 98% (e.g. Service Level Performance Measure requirement for accurate and timely billing Service Level) - 75% (e.g. actual performance achieved against this Service Level in a Service Period) </w:t>
            </w:r>
          </w:p>
          <w:p w:rsidR="00000000" w:rsidDel="00000000" w:rsidP="00000000" w:rsidRDefault="00000000" w:rsidRPr="00000000" w14:paraId="00000052">
            <w:pPr>
              <w:ind w:left="567"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3">
            <w:pPr>
              <w:ind w:left="21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54">
            <w:pPr>
              <w:ind w:left="14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 of the Charges payable to the Buyer as Service Credits to be deducted from the next Invoice payable by the Buyer]</w:t>
            </w:r>
          </w:p>
          <w:p w:rsidR="00000000" w:rsidDel="00000000" w:rsidP="00000000" w:rsidRDefault="00000000" w:rsidRPr="00000000" w14:paraId="00000055">
            <w:pPr>
              <w:ind w:left="145"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Part B: Performance Monitoring </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Performance Monitoring and Performance Review</w:t>
      </w:r>
    </w:p>
    <w:p w:rsidR="00000000" w:rsidDel="00000000" w:rsidP="00000000" w:rsidRDefault="00000000" w:rsidRPr="00000000" w14:paraId="0000005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rsidR="00000000" w:rsidDel="00000000" w:rsidP="00000000" w:rsidRDefault="00000000" w:rsidRPr="00000000" w14:paraId="00000059">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the Buyer with performance monitoring reports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Monitoring Reports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the process and timescales agreed pursuant to paragraph 1.1 of Part B of this Schedule which shall contain, as a minimum, the following information in respect of the relevant Service Period just ended:</w:t>
      </w:r>
    </w:p>
    <w:p w:rsidR="00000000" w:rsidDel="00000000" w:rsidP="00000000" w:rsidRDefault="00000000" w:rsidRPr="00000000" w14:paraId="0000005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each Service Level, the actual performance achieved over the Service Level for the relevant Service Period;</w:t>
      </w:r>
    </w:p>
    <w:p w:rsidR="00000000" w:rsidDel="00000000" w:rsidP="00000000" w:rsidRDefault="00000000" w:rsidRPr="00000000" w14:paraId="0000005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summary of all failures to achieve Service Levels that occurred during that Service Period;</w:t>
      </w:r>
    </w:p>
    <w:p w:rsidR="00000000" w:rsidDel="00000000" w:rsidP="00000000" w:rsidRDefault="00000000" w:rsidRPr="00000000" w14:paraId="0000005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Critical Service Level Failures;</w:t>
      </w:r>
    </w:p>
    <w:p w:rsidR="00000000" w:rsidDel="00000000" w:rsidP="00000000" w:rsidRDefault="00000000" w:rsidRPr="00000000" w14:paraId="0000005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any repeat failures, actions taken to resolve the underlying cause and prevent recurrence;</w:t>
      </w:r>
    </w:p>
    <w:p w:rsidR="00000000" w:rsidDel="00000000" w:rsidP="00000000" w:rsidRDefault="00000000" w:rsidRPr="00000000" w14:paraId="0000005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 Credits to be applied in respect of the relevant period indicating the failures and Service Levels to which the Service Credits relate; and</w:t>
      </w:r>
    </w:p>
    <w:p w:rsidR="00000000" w:rsidDel="00000000" w:rsidP="00000000" w:rsidRDefault="00000000" w:rsidRPr="00000000" w14:paraId="0000005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other details as the Buyer may reasonably require from time to time.</w:t>
      </w:r>
    </w:p>
    <w:p w:rsidR="00000000" w:rsidDel="00000000" w:rsidP="00000000" w:rsidRDefault="00000000" w:rsidRPr="00000000" w14:paraId="00000060">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attend meetings to discuss Performance Monitoring Reports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Review Meetings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a Monthly basis. The Performance Review Meetings will be the forum for the review by the Supplier and the Buyer of the Performance Monitoring Reports.  The Performance Review Meetings shall:</w:t>
      </w:r>
    </w:p>
    <w:p w:rsidR="00000000" w:rsidDel="00000000" w:rsidP="00000000" w:rsidRDefault="00000000" w:rsidRPr="00000000" w14:paraId="0000006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place within one (1) week of the Performance Monitoring Reports being issued by the Supplier at such location and time (within normal business hours) as the Buyer shall reasonably require;</w:t>
      </w:r>
    </w:p>
    <w:p w:rsidR="00000000" w:rsidDel="00000000" w:rsidP="00000000" w:rsidRDefault="00000000" w:rsidRPr="00000000" w14:paraId="0000006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attended by the Supplier's Representative and the Buyer’s Representative; and</w:t>
      </w:r>
    </w:p>
    <w:p w:rsidR="00000000" w:rsidDel="00000000" w:rsidP="00000000" w:rsidRDefault="00000000" w:rsidRPr="00000000" w14:paraId="0000006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fully minuted by the Supplier and the minutes will be circulated by the Supplier to all attendees at the relevant meeting and also to the Buyer’s Representative and any other recipients agreed at the relevant meeting.  </w:t>
      </w:r>
    </w:p>
    <w:p w:rsidR="00000000" w:rsidDel="00000000" w:rsidP="00000000" w:rsidRDefault="00000000" w:rsidRPr="00000000" w14:paraId="0000006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minutes of the preceding Month's Performance Review Meeting will be agreed and signed by both the Supplier's Representative and the Buyer’s Representative at each meeting.</w:t>
      </w:r>
    </w:p>
    <w:p w:rsidR="00000000" w:rsidDel="00000000" w:rsidP="00000000" w:rsidRDefault="00000000" w:rsidRPr="00000000" w14:paraId="0000006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to the Buyer such documentation as the Buyer may reasonably require in order to verify the level of the performance by the Supplier and the calculations of the amount of Service Credits for any specified Service Period.</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Satisfaction Surveys</w:t>
      </w:r>
    </w:p>
    <w:p w:rsidR="00000000" w:rsidDel="00000000" w:rsidP="00000000" w:rsidRDefault="00000000" w:rsidRPr="00000000" w14:paraId="0000006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hanging="576"/>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tabs>
        <w:tab w:val="center" w:leader="none" w:pos="4513"/>
        <w:tab w:val="right" w:leader="none" w:pos="9026"/>
      </w:tabs>
      <w:spacing w:after="0" w:line="240" w:lineRule="auto"/>
      <w:jc w:val="both"/>
      <w:rPr/>
    </w:pPr>
    <w:r w:rsidDel="00000000" w:rsidR="00000000" w:rsidRPr="00000000">
      <w:rPr>
        <w:rtl w:val="0"/>
      </w:rPr>
    </w:r>
  </w:p>
  <w:p w:rsidR="00000000" w:rsidDel="00000000" w:rsidP="00000000" w:rsidRDefault="00000000" w:rsidRPr="00000000" w14:paraId="0000006F">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RM6126 - Research &amp; Insights DPS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tabs>
        <w:tab w:val="center" w:leader="none" w:pos="4513"/>
        <w:tab w:val="right" w:leader="none" w:pos="9026"/>
      </w:tabs>
      <w:spacing w:after="0" w:line="240" w:lineRule="auto"/>
      <w:jc w:val="both"/>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DPS Ref: RM</w:t>
      <w:tab/>
      <w:t xml:space="preserv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 v2.9</w:t>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Order Schedule 14 (Service Levels)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Order Ref:</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2021</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Calibri" w:cs="Calibri" w:eastAsia="Calibri" w:hAnsi="Calibri"/>
        <w:b w:val="1"/>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ind w:left="360" w:hanging="360"/>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adjustRightInd w:val="0"/>
      <w:spacing w:after="120" w:before="120" w:line="240" w:lineRule="auto"/>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paragraph" w:styleId="DefinitionNumbering1" w:customStyle="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val="1"/>
    <w:uiPriority w:val="99"/>
    <w:semiHidden w:val="1"/>
    <w:rsid w:val="00CB349E"/>
    <w:pPr>
      <w:spacing w:after="0" w:line="240" w:lineRule="auto"/>
    </w:pPr>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nW+ssdVcks0RwujCNaqh6T+5FA==">CgMxLjAyCGguZ2pkZ3hzMgloLjMwajB6bGw4AHIhMXJsRjlYYjZ3c3VJa2dKWGdOY0h4M1dweGZsSGVDYjBr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2019-08-12T10:46:00Z</dcterms:created>
  <dc:creator>Andrew Thomas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