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179" w:rsidRDefault="007E1E99">
      <w:pPr>
        <w:spacing w:after="242" w:line="259" w:lineRule="auto"/>
        <w:ind w:left="27" w:firstLine="0"/>
      </w:pPr>
      <w:bookmarkStart w:id="0" w:name="_GoBack"/>
      <w:bookmarkEnd w:id="0"/>
      <w:r>
        <w:rPr>
          <w:noProof/>
        </w:rPr>
        <w:drawing>
          <wp:inline distT="0" distB="0" distL="0" distR="0">
            <wp:extent cx="1868468" cy="1553879"/>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1868468" cy="1553879"/>
                    </a:xfrm>
                    <a:prstGeom prst="rect">
                      <a:avLst/>
                    </a:prstGeom>
                  </pic:spPr>
                </pic:pic>
              </a:graphicData>
            </a:graphic>
          </wp:inline>
        </w:drawing>
      </w:r>
      <w:r>
        <w:t xml:space="preserve"> </w:t>
      </w:r>
    </w:p>
    <w:p w:rsidR="00E11179" w:rsidRDefault="007E1E99">
      <w:pPr>
        <w:spacing w:after="227" w:line="259" w:lineRule="auto"/>
        <w:ind w:left="0" w:firstLine="0"/>
      </w:pPr>
      <w:r>
        <w:t xml:space="preserve"> </w:t>
      </w:r>
    </w:p>
    <w:p w:rsidR="00E11179" w:rsidRDefault="007E1E99">
      <w:pPr>
        <w:spacing w:after="332" w:line="259" w:lineRule="auto"/>
        <w:ind w:left="0" w:firstLine="0"/>
      </w:pPr>
      <w:r>
        <w:t xml:space="preserve"> </w:t>
      </w:r>
    </w:p>
    <w:p w:rsidR="00E11179" w:rsidRDefault="007E1E99">
      <w:pPr>
        <w:pStyle w:val="Heading1"/>
        <w:spacing w:after="153"/>
        <w:ind w:left="0" w:firstLine="0"/>
      </w:pPr>
      <w:bookmarkStart w:id="1" w:name="_Toc76486"/>
      <w:r>
        <w:rPr>
          <w:sz w:val="36"/>
        </w:rPr>
        <w:t xml:space="preserve">G-Cloud 11 Call-Off Contract (version 4) </w:t>
      </w:r>
      <w:bookmarkEnd w:id="1"/>
    </w:p>
    <w:p w:rsidR="00E11179" w:rsidRDefault="007E1E99">
      <w:pPr>
        <w:spacing w:after="283" w:line="259" w:lineRule="auto"/>
        <w:ind w:left="0" w:firstLine="0"/>
      </w:pPr>
      <w:r>
        <w:rPr>
          <w:sz w:val="28"/>
        </w:rPr>
        <w:t xml:space="preserve"> </w:t>
      </w:r>
    </w:p>
    <w:sdt>
      <w:sdtPr>
        <w:id w:val="-1281797784"/>
        <w:docPartObj>
          <w:docPartGallery w:val="Table of Contents"/>
        </w:docPartObj>
      </w:sdtPr>
      <w:sdtEndPr/>
      <w:sdtContent>
        <w:p w:rsidR="00E11179" w:rsidRDefault="007E1E99">
          <w:pPr>
            <w:spacing w:after="0" w:line="259" w:lineRule="auto"/>
            <w:ind w:left="-5"/>
          </w:pPr>
          <w:r>
            <w:rPr>
              <w:b/>
              <w:sz w:val="32"/>
            </w:rPr>
            <w:t xml:space="preserve">Contents </w:t>
          </w:r>
        </w:p>
        <w:p w:rsidR="00E11179" w:rsidRDefault="007E1E99">
          <w:pPr>
            <w:pStyle w:val="TOC1"/>
            <w:tabs>
              <w:tab w:val="right" w:pos="10643"/>
            </w:tabs>
          </w:pPr>
          <w:r>
            <w:fldChar w:fldCharType="begin"/>
          </w:r>
          <w:r>
            <w:instrText xml:space="preserve"> TOC \o "1-1" \h \z \u </w:instrText>
          </w:r>
          <w:r>
            <w:fldChar w:fldCharType="separate"/>
          </w:r>
          <w:hyperlink w:anchor="_Toc76486">
            <w:r>
              <w:rPr>
                <w:rFonts w:ascii="Arial" w:eastAsia="Arial" w:hAnsi="Arial" w:cs="Arial"/>
                <w:b/>
                <w:sz w:val="24"/>
              </w:rPr>
              <w:t>G-Cloud 11 Call-Off Contract (version 4)</w:t>
            </w:r>
            <w:r>
              <w:tab/>
            </w:r>
            <w:r>
              <w:fldChar w:fldCharType="begin"/>
            </w:r>
            <w:r>
              <w:instrText>PAGEREF _Toc76486 \h</w:instrText>
            </w:r>
            <w:r>
              <w:fldChar w:fldCharType="separate"/>
            </w:r>
            <w:r>
              <w:rPr>
                <w:rFonts w:ascii="Arial" w:eastAsia="Arial" w:hAnsi="Arial" w:cs="Arial"/>
                <w:sz w:val="24"/>
              </w:rPr>
              <w:t xml:space="preserve">1 </w:t>
            </w:r>
            <w:r>
              <w:fldChar w:fldCharType="end"/>
            </w:r>
          </w:hyperlink>
        </w:p>
        <w:p w:rsidR="00E11179" w:rsidRDefault="00CD12D3">
          <w:pPr>
            <w:pStyle w:val="TOC1"/>
            <w:tabs>
              <w:tab w:val="right" w:pos="10643"/>
            </w:tabs>
          </w:pPr>
          <w:hyperlink w:anchor="_Toc76487">
            <w:r w:rsidR="007E1E99">
              <w:rPr>
                <w:rFonts w:ascii="Arial" w:eastAsia="Arial" w:hAnsi="Arial" w:cs="Arial"/>
                <w:b/>
                <w:sz w:val="24"/>
              </w:rPr>
              <w:t>Part A - Order Form</w:t>
            </w:r>
            <w:r w:rsidR="007E1E99">
              <w:tab/>
            </w:r>
            <w:r w:rsidR="007E1E99">
              <w:fldChar w:fldCharType="begin"/>
            </w:r>
            <w:r w:rsidR="007E1E99">
              <w:instrText>PAGEREF _Toc76487 \h</w:instrText>
            </w:r>
            <w:r w:rsidR="007E1E99">
              <w:fldChar w:fldCharType="separate"/>
            </w:r>
            <w:r w:rsidR="007E1E99">
              <w:rPr>
                <w:rFonts w:ascii="Arial" w:eastAsia="Arial" w:hAnsi="Arial" w:cs="Arial"/>
                <w:sz w:val="24"/>
              </w:rPr>
              <w:t xml:space="preserve">5 </w:t>
            </w:r>
            <w:r w:rsidR="007E1E99">
              <w:fldChar w:fldCharType="end"/>
            </w:r>
          </w:hyperlink>
        </w:p>
        <w:p w:rsidR="00E11179" w:rsidRDefault="00CD12D3">
          <w:pPr>
            <w:pStyle w:val="TOC1"/>
            <w:tabs>
              <w:tab w:val="right" w:pos="10643"/>
            </w:tabs>
          </w:pPr>
          <w:hyperlink w:anchor="_Toc76488">
            <w:r w:rsidR="007E1E99">
              <w:rPr>
                <w:rFonts w:ascii="Arial" w:eastAsia="Arial" w:hAnsi="Arial" w:cs="Arial"/>
                <w:sz w:val="24"/>
              </w:rPr>
              <w:t>Principle contact details</w:t>
            </w:r>
            <w:r w:rsidR="007E1E99">
              <w:tab/>
            </w:r>
            <w:r w:rsidR="007E1E99">
              <w:fldChar w:fldCharType="begin"/>
            </w:r>
            <w:r w:rsidR="007E1E99">
              <w:instrText>PAGEREF _Toc76488 \h</w:instrText>
            </w:r>
            <w:r w:rsidR="007E1E99">
              <w:fldChar w:fldCharType="separate"/>
            </w:r>
            <w:r w:rsidR="007E1E99">
              <w:rPr>
                <w:rFonts w:ascii="Arial" w:eastAsia="Arial" w:hAnsi="Arial" w:cs="Arial"/>
                <w:sz w:val="24"/>
              </w:rPr>
              <w:t xml:space="preserve">6 </w:t>
            </w:r>
            <w:r w:rsidR="007E1E99">
              <w:fldChar w:fldCharType="end"/>
            </w:r>
          </w:hyperlink>
        </w:p>
        <w:p w:rsidR="00E11179" w:rsidRDefault="00CD12D3">
          <w:pPr>
            <w:pStyle w:val="TOC1"/>
            <w:tabs>
              <w:tab w:val="right" w:pos="10643"/>
            </w:tabs>
          </w:pPr>
          <w:hyperlink w:anchor="_Toc76489">
            <w:r w:rsidR="007E1E99">
              <w:rPr>
                <w:rFonts w:ascii="Arial" w:eastAsia="Arial" w:hAnsi="Arial" w:cs="Arial"/>
                <w:sz w:val="24"/>
              </w:rPr>
              <w:t>Call-Off Contract term</w:t>
            </w:r>
            <w:r w:rsidR="007E1E99">
              <w:tab/>
            </w:r>
            <w:r w:rsidR="007E1E99">
              <w:fldChar w:fldCharType="begin"/>
            </w:r>
            <w:r w:rsidR="007E1E99">
              <w:instrText>PAGEREF _Toc76489 \h</w:instrText>
            </w:r>
            <w:r w:rsidR="007E1E99">
              <w:fldChar w:fldCharType="separate"/>
            </w:r>
            <w:r w:rsidR="007E1E99">
              <w:rPr>
                <w:rFonts w:ascii="Arial" w:eastAsia="Arial" w:hAnsi="Arial" w:cs="Arial"/>
                <w:sz w:val="24"/>
              </w:rPr>
              <w:t xml:space="preserve">6 </w:t>
            </w:r>
            <w:r w:rsidR="007E1E99">
              <w:fldChar w:fldCharType="end"/>
            </w:r>
          </w:hyperlink>
        </w:p>
        <w:p w:rsidR="00E11179" w:rsidRDefault="00CD12D3">
          <w:pPr>
            <w:pStyle w:val="TOC1"/>
            <w:tabs>
              <w:tab w:val="right" w:pos="10643"/>
            </w:tabs>
          </w:pPr>
          <w:hyperlink w:anchor="_Toc76490">
            <w:r w:rsidR="007E1E99">
              <w:rPr>
                <w:rFonts w:ascii="Arial" w:eastAsia="Arial" w:hAnsi="Arial" w:cs="Arial"/>
                <w:sz w:val="24"/>
              </w:rPr>
              <w:t>Buyer contractual details</w:t>
            </w:r>
            <w:r w:rsidR="007E1E99">
              <w:tab/>
            </w:r>
            <w:r w:rsidR="007E1E99">
              <w:fldChar w:fldCharType="begin"/>
            </w:r>
            <w:r w:rsidR="007E1E99">
              <w:instrText>PAGEREF _Toc76490 \h</w:instrText>
            </w:r>
            <w:r w:rsidR="007E1E99">
              <w:fldChar w:fldCharType="separate"/>
            </w:r>
            <w:r w:rsidR="007E1E99">
              <w:rPr>
                <w:rFonts w:ascii="Arial" w:eastAsia="Arial" w:hAnsi="Arial" w:cs="Arial"/>
                <w:sz w:val="24"/>
              </w:rPr>
              <w:t xml:space="preserve">7 </w:t>
            </w:r>
            <w:r w:rsidR="007E1E99">
              <w:fldChar w:fldCharType="end"/>
            </w:r>
          </w:hyperlink>
        </w:p>
        <w:p w:rsidR="00E11179" w:rsidRDefault="00CD12D3">
          <w:pPr>
            <w:pStyle w:val="TOC1"/>
            <w:tabs>
              <w:tab w:val="right" w:pos="10643"/>
            </w:tabs>
          </w:pPr>
          <w:hyperlink w:anchor="_Toc76491">
            <w:r w:rsidR="007E1E99">
              <w:rPr>
                <w:rFonts w:ascii="Arial" w:eastAsia="Arial" w:hAnsi="Arial" w:cs="Arial"/>
                <w:sz w:val="24"/>
              </w:rPr>
              <w:t>Supplier’s information</w:t>
            </w:r>
            <w:r w:rsidR="007E1E99">
              <w:tab/>
            </w:r>
            <w:r w:rsidR="007E1E99">
              <w:fldChar w:fldCharType="begin"/>
            </w:r>
            <w:r w:rsidR="007E1E99">
              <w:instrText>PAGEREF _Toc76491 \h</w:instrText>
            </w:r>
            <w:r w:rsidR="007E1E99">
              <w:fldChar w:fldCharType="separate"/>
            </w:r>
            <w:r w:rsidR="007E1E99">
              <w:rPr>
                <w:rFonts w:ascii="Arial" w:eastAsia="Arial" w:hAnsi="Arial" w:cs="Arial"/>
                <w:sz w:val="24"/>
              </w:rPr>
              <w:t xml:space="preserve">9 </w:t>
            </w:r>
            <w:r w:rsidR="007E1E99">
              <w:fldChar w:fldCharType="end"/>
            </w:r>
          </w:hyperlink>
        </w:p>
        <w:p w:rsidR="00E11179" w:rsidRDefault="00CD12D3">
          <w:pPr>
            <w:pStyle w:val="TOC1"/>
            <w:tabs>
              <w:tab w:val="right" w:pos="10643"/>
            </w:tabs>
          </w:pPr>
          <w:hyperlink w:anchor="_Toc76492">
            <w:r w:rsidR="007E1E99">
              <w:rPr>
                <w:rFonts w:ascii="Arial" w:eastAsia="Arial" w:hAnsi="Arial" w:cs="Arial"/>
                <w:sz w:val="24"/>
              </w:rPr>
              <w:t>Call-Off Contract charges and payment</w:t>
            </w:r>
            <w:r w:rsidR="007E1E99">
              <w:tab/>
            </w:r>
            <w:r w:rsidR="007E1E99">
              <w:fldChar w:fldCharType="begin"/>
            </w:r>
            <w:r w:rsidR="007E1E99">
              <w:instrText>PAGEREF _Toc76492 \h</w:instrText>
            </w:r>
            <w:r w:rsidR="007E1E99">
              <w:fldChar w:fldCharType="separate"/>
            </w:r>
            <w:r w:rsidR="007E1E99">
              <w:rPr>
                <w:rFonts w:ascii="Arial" w:eastAsia="Arial" w:hAnsi="Arial" w:cs="Arial"/>
                <w:sz w:val="24"/>
              </w:rPr>
              <w:t xml:space="preserve">9 </w:t>
            </w:r>
            <w:r w:rsidR="007E1E99">
              <w:fldChar w:fldCharType="end"/>
            </w:r>
          </w:hyperlink>
        </w:p>
        <w:p w:rsidR="00E11179" w:rsidRDefault="00CD12D3">
          <w:pPr>
            <w:pStyle w:val="TOC1"/>
            <w:tabs>
              <w:tab w:val="right" w:pos="10643"/>
            </w:tabs>
          </w:pPr>
          <w:hyperlink w:anchor="_Toc76493">
            <w:r w:rsidR="007E1E99">
              <w:rPr>
                <w:rFonts w:ascii="Arial" w:eastAsia="Arial" w:hAnsi="Arial" w:cs="Arial"/>
                <w:sz w:val="24"/>
              </w:rPr>
              <w:t>Additional Buyer terms</w:t>
            </w:r>
            <w:r w:rsidR="007E1E99">
              <w:tab/>
            </w:r>
            <w:r w:rsidR="007E1E99">
              <w:fldChar w:fldCharType="begin"/>
            </w:r>
            <w:r w:rsidR="007E1E99">
              <w:instrText>PAGEREF _Toc76493 \h</w:instrText>
            </w:r>
            <w:r w:rsidR="007E1E99">
              <w:fldChar w:fldCharType="separate"/>
            </w:r>
            <w:r w:rsidR="007E1E99">
              <w:rPr>
                <w:rFonts w:ascii="Arial" w:eastAsia="Arial" w:hAnsi="Arial" w:cs="Arial"/>
                <w:sz w:val="24"/>
              </w:rPr>
              <w:t xml:space="preserve">9 </w:t>
            </w:r>
            <w:r w:rsidR="007E1E99">
              <w:fldChar w:fldCharType="end"/>
            </w:r>
          </w:hyperlink>
        </w:p>
        <w:p w:rsidR="00E11179" w:rsidRDefault="00CD12D3">
          <w:pPr>
            <w:pStyle w:val="TOC1"/>
            <w:tabs>
              <w:tab w:val="right" w:pos="10643"/>
            </w:tabs>
          </w:pPr>
          <w:hyperlink w:anchor="_Toc76494">
            <w:r w:rsidR="007E1E99">
              <w:rPr>
                <w:rFonts w:ascii="Arial" w:eastAsia="Arial" w:hAnsi="Arial" w:cs="Arial"/>
                <w:b/>
                <w:sz w:val="24"/>
              </w:rPr>
              <w:t>Schedule 1 - Services</w:t>
            </w:r>
            <w:r w:rsidR="007E1E99">
              <w:tab/>
            </w:r>
            <w:r w:rsidR="007E1E99">
              <w:fldChar w:fldCharType="begin"/>
            </w:r>
            <w:r w:rsidR="007E1E99">
              <w:instrText>PAGEREF _Toc76494 \h</w:instrText>
            </w:r>
            <w:r w:rsidR="007E1E99">
              <w:fldChar w:fldCharType="separate"/>
            </w:r>
            <w:r w:rsidR="007E1E99">
              <w:rPr>
                <w:rFonts w:ascii="Arial" w:eastAsia="Arial" w:hAnsi="Arial" w:cs="Arial"/>
                <w:sz w:val="24"/>
              </w:rPr>
              <w:t xml:space="preserve">11 </w:t>
            </w:r>
            <w:r w:rsidR="007E1E99">
              <w:fldChar w:fldCharType="end"/>
            </w:r>
          </w:hyperlink>
        </w:p>
        <w:p w:rsidR="00E11179" w:rsidRDefault="00CD12D3">
          <w:pPr>
            <w:pStyle w:val="TOC1"/>
            <w:tabs>
              <w:tab w:val="right" w:pos="10643"/>
            </w:tabs>
          </w:pPr>
          <w:hyperlink w:anchor="_Toc76495">
            <w:r w:rsidR="007E1E99">
              <w:rPr>
                <w:rFonts w:ascii="Arial" w:eastAsia="Arial" w:hAnsi="Arial" w:cs="Arial"/>
                <w:b/>
                <w:sz w:val="24"/>
              </w:rPr>
              <w:t>Schedule 2 - Call-Off Contract charges</w:t>
            </w:r>
            <w:r w:rsidR="007E1E99">
              <w:tab/>
            </w:r>
            <w:r w:rsidR="007E1E99">
              <w:fldChar w:fldCharType="begin"/>
            </w:r>
            <w:r w:rsidR="007E1E99">
              <w:instrText>PAGEREF _Toc76495 \h</w:instrText>
            </w:r>
            <w:r w:rsidR="007E1E99">
              <w:fldChar w:fldCharType="separate"/>
            </w:r>
            <w:r w:rsidR="007E1E99">
              <w:rPr>
                <w:rFonts w:ascii="Arial" w:eastAsia="Arial" w:hAnsi="Arial" w:cs="Arial"/>
                <w:sz w:val="24"/>
              </w:rPr>
              <w:t xml:space="preserve">11 </w:t>
            </w:r>
            <w:r w:rsidR="007E1E99">
              <w:fldChar w:fldCharType="end"/>
            </w:r>
          </w:hyperlink>
        </w:p>
        <w:p w:rsidR="00E11179" w:rsidRDefault="00CD12D3">
          <w:pPr>
            <w:pStyle w:val="TOC1"/>
            <w:tabs>
              <w:tab w:val="right" w:pos="10643"/>
            </w:tabs>
          </w:pPr>
          <w:hyperlink w:anchor="_Toc76496">
            <w:r w:rsidR="007E1E99">
              <w:rPr>
                <w:rFonts w:ascii="Arial" w:eastAsia="Arial" w:hAnsi="Arial" w:cs="Arial"/>
                <w:b/>
                <w:sz w:val="24"/>
              </w:rPr>
              <w:t>Part B - Terms and conditions</w:t>
            </w:r>
            <w:r w:rsidR="007E1E99">
              <w:tab/>
            </w:r>
            <w:r w:rsidR="007E1E99">
              <w:fldChar w:fldCharType="begin"/>
            </w:r>
            <w:r w:rsidR="007E1E99">
              <w:instrText>PAGEREF _Toc76496 \h</w:instrText>
            </w:r>
            <w:r w:rsidR="007E1E99">
              <w:fldChar w:fldCharType="separate"/>
            </w:r>
            <w:r w:rsidR="007E1E99">
              <w:rPr>
                <w:rFonts w:ascii="Arial" w:eastAsia="Arial" w:hAnsi="Arial" w:cs="Arial"/>
                <w:sz w:val="24"/>
              </w:rPr>
              <w:t xml:space="preserve">12 </w:t>
            </w:r>
            <w:r w:rsidR="007E1E99">
              <w:fldChar w:fldCharType="end"/>
            </w:r>
          </w:hyperlink>
        </w:p>
        <w:p w:rsidR="00E11179" w:rsidRDefault="00CD12D3">
          <w:pPr>
            <w:pStyle w:val="TOC1"/>
            <w:tabs>
              <w:tab w:val="right" w:pos="10643"/>
            </w:tabs>
          </w:pPr>
          <w:hyperlink w:anchor="_Toc76497">
            <w:r w:rsidR="007E1E99">
              <w:rPr>
                <w:rFonts w:ascii="Arial" w:eastAsia="Arial" w:hAnsi="Arial" w:cs="Arial"/>
                <w:sz w:val="24"/>
              </w:rPr>
              <w:t>1. Call-Off Contract start date and length</w:t>
            </w:r>
            <w:r w:rsidR="007E1E99">
              <w:tab/>
            </w:r>
            <w:r w:rsidR="007E1E99">
              <w:fldChar w:fldCharType="begin"/>
            </w:r>
            <w:r w:rsidR="007E1E99">
              <w:instrText>PAGEREF _Toc76497 \h</w:instrText>
            </w:r>
            <w:r w:rsidR="007E1E99">
              <w:fldChar w:fldCharType="separate"/>
            </w:r>
            <w:r w:rsidR="007E1E99">
              <w:rPr>
                <w:rFonts w:ascii="Arial" w:eastAsia="Arial" w:hAnsi="Arial" w:cs="Arial"/>
                <w:sz w:val="24"/>
              </w:rPr>
              <w:t xml:space="preserve">12 </w:t>
            </w:r>
            <w:r w:rsidR="007E1E99">
              <w:fldChar w:fldCharType="end"/>
            </w:r>
          </w:hyperlink>
        </w:p>
        <w:p w:rsidR="00E11179" w:rsidRDefault="00CD12D3">
          <w:pPr>
            <w:pStyle w:val="TOC1"/>
            <w:tabs>
              <w:tab w:val="right" w:pos="10643"/>
            </w:tabs>
          </w:pPr>
          <w:hyperlink w:anchor="_Toc76498">
            <w:r w:rsidR="007E1E99">
              <w:rPr>
                <w:rFonts w:ascii="Arial" w:eastAsia="Arial" w:hAnsi="Arial" w:cs="Arial"/>
                <w:sz w:val="24"/>
              </w:rPr>
              <w:t>2. Incorporation of terms 12</w:t>
            </w:r>
            <w:r w:rsidR="007E1E99">
              <w:rPr>
                <w:rFonts w:ascii="Cambria" w:eastAsia="Cambria" w:hAnsi="Cambria" w:cs="Cambria"/>
              </w:rPr>
              <w:t xml:space="preserve"> </w:t>
            </w:r>
            <w:r w:rsidR="007E1E99">
              <w:tab/>
            </w:r>
            <w:r w:rsidR="007E1E99">
              <w:fldChar w:fldCharType="begin"/>
            </w:r>
            <w:r w:rsidR="007E1E99">
              <w:instrText>PAGEREF _Toc76498 \h</w:instrText>
            </w:r>
            <w:r w:rsidR="007E1E99">
              <w:fldChar w:fldCharType="end"/>
            </w:r>
          </w:hyperlink>
        </w:p>
        <w:p w:rsidR="00E11179" w:rsidRDefault="00CD12D3">
          <w:pPr>
            <w:pStyle w:val="TOC1"/>
            <w:tabs>
              <w:tab w:val="right" w:pos="10643"/>
            </w:tabs>
          </w:pPr>
          <w:hyperlink w:anchor="_Toc76499">
            <w:r w:rsidR="007E1E99">
              <w:rPr>
                <w:rFonts w:ascii="Arial" w:eastAsia="Arial" w:hAnsi="Arial" w:cs="Arial"/>
                <w:sz w:val="24"/>
              </w:rPr>
              <w:t>3. Supply of services</w:t>
            </w:r>
            <w:r w:rsidR="007E1E99">
              <w:tab/>
            </w:r>
            <w:r w:rsidR="007E1E99">
              <w:fldChar w:fldCharType="begin"/>
            </w:r>
            <w:r w:rsidR="007E1E99">
              <w:instrText>PAGEREF _Toc76499 \h</w:instrText>
            </w:r>
            <w:r w:rsidR="007E1E99">
              <w:fldChar w:fldCharType="separate"/>
            </w:r>
            <w:r w:rsidR="007E1E99">
              <w:rPr>
                <w:rFonts w:ascii="Arial" w:eastAsia="Arial" w:hAnsi="Arial" w:cs="Arial"/>
                <w:sz w:val="24"/>
              </w:rPr>
              <w:t xml:space="preserve">13 </w:t>
            </w:r>
            <w:r w:rsidR="007E1E99">
              <w:fldChar w:fldCharType="end"/>
            </w:r>
          </w:hyperlink>
        </w:p>
        <w:p w:rsidR="00E11179" w:rsidRDefault="00CD12D3">
          <w:pPr>
            <w:pStyle w:val="TOC1"/>
            <w:tabs>
              <w:tab w:val="right" w:pos="10643"/>
            </w:tabs>
          </w:pPr>
          <w:hyperlink w:anchor="_Toc76500">
            <w:r w:rsidR="007E1E99">
              <w:rPr>
                <w:rFonts w:ascii="Arial" w:eastAsia="Arial" w:hAnsi="Arial" w:cs="Arial"/>
                <w:sz w:val="24"/>
              </w:rPr>
              <w:t>4. Supplier staff</w:t>
            </w:r>
            <w:r w:rsidR="007E1E99">
              <w:tab/>
            </w:r>
            <w:r w:rsidR="007E1E99">
              <w:fldChar w:fldCharType="begin"/>
            </w:r>
            <w:r w:rsidR="007E1E99">
              <w:instrText>PAGEREF _Toc76500 \h</w:instrText>
            </w:r>
            <w:r w:rsidR="007E1E99">
              <w:fldChar w:fldCharType="separate"/>
            </w:r>
            <w:r w:rsidR="007E1E99">
              <w:rPr>
                <w:rFonts w:ascii="Arial" w:eastAsia="Arial" w:hAnsi="Arial" w:cs="Arial"/>
                <w:sz w:val="24"/>
              </w:rPr>
              <w:t xml:space="preserve">14 </w:t>
            </w:r>
            <w:r w:rsidR="007E1E99">
              <w:fldChar w:fldCharType="end"/>
            </w:r>
          </w:hyperlink>
        </w:p>
        <w:p w:rsidR="00E11179" w:rsidRDefault="00CD12D3">
          <w:pPr>
            <w:pStyle w:val="TOC1"/>
            <w:tabs>
              <w:tab w:val="right" w:pos="10643"/>
            </w:tabs>
          </w:pPr>
          <w:hyperlink w:anchor="_Toc76501">
            <w:r w:rsidR="007E1E99">
              <w:rPr>
                <w:rFonts w:ascii="Arial" w:eastAsia="Arial" w:hAnsi="Arial" w:cs="Arial"/>
                <w:sz w:val="24"/>
              </w:rPr>
              <w:t>5. Due diligence</w:t>
            </w:r>
            <w:r w:rsidR="007E1E99">
              <w:tab/>
            </w:r>
            <w:r w:rsidR="007E1E99">
              <w:fldChar w:fldCharType="begin"/>
            </w:r>
            <w:r w:rsidR="007E1E99">
              <w:instrText>PAGEREF _Toc76501 \h</w:instrText>
            </w:r>
            <w:r w:rsidR="007E1E99">
              <w:fldChar w:fldCharType="separate"/>
            </w:r>
            <w:r w:rsidR="007E1E99">
              <w:rPr>
                <w:rFonts w:ascii="Arial" w:eastAsia="Arial" w:hAnsi="Arial" w:cs="Arial"/>
                <w:sz w:val="24"/>
              </w:rPr>
              <w:t xml:space="preserve">14 </w:t>
            </w:r>
            <w:r w:rsidR="007E1E99">
              <w:fldChar w:fldCharType="end"/>
            </w:r>
          </w:hyperlink>
        </w:p>
        <w:p w:rsidR="00E11179" w:rsidRDefault="00CD12D3">
          <w:pPr>
            <w:pStyle w:val="TOC1"/>
            <w:tabs>
              <w:tab w:val="right" w:pos="10643"/>
            </w:tabs>
          </w:pPr>
          <w:hyperlink w:anchor="_Toc76502">
            <w:r w:rsidR="007E1E99">
              <w:rPr>
                <w:rFonts w:ascii="Arial" w:eastAsia="Arial" w:hAnsi="Arial" w:cs="Arial"/>
                <w:sz w:val="24"/>
              </w:rPr>
              <w:t>6. Business continuity and disaster recovery 15</w:t>
            </w:r>
            <w:r w:rsidR="007E1E99">
              <w:rPr>
                <w:rFonts w:ascii="Cambria" w:eastAsia="Cambria" w:hAnsi="Cambria" w:cs="Cambria"/>
              </w:rPr>
              <w:t xml:space="preserve"> </w:t>
            </w:r>
            <w:r w:rsidR="007E1E99">
              <w:tab/>
            </w:r>
            <w:r w:rsidR="007E1E99">
              <w:fldChar w:fldCharType="begin"/>
            </w:r>
            <w:r w:rsidR="007E1E99">
              <w:instrText>PAGEREF _Toc76502 \h</w:instrText>
            </w:r>
            <w:r w:rsidR="007E1E99">
              <w:fldChar w:fldCharType="end"/>
            </w:r>
          </w:hyperlink>
        </w:p>
        <w:p w:rsidR="00E11179" w:rsidRDefault="00CD12D3">
          <w:pPr>
            <w:pStyle w:val="TOC1"/>
            <w:tabs>
              <w:tab w:val="right" w:pos="10643"/>
            </w:tabs>
          </w:pPr>
          <w:hyperlink w:anchor="_Toc76503">
            <w:r w:rsidR="007E1E99">
              <w:rPr>
                <w:rFonts w:ascii="Arial" w:eastAsia="Arial" w:hAnsi="Arial" w:cs="Arial"/>
                <w:sz w:val="24"/>
              </w:rPr>
              <w:t>7. Payment, VAT and Call-Off Contract charges</w:t>
            </w:r>
            <w:r w:rsidR="007E1E99">
              <w:tab/>
            </w:r>
            <w:r w:rsidR="007E1E99">
              <w:fldChar w:fldCharType="begin"/>
            </w:r>
            <w:r w:rsidR="007E1E99">
              <w:instrText>PAGEREF _Toc76503 \h</w:instrText>
            </w:r>
            <w:r w:rsidR="007E1E99">
              <w:fldChar w:fldCharType="separate"/>
            </w:r>
            <w:r w:rsidR="007E1E99">
              <w:rPr>
                <w:rFonts w:ascii="Arial" w:eastAsia="Arial" w:hAnsi="Arial" w:cs="Arial"/>
                <w:sz w:val="24"/>
              </w:rPr>
              <w:t xml:space="preserve">15 </w:t>
            </w:r>
            <w:r w:rsidR="007E1E99">
              <w:fldChar w:fldCharType="end"/>
            </w:r>
          </w:hyperlink>
        </w:p>
        <w:p w:rsidR="00E11179" w:rsidRDefault="00CD12D3">
          <w:pPr>
            <w:pStyle w:val="TOC1"/>
            <w:tabs>
              <w:tab w:val="right" w:pos="10643"/>
            </w:tabs>
          </w:pPr>
          <w:hyperlink w:anchor="_Toc76504">
            <w:r w:rsidR="007E1E99">
              <w:rPr>
                <w:rFonts w:ascii="Arial" w:eastAsia="Arial" w:hAnsi="Arial" w:cs="Arial"/>
                <w:sz w:val="24"/>
              </w:rPr>
              <w:t>8. Recovery of sums due and right of set-off</w:t>
            </w:r>
            <w:r w:rsidR="007E1E99">
              <w:tab/>
            </w:r>
            <w:r w:rsidR="007E1E99">
              <w:fldChar w:fldCharType="begin"/>
            </w:r>
            <w:r w:rsidR="007E1E99">
              <w:instrText>PAGEREF _Toc76504 \h</w:instrText>
            </w:r>
            <w:r w:rsidR="007E1E99">
              <w:fldChar w:fldCharType="separate"/>
            </w:r>
            <w:r w:rsidR="007E1E99">
              <w:rPr>
                <w:rFonts w:ascii="Arial" w:eastAsia="Arial" w:hAnsi="Arial" w:cs="Arial"/>
                <w:sz w:val="24"/>
              </w:rPr>
              <w:t xml:space="preserve">16 </w:t>
            </w:r>
            <w:r w:rsidR="007E1E99">
              <w:fldChar w:fldCharType="end"/>
            </w:r>
          </w:hyperlink>
        </w:p>
        <w:p w:rsidR="00E11179" w:rsidRDefault="00CD12D3">
          <w:pPr>
            <w:pStyle w:val="TOC1"/>
            <w:tabs>
              <w:tab w:val="right" w:pos="10643"/>
            </w:tabs>
          </w:pPr>
          <w:hyperlink w:anchor="_Toc76505">
            <w:r w:rsidR="007E1E99">
              <w:rPr>
                <w:rFonts w:ascii="Arial" w:eastAsia="Arial" w:hAnsi="Arial" w:cs="Arial"/>
                <w:sz w:val="24"/>
              </w:rPr>
              <w:t>9. Insurance</w:t>
            </w:r>
            <w:r w:rsidR="007E1E99">
              <w:tab/>
            </w:r>
            <w:r w:rsidR="007E1E99">
              <w:fldChar w:fldCharType="begin"/>
            </w:r>
            <w:r w:rsidR="007E1E99">
              <w:instrText>PAGEREF _Toc76505 \h</w:instrText>
            </w:r>
            <w:r w:rsidR="007E1E99">
              <w:fldChar w:fldCharType="separate"/>
            </w:r>
            <w:r w:rsidR="007E1E99">
              <w:rPr>
                <w:rFonts w:ascii="Arial" w:eastAsia="Arial" w:hAnsi="Arial" w:cs="Arial"/>
                <w:sz w:val="24"/>
              </w:rPr>
              <w:t xml:space="preserve">16 </w:t>
            </w:r>
            <w:r w:rsidR="007E1E99">
              <w:fldChar w:fldCharType="end"/>
            </w:r>
          </w:hyperlink>
        </w:p>
        <w:p w:rsidR="00E11179" w:rsidRDefault="00CD12D3">
          <w:pPr>
            <w:pStyle w:val="TOC1"/>
            <w:tabs>
              <w:tab w:val="right" w:pos="10643"/>
            </w:tabs>
          </w:pPr>
          <w:hyperlink w:anchor="_Toc76506">
            <w:r w:rsidR="007E1E99">
              <w:rPr>
                <w:rFonts w:ascii="Arial" w:eastAsia="Arial" w:hAnsi="Arial" w:cs="Arial"/>
                <w:sz w:val="24"/>
              </w:rPr>
              <w:t>10. Confidentiality</w:t>
            </w:r>
            <w:r w:rsidR="007E1E99">
              <w:tab/>
            </w:r>
            <w:r w:rsidR="007E1E99">
              <w:fldChar w:fldCharType="begin"/>
            </w:r>
            <w:r w:rsidR="007E1E99">
              <w:instrText>PAGEREF _Toc76506 \h</w:instrText>
            </w:r>
            <w:r w:rsidR="007E1E99">
              <w:fldChar w:fldCharType="separate"/>
            </w:r>
            <w:r w:rsidR="007E1E99">
              <w:rPr>
                <w:rFonts w:ascii="Arial" w:eastAsia="Arial" w:hAnsi="Arial" w:cs="Arial"/>
                <w:sz w:val="24"/>
              </w:rPr>
              <w:t xml:space="preserve">17 </w:t>
            </w:r>
            <w:r w:rsidR="007E1E99">
              <w:fldChar w:fldCharType="end"/>
            </w:r>
          </w:hyperlink>
        </w:p>
        <w:p w:rsidR="00E11179" w:rsidRDefault="00CD12D3">
          <w:pPr>
            <w:pStyle w:val="TOC1"/>
            <w:tabs>
              <w:tab w:val="right" w:pos="10643"/>
            </w:tabs>
          </w:pPr>
          <w:hyperlink w:anchor="_Toc76507">
            <w:r w:rsidR="007E1E99">
              <w:rPr>
                <w:rFonts w:ascii="Arial" w:eastAsia="Arial" w:hAnsi="Arial" w:cs="Arial"/>
                <w:sz w:val="24"/>
              </w:rPr>
              <w:t>11. Intellectual Property Rights 18</w:t>
            </w:r>
            <w:r w:rsidR="007E1E99">
              <w:rPr>
                <w:rFonts w:ascii="Cambria" w:eastAsia="Cambria" w:hAnsi="Cambria" w:cs="Cambria"/>
              </w:rPr>
              <w:t xml:space="preserve"> </w:t>
            </w:r>
            <w:r w:rsidR="007E1E99">
              <w:tab/>
            </w:r>
            <w:r w:rsidR="007E1E99">
              <w:fldChar w:fldCharType="begin"/>
            </w:r>
            <w:r w:rsidR="007E1E99">
              <w:instrText>PAGEREF _Toc76507 \h</w:instrText>
            </w:r>
            <w:r w:rsidR="007E1E99">
              <w:fldChar w:fldCharType="end"/>
            </w:r>
          </w:hyperlink>
        </w:p>
        <w:p w:rsidR="00E11179" w:rsidRDefault="00CD12D3">
          <w:pPr>
            <w:pStyle w:val="TOC1"/>
            <w:tabs>
              <w:tab w:val="right" w:pos="10643"/>
            </w:tabs>
          </w:pPr>
          <w:hyperlink w:anchor="_Toc76508">
            <w:r w:rsidR="007E1E99">
              <w:rPr>
                <w:rFonts w:ascii="Arial" w:eastAsia="Arial" w:hAnsi="Arial" w:cs="Arial"/>
                <w:sz w:val="24"/>
              </w:rPr>
              <w:t>12. Protection of information</w:t>
            </w:r>
            <w:r w:rsidR="007E1E99">
              <w:tab/>
            </w:r>
            <w:r w:rsidR="007E1E99">
              <w:fldChar w:fldCharType="begin"/>
            </w:r>
            <w:r w:rsidR="007E1E99">
              <w:instrText>PAGEREF _Toc76508 \h</w:instrText>
            </w:r>
            <w:r w:rsidR="007E1E99">
              <w:fldChar w:fldCharType="separate"/>
            </w:r>
            <w:r w:rsidR="007E1E99">
              <w:rPr>
                <w:rFonts w:ascii="Arial" w:eastAsia="Arial" w:hAnsi="Arial" w:cs="Arial"/>
                <w:sz w:val="24"/>
              </w:rPr>
              <w:t xml:space="preserve">19 </w:t>
            </w:r>
            <w:r w:rsidR="007E1E99">
              <w:fldChar w:fldCharType="end"/>
            </w:r>
          </w:hyperlink>
        </w:p>
        <w:p w:rsidR="00E11179" w:rsidRDefault="00CD12D3">
          <w:pPr>
            <w:pStyle w:val="TOC1"/>
            <w:tabs>
              <w:tab w:val="right" w:pos="10643"/>
            </w:tabs>
          </w:pPr>
          <w:hyperlink w:anchor="_Toc76509">
            <w:r w:rsidR="007E1E99">
              <w:rPr>
                <w:rFonts w:ascii="Arial" w:eastAsia="Arial" w:hAnsi="Arial" w:cs="Arial"/>
                <w:sz w:val="24"/>
              </w:rPr>
              <w:t>13. Buyer data</w:t>
            </w:r>
            <w:r w:rsidR="007E1E99">
              <w:tab/>
            </w:r>
            <w:r w:rsidR="007E1E99">
              <w:fldChar w:fldCharType="begin"/>
            </w:r>
            <w:r w:rsidR="007E1E99">
              <w:instrText>PAGEREF _Toc76509 \h</w:instrText>
            </w:r>
            <w:r w:rsidR="007E1E99">
              <w:fldChar w:fldCharType="separate"/>
            </w:r>
            <w:r w:rsidR="007E1E99">
              <w:rPr>
                <w:rFonts w:ascii="Arial" w:eastAsia="Arial" w:hAnsi="Arial" w:cs="Arial"/>
                <w:sz w:val="24"/>
              </w:rPr>
              <w:t xml:space="preserve">19 </w:t>
            </w:r>
            <w:r w:rsidR="007E1E99">
              <w:fldChar w:fldCharType="end"/>
            </w:r>
          </w:hyperlink>
        </w:p>
        <w:p w:rsidR="00E11179" w:rsidRDefault="00CD12D3">
          <w:pPr>
            <w:pStyle w:val="TOC1"/>
            <w:tabs>
              <w:tab w:val="right" w:pos="10643"/>
            </w:tabs>
          </w:pPr>
          <w:hyperlink w:anchor="_Toc76510">
            <w:r w:rsidR="007E1E99">
              <w:rPr>
                <w:rFonts w:ascii="Arial" w:eastAsia="Arial" w:hAnsi="Arial" w:cs="Arial"/>
                <w:sz w:val="24"/>
              </w:rPr>
              <w:t>14. Standards and quality</w:t>
            </w:r>
            <w:r w:rsidR="007E1E99">
              <w:tab/>
            </w:r>
            <w:r w:rsidR="007E1E99">
              <w:fldChar w:fldCharType="begin"/>
            </w:r>
            <w:r w:rsidR="007E1E99">
              <w:instrText>PAGEREF _Toc76510 \h</w:instrText>
            </w:r>
            <w:r w:rsidR="007E1E99">
              <w:fldChar w:fldCharType="separate"/>
            </w:r>
            <w:r w:rsidR="007E1E99">
              <w:rPr>
                <w:rFonts w:ascii="Arial" w:eastAsia="Arial" w:hAnsi="Arial" w:cs="Arial"/>
                <w:sz w:val="24"/>
              </w:rPr>
              <w:t xml:space="preserve">20 </w:t>
            </w:r>
            <w:r w:rsidR="007E1E99">
              <w:fldChar w:fldCharType="end"/>
            </w:r>
          </w:hyperlink>
        </w:p>
        <w:p w:rsidR="00E11179" w:rsidRDefault="00CD12D3">
          <w:pPr>
            <w:pStyle w:val="TOC1"/>
            <w:tabs>
              <w:tab w:val="right" w:pos="10643"/>
            </w:tabs>
          </w:pPr>
          <w:hyperlink w:anchor="_Toc76511">
            <w:r w:rsidR="007E1E99">
              <w:rPr>
                <w:rFonts w:ascii="Arial" w:eastAsia="Arial" w:hAnsi="Arial" w:cs="Arial"/>
                <w:sz w:val="24"/>
              </w:rPr>
              <w:t>15. Open source 21</w:t>
            </w:r>
            <w:r w:rsidR="007E1E99">
              <w:rPr>
                <w:rFonts w:ascii="Cambria" w:eastAsia="Cambria" w:hAnsi="Cambria" w:cs="Cambria"/>
              </w:rPr>
              <w:t xml:space="preserve"> </w:t>
            </w:r>
            <w:r w:rsidR="007E1E99">
              <w:tab/>
            </w:r>
            <w:r w:rsidR="007E1E99">
              <w:fldChar w:fldCharType="begin"/>
            </w:r>
            <w:r w:rsidR="007E1E99">
              <w:instrText>PAGEREF _Toc76511 \h</w:instrText>
            </w:r>
            <w:r w:rsidR="007E1E99">
              <w:fldChar w:fldCharType="end"/>
            </w:r>
          </w:hyperlink>
        </w:p>
        <w:p w:rsidR="00E11179" w:rsidRDefault="00CD12D3">
          <w:pPr>
            <w:pStyle w:val="TOC1"/>
            <w:tabs>
              <w:tab w:val="right" w:pos="10643"/>
            </w:tabs>
          </w:pPr>
          <w:hyperlink w:anchor="_Toc76512">
            <w:r w:rsidR="007E1E99">
              <w:rPr>
                <w:rFonts w:ascii="Arial" w:eastAsia="Arial" w:hAnsi="Arial" w:cs="Arial"/>
                <w:sz w:val="24"/>
              </w:rPr>
              <w:t>16. Security</w:t>
            </w:r>
            <w:r w:rsidR="007E1E99">
              <w:tab/>
            </w:r>
            <w:r w:rsidR="007E1E99">
              <w:fldChar w:fldCharType="begin"/>
            </w:r>
            <w:r w:rsidR="007E1E99">
              <w:instrText>PAGEREF _Toc76512 \h</w:instrText>
            </w:r>
            <w:r w:rsidR="007E1E99">
              <w:fldChar w:fldCharType="separate"/>
            </w:r>
            <w:r w:rsidR="007E1E99">
              <w:rPr>
                <w:rFonts w:ascii="Arial" w:eastAsia="Arial" w:hAnsi="Arial" w:cs="Arial"/>
                <w:sz w:val="24"/>
              </w:rPr>
              <w:t xml:space="preserve">21 </w:t>
            </w:r>
            <w:r w:rsidR="007E1E99">
              <w:fldChar w:fldCharType="end"/>
            </w:r>
          </w:hyperlink>
        </w:p>
        <w:p w:rsidR="00E11179" w:rsidRDefault="00CD12D3">
          <w:pPr>
            <w:pStyle w:val="TOC1"/>
            <w:tabs>
              <w:tab w:val="right" w:pos="10643"/>
            </w:tabs>
          </w:pPr>
          <w:hyperlink w:anchor="_Toc76513">
            <w:r w:rsidR="007E1E99">
              <w:rPr>
                <w:rFonts w:ascii="Arial" w:eastAsia="Arial" w:hAnsi="Arial" w:cs="Arial"/>
                <w:sz w:val="24"/>
              </w:rPr>
              <w:t>17. Guarantee</w:t>
            </w:r>
            <w:r w:rsidR="007E1E99">
              <w:tab/>
            </w:r>
            <w:r w:rsidR="007E1E99">
              <w:fldChar w:fldCharType="begin"/>
            </w:r>
            <w:r w:rsidR="007E1E99">
              <w:instrText>PAGEREF _Toc76513 \h</w:instrText>
            </w:r>
            <w:r w:rsidR="007E1E99">
              <w:fldChar w:fldCharType="separate"/>
            </w:r>
            <w:r w:rsidR="007E1E99">
              <w:rPr>
                <w:rFonts w:ascii="Arial" w:eastAsia="Arial" w:hAnsi="Arial" w:cs="Arial"/>
                <w:sz w:val="24"/>
              </w:rPr>
              <w:t xml:space="preserve">22 </w:t>
            </w:r>
            <w:r w:rsidR="007E1E99">
              <w:fldChar w:fldCharType="end"/>
            </w:r>
          </w:hyperlink>
        </w:p>
        <w:p w:rsidR="00E11179" w:rsidRDefault="00CD12D3">
          <w:pPr>
            <w:pStyle w:val="TOC1"/>
            <w:tabs>
              <w:tab w:val="right" w:pos="10643"/>
            </w:tabs>
          </w:pPr>
          <w:hyperlink w:anchor="_Toc76514">
            <w:r w:rsidR="007E1E99">
              <w:rPr>
                <w:rFonts w:ascii="Arial" w:eastAsia="Arial" w:hAnsi="Arial" w:cs="Arial"/>
                <w:sz w:val="24"/>
              </w:rPr>
              <w:t>18. Ending the Call-Off Contract</w:t>
            </w:r>
            <w:r w:rsidR="007E1E99">
              <w:tab/>
            </w:r>
            <w:r w:rsidR="007E1E99">
              <w:fldChar w:fldCharType="begin"/>
            </w:r>
            <w:r w:rsidR="007E1E99">
              <w:instrText>PAGEREF _Toc76514 \h</w:instrText>
            </w:r>
            <w:r w:rsidR="007E1E99">
              <w:fldChar w:fldCharType="separate"/>
            </w:r>
            <w:r w:rsidR="007E1E99">
              <w:rPr>
                <w:rFonts w:ascii="Arial" w:eastAsia="Arial" w:hAnsi="Arial" w:cs="Arial"/>
                <w:sz w:val="24"/>
              </w:rPr>
              <w:t xml:space="preserve">22 </w:t>
            </w:r>
            <w:r w:rsidR="007E1E99">
              <w:fldChar w:fldCharType="end"/>
            </w:r>
          </w:hyperlink>
        </w:p>
        <w:p w:rsidR="00E11179" w:rsidRDefault="00CD12D3">
          <w:pPr>
            <w:pStyle w:val="TOC1"/>
            <w:tabs>
              <w:tab w:val="right" w:pos="10643"/>
            </w:tabs>
          </w:pPr>
          <w:hyperlink w:anchor="_Toc76515">
            <w:r w:rsidR="007E1E99">
              <w:rPr>
                <w:rFonts w:ascii="Arial" w:eastAsia="Arial" w:hAnsi="Arial" w:cs="Arial"/>
                <w:sz w:val="24"/>
              </w:rPr>
              <w:t>19. Consequences of suspension, ending and expiry</w:t>
            </w:r>
            <w:r w:rsidR="007E1E99">
              <w:tab/>
            </w:r>
            <w:r w:rsidR="007E1E99">
              <w:fldChar w:fldCharType="begin"/>
            </w:r>
            <w:r w:rsidR="007E1E99">
              <w:instrText>PAGEREF _Toc76515 \h</w:instrText>
            </w:r>
            <w:r w:rsidR="007E1E99">
              <w:fldChar w:fldCharType="separate"/>
            </w:r>
            <w:r w:rsidR="007E1E99">
              <w:rPr>
                <w:rFonts w:ascii="Arial" w:eastAsia="Arial" w:hAnsi="Arial" w:cs="Arial"/>
                <w:sz w:val="24"/>
              </w:rPr>
              <w:t xml:space="preserve">23 </w:t>
            </w:r>
            <w:r w:rsidR="007E1E99">
              <w:fldChar w:fldCharType="end"/>
            </w:r>
          </w:hyperlink>
        </w:p>
        <w:p w:rsidR="00E11179" w:rsidRDefault="00CD12D3">
          <w:pPr>
            <w:pStyle w:val="TOC1"/>
            <w:tabs>
              <w:tab w:val="right" w:pos="10643"/>
            </w:tabs>
          </w:pPr>
          <w:hyperlink w:anchor="_Toc76516">
            <w:r w:rsidR="007E1E99">
              <w:rPr>
                <w:rFonts w:ascii="Arial" w:eastAsia="Arial" w:hAnsi="Arial" w:cs="Arial"/>
                <w:sz w:val="24"/>
              </w:rPr>
              <w:t>20. Notices 25</w:t>
            </w:r>
            <w:r w:rsidR="007E1E99">
              <w:rPr>
                <w:rFonts w:ascii="Cambria" w:eastAsia="Cambria" w:hAnsi="Cambria" w:cs="Cambria"/>
              </w:rPr>
              <w:t xml:space="preserve"> </w:t>
            </w:r>
            <w:r w:rsidR="007E1E99">
              <w:tab/>
            </w:r>
            <w:r w:rsidR="007E1E99">
              <w:fldChar w:fldCharType="begin"/>
            </w:r>
            <w:r w:rsidR="007E1E99">
              <w:instrText>PAGEREF _Toc76516 \h</w:instrText>
            </w:r>
            <w:r w:rsidR="007E1E99">
              <w:fldChar w:fldCharType="end"/>
            </w:r>
          </w:hyperlink>
        </w:p>
        <w:p w:rsidR="00E11179" w:rsidRDefault="00CD12D3">
          <w:pPr>
            <w:pStyle w:val="TOC1"/>
            <w:tabs>
              <w:tab w:val="right" w:pos="10643"/>
            </w:tabs>
          </w:pPr>
          <w:hyperlink w:anchor="_Toc76517">
            <w:r w:rsidR="007E1E99">
              <w:rPr>
                <w:rFonts w:ascii="Arial" w:eastAsia="Arial" w:hAnsi="Arial" w:cs="Arial"/>
                <w:sz w:val="24"/>
              </w:rPr>
              <w:t>21. Exit plan</w:t>
            </w:r>
            <w:r w:rsidR="007E1E99">
              <w:tab/>
            </w:r>
            <w:r w:rsidR="007E1E99">
              <w:fldChar w:fldCharType="begin"/>
            </w:r>
            <w:r w:rsidR="007E1E99">
              <w:instrText>PAGEREF _Toc76517 \h</w:instrText>
            </w:r>
            <w:r w:rsidR="007E1E99">
              <w:fldChar w:fldCharType="separate"/>
            </w:r>
            <w:r w:rsidR="007E1E99">
              <w:rPr>
                <w:rFonts w:ascii="Arial" w:eastAsia="Arial" w:hAnsi="Arial" w:cs="Arial"/>
                <w:sz w:val="24"/>
              </w:rPr>
              <w:t xml:space="preserve">25 </w:t>
            </w:r>
            <w:r w:rsidR="007E1E99">
              <w:fldChar w:fldCharType="end"/>
            </w:r>
          </w:hyperlink>
        </w:p>
        <w:p w:rsidR="00E11179" w:rsidRDefault="00CD12D3">
          <w:pPr>
            <w:pStyle w:val="TOC1"/>
            <w:tabs>
              <w:tab w:val="right" w:pos="10643"/>
            </w:tabs>
          </w:pPr>
          <w:hyperlink w:anchor="_Toc76518">
            <w:r w:rsidR="007E1E99">
              <w:rPr>
                <w:rFonts w:ascii="Arial" w:eastAsia="Arial" w:hAnsi="Arial" w:cs="Arial"/>
                <w:sz w:val="24"/>
              </w:rPr>
              <w:t>22. Handover to replacement supplier</w:t>
            </w:r>
            <w:r w:rsidR="007E1E99">
              <w:tab/>
            </w:r>
            <w:r w:rsidR="007E1E99">
              <w:fldChar w:fldCharType="begin"/>
            </w:r>
            <w:r w:rsidR="007E1E99">
              <w:instrText>PAGEREF _Toc76518 \h</w:instrText>
            </w:r>
            <w:r w:rsidR="007E1E99">
              <w:fldChar w:fldCharType="separate"/>
            </w:r>
            <w:r w:rsidR="007E1E99">
              <w:rPr>
                <w:rFonts w:ascii="Arial" w:eastAsia="Arial" w:hAnsi="Arial" w:cs="Arial"/>
                <w:sz w:val="24"/>
              </w:rPr>
              <w:t xml:space="preserve">26 </w:t>
            </w:r>
            <w:r w:rsidR="007E1E99">
              <w:fldChar w:fldCharType="end"/>
            </w:r>
          </w:hyperlink>
        </w:p>
        <w:p w:rsidR="00E11179" w:rsidRDefault="00CD12D3">
          <w:pPr>
            <w:pStyle w:val="TOC1"/>
            <w:tabs>
              <w:tab w:val="right" w:pos="10643"/>
            </w:tabs>
          </w:pPr>
          <w:hyperlink w:anchor="_Toc76519">
            <w:r w:rsidR="007E1E99">
              <w:rPr>
                <w:rFonts w:ascii="Arial" w:eastAsia="Arial" w:hAnsi="Arial" w:cs="Arial"/>
                <w:sz w:val="24"/>
              </w:rPr>
              <w:t>23. Force majeure 27</w:t>
            </w:r>
            <w:r w:rsidR="007E1E99">
              <w:rPr>
                <w:rFonts w:ascii="Cambria" w:eastAsia="Cambria" w:hAnsi="Cambria" w:cs="Cambria"/>
              </w:rPr>
              <w:t xml:space="preserve"> </w:t>
            </w:r>
            <w:r w:rsidR="007E1E99">
              <w:tab/>
            </w:r>
            <w:r w:rsidR="007E1E99">
              <w:fldChar w:fldCharType="begin"/>
            </w:r>
            <w:r w:rsidR="007E1E99">
              <w:instrText>PAGEREF _Toc76519 \h</w:instrText>
            </w:r>
            <w:r w:rsidR="007E1E99">
              <w:fldChar w:fldCharType="end"/>
            </w:r>
          </w:hyperlink>
        </w:p>
        <w:p w:rsidR="00E11179" w:rsidRDefault="00CD12D3">
          <w:pPr>
            <w:pStyle w:val="TOC1"/>
            <w:tabs>
              <w:tab w:val="right" w:pos="10643"/>
            </w:tabs>
          </w:pPr>
          <w:hyperlink w:anchor="_Toc76520">
            <w:r w:rsidR="007E1E99">
              <w:rPr>
                <w:rFonts w:ascii="Arial" w:eastAsia="Arial" w:hAnsi="Arial" w:cs="Arial"/>
                <w:sz w:val="24"/>
              </w:rPr>
              <w:t>24. Liability</w:t>
            </w:r>
            <w:r w:rsidR="007E1E99">
              <w:tab/>
            </w:r>
            <w:r w:rsidR="007E1E99">
              <w:fldChar w:fldCharType="begin"/>
            </w:r>
            <w:r w:rsidR="007E1E99">
              <w:instrText>PAGEREF _Toc76520 \h</w:instrText>
            </w:r>
            <w:r w:rsidR="007E1E99">
              <w:fldChar w:fldCharType="separate"/>
            </w:r>
            <w:r w:rsidR="007E1E99">
              <w:rPr>
                <w:rFonts w:ascii="Arial" w:eastAsia="Arial" w:hAnsi="Arial" w:cs="Arial"/>
                <w:sz w:val="24"/>
              </w:rPr>
              <w:t xml:space="preserve">27 </w:t>
            </w:r>
            <w:r w:rsidR="007E1E99">
              <w:fldChar w:fldCharType="end"/>
            </w:r>
          </w:hyperlink>
        </w:p>
        <w:p w:rsidR="00E11179" w:rsidRDefault="00CD12D3">
          <w:pPr>
            <w:pStyle w:val="TOC1"/>
            <w:tabs>
              <w:tab w:val="right" w:pos="10643"/>
            </w:tabs>
          </w:pPr>
          <w:hyperlink w:anchor="_Toc76521">
            <w:r w:rsidR="007E1E99">
              <w:rPr>
                <w:rFonts w:ascii="Arial" w:eastAsia="Arial" w:hAnsi="Arial" w:cs="Arial"/>
                <w:sz w:val="24"/>
              </w:rPr>
              <w:t>25. Premises</w:t>
            </w:r>
            <w:r w:rsidR="007E1E99">
              <w:tab/>
            </w:r>
            <w:r w:rsidR="007E1E99">
              <w:fldChar w:fldCharType="begin"/>
            </w:r>
            <w:r w:rsidR="007E1E99">
              <w:instrText>PAGEREF _Toc76521 \h</w:instrText>
            </w:r>
            <w:r w:rsidR="007E1E99">
              <w:fldChar w:fldCharType="separate"/>
            </w:r>
            <w:r w:rsidR="007E1E99">
              <w:rPr>
                <w:rFonts w:ascii="Arial" w:eastAsia="Arial" w:hAnsi="Arial" w:cs="Arial"/>
                <w:sz w:val="24"/>
              </w:rPr>
              <w:t xml:space="preserve">27 </w:t>
            </w:r>
            <w:r w:rsidR="007E1E99">
              <w:fldChar w:fldCharType="end"/>
            </w:r>
          </w:hyperlink>
        </w:p>
        <w:p w:rsidR="00E11179" w:rsidRDefault="00CD12D3">
          <w:pPr>
            <w:pStyle w:val="TOC1"/>
            <w:tabs>
              <w:tab w:val="right" w:pos="10643"/>
            </w:tabs>
          </w:pPr>
          <w:hyperlink w:anchor="_Toc76522">
            <w:r w:rsidR="007E1E99">
              <w:rPr>
                <w:rFonts w:ascii="Arial" w:eastAsia="Arial" w:hAnsi="Arial" w:cs="Arial"/>
                <w:sz w:val="24"/>
              </w:rPr>
              <w:t>26. Equipment</w:t>
            </w:r>
            <w:r w:rsidR="007E1E99">
              <w:tab/>
            </w:r>
            <w:r w:rsidR="007E1E99">
              <w:fldChar w:fldCharType="begin"/>
            </w:r>
            <w:r w:rsidR="007E1E99">
              <w:instrText>PAGEREF _Toc76522 \h</w:instrText>
            </w:r>
            <w:r w:rsidR="007E1E99">
              <w:fldChar w:fldCharType="separate"/>
            </w:r>
            <w:r w:rsidR="007E1E99">
              <w:rPr>
                <w:rFonts w:ascii="Arial" w:eastAsia="Arial" w:hAnsi="Arial" w:cs="Arial"/>
                <w:sz w:val="24"/>
              </w:rPr>
              <w:t xml:space="preserve">28 </w:t>
            </w:r>
            <w:r w:rsidR="007E1E99">
              <w:fldChar w:fldCharType="end"/>
            </w:r>
          </w:hyperlink>
        </w:p>
        <w:p w:rsidR="00E11179" w:rsidRDefault="00CD12D3">
          <w:pPr>
            <w:pStyle w:val="TOC1"/>
            <w:tabs>
              <w:tab w:val="right" w:pos="10643"/>
            </w:tabs>
          </w:pPr>
          <w:hyperlink w:anchor="_Toc76523">
            <w:r w:rsidR="007E1E99">
              <w:rPr>
                <w:rFonts w:ascii="Arial" w:eastAsia="Arial" w:hAnsi="Arial" w:cs="Arial"/>
                <w:sz w:val="24"/>
              </w:rPr>
              <w:t>27. The Contracts (Rights of Third Parties) Act 1999</w:t>
            </w:r>
            <w:r w:rsidR="007E1E99">
              <w:tab/>
            </w:r>
            <w:r w:rsidR="007E1E99">
              <w:fldChar w:fldCharType="begin"/>
            </w:r>
            <w:r w:rsidR="007E1E99">
              <w:instrText>PAGEREF _Toc76523 \h</w:instrText>
            </w:r>
            <w:r w:rsidR="007E1E99">
              <w:fldChar w:fldCharType="separate"/>
            </w:r>
            <w:r w:rsidR="007E1E99">
              <w:rPr>
                <w:rFonts w:ascii="Arial" w:eastAsia="Arial" w:hAnsi="Arial" w:cs="Arial"/>
                <w:sz w:val="24"/>
              </w:rPr>
              <w:t xml:space="preserve">28 </w:t>
            </w:r>
            <w:r w:rsidR="007E1E99">
              <w:fldChar w:fldCharType="end"/>
            </w:r>
          </w:hyperlink>
        </w:p>
        <w:p w:rsidR="00E11179" w:rsidRDefault="00CD12D3">
          <w:pPr>
            <w:pStyle w:val="TOC1"/>
            <w:tabs>
              <w:tab w:val="right" w:pos="10643"/>
            </w:tabs>
          </w:pPr>
          <w:hyperlink w:anchor="_Toc76524">
            <w:r w:rsidR="007E1E99">
              <w:rPr>
                <w:rFonts w:ascii="Arial" w:eastAsia="Arial" w:hAnsi="Arial" w:cs="Arial"/>
                <w:sz w:val="24"/>
              </w:rPr>
              <w:t>28. Environmental requirements</w:t>
            </w:r>
            <w:r w:rsidR="007E1E99">
              <w:tab/>
            </w:r>
            <w:r w:rsidR="007E1E99">
              <w:fldChar w:fldCharType="begin"/>
            </w:r>
            <w:r w:rsidR="007E1E99">
              <w:instrText>PAGEREF _Toc76524 \h</w:instrText>
            </w:r>
            <w:r w:rsidR="007E1E99">
              <w:fldChar w:fldCharType="separate"/>
            </w:r>
            <w:r w:rsidR="007E1E99">
              <w:rPr>
                <w:rFonts w:ascii="Arial" w:eastAsia="Arial" w:hAnsi="Arial" w:cs="Arial"/>
                <w:sz w:val="24"/>
              </w:rPr>
              <w:t xml:space="preserve">28 </w:t>
            </w:r>
            <w:r w:rsidR="007E1E99">
              <w:fldChar w:fldCharType="end"/>
            </w:r>
          </w:hyperlink>
        </w:p>
        <w:p w:rsidR="00E11179" w:rsidRDefault="00CD12D3">
          <w:pPr>
            <w:pStyle w:val="TOC1"/>
            <w:tabs>
              <w:tab w:val="right" w:pos="10643"/>
            </w:tabs>
          </w:pPr>
          <w:hyperlink w:anchor="_Toc76525">
            <w:r w:rsidR="007E1E99">
              <w:rPr>
                <w:rFonts w:ascii="Arial" w:eastAsia="Arial" w:hAnsi="Arial" w:cs="Arial"/>
                <w:sz w:val="24"/>
              </w:rPr>
              <w:t>29. The Employment Regulations (TUPE)</w:t>
            </w:r>
            <w:r w:rsidR="007E1E99">
              <w:tab/>
            </w:r>
            <w:r w:rsidR="007E1E99">
              <w:fldChar w:fldCharType="begin"/>
            </w:r>
            <w:r w:rsidR="007E1E99">
              <w:instrText>PAGEREF _Toc76525 \h</w:instrText>
            </w:r>
            <w:r w:rsidR="007E1E99">
              <w:fldChar w:fldCharType="separate"/>
            </w:r>
            <w:r w:rsidR="007E1E99">
              <w:rPr>
                <w:rFonts w:ascii="Arial" w:eastAsia="Arial" w:hAnsi="Arial" w:cs="Arial"/>
                <w:sz w:val="24"/>
              </w:rPr>
              <w:t xml:space="preserve">28 </w:t>
            </w:r>
            <w:r w:rsidR="007E1E99">
              <w:fldChar w:fldCharType="end"/>
            </w:r>
          </w:hyperlink>
        </w:p>
        <w:p w:rsidR="00E11179" w:rsidRDefault="00CD12D3">
          <w:pPr>
            <w:pStyle w:val="TOC1"/>
            <w:tabs>
              <w:tab w:val="right" w:pos="10643"/>
            </w:tabs>
          </w:pPr>
          <w:hyperlink w:anchor="_Toc76526">
            <w:r w:rsidR="007E1E99">
              <w:rPr>
                <w:rFonts w:ascii="Arial" w:eastAsia="Arial" w:hAnsi="Arial" w:cs="Arial"/>
                <w:sz w:val="24"/>
              </w:rPr>
              <w:t>30. Additional G-Cloud services</w:t>
            </w:r>
            <w:r w:rsidR="007E1E99">
              <w:tab/>
            </w:r>
            <w:r w:rsidR="007E1E99">
              <w:fldChar w:fldCharType="begin"/>
            </w:r>
            <w:r w:rsidR="007E1E99">
              <w:instrText>PAGEREF _Toc76526 \h</w:instrText>
            </w:r>
            <w:r w:rsidR="007E1E99">
              <w:fldChar w:fldCharType="separate"/>
            </w:r>
            <w:r w:rsidR="007E1E99">
              <w:rPr>
                <w:rFonts w:ascii="Arial" w:eastAsia="Arial" w:hAnsi="Arial" w:cs="Arial"/>
                <w:sz w:val="24"/>
              </w:rPr>
              <w:t xml:space="preserve">30 </w:t>
            </w:r>
            <w:r w:rsidR="007E1E99">
              <w:fldChar w:fldCharType="end"/>
            </w:r>
          </w:hyperlink>
        </w:p>
        <w:p w:rsidR="00E11179" w:rsidRDefault="00CD12D3">
          <w:pPr>
            <w:pStyle w:val="TOC1"/>
            <w:tabs>
              <w:tab w:val="right" w:pos="10643"/>
            </w:tabs>
          </w:pPr>
          <w:hyperlink w:anchor="_Toc76527">
            <w:r w:rsidR="007E1E99">
              <w:rPr>
                <w:rFonts w:ascii="Arial" w:eastAsia="Arial" w:hAnsi="Arial" w:cs="Arial"/>
                <w:sz w:val="24"/>
              </w:rPr>
              <w:t>31. Collaboration</w:t>
            </w:r>
            <w:r w:rsidR="007E1E99">
              <w:tab/>
            </w:r>
            <w:r w:rsidR="007E1E99">
              <w:fldChar w:fldCharType="begin"/>
            </w:r>
            <w:r w:rsidR="007E1E99">
              <w:instrText>PAGEREF _Toc76527 \h</w:instrText>
            </w:r>
            <w:r w:rsidR="007E1E99">
              <w:fldChar w:fldCharType="separate"/>
            </w:r>
            <w:r w:rsidR="007E1E99">
              <w:rPr>
                <w:rFonts w:ascii="Arial" w:eastAsia="Arial" w:hAnsi="Arial" w:cs="Arial"/>
                <w:sz w:val="24"/>
              </w:rPr>
              <w:t xml:space="preserve">30 </w:t>
            </w:r>
            <w:r w:rsidR="007E1E99">
              <w:fldChar w:fldCharType="end"/>
            </w:r>
          </w:hyperlink>
        </w:p>
        <w:p w:rsidR="00E11179" w:rsidRDefault="00CD12D3">
          <w:pPr>
            <w:pStyle w:val="TOC1"/>
            <w:tabs>
              <w:tab w:val="right" w:pos="10643"/>
            </w:tabs>
          </w:pPr>
          <w:hyperlink w:anchor="_Toc76528">
            <w:r w:rsidR="007E1E99">
              <w:rPr>
                <w:rFonts w:ascii="Arial" w:eastAsia="Arial" w:hAnsi="Arial" w:cs="Arial"/>
                <w:sz w:val="24"/>
              </w:rPr>
              <w:t>32. Variation process</w:t>
            </w:r>
            <w:r w:rsidR="007E1E99">
              <w:tab/>
            </w:r>
            <w:r w:rsidR="007E1E99">
              <w:fldChar w:fldCharType="begin"/>
            </w:r>
            <w:r w:rsidR="007E1E99">
              <w:instrText>PAGEREF _Toc76528 \h</w:instrText>
            </w:r>
            <w:r w:rsidR="007E1E99">
              <w:fldChar w:fldCharType="separate"/>
            </w:r>
            <w:r w:rsidR="007E1E99">
              <w:rPr>
                <w:rFonts w:ascii="Arial" w:eastAsia="Arial" w:hAnsi="Arial" w:cs="Arial"/>
                <w:sz w:val="24"/>
              </w:rPr>
              <w:t xml:space="preserve">30 </w:t>
            </w:r>
            <w:r w:rsidR="007E1E99">
              <w:fldChar w:fldCharType="end"/>
            </w:r>
          </w:hyperlink>
        </w:p>
        <w:p w:rsidR="00E11179" w:rsidRDefault="00CD12D3">
          <w:pPr>
            <w:pStyle w:val="TOC1"/>
            <w:tabs>
              <w:tab w:val="right" w:pos="10643"/>
            </w:tabs>
          </w:pPr>
          <w:hyperlink w:anchor="_Toc76529">
            <w:r w:rsidR="007E1E99">
              <w:rPr>
                <w:rFonts w:ascii="Arial" w:eastAsia="Arial" w:hAnsi="Arial" w:cs="Arial"/>
                <w:sz w:val="24"/>
              </w:rPr>
              <w:t>33. Data Protection Legislation (GDPR)</w:t>
            </w:r>
            <w:r w:rsidR="007E1E99">
              <w:tab/>
            </w:r>
            <w:r w:rsidR="007E1E99">
              <w:fldChar w:fldCharType="begin"/>
            </w:r>
            <w:r w:rsidR="007E1E99">
              <w:instrText>PAGEREF _Toc76529 \h</w:instrText>
            </w:r>
            <w:r w:rsidR="007E1E99">
              <w:fldChar w:fldCharType="separate"/>
            </w:r>
            <w:r w:rsidR="007E1E99">
              <w:rPr>
                <w:rFonts w:ascii="Arial" w:eastAsia="Arial" w:hAnsi="Arial" w:cs="Arial"/>
                <w:sz w:val="24"/>
              </w:rPr>
              <w:t xml:space="preserve">31 </w:t>
            </w:r>
            <w:r w:rsidR="007E1E99">
              <w:fldChar w:fldCharType="end"/>
            </w:r>
          </w:hyperlink>
        </w:p>
        <w:p w:rsidR="00E11179" w:rsidRDefault="007E1E99">
          <w:r>
            <w:fldChar w:fldCharType="end"/>
          </w:r>
        </w:p>
      </w:sdtContent>
    </w:sdt>
    <w:p w:rsidR="00E11179" w:rsidRDefault="00E11179">
      <w:pPr>
        <w:spacing w:after="0" w:line="259" w:lineRule="auto"/>
        <w:ind w:left="-708" w:right="11352" w:firstLine="0"/>
      </w:pPr>
    </w:p>
    <w:p w:rsidR="00E11179" w:rsidRDefault="007E1E99">
      <w:pPr>
        <w:tabs>
          <w:tab w:val="right" w:pos="10643"/>
        </w:tabs>
        <w:spacing w:after="160" w:line="259" w:lineRule="auto"/>
        <w:ind w:left="0" w:firstLine="0"/>
      </w:pPr>
      <w:r>
        <w:rPr>
          <w:b/>
        </w:rPr>
        <w:t>Schedule 3 - Collaboration agreement</w:t>
      </w:r>
      <w:r>
        <w:rPr>
          <w:b/>
        </w:rPr>
        <w:tab/>
      </w:r>
      <w:r>
        <w:t>3</w:t>
      </w:r>
      <w:r>
        <w:rPr>
          <w:rFonts w:ascii="Cambria" w:eastAsia="Cambria" w:hAnsi="Cambria" w:cs="Cambria"/>
        </w:rPr>
        <w:t>0</w:t>
      </w:r>
      <w:r>
        <w:rPr>
          <w:rFonts w:ascii="Calibri" w:eastAsia="Calibri" w:hAnsi="Calibri" w:cs="Calibri"/>
        </w:rPr>
        <w:t>​</w:t>
      </w:r>
      <w:r>
        <w:rPr>
          <w:rFonts w:ascii="Cambria" w:eastAsia="Cambria" w:hAnsi="Cambria" w:cs="Cambria"/>
        </w:rPr>
        <w:t xml:space="preserve"> </w:t>
      </w:r>
    </w:p>
    <w:p w:rsidR="00E11179" w:rsidRDefault="007E1E99">
      <w:pPr>
        <w:tabs>
          <w:tab w:val="right" w:pos="10643"/>
        </w:tabs>
        <w:spacing w:after="160" w:line="259" w:lineRule="auto"/>
        <w:ind w:left="0" w:firstLine="0"/>
      </w:pPr>
      <w:r>
        <w:rPr>
          <w:b/>
        </w:rPr>
        <w:t>Schedule 4 - Alternative clauses</w:t>
      </w:r>
      <w:r>
        <w:rPr>
          <w:b/>
        </w:rPr>
        <w:tab/>
      </w:r>
      <w:r>
        <w:rPr>
          <w:rFonts w:ascii="Cambria" w:eastAsia="Cambria" w:hAnsi="Cambria" w:cs="Cambria"/>
        </w:rPr>
        <w:t xml:space="preserve">30 </w:t>
      </w:r>
    </w:p>
    <w:p w:rsidR="00E11179" w:rsidRDefault="007E1E99">
      <w:pPr>
        <w:numPr>
          <w:ilvl w:val="0"/>
          <w:numId w:val="1"/>
        </w:numPr>
        <w:spacing w:after="160" w:line="259" w:lineRule="auto"/>
        <w:ind w:hanging="267"/>
      </w:pPr>
      <w:r>
        <w:rPr>
          <w:b/>
        </w:rPr>
        <w:t>Introduction</w:t>
      </w:r>
      <w:r>
        <w:rPr>
          <w:b/>
        </w:rPr>
        <w:tab/>
      </w:r>
      <w:r>
        <w:rPr>
          <w:rFonts w:ascii="Cambria" w:eastAsia="Cambria" w:hAnsi="Cambria" w:cs="Cambria"/>
        </w:rPr>
        <w:t xml:space="preserve">30 </w:t>
      </w:r>
    </w:p>
    <w:p w:rsidR="00E11179" w:rsidRDefault="007E1E99">
      <w:pPr>
        <w:numPr>
          <w:ilvl w:val="0"/>
          <w:numId w:val="1"/>
        </w:numPr>
        <w:spacing w:after="160" w:line="259" w:lineRule="auto"/>
        <w:ind w:hanging="267"/>
      </w:pPr>
      <w:r>
        <w:rPr>
          <w:b/>
        </w:rPr>
        <w:t>Clauses selected</w:t>
      </w:r>
      <w:r>
        <w:rPr>
          <w:b/>
        </w:rPr>
        <w:tab/>
      </w:r>
      <w:r>
        <w:rPr>
          <w:rFonts w:ascii="Cambria" w:eastAsia="Cambria" w:hAnsi="Cambria" w:cs="Cambria"/>
        </w:rPr>
        <w:t xml:space="preserve">30 </w:t>
      </w:r>
    </w:p>
    <w:p w:rsidR="00E11179" w:rsidRDefault="007E1E99">
      <w:pPr>
        <w:numPr>
          <w:ilvl w:val="1"/>
          <w:numId w:val="1"/>
        </w:numPr>
        <w:spacing w:after="160" w:line="259" w:lineRule="auto"/>
        <w:ind w:hanging="480"/>
      </w:pPr>
      <w:r>
        <w:lastRenderedPageBreak/>
        <w:t>Discrimination</w:t>
      </w:r>
      <w:r>
        <w:tab/>
      </w:r>
      <w:r>
        <w:rPr>
          <w:rFonts w:ascii="Cambria" w:eastAsia="Cambria" w:hAnsi="Cambria" w:cs="Cambria"/>
        </w:rPr>
        <w:t xml:space="preserve">30 </w:t>
      </w:r>
    </w:p>
    <w:p w:rsidR="00E11179" w:rsidRDefault="007E1E99">
      <w:pPr>
        <w:numPr>
          <w:ilvl w:val="1"/>
          <w:numId w:val="1"/>
        </w:numPr>
        <w:spacing w:after="160" w:line="259" w:lineRule="auto"/>
        <w:ind w:hanging="480"/>
      </w:pPr>
      <w:r>
        <w:t>Equality policies and practices</w:t>
      </w:r>
      <w:r>
        <w:tab/>
      </w:r>
      <w:r>
        <w:rPr>
          <w:rFonts w:ascii="Cambria" w:eastAsia="Cambria" w:hAnsi="Cambria" w:cs="Cambria"/>
        </w:rPr>
        <w:t xml:space="preserve">31 </w:t>
      </w:r>
    </w:p>
    <w:p w:rsidR="00E11179" w:rsidRDefault="007E1E99">
      <w:pPr>
        <w:numPr>
          <w:ilvl w:val="1"/>
          <w:numId w:val="1"/>
        </w:numPr>
        <w:spacing w:after="160" w:line="259" w:lineRule="auto"/>
        <w:ind w:hanging="480"/>
      </w:pPr>
      <w:r>
        <w:t>Equality</w:t>
      </w:r>
      <w:r>
        <w:tab/>
      </w:r>
      <w:r>
        <w:rPr>
          <w:rFonts w:ascii="Cambria" w:eastAsia="Cambria" w:hAnsi="Cambria" w:cs="Cambria"/>
        </w:rPr>
        <w:t xml:space="preserve">32 </w:t>
      </w:r>
    </w:p>
    <w:p w:rsidR="00E11179" w:rsidRDefault="007E1E99">
      <w:pPr>
        <w:numPr>
          <w:ilvl w:val="1"/>
          <w:numId w:val="1"/>
        </w:numPr>
        <w:spacing w:after="160" w:line="259" w:lineRule="auto"/>
        <w:ind w:hanging="480"/>
      </w:pPr>
      <w:r>
        <w:t>Health and safety</w:t>
      </w:r>
      <w:r>
        <w:tab/>
      </w:r>
      <w:r>
        <w:rPr>
          <w:rFonts w:ascii="Cambria" w:eastAsia="Cambria" w:hAnsi="Cambria" w:cs="Cambria"/>
        </w:rPr>
        <w:t xml:space="preserve">32 </w:t>
      </w:r>
    </w:p>
    <w:p w:rsidR="00E11179" w:rsidRDefault="007E1E99">
      <w:pPr>
        <w:numPr>
          <w:ilvl w:val="1"/>
          <w:numId w:val="1"/>
        </w:numPr>
        <w:spacing w:after="160" w:line="259" w:lineRule="auto"/>
        <w:ind w:hanging="480"/>
      </w:pPr>
      <w:r>
        <w:t>Criminal damage</w:t>
      </w:r>
      <w:r>
        <w:tab/>
      </w:r>
      <w:r>
        <w:rPr>
          <w:rFonts w:ascii="Cambria" w:eastAsia="Cambria" w:hAnsi="Cambria" w:cs="Cambria"/>
        </w:rPr>
        <w:t xml:space="preserve">33 </w:t>
      </w:r>
    </w:p>
    <w:tbl>
      <w:tblPr>
        <w:tblStyle w:val="TableGrid"/>
        <w:tblW w:w="10693" w:type="dxa"/>
        <w:tblInd w:w="0" w:type="dxa"/>
        <w:tblLook w:val="04A0" w:firstRow="1" w:lastRow="0" w:firstColumn="1" w:lastColumn="0" w:noHBand="0" w:noVBand="1"/>
      </w:tblPr>
      <w:tblGrid>
        <w:gridCol w:w="10389"/>
        <w:gridCol w:w="304"/>
      </w:tblGrid>
      <w:tr w:rsidR="00E11179">
        <w:trPr>
          <w:trHeight w:val="338"/>
        </w:trPr>
        <w:tc>
          <w:tcPr>
            <w:tcW w:w="10389" w:type="dxa"/>
            <w:tcBorders>
              <w:top w:val="nil"/>
              <w:left w:val="nil"/>
              <w:bottom w:val="nil"/>
              <w:right w:val="nil"/>
            </w:tcBorders>
          </w:tcPr>
          <w:p w:rsidR="00E11179" w:rsidRDefault="007E1E99">
            <w:pPr>
              <w:spacing w:after="0" w:line="259" w:lineRule="auto"/>
              <w:ind w:left="0" w:firstLine="0"/>
            </w:pPr>
            <w:r>
              <w:rPr>
                <w:b/>
              </w:rPr>
              <w:t>Schedule 5 - Guarantee</w:t>
            </w:r>
          </w:p>
        </w:tc>
        <w:tc>
          <w:tcPr>
            <w:tcW w:w="304" w:type="dxa"/>
            <w:tcBorders>
              <w:top w:val="nil"/>
              <w:left w:val="nil"/>
              <w:bottom w:val="nil"/>
              <w:right w:val="nil"/>
            </w:tcBorders>
          </w:tcPr>
          <w:p w:rsidR="00E11179" w:rsidRDefault="007E1E99">
            <w:pPr>
              <w:spacing w:after="0" w:line="259" w:lineRule="auto"/>
              <w:ind w:left="0" w:firstLine="0"/>
              <w:jc w:val="both"/>
            </w:pPr>
            <w:r>
              <w:rPr>
                <w:rFonts w:ascii="Cambria" w:eastAsia="Cambria" w:hAnsi="Cambria" w:cs="Cambria"/>
                <w:sz w:val="22"/>
              </w:rPr>
              <w:t xml:space="preserve">33 </w:t>
            </w:r>
          </w:p>
        </w:tc>
      </w:tr>
      <w:tr w:rsidR="00E11179">
        <w:trPr>
          <w:trHeight w:val="435"/>
        </w:trPr>
        <w:tc>
          <w:tcPr>
            <w:tcW w:w="10389" w:type="dxa"/>
            <w:tcBorders>
              <w:top w:val="nil"/>
              <w:left w:val="nil"/>
              <w:bottom w:val="nil"/>
              <w:right w:val="nil"/>
            </w:tcBorders>
          </w:tcPr>
          <w:p w:rsidR="00E11179" w:rsidRDefault="007E1E99">
            <w:pPr>
              <w:spacing w:after="0" w:line="259" w:lineRule="auto"/>
              <w:ind w:left="0" w:firstLine="0"/>
            </w:pPr>
            <w:r>
              <w:rPr>
                <w:b/>
              </w:rPr>
              <w:t>Schedule 6 - Glossary and interpretations</w:t>
            </w:r>
          </w:p>
        </w:tc>
        <w:tc>
          <w:tcPr>
            <w:tcW w:w="304" w:type="dxa"/>
            <w:tcBorders>
              <w:top w:val="nil"/>
              <w:left w:val="nil"/>
              <w:bottom w:val="nil"/>
              <w:right w:val="nil"/>
            </w:tcBorders>
          </w:tcPr>
          <w:p w:rsidR="00E11179" w:rsidRDefault="007E1E99">
            <w:pPr>
              <w:spacing w:after="0" w:line="259" w:lineRule="auto"/>
              <w:ind w:left="0" w:firstLine="0"/>
              <w:jc w:val="both"/>
            </w:pPr>
            <w:r>
              <w:rPr>
                <w:rFonts w:ascii="Cambria" w:eastAsia="Cambria" w:hAnsi="Cambria" w:cs="Cambria"/>
                <w:sz w:val="22"/>
              </w:rPr>
              <w:t xml:space="preserve">33 </w:t>
            </w:r>
          </w:p>
        </w:tc>
      </w:tr>
      <w:tr w:rsidR="00E11179">
        <w:trPr>
          <w:trHeight w:val="435"/>
        </w:trPr>
        <w:tc>
          <w:tcPr>
            <w:tcW w:w="10389" w:type="dxa"/>
            <w:tcBorders>
              <w:top w:val="nil"/>
              <w:left w:val="nil"/>
              <w:bottom w:val="nil"/>
              <w:right w:val="nil"/>
            </w:tcBorders>
          </w:tcPr>
          <w:p w:rsidR="00E11179" w:rsidRDefault="007E1E99">
            <w:pPr>
              <w:spacing w:after="0" w:line="259" w:lineRule="auto"/>
              <w:ind w:left="0" w:firstLine="0"/>
            </w:pPr>
            <w:r>
              <w:rPr>
                <w:b/>
              </w:rPr>
              <w:t>Schedule 7 - GDPR Information</w:t>
            </w:r>
          </w:p>
        </w:tc>
        <w:tc>
          <w:tcPr>
            <w:tcW w:w="304" w:type="dxa"/>
            <w:tcBorders>
              <w:top w:val="nil"/>
              <w:left w:val="nil"/>
              <w:bottom w:val="nil"/>
              <w:right w:val="nil"/>
            </w:tcBorders>
          </w:tcPr>
          <w:p w:rsidR="00E11179" w:rsidRDefault="007E1E99">
            <w:pPr>
              <w:spacing w:after="0" w:line="259" w:lineRule="auto"/>
              <w:ind w:left="0" w:firstLine="0"/>
              <w:jc w:val="both"/>
            </w:pPr>
            <w:r>
              <w:rPr>
                <w:rFonts w:ascii="Cambria" w:eastAsia="Cambria" w:hAnsi="Cambria" w:cs="Cambria"/>
                <w:sz w:val="22"/>
              </w:rPr>
              <w:t xml:space="preserve">42 </w:t>
            </w:r>
          </w:p>
        </w:tc>
      </w:tr>
      <w:tr w:rsidR="00E11179">
        <w:trPr>
          <w:trHeight w:val="338"/>
        </w:trPr>
        <w:tc>
          <w:tcPr>
            <w:tcW w:w="10389" w:type="dxa"/>
            <w:tcBorders>
              <w:top w:val="nil"/>
              <w:left w:val="nil"/>
              <w:bottom w:val="nil"/>
              <w:right w:val="nil"/>
            </w:tcBorders>
          </w:tcPr>
          <w:p w:rsidR="00E11179" w:rsidRDefault="007E1E99">
            <w:pPr>
              <w:spacing w:after="0" w:line="259" w:lineRule="auto"/>
              <w:ind w:left="0" w:firstLine="0"/>
            </w:pPr>
            <w:r>
              <w:rPr>
                <w:b/>
              </w:rPr>
              <w:t>Annex 1 - Processing Personal Data</w:t>
            </w:r>
          </w:p>
        </w:tc>
        <w:tc>
          <w:tcPr>
            <w:tcW w:w="304" w:type="dxa"/>
            <w:tcBorders>
              <w:top w:val="nil"/>
              <w:left w:val="nil"/>
              <w:bottom w:val="nil"/>
              <w:right w:val="nil"/>
            </w:tcBorders>
          </w:tcPr>
          <w:p w:rsidR="00E11179" w:rsidRDefault="007E1E99">
            <w:pPr>
              <w:spacing w:after="0" w:line="259" w:lineRule="auto"/>
              <w:ind w:left="0" w:firstLine="0"/>
              <w:jc w:val="both"/>
            </w:pPr>
            <w:r>
              <w:rPr>
                <w:rFonts w:ascii="Cambria" w:eastAsia="Cambria" w:hAnsi="Cambria" w:cs="Cambria"/>
                <w:sz w:val="22"/>
              </w:rPr>
              <w:t xml:space="preserve">42 </w:t>
            </w:r>
          </w:p>
        </w:tc>
      </w:tr>
    </w:tbl>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0" w:line="259" w:lineRule="auto"/>
        <w:ind w:left="0" w:firstLine="0"/>
      </w:pPr>
      <w:r>
        <w:lastRenderedPageBreak/>
        <w:t xml:space="preserve"> </w:t>
      </w:r>
    </w:p>
    <w:p w:rsidR="00E11179" w:rsidRDefault="007E1E99">
      <w:pPr>
        <w:spacing w:after="233" w:line="259" w:lineRule="auto"/>
        <w:ind w:left="0" w:firstLine="0"/>
      </w:pPr>
      <w:r>
        <w:rPr>
          <w:b/>
          <w:sz w:val="32"/>
        </w:rPr>
        <w:t xml:space="preserve"> </w:t>
      </w:r>
    </w:p>
    <w:p w:rsidR="00E11179" w:rsidRDefault="007E1E99">
      <w:pPr>
        <w:spacing w:after="233" w:line="259" w:lineRule="auto"/>
        <w:ind w:left="0" w:firstLine="0"/>
      </w:pPr>
      <w:r>
        <w:rPr>
          <w:b/>
          <w:sz w:val="32"/>
        </w:rPr>
        <w:t xml:space="preserve"> </w:t>
      </w:r>
    </w:p>
    <w:p w:rsidR="00E11179" w:rsidRDefault="007E1E99">
      <w:pPr>
        <w:pStyle w:val="Heading1"/>
        <w:spacing w:after="158"/>
        <w:ind w:left="-5"/>
      </w:pPr>
      <w:bookmarkStart w:id="2" w:name="_Toc76487"/>
      <w:r>
        <w:rPr>
          <w:sz w:val="32"/>
        </w:rPr>
        <w:t xml:space="preserve">Part A - Order Form  </w:t>
      </w:r>
      <w:bookmarkEnd w:id="2"/>
    </w:p>
    <w:p w:rsidR="00E11179" w:rsidRDefault="007E1E99">
      <w:pPr>
        <w:spacing w:after="0"/>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10629" w:type="dxa"/>
        <w:tblInd w:w="-100" w:type="dxa"/>
        <w:tblCellMar>
          <w:top w:w="162" w:type="dxa"/>
          <w:left w:w="100" w:type="dxa"/>
          <w:right w:w="115" w:type="dxa"/>
        </w:tblCellMar>
        <w:tblLook w:val="04A0" w:firstRow="1" w:lastRow="0" w:firstColumn="1" w:lastColumn="0" w:noHBand="0" w:noVBand="1"/>
      </w:tblPr>
      <w:tblGrid>
        <w:gridCol w:w="5314"/>
        <w:gridCol w:w="5315"/>
      </w:tblGrid>
      <w:tr w:rsidR="00E11179">
        <w:trPr>
          <w:trHeight w:val="555"/>
        </w:trPr>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rPr>
              <w:t xml:space="preserve">Digital Marketplace service ID number: </w:t>
            </w:r>
          </w:p>
        </w:tc>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t xml:space="preserve">424355294891607 </w:t>
            </w:r>
          </w:p>
        </w:tc>
      </w:tr>
      <w:tr w:rsidR="00E11179">
        <w:trPr>
          <w:trHeight w:val="555"/>
        </w:trPr>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rPr>
              <w:t xml:space="preserve">Call-Off Contract reference: </w:t>
            </w:r>
          </w:p>
        </w:tc>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color w:val="222222"/>
                <w:sz w:val="22"/>
              </w:rPr>
              <w:t>00576317</w:t>
            </w:r>
            <w:r>
              <w:t xml:space="preserve"> </w:t>
            </w:r>
          </w:p>
        </w:tc>
      </w:tr>
      <w:tr w:rsidR="00E11179">
        <w:trPr>
          <w:trHeight w:val="886"/>
        </w:trPr>
        <w:tc>
          <w:tcPr>
            <w:tcW w:w="5314"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rPr>
              <w:t xml:space="preserve">Call-Off Contract title: </w:t>
            </w:r>
          </w:p>
        </w:tc>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32" w:line="259" w:lineRule="auto"/>
              <w:ind w:left="0" w:firstLine="0"/>
            </w:pPr>
            <w:r>
              <w:t xml:space="preserve">Government Shared Services </w:t>
            </w:r>
            <w:proofErr w:type="spellStart"/>
            <w:r>
              <w:t>Kahootz</w:t>
            </w:r>
            <w:proofErr w:type="spellEnd"/>
            <w:r>
              <w:t xml:space="preserve"> </w:t>
            </w:r>
          </w:p>
          <w:p w:rsidR="00E11179" w:rsidRDefault="007E1E99">
            <w:pPr>
              <w:spacing w:after="0" w:line="259" w:lineRule="auto"/>
              <w:ind w:left="0" w:firstLine="0"/>
            </w:pPr>
            <w:r>
              <w:t xml:space="preserve">Licences </w:t>
            </w:r>
          </w:p>
        </w:tc>
      </w:tr>
      <w:tr w:rsidR="00E11179">
        <w:trPr>
          <w:trHeight w:val="555"/>
        </w:trPr>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rPr>
              <w:t xml:space="preserve">Call-Off Contract description: </w:t>
            </w:r>
          </w:p>
        </w:tc>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proofErr w:type="spellStart"/>
            <w:r>
              <w:t>Kahootz</w:t>
            </w:r>
            <w:proofErr w:type="spellEnd"/>
            <w:r>
              <w:t xml:space="preserve"> licenses for 2020/2021 </w:t>
            </w:r>
          </w:p>
        </w:tc>
      </w:tr>
      <w:tr w:rsidR="00E11179">
        <w:trPr>
          <w:trHeight w:val="555"/>
        </w:trPr>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rPr>
              <w:t xml:space="preserve">Start date:  </w:t>
            </w:r>
          </w:p>
        </w:tc>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t xml:space="preserve">1st April 2020 </w:t>
            </w:r>
          </w:p>
        </w:tc>
      </w:tr>
      <w:tr w:rsidR="00E11179">
        <w:trPr>
          <w:trHeight w:val="555"/>
        </w:trPr>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rPr>
              <w:t xml:space="preserve">Expiry date: </w:t>
            </w:r>
          </w:p>
        </w:tc>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t xml:space="preserve">31st March 2022 </w:t>
            </w:r>
          </w:p>
        </w:tc>
      </w:tr>
      <w:tr w:rsidR="00E11179">
        <w:trPr>
          <w:trHeight w:val="555"/>
        </w:trPr>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rPr>
              <w:t xml:space="preserve">Call-Off Contract value: </w:t>
            </w:r>
          </w:p>
        </w:tc>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t xml:space="preserve">£65,197 (32,598.50 per annum) </w:t>
            </w:r>
          </w:p>
        </w:tc>
      </w:tr>
      <w:tr w:rsidR="00E11179">
        <w:trPr>
          <w:trHeight w:val="555"/>
        </w:trPr>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rPr>
              <w:t xml:space="preserve">Charging method: </w:t>
            </w:r>
          </w:p>
        </w:tc>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t xml:space="preserve">Invoice </w:t>
            </w:r>
          </w:p>
        </w:tc>
      </w:tr>
      <w:tr w:rsidR="00E11179">
        <w:trPr>
          <w:trHeight w:val="555"/>
        </w:trPr>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rPr>
              <w:t xml:space="preserve">Purchase order number: </w:t>
            </w:r>
          </w:p>
        </w:tc>
        <w:tc>
          <w:tcPr>
            <w:tcW w:w="5314"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t xml:space="preserve"> </w:t>
            </w:r>
          </w:p>
        </w:tc>
      </w:tr>
    </w:tbl>
    <w:p w:rsidR="00E11179" w:rsidRDefault="007E1E99">
      <w:pPr>
        <w:spacing w:after="227" w:line="259" w:lineRule="auto"/>
        <w:ind w:left="0" w:firstLine="0"/>
      </w:pPr>
      <w:r>
        <w:t xml:space="preserve"> </w:t>
      </w:r>
    </w:p>
    <w:p w:rsidR="00E11179" w:rsidRDefault="007E1E99">
      <w:pPr>
        <w:spacing w:after="202"/>
      </w:pPr>
      <w:r>
        <w:t xml:space="preserve">This Order Form is issued under the G-Cloud 11 Framework Agreement (RM1557.11).  </w:t>
      </w:r>
    </w:p>
    <w:p w:rsidR="00E11179" w:rsidRDefault="007E1E99">
      <w:pPr>
        <w:spacing w:after="198"/>
      </w:pPr>
      <w:r>
        <w:t xml:space="preserve">Buyers can use this Order Form to specify their G-Cloud service requirements when placing an Order. </w:t>
      </w:r>
    </w:p>
    <w:p w:rsidR="00E11179" w:rsidRDefault="007E1E99">
      <w:pPr>
        <w:spacing w:after="198"/>
      </w:pPr>
      <w:r>
        <w:t xml:space="preserve">The Order Form cannot be used to alter existing terms or add any extra terms that materially change the Deliverables offered by the Supplier and defined in the Application. </w:t>
      </w:r>
    </w:p>
    <w:p w:rsidR="00E11179" w:rsidRDefault="007E1E99">
      <w:pPr>
        <w:spacing w:after="0"/>
      </w:pPr>
      <w:r>
        <w:t xml:space="preserve">There are terms in the Call-Off Contract that may be defined in the Order Form. These are identified in the contract with square brackets. </w:t>
      </w:r>
    </w:p>
    <w:tbl>
      <w:tblPr>
        <w:tblStyle w:val="TableGrid"/>
        <w:tblW w:w="10659" w:type="dxa"/>
        <w:tblInd w:w="-100" w:type="dxa"/>
        <w:tblCellMar>
          <w:top w:w="181" w:type="dxa"/>
          <w:left w:w="100" w:type="dxa"/>
          <w:right w:w="115" w:type="dxa"/>
        </w:tblCellMar>
        <w:tblLook w:val="04A0" w:firstRow="1" w:lastRow="0" w:firstColumn="1" w:lastColumn="0" w:noHBand="0" w:noVBand="1"/>
      </w:tblPr>
      <w:tblGrid>
        <w:gridCol w:w="2147"/>
        <w:gridCol w:w="8512"/>
      </w:tblGrid>
      <w:tr w:rsidR="00E11179" w:rsidTr="0081439E">
        <w:trPr>
          <w:trHeight w:val="1077"/>
        </w:trPr>
        <w:tc>
          <w:tcPr>
            <w:tcW w:w="214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rPr>
              <w:lastRenderedPageBreak/>
              <w:t xml:space="preserve">From: </w:t>
            </w:r>
            <w:proofErr w:type="gramStart"/>
            <w:r>
              <w:rPr>
                <w:b/>
              </w:rPr>
              <w:t>the</w:t>
            </w:r>
            <w:proofErr w:type="gramEnd"/>
            <w:r>
              <w:rPr>
                <w:b/>
              </w:rPr>
              <w:t xml:space="preserve"> Buyer </w:t>
            </w:r>
          </w:p>
        </w:tc>
        <w:tc>
          <w:tcPr>
            <w:tcW w:w="8512" w:type="dxa"/>
            <w:tcBorders>
              <w:top w:val="single" w:sz="6" w:space="0" w:color="000000"/>
              <w:left w:val="single" w:sz="6" w:space="0" w:color="000000"/>
              <w:bottom w:val="single" w:sz="6" w:space="0" w:color="000000"/>
              <w:right w:val="single" w:sz="6" w:space="0" w:color="000000"/>
            </w:tcBorders>
            <w:vAlign w:val="center"/>
          </w:tcPr>
          <w:p w:rsidR="0081439E" w:rsidRDefault="0081439E">
            <w:pPr>
              <w:spacing w:after="0" w:line="259" w:lineRule="auto"/>
              <w:ind w:left="0" w:firstLine="0"/>
              <w:rPr>
                <w:rFonts w:ascii="HelveticaNeue" w:eastAsiaTheme="minorEastAsia" w:hAnsi="HelveticaNeue" w:cs="HelveticaNeue"/>
                <w:color w:val="auto"/>
                <w:szCs w:val="24"/>
              </w:rPr>
            </w:pPr>
            <w:r>
              <w:rPr>
                <w:rFonts w:ascii="HelveticaNeue" w:eastAsiaTheme="minorEastAsia" w:hAnsi="HelveticaNeue" w:cs="HelveticaNeue"/>
                <w:color w:val="auto"/>
                <w:szCs w:val="24"/>
              </w:rPr>
              <w:t>Government Shared Services</w:t>
            </w:r>
          </w:p>
          <w:p w:rsidR="00E11179" w:rsidRDefault="007E1E99">
            <w:pPr>
              <w:spacing w:after="0" w:line="259" w:lineRule="auto"/>
              <w:ind w:left="0" w:firstLine="0"/>
            </w:pPr>
            <w:r>
              <w:t xml:space="preserve">REDACTED </w:t>
            </w:r>
          </w:p>
        </w:tc>
      </w:tr>
      <w:tr w:rsidR="00E11179" w:rsidTr="0081439E">
        <w:trPr>
          <w:trHeight w:val="1365"/>
        </w:trPr>
        <w:tc>
          <w:tcPr>
            <w:tcW w:w="2147" w:type="dxa"/>
            <w:tcBorders>
              <w:top w:val="single" w:sz="6" w:space="0" w:color="000000"/>
              <w:left w:val="single" w:sz="6" w:space="0" w:color="000000"/>
              <w:bottom w:val="single" w:sz="6" w:space="0" w:color="000000"/>
              <w:right w:val="single" w:sz="6" w:space="0" w:color="000000"/>
            </w:tcBorders>
          </w:tcPr>
          <w:p w:rsidR="00E11179" w:rsidRDefault="007E1E99">
            <w:pPr>
              <w:spacing w:after="32" w:line="259" w:lineRule="auto"/>
              <w:ind w:left="0" w:firstLine="0"/>
            </w:pPr>
            <w:r>
              <w:rPr>
                <w:b/>
              </w:rPr>
              <w:t xml:space="preserve">To: </w:t>
            </w:r>
            <w:proofErr w:type="gramStart"/>
            <w:r>
              <w:rPr>
                <w:b/>
              </w:rPr>
              <w:t>the</w:t>
            </w:r>
            <w:proofErr w:type="gramEnd"/>
            <w:r>
              <w:rPr>
                <w:b/>
              </w:rPr>
              <w:t xml:space="preserve"> Supplier </w:t>
            </w:r>
          </w:p>
          <w:p w:rsidR="00E11179" w:rsidRDefault="007E1E99">
            <w:pPr>
              <w:spacing w:after="32" w:line="259" w:lineRule="auto"/>
              <w:ind w:left="0" w:firstLine="0"/>
            </w:pPr>
            <w:r>
              <w:rPr>
                <w:b/>
              </w:rPr>
              <w:t xml:space="preserve"> </w:t>
            </w:r>
          </w:p>
          <w:p w:rsidR="00E11179" w:rsidRDefault="007E1E99">
            <w:pPr>
              <w:spacing w:after="32" w:line="259" w:lineRule="auto"/>
              <w:ind w:left="0" w:firstLine="0"/>
            </w:pPr>
            <w:r>
              <w:rPr>
                <w:b/>
              </w:rPr>
              <w:t xml:space="preserve"> </w:t>
            </w:r>
          </w:p>
          <w:p w:rsidR="00E11179" w:rsidRDefault="007E1E99">
            <w:pPr>
              <w:spacing w:after="0" w:line="259" w:lineRule="auto"/>
              <w:ind w:left="0" w:firstLine="0"/>
            </w:pPr>
            <w:r>
              <w:rPr>
                <w:b/>
              </w:rPr>
              <w:t xml:space="preserve"> </w:t>
            </w:r>
          </w:p>
        </w:tc>
        <w:tc>
          <w:tcPr>
            <w:tcW w:w="8512" w:type="dxa"/>
            <w:tcBorders>
              <w:top w:val="single" w:sz="6" w:space="0" w:color="000000"/>
              <w:left w:val="single" w:sz="6" w:space="0" w:color="000000"/>
              <w:bottom w:val="single" w:sz="6" w:space="0" w:color="000000"/>
              <w:right w:val="single" w:sz="6" w:space="0" w:color="000000"/>
            </w:tcBorders>
            <w:vAlign w:val="center"/>
          </w:tcPr>
          <w:p w:rsidR="0081439E" w:rsidRDefault="0081439E">
            <w:pPr>
              <w:spacing w:after="0" w:line="259" w:lineRule="auto"/>
              <w:ind w:left="0" w:firstLine="0"/>
            </w:pPr>
            <w:r>
              <w:rPr>
                <w:rFonts w:ascii="HelveticaNeue" w:eastAsiaTheme="minorEastAsia" w:hAnsi="HelveticaNeue" w:cs="HelveticaNeue"/>
                <w:color w:val="auto"/>
                <w:szCs w:val="24"/>
              </w:rPr>
              <w:t xml:space="preserve">INOVEM Limited (trading as </w:t>
            </w:r>
            <w:proofErr w:type="spellStart"/>
            <w:r>
              <w:rPr>
                <w:rFonts w:ascii="HelveticaNeue" w:eastAsiaTheme="minorEastAsia" w:hAnsi="HelveticaNeue" w:cs="HelveticaNeue"/>
                <w:color w:val="auto"/>
                <w:szCs w:val="24"/>
              </w:rPr>
              <w:t>Kahootz</w:t>
            </w:r>
            <w:proofErr w:type="spellEnd"/>
            <w:r>
              <w:rPr>
                <w:rFonts w:ascii="HelveticaNeue" w:eastAsiaTheme="minorEastAsia" w:hAnsi="HelveticaNeue" w:cs="HelveticaNeue"/>
                <w:color w:val="auto"/>
                <w:szCs w:val="24"/>
              </w:rPr>
              <w:t>)</w:t>
            </w:r>
          </w:p>
          <w:p w:rsidR="0081439E" w:rsidRDefault="0081439E">
            <w:pPr>
              <w:spacing w:after="0" w:line="259" w:lineRule="auto"/>
              <w:ind w:left="0" w:firstLine="0"/>
            </w:pPr>
            <w:r>
              <w:t>REDACTED</w:t>
            </w:r>
          </w:p>
        </w:tc>
      </w:tr>
      <w:tr w:rsidR="00E11179">
        <w:trPr>
          <w:trHeight w:val="751"/>
        </w:trPr>
        <w:tc>
          <w:tcPr>
            <w:tcW w:w="10659" w:type="dxa"/>
            <w:gridSpan w:val="2"/>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rPr>
              <w:t xml:space="preserve">Together: the ‘Parties’ </w:t>
            </w:r>
          </w:p>
        </w:tc>
      </w:tr>
    </w:tbl>
    <w:p w:rsidR="00E11179" w:rsidRDefault="007E1E99">
      <w:pPr>
        <w:spacing w:after="257" w:line="259" w:lineRule="auto"/>
        <w:ind w:left="0" w:firstLine="0"/>
      </w:pPr>
      <w:r>
        <w:rPr>
          <w:b/>
        </w:rPr>
        <w:t xml:space="preserve"> </w:t>
      </w:r>
    </w:p>
    <w:p w:rsidR="00E11179" w:rsidRDefault="007E1E99">
      <w:pPr>
        <w:pStyle w:val="Heading1"/>
        <w:ind w:left="-5"/>
      </w:pPr>
      <w:bookmarkStart w:id="3" w:name="_Toc76488"/>
      <w:r>
        <w:t xml:space="preserve">Principle contact details  </w:t>
      </w:r>
      <w:bookmarkEnd w:id="3"/>
    </w:p>
    <w:tbl>
      <w:tblPr>
        <w:tblStyle w:val="TableGrid"/>
        <w:tblW w:w="10599" w:type="dxa"/>
        <w:tblInd w:w="-100" w:type="dxa"/>
        <w:tblCellMar>
          <w:top w:w="181" w:type="dxa"/>
          <w:left w:w="100" w:type="dxa"/>
          <w:right w:w="85" w:type="dxa"/>
        </w:tblCellMar>
        <w:tblLook w:val="04A0" w:firstRow="1" w:lastRow="0" w:firstColumn="1" w:lastColumn="0" w:noHBand="0" w:noVBand="1"/>
      </w:tblPr>
      <w:tblGrid>
        <w:gridCol w:w="2147"/>
        <w:gridCol w:w="8452"/>
      </w:tblGrid>
      <w:tr w:rsidR="00E11179">
        <w:trPr>
          <w:trHeight w:val="1546"/>
        </w:trPr>
        <w:tc>
          <w:tcPr>
            <w:tcW w:w="2147" w:type="dxa"/>
            <w:tcBorders>
              <w:top w:val="single" w:sz="6" w:space="0" w:color="000000"/>
              <w:left w:val="single" w:sz="6" w:space="0" w:color="000000"/>
              <w:bottom w:val="single" w:sz="6" w:space="0" w:color="000000"/>
              <w:right w:val="single" w:sz="6" w:space="0" w:color="000000"/>
            </w:tcBorders>
          </w:tcPr>
          <w:p w:rsidR="00E11179" w:rsidRDefault="007E1E99">
            <w:pPr>
              <w:spacing w:after="32" w:line="259" w:lineRule="auto"/>
              <w:ind w:left="0" w:firstLine="0"/>
            </w:pPr>
            <w:r>
              <w:rPr>
                <w:b/>
              </w:rPr>
              <w:t xml:space="preserve">For the Buyer: </w:t>
            </w:r>
          </w:p>
          <w:p w:rsidR="00E11179" w:rsidRDefault="007E1E99">
            <w:pPr>
              <w:spacing w:after="32" w:line="259" w:lineRule="auto"/>
              <w:ind w:left="0" w:firstLine="0"/>
            </w:pPr>
            <w:r>
              <w:rPr>
                <w:b/>
              </w:rPr>
              <w:t xml:space="preserve"> </w:t>
            </w:r>
          </w:p>
          <w:p w:rsidR="00E11179" w:rsidRDefault="007E1E99">
            <w:pPr>
              <w:spacing w:after="0" w:line="259" w:lineRule="auto"/>
              <w:ind w:left="0" w:firstLine="0"/>
            </w:pPr>
            <w:r>
              <w:rPr>
                <w:b/>
              </w:rPr>
              <w:t xml:space="preserve"> </w:t>
            </w:r>
          </w:p>
        </w:tc>
        <w:tc>
          <w:tcPr>
            <w:tcW w:w="8452"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t>REDACTED</w:t>
            </w:r>
          </w:p>
        </w:tc>
      </w:tr>
      <w:tr w:rsidR="00E11179">
        <w:trPr>
          <w:trHeight w:val="1546"/>
        </w:trPr>
        <w:tc>
          <w:tcPr>
            <w:tcW w:w="214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jc w:val="both"/>
            </w:pPr>
            <w:r>
              <w:rPr>
                <w:b/>
              </w:rPr>
              <w:t xml:space="preserve">For the Supplier: </w:t>
            </w:r>
          </w:p>
        </w:tc>
        <w:tc>
          <w:tcPr>
            <w:tcW w:w="8452"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t xml:space="preserve">REDACTED </w:t>
            </w:r>
          </w:p>
        </w:tc>
      </w:tr>
    </w:tbl>
    <w:p w:rsidR="00E11179" w:rsidRDefault="007E1E99">
      <w:pPr>
        <w:spacing w:after="227" w:line="259" w:lineRule="auto"/>
        <w:ind w:left="0" w:firstLine="0"/>
      </w:pPr>
      <w:r>
        <w:t xml:space="preserve"> </w:t>
      </w:r>
    </w:p>
    <w:p w:rsidR="00E11179" w:rsidRDefault="007E1E99">
      <w:pPr>
        <w:pStyle w:val="Heading1"/>
        <w:spacing w:after="0"/>
        <w:ind w:left="-5"/>
      </w:pPr>
      <w:bookmarkStart w:id="4" w:name="_Toc76489"/>
      <w:r>
        <w:rPr>
          <w:sz w:val="24"/>
        </w:rPr>
        <w:t xml:space="preserve">Call-Off Contract term </w:t>
      </w:r>
      <w:bookmarkEnd w:id="4"/>
    </w:p>
    <w:tbl>
      <w:tblPr>
        <w:tblStyle w:val="TableGrid"/>
        <w:tblW w:w="10644" w:type="dxa"/>
        <w:tblInd w:w="-115" w:type="dxa"/>
        <w:tblCellMar>
          <w:top w:w="74" w:type="dxa"/>
        </w:tblCellMar>
        <w:tblLook w:val="04A0" w:firstRow="1" w:lastRow="0" w:firstColumn="1" w:lastColumn="0" w:noHBand="0" w:noVBand="1"/>
      </w:tblPr>
      <w:tblGrid>
        <w:gridCol w:w="2657"/>
        <w:gridCol w:w="113"/>
        <w:gridCol w:w="3452"/>
        <w:gridCol w:w="1546"/>
        <w:gridCol w:w="2463"/>
        <w:gridCol w:w="180"/>
        <w:gridCol w:w="233"/>
      </w:tblGrid>
      <w:tr w:rsidR="00E11179">
        <w:trPr>
          <w:trHeight w:val="291"/>
        </w:trPr>
        <w:tc>
          <w:tcPr>
            <w:tcW w:w="2657" w:type="dxa"/>
            <w:vMerge w:val="restart"/>
            <w:tcBorders>
              <w:top w:val="single" w:sz="6" w:space="0" w:color="000000"/>
              <w:left w:val="single" w:sz="6" w:space="0" w:color="000000"/>
              <w:bottom w:val="single" w:sz="6" w:space="0" w:color="000000"/>
              <w:right w:val="single" w:sz="6" w:space="0" w:color="000000"/>
            </w:tcBorders>
          </w:tcPr>
          <w:p w:rsidR="00E11179" w:rsidRDefault="007E1E99">
            <w:pPr>
              <w:spacing w:after="32" w:line="259" w:lineRule="auto"/>
              <w:ind w:left="115" w:firstLine="0"/>
            </w:pPr>
            <w:r>
              <w:rPr>
                <w:b/>
              </w:rPr>
              <w:t xml:space="preserve">Start date: </w:t>
            </w:r>
          </w:p>
          <w:p w:rsidR="00E11179" w:rsidRDefault="007E1E99">
            <w:pPr>
              <w:spacing w:after="0" w:line="259" w:lineRule="auto"/>
              <w:ind w:left="115" w:firstLine="0"/>
            </w:pPr>
            <w:r>
              <w:t xml:space="preserve"> </w:t>
            </w:r>
          </w:p>
        </w:tc>
        <w:tc>
          <w:tcPr>
            <w:tcW w:w="3565" w:type="dxa"/>
            <w:gridSpan w:val="2"/>
            <w:vMerge w:val="restart"/>
            <w:tcBorders>
              <w:top w:val="single" w:sz="6" w:space="0" w:color="000000"/>
              <w:left w:val="single" w:sz="6" w:space="0" w:color="000000"/>
              <w:bottom w:val="single" w:sz="6" w:space="0" w:color="000000"/>
              <w:right w:val="nil"/>
            </w:tcBorders>
          </w:tcPr>
          <w:p w:rsidR="00E11179" w:rsidRDefault="007E1E99">
            <w:pPr>
              <w:spacing w:after="0" w:line="259" w:lineRule="auto"/>
              <w:ind w:left="115" w:firstLine="0"/>
            </w:pPr>
            <w:r>
              <w:t xml:space="preserve">This Call-Off Contract Starts on </w:t>
            </w:r>
            <w:r>
              <w:rPr>
                <w:rFonts w:ascii="Calibri" w:eastAsia="Calibri" w:hAnsi="Calibri" w:cs="Calibri"/>
              </w:rPr>
              <w:t xml:space="preserve">​ </w:t>
            </w:r>
            <w:r>
              <w:t xml:space="preserve">months.  </w:t>
            </w:r>
          </w:p>
        </w:tc>
        <w:tc>
          <w:tcPr>
            <w:tcW w:w="1546" w:type="dxa"/>
            <w:tcBorders>
              <w:top w:val="single" w:sz="6" w:space="0" w:color="000000"/>
              <w:left w:val="nil"/>
              <w:bottom w:val="nil"/>
              <w:right w:val="nil"/>
            </w:tcBorders>
            <w:shd w:val="clear" w:color="auto" w:fill="FFFFFF"/>
          </w:tcPr>
          <w:p w:rsidR="00E11179" w:rsidRDefault="007E1E99">
            <w:pPr>
              <w:spacing w:after="0" w:line="259" w:lineRule="auto"/>
              <w:ind w:left="-2" w:firstLine="0"/>
              <w:jc w:val="both"/>
            </w:pPr>
            <w:r>
              <w:t xml:space="preserve">1st April 2020 </w:t>
            </w:r>
          </w:p>
        </w:tc>
        <w:tc>
          <w:tcPr>
            <w:tcW w:w="2875" w:type="dxa"/>
            <w:gridSpan w:val="3"/>
            <w:vMerge w:val="restart"/>
            <w:tcBorders>
              <w:top w:val="single" w:sz="6" w:space="0" w:color="000000"/>
              <w:left w:val="nil"/>
              <w:bottom w:val="single" w:sz="6" w:space="0" w:color="000000"/>
              <w:right w:val="single" w:sz="6" w:space="0" w:color="000000"/>
            </w:tcBorders>
          </w:tcPr>
          <w:p w:rsidR="00E11179" w:rsidRDefault="007E1E99">
            <w:pPr>
              <w:spacing w:after="0" w:line="259" w:lineRule="auto"/>
              <w:ind w:left="0" w:firstLine="0"/>
            </w:pPr>
            <w:r>
              <w:rPr>
                <w:rFonts w:ascii="Calibri" w:eastAsia="Calibri" w:hAnsi="Calibri" w:cs="Calibri"/>
              </w:rPr>
              <w:t>​</w:t>
            </w:r>
            <w:r>
              <w:t xml:space="preserve">and is valid for 24 </w:t>
            </w:r>
          </w:p>
        </w:tc>
      </w:tr>
      <w:tr w:rsidR="00E11179">
        <w:trPr>
          <w:trHeight w:val="385"/>
        </w:trPr>
        <w:tc>
          <w:tcPr>
            <w:tcW w:w="0" w:type="auto"/>
            <w:vMerge/>
            <w:tcBorders>
              <w:top w:val="nil"/>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0" w:type="auto"/>
            <w:gridSpan w:val="2"/>
            <w:vMerge/>
            <w:tcBorders>
              <w:top w:val="nil"/>
              <w:left w:val="single" w:sz="6" w:space="0" w:color="000000"/>
              <w:bottom w:val="single" w:sz="6" w:space="0" w:color="000000"/>
              <w:right w:val="nil"/>
            </w:tcBorders>
          </w:tcPr>
          <w:p w:rsidR="00E11179" w:rsidRDefault="00E11179">
            <w:pPr>
              <w:spacing w:after="160" w:line="259" w:lineRule="auto"/>
              <w:ind w:left="0" w:firstLine="0"/>
            </w:pPr>
          </w:p>
        </w:tc>
        <w:tc>
          <w:tcPr>
            <w:tcW w:w="1546" w:type="dxa"/>
            <w:tcBorders>
              <w:top w:val="nil"/>
              <w:left w:val="nil"/>
              <w:bottom w:val="single" w:sz="6" w:space="0" w:color="000000"/>
              <w:right w:val="nil"/>
            </w:tcBorders>
          </w:tcPr>
          <w:p w:rsidR="00E11179" w:rsidRDefault="00E11179">
            <w:pPr>
              <w:spacing w:after="160" w:line="259" w:lineRule="auto"/>
              <w:ind w:left="0" w:firstLine="0"/>
            </w:pPr>
          </w:p>
        </w:tc>
        <w:tc>
          <w:tcPr>
            <w:tcW w:w="0" w:type="auto"/>
            <w:gridSpan w:val="3"/>
            <w:vMerge/>
            <w:tcBorders>
              <w:top w:val="nil"/>
              <w:left w:val="nil"/>
              <w:bottom w:val="single" w:sz="6" w:space="0" w:color="000000"/>
              <w:right w:val="single" w:sz="6" w:space="0" w:color="000000"/>
            </w:tcBorders>
          </w:tcPr>
          <w:p w:rsidR="00E11179" w:rsidRDefault="00E11179">
            <w:pPr>
              <w:spacing w:after="160" w:line="259" w:lineRule="auto"/>
              <w:ind w:left="0" w:firstLine="0"/>
            </w:pPr>
          </w:p>
        </w:tc>
      </w:tr>
      <w:tr w:rsidR="00E11179">
        <w:trPr>
          <w:trHeight w:val="291"/>
        </w:trPr>
        <w:tc>
          <w:tcPr>
            <w:tcW w:w="2657" w:type="dxa"/>
            <w:vMerge w:val="restart"/>
            <w:tcBorders>
              <w:top w:val="single" w:sz="6" w:space="0" w:color="000000"/>
              <w:left w:val="single" w:sz="6" w:space="0" w:color="000000"/>
              <w:bottom w:val="single" w:sz="6" w:space="0" w:color="000000"/>
              <w:right w:val="single" w:sz="6" w:space="0" w:color="000000"/>
            </w:tcBorders>
          </w:tcPr>
          <w:p w:rsidR="00E11179" w:rsidRDefault="007E1E99">
            <w:pPr>
              <w:spacing w:after="32" w:line="259" w:lineRule="auto"/>
              <w:ind w:left="115" w:firstLine="0"/>
            </w:pPr>
            <w:r>
              <w:rPr>
                <w:b/>
              </w:rPr>
              <w:t xml:space="preserve">Ending </w:t>
            </w:r>
          </w:p>
          <w:p w:rsidR="00E11179" w:rsidRDefault="007E1E99">
            <w:pPr>
              <w:spacing w:after="0" w:line="259" w:lineRule="auto"/>
              <w:ind w:left="115" w:firstLine="0"/>
            </w:pPr>
            <w:r>
              <w:rPr>
                <w:b/>
              </w:rPr>
              <w:t xml:space="preserve">(termination): </w:t>
            </w:r>
            <w:r>
              <w:t xml:space="preserve"> </w:t>
            </w:r>
          </w:p>
        </w:tc>
        <w:tc>
          <w:tcPr>
            <w:tcW w:w="113" w:type="dxa"/>
            <w:vMerge w:val="restart"/>
            <w:tcBorders>
              <w:top w:val="single" w:sz="6" w:space="0" w:color="000000"/>
              <w:left w:val="single" w:sz="6" w:space="0" w:color="000000"/>
              <w:bottom w:val="single" w:sz="6" w:space="0" w:color="000000"/>
              <w:right w:val="nil"/>
            </w:tcBorders>
          </w:tcPr>
          <w:p w:rsidR="00E11179" w:rsidRDefault="00E11179">
            <w:pPr>
              <w:spacing w:after="160" w:line="259" w:lineRule="auto"/>
              <w:ind w:left="0" w:firstLine="0"/>
            </w:pPr>
          </w:p>
        </w:tc>
        <w:tc>
          <w:tcPr>
            <w:tcW w:w="7641" w:type="dxa"/>
            <w:gridSpan w:val="4"/>
            <w:tcBorders>
              <w:top w:val="single" w:sz="6" w:space="0" w:color="000000"/>
              <w:left w:val="nil"/>
              <w:bottom w:val="nil"/>
              <w:right w:val="nil"/>
            </w:tcBorders>
            <w:shd w:val="clear" w:color="auto" w:fill="FFFFFF"/>
          </w:tcPr>
          <w:p w:rsidR="00E11179" w:rsidRDefault="007E1E99">
            <w:pPr>
              <w:spacing w:after="0" w:line="259" w:lineRule="auto"/>
              <w:ind w:left="3" w:right="-1" w:firstLine="0"/>
              <w:jc w:val="both"/>
            </w:pPr>
            <w:r>
              <w:t>The notice period needed for Ending the Call-Off Contract is at least 90</w:t>
            </w:r>
          </w:p>
        </w:tc>
        <w:tc>
          <w:tcPr>
            <w:tcW w:w="233" w:type="dxa"/>
            <w:vMerge w:val="restart"/>
            <w:tcBorders>
              <w:top w:val="single" w:sz="6" w:space="0" w:color="000000"/>
              <w:left w:val="nil"/>
              <w:bottom w:val="single" w:sz="6" w:space="0" w:color="000000"/>
              <w:right w:val="single" w:sz="6" w:space="0" w:color="000000"/>
            </w:tcBorders>
          </w:tcPr>
          <w:p w:rsidR="00E11179" w:rsidRDefault="007E1E99">
            <w:pPr>
              <w:spacing w:after="32" w:line="259" w:lineRule="auto"/>
              <w:ind w:left="1" w:firstLine="0"/>
            </w:pPr>
            <w:r>
              <w:t xml:space="preserve"> </w:t>
            </w:r>
          </w:p>
          <w:p w:rsidR="00E11179" w:rsidRDefault="007E1E99">
            <w:pPr>
              <w:spacing w:after="0" w:line="259" w:lineRule="auto"/>
              <w:ind w:left="-8" w:firstLine="0"/>
            </w:pPr>
            <w:r>
              <w:t xml:space="preserve"> </w:t>
            </w:r>
          </w:p>
        </w:tc>
      </w:tr>
      <w:tr w:rsidR="00E11179">
        <w:trPr>
          <w:trHeight w:val="715"/>
        </w:trPr>
        <w:tc>
          <w:tcPr>
            <w:tcW w:w="0" w:type="auto"/>
            <w:vMerge/>
            <w:tcBorders>
              <w:top w:val="nil"/>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0" w:type="auto"/>
            <w:vMerge/>
            <w:tcBorders>
              <w:top w:val="nil"/>
              <w:left w:val="single" w:sz="6" w:space="0" w:color="000000"/>
              <w:bottom w:val="single" w:sz="6" w:space="0" w:color="000000"/>
              <w:right w:val="nil"/>
            </w:tcBorders>
          </w:tcPr>
          <w:p w:rsidR="00E11179" w:rsidRDefault="00E11179">
            <w:pPr>
              <w:spacing w:after="160" w:line="259" w:lineRule="auto"/>
              <w:ind w:left="0" w:firstLine="0"/>
            </w:pPr>
          </w:p>
        </w:tc>
        <w:tc>
          <w:tcPr>
            <w:tcW w:w="7641" w:type="dxa"/>
            <w:gridSpan w:val="4"/>
            <w:tcBorders>
              <w:top w:val="nil"/>
              <w:left w:val="nil"/>
              <w:bottom w:val="single" w:sz="6" w:space="0" w:color="000000"/>
              <w:right w:val="nil"/>
            </w:tcBorders>
          </w:tcPr>
          <w:p w:rsidR="00E11179" w:rsidRDefault="007E1E99">
            <w:pPr>
              <w:spacing w:after="0" w:line="259" w:lineRule="auto"/>
              <w:ind w:left="3" w:firstLine="0"/>
              <w:jc w:val="both"/>
            </w:pPr>
            <w:r>
              <w:t xml:space="preserve">Working Days from the date of written notice for undisputed sums or at least 30 days from the date of written notice for Ending without cause.  </w:t>
            </w:r>
          </w:p>
        </w:tc>
        <w:tc>
          <w:tcPr>
            <w:tcW w:w="0" w:type="auto"/>
            <w:vMerge/>
            <w:tcBorders>
              <w:top w:val="nil"/>
              <w:left w:val="nil"/>
              <w:bottom w:val="single" w:sz="6" w:space="0" w:color="000000"/>
              <w:right w:val="single" w:sz="6" w:space="0" w:color="000000"/>
            </w:tcBorders>
          </w:tcPr>
          <w:p w:rsidR="00E11179" w:rsidRDefault="00E11179">
            <w:pPr>
              <w:spacing w:after="160" w:line="259" w:lineRule="auto"/>
              <w:ind w:left="0" w:firstLine="0"/>
            </w:pPr>
          </w:p>
        </w:tc>
      </w:tr>
      <w:tr w:rsidR="00E11179">
        <w:trPr>
          <w:trHeight w:val="291"/>
        </w:trPr>
        <w:tc>
          <w:tcPr>
            <w:tcW w:w="2657" w:type="dxa"/>
            <w:vMerge w:val="restart"/>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Extension period: </w:t>
            </w:r>
          </w:p>
        </w:tc>
        <w:tc>
          <w:tcPr>
            <w:tcW w:w="113" w:type="dxa"/>
            <w:vMerge w:val="restart"/>
            <w:tcBorders>
              <w:top w:val="single" w:sz="6" w:space="0" w:color="000000"/>
              <w:left w:val="single" w:sz="6" w:space="0" w:color="000000"/>
              <w:bottom w:val="single" w:sz="6" w:space="0" w:color="000000"/>
              <w:right w:val="nil"/>
            </w:tcBorders>
          </w:tcPr>
          <w:p w:rsidR="00E11179" w:rsidRDefault="00E11179">
            <w:pPr>
              <w:spacing w:after="160" w:line="259" w:lineRule="auto"/>
              <w:ind w:left="0" w:firstLine="0"/>
            </w:pPr>
          </w:p>
        </w:tc>
        <w:tc>
          <w:tcPr>
            <w:tcW w:w="7461" w:type="dxa"/>
            <w:gridSpan w:val="3"/>
            <w:tcBorders>
              <w:top w:val="single" w:sz="6" w:space="0" w:color="000000"/>
              <w:left w:val="nil"/>
              <w:bottom w:val="nil"/>
              <w:right w:val="nil"/>
            </w:tcBorders>
            <w:shd w:val="clear" w:color="auto" w:fill="FFFFFF"/>
          </w:tcPr>
          <w:p w:rsidR="00E11179" w:rsidRDefault="007E1E99">
            <w:pPr>
              <w:spacing w:after="0" w:line="259" w:lineRule="auto"/>
              <w:ind w:left="3" w:right="-7" w:firstLine="0"/>
              <w:jc w:val="both"/>
            </w:pPr>
            <w:r>
              <w:t>This Call-Off Contract can be extended by the Buyer for 2 period(s) of</w:t>
            </w:r>
          </w:p>
        </w:tc>
        <w:tc>
          <w:tcPr>
            <w:tcW w:w="413" w:type="dxa"/>
            <w:gridSpan w:val="2"/>
            <w:vMerge w:val="restart"/>
            <w:tcBorders>
              <w:top w:val="single" w:sz="6" w:space="0" w:color="000000"/>
              <w:left w:val="nil"/>
              <w:bottom w:val="single" w:sz="6" w:space="0" w:color="000000"/>
              <w:right w:val="single" w:sz="6" w:space="0" w:color="000000"/>
            </w:tcBorders>
          </w:tcPr>
          <w:p w:rsidR="00E11179" w:rsidRDefault="007E1E99">
            <w:pPr>
              <w:spacing w:after="0" w:line="259" w:lineRule="auto"/>
              <w:ind w:left="7" w:firstLine="0"/>
            </w:pPr>
            <w:r>
              <w:t xml:space="preserve"> </w:t>
            </w:r>
          </w:p>
        </w:tc>
      </w:tr>
      <w:tr w:rsidR="00E11179">
        <w:trPr>
          <w:trHeight w:val="1043"/>
        </w:trPr>
        <w:tc>
          <w:tcPr>
            <w:tcW w:w="0" w:type="auto"/>
            <w:vMerge/>
            <w:tcBorders>
              <w:top w:val="nil"/>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0" w:type="auto"/>
            <w:vMerge/>
            <w:tcBorders>
              <w:top w:val="nil"/>
              <w:left w:val="single" w:sz="6" w:space="0" w:color="000000"/>
              <w:bottom w:val="single" w:sz="6" w:space="0" w:color="000000"/>
              <w:right w:val="nil"/>
            </w:tcBorders>
          </w:tcPr>
          <w:p w:rsidR="00E11179" w:rsidRDefault="00E11179">
            <w:pPr>
              <w:spacing w:after="160" w:line="259" w:lineRule="auto"/>
              <w:ind w:left="0" w:firstLine="0"/>
            </w:pPr>
          </w:p>
        </w:tc>
        <w:tc>
          <w:tcPr>
            <w:tcW w:w="7461" w:type="dxa"/>
            <w:gridSpan w:val="3"/>
            <w:tcBorders>
              <w:top w:val="nil"/>
              <w:left w:val="nil"/>
              <w:bottom w:val="single" w:sz="6" w:space="0" w:color="000000"/>
              <w:right w:val="nil"/>
            </w:tcBorders>
          </w:tcPr>
          <w:p w:rsidR="00E11179" w:rsidRDefault="007E1E99">
            <w:pPr>
              <w:spacing w:after="0" w:line="287" w:lineRule="auto"/>
              <w:ind w:left="3" w:firstLine="0"/>
            </w:pPr>
            <w:r>
              <w:t xml:space="preserve">up to 12 months each, by giving the Supplier 4 weeks written notice before its expiry. </w:t>
            </w:r>
          </w:p>
          <w:p w:rsidR="00E11179" w:rsidRDefault="007E1E99">
            <w:pPr>
              <w:spacing w:after="0" w:line="259" w:lineRule="auto"/>
              <w:ind w:left="3" w:firstLine="0"/>
            </w:pPr>
            <w:r>
              <w:t xml:space="preserve">Extensions which extend the Term beyond 24 months are only </w:t>
            </w:r>
          </w:p>
        </w:tc>
        <w:tc>
          <w:tcPr>
            <w:tcW w:w="0" w:type="auto"/>
            <w:gridSpan w:val="2"/>
            <w:vMerge/>
            <w:tcBorders>
              <w:top w:val="nil"/>
              <w:left w:val="nil"/>
              <w:bottom w:val="single" w:sz="6" w:space="0" w:color="000000"/>
              <w:right w:val="single" w:sz="6" w:space="0" w:color="000000"/>
            </w:tcBorders>
          </w:tcPr>
          <w:p w:rsidR="00E11179" w:rsidRDefault="00E11179">
            <w:pPr>
              <w:spacing w:after="160" w:line="259" w:lineRule="auto"/>
              <w:ind w:left="0" w:firstLine="0"/>
            </w:pPr>
          </w:p>
        </w:tc>
      </w:tr>
      <w:tr w:rsidR="00E11179">
        <w:trPr>
          <w:trHeight w:val="676"/>
        </w:trPr>
        <w:tc>
          <w:tcPr>
            <w:tcW w:w="2657" w:type="dxa"/>
            <w:tcBorders>
              <w:top w:val="single" w:sz="6" w:space="0" w:color="000000"/>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7987" w:type="dxa"/>
            <w:gridSpan w:val="6"/>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t xml:space="preserve">permitted if the Supplier complies with the additional exit plan requirements at clauses 21.3 to 21.8. </w:t>
            </w:r>
          </w:p>
        </w:tc>
      </w:tr>
    </w:tbl>
    <w:p w:rsidR="00E11179" w:rsidRDefault="007E1E99">
      <w:pPr>
        <w:spacing w:after="257" w:line="259" w:lineRule="auto"/>
        <w:ind w:left="0" w:firstLine="0"/>
      </w:pPr>
      <w:r>
        <w:rPr>
          <w:b/>
        </w:rPr>
        <w:t xml:space="preserve"> </w:t>
      </w:r>
    </w:p>
    <w:p w:rsidR="00E11179" w:rsidRDefault="007E1E99">
      <w:pPr>
        <w:pStyle w:val="Heading1"/>
        <w:ind w:left="-5"/>
      </w:pPr>
      <w:bookmarkStart w:id="5" w:name="_Toc76490"/>
      <w:r>
        <w:lastRenderedPageBreak/>
        <w:t xml:space="preserve">Buyer contractual details </w:t>
      </w:r>
      <w:bookmarkEnd w:id="5"/>
    </w:p>
    <w:p w:rsidR="00E11179" w:rsidRDefault="007E1E99">
      <w:pPr>
        <w:spacing w:after="0"/>
      </w:pPr>
      <w:r>
        <w:t xml:space="preserve">This Order is for the G-Cloud Services outlined below. It is acknowledged by the Parties that the volume of the G-Cloud Services used by the Buyer may vary during this Call-Off Contract. </w:t>
      </w:r>
    </w:p>
    <w:tbl>
      <w:tblPr>
        <w:tblStyle w:val="TableGrid"/>
        <w:tblW w:w="10644" w:type="dxa"/>
        <w:tblInd w:w="-115" w:type="dxa"/>
        <w:tblCellMar>
          <w:top w:w="69" w:type="dxa"/>
        </w:tblCellMar>
        <w:tblLook w:val="04A0" w:firstRow="1" w:lastRow="0" w:firstColumn="1" w:lastColumn="0" w:noHBand="0" w:noVBand="1"/>
      </w:tblPr>
      <w:tblGrid>
        <w:gridCol w:w="2656"/>
        <w:gridCol w:w="113"/>
        <w:gridCol w:w="315"/>
        <w:gridCol w:w="262"/>
        <w:gridCol w:w="105"/>
        <w:gridCol w:w="361"/>
        <w:gridCol w:w="1694"/>
        <w:gridCol w:w="1320"/>
        <w:gridCol w:w="1379"/>
        <w:gridCol w:w="1350"/>
        <w:gridCol w:w="210"/>
        <w:gridCol w:w="120"/>
        <w:gridCol w:w="360"/>
        <w:gridCol w:w="210"/>
        <w:gridCol w:w="61"/>
        <w:gridCol w:w="128"/>
      </w:tblGrid>
      <w:tr w:rsidR="00E11179">
        <w:trPr>
          <w:trHeight w:val="676"/>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G-Cloud lot: </w:t>
            </w:r>
          </w:p>
        </w:tc>
        <w:tc>
          <w:tcPr>
            <w:tcW w:w="7987" w:type="dxa"/>
            <w:gridSpan w:val="15"/>
            <w:tcBorders>
              <w:top w:val="single" w:sz="6" w:space="0" w:color="000000"/>
              <w:left w:val="single" w:sz="6" w:space="0" w:color="000000"/>
              <w:bottom w:val="single" w:sz="6" w:space="0" w:color="000000"/>
              <w:right w:val="single" w:sz="6" w:space="0" w:color="000000"/>
            </w:tcBorders>
          </w:tcPr>
          <w:p w:rsidR="00E11179" w:rsidRDefault="007E1E99">
            <w:pPr>
              <w:spacing w:after="32" w:line="259" w:lineRule="auto"/>
              <w:ind w:left="115" w:firstLine="0"/>
            </w:pPr>
            <w:r>
              <w:t xml:space="preserve">This Call-Off Contract is for the provision of Services under:  </w:t>
            </w:r>
          </w:p>
          <w:p w:rsidR="00E11179" w:rsidRDefault="007E1E99">
            <w:pPr>
              <w:spacing w:after="0" w:line="259" w:lineRule="auto"/>
              <w:ind w:left="115" w:firstLine="0"/>
            </w:pPr>
            <w:r>
              <w:t xml:space="preserve">Lot 2 - Cloud software </w:t>
            </w:r>
          </w:p>
        </w:tc>
      </w:tr>
      <w:tr w:rsidR="00E11179" w:rsidTr="0081439E">
        <w:trPr>
          <w:trHeight w:val="1412"/>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G-Cloud services required: </w:t>
            </w:r>
          </w:p>
        </w:tc>
        <w:tc>
          <w:tcPr>
            <w:tcW w:w="7987" w:type="dxa"/>
            <w:gridSpan w:val="15"/>
            <w:tcBorders>
              <w:top w:val="single" w:sz="6" w:space="0" w:color="000000"/>
              <w:left w:val="single" w:sz="6" w:space="0" w:color="000000"/>
              <w:bottom w:val="single" w:sz="6" w:space="0" w:color="000000"/>
              <w:right w:val="single" w:sz="6" w:space="0" w:color="000000"/>
            </w:tcBorders>
          </w:tcPr>
          <w:p w:rsidR="00E11179" w:rsidRDefault="007E1E99">
            <w:pPr>
              <w:spacing w:after="0" w:line="287" w:lineRule="auto"/>
              <w:ind w:left="115" w:firstLine="0"/>
            </w:pPr>
            <w:r>
              <w:t xml:space="preserve">The Services to be provided by the Supplier under the above Lot are listed in Framework Section 2 and outlined below: </w:t>
            </w:r>
          </w:p>
          <w:p w:rsidR="00E11179" w:rsidRDefault="007E1E99">
            <w:pPr>
              <w:spacing w:after="56" w:line="259" w:lineRule="auto"/>
              <w:ind w:left="115" w:firstLine="0"/>
            </w:pPr>
            <w:r>
              <w:t xml:space="preserve"> </w:t>
            </w:r>
          </w:p>
          <w:p w:rsidR="00E11179" w:rsidRDefault="007E1E99" w:rsidP="007E1E99">
            <w:pPr>
              <w:numPr>
                <w:ilvl w:val="0"/>
                <w:numId w:val="50"/>
              </w:numPr>
              <w:spacing w:after="33" w:line="259" w:lineRule="auto"/>
              <w:ind w:left="1556" w:hanging="360"/>
            </w:pPr>
            <w:r>
              <w:t>REDACTED</w:t>
            </w:r>
          </w:p>
        </w:tc>
      </w:tr>
      <w:tr w:rsidR="00E11179">
        <w:trPr>
          <w:trHeight w:val="319"/>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Additional Services: </w:t>
            </w:r>
          </w:p>
        </w:tc>
        <w:tc>
          <w:tcPr>
            <w:tcW w:w="113" w:type="dxa"/>
            <w:tcBorders>
              <w:top w:val="single" w:sz="6" w:space="0" w:color="000000"/>
              <w:left w:val="single" w:sz="6" w:space="0" w:color="000000"/>
              <w:bottom w:val="single" w:sz="6" w:space="0" w:color="000000"/>
              <w:right w:val="nil"/>
            </w:tcBorders>
          </w:tcPr>
          <w:p w:rsidR="00E11179" w:rsidRDefault="00E11179">
            <w:pPr>
              <w:spacing w:after="160" w:line="259" w:lineRule="auto"/>
              <w:ind w:left="0" w:firstLine="0"/>
            </w:pPr>
          </w:p>
        </w:tc>
        <w:tc>
          <w:tcPr>
            <w:tcW w:w="570" w:type="dxa"/>
            <w:gridSpan w:val="2"/>
            <w:tcBorders>
              <w:top w:val="single" w:sz="6" w:space="0" w:color="000000"/>
              <w:left w:val="nil"/>
              <w:bottom w:val="single" w:sz="6" w:space="0" w:color="000000"/>
              <w:right w:val="nil"/>
            </w:tcBorders>
            <w:shd w:val="clear" w:color="auto" w:fill="FFFFFF"/>
          </w:tcPr>
          <w:p w:rsidR="00E11179" w:rsidRDefault="007E1E99">
            <w:pPr>
              <w:spacing w:after="0" w:line="259" w:lineRule="auto"/>
              <w:ind w:left="3" w:right="-6" w:firstLine="0"/>
              <w:jc w:val="both"/>
            </w:pPr>
            <w:r>
              <w:t>None</w:t>
            </w:r>
          </w:p>
        </w:tc>
        <w:tc>
          <w:tcPr>
            <w:tcW w:w="7304" w:type="dxa"/>
            <w:gridSpan w:val="12"/>
            <w:tcBorders>
              <w:top w:val="single" w:sz="6" w:space="0" w:color="000000"/>
              <w:left w:val="nil"/>
              <w:bottom w:val="single" w:sz="6" w:space="0" w:color="000000"/>
              <w:right w:val="single" w:sz="6" w:space="0" w:color="000000"/>
            </w:tcBorders>
          </w:tcPr>
          <w:p w:rsidR="00E11179" w:rsidRDefault="007E1E99">
            <w:pPr>
              <w:spacing w:after="0" w:line="259" w:lineRule="auto"/>
              <w:ind w:left="6" w:firstLine="0"/>
            </w:pPr>
            <w:r>
              <w:t xml:space="preserve"> </w:t>
            </w:r>
          </w:p>
        </w:tc>
      </w:tr>
      <w:tr w:rsidR="00E11179">
        <w:trPr>
          <w:trHeight w:val="612"/>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Location: </w:t>
            </w:r>
          </w:p>
        </w:tc>
        <w:tc>
          <w:tcPr>
            <w:tcW w:w="7987" w:type="dxa"/>
            <w:gridSpan w:val="15"/>
            <w:tcBorders>
              <w:top w:val="single" w:sz="6" w:space="0" w:color="000000"/>
              <w:left w:val="single" w:sz="6" w:space="0" w:color="000000"/>
              <w:bottom w:val="single" w:sz="6" w:space="0" w:color="000000"/>
              <w:right w:val="single" w:sz="6" w:space="0" w:color="000000"/>
            </w:tcBorders>
            <w:vAlign w:val="bottom"/>
          </w:tcPr>
          <w:p w:rsidR="00E11179" w:rsidRDefault="007E1E99">
            <w:pPr>
              <w:spacing w:after="0" w:line="259" w:lineRule="auto"/>
              <w:ind w:left="115" w:firstLine="0"/>
            </w:pPr>
            <w:r>
              <w:t xml:space="preserve">The software is cloud based and will not be delivered to a specific geographical location.  </w:t>
            </w:r>
          </w:p>
        </w:tc>
      </w:tr>
      <w:tr w:rsidR="00E11179">
        <w:trPr>
          <w:trHeight w:val="291"/>
        </w:trPr>
        <w:tc>
          <w:tcPr>
            <w:tcW w:w="2657" w:type="dxa"/>
            <w:vMerge w:val="restart"/>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Quality standards: </w:t>
            </w:r>
          </w:p>
        </w:tc>
        <w:tc>
          <w:tcPr>
            <w:tcW w:w="113" w:type="dxa"/>
            <w:vMerge w:val="restart"/>
            <w:tcBorders>
              <w:top w:val="single" w:sz="6" w:space="0" w:color="000000"/>
              <w:left w:val="single" w:sz="6" w:space="0" w:color="000000"/>
              <w:bottom w:val="single" w:sz="6" w:space="0" w:color="000000"/>
              <w:right w:val="nil"/>
            </w:tcBorders>
          </w:tcPr>
          <w:p w:rsidR="00E11179" w:rsidRDefault="00E11179">
            <w:pPr>
              <w:spacing w:after="160" w:line="259" w:lineRule="auto"/>
              <w:ind w:left="0" w:firstLine="0"/>
            </w:pPr>
          </w:p>
        </w:tc>
        <w:tc>
          <w:tcPr>
            <w:tcW w:w="6996" w:type="dxa"/>
            <w:gridSpan w:val="9"/>
            <w:tcBorders>
              <w:top w:val="single" w:sz="6" w:space="0" w:color="000000"/>
              <w:left w:val="nil"/>
              <w:bottom w:val="nil"/>
              <w:right w:val="nil"/>
            </w:tcBorders>
            <w:shd w:val="clear" w:color="auto" w:fill="FFFFFF"/>
          </w:tcPr>
          <w:p w:rsidR="00E11179" w:rsidRDefault="007E1E99">
            <w:pPr>
              <w:spacing w:after="0" w:line="259" w:lineRule="auto"/>
              <w:ind w:left="3" w:firstLine="0"/>
              <w:jc w:val="both"/>
            </w:pPr>
            <w:r>
              <w:t>The quality standards required for this Call-Off contract are in the</w:t>
            </w:r>
          </w:p>
        </w:tc>
        <w:tc>
          <w:tcPr>
            <w:tcW w:w="878" w:type="dxa"/>
            <w:gridSpan w:val="5"/>
            <w:vMerge w:val="restart"/>
            <w:tcBorders>
              <w:top w:val="single" w:sz="6" w:space="0" w:color="000000"/>
              <w:left w:val="nil"/>
              <w:bottom w:val="single" w:sz="6" w:space="0" w:color="000000"/>
              <w:right w:val="single" w:sz="6" w:space="0" w:color="000000"/>
            </w:tcBorders>
          </w:tcPr>
          <w:p w:rsidR="00E11179" w:rsidRDefault="007E1E99">
            <w:pPr>
              <w:spacing w:after="0" w:line="259" w:lineRule="auto"/>
              <w:ind w:left="-4" w:firstLine="0"/>
            </w:pPr>
            <w:r>
              <w:t xml:space="preserve"> </w:t>
            </w:r>
          </w:p>
        </w:tc>
      </w:tr>
      <w:tr w:rsidR="00E11179">
        <w:trPr>
          <w:trHeight w:val="291"/>
        </w:trPr>
        <w:tc>
          <w:tcPr>
            <w:tcW w:w="0" w:type="auto"/>
            <w:vMerge/>
            <w:tcBorders>
              <w:top w:val="nil"/>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0" w:type="auto"/>
            <w:vMerge/>
            <w:tcBorders>
              <w:top w:val="nil"/>
              <w:left w:val="single" w:sz="6" w:space="0" w:color="000000"/>
              <w:bottom w:val="single" w:sz="6" w:space="0" w:color="000000"/>
              <w:right w:val="nil"/>
            </w:tcBorders>
          </w:tcPr>
          <w:p w:rsidR="00E11179" w:rsidRDefault="00E11179">
            <w:pPr>
              <w:spacing w:after="160" w:line="259" w:lineRule="auto"/>
              <w:ind w:left="0" w:firstLine="0"/>
            </w:pPr>
          </w:p>
        </w:tc>
        <w:tc>
          <w:tcPr>
            <w:tcW w:w="2732" w:type="dxa"/>
            <w:gridSpan w:val="5"/>
            <w:tcBorders>
              <w:top w:val="nil"/>
              <w:left w:val="nil"/>
              <w:bottom w:val="single" w:sz="6" w:space="0" w:color="000000"/>
              <w:right w:val="nil"/>
            </w:tcBorders>
            <w:shd w:val="clear" w:color="auto" w:fill="FFFFFF"/>
          </w:tcPr>
          <w:p w:rsidR="00E11179" w:rsidRDefault="007E1E99">
            <w:pPr>
              <w:spacing w:after="0" w:line="259" w:lineRule="auto"/>
              <w:ind w:left="3" w:right="-7" w:firstLine="0"/>
              <w:jc w:val="both"/>
            </w:pPr>
            <w:r>
              <w:t>Service Level Agreement.</w:t>
            </w:r>
          </w:p>
        </w:tc>
        <w:tc>
          <w:tcPr>
            <w:tcW w:w="4264" w:type="dxa"/>
            <w:gridSpan w:val="4"/>
            <w:tcBorders>
              <w:top w:val="nil"/>
              <w:left w:val="nil"/>
              <w:bottom w:val="single" w:sz="6" w:space="0" w:color="000000"/>
              <w:right w:val="nil"/>
            </w:tcBorders>
          </w:tcPr>
          <w:p w:rsidR="00E11179" w:rsidRDefault="007E1E99">
            <w:pPr>
              <w:spacing w:after="0" w:line="259" w:lineRule="auto"/>
              <w:ind w:left="7" w:firstLine="0"/>
            </w:pPr>
            <w:r>
              <w:t xml:space="preserve">  </w:t>
            </w:r>
          </w:p>
        </w:tc>
        <w:tc>
          <w:tcPr>
            <w:tcW w:w="0" w:type="auto"/>
            <w:gridSpan w:val="5"/>
            <w:vMerge/>
            <w:tcBorders>
              <w:top w:val="nil"/>
              <w:left w:val="nil"/>
              <w:bottom w:val="single" w:sz="6" w:space="0" w:color="000000"/>
              <w:right w:val="single" w:sz="6" w:space="0" w:color="000000"/>
            </w:tcBorders>
          </w:tcPr>
          <w:p w:rsidR="00E11179" w:rsidRDefault="00E11179">
            <w:pPr>
              <w:spacing w:after="160" w:line="259" w:lineRule="auto"/>
              <w:ind w:left="0" w:firstLine="0"/>
            </w:pPr>
          </w:p>
        </w:tc>
      </w:tr>
      <w:tr w:rsidR="00E11179">
        <w:trPr>
          <w:trHeight w:val="587"/>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Technical standards:  </w:t>
            </w:r>
          </w:p>
        </w:tc>
        <w:tc>
          <w:tcPr>
            <w:tcW w:w="7987" w:type="dxa"/>
            <w:gridSpan w:val="15"/>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t xml:space="preserve">The technical standards required for this Call-Off Contract are in the Service Level Agreement.  </w:t>
            </w:r>
          </w:p>
        </w:tc>
      </w:tr>
      <w:tr w:rsidR="00E11179">
        <w:trPr>
          <w:trHeight w:val="863"/>
        </w:trPr>
        <w:tc>
          <w:tcPr>
            <w:tcW w:w="2657" w:type="dxa"/>
            <w:vMerge w:val="restart"/>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Service level agreement: </w:t>
            </w:r>
          </w:p>
        </w:tc>
        <w:tc>
          <w:tcPr>
            <w:tcW w:w="7987" w:type="dxa"/>
            <w:gridSpan w:val="15"/>
            <w:tcBorders>
              <w:top w:val="single" w:sz="6" w:space="0" w:color="000000"/>
              <w:left w:val="single" w:sz="6" w:space="0" w:color="000000"/>
              <w:bottom w:val="nil"/>
              <w:right w:val="single" w:sz="6" w:space="0" w:color="000000"/>
            </w:tcBorders>
            <w:vAlign w:val="bottom"/>
          </w:tcPr>
          <w:p w:rsidR="00E11179" w:rsidRDefault="007E1E99">
            <w:pPr>
              <w:spacing w:after="0" w:line="259" w:lineRule="auto"/>
              <w:ind w:left="115" w:firstLine="0"/>
            </w:pPr>
            <w:r>
              <w:t>REDACTED</w:t>
            </w:r>
          </w:p>
        </w:tc>
      </w:tr>
      <w:tr w:rsidR="00E11179">
        <w:trPr>
          <w:trHeight w:val="291"/>
        </w:trPr>
        <w:tc>
          <w:tcPr>
            <w:tcW w:w="0" w:type="auto"/>
            <w:vMerge/>
            <w:tcBorders>
              <w:top w:val="nil"/>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113" w:type="dxa"/>
            <w:tcBorders>
              <w:top w:val="nil"/>
              <w:left w:val="single" w:sz="6" w:space="0" w:color="000000"/>
              <w:bottom w:val="single" w:sz="6" w:space="0" w:color="000000"/>
              <w:right w:val="nil"/>
            </w:tcBorders>
          </w:tcPr>
          <w:p w:rsidR="00E11179" w:rsidRDefault="00E11179">
            <w:pPr>
              <w:spacing w:after="160" w:line="259" w:lineRule="auto"/>
              <w:ind w:left="0" w:firstLine="0"/>
            </w:pPr>
          </w:p>
        </w:tc>
        <w:tc>
          <w:tcPr>
            <w:tcW w:w="1036" w:type="dxa"/>
            <w:gridSpan w:val="4"/>
            <w:tcBorders>
              <w:top w:val="nil"/>
              <w:left w:val="nil"/>
              <w:bottom w:val="single" w:sz="6" w:space="0" w:color="000000"/>
              <w:right w:val="nil"/>
            </w:tcBorders>
            <w:shd w:val="clear" w:color="auto" w:fill="FFFFFF"/>
          </w:tcPr>
          <w:p w:rsidR="00E11179" w:rsidRDefault="00E11179">
            <w:pPr>
              <w:spacing w:after="0" w:line="259" w:lineRule="auto"/>
              <w:ind w:left="3" w:right="-6" w:firstLine="0"/>
              <w:jc w:val="both"/>
            </w:pPr>
          </w:p>
        </w:tc>
        <w:tc>
          <w:tcPr>
            <w:tcW w:w="6838" w:type="dxa"/>
            <w:gridSpan w:val="10"/>
            <w:tcBorders>
              <w:top w:val="nil"/>
              <w:left w:val="nil"/>
              <w:bottom w:val="single" w:sz="6" w:space="0" w:color="000000"/>
              <w:right w:val="single" w:sz="6" w:space="0" w:color="000000"/>
            </w:tcBorders>
          </w:tcPr>
          <w:p w:rsidR="00E11179" w:rsidRDefault="00E11179">
            <w:pPr>
              <w:spacing w:after="0" w:line="259" w:lineRule="auto"/>
              <w:ind w:left="5" w:firstLine="0"/>
            </w:pPr>
          </w:p>
        </w:tc>
      </w:tr>
      <w:tr w:rsidR="00E11179">
        <w:trPr>
          <w:trHeight w:val="677"/>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Onboarding:  </w:t>
            </w:r>
          </w:p>
        </w:tc>
        <w:tc>
          <w:tcPr>
            <w:tcW w:w="7987" w:type="dxa"/>
            <w:gridSpan w:val="15"/>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t xml:space="preserve">The onboarding plan for this Call-Off Contract is not necessary as we already have this product enabled for users across government.  </w:t>
            </w:r>
          </w:p>
        </w:tc>
      </w:tr>
      <w:tr w:rsidR="00E11179">
        <w:trPr>
          <w:trHeight w:val="1008"/>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Offboarding:  </w:t>
            </w:r>
          </w:p>
        </w:tc>
        <w:tc>
          <w:tcPr>
            <w:tcW w:w="7987" w:type="dxa"/>
            <w:gridSpan w:val="15"/>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right="63" w:firstLine="0"/>
            </w:pPr>
            <w:r>
              <w:t xml:space="preserve">The offboarding plan for this Call-Off Contract is not necessary as we plan to keep this product going forward and refresh the contract until the product is no longer required or desired. </w:t>
            </w:r>
          </w:p>
        </w:tc>
      </w:tr>
      <w:tr w:rsidR="00E11179">
        <w:trPr>
          <w:trHeight w:val="291"/>
        </w:trPr>
        <w:tc>
          <w:tcPr>
            <w:tcW w:w="2657" w:type="dxa"/>
            <w:vMerge w:val="restart"/>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Collaboration agreement: </w:t>
            </w:r>
          </w:p>
        </w:tc>
        <w:tc>
          <w:tcPr>
            <w:tcW w:w="113" w:type="dxa"/>
            <w:vMerge w:val="restart"/>
            <w:tcBorders>
              <w:top w:val="single" w:sz="6" w:space="0" w:color="000000"/>
              <w:left w:val="single" w:sz="6" w:space="0" w:color="000000"/>
              <w:bottom w:val="single" w:sz="6" w:space="0" w:color="000000"/>
              <w:right w:val="nil"/>
            </w:tcBorders>
          </w:tcPr>
          <w:p w:rsidR="00E11179" w:rsidRDefault="00E11179">
            <w:pPr>
              <w:spacing w:after="160" w:line="259" w:lineRule="auto"/>
              <w:ind w:left="0" w:firstLine="0"/>
            </w:pPr>
          </w:p>
        </w:tc>
        <w:tc>
          <w:tcPr>
            <w:tcW w:w="6786" w:type="dxa"/>
            <w:gridSpan w:val="8"/>
            <w:tcBorders>
              <w:top w:val="single" w:sz="6" w:space="0" w:color="000000"/>
              <w:left w:val="nil"/>
              <w:bottom w:val="nil"/>
              <w:right w:val="nil"/>
            </w:tcBorders>
            <w:shd w:val="clear" w:color="auto" w:fill="FFFFFF"/>
          </w:tcPr>
          <w:p w:rsidR="00E11179" w:rsidRDefault="007E1E99">
            <w:pPr>
              <w:spacing w:after="0" w:line="259" w:lineRule="auto"/>
              <w:ind w:left="3" w:right="-7" w:firstLine="0"/>
              <w:jc w:val="both"/>
            </w:pPr>
            <w:r>
              <w:t>This Call-Off Contract is conditional on the Supplier providing a</w:t>
            </w:r>
          </w:p>
        </w:tc>
        <w:tc>
          <w:tcPr>
            <w:tcW w:w="1088" w:type="dxa"/>
            <w:gridSpan w:val="6"/>
            <w:vMerge w:val="restart"/>
            <w:tcBorders>
              <w:top w:val="single" w:sz="6" w:space="0" w:color="000000"/>
              <w:left w:val="nil"/>
              <w:bottom w:val="single" w:sz="6" w:space="0" w:color="000000"/>
              <w:right w:val="single" w:sz="6" w:space="0" w:color="000000"/>
            </w:tcBorders>
          </w:tcPr>
          <w:p w:rsidR="00E11179" w:rsidRDefault="007E1E99">
            <w:pPr>
              <w:spacing w:after="0" w:line="259" w:lineRule="auto"/>
              <w:ind w:left="7" w:firstLine="0"/>
            </w:pPr>
            <w:r>
              <w:t xml:space="preserve"> </w:t>
            </w:r>
          </w:p>
        </w:tc>
      </w:tr>
      <w:tr w:rsidR="00E11179">
        <w:trPr>
          <w:trHeight w:val="385"/>
        </w:trPr>
        <w:tc>
          <w:tcPr>
            <w:tcW w:w="0" w:type="auto"/>
            <w:vMerge/>
            <w:tcBorders>
              <w:top w:val="nil"/>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0" w:type="auto"/>
            <w:vMerge/>
            <w:tcBorders>
              <w:top w:val="nil"/>
              <w:left w:val="single" w:sz="6" w:space="0" w:color="000000"/>
              <w:bottom w:val="single" w:sz="6" w:space="0" w:color="000000"/>
              <w:right w:val="nil"/>
            </w:tcBorders>
          </w:tcPr>
          <w:p w:rsidR="00E11179" w:rsidRDefault="00E11179">
            <w:pPr>
              <w:spacing w:after="160" w:line="259" w:lineRule="auto"/>
              <w:ind w:left="0" w:firstLine="0"/>
            </w:pPr>
          </w:p>
        </w:tc>
        <w:tc>
          <w:tcPr>
            <w:tcW w:w="6786" w:type="dxa"/>
            <w:gridSpan w:val="8"/>
            <w:tcBorders>
              <w:top w:val="nil"/>
              <w:left w:val="nil"/>
              <w:bottom w:val="single" w:sz="6" w:space="0" w:color="000000"/>
              <w:right w:val="nil"/>
            </w:tcBorders>
          </w:tcPr>
          <w:p w:rsidR="00E11179" w:rsidRDefault="007E1E99">
            <w:pPr>
              <w:spacing w:after="0" w:line="259" w:lineRule="auto"/>
              <w:ind w:left="3" w:firstLine="0"/>
            </w:pPr>
            <w:r>
              <w:t xml:space="preserve">Collaboration Agreement to the Buyer before the Start Date. </w:t>
            </w:r>
          </w:p>
        </w:tc>
        <w:tc>
          <w:tcPr>
            <w:tcW w:w="0" w:type="auto"/>
            <w:gridSpan w:val="6"/>
            <w:vMerge/>
            <w:tcBorders>
              <w:top w:val="nil"/>
              <w:left w:val="nil"/>
              <w:bottom w:val="single" w:sz="6" w:space="0" w:color="000000"/>
              <w:right w:val="single" w:sz="6" w:space="0" w:color="000000"/>
            </w:tcBorders>
          </w:tcPr>
          <w:p w:rsidR="00E11179" w:rsidRDefault="00E11179">
            <w:pPr>
              <w:spacing w:after="160" w:line="259" w:lineRule="auto"/>
              <w:ind w:left="0" w:firstLine="0"/>
            </w:pPr>
          </w:p>
        </w:tc>
      </w:tr>
      <w:tr w:rsidR="00E11179">
        <w:trPr>
          <w:trHeight w:val="291"/>
        </w:trPr>
        <w:tc>
          <w:tcPr>
            <w:tcW w:w="2657" w:type="dxa"/>
            <w:vMerge w:val="restart"/>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Limit on Parties’ liability: </w:t>
            </w:r>
          </w:p>
        </w:tc>
        <w:tc>
          <w:tcPr>
            <w:tcW w:w="113" w:type="dxa"/>
            <w:vMerge w:val="restart"/>
            <w:tcBorders>
              <w:top w:val="single" w:sz="6" w:space="0" w:color="000000"/>
              <w:left w:val="single" w:sz="6" w:space="0" w:color="000000"/>
              <w:bottom w:val="single" w:sz="6" w:space="0" w:color="000000"/>
              <w:right w:val="nil"/>
            </w:tcBorders>
          </w:tcPr>
          <w:p w:rsidR="00E11179" w:rsidRDefault="00E11179">
            <w:pPr>
              <w:spacing w:after="160" w:line="259" w:lineRule="auto"/>
              <w:ind w:left="0" w:firstLine="0"/>
            </w:pPr>
          </w:p>
        </w:tc>
        <w:tc>
          <w:tcPr>
            <w:tcW w:w="7476" w:type="dxa"/>
            <w:gridSpan w:val="11"/>
            <w:tcBorders>
              <w:top w:val="single" w:sz="6" w:space="0" w:color="000000"/>
              <w:left w:val="nil"/>
              <w:bottom w:val="nil"/>
              <w:right w:val="nil"/>
            </w:tcBorders>
            <w:shd w:val="clear" w:color="auto" w:fill="FFFFFF"/>
          </w:tcPr>
          <w:p w:rsidR="00E11179" w:rsidRDefault="007E1E99">
            <w:pPr>
              <w:spacing w:after="0" w:line="259" w:lineRule="auto"/>
              <w:ind w:left="3" w:right="-5" w:firstLine="0"/>
              <w:jc w:val="both"/>
            </w:pPr>
            <w:r>
              <w:t>The annual total liability of either Party for all Property defaults will not</w:t>
            </w:r>
          </w:p>
        </w:tc>
        <w:tc>
          <w:tcPr>
            <w:tcW w:w="398" w:type="dxa"/>
            <w:gridSpan w:val="3"/>
            <w:vMerge w:val="restart"/>
            <w:tcBorders>
              <w:top w:val="single" w:sz="6" w:space="0" w:color="000000"/>
              <w:left w:val="nil"/>
              <w:bottom w:val="single" w:sz="6" w:space="0" w:color="000000"/>
              <w:right w:val="single" w:sz="6" w:space="0" w:color="000000"/>
            </w:tcBorders>
          </w:tcPr>
          <w:p w:rsidR="00E11179" w:rsidRDefault="007E1E99">
            <w:pPr>
              <w:spacing w:after="0" w:line="259" w:lineRule="auto"/>
              <w:ind w:left="4" w:firstLine="0"/>
            </w:pPr>
            <w:r>
              <w:t xml:space="preserve"> </w:t>
            </w:r>
          </w:p>
        </w:tc>
      </w:tr>
      <w:tr w:rsidR="00E11179">
        <w:trPr>
          <w:trHeight w:val="2034"/>
        </w:trPr>
        <w:tc>
          <w:tcPr>
            <w:tcW w:w="0" w:type="auto"/>
            <w:vMerge/>
            <w:tcBorders>
              <w:top w:val="nil"/>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0" w:type="auto"/>
            <w:vMerge/>
            <w:tcBorders>
              <w:top w:val="nil"/>
              <w:left w:val="single" w:sz="6" w:space="0" w:color="000000"/>
              <w:bottom w:val="single" w:sz="6" w:space="0" w:color="000000"/>
              <w:right w:val="nil"/>
            </w:tcBorders>
          </w:tcPr>
          <w:p w:rsidR="00E11179" w:rsidRDefault="00E11179">
            <w:pPr>
              <w:spacing w:after="160" w:line="259" w:lineRule="auto"/>
              <w:ind w:left="0" w:firstLine="0"/>
            </w:pPr>
          </w:p>
        </w:tc>
        <w:tc>
          <w:tcPr>
            <w:tcW w:w="7476" w:type="dxa"/>
            <w:gridSpan w:val="11"/>
            <w:tcBorders>
              <w:top w:val="nil"/>
              <w:left w:val="nil"/>
              <w:bottom w:val="single" w:sz="6" w:space="0" w:color="000000"/>
              <w:right w:val="nil"/>
            </w:tcBorders>
          </w:tcPr>
          <w:p w:rsidR="00E11179" w:rsidRDefault="007E1E99">
            <w:pPr>
              <w:spacing w:after="0" w:line="287" w:lineRule="auto"/>
              <w:ind w:left="3" w:firstLine="0"/>
            </w:pPr>
            <w:r>
              <w:t xml:space="preserve">exceed the Charges payable by the Buyer to the Supplier in the previous 12 months.  </w:t>
            </w:r>
          </w:p>
          <w:p w:rsidR="00E11179" w:rsidRDefault="007E1E99">
            <w:pPr>
              <w:spacing w:after="32" w:line="259" w:lineRule="auto"/>
              <w:ind w:left="3" w:firstLine="0"/>
            </w:pPr>
            <w:r>
              <w:t xml:space="preserve"> </w:t>
            </w:r>
          </w:p>
          <w:p w:rsidR="00E11179" w:rsidRDefault="007E1E99">
            <w:pPr>
              <w:spacing w:after="0" w:line="259" w:lineRule="auto"/>
              <w:ind w:left="3" w:firstLine="0"/>
            </w:pPr>
            <w:r>
              <w:t xml:space="preserve">The annual total liability for Buyer Data defaults will not exceed the Charges payable by the Buyer to the Supplier in the previous 12 months. </w:t>
            </w:r>
          </w:p>
        </w:tc>
        <w:tc>
          <w:tcPr>
            <w:tcW w:w="0" w:type="auto"/>
            <w:gridSpan w:val="3"/>
            <w:vMerge/>
            <w:tcBorders>
              <w:top w:val="nil"/>
              <w:left w:val="nil"/>
              <w:bottom w:val="single" w:sz="6" w:space="0" w:color="000000"/>
              <w:right w:val="single" w:sz="6" w:space="0" w:color="000000"/>
            </w:tcBorders>
          </w:tcPr>
          <w:p w:rsidR="00E11179" w:rsidRDefault="00E11179">
            <w:pPr>
              <w:spacing w:after="160" w:line="259" w:lineRule="auto"/>
              <w:ind w:left="0" w:firstLine="0"/>
            </w:pPr>
          </w:p>
        </w:tc>
      </w:tr>
      <w:tr w:rsidR="00E11179">
        <w:trPr>
          <w:trHeight w:val="293"/>
        </w:trPr>
        <w:tc>
          <w:tcPr>
            <w:tcW w:w="2657" w:type="dxa"/>
            <w:vMerge w:val="restart"/>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Insurance: </w:t>
            </w:r>
          </w:p>
        </w:tc>
        <w:tc>
          <w:tcPr>
            <w:tcW w:w="7987" w:type="dxa"/>
            <w:gridSpan w:val="15"/>
            <w:tcBorders>
              <w:top w:val="single" w:sz="6" w:space="0" w:color="000000"/>
              <w:left w:val="single" w:sz="6" w:space="0" w:color="000000"/>
              <w:bottom w:val="nil"/>
              <w:right w:val="single" w:sz="6" w:space="0" w:color="000000"/>
            </w:tcBorders>
            <w:vAlign w:val="bottom"/>
          </w:tcPr>
          <w:p w:rsidR="0081439E" w:rsidRDefault="007E1E99">
            <w:pPr>
              <w:spacing w:after="0" w:line="259" w:lineRule="auto"/>
              <w:ind w:left="115" w:firstLine="0"/>
            </w:pPr>
            <w:r>
              <w:t xml:space="preserve">The insurance(s) required will be:  </w:t>
            </w:r>
          </w:p>
          <w:p w:rsidR="0081439E" w:rsidRDefault="0081439E" w:rsidP="0081439E">
            <w:pPr>
              <w:autoSpaceDE w:val="0"/>
              <w:autoSpaceDN w:val="0"/>
              <w:adjustRightInd w:val="0"/>
              <w:spacing w:after="0" w:line="240" w:lineRule="auto"/>
              <w:ind w:left="0" w:firstLine="0"/>
              <w:rPr>
                <w:rFonts w:ascii="Cambria" w:eastAsia="ArialMT" w:hAnsi="Cambria" w:cs="Cambria"/>
                <w:color w:val="auto"/>
                <w:sz w:val="22"/>
              </w:rPr>
            </w:pPr>
            <w:r>
              <w:rPr>
                <w:rFonts w:ascii="ArialMT" w:eastAsia="ArialMT" w:hAnsiTheme="minorHAnsi" w:cs="ArialMT" w:hint="eastAsia"/>
                <w:color w:val="auto"/>
                <w:szCs w:val="24"/>
              </w:rPr>
              <w:t>●</w:t>
            </w:r>
            <w:r>
              <w:rPr>
                <w:rFonts w:ascii="ArialMT" w:eastAsia="ArialMT" w:hAnsiTheme="minorHAnsi" w:cs="ArialMT"/>
                <w:color w:val="auto"/>
                <w:szCs w:val="24"/>
              </w:rPr>
              <w:t xml:space="preserve"> </w:t>
            </w:r>
            <w:r>
              <w:rPr>
                <w:rFonts w:ascii="HelveticaNeue" w:eastAsia="ArialMT" w:hAnsi="HelveticaNeue" w:cs="HelveticaNeue"/>
                <w:color w:val="auto"/>
                <w:szCs w:val="24"/>
              </w:rPr>
              <w:t>a minimum insurance period of 6 years following the expiration or</w:t>
            </w:r>
          </w:p>
          <w:p w:rsidR="0081439E" w:rsidRDefault="0081439E" w:rsidP="0081439E">
            <w:pPr>
              <w:autoSpaceDE w:val="0"/>
              <w:autoSpaceDN w:val="0"/>
              <w:adjustRightInd w:val="0"/>
              <w:spacing w:after="0" w:line="240" w:lineRule="auto"/>
              <w:ind w:left="0" w:firstLine="0"/>
              <w:rPr>
                <w:rFonts w:ascii="HelveticaNeue" w:eastAsia="ArialMT" w:hAnsi="HelveticaNeue" w:cs="HelveticaNeue"/>
                <w:color w:val="auto"/>
                <w:szCs w:val="24"/>
              </w:rPr>
            </w:pPr>
            <w:r>
              <w:rPr>
                <w:rFonts w:ascii="HelveticaNeue" w:eastAsia="ArialMT" w:hAnsi="HelveticaNeue" w:cs="HelveticaNeue"/>
                <w:color w:val="auto"/>
                <w:szCs w:val="24"/>
              </w:rPr>
              <w:t>Ending of this Call-Off Contract</w:t>
            </w:r>
          </w:p>
          <w:p w:rsidR="0081439E" w:rsidRDefault="0081439E" w:rsidP="0081439E">
            <w:pPr>
              <w:autoSpaceDE w:val="0"/>
              <w:autoSpaceDN w:val="0"/>
              <w:adjustRightInd w:val="0"/>
              <w:spacing w:after="0" w:line="240" w:lineRule="auto"/>
              <w:ind w:left="0" w:firstLine="0"/>
              <w:rPr>
                <w:rFonts w:ascii="HelveticaNeue" w:eastAsia="ArialMT" w:hAnsi="HelveticaNeue" w:cs="HelveticaNeue"/>
                <w:color w:val="auto"/>
                <w:szCs w:val="24"/>
              </w:rPr>
            </w:pPr>
            <w:r>
              <w:rPr>
                <w:rFonts w:ascii="ArialMT" w:eastAsia="ArialMT" w:hAnsiTheme="minorHAnsi" w:cs="ArialMT" w:hint="eastAsia"/>
                <w:color w:val="auto"/>
                <w:szCs w:val="24"/>
              </w:rPr>
              <w:t>●</w:t>
            </w:r>
            <w:r>
              <w:rPr>
                <w:rFonts w:ascii="ArialMT" w:eastAsia="ArialMT" w:hAnsiTheme="minorHAnsi" w:cs="ArialMT"/>
                <w:color w:val="auto"/>
                <w:szCs w:val="24"/>
              </w:rPr>
              <w:t xml:space="preserve"> </w:t>
            </w:r>
            <w:r>
              <w:rPr>
                <w:rFonts w:ascii="HelveticaNeue" w:eastAsia="ArialMT" w:hAnsi="HelveticaNeue" w:cs="HelveticaNeue"/>
                <w:color w:val="auto"/>
                <w:szCs w:val="24"/>
              </w:rPr>
              <w:t>professional indemnity insurance cover to be held by the Supplier</w:t>
            </w:r>
          </w:p>
          <w:p w:rsidR="0081439E" w:rsidRDefault="0081439E" w:rsidP="0081439E">
            <w:pPr>
              <w:autoSpaceDE w:val="0"/>
              <w:autoSpaceDN w:val="0"/>
              <w:adjustRightInd w:val="0"/>
              <w:spacing w:after="0" w:line="240" w:lineRule="auto"/>
              <w:ind w:left="0" w:firstLine="0"/>
              <w:rPr>
                <w:rFonts w:ascii="HelveticaNeue" w:eastAsia="ArialMT" w:hAnsi="HelveticaNeue" w:cs="HelveticaNeue"/>
                <w:color w:val="auto"/>
                <w:szCs w:val="24"/>
              </w:rPr>
            </w:pPr>
            <w:r>
              <w:rPr>
                <w:rFonts w:ascii="HelveticaNeue" w:eastAsia="ArialMT" w:hAnsi="HelveticaNeue" w:cs="HelveticaNeue"/>
                <w:color w:val="auto"/>
                <w:szCs w:val="24"/>
              </w:rPr>
              <w:t>and by any agent, Subcontractor or consultant involved in the</w:t>
            </w:r>
          </w:p>
          <w:p w:rsidR="0081439E" w:rsidRDefault="0081439E" w:rsidP="0081439E">
            <w:pPr>
              <w:autoSpaceDE w:val="0"/>
              <w:autoSpaceDN w:val="0"/>
              <w:adjustRightInd w:val="0"/>
              <w:spacing w:after="0" w:line="240" w:lineRule="auto"/>
              <w:ind w:left="0" w:firstLine="0"/>
              <w:rPr>
                <w:rFonts w:ascii="HelveticaNeue" w:eastAsia="ArialMT" w:hAnsi="HelveticaNeue" w:cs="HelveticaNeue"/>
                <w:color w:val="auto"/>
                <w:szCs w:val="24"/>
              </w:rPr>
            </w:pPr>
            <w:r>
              <w:rPr>
                <w:rFonts w:ascii="HelveticaNeue" w:eastAsia="ArialMT" w:hAnsi="HelveticaNeue" w:cs="HelveticaNeue"/>
                <w:color w:val="auto"/>
                <w:szCs w:val="24"/>
              </w:rPr>
              <w:t>supply of the G-Cloud Services. This professional indemnity</w:t>
            </w:r>
          </w:p>
          <w:p w:rsidR="0081439E" w:rsidRDefault="0081439E" w:rsidP="0081439E">
            <w:pPr>
              <w:autoSpaceDE w:val="0"/>
              <w:autoSpaceDN w:val="0"/>
              <w:adjustRightInd w:val="0"/>
              <w:spacing w:after="0" w:line="240" w:lineRule="auto"/>
              <w:ind w:left="0" w:firstLine="0"/>
              <w:rPr>
                <w:rFonts w:ascii="HelveticaNeue" w:eastAsia="ArialMT" w:hAnsi="HelveticaNeue" w:cs="HelveticaNeue"/>
                <w:color w:val="auto"/>
                <w:szCs w:val="24"/>
              </w:rPr>
            </w:pPr>
            <w:r>
              <w:rPr>
                <w:rFonts w:ascii="HelveticaNeue" w:eastAsia="ArialMT" w:hAnsi="HelveticaNeue" w:cs="HelveticaNeue"/>
                <w:color w:val="auto"/>
                <w:szCs w:val="24"/>
              </w:rPr>
              <w:t>insurance cover will have a minimum limit of indemnity of</w:t>
            </w:r>
          </w:p>
          <w:p w:rsidR="0081439E" w:rsidRDefault="0081439E" w:rsidP="0081439E">
            <w:pPr>
              <w:autoSpaceDE w:val="0"/>
              <w:autoSpaceDN w:val="0"/>
              <w:adjustRightInd w:val="0"/>
              <w:spacing w:after="0" w:line="240" w:lineRule="auto"/>
              <w:ind w:left="0" w:firstLine="0"/>
              <w:rPr>
                <w:rFonts w:ascii="HelveticaNeue" w:eastAsia="ArialMT" w:hAnsi="HelveticaNeue" w:cs="HelveticaNeue"/>
                <w:color w:val="auto"/>
                <w:szCs w:val="24"/>
              </w:rPr>
            </w:pPr>
            <w:r>
              <w:rPr>
                <w:rFonts w:ascii="HelveticaNeue" w:eastAsia="ArialMT" w:hAnsi="HelveticaNeue" w:cs="HelveticaNeue"/>
                <w:color w:val="auto"/>
                <w:szCs w:val="24"/>
              </w:rPr>
              <w:t>£</w:t>
            </w:r>
            <w:proofErr w:type="gramStart"/>
            <w:r>
              <w:rPr>
                <w:rFonts w:ascii="HelveticaNeue" w:eastAsia="ArialMT" w:hAnsi="HelveticaNeue" w:cs="HelveticaNeue"/>
                <w:color w:val="auto"/>
                <w:szCs w:val="24"/>
              </w:rPr>
              <w:t>REDACTED  for</w:t>
            </w:r>
            <w:proofErr w:type="gramEnd"/>
            <w:r>
              <w:rPr>
                <w:rFonts w:ascii="HelveticaNeue" w:eastAsia="ArialMT" w:hAnsi="HelveticaNeue" w:cs="HelveticaNeue"/>
                <w:color w:val="auto"/>
                <w:szCs w:val="24"/>
              </w:rPr>
              <w:t xml:space="preserve"> each individual claim or any higher limit the Buyer</w:t>
            </w:r>
          </w:p>
          <w:p w:rsidR="0081439E" w:rsidRDefault="0081439E" w:rsidP="0081439E">
            <w:pPr>
              <w:autoSpaceDE w:val="0"/>
              <w:autoSpaceDN w:val="0"/>
              <w:adjustRightInd w:val="0"/>
              <w:spacing w:after="0" w:line="240" w:lineRule="auto"/>
              <w:ind w:left="0" w:firstLine="0"/>
              <w:rPr>
                <w:rFonts w:ascii="HelveticaNeue" w:eastAsia="ArialMT" w:hAnsi="HelveticaNeue" w:cs="HelveticaNeue"/>
                <w:color w:val="auto"/>
                <w:szCs w:val="24"/>
              </w:rPr>
            </w:pPr>
            <w:r>
              <w:rPr>
                <w:rFonts w:ascii="HelveticaNeue" w:eastAsia="ArialMT" w:hAnsi="HelveticaNeue" w:cs="HelveticaNeue"/>
                <w:color w:val="auto"/>
                <w:szCs w:val="24"/>
              </w:rPr>
              <w:t>requires (and as required by Law)</w:t>
            </w:r>
          </w:p>
          <w:p w:rsidR="0081439E" w:rsidRDefault="0081439E" w:rsidP="0081439E">
            <w:pPr>
              <w:autoSpaceDE w:val="0"/>
              <w:autoSpaceDN w:val="0"/>
              <w:adjustRightInd w:val="0"/>
              <w:spacing w:after="0" w:line="240" w:lineRule="auto"/>
              <w:ind w:left="0" w:firstLine="0"/>
              <w:rPr>
                <w:rFonts w:ascii="HelveticaNeue" w:eastAsia="ArialMT" w:hAnsi="HelveticaNeue" w:cs="HelveticaNeue"/>
                <w:color w:val="auto"/>
                <w:szCs w:val="24"/>
              </w:rPr>
            </w:pPr>
            <w:r>
              <w:rPr>
                <w:rFonts w:ascii="ArialMT" w:eastAsia="ArialMT" w:hAnsiTheme="minorHAnsi" w:cs="ArialMT" w:hint="eastAsia"/>
                <w:color w:val="auto"/>
                <w:szCs w:val="24"/>
              </w:rPr>
              <w:t>●</w:t>
            </w:r>
            <w:r>
              <w:rPr>
                <w:rFonts w:ascii="ArialMT" w:eastAsia="ArialMT" w:hAnsiTheme="minorHAnsi" w:cs="ArialMT"/>
                <w:color w:val="auto"/>
                <w:szCs w:val="24"/>
              </w:rPr>
              <w:t xml:space="preserve"> </w:t>
            </w:r>
            <w:r>
              <w:rPr>
                <w:rFonts w:ascii="HelveticaNeue" w:eastAsia="ArialMT" w:hAnsi="HelveticaNeue" w:cs="HelveticaNeue"/>
                <w:color w:val="auto"/>
                <w:szCs w:val="24"/>
              </w:rPr>
              <w:t xml:space="preserve">employers' liability insurance with a minimum limit of £REDACTED </w:t>
            </w:r>
          </w:p>
          <w:p w:rsidR="0081439E" w:rsidRDefault="0081439E" w:rsidP="0081439E">
            <w:pPr>
              <w:spacing w:after="0" w:line="259" w:lineRule="auto"/>
              <w:ind w:left="115" w:firstLine="0"/>
            </w:pPr>
            <w:r>
              <w:rPr>
                <w:rFonts w:ascii="HelveticaNeue" w:eastAsia="ArialMT" w:hAnsi="HelveticaNeue" w:cs="HelveticaNeue"/>
                <w:color w:val="auto"/>
                <w:szCs w:val="24"/>
              </w:rPr>
              <w:t>or any higher minimum limit required by Law</w:t>
            </w:r>
          </w:p>
        </w:tc>
      </w:tr>
      <w:tr w:rsidR="00E11179" w:rsidTr="0081439E">
        <w:trPr>
          <w:trHeight w:val="864"/>
        </w:trPr>
        <w:tc>
          <w:tcPr>
            <w:tcW w:w="0" w:type="auto"/>
            <w:vMerge/>
            <w:tcBorders>
              <w:top w:val="nil"/>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428" w:type="dxa"/>
            <w:gridSpan w:val="2"/>
            <w:tcBorders>
              <w:top w:val="nil"/>
              <w:left w:val="single" w:sz="6" w:space="0" w:color="000000"/>
              <w:bottom w:val="single" w:sz="6" w:space="0" w:color="000000"/>
              <w:right w:val="nil"/>
            </w:tcBorders>
          </w:tcPr>
          <w:p w:rsidR="00E11179" w:rsidRDefault="00E11179">
            <w:pPr>
              <w:spacing w:after="160" w:line="259" w:lineRule="auto"/>
              <w:ind w:left="0" w:firstLine="0"/>
            </w:pPr>
          </w:p>
        </w:tc>
        <w:tc>
          <w:tcPr>
            <w:tcW w:w="7371" w:type="dxa"/>
            <w:gridSpan w:val="11"/>
            <w:tcBorders>
              <w:top w:val="nil"/>
              <w:left w:val="nil"/>
              <w:bottom w:val="single" w:sz="6" w:space="0" w:color="000000"/>
              <w:right w:val="nil"/>
            </w:tcBorders>
            <w:shd w:val="clear" w:color="auto" w:fill="FFFFFF"/>
          </w:tcPr>
          <w:p w:rsidR="00E11179" w:rsidRDefault="00E11179">
            <w:pPr>
              <w:tabs>
                <w:tab w:val="right" w:pos="7371"/>
              </w:tabs>
              <w:spacing w:after="0" w:line="259" w:lineRule="auto"/>
              <w:ind w:left="0" w:firstLine="0"/>
            </w:pPr>
          </w:p>
        </w:tc>
        <w:tc>
          <w:tcPr>
            <w:tcW w:w="188" w:type="dxa"/>
            <w:gridSpan w:val="2"/>
            <w:tcBorders>
              <w:top w:val="nil"/>
              <w:left w:val="nil"/>
              <w:bottom w:val="single" w:sz="6" w:space="0" w:color="000000"/>
              <w:right w:val="single" w:sz="6" w:space="0" w:color="000000"/>
            </w:tcBorders>
          </w:tcPr>
          <w:p w:rsidR="00E11179" w:rsidRDefault="007E1E99">
            <w:pPr>
              <w:spacing w:after="0" w:line="259" w:lineRule="auto"/>
              <w:ind w:left="0" w:firstLine="0"/>
            </w:pPr>
            <w:r>
              <w:t xml:space="preserve"> </w:t>
            </w:r>
          </w:p>
        </w:tc>
      </w:tr>
      <w:tr w:rsidR="00E11179">
        <w:trPr>
          <w:trHeight w:val="291"/>
        </w:trPr>
        <w:tc>
          <w:tcPr>
            <w:tcW w:w="2657" w:type="dxa"/>
            <w:vMerge w:val="restart"/>
            <w:tcBorders>
              <w:top w:val="single" w:sz="6" w:space="0" w:color="000000"/>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788" w:type="dxa"/>
            <w:gridSpan w:val="4"/>
            <w:vMerge w:val="restart"/>
            <w:tcBorders>
              <w:top w:val="single" w:sz="6" w:space="0" w:color="000000"/>
              <w:left w:val="single" w:sz="6" w:space="0" w:color="000000"/>
              <w:bottom w:val="single" w:sz="6" w:space="0" w:color="000000"/>
              <w:right w:val="nil"/>
            </w:tcBorders>
            <w:vAlign w:val="center"/>
          </w:tcPr>
          <w:p w:rsidR="00E11179" w:rsidRDefault="00E11179">
            <w:pPr>
              <w:spacing w:after="0" w:line="259" w:lineRule="auto"/>
              <w:ind w:left="218" w:firstLine="0"/>
              <w:jc w:val="center"/>
            </w:pPr>
          </w:p>
        </w:tc>
        <w:tc>
          <w:tcPr>
            <w:tcW w:w="3378" w:type="dxa"/>
            <w:gridSpan w:val="3"/>
            <w:tcBorders>
              <w:top w:val="single" w:sz="6" w:space="0" w:color="000000"/>
              <w:left w:val="nil"/>
              <w:bottom w:val="nil"/>
              <w:right w:val="nil"/>
            </w:tcBorders>
            <w:shd w:val="clear" w:color="auto" w:fill="FFFFFF"/>
          </w:tcPr>
          <w:p w:rsidR="00E11179" w:rsidRDefault="00E11179">
            <w:pPr>
              <w:spacing w:after="0" w:line="259" w:lineRule="auto"/>
              <w:ind w:left="3" w:firstLine="0"/>
              <w:jc w:val="both"/>
            </w:pPr>
          </w:p>
        </w:tc>
        <w:tc>
          <w:tcPr>
            <w:tcW w:w="3821" w:type="dxa"/>
            <w:gridSpan w:val="8"/>
            <w:vMerge w:val="restart"/>
            <w:tcBorders>
              <w:top w:val="single" w:sz="6" w:space="0" w:color="000000"/>
              <w:left w:val="nil"/>
              <w:bottom w:val="nil"/>
              <w:right w:val="single" w:sz="6" w:space="0" w:color="000000"/>
            </w:tcBorders>
          </w:tcPr>
          <w:p w:rsidR="00E11179" w:rsidRDefault="00E11179">
            <w:pPr>
              <w:spacing w:after="0" w:line="259" w:lineRule="auto"/>
              <w:ind w:left="0" w:right="289" w:firstLine="0"/>
              <w:jc w:val="right"/>
            </w:pPr>
          </w:p>
        </w:tc>
      </w:tr>
      <w:tr w:rsidR="00E11179">
        <w:trPr>
          <w:trHeight w:val="1997"/>
        </w:trPr>
        <w:tc>
          <w:tcPr>
            <w:tcW w:w="0" w:type="auto"/>
            <w:vMerge/>
            <w:tcBorders>
              <w:top w:val="nil"/>
              <w:left w:val="single" w:sz="6" w:space="0" w:color="000000"/>
              <w:bottom w:val="nil"/>
              <w:right w:val="single" w:sz="6" w:space="0" w:color="000000"/>
            </w:tcBorders>
          </w:tcPr>
          <w:p w:rsidR="00E11179" w:rsidRDefault="00E11179">
            <w:pPr>
              <w:spacing w:after="160" w:line="259" w:lineRule="auto"/>
              <w:ind w:left="0" w:firstLine="0"/>
            </w:pPr>
          </w:p>
        </w:tc>
        <w:tc>
          <w:tcPr>
            <w:tcW w:w="0" w:type="auto"/>
            <w:gridSpan w:val="4"/>
            <w:vMerge/>
            <w:tcBorders>
              <w:top w:val="nil"/>
              <w:left w:val="single" w:sz="6" w:space="0" w:color="000000"/>
              <w:bottom w:val="nil"/>
              <w:right w:val="nil"/>
            </w:tcBorders>
          </w:tcPr>
          <w:p w:rsidR="00E11179" w:rsidRDefault="00E11179">
            <w:pPr>
              <w:spacing w:after="160" w:line="259" w:lineRule="auto"/>
              <w:ind w:left="0" w:firstLine="0"/>
            </w:pPr>
          </w:p>
        </w:tc>
        <w:tc>
          <w:tcPr>
            <w:tcW w:w="3378" w:type="dxa"/>
            <w:gridSpan w:val="3"/>
            <w:tcBorders>
              <w:top w:val="nil"/>
              <w:left w:val="nil"/>
              <w:bottom w:val="nil"/>
              <w:right w:val="nil"/>
            </w:tcBorders>
            <w:vAlign w:val="bottom"/>
          </w:tcPr>
          <w:p w:rsidR="00E11179" w:rsidRDefault="00E11179">
            <w:pPr>
              <w:spacing w:after="0" w:line="259" w:lineRule="auto"/>
              <w:ind w:left="3" w:right="-1275" w:firstLine="0"/>
              <w:jc w:val="both"/>
            </w:pPr>
          </w:p>
        </w:tc>
        <w:tc>
          <w:tcPr>
            <w:tcW w:w="0" w:type="auto"/>
            <w:gridSpan w:val="8"/>
            <w:vMerge/>
            <w:tcBorders>
              <w:top w:val="nil"/>
              <w:left w:val="nil"/>
              <w:bottom w:val="nil"/>
              <w:right w:val="single" w:sz="6" w:space="0" w:color="000000"/>
            </w:tcBorders>
          </w:tcPr>
          <w:p w:rsidR="00E11179" w:rsidRDefault="00E11179">
            <w:pPr>
              <w:spacing w:after="160" w:line="259" w:lineRule="auto"/>
              <w:ind w:left="0" w:firstLine="0"/>
            </w:pPr>
          </w:p>
        </w:tc>
      </w:tr>
      <w:tr w:rsidR="00E11179">
        <w:trPr>
          <w:trHeight w:val="293"/>
        </w:trPr>
        <w:tc>
          <w:tcPr>
            <w:tcW w:w="0" w:type="auto"/>
            <w:vMerge/>
            <w:tcBorders>
              <w:top w:val="nil"/>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0" w:type="auto"/>
            <w:gridSpan w:val="4"/>
            <w:vMerge/>
            <w:tcBorders>
              <w:top w:val="nil"/>
              <w:left w:val="single" w:sz="6" w:space="0" w:color="000000"/>
              <w:bottom w:val="single" w:sz="6" w:space="0" w:color="000000"/>
              <w:right w:val="nil"/>
            </w:tcBorders>
          </w:tcPr>
          <w:p w:rsidR="00E11179" w:rsidRDefault="00E11179">
            <w:pPr>
              <w:spacing w:after="160" w:line="259" w:lineRule="auto"/>
              <w:ind w:left="0" w:firstLine="0"/>
            </w:pPr>
          </w:p>
        </w:tc>
        <w:tc>
          <w:tcPr>
            <w:tcW w:w="4759" w:type="dxa"/>
            <w:gridSpan w:val="4"/>
            <w:tcBorders>
              <w:top w:val="nil"/>
              <w:left w:val="nil"/>
              <w:bottom w:val="single" w:sz="6" w:space="0" w:color="000000"/>
              <w:right w:val="nil"/>
            </w:tcBorders>
            <w:shd w:val="clear" w:color="auto" w:fill="FFFFFF"/>
          </w:tcPr>
          <w:p w:rsidR="00E11179" w:rsidRDefault="00E11179">
            <w:pPr>
              <w:spacing w:after="0" w:line="259" w:lineRule="auto"/>
              <w:ind w:left="3" w:right="-5" w:firstLine="0"/>
              <w:jc w:val="both"/>
            </w:pPr>
          </w:p>
        </w:tc>
        <w:tc>
          <w:tcPr>
            <w:tcW w:w="2440" w:type="dxa"/>
            <w:gridSpan w:val="7"/>
            <w:tcBorders>
              <w:top w:val="nil"/>
              <w:left w:val="nil"/>
              <w:bottom w:val="single" w:sz="6" w:space="0" w:color="000000"/>
              <w:right w:val="single" w:sz="6" w:space="0" w:color="000000"/>
            </w:tcBorders>
          </w:tcPr>
          <w:p w:rsidR="00E11179" w:rsidRDefault="007E1E99">
            <w:pPr>
              <w:spacing w:after="0" w:line="259" w:lineRule="auto"/>
              <w:ind w:left="5" w:firstLine="0"/>
            </w:pPr>
            <w:r>
              <w:t xml:space="preserve"> </w:t>
            </w:r>
          </w:p>
        </w:tc>
      </w:tr>
      <w:tr w:rsidR="00E11179">
        <w:trPr>
          <w:trHeight w:val="293"/>
        </w:trPr>
        <w:tc>
          <w:tcPr>
            <w:tcW w:w="2657" w:type="dxa"/>
            <w:vMerge w:val="restart"/>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Force majeure: </w:t>
            </w:r>
          </w:p>
        </w:tc>
        <w:tc>
          <w:tcPr>
            <w:tcW w:w="113" w:type="dxa"/>
            <w:vMerge w:val="restart"/>
            <w:tcBorders>
              <w:top w:val="single" w:sz="6" w:space="0" w:color="000000"/>
              <w:left w:val="single" w:sz="6" w:space="0" w:color="000000"/>
              <w:bottom w:val="single" w:sz="6" w:space="0" w:color="000000"/>
              <w:right w:val="nil"/>
            </w:tcBorders>
          </w:tcPr>
          <w:p w:rsidR="00E11179" w:rsidRDefault="00E11179">
            <w:pPr>
              <w:spacing w:after="160" w:line="259" w:lineRule="auto"/>
              <w:ind w:left="0" w:firstLine="0"/>
            </w:pPr>
          </w:p>
        </w:tc>
        <w:tc>
          <w:tcPr>
            <w:tcW w:w="7746" w:type="dxa"/>
            <w:gridSpan w:val="13"/>
            <w:tcBorders>
              <w:top w:val="single" w:sz="6" w:space="0" w:color="000000"/>
              <w:left w:val="nil"/>
              <w:bottom w:val="nil"/>
              <w:right w:val="nil"/>
            </w:tcBorders>
            <w:shd w:val="clear" w:color="auto" w:fill="FFFFFF"/>
            <w:vAlign w:val="bottom"/>
          </w:tcPr>
          <w:p w:rsidR="00E11179" w:rsidRDefault="007E1E99">
            <w:pPr>
              <w:spacing w:after="0" w:line="259" w:lineRule="auto"/>
              <w:ind w:left="3" w:firstLine="0"/>
              <w:jc w:val="both"/>
            </w:pPr>
            <w:r>
              <w:t>A Party may End this Call-Off Contract if the Other Party is affected by a</w:t>
            </w:r>
          </w:p>
        </w:tc>
        <w:tc>
          <w:tcPr>
            <w:tcW w:w="128" w:type="dxa"/>
            <w:vMerge w:val="restart"/>
            <w:tcBorders>
              <w:top w:val="single" w:sz="6" w:space="0" w:color="000000"/>
              <w:left w:val="nil"/>
              <w:bottom w:val="single" w:sz="6" w:space="0" w:color="000000"/>
              <w:right w:val="single" w:sz="6" w:space="0" w:color="000000"/>
            </w:tcBorders>
          </w:tcPr>
          <w:p w:rsidR="00E11179" w:rsidRDefault="007E1E99">
            <w:pPr>
              <w:spacing w:after="0" w:line="259" w:lineRule="auto"/>
              <w:ind w:left="-7" w:firstLine="0"/>
            </w:pPr>
            <w:r>
              <w:t xml:space="preserve"> </w:t>
            </w:r>
          </w:p>
        </w:tc>
      </w:tr>
      <w:tr w:rsidR="00E11179">
        <w:trPr>
          <w:trHeight w:val="291"/>
        </w:trPr>
        <w:tc>
          <w:tcPr>
            <w:tcW w:w="0" w:type="auto"/>
            <w:vMerge/>
            <w:tcBorders>
              <w:top w:val="nil"/>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0" w:type="auto"/>
            <w:vMerge/>
            <w:tcBorders>
              <w:top w:val="nil"/>
              <w:left w:val="single" w:sz="6" w:space="0" w:color="000000"/>
              <w:bottom w:val="single" w:sz="6" w:space="0" w:color="000000"/>
              <w:right w:val="nil"/>
            </w:tcBorders>
          </w:tcPr>
          <w:p w:rsidR="00E11179" w:rsidRDefault="00E11179">
            <w:pPr>
              <w:spacing w:after="160" w:line="259" w:lineRule="auto"/>
              <w:ind w:left="0" w:firstLine="0"/>
            </w:pPr>
          </w:p>
        </w:tc>
        <w:tc>
          <w:tcPr>
            <w:tcW w:w="7116" w:type="dxa"/>
            <w:gridSpan w:val="10"/>
            <w:tcBorders>
              <w:top w:val="nil"/>
              <w:left w:val="nil"/>
              <w:bottom w:val="single" w:sz="6" w:space="0" w:color="000000"/>
              <w:right w:val="nil"/>
            </w:tcBorders>
            <w:shd w:val="clear" w:color="auto" w:fill="FFFFFF"/>
          </w:tcPr>
          <w:p w:rsidR="00E11179" w:rsidRDefault="007E1E99">
            <w:pPr>
              <w:spacing w:after="0" w:line="259" w:lineRule="auto"/>
              <w:ind w:left="3" w:firstLine="0"/>
              <w:jc w:val="both"/>
            </w:pPr>
            <w:r>
              <w:t>Force Majeure Event that lasts for more than 14 consecutive days.</w:t>
            </w:r>
          </w:p>
        </w:tc>
        <w:tc>
          <w:tcPr>
            <w:tcW w:w="631" w:type="dxa"/>
            <w:gridSpan w:val="3"/>
            <w:tcBorders>
              <w:top w:val="nil"/>
              <w:left w:val="nil"/>
              <w:bottom w:val="single" w:sz="6" w:space="0" w:color="000000"/>
              <w:right w:val="nil"/>
            </w:tcBorders>
          </w:tcPr>
          <w:p w:rsidR="00E11179" w:rsidRDefault="007E1E99">
            <w:pPr>
              <w:spacing w:after="0" w:line="259" w:lineRule="auto"/>
              <w:ind w:left="-3" w:firstLine="0"/>
            </w:pPr>
            <w:r>
              <w:t xml:space="preserve"> </w:t>
            </w:r>
          </w:p>
        </w:tc>
        <w:tc>
          <w:tcPr>
            <w:tcW w:w="0" w:type="auto"/>
            <w:vMerge/>
            <w:tcBorders>
              <w:top w:val="nil"/>
              <w:left w:val="nil"/>
              <w:bottom w:val="single" w:sz="6" w:space="0" w:color="000000"/>
              <w:right w:val="single" w:sz="6" w:space="0" w:color="000000"/>
            </w:tcBorders>
          </w:tcPr>
          <w:p w:rsidR="00E11179" w:rsidRDefault="00E11179">
            <w:pPr>
              <w:spacing w:after="160" w:line="259" w:lineRule="auto"/>
              <w:ind w:left="0" w:firstLine="0"/>
            </w:pPr>
          </w:p>
        </w:tc>
      </w:tr>
      <w:tr w:rsidR="00E11179">
        <w:trPr>
          <w:trHeight w:val="1158"/>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Audit: </w:t>
            </w:r>
          </w:p>
        </w:tc>
        <w:tc>
          <w:tcPr>
            <w:tcW w:w="7987" w:type="dxa"/>
            <w:gridSpan w:val="15"/>
            <w:tcBorders>
              <w:top w:val="single" w:sz="6" w:space="0" w:color="000000"/>
              <w:left w:val="single" w:sz="6" w:space="0" w:color="000000"/>
              <w:bottom w:val="single" w:sz="6" w:space="0" w:color="000000"/>
              <w:right w:val="single" w:sz="6" w:space="0" w:color="000000"/>
            </w:tcBorders>
          </w:tcPr>
          <w:p w:rsidR="00E11179" w:rsidRDefault="007E1E99">
            <w:pPr>
              <w:spacing w:after="0" w:line="248" w:lineRule="auto"/>
              <w:ind w:left="115" w:firstLine="0"/>
            </w:pPr>
            <w:r>
              <w:t xml:space="preserve">The Framework Agreement audit provisions will be incorporated under clause 2.1 of this Call-Off Contract to enable the Buyer to carry out audits.  </w:t>
            </w:r>
          </w:p>
          <w:p w:rsidR="00E11179" w:rsidRDefault="007E1E99">
            <w:pPr>
              <w:spacing w:after="0" w:line="259" w:lineRule="auto"/>
              <w:ind w:left="115" w:firstLine="0"/>
            </w:pPr>
            <w:r>
              <w:t xml:space="preserve"> </w:t>
            </w:r>
          </w:p>
        </w:tc>
      </w:tr>
      <w:tr w:rsidR="00E11179">
        <w:trPr>
          <w:trHeight w:val="585"/>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Buyer’s responsibilities: </w:t>
            </w:r>
          </w:p>
        </w:tc>
        <w:tc>
          <w:tcPr>
            <w:tcW w:w="7987" w:type="dxa"/>
            <w:gridSpan w:val="15"/>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t xml:space="preserve">The Buyer is responsible for granting access to </w:t>
            </w:r>
            <w:proofErr w:type="spellStart"/>
            <w:r>
              <w:t>Kahootz</w:t>
            </w:r>
            <w:proofErr w:type="spellEnd"/>
            <w:r>
              <w:t xml:space="preserve"> via an internet connection. </w:t>
            </w:r>
          </w:p>
        </w:tc>
      </w:tr>
      <w:tr w:rsidR="00E11179">
        <w:trPr>
          <w:trHeight w:val="1156"/>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5" w:firstLine="0"/>
            </w:pPr>
            <w:r>
              <w:rPr>
                <w:b/>
              </w:rPr>
              <w:t xml:space="preserve">Buyer’s equipment: </w:t>
            </w:r>
          </w:p>
        </w:tc>
        <w:tc>
          <w:tcPr>
            <w:tcW w:w="7987" w:type="dxa"/>
            <w:gridSpan w:val="15"/>
            <w:tcBorders>
              <w:top w:val="single" w:sz="6" w:space="0" w:color="000000"/>
              <w:left w:val="single" w:sz="6" w:space="0" w:color="000000"/>
              <w:bottom w:val="single" w:sz="6" w:space="0" w:color="000000"/>
              <w:right w:val="single" w:sz="6" w:space="0" w:color="000000"/>
            </w:tcBorders>
          </w:tcPr>
          <w:p w:rsidR="00E11179" w:rsidRDefault="007E1E99">
            <w:pPr>
              <w:spacing w:after="0" w:line="248" w:lineRule="auto"/>
              <w:ind w:left="115" w:right="19" w:firstLine="0"/>
            </w:pPr>
            <w:r>
              <w:t xml:space="preserve">The Buyer’s equipment to be used with this Call-Off Contract includes I.T and internet connection.  </w:t>
            </w:r>
          </w:p>
          <w:p w:rsidR="00E11179" w:rsidRDefault="007E1E99">
            <w:pPr>
              <w:spacing w:after="0" w:line="259" w:lineRule="auto"/>
              <w:ind w:left="115" w:firstLine="0"/>
            </w:pPr>
            <w:r>
              <w:t xml:space="preserve">Reason: It runs on buyers I.T system (with appropriate web browser/device) and internet connectivity to connect to the software. </w:t>
            </w:r>
          </w:p>
        </w:tc>
      </w:tr>
    </w:tbl>
    <w:p w:rsidR="00E11179" w:rsidRDefault="007E1E99">
      <w:pPr>
        <w:spacing w:after="257" w:line="259" w:lineRule="auto"/>
        <w:ind w:left="0" w:firstLine="0"/>
      </w:pPr>
      <w:r>
        <w:t xml:space="preserve"> </w:t>
      </w:r>
    </w:p>
    <w:p w:rsidR="00E11179" w:rsidRDefault="007E1E99">
      <w:pPr>
        <w:pStyle w:val="Heading1"/>
        <w:ind w:left="-5"/>
      </w:pPr>
      <w:bookmarkStart w:id="6" w:name="_Toc76491"/>
      <w:r>
        <w:t xml:space="preserve">Supplier’s information </w:t>
      </w:r>
      <w:bookmarkEnd w:id="6"/>
    </w:p>
    <w:tbl>
      <w:tblPr>
        <w:tblStyle w:val="TableGrid"/>
        <w:tblW w:w="10644" w:type="dxa"/>
        <w:tblInd w:w="-115" w:type="dxa"/>
        <w:tblCellMar>
          <w:top w:w="69" w:type="dxa"/>
          <w:left w:w="3" w:type="dxa"/>
        </w:tblCellMar>
        <w:tblLook w:val="04A0" w:firstRow="1" w:lastRow="0" w:firstColumn="1" w:lastColumn="0" w:noHBand="0" w:noVBand="1"/>
      </w:tblPr>
      <w:tblGrid>
        <w:gridCol w:w="2657"/>
        <w:gridCol w:w="113"/>
        <w:gridCol w:w="1486"/>
        <w:gridCol w:w="5885"/>
        <w:gridCol w:w="503"/>
      </w:tblGrid>
      <w:tr w:rsidR="00E11179">
        <w:trPr>
          <w:trHeight w:val="291"/>
        </w:trPr>
        <w:tc>
          <w:tcPr>
            <w:tcW w:w="2657" w:type="dxa"/>
            <w:vMerge w:val="restart"/>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rPr>
                <w:b/>
              </w:rPr>
              <w:t xml:space="preserve">Subcontractors or partners: </w:t>
            </w:r>
          </w:p>
        </w:tc>
        <w:tc>
          <w:tcPr>
            <w:tcW w:w="113" w:type="dxa"/>
            <w:vMerge w:val="restart"/>
            <w:tcBorders>
              <w:top w:val="single" w:sz="6" w:space="0" w:color="000000"/>
              <w:left w:val="single" w:sz="6" w:space="0" w:color="000000"/>
              <w:bottom w:val="single" w:sz="6" w:space="0" w:color="000000"/>
              <w:right w:val="nil"/>
            </w:tcBorders>
          </w:tcPr>
          <w:p w:rsidR="00E11179" w:rsidRDefault="00E11179">
            <w:pPr>
              <w:spacing w:after="160" w:line="259" w:lineRule="auto"/>
              <w:ind w:left="0" w:firstLine="0"/>
            </w:pPr>
          </w:p>
        </w:tc>
        <w:tc>
          <w:tcPr>
            <w:tcW w:w="7371" w:type="dxa"/>
            <w:gridSpan w:val="2"/>
            <w:tcBorders>
              <w:top w:val="single" w:sz="6" w:space="0" w:color="000000"/>
              <w:left w:val="nil"/>
              <w:bottom w:val="nil"/>
              <w:right w:val="nil"/>
            </w:tcBorders>
            <w:shd w:val="clear" w:color="auto" w:fill="FFFFFF"/>
          </w:tcPr>
          <w:p w:rsidR="00E11179" w:rsidRDefault="00F00872">
            <w:pPr>
              <w:spacing w:after="0" w:line="259" w:lineRule="auto"/>
              <w:ind w:left="0" w:right="-7" w:firstLine="0"/>
              <w:jc w:val="both"/>
            </w:pPr>
            <w:r>
              <w:t>REDACTED</w:t>
            </w:r>
          </w:p>
        </w:tc>
        <w:tc>
          <w:tcPr>
            <w:tcW w:w="503" w:type="dxa"/>
            <w:vMerge w:val="restart"/>
            <w:tcBorders>
              <w:top w:val="single" w:sz="6" w:space="0" w:color="000000"/>
              <w:left w:val="nil"/>
              <w:bottom w:val="single" w:sz="6" w:space="0" w:color="000000"/>
              <w:right w:val="single" w:sz="6" w:space="0" w:color="000000"/>
            </w:tcBorders>
          </w:tcPr>
          <w:p w:rsidR="00E11179" w:rsidRDefault="007E1E99">
            <w:pPr>
              <w:spacing w:after="0" w:line="259" w:lineRule="auto"/>
              <w:ind w:left="4" w:firstLine="0"/>
            </w:pPr>
            <w:r>
              <w:t xml:space="preserve"> </w:t>
            </w:r>
          </w:p>
        </w:tc>
      </w:tr>
      <w:tr w:rsidR="00E11179">
        <w:trPr>
          <w:trHeight w:val="570"/>
        </w:trPr>
        <w:tc>
          <w:tcPr>
            <w:tcW w:w="0" w:type="auto"/>
            <w:vMerge/>
            <w:tcBorders>
              <w:top w:val="nil"/>
              <w:left w:val="single" w:sz="6" w:space="0" w:color="000000"/>
              <w:bottom w:val="nil"/>
              <w:right w:val="single" w:sz="6" w:space="0" w:color="000000"/>
            </w:tcBorders>
          </w:tcPr>
          <w:p w:rsidR="00E11179" w:rsidRDefault="00E11179">
            <w:pPr>
              <w:spacing w:after="160" w:line="259" w:lineRule="auto"/>
              <w:ind w:left="0" w:firstLine="0"/>
            </w:pPr>
          </w:p>
        </w:tc>
        <w:tc>
          <w:tcPr>
            <w:tcW w:w="0" w:type="auto"/>
            <w:vMerge/>
            <w:tcBorders>
              <w:top w:val="nil"/>
              <w:left w:val="single" w:sz="6" w:space="0" w:color="000000"/>
              <w:bottom w:val="nil"/>
              <w:right w:val="nil"/>
            </w:tcBorders>
          </w:tcPr>
          <w:p w:rsidR="00E11179" w:rsidRDefault="00E11179">
            <w:pPr>
              <w:spacing w:after="160" w:line="259" w:lineRule="auto"/>
              <w:ind w:left="0" w:firstLine="0"/>
            </w:pPr>
          </w:p>
        </w:tc>
        <w:tc>
          <w:tcPr>
            <w:tcW w:w="7371" w:type="dxa"/>
            <w:gridSpan w:val="2"/>
            <w:tcBorders>
              <w:top w:val="nil"/>
              <w:left w:val="nil"/>
              <w:bottom w:val="nil"/>
              <w:right w:val="nil"/>
            </w:tcBorders>
          </w:tcPr>
          <w:p w:rsidR="00E11179" w:rsidRDefault="00E11179">
            <w:pPr>
              <w:spacing w:after="0" w:line="259" w:lineRule="auto"/>
              <w:ind w:left="0" w:firstLine="0"/>
            </w:pPr>
          </w:p>
        </w:tc>
        <w:tc>
          <w:tcPr>
            <w:tcW w:w="0" w:type="auto"/>
            <w:vMerge/>
            <w:tcBorders>
              <w:top w:val="nil"/>
              <w:left w:val="nil"/>
              <w:bottom w:val="nil"/>
              <w:right w:val="single" w:sz="6" w:space="0" w:color="000000"/>
            </w:tcBorders>
          </w:tcPr>
          <w:p w:rsidR="00E11179" w:rsidRDefault="00E11179">
            <w:pPr>
              <w:spacing w:after="160" w:line="259" w:lineRule="auto"/>
              <w:ind w:left="0" w:firstLine="0"/>
            </w:pPr>
          </w:p>
        </w:tc>
      </w:tr>
      <w:tr w:rsidR="00E11179" w:rsidTr="00E4154A">
        <w:trPr>
          <w:trHeight w:val="37"/>
        </w:trPr>
        <w:tc>
          <w:tcPr>
            <w:tcW w:w="0" w:type="auto"/>
            <w:vMerge/>
            <w:tcBorders>
              <w:top w:val="nil"/>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0" w:type="auto"/>
            <w:vMerge/>
            <w:tcBorders>
              <w:top w:val="nil"/>
              <w:left w:val="single" w:sz="6" w:space="0" w:color="000000"/>
              <w:bottom w:val="single" w:sz="6" w:space="0" w:color="000000"/>
              <w:right w:val="nil"/>
            </w:tcBorders>
          </w:tcPr>
          <w:p w:rsidR="00E11179" w:rsidRDefault="00E11179">
            <w:pPr>
              <w:spacing w:after="160" w:line="259" w:lineRule="auto"/>
              <w:ind w:left="0" w:firstLine="0"/>
            </w:pPr>
          </w:p>
        </w:tc>
        <w:tc>
          <w:tcPr>
            <w:tcW w:w="1486" w:type="dxa"/>
            <w:tcBorders>
              <w:top w:val="nil"/>
              <w:left w:val="nil"/>
              <w:bottom w:val="single" w:sz="6" w:space="0" w:color="000000"/>
              <w:right w:val="nil"/>
            </w:tcBorders>
            <w:shd w:val="clear" w:color="auto" w:fill="FFFFFF"/>
          </w:tcPr>
          <w:p w:rsidR="00E11179" w:rsidRDefault="00E11179">
            <w:pPr>
              <w:spacing w:after="0" w:line="259" w:lineRule="auto"/>
              <w:ind w:left="0" w:right="-7" w:firstLine="0"/>
              <w:jc w:val="both"/>
            </w:pPr>
          </w:p>
        </w:tc>
        <w:tc>
          <w:tcPr>
            <w:tcW w:w="5885" w:type="dxa"/>
            <w:tcBorders>
              <w:top w:val="nil"/>
              <w:left w:val="nil"/>
              <w:bottom w:val="single" w:sz="6" w:space="0" w:color="000000"/>
              <w:right w:val="nil"/>
            </w:tcBorders>
          </w:tcPr>
          <w:p w:rsidR="00E11179" w:rsidRDefault="00E11179">
            <w:pPr>
              <w:spacing w:after="0" w:line="259" w:lineRule="auto"/>
              <w:ind w:left="4" w:firstLine="0"/>
            </w:pPr>
          </w:p>
        </w:tc>
        <w:tc>
          <w:tcPr>
            <w:tcW w:w="0" w:type="auto"/>
            <w:vMerge/>
            <w:tcBorders>
              <w:top w:val="nil"/>
              <w:left w:val="nil"/>
              <w:bottom w:val="single" w:sz="6" w:space="0" w:color="000000"/>
              <w:right w:val="single" w:sz="6" w:space="0" w:color="000000"/>
            </w:tcBorders>
          </w:tcPr>
          <w:p w:rsidR="00E11179" w:rsidRDefault="00E11179">
            <w:pPr>
              <w:spacing w:after="160" w:line="259" w:lineRule="auto"/>
              <w:ind w:left="0" w:firstLine="0"/>
            </w:pPr>
          </w:p>
        </w:tc>
      </w:tr>
    </w:tbl>
    <w:p w:rsidR="00E11179" w:rsidRDefault="007E1E99">
      <w:pPr>
        <w:spacing w:after="257" w:line="259" w:lineRule="auto"/>
        <w:ind w:left="0" w:firstLine="0"/>
      </w:pPr>
      <w:r>
        <w:t xml:space="preserve"> </w:t>
      </w:r>
    </w:p>
    <w:p w:rsidR="00E11179" w:rsidRDefault="007E1E99">
      <w:pPr>
        <w:pStyle w:val="Heading1"/>
        <w:ind w:left="-5"/>
      </w:pPr>
      <w:bookmarkStart w:id="7" w:name="_Toc76492"/>
      <w:r>
        <w:t xml:space="preserve">Call-Off Contract charges and payment </w:t>
      </w:r>
      <w:bookmarkEnd w:id="7"/>
    </w:p>
    <w:p w:rsidR="00E11179" w:rsidRDefault="007E1E99">
      <w:pPr>
        <w:spacing w:after="0"/>
      </w:pPr>
      <w:r>
        <w:t xml:space="preserve">The Call-Off Contract charges and payment details are in the table below. See Schedule 2 for a full breakdown. </w:t>
      </w:r>
    </w:p>
    <w:tbl>
      <w:tblPr>
        <w:tblStyle w:val="TableGrid"/>
        <w:tblW w:w="10644" w:type="dxa"/>
        <w:tblInd w:w="-115" w:type="dxa"/>
        <w:tblCellMar>
          <w:top w:w="69" w:type="dxa"/>
          <w:left w:w="3" w:type="dxa"/>
        </w:tblCellMar>
        <w:tblLook w:val="04A0" w:firstRow="1" w:lastRow="0" w:firstColumn="1" w:lastColumn="0" w:noHBand="0" w:noVBand="1"/>
      </w:tblPr>
      <w:tblGrid>
        <w:gridCol w:w="2657"/>
        <w:gridCol w:w="113"/>
        <w:gridCol w:w="1081"/>
        <w:gridCol w:w="6793"/>
      </w:tblGrid>
      <w:tr w:rsidR="00E11179">
        <w:trPr>
          <w:trHeight w:val="585"/>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rPr>
                <w:b/>
              </w:rPr>
              <w:t xml:space="preserve">Payment method: </w:t>
            </w:r>
          </w:p>
        </w:tc>
        <w:tc>
          <w:tcPr>
            <w:tcW w:w="7987" w:type="dxa"/>
            <w:gridSpan w:val="3"/>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t>The payment method for this Call-Off Contract is electronic payment via PO/invoice</w:t>
            </w:r>
            <w:proofErr w:type="gramStart"/>
            <w:r>
              <w:t>. .</w:t>
            </w:r>
            <w:proofErr w:type="gramEnd"/>
            <w:r>
              <w:t xml:space="preserve"> </w:t>
            </w:r>
          </w:p>
        </w:tc>
      </w:tr>
      <w:tr w:rsidR="00E11179">
        <w:trPr>
          <w:trHeight w:val="585"/>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rPr>
                <w:b/>
              </w:rPr>
              <w:t xml:space="preserve">Payment profile: </w:t>
            </w:r>
          </w:p>
        </w:tc>
        <w:tc>
          <w:tcPr>
            <w:tcW w:w="7987" w:type="dxa"/>
            <w:gridSpan w:val="3"/>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right="76" w:firstLine="0"/>
            </w:pPr>
            <w:r>
              <w:t xml:space="preserve">The payment profile for this Call-Off Contract is annually in advance (and as required should licenses profile and services change).  </w:t>
            </w:r>
          </w:p>
        </w:tc>
      </w:tr>
      <w:tr w:rsidR="00E11179">
        <w:trPr>
          <w:trHeight w:val="585"/>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rPr>
                <w:b/>
              </w:rPr>
              <w:t xml:space="preserve">Invoice details: </w:t>
            </w:r>
          </w:p>
        </w:tc>
        <w:tc>
          <w:tcPr>
            <w:tcW w:w="7987" w:type="dxa"/>
            <w:gridSpan w:val="3"/>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t xml:space="preserve">The Supplier will issue electronic invoices annually. The Buyer will pay the Supplier within 30 days of receipt of a valid invoice. </w:t>
            </w:r>
          </w:p>
        </w:tc>
      </w:tr>
      <w:tr w:rsidR="00E11179">
        <w:trPr>
          <w:trHeight w:val="2289"/>
        </w:trPr>
        <w:tc>
          <w:tcPr>
            <w:tcW w:w="2657" w:type="dxa"/>
            <w:vMerge w:val="restart"/>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rPr>
                <w:b/>
              </w:rPr>
              <w:t xml:space="preserve">Who and where to send invoices to: </w:t>
            </w:r>
          </w:p>
        </w:tc>
        <w:tc>
          <w:tcPr>
            <w:tcW w:w="7987" w:type="dxa"/>
            <w:gridSpan w:val="3"/>
            <w:tcBorders>
              <w:top w:val="single" w:sz="6" w:space="0" w:color="000000"/>
              <w:left w:val="single" w:sz="6" w:space="0" w:color="000000"/>
              <w:bottom w:val="nil"/>
              <w:right w:val="single" w:sz="6" w:space="0" w:color="000000"/>
            </w:tcBorders>
            <w:vAlign w:val="bottom"/>
          </w:tcPr>
          <w:p w:rsidR="00E11179" w:rsidRDefault="00E4154A">
            <w:pPr>
              <w:spacing w:after="0" w:line="259" w:lineRule="auto"/>
              <w:ind w:left="113" w:right="5385" w:firstLine="0"/>
            </w:pPr>
            <w:r>
              <w:t>REDACTED</w:t>
            </w:r>
          </w:p>
        </w:tc>
      </w:tr>
      <w:tr w:rsidR="00E11179" w:rsidTr="00E4154A">
        <w:trPr>
          <w:trHeight w:val="37"/>
        </w:trPr>
        <w:tc>
          <w:tcPr>
            <w:tcW w:w="0" w:type="auto"/>
            <w:vMerge/>
            <w:tcBorders>
              <w:top w:val="nil"/>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113" w:type="dxa"/>
            <w:tcBorders>
              <w:top w:val="nil"/>
              <w:left w:val="single" w:sz="6" w:space="0" w:color="000000"/>
              <w:bottom w:val="single" w:sz="6" w:space="0" w:color="000000"/>
              <w:right w:val="nil"/>
            </w:tcBorders>
          </w:tcPr>
          <w:p w:rsidR="00E11179" w:rsidRDefault="00E11179">
            <w:pPr>
              <w:spacing w:after="160" w:line="259" w:lineRule="auto"/>
              <w:ind w:left="0" w:firstLine="0"/>
            </w:pPr>
          </w:p>
        </w:tc>
        <w:tc>
          <w:tcPr>
            <w:tcW w:w="1081" w:type="dxa"/>
            <w:tcBorders>
              <w:top w:val="nil"/>
              <w:left w:val="nil"/>
              <w:bottom w:val="single" w:sz="6" w:space="0" w:color="000000"/>
              <w:right w:val="nil"/>
            </w:tcBorders>
            <w:shd w:val="clear" w:color="auto" w:fill="FFFFFF"/>
          </w:tcPr>
          <w:p w:rsidR="00E11179" w:rsidRDefault="00E11179">
            <w:pPr>
              <w:spacing w:after="0" w:line="259" w:lineRule="auto"/>
              <w:ind w:left="0" w:right="-3" w:firstLine="0"/>
              <w:jc w:val="both"/>
            </w:pPr>
          </w:p>
        </w:tc>
        <w:tc>
          <w:tcPr>
            <w:tcW w:w="6793" w:type="dxa"/>
            <w:tcBorders>
              <w:top w:val="nil"/>
              <w:left w:val="nil"/>
              <w:bottom w:val="single" w:sz="6" w:space="0" w:color="000000"/>
              <w:right w:val="single" w:sz="6" w:space="0" w:color="000000"/>
            </w:tcBorders>
          </w:tcPr>
          <w:p w:rsidR="00E11179" w:rsidRDefault="007E1E99">
            <w:pPr>
              <w:spacing w:after="0" w:line="259" w:lineRule="auto"/>
              <w:ind w:left="0" w:firstLine="0"/>
            </w:pPr>
            <w:r>
              <w:rPr>
                <w:color w:val="333333"/>
              </w:rPr>
              <w:t xml:space="preserve"> </w:t>
            </w:r>
          </w:p>
        </w:tc>
      </w:tr>
      <w:tr w:rsidR="00E11179">
        <w:trPr>
          <w:trHeight w:val="1441"/>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rPr>
              <w:t>Invoice information required</w:t>
            </w:r>
            <w:r>
              <w:t xml:space="preserve"> – for</w:t>
            </w:r>
            <w:r>
              <w:rPr>
                <w:rFonts w:ascii="Calibri" w:eastAsia="Calibri" w:hAnsi="Calibri" w:cs="Calibri"/>
              </w:rPr>
              <w:t>​</w:t>
            </w:r>
            <w:r>
              <w:rPr>
                <w:rFonts w:ascii="Calibri" w:eastAsia="Calibri" w:hAnsi="Calibri" w:cs="Calibri"/>
              </w:rPr>
              <w:tab/>
            </w:r>
            <w:r>
              <w:t xml:space="preserve"> example purchase order, project reference: </w:t>
            </w:r>
          </w:p>
        </w:tc>
        <w:tc>
          <w:tcPr>
            <w:tcW w:w="7987" w:type="dxa"/>
            <w:gridSpan w:val="3"/>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t xml:space="preserve">All invoices must include a valid PO number, a unique reference/invoice number and a clear description of the period to which the invoice relates.  </w:t>
            </w:r>
          </w:p>
        </w:tc>
      </w:tr>
      <w:tr w:rsidR="00E11179">
        <w:trPr>
          <w:trHeight w:val="300"/>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rPr>
              <w:t xml:space="preserve">Invoice frequency: </w:t>
            </w:r>
          </w:p>
        </w:tc>
        <w:tc>
          <w:tcPr>
            <w:tcW w:w="7987" w:type="dxa"/>
            <w:gridSpan w:val="3"/>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t xml:space="preserve">Invoice will be sent to the Buyer annually. </w:t>
            </w:r>
          </w:p>
        </w:tc>
      </w:tr>
      <w:tr w:rsidR="00E11179">
        <w:trPr>
          <w:trHeight w:val="871"/>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rPr>
              <w:t xml:space="preserve">Call-Off Contract value: </w:t>
            </w:r>
          </w:p>
        </w:tc>
        <w:tc>
          <w:tcPr>
            <w:tcW w:w="7987" w:type="dxa"/>
            <w:gridSpan w:val="3"/>
            <w:tcBorders>
              <w:top w:val="single" w:sz="6" w:space="0" w:color="000000"/>
              <w:left w:val="single" w:sz="6" w:space="0" w:color="000000"/>
              <w:bottom w:val="single" w:sz="6" w:space="0" w:color="000000"/>
              <w:right w:val="single" w:sz="6" w:space="0" w:color="000000"/>
            </w:tcBorders>
          </w:tcPr>
          <w:p w:rsidR="00E11179" w:rsidRDefault="007E1E99">
            <w:pPr>
              <w:spacing w:after="0" w:line="248" w:lineRule="auto"/>
              <w:ind w:left="0" w:firstLine="0"/>
            </w:pPr>
            <w:r>
              <w:t xml:space="preserve">The indicative total value of this Call-Off Contract is £65,197 (£32,598.50 per annum). </w:t>
            </w:r>
          </w:p>
          <w:p w:rsidR="00E11179" w:rsidRDefault="007E1E99">
            <w:pPr>
              <w:spacing w:after="0" w:line="259" w:lineRule="auto"/>
              <w:ind w:left="0" w:firstLine="0"/>
            </w:pPr>
            <w:r>
              <w:t xml:space="preserve"> </w:t>
            </w:r>
          </w:p>
        </w:tc>
      </w:tr>
      <w:tr w:rsidR="00E11179">
        <w:trPr>
          <w:trHeight w:val="4008"/>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rPr>
              <w:t xml:space="preserve">Call-Off Contract charges: </w:t>
            </w:r>
          </w:p>
        </w:tc>
        <w:tc>
          <w:tcPr>
            <w:tcW w:w="7987" w:type="dxa"/>
            <w:gridSpan w:val="3"/>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t xml:space="preserve">The breakdown of the initial Charges is as follows:  </w:t>
            </w:r>
          </w:p>
          <w:p w:rsidR="00E11179" w:rsidRDefault="007E1E99">
            <w:pPr>
              <w:spacing w:after="0" w:line="259" w:lineRule="auto"/>
              <w:ind w:left="0" w:firstLine="0"/>
            </w:pPr>
            <w:r>
              <w:t xml:space="preserve"> </w:t>
            </w:r>
          </w:p>
          <w:p w:rsidR="00E11179" w:rsidRDefault="00E4154A">
            <w:pPr>
              <w:spacing w:after="0" w:line="248" w:lineRule="auto"/>
              <w:ind w:left="0" w:firstLine="0"/>
            </w:pPr>
            <w:r>
              <w:t>REDACTED</w:t>
            </w:r>
          </w:p>
          <w:p w:rsidR="00E11179" w:rsidRDefault="007E1E99">
            <w:pPr>
              <w:spacing w:after="0" w:line="259" w:lineRule="auto"/>
              <w:ind w:left="0" w:firstLine="0"/>
            </w:pPr>
            <w:r>
              <w:t xml:space="preserve"> </w:t>
            </w:r>
          </w:p>
        </w:tc>
      </w:tr>
    </w:tbl>
    <w:p w:rsidR="00E11179" w:rsidRDefault="007E1E99">
      <w:pPr>
        <w:spacing w:after="257" w:line="259" w:lineRule="auto"/>
        <w:ind w:left="0" w:firstLine="0"/>
      </w:pPr>
      <w:r>
        <w:t xml:space="preserve"> </w:t>
      </w:r>
    </w:p>
    <w:p w:rsidR="00E11179" w:rsidRDefault="007E1E99">
      <w:pPr>
        <w:pStyle w:val="Heading1"/>
        <w:ind w:left="-5"/>
      </w:pPr>
      <w:bookmarkStart w:id="8" w:name="_Toc76493"/>
      <w:r>
        <w:t xml:space="preserve">Additional Buyer terms </w:t>
      </w:r>
      <w:bookmarkEnd w:id="8"/>
    </w:p>
    <w:tbl>
      <w:tblPr>
        <w:tblStyle w:val="TableGrid"/>
        <w:tblW w:w="10599" w:type="dxa"/>
        <w:tblInd w:w="-115" w:type="dxa"/>
        <w:tblCellMar>
          <w:top w:w="74" w:type="dxa"/>
          <w:left w:w="3" w:type="dxa"/>
        </w:tblCellMar>
        <w:tblLook w:val="04A0" w:firstRow="1" w:lastRow="0" w:firstColumn="1" w:lastColumn="0" w:noHBand="0" w:noVBand="1"/>
      </w:tblPr>
      <w:tblGrid>
        <w:gridCol w:w="2657"/>
        <w:gridCol w:w="113"/>
        <w:gridCol w:w="405"/>
        <w:gridCol w:w="7424"/>
      </w:tblGrid>
      <w:tr w:rsidR="00E11179">
        <w:trPr>
          <w:trHeight w:val="873"/>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rPr>
                <w:b/>
              </w:rPr>
              <w:t xml:space="preserve">Performance of the service and deliverables:  </w:t>
            </w:r>
          </w:p>
        </w:tc>
        <w:tc>
          <w:tcPr>
            <w:tcW w:w="7942" w:type="dxa"/>
            <w:gridSpan w:val="3"/>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right="98" w:firstLine="0"/>
            </w:pPr>
            <w:r>
              <w:t xml:space="preserve">This Call-Off Contract does not require an implementation plan, exit and offboarding plans and milestones as the technology is already being used.  </w:t>
            </w:r>
          </w:p>
        </w:tc>
      </w:tr>
      <w:tr w:rsidR="00E11179">
        <w:trPr>
          <w:trHeight w:val="297"/>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rPr>
                <w:b/>
              </w:rPr>
              <w:t xml:space="preserve">Guarantee: </w:t>
            </w:r>
          </w:p>
        </w:tc>
        <w:tc>
          <w:tcPr>
            <w:tcW w:w="113" w:type="dxa"/>
            <w:tcBorders>
              <w:top w:val="single" w:sz="6" w:space="0" w:color="000000"/>
              <w:left w:val="single" w:sz="6" w:space="0" w:color="000000"/>
              <w:bottom w:val="single" w:sz="6" w:space="0" w:color="000000"/>
              <w:right w:val="nil"/>
            </w:tcBorders>
          </w:tcPr>
          <w:p w:rsidR="00E11179" w:rsidRDefault="00E11179">
            <w:pPr>
              <w:spacing w:after="160" w:line="259" w:lineRule="auto"/>
              <w:ind w:left="0" w:firstLine="0"/>
            </w:pPr>
          </w:p>
        </w:tc>
        <w:tc>
          <w:tcPr>
            <w:tcW w:w="405" w:type="dxa"/>
            <w:tcBorders>
              <w:top w:val="single" w:sz="6" w:space="0" w:color="000000"/>
              <w:left w:val="nil"/>
              <w:bottom w:val="single" w:sz="6" w:space="0" w:color="000000"/>
              <w:right w:val="nil"/>
            </w:tcBorders>
            <w:shd w:val="clear" w:color="auto" w:fill="FFFFFF"/>
          </w:tcPr>
          <w:p w:rsidR="00E11179" w:rsidRDefault="007E1E99">
            <w:pPr>
              <w:spacing w:after="0" w:line="259" w:lineRule="auto"/>
              <w:ind w:left="0" w:right="-7" w:firstLine="0"/>
              <w:jc w:val="both"/>
            </w:pPr>
            <w:r>
              <w:t>N/A</w:t>
            </w:r>
          </w:p>
        </w:tc>
        <w:tc>
          <w:tcPr>
            <w:tcW w:w="7424" w:type="dxa"/>
            <w:tcBorders>
              <w:top w:val="single" w:sz="6" w:space="0" w:color="000000"/>
              <w:left w:val="nil"/>
              <w:bottom w:val="single" w:sz="6" w:space="0" w:color="000000"/>
              <w:right w:val="single" w:sz="6" w:space="0" w:color="000000"/>
            </w:tcBorders>
          </w:tcPr>
          <w:p w:rsidR="00E11179" w:rsidRDefault="007E1E99">
            <w:pPr>
              <w:spacing w:after="0" w:line="259" w:lineRule="auto"/>
              <w:ind w:left="4" w:firstLine="0"/>
            </w:pPr>
            <w:r>
              <w:t xml:space="preserve"> </w:t>
            </w:r>
          </w:p>
        </w:tc>
      </w:tr>
      <w:tr w:rsidR="00E11179">
        <w:trPr>
          <w:trHeight w:val="587"/>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rPr>
                <w:b/>
              </w:rPr>
              <w:t xml:space="preserve">Warranties, representations:  </w:t>
            </w:r>
          </w:p>
        </w:tc>
        <w:tc>
          <w:tcPr>
            <w:tcW w:w="7942" w:type="dxa"/>
            <w:gridSpan w:val="3"/>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t xml:space="preserve">N/A </w:t>
            </w:r>
          </w:p>
        </w:tc>
      </w:tr>
      <w:tr w:rsidR="00E11179">
        <w:trPr>
          <w:trHeight w:val="1156"/>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rPr>
                <w:b/>
              </w:rPr>
              <w:t xml:space="preserve">Supplemental requirements in addition to the Call-Off terms: </w:t>
            </w:r>
          </w:p>
        </w:tc>
        <w:tc>
          <w:tcPr>
            <w:tcW w:w="7942" w:type="dxa"/>
            <w:gridSpan w:val="3"/>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t xml:space="preserve">N/A </w:t>
            </w:r>
          </w:p>
        </w:tc>
      </w:tr>
      <w:tr w:rsidR="00E11179">
        <w:trPr>
          <w:trHeight w:val="300"/>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rPr>
                <w:b/>
              </w:rPr>
              <w:t xml:space="preserve">Alternative clauses: </w:t>
            </w:r>
          </w:p>
        </w:tc>
        <w:tc>
          <w:tcPr>
            <w:tcW w:w="7942" w:type="dxa"/>
            <w:gridSpan w:val="3"/>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t xml:space="preserve">N/A </w:t>
            </w:r>
          </w:p>
        </w:tc>
      </w:tr>
      <w:tr w:rsidR="00E11179">
        <w:trPr>
          <w:trHeight w:val="585"/>
        </w:trPr>
        <w:tc>
          <w:tcPr>
            <w:tcW w:w="2657"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rPr>
                <w:b/>
              </w:rPr>
              <w:t xml:space="preserve">Personal Data and Data Subjects: </w:t>
            </w:r>
          </w:p>
        </w:tc>
        <w:tc>
          <w:tcPr>
            <w:tcW w:w="7942" w:type="dxa"/>
            <w:gridSpan w:val="3"/>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113" w:firstLine="0"/>
            </w:pPr>
            <w:r>
              <w:rPr>
                <w:color w:val="353535"/>
              </w:rPr>
              <w:t>Annex 1 of schedule 7 is being used, the buyer (GSS) is the data controller, the supplier (</w:t>
            </w:r>
            <w:proofErr w:type="spellStart"/>
            <w:r>
              <w:rPr>
                <w:color w:val="353535"/>
              </w:rPr>
              <w:t>Kahootz</w:t>
            </w:r>
            <w:proofErr w:type="spellEnd"/>
            <w:r>
              <w:rPr>
                <w:color w:val="353535"/>
              </w:rPr>
              <w:t xml:space="preserve">) is the processor. </w:t>
            </w:r>
            <w:r>
              <w:t xml:space="preserve"> </w:t>
            </w:r>
          </w:p>
        </w:tc>
      </w:tr>
    </w:tbl>
    <w:p w:rsidR="00E11179" w:rsidRDefault="007E1E99">
      <w:pPr>
        <w:spacing w:after="227" w:line="259" w:lineRule="auto"/>
        <w:ind w:left="0" w:firstLine="0"/>
      </w:pPr>
      <w:r>
        <w:t xml:space="preserve"> </w:t>
      </w:r>
    </w:p>
    <w:p w:rsidR="00E11179" w:rsidRDefault="007E1E99">
      <w:pPr>
        <w:pStyle w:val="Heading3"/>
        <w:ind w:left="-5"/>
      </w:pPr>
      <w:r>
        <w:t xml:space="preserve">1. Formation of contract  </w:t>
      </w:r>
    </w:p>
    <w:p w:rsidR="00E11179" w:rsidRDefault="007E1E99">
      <w:pPr>
        <w:ind w:left="721" w:hanging="721"/>
      </w:pPr>
      <w:r>
        <w:t>1.1</w:t>
      </w:r>
      <w:r>
        <w:tab/>
        <w:t xml:space="preserve">By signing and returning this Order Form (Part A), the Supplier agrees to enter into a Call-Off Contract with the Buyer. </w:t>
      </w:r>
    </w:p>
    <w:p w:rsidR="00E11179" w:rsidRDefault="007E1E99">
      <w:pPr>
        <w:ind w:left="721" w:hanging="721"/>
      </w:pPr>
      <w:r>
        <w:t>1.2</w:t>
      </w:r>
      <w:r>
        <w:tab/>
        <w:t xml:space="preserve">The Parties agree that they have read the Order Form (Part A) and the Call-Off Contract terms and by signing below agree to be bound by this Call-Off Contract. </w:t>
      </w:r>
    </w:p>
    <w:p w:rsidR="00E11179" w:rsidRDefault="007E1E99">
      <w:pPr>
        <w:ind w:left="721" w:hanging="721"/>
      </w:pPr>
      <w:r>
        <w:t>1.3</w:t>
      </w:r>
      <w:r>
        <w:tab/>
        <w:t xml:space="preserve">This Call-Off Contract will be formed when the Buyer acknowledges receipt of the signed copy of the Order Form from the Supplier. </w:t>
      </w:r>
    </w:p>
    <w:p w:rsidR="00E11179" w:rsidRDefault="007E1E99">
      <w:pPr>
        <w:tabs>
          <w:tab w:val="center" w:pos="5546"/>
        </w:tabs>
        <w:spacing w:after="7"/>
        <w:ind w:left="0" w:firstLine="0"/>
      </w:pPr>
      <w:r>
        <w:t>1.4</w:t>
      </w:r>
      <w:r>
        <w:tab/>
        <w:t xml:space="preserve">In cases of any ambiguity or conflict the terms and conditions of the Call-Off Contract and </w:t>
      </w:r>
    </w:p>
    <w:p w:rsidR="00E11179" w:rsidRDefault="007E1E99">
      <w:pPr>
        <w:spacing w:after="202"/>
        <w:ind w:left="731"/>
      </w:pPr>
      <w:r>
        <w:t xml:space="preserve">Order Form will supersede those of the Supplier Terms and Conditions. </w:t>
      </w:r>
    </w:p>
    <w:p w:rsidR="00E11179" w:rsidRDefault="007E1E99">
      <w:pPr>
        <w:pStyle w:val="Heading3"/>
        <w:ind w:left="-5"/>
      </w:pPr>
      <w:r>
        <w:t xml:space="preserve">2. Background to the agreement  </w:t>
      </w:r>
    </w:p>
    <w:p w:rsidR="00E11179" w:rsidRDefault="007E1E99">
      <w:pPr>
        <w:numPr>
          <w:ilvl w:val="0"/>
          <w:numId w:val="2"/>
        </w:numPr>
        <w:ind w:left="720" w:hanging="720"/>
      </w:pPr>
      <w:r>
        <w:t xml:space="preserve">The Supplier is a provider of G-Cloud Services and agreed to provide the Services under the terms of Framework Agreement number RM1557.11. </w:t>
      </w:r>
    </w:p>
    <w:p w:rsidR="00E11179" w:rsidRDefault="007E1E99">
      <w:pPr>
        <w:numPr>
          <w:ilvl w:val="0"/>
          <w:numId w:val="2"/>
        </w:numPr>
        <w:spacing w:after="0"/>
        <w:ind w:left="720" w:hanging="720"/>
      </w:pPr>
      <w:r>
        <w:t xml:space="preserve">The Buyer provided an Order Form for Services to the Supplier. </w:t>
      </w:r>
    </w:p>
    <w:tbl>
      <w:tblPr>
        <w:tblStyle w:val="TableGrid"/>
        <w:tblW w:w="10629" w:type="dxa"/>
        <w:tblInd w:w="-100" w:type="dxa"/>
        <w:tblCellMar>
          <w:left w:w="95" w:type="dxa"/>
          <w:right w:w="115" w:type="dxa"/>
        </w:tblCellMar>
        <w:tblLook w:val="04A0" w:firstRow="1" w:lastRow="0" w:firstColumn="1" w:lastColumn="0" w:noHBand="0" w:noVBand="1"/>
      </w:tblPr>
      <w:tblGrid>
        <w:gridCol w:w="2281"/>
        <w:gridCol w:w="4174"/>
        <w:gridCol w:w="4174"/>
      </w:tblGrid>
      <w:tr w:rsidR="00E11179">
        <w:trPr>
          <w:trHeight w:val="510"/>
        </w:trPr>
        <w:tc>
          <w:tcPr>
            <w:tcW w:w="2282"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5" w:firstLine="0"/>
            </w:pPr>
            <w:r>
              <w:rPr>
                <w:b/>
              </w:rPr>
              <w:t xml:space="preserve">Signed: </w:t>
            </w:r>
          </w:p>
        </w:tc>
        <w:tc>
          <w:tcPr>
            <w:tcW w:w="4174"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5" w:firstLine="0"/>
            </w:pPr>
            <w:r>
              <w:t xml:space="preserve">Supplier </w:t>
            </w:r>
          </w:p>
        </w:tc>
        <w:tc>
          <w:tcPr>
            <w:tcW w:w="4174"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5" w:firstLine="0"/>
            </w:pPr>
            <w:r>
              <w:t xml:space="preserve">Buyer </w:t>
            </w:r>
          </w:p>
        </w:tc>
      </w:tr>
      <w:tr w:rsidR="00E11179">
        <w:trPr>
          <w:trHeight w:val="510"/>
        </w:trPr>
        <w:tc>
          <w:tcPr>
            <w:tcW w:w="2282"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5" w:firstLine="0"/>
            </w:pPr>
            <w:r>
              <w:rPr>
                <w:b/>
              </w:rPr>
              <w:t xml:space="preserve">Name: </w:t>
            </w:r>
          </w:p>
        </w:tc>
        <w:tc>
          <w:tcPr>
            <w:tcW w:w="4174" w:type="dxa"/>
            <w:tcBorders>
              <w:top w:val="single" w:sz="6" w:space="0" w:color="000000"/>
              <w:left w:val="single" w:sz="6" w:space="0" w:color="000000"/>
              <w:bottom w:val="single" w:sz="6" w:space="0" w:color="000000"/>
              <w:right w:val="single" w:sz="6" w:space="0" w:color="000000"/>
            </w:tcBorders>
          </w:tcPr>
          <w:p w:rsidR="00E11179" w:rsidRDefault="00E4154A">
            <w:pPr>
              <w:spacing w:after="0" w:line="259" w:lineRule="auto"/>
              <w:ind w:left="5" w:firstLine="0"/>
            </w:pPr>
            <w:r>
              <w:t>REDACTED</w:t>
            </w:r>
          </w:p>
        </w:tc>
        <w:tc>
          <w:tcPr>
            <w:tcW w:w="4174" w:type="dxa"/>
            <w:tcBorders>
              <w:top w:val="single" w:sz="6" w:space="0" w:color="000000"/>
              <w:left w:val="single" w:sz="6" w:space="0" w:color="000000"/>
              <w:bottom w:val="single" w:sz="6" w:space="0" w:color="000000"/>
              <w:right w:val="single" w:sz="6" w:space="0" w:color="000000"/>
            </w:tcBorders>
          </w:tcPr>
          <w:p w:rsidR="00E11179" w:rsidRDefault="00E4154A">
            <w:pPr>
              <w:spacing w:after="0" w:line="259" w:lineRule="auto"/>
              <w:ind w:left="5" w:firstLine="0"/>
            </w:pPr>
            <w:r>
              <w:t>REDACTED</w:t>
            </w:r>
          </w:p>
        </w:tc>
      </w:tr>
      <w:tr w:rsidR="00E11179">
        <w:trPr>
          <w:trHeight w:val="510"/>
        </w:trPr>
        <w:tc>
          <w:tcPr>
            <w:tcW w:w="2282"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5" w:firstLine="0"/>
            </w:pPr>
            <w:r>
              <w:rPr>
                <w:b/>
              </w:rPr>
              <w:t xml:space="preserve">Title: </w:t>
            </w:r>
          </w:p>
        </w:tc>
        <w:tc>
          <w:tcPr>
            <w:tcW w:w="4174" w:type="dxa"/>
            <w:tcBorders>
              <w:top w:val="single" w:sz="6" w:space="0" w:color="000000"/>
              <w:left w:val="single" w:sz="6" w:space="0" w:color="000000"/>
              <w:bottom w:val="single" w:sz="6" w:space="0" w:color="000000"/>
              <w:right w:val="single" w:sz="6" w:space="0" w:color="000000"/>
            </w:tcBorders>
          </w:tcPr>
          <w:p w:rsidR="00E11179" w:rsidRDefault="00E11179">
            <w:pPr>
              <w:spacing w:after="0" w:line="259" w:lineRule="auto"/>
              <w:ind w:left="5" w:firstLine="0"/>
            </w:pPr>
          </w:p>
        </w:tc>
        <w:tc>
          <w:tcPr>
            <w:tcW w:w="4174" w:type="dxa"/>
            <w:tcBorders>
              <w:top w:val="single" w:sz="6" w:space="0" w:color="000000"/>
              <w:left w:val="single" w:sz="6" w:space="0" w:color="000000"/>
              <w:bottom w:val="single" w:sz="6" w:space="0" w:color="000000"/>
              <w:right w:val="single" w:sz="6" w:space="0" w:color="000000"/>
            </w:tcBorders>
          </w:tcPr>
          <w:p w:rsidR="00E11179" w:rsidRDefault="00E11179">
            <w:pPr>
              <w:spacing w:after="0" w:line="259" w:lineRule="auto"/>
              <w:ind w:left="5" w:firstLine="0"/>
            </w:pPr>
          </w:p>
        </w:tc>
      </w:tr>
      <w:tr w:rsidR="00E11179">
        <w:trPr>
          <w:trHeight w:val="961"/>
        </w:trPr>
        <w:tc>
          <w:tcPr>
            <w:tcW w:w="2282"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5" w:firstLine="0"/>
            </w:pPr>
            <w:r>
              <w:rPr>
                <w:b/>
              </w:rPr>
              <w:t xml:space="preserve">Signature: </w:t>
            </w:r>
          </w:p>
        </w:tc>
        <w:tc>
          <w:tcPr>
            <w:tcW w:w="4174" w:type="dxa"/>
            <w:tcBorders>
              <w:top w:val="single" w:sz="6" w:space="0" w:color="000000"/>
              <w:left w:val="single" w:sz="6" w:space="0" w:color="000000"/>
              <w:bottom w:val="single" w:sz="6" w:space="0" w:color="000000"/>
              <w:right w:val="single" w:sz="6" w:space="0" w:color="000000"/>
            </w:tcBorders>
          </w:tcPr>
          <w:p w:rsidR="00E11179" w:rsidRDefault="00E11179">
            <w:pPr>
              <w:spacing w:after="0" w:line="259" w:lineRule="auto"/>
              <w:ind w:left="1331" w:firstLine="0"/>
            </w:pPr>
          </w:p>
        </w:tc>
        <w:tc>
          <w:tcPr>
            <w:tcW w:w="4174" w:type="dxa"/>
            <w:tcBorders>
              <w:top w:val="single" w:sz="6" w:space="0" w:color="000000"/>
              <w:left w:val="single" w:sz="6" w:space="0" w:color="000000"/>
              <w:bottom w:val="single" w:sz="6" w:space="0" w:color="000000"/>
              <w:right w:val="single" w:sz="6" w:space="0" w:color="000000"/>
            </w:tcBorders>
            <w:vAlign w:val="bottom"/>
          </w:tcPr>
          <w:p w:rsidR="00E11179" w:rsidRDefault="00E11179">
            <w:pPr>
              <w:tabs>
                <w:tab w:val="center" w:pos="1312"/>
                <w:tab w:val="center" w:pos="2902"/>
              </w:tabs>
              <w:spacing w:after="0" w:line="259" w:lineRule="auto"/>
              <w:ind w:left="0" w:firstLine="0"/>
            </w:pPr>
          </w:p>
        </w:tc>
      </w:tr>
      <w:tr w:rsidR="00E11179">
        <w:trPr>
          <w:trHeight w:val="510"/>
        </w:trPr>
        <w:tc>
          <w:tcPr>
            <w:tcW w:w="2282"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5" w:firstLine="0"/>
            </w:pPr>
            <w:r>
              <w:rPr>
                <w:b/>
              </w:rPr>
              <w:t xml:space="preserve">Date: </w:t>
            </w:r>
          </w:p>
        </w:tc>
        <w:tc>
          <w:tcPr>
            <w:tcW w:w="4174" w:type="dxa"/>
            <w:tcBorders>
              <w:top w:val="single" w:sz="6" w:space="0" w:color="000000"/>
              <w:left w:val="single" w:sz="6" w:space="0" w:color="000000"/>
              <w:bottom w:val="single" w:sz="6" w:space="0" w:color="000000"/>
              <w:right w:val="single" w:sz="6" w:space="0" w:color="000000"/>
            </w:tcBorders>
            <w:vAlign w:val="bottom"/>
          </w:tcPr>
          <w:p w:rsidR="00E11179" w:rsidRDefault="00E11179">
            <w:pPr>
              <w:spacing w:after="0" w:line="259" w:lineRule="auto"/>
              <w:ind w:left="0" w:firstLine="0"/>
            </w:pPr>
          </w:p>
        </w:tc>
        <w:tc>
          <w:tcPr>
            <w:tcW w:w="4174"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5" w:firstLine="0"/>
            </w:pPr>
            <w:r>
              <w:t xml:space="preserve"> </w:t>
            </w:r>
          </w:p>
        </w:tc>
      </w:tr>
    </w:tbl>
    <w:p w:rsidR="00E11179" w:rsidRDefault="007E1E99">
      <w:pPr>
        <w:spacing w:after="107" w:line="259" w:lineRule="auto"/>
        <w:ind w:left="0" w:firstLine="0"/>
      </w:pPr>
      <w:r>
        <w:rPr>
          <w:b/>
        </w:rPr>
        <w:t xml:space="preserve"> </w:t>
      </w:r>
    </w:p>
    <w:p w:rsidR="00E11179" w:rsidRDefault="007E1E99">
      <w:pPr>
        <w:pStyle w:val="Heading1"/>
        <w:spacing w:after="128"/>
        <w:ind w:left="-5"/>
      </w:pPr>
      <w:bookmarkStart w:id="9" w:name="_Toc76494"/>
      <w:r>
        <w:rPr>
          <w:sz w:val="32"/>
        </w:rPr>
        <w:t xml:space="preserve">Schedule 1 - Services </w:t>
      </w:r>
      <w:bookmarkEnd w:id="9"/>
    </w:p>
    <w:p w:rsidR="00E11179" w:rsidRDefault="007E1E99">
      <w:pPr>
        <w:spacing w:after="27" w:line="259" w:lineRule="auto"/>
      </w:pPr>
      <w:r>
        <w:rPr>
          <w:sz w:val="22"/>
        </w:rPr>
        <w:t xml:space="preserve">Government Shared Services require:  </w:t>
      </w:r>
    </w:p>
    <w:p w:rsidR="00E11179" w:rsidRDefault="007E1E99">
      <w:pPr>
        <w:spacing w:after="46" w:line="259" w:lineRule="auto"/>
        <w:ind w:left="0" w:firstLine="0"/>
      </w:pPr>
      <w:r>
        <w:rPr>
          <w:sz w:val="22"/>
        </w:rPr>
        <w:t xml:space="preserve"> </w:t>
      </w:r>
    </w:p>
    <w:p w:rsidR="00E11179" w:rsidRDefault="007E1E99">
      <w:pPr>
        <w:numPr>
          <w:ilvl w:val="0"/>
          <w:numId w:val="3"/>
        </w:numPr>
        <w:spacing w:after="54" w:line="259" w:lineRule="auto"/>
        <w:ind w:left="705" w:hanging="360"/>
      </w:pPr>
      <w:r>
        <w:rPr>
          <w:sz w:val="22"/>
        </w:rPr>
        <w:t xml:space="preserve">A secure enterprise collaboration workspace which is easy to use  </w:t>
      </w:r>
    </w:p>
    <w:p w:rsidR="00E11179" w:rsidRDefault="007E1E99">
      <w:pPr>
        <w:numPr>
          <w:ilvl w:val="0"/>
          <w:numId w:val="3"/>
        </w:numPr>
        <w:spacing w:after="54" w:line="259" w:lineRule="auto"/>
        <w:ind w:left="705" w:hanging="360"/>
      </w:pPr>
      <w:r>
        <w:rPr>
          <w:sz w:val="22"/>
        </w:rPr>
        <w:t xml:space="preserve">Several workspaces for different purposes and therefore the solution must be scalable as the number of users increase and types of collaboration purposes expands </w:t>
      </w:r>
    </w:p>
    <w:p w:rsidR="00E11179" w:rsidRDefault="007E1E99">
      <w:pPr>
        <w:numPr>
          <w:ilvl w:val="0"/>
          <w:numId w:val="3"/>
        </w:numPr>
        <w:spacing w:after="54" w:line="259" w:lineRule="auto"/>
        <w:ind w:left="705" w:hanging="360"/>
      </w:pPr>
      <w:r>
        <w:rPr>
          <w:sz w:val="22"/>
        </w:rPr>
        <w:t xml:space="preserve">Template workspaces with basic functionality in addition to workspaces with configuration capabilities to allow enhanced collaboration sites </w:t>
      </w:r>
    </w:p>
    <w:p w:rsidR="00E11179" w:rsidRDefault="007E1E99">
      <w:pPr>
        <w:numPr>
          <w:ilvl w:val="0"/>
          <w:numId w:val="3"/>
        </w:numPr>
        <w:spacing w:after="54" w:line="259" w:lineRule="auto"/>
        <w:ind w:left="705" w:hanging="360"/>
      </w:pPr>
      <w:r>
        <w:rPr>
          <w:sz w:val="22"/>
        </w:rPr>
        <w:t xml:space="preserve">Personalisation of the workspace to meet branding requirements </w:t>
      </w:r>
    </w:p>
    <w:p w:rsidR="00E11179" w:rsidRDefault="007E1E99">
      <w:pPr>
        <w:numPr>
          <w:ilvl w:val="0"/>
          <w:numId w:val="3"/>
        </w:numPr>
        <w:spacing w:after="54" w:line="259" w:lineRule="auto"/>
        <w:ind w:left="705" w:hanging="360"/>
      </w:pPr>
      <w:r>
        <w:rPr>
          <w:sz w:val="22"/>
        </w:rPr>
        <w:t xml:space="preserve">User access control </w:t>
      </w:r>
    </w:p>
    <w:p w:rsidR="00E11179" w:rsidRDefault="007E1E99">
      <w:pPr>
        <w:numPr>
          <w:ilvl w:val="0"/>
          <w:numId w:val="3"/>
        </w:numPr>
        <w:spacing w:after="54" w:line="259" w:lineRule="auto"/>
        <w:ind w:left="705" w:hanging="360"/>
      </w:pPr>
      <w:r>
        <w:rPr>
          <w:sz w:val="22"/>
        </w:rPr>
        <w:t xml:space="preserve">Accessibility on government IT infrastructure without changing existing policies </w:t>
      </w:r>
    </w:p>
    <w:p w:rsidR="00E11179" w:rsidRDefault="007E1E99">
      <w:pPr>
        <w:numPr>
          <w:ilvl w:val="0"/>
          <w:numId w:val="3"/>
        </w:numPr>
        <w:spacing w:after="54" w:line="259" w:lineRule="auto"/>
        <w:ind w:left="705" w:hanging="360"/>
      </w:pPr>
      <w:r>
        <w:rPr>
          <w:sz w:val="22"/>
        </w:rPr>
        <w:t>The ability to create multiple collaboration environments instantly</w:t>
      </w:r>
      <w:r>
        <w:t xml:space="preserve"> </w:t>
      </w:r>
    </w:p>
    <w:p w:rsidR="00E11179" w:rsidRDefault="007E1E99">
      <w:pPr>
        <w:spacing w:after="32" w:line="259" w:lineRule="auto"/>
        <w:ind w:left="0" w:firstLine="0"/>
      </w:pPr>
      <w:r>
        <w:t xml:space="preserve"> </w:t>
      </w:r>
    </w:p>
    <w:p w:rsidR="00E11179" w:rsidRDefault="007E1E99">
      <w:pPr>
        <w:spacing w:after="107" w:line="259" w:lineRule="auto"/>
        <w:ind w:left="0" w:firstLine="0"/>
      </w:pPr>
      <w:r>
        <w:rPr>
          <w:b/>
        </w:rPr>
        <w:t xml:space="preserve"> </w:t>
      </w:r>
    </w:p>
    <w:p w:rsidR="00E11179" w:rsidRDefault="007E1E99">
      <w:pPr>
        <w:pStyle w:val="Heading1"/>
        <w:spacing w:after="158"/>
        <w:ind w:left="-5"/>
      </w:pPr>
      <w:bookmarkStart w:id="10" w:name="_Toc76495"/>
      <w:r>
        <w:rPr>
          <w:sz w:val="32"/>
        </w:rPr>
        <w:t xml:space="preserve">Schedule 2 - Call-Off Contract charges </w:t>
      </w:r>
      <w:bookmarkEnd w:id="10"/>
    </w:p>
    <w:p w:rsidR="00E11179" w:rsidRDefault="007E1E99">
      <w:pPr>
        <w:spacing w:after="7"/>
      </w:pPr>
      <w:r>
        <w:t xml:space="preserve">For each individual Service, the applicable Call-Off Contract Charges (in accordance with the </w:t>
      </w:r>
    </w:p>
    <w:p w:rsidR="00E11179" w:rsidRDefault="007E1E99">
      <w:pPr>
        <w:spacing w:after="2"/>
      </w:pPr>
      <w:r>
        <w:t xml:space="preserve">Supplier’s Digital Marketplace pricing document) can’t be amended during the term of the Call-Off Contract. The detailed Charges breakdown for the provision of Services during the Term will include: </w:t>
      </w:r>
    </w:p>
    <w:p w:rsidR="00E11179" w:rsidRDefault="007E1E99">
      <w:pPr>
        <w:spacing w:after="56" w:line="259" w:lineRule="auto"/>
        <w:ind w:left="0" w:firstLine="0"/>
      </w:pPr>
      <w:r>
        <w:rPr>
          <w:b/>
        </w:rPr>
        <w:t xml:space="preserve"> </w:t>
      </w:r>
    </w:p>
    <w:p w:rsidR="00E11179" w:rsidRDefault="00E4154A">
      <w:pPr>
        <w:numPr>
          <w:ilvl w:val="0"/>
          <w:numId w:val="4"/>
        </w:numPr>
        <w:ind w:hanging="360"/>
      </w:pPr>
      <w:r>
        <w:t>REDACTED</w:t>
      </w:r>
    </w:p>
    <w:p w:rsidR="00E4154A" w:rsidRDefault="00E4154A">
      <w:pPr>
        <w:numPr>
          <w:ilvl w:val="0"/>
          <w:numId w:val="4"/>
        </w:numPr>
        <w:ind w:hanging="360"/>
      </w:pPr>
    </w:p>
    <w:p w:rsidR="00E11179" w:rsidRDefault="007E1E99">
      <w:pPr>
        <w:spacing w:after="32" w:line="259" w:lineRule="auto"/>
        <w:ind w:left="0" w:firstLine="0"/>
      </w:pPr>
      <w:r>
        <w:rPr>
          <w:b/>
        </w:rPr>
        <w:t xml:space="preserve"> </w:t>
      </w:r>
    </w:p>
    <w:p w:rsidR="00E11179" w:rsidRDefault="007E1E99">
      <w:pPr>
        <w:spacing w:after="32" w:line="259" w:lineRule="auto"/>
        <w:ind w:left="0" w:firstLine="0"/>
      </w:pPr>
      <w:r>
        <w:rPr>
          <w:b/>
        </w:rPr>
        <w:t xml:space="preserve"> </w:t>
      </w:r>
    </w:p>
    <w:p w:rsidR="00E11179" w:rsidRDefault="007E1E99">
      <w:pPr>
        <w:spacing w:after="107" w:line="259" w:lineRule="auto"/>
        <w:ind w:left="0" w:firstLine="0"/>
      </w:pPr>
      <w:r>
        <w:rPr>
          <w:b/>
        </w:rPr>
        <w:t xml:space="preserve"> </w:t>
      </w:r>
    </w:p>
    <w:p w:rsidR="00E11179" w:rsidRDefault="007E1E99">
      <w:pPr>
        <w:pStyle w:val="Heading1"/>
        <w:spacing w:after="158"/>
        <w:ind w:left="-5"/>
      </w:pPr>
      <w:bookmarkStart w:id="11" w:name="_Toc76496"/>
      <w:r>
        <w:rPr>
          <w:sz w:val="32"/>
        </w:rPr>
        <w:t xml:space="preserve">Part B - Terms and conditions </w:t>
      </w:r>
      <w:bookmarkEnd w:id="11"/>
    </w:p>
    <w:p w:rsidR="00E11179" w:rsidRDefault="007E1E99">
      <w:pPr>
        <w:spacing w:after="257" w:line="259" w:lineRule="auto"/>
        <w:ind w:left="0" w:firstLine="0"/>
      </w:pPr>
      <w:r>
        <w:rPr>
          <w:b/>
        </w:rPr>
        <w:t xml:space="preserve"> </w:t>
      </w:r>
    </w:p>
    <w:p w:rsidR="00E11179" w:rsidRDefault="007E1E99">
      <w:pPr>
        <w:pStyle w:val="Heading1"/>
        <w:ind w:left="-5"/>
      </w:pPr>
      <w:bookmarkStart w:id="12" w:name="_Toc76497"/>
      <w:r>
        <w:t xml:space="preserve">1. Call-Off Contract start date and length </w:t>
      </w:r>
      <w:bookmarkEnd w:id="12"/>
    </w:p>
    <w:p w:rsidR="00E11179" w:rsidRDefault="007E1E99">
      <w:pPr>
        <w:spacing w:after="252" w:line="259" w:lineRule="auto"/>
        <w:ind w:left="0" w:firstLine="0"/>
      </w:pPr>
      <w:r>
        <w:t xml:space="preserve"> </w:t>
      </w:r>
    </w:p>
    <w:p w:rsidR="00E11179" w:rsidRDefault="007E1E99">
      <w:pPr>
        <w:tabs>
          <w:tab w:val="center" w:pos="5379"/>
        </w:tabs>
        <w:spacing w:after="31"/>
        <w:ind w:left="0" w:firstLine="0"/>
      </w:pPr>
      <w:r>
        <w:t>1.1</w:t>
      </w:r>
      <w:r>
        <w:tab/>
        <w:t xml:space="preserve">The Supplier must start providing the Services on the date specified in the Order Form. </w:t>
      </w:r>
    </w:p>
    <w:p w:rsidR="00E11179" w:rsidRDefault="007E1E99">
      <w:pPr>
        <w:spacing w:after="27"/>
        <w:ind w:left="721" w:hanging="721"/>
      </w:pPr>
      <w:r>
        <w:t>1.2</w:t>
      </w:r>
      <w:r>
        <w:tab/>
        <w:t xml:space="preserve">This Call-Off Contract will expire on the Expiry Date in the Order Form. It will be for up to 24 months from the Start Date unless Ended earlier under clause 18 or extended by the Buyer under clause 1.3. </w:t>
      </w:r>
    </w:p>
    <w:p w:rsidR="00E11179" w:rsidRDefault="007E1E99">
      <w:pPr>
        <w:ind w:left="721" w:hanging="721"/>
      </w:pPr>
      <w:r>
        <w:t>1.3</w:t>
      </w:r>
      <w:r>
        <w:tab/>
        <w:t xml:space="preserve">The Buyer can extend this Call-Off Contract, with written notice to the Supplier, by the period in the Order Form, as long as this is within the maximum permitted under the Framework Agreement of 2 periods of up to 12 months each. </w:t>
      </w:r>
    </w:p>
    <w:p w:rsidR="00E11179" w:rsidRDefault="007E1E99">
      <w:pPr>
        <w:spacing w:after="198"/>
        <w:ind w:left="721" w:hanging="721"/>
      </w:pPr>
      <w:r>
        <w:t>1.4</w:t>
      </w:r>
      <w:r>
        <w:tab/>
        <w:t xml:space="preserve">The Parties must comply with the requirements under clauses 21.3 to 21.8 if the Buyer reserves the right in the Order Form to extend the contract beyond 24 months. </w:t>
      </w:r>
    </w:p>
    <w:p w:rsidR="00E11179" w:rsidRDefault="007E1E99">
      <w:pPr>
        <w:spacing w:after="257" w:line="259" w:lineRule="auto"/>
        <w:ind w:left="0" w:firstLine="0"/>
      </w:pPr>
      <w:r>
        <w:t xml:space="preserve"> </w:t>
      </w:r>
    </w:p>
    <w:p w:rsidR="00E11179" w:rsidRDefault="007E1E99">
      <w:pPr>
        <w:pStyle w:val="Heading1"/>
        <w:ind w:left="-5"/>
      </w:pPr>
      <w:bookmarkStart w:id="13" w:name="_Toc76498"/>
      <w:r>
        <w:t xml:space="preserve">2. Incorporation of terms </w:t>
      </w:r>
      <w:bookmarkEnd w:id="13"/>
    </w:p>
    <w:p w:rsidR="00E11179" w:rsidRDefault="007E1E99">
      <w:pPr>
        <w:spacing w:after="252" w:line="259" w:lineRule="auto"/>
        <w:ind w:left="0" w:firstLine="0"/>
      </w:pPr>
      <w:r>
        <w:t xml:space="preserve"> </w:t>
      </w:r>
    </w:p>
    <w:p w:rsidR="00E11179" w:rsidRDefault="007E1E99">
      <w:pPr>
        <w:spacing w:after="2"/>
        <w:ind w:left="721" w:hanging="721"/>
      </w:pPr>
      <w:r>
        <w:t>2.1</w:t>
      </w:r>
      <w:r>
        <w:tab/>
        <w:t xml:space="preserve">The following Framework Agreement clauses (including clauses and defined terms referenced by them) as modified under clause 2.2 are incorporated as separate Call-Off </w:t>
      </w:r>
    </w:p>
    <w:p w:rsidR="00E11179" w:rsidRDefault="007E1E99">
      <w:pPr>
        <w:spacing w:after="7"/>
        <w:ind w:left="731"/>
      </w:pPr>
      <w:r>
        <w:t xml:space="preserve">Contract obligations and apply between the Supplier and the Buyer: </w:t>
      </w:r>
    </w:p>
    <w:p w:rsidR="00E11179" w:rsidRDefault="007E1E99">
      <w:pPr>
        <w:spacing w:after="56" w:line="259" w:lineRule="auto"/>
        <w:ind w:left="0" w:firstLine="0"/>
      </w:pPr>
      <w:r>
        <w:t xml:space="preserve"> </w:t>
      </w:r>
    </w:p>
    <w:p w:rsidR="00E11179" w:rsidRDefault="007E1E99">
      <w:pPr>
        <w:numPr>
          <w:ilvl w:val="0"/>
          <w:numId w:val="5"/>
        </w:numPr>
        <w:spacing w:after="32"/>
        <w:ind w:hanging="360"/>
      </w:pPr>
      <w:r>
        <w:t xml:space="preserve">4.1 (Warranties and representations)  </w:t>
      </w:r>
    </w:p>
    <w:p w:rsidR="00E11179" w:rsidRDefault="007E1E99">
      <w:pPr>
        <w:numPr>
          <w:ilvl w:val="0"/>
          <w:numId w:val="5"/>
        </w:numPr>
        <w:spacing w:after="32"/>
        <w:ind w:hanging="360"/>
      </w:pPr>
      <w:r>
        <w:t xml:space="preserve">4.2 to 4.7 (Liability)  </w:t>
      </w:r>
    </w:p>
    <w:p w:rsidR="00E11179" w:rsidRDefault="007E1E99">
      <w:pPr>
        <w:numPr>
          <w:ilvl w:val="0"/>
          <w:numId w:val="5"/>
        </w:numPr>
        <w:spacing w:after="32"/>
        <w:ind w:hanging="360"/>
      </w:pPr>
      <w:r>
        <w:t xml:space="preserve">4.11 to 4.12 (IR35) </w:t>
      </w:r>
    </w:p>
    <w:p w:rsidR="00E11179" w:rsidRDefault="007E1E99">
      <w:pPr>
        <w:numPr>
          <w:ilvl w:val="0"/>
          <w:numId w:val="5"/>
        </w:numPr>
        <w:spacing w:after="32"/>
        <w:ind w:hanging="360"/>
      </w:pPr>
      <w:r>
        <w:t xml:space="preserve">5.4 to 5.5 (Force majeure) </w:t>
      </w:r>
    </w:p>
    <w:p w:rsidR="00E11179" w:rsidRDefault="007E1E99">
      <w:pPr>
        <w:numPr>
          <w:ilvl w:val="0"/>
          <w:numId w:val="5"/>
        </w:numPr>
        <w:spacing w:after="32"/>
        <w:ind w:hanging="360"/>
      </w:pPr>
      <w:r>
        <w:t xml:space="preserve">5.8 (Continuing rights)  </w:t>
      </w:r>
    </w:p>
    <w:p w:rsidR="00E11179" w:rsidRDefault="007E1E99">
      <w:pPr>
        <w:numPr>
          <w:ilvl w:val="0"/>
          <w:numId w:val="5"/>
        </w:numPr>
        <w:spacing w:after="32"/>
        <w:ind w:hanging="360"/>
      </w:pPr>
      <w:r>
        <w:t xml:space="preserve">5.9 to 5.11 (Change of control)  </w:t>
      </w:r>
    </w:p>
    <w:p w:rsidR="00E11179" w:rsidRDefault="007E1E99">
      <w:pPr>
        <w:numPr>
          <w:ilvl w:val="0"/>
          <w:numId w:val="5"/>
        </w:numPr>
        <w:spacing w:after="33"/>
        <w:ind w:hanging="360"/>
      </w:pPr>
      <w:r>
        <w:t xml:space="preserve">5.12 (Fraud) </w:t>
      </w:r>
    </w:p>
    <w:p w:rsidR="00E11179" w:rsidRDefault="007E1E99">
      <w:pPr>
        <w:numPr>
          <w:ilvl w:val="0"/>
          <w:numId w:val="5"/>
        </w:numPr>
        <w:spacing w:after="32"/>
        <w:ind w:hanging="360"/>
      </w:pPr>
      <w:r>
        <w:t xml:space="preserve">5.13 (Notice of fraud) </w:t>
      </w:r>
    </w:p>
    <w:p w:rsidR="00E11179" w:rsidRDefault="007E1E99">
      <w:pPr>
        <w:numPr>
          <w:ilvl w:val="0"/>
          <w:numId w:val="5"/>
        </w:numPr>
        <w:spacing w:after="32"/>
        <w:ind w:hanging="360"/>
      </w:pPr>
      <w:r>
        <w:t xml:space="preserve">7.1 to 7.2 (Transparency) </w:t>
      </w:r>
    </w:p>
    <w:p w:rsidR="00E11179" w:rsidRDefault="007E1E99">
      <w:pPr>
        <w:numPr>
          <w:ilvl w:val="0"/>
          <w:numId w:val="5"/>
        </w:numPr>
        <w:spacing w:after="32"/>
        <w:ind w:hanging="360"/>
      </w:pPr>
      <w:r>
        <w:t xml:space="preserve">8.3 (Order of precedence) </w:t>
      </w:r>
    </w:p>
    <w:p w:rsidR="00E11179" w:rsidRDefault="007E1E99">
      <w:pPr>
        <w:numPr>
          <w:ilvl w:val="0"/>
          <w:numId w:val="5"/>
        </w:numPr>
        <w:spacing w:after="32"/>
        <w:ind w:hanging="360"/>
      </w:pPr>
      <w:r>
        <w:t xml:space="preserve">8.4 (Relationship) </w:t>
      </w:r>
    </w:p>
    <w:p w:rsidR="00E11179" w:rsidRDefault="007E1E99">
      <w:pPr>
        <w:numPr>
          <w:ilvl w:val="0"/>
          <w:numId w:val="5"/>
        </w:numPr>
        <w:spacing w:after="32"/>
        <w:ind w:hanging="360"/>
      </w:pPr>
      <w:r>
        <w:t xml:space="preserve">8.7 to 8.9 (Entire agreement) </w:t>
      </w:r>
    </w:p>
    <w:p w:rsidR="00E11179" w:rsidRDefault="007E1E99">
      <w:pPr>
        <w:numPr>
          <w:ilvl w:val="0"/>
          <w:numId w:val="5"/>
        </w:numPr>
        <w:spacing w:after="32"/>
        <w:ind w:hanging="360"/>
      </w:pPr>
      <w:r>
        <w:t xml:space="preserve">8.10 (Law and jurisdiction) </w:t>
      </w:r>
    </w:p>
    <w:p w:rsidR="00E11179" w:rsidRDefault="007E1E99">
      <w:pPr>
        <w:numPr>
          <w:ilvl w:val="0"/>
          <w:numId w:val="5"/>
        </w:numPr>
        <w:spacing w:after="32"/>
        <w:ind w:hanging="360"/>
      </w:pPr>
      <w:r>
        <w:t xml:space="preserve">8.11 to 8.12 (Legislative change) </w:t>
      </w:r>
    </w:p>
    <w:p w:rsidR="00E11179" w:rsidRDefault="007E1E99">
      <w:pPr>
        <w:numPr>
          <w:ilvl w:val="0"/>
          <w:numId w:val="5"/>
        </w:numPr>
        <w:spacing w:after="32"/>
        <w:ind w:hanging="360"/>
      </w:pPr>
      <w:r>
        <w:t xml:space="preserve">8.13 to 8.17 (Bribery and corruption) </w:t>
      </w:r>
    </w:p>
    <w:p w:rsidR="00E11179" w:rsidRDefault="007E1E99">
      <w:pPr>
        <w:numPr>
          <w:ilvl w:val="0"/>
          <w:numId w:val="5"/>
        </w:numPr>
        <w:ind w:hanging="360"/>
      </w:pPr>
      <w:r>
        <w:t xml:space="preserve">8.18 to 8.27 (Freedom of Information Act) </w:t>
      </w:r>
    </w:p>
    <w:p w:rsidR="00E11179" w:rsidRDefault="007E1E99">
      <w:pPr>
        <w:numPr>
          <w:ilvl w:val="0"/>
          <w:numId w:val="5"/>
        </w:numPr>
        <w:spacing w:after="32"/>
        <w:ind w:hanging="360"/>
      </w:pPr>
      <w:r>
        <w:t xml:space="preserve">8.28 to 8.29 (Promoting tax compliance)  </w:t>
      </w:r>
    </w:p>
    <w:p w:rsidR="00E11179" w:rsidRDefault="007E1E99">
      <w:pPr>
        <w:numPr>
          <w:ilvl w:val="0"/>
          <w:numId w:val="5"/>
        </w:numPr>
        <w:spacing w:after="32"/>
        <w:ind w:hanging="360"/>
      </w:pPr>
      <w:r>
        <w:t xml:space="preserve">8.30 to 8.31 (Official Secrets Act) </w:t>
      </w:r>
    </w:p>
    <w:p w:rsidR="00E11179" w:rsidRDefault="007E1E99">
      <w:pPr>
        <w:numPr>
          <w:ilvl w:val="0"/>
          <w:numId w:val="5"/>
        </w:numPr>
        <w:spacing w:after="32"/>
        <w:ind w:hanging="360"/>
      </w:pPr>
      <w:r>
        <w:t xml:space="preserve">8.32 to 8.35 (Transfer and subcontracting) </w:t>
      </w:r>
    </w:p>
    <w:p w:rsidR="00E11179" w:rsidRDefault="007E1E99">
      <w:pPr>
        <w:numPr>
          <w:ilvl w:val="0"/>
          <w:numId w:val="5"/>
        </w:numPr>
        <w:spacing w:after="32"/>
        <w:ind w:hanging="360"/>
      </w:pPr>
      <w:r>
        <w:t xml:space="preserve">8.38 to 8.41 (Complaints handling and resolution) </w:t>
      </w:r>
    </w:p>
    <w:p w:rsidR="00E11179" w:rsidRDefault="007E1E99">
      <w:pPr>
        <w:numPr>
          <w:ilvl w:val="0"/>
          <w:numId w:val="5"/>
        </w:numPr>
        <w:spacing w:after="31"/>
        <w:ind w:hanging="360"/>
      </w:pPr>
      <w:r>
        <w:t xml:space="preserve">8.42 to 8.48 (Conflicts of interest and ethical walls) </w:t>
      </w:r>
    </w:p>
    <w:p w:rsidR="00E11179" w:rsidRDefault="007E1E99">
      <w:pPr>
        <w:numPr>
          <w:ilvl w:val="0"/>
          <w:numId w:val="5"/>
        </w:numPr>
        <w:spacing w:after="32"/>
        <w:ind w:hanging="360"/>
      </w:pPr>
      <w:r>
        <w:t xml:space="preserve">8.49 to 8.51 (Publicity and branding) </w:t>
      </w:r>
    </w:p>
    <w:p w:rsidR="00E11179" w:rsidRDefault="007E1E99">
      <w:pPr>
        <w:numPr>
          <w:ilvl w:val="0"/>
          <w:numId w:val="5"/>
        </w:numPr>
        <w:spacing w:after="32"/>
        <w:ind w:hanging="360"/>
      </w:pPr>
      <w:r>
        <w:t xml:space="preserve">8.52 to 8.54 (Equality and diversity) </w:t>
      </w:r>
    </w:p>
    <w:p w:rsidR="00E11179" w:rsidRDefault="007E1E99">
      <w:pPr>
        <w:numPr>
          <w:ilvl w:val="0"/>
          <w:numId w:val="5"/>
        </w:numPr>
        <w:spacing w:after="32"/>
        <w:ind w:hanging="360"/>
      </w:pPr>
      <w:r>
        <w:t xml:space="preserve">8.57 to 8.58 (data protection) </w:t>
      </w:r>
    </w:p>
    <w:p w:rsidR="00E11179" w:rsidRDefault="007E1E99">
      <w:pPr>
        <w:numPr>
          <w:ilvl w:val="0"/>
          <w:numId w:val="5"/>
        </w:numPr>
        <w:spacing w:after="32"/>
        <w:ind w:hanging="360"/>
      </w:pPr>
      <w:r>
        <w:t xml:space="preserve">8.62 to 8.63 (Severability) </w:t>
      </w:r>
    </w:p>
    <w:p w:rsidR="00E11179" w:rsidRDefault="007E1E99">
      <w:pPr>
        <w:numPr>
          <w:ilvl w:val="0"/>
          <w:numId w:val="5"/>
        </w:numPr>
        <w:spacing w:after="31"/>
        <w:ind w:hanging="360"/>
      </w:pPr>
      <w:r>
        <w:t xml:space="preserve">8.64 to 8.77 (Managing disputes and Mediation)  </w:t>
      </w:r>
    </w:p>
    <w:p w:rsidR="00E11179" w:rsidRDefault="007E1E99">
      <w:pPr>
        <w:numPr>
          <w:ilvl w:val="0"/>
          <w:numId w:val="5"/>
        </w:numPr>
        <w:spacing w:after="32"/>
        <w:ind w:hanging="360"/>
      </w:pPr>
      <w:r>
        <w:t xml:space="preserve">8.78 to 8.86 (Confidentiality)  </w:t>
      </w:r>
    </w:p>
    <w:p w:rsidR="00E11179" w:rsidRDefault="007E1E99">
      <w:pPr>
        <w:numPr>
          <w:ilvl w:val="0"/>
          <w:numId w:val="5"/>
        </w:numPr>
        <w:spacing w:after="32"/>
        <w:ind w:hanging="360"/>
      </w:pPr>
      <w:r>
        <w:t xml:space="preserve">8.87 to 8.88 (Waiver and cumulative remedies) </w:t>
      </w:r>
    </w:p>
    <w:p w:rsidR="00E11179" w:rsidRDefault="007E1E99">
      <w:pPr>
        <w:numPr>
          <w:ilvl w:val="0"/>
          <w:numId w:val="5"/>
        </w:numPr>
        <w:spacing w:after="32"/>
        <w:ind w:hanging="360"/>
      </w:pPr>
      <w:r>
        <w:t xml:space="preserve">8.89 to 8.99 (Corporate Social Responsibility) </w:t>
      </w:r>
    </w:p>
    <w:p w:rsidR="00E11179" w:rsidRDefault="007E1E99">
      <w:pPr>
        <w:numPr>
          <w:ilvl w:val="0"/>
          <w:numId w:val="5"/>
        </w:numPr>
        <w:spacing w:after="31"/>
        <w:ind w:hanging="360"/>
      </w:pPr>
      <w:r>
        <w:t xml:space="preserve">paragraphs 1 to 10 of the Framework Agreement glossary and interpretations </w:t>
      </w:r>
    </w:p>
    <w:p w:rsidR="00E11179" w:rsidRDefault="007E1E99">
      <w:pPr>
        <w:numPr>
          <w:ilvl w:val="0"/>
          <w:numId w:val="5"/>
        </w:numPr>
        <w:spacing w:after="198"/>
        <w:ind w:hanging="360"/>
      </w:pPr>
      <w:r>
        <w:t xml:space="preserve">any audit provisions from the Framework Agreement set out by the Buyer in the Order Form </w:t>
      </w:r>
    </w:p>
    <w:p w:rsidR="00E11179" w:rsidRDefault="007E1E99">
      <w:pPr>
        <w:spacing w:after="57" w:line="259" w:lineRule="auto"/>
        <w:ind w:left="0" w:firstLine="0"/>
      </w:pPr>
      <w:r>
        <w:t xml:space="preserve"> </w:t>
      </w:r>
    </w:p>
    <w:p w:rsidR="00E11179" w:rsidRDefault="007E1E99">
      <w:pPr>
        <w:tabs>
          <w:tab w:val="center" w:pos="4945"/>
        </w:tabs>
        <w:spacing w:after="7"/>
        <w:ind w:left="0" w:firstLine="0"/>
      </w:pPr>
      <w:r>
        <w:t>2.2</w:t>
      </w:r>
      <w:r>
        <w:tab/>
        <w:t xml:space="preserve">The Framework Agreement provisions in clause 2.1 will be modified as follows: </w:t>
      </w:r>
    </w:p>
    <w:p w:rsidR="00E11179" w:rsidRDefault="007E1E99">
      <w:pPr>
        <w:spacing w:after="56" w:line="259" w:lineRule="auto"/>
        <w:ind w:left="0" w:firstLine="0"/>
      </w:pPr>
      <w:r>
        <w:t xml:space="preserve"> </w:t>
      </w:r>
    </w:p>
    <w:p w:rsidR="00E11179" w:rsidRDefault="007E1E99">
      <w:pPr>
        <w:numPr>
          <w:ilvl w:val="0"/>
          <w:numId w:val="5"/>
        </w:numPr>
        <w:ind w:hanging="360"/>
      </w:pPr>
      <w:r>
        <w:t xml:space="preserve">a reference to the ‘Framework Agreement’ will be a reference to the ‘Call-Off Contract’ </w:t>
      </w:r>
    </w:p>
    <w:p w:rsidR="00E11179" w:rsidRDefault="007E1E99">
      <w:pPr>
        <w:numPr>
          <w:ilvl w:val="0"/>
          <w:numId w:val="5"/>
        </w:numPr>
        <w:ind w:hanging="360"/>
      </w:pPr>
      <w:r>
        <w:t xml:space="preserve">a reference to ‘CCS’ will be a reference to ‘the Buyer’ </w:t>
      </w:r>
    </w:p>
    <w:p w:rsidR="00E11179" w:rsidRDefault="007E1E99">
      <w:pPr>
        <w:numPr>
          <w:ilvl w:val="0"/>
          <w:numId w:val="5"/>
        </w:numPr>
        <w:ind w:hanging="360"/>
      </w:pPr>
      <w:r>
        <w:t xml:space="preserve">a reference to the ‘Parties’ and a ‘Party’ will be a reference to the Buyer and Supplier as Parties under this Call-Off Contract </w:t>
      </w:r>
    </w:p>
    <w:p w:rsidR="00E11179" w:rsidRDefault="007E1E99">
      <w:pPr>
        <w:numPr>
          <w:ilvl w:val="1"/>
          <w:numId w:val="6"/>
        </w:numPr>
        <w:spacing w:after="27"/>
        <w:ind w:hanging="721"/>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rsidR="00E11179" w:rsidRDefault="007E1E99">
      <w:pPr>
        <w:numPr>
          <w:ilvl w:val="1"/>
          <w:numId w:val="6"/>
        </w:numPr>
        <w:spacing w:after="27"/>
        <w:ind w:hanging="721"/>
      </w:pPr>
      <w:r>
        <w:t xml:space="preserve">The Framework Agreement incorporated clauses will be referred to as ‘incorporated Framework clause XX’, where ‘XX’ is the Framework Agreement clause number. </w:t>
      </w:r>
    </w:p>
    <w:p w:rsidR="00E11179" w:rsidRDefault="007E1E99">
      <w:pPr>
        <w:numPr>
          <w:ilvl w:val="1"/>
          <w:numId w:val="6"/>
        </w:numPr>
        <w:spacing w:after="2"/>
        <w:ind w:hanging="721"/>
      </w:pPr>
      <w:r>
        <w:t xml:space="preserve">When an Order Form is signed, the terms and conditions agreed in it will be incorporated into this Call-Off Contract. </w:t>
      </w:r>
    </w:p>
    <w:p w:rsidR="00E11179" w:rsidRDefault="007E1E99">
      <w:pPr>
        <w:spacing w:after="257" w:line="259" w:lineRule="auto"/>
        <w:ind w:left="0" w:firstLine="0"/>
      </w:pPr>
      <w:r>
        <w:t xml:space="preserve"> </w:t>
      </w:r>
    </w:p>
    <w:p w:rsidR="00E11179" w:rsidRDefault="007E1E99">
      <w:pPr>
        <w:pStyle w:val="Heading1"/>
        <w:ind w:left="-5"/>
      </w:pPr>
      <w:bookmarkStart w:id="14" w:name="_Toc76499"/>
      <w:r>
        <w:t xml:space="preserve">3. Supply of services </w:t>
      </w:r>
      <w:bookmarkEnd w:id="14"/>
    </w:p>
    <w:p w:rsidR="00E11179" w:rsidRDefault="007E1E99">
      <w:pPr>
        <w:spacing w:after="252" w:line="259" w:lineRule="auto"/>
        <w:ind w:left="0" w:firstLine="0"/>
      </w:pPr>
      <w:r>
        <w:t xml:space="preserve"> </w:t>
      </w:r>
    </w:p>
    <w:p w:rsidR="00E11179" w:rsidRDefault="007E1E99">
      <w:pPr>
        <w:ind w:left="721" w:hanging="721"/>
      </w:pPr>
      <w:r>
        <w:t>3.1</w:t>
      </w:r>
      <w:r>
        <w:tab/>
        <w:t xml:space="preserve">The Supplier agrees to supply the G-Cloud Services and any Additional Services under the terms of the Call-Off Contract and the Supplier’s Application. </w:t>
      </w:r>
    </w:p>
    <w:p w:rsidR="00E11179" w:rsidRDefault="007E1E99">
      <w:pPr>
        <w:spacing w:after="202"/>
      </w:pPr>
      <w:r>
        <w:t>3.2</w:t>
      </w:r>
      <w:r>
        <w:tab/>
        <w:t xml:space="preserve">The Supplier undertakes that each G-Cloud Service will meet the Buyer’s acceptance criteria, as defined in the Order Form.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57" w:line="259" w:lineRule="auto"/>
        <w:ind w:left="0" w:firstLine="0"/>
      </w:pPr>
      <w:r>
        <w:t xml:space="preserve"> </w:t>
      </w:r>
    </w:p>
    <w:p w:rsidR="00E11179" w:rsidRDefault="007E1E99">
      <w:pPr>
        <w:pStyle w:val="Heading1"/>
        <w:ind w:left="-5"/>
      </w:pPr>
      <w:bookmarkStart w:id="15" w:name="_Toc76500"/>
      <w:r>
        <w:t xml:space="preserve">4. Supplier staff </w:t>
      </w:r>
      <w:bookmarkEnd w:id="15"/>
    </w:p>
    <w:p w:rsidR="00E11179" w:rsidRDefault="007E1E99">
      <w:pPr>
        <w:spacing w:after="252" w:line="259" w:lineRule="auto"/>
        <w:ind w:left="0" w:firstLine="0"/>
      </w:pPr>
      <w:r>
        <w:t xml:space="preserve"> </w:t>
      </w:r>
    </w:p>
    <w:p w:rsidR="00E11179" w:rsidRDefault="007E1E99">
      <w:pPr>
        <w:tabs>
          <w:tab w:val="center" w:pos="2018"/>
        </w:tabs>
        <w:spacing w:after="7"/>
        <w:ind w:left="0" w:firstLine="0"/>
      </w:pPr>
      <w:r>
        <w:t>4.1</w:t>
      </w:r>
      <w:r>
        <w:tab/>
        <w:t xml:space="preserve">The Supplier Staff must: </w:t>
      </w:r>
    </w:p>
    <w:p w:rsidR="00E11179" w:rsidRDefault="007E1E99">
      <w:pPr>
        <w:spacing w:after="56" w:line="259" w:lineRule="auto"/>
        <w:ind w:left="0" w:firstLine="0"/>
      </w:pPr>
      <w:r>
        <w:t xml:space="preserve"> </w:t>
      </w:r>
    </w:p>
    <w:p w:rsidR="00E11179" w:rsidRDefault="007E1E99">
      <w:pPr>
        <w:numPr>
          <w:ilvl w:val="0"/>
          <w:numId w:val="7"/>
        </w:numPr>
        <w:spacing w:after="31"/>
        <w:ind w:hanging="360"/>
      </w:pPr>
      <w:r>
        <w:t xml:space="preserve">be appropriately experienced, qualified and trained to supply the Services </w:t>
      </w:r>
    </w:p>
    <w:p w:rsidR="00E11179" w:rsidRDefault="007E1E99">
      <w:pPr>
        <w:numPr>
          <w:ilvl w:val="0"/>
          <w:numId w:val="7"/>
        </w:numPr>
        <w:spacing w:after="31"/>
        <w:ind w:hanging="360"/>
      </w:pPr>
      <w:r>
        <w:t xml:space="preserve">apply all due skill, care and diligence in faithfully performing those duties </w:t>
      </w:r>
    </w:p>
    <w:p w:rsidR="00E11179" w:rsidRDefault="007E1E99">
      <w:pPr>
        <w:numPr>
          <w:ilvl w:val="0"/>
          <w:numId w:val="7"/>
        </w:numPr>
        <w:spacing w:after="7"/>
        <w:ind w:hanging="360"/>
      </w:pPr>
      <w:r>
        <w:t xml:space="preserve">obey all lawful instructions and reasonable directions of the Buyer and provide the </w:t>
      </w:r>
    </w:p>
    <w:p w:rsidR="00E11179" w:rsidRDefault="007E1E99">
      <w:pPr>
        <w:spacing w:after="31"/>
        <w:ind w:left="1451"/>
      </w:pPr>
      <w:r>
        <w:t xml:space="preserve">Services to the reasonable satisfaction of the Buyer </w:t>
      </w:r>
    </w:p>
    <w:p w:rsidR="00E11179" w:rsidRDefault="007E1E99">
      <w:pPr>
        <w:numPr>
          <w:ilvl w:val="0"/>
          <w:numId w:val="7"/>
        </w:numPr>
        <w:spacing w:after="31"/>
        <w:ind w:hanging="360"/>
      </w:pPr>
      <w:r>
        <w:t xml:space="preserve">respond to any enquiries about the Services as soon as reasonably possible </w:t>
      </w:r>
    </w:p>
    <w:p w:rsidR="00E11179" w:rsidRDefault="007E1E99">
      <w:pPr>
        <w:numPr>
          <w:ilvl w:val="0"/>
          <w:numId w:val="7"/>
        </w:numPr>
        <w:spacing w:after="7"/>
        <w:ind w:hanging="360"/>
      </w:pPr>
      <w:r>
        <w:t xml:space="preserve">complete any necessary Supplier Staff vetting as specified by the Buyer </w:t>
      </w:r>
    </w:p>
    <w:p w:rsidR="00E11179" w:rsidRDefault="007E1E99">
      <w:pPr>
        <w:spacing w:after="57" w:line="259" w:lineRule="auto"/>
        <w:ind w:left="0" w:firstLine="0"/>
      </w:pPr>
      <w:r>
        <w:t xml:space="preserve"> </w:t>
      </w:r>
    </w:p>
    <w:p w:rsidR="00E11179" w:rsidRDefault="007E1E99">
      <w:pPr>
        <w:numPr>
          <w:ilvl w:val="1"/>
          <w:numId w:val="8"/>
        </w:numPr>
        <w:spacing w:after="27"/>
        <w:ind w:hanging="721"/>
      </w:pPr>
      <w:r>
        <w:t xml:space="preserve">The Supplier must retain overall control of the Supplier Staff so that they are not considered to be employees, workers, agents or contractors of the Buyer. </w:t>
      </w:r>
    </w:p>
    <w:p w:rsidR="00E11179" w:rsidRDefault="007E1E99">
      <w:pPr>
        <w:numPr>
          <w:ilvl w:val="1"/>
          <w:numId w:val="8"/>
        </w:numPr>
        <w:spacing w:after="27"/>
        <w:ind w:hanging="721"/>
      </w:pPr>
      <w:r>
        <w:t xml:space="preserve">The Supplier may substitute any Supplier Staff as long as they have the equivalent experience and qualifications to the substituted staff member. </w:t>
      </w:r>
    </w:p>
    <w:p w:rsidR="00E11179" w:rsidRDefault="007E1E99">
      <w:pPr>
        <w:numPr>
          <w:ilvl w:val="1"/>
          <w:numId w:val="8"/>
        </w:numPr>
        <w:ind w:hanging="721"/>
      </w:pPr>
      <w:r>
        <w:t xml:space="preserve">The Buyer may conduct IR35 Assessments using the ESI tool to assess whether the Supplier’s engagement under the Call-Off Contract is Inside or Outside IR35. </w:t>
      </w:r>
    </w:p>
    <w:p w:rsidR="00E11179" w:rsidRDefault="007E1E99">
      <w:pPr>
        <w:numPr>
          <w:ilvl w:val="1"/>
          <w:numId w:val="8"/>
        </w:numPr>
        <w:ind w:hanging="721"/>
      </w:pPr>
      <w:r>
        <w:t xml:space="preserve">The Buyer may End this Call-Off Contract for Material Breach if the Supplier is delivering the Services Inside IR35. </w:t>
      </w:r>
    </w:p>
    <w:p w:rsidR="00E11179" w:rsidRDefault="007E1E99">
      <w:pPr>
        <w:numPr>
          <w:ilvl w:val="1"/>
          <w:numId w:val="8"/>
        </w:numPr>
        <w:ind w:hanging="721"/>
      </w:pPr>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E11179" w:rsidRDefault="007E1E99">
      <w:pPr>
        <w:numPr>
          <w:ilvl w:val="1"/>
          <w:numId w:val="8"/>
        </w:numPr>
        <w:ind w:hanging="721"/>
      </w:pPr>
      <w:r>
        <w:t xml:space="preserve">If the Indicative Test indicates the delivery of the Services could potentially be Inside IR35, the Supplier must provide the Buyer with all relevant information needed to enable the Buyer to conduct its own IR35 Assessment.  </w:t>
      </w:r>
    </w:p>
    <w:p w:rsidR="00E11179" w:rsidRDefault="007E1E99">
      <w:pPr>
        <w:numPr>
          <w:ilvl w:val="1"/>
          <w:numId w:val="8"/>
        </w:numPr>
        <w:spacing w:after="7"/>
        <w:ind w:hanging="721"/>
      </w:pPr>
      <w:r>
        <w:t xml:space="preserve">If it is determined by the Buyer that the Supplier is Outside IR35, the Buyer will provide the </w:t>
      </w:r>
    </w:p>
    <w:p w:rsidR="00E11179" w:rsidRDefault="007E1E99">
      <w:pPr>
        <w:spacing w:after="202"/>
        <w:ind w:left="731"/>
      </w:pPr>
      <w:r>
        <w:t xml:space="preserve">ESI reference number and a copy of the PDF to the Supplier. </w:t>
      </w:r>
    </w:p>
    <w:p w:rsidR="00E11179" w:rsidRDefault="007E1E99">
      <w:pPr>
        <w:spacing w:after="0" w:line="259" w:lineRule="auto"/>
        <w:ind w:left="0" w:firstLine="0"/>
      </w:pPr>
      <w:r>
        <w:t xml:space="preserve"> </w:t>
      </w:r>
    </w:p>
    <w:p w:rsidR="00E11179" w:rsidRDefault="007E1E99">
      <w:pPr>
        <w:pStyle w:val="Heading1"/>
        <w:ind w:left="-5"/>
      </w:pPr>
      <w:bookmarkStart w:id="16" w:name="_Toc76501"/>
      <w:r>
        <w:t xml:space="preserve">5. Due diligence </w:t>
      </w:r>
      <w:bookmarkEnd w:id="16"/>
    </w:p>
    <w:p w:rsidR="00E11179" w:rsidRDefault="007E1E99">
      <w:pPr>
        <w:spacing w:after="252" w:line="259" w:lineRule="auto"/>
        <w:ind w:left="0" w:firstLine="0"/>
      </w:pPr>
      <w:r>
        <w:t xml:space="preserve"> </w:t>
      </w:r>
    </w:p>
    <w:p w:rsidR="00E11179" w:rsidRDefault="007E1E99">
      <w:pPr>
        <w:tabs>
          <w:tab w:val="center" w:pos="4324"/>
        </w:tabs>
        <w:ind w:left="0" w:firstLine="0"/>
      </w:pPr>
      <w:r>
        <w:t>5.1</w:t>
      </w:r>
      <w:r>
        <w:tab/>
        <w:t xml:space="preserve">Both Parties agree that when entering into a Call-Off Contract they: </w:t>
      </w:r>
    </w:p>
    <w:p w:rsidR="00E11179" w:rsidRDefault="007E1E99">
      <w:pPr>
        <w:numPr>
          <w:ilvl w:val="0"/>
          <w:numId w:val="9"/>
        </w:numPr>
        <w:spacing w:after="27"/>
        <w:ind w:hanging="360"/>
      </w:pPr>
      <w:r>
        <w:t xml:space="preserve">have made their own enquiries and are satisfied by the accuracy of any information supplied by the other Party </w:t>
      </w:r>
    </w:p>
    <w:p w:rsidR="00E11179" w:rsidRDefault="007E1E99">
      <w:pPr>
        <w:numPr>
          <w:ilvl w:val="0"/>
          <w:numId w:val="9"/>
        </w:numPr>
        <w:spacing w:after="27"/>
        <w:ind w:hanging="360"/>
      </w:pPr>
      <w:r>
        <w:t xml:space="preserve">are confident that they can fulfil their obligations according to the Call-Off Contract terms </w:t>
      </w:r>
    </w:p>
    <w:p w:rsidR="00E11179" w:rsidRDefault="007E1E99">
      <w:pPr>
        <w:numPr>
          <w:ilvl w:val="0"/>
          <w:numId w:val="9"/>
        </w:numPr>
        <w:spacing w:after="29" w:line="287" w:lineRule="auto"/>
        <w:ind w:hanging="360"/>
      </w:pPr>
      <w:r>
        <w:t xml:space="preserve">have raised all due diligence questions before signing the Call-Off Contract </w:t>
      </w:r>
    </w:p>
    <w:p w:rsidR="00E11179" w:rsidRDefault="007E1E99">
      <w:pPr>
        <w:numPr>
          <w:ilvl w:val="0"/>
          <w:numId w:val="9"/>
        </w:numPr>
        <w:spacing w:after="7"/>
        <w:ind w:hanging="360"/>
      </w:pPr>
      <w:r>
        <w:t xml:space="preserve">have entered into the Call-Off Contract relying on its own due diligence </w:t>
      </w:r>
    </w:p>
    <w:p w:rsidR="00E11179" w:rsidRDefault="007E1E99">
      <w:pPr>
        <w:spacing w:after="257" w:line="259" w:lineRule="auto"/>
        <w:ind w:left="0" w:firstLine="0"/>
      </w:pPr>
      <w:r>
        <w:t xml:space="preserve"> </w:t>
      </w:r>
    </w:p>
    <w:p w:rsidR="00E11179" w:rsidRDefault="007E1E99">
      <w:pPr>
        <w:pStyle w:val="Heading1"/>
        <w:ind w:left="-5"/>
      </w:pPr>
      <w:bookmarkStart w:id="17" w:name="_Toc76502"/>
      <w:r>
        <w:t xml:space="preserve">6. Business continuity and disaster recovery </w:t>
      </w:r>
      <w:bookmarkEnd w:id="17"/>
    </w:p>
    <w:p w:rsidR="00E11179" w:rsidRDefault="007E1E99">
      <w:pPr>
        <w:spacing w:after="252" w:line="259" w:lineRule="auto"/>
        <w:ind w:left="0" w:firstLine="0"/>
      </w:pPr>
      <w:r>
        <w:t xml:space="preserve"> </w:t>
      </w:r>
    </w:p>
    <w:p w:rsidR="00E11179" w:rsidRDefault="007E1E99">
      <w:pPr>
        <w:ind w:left="721" w:hanging="721"/>
      </w:pPr>
      <w:r>
        <w:t>6.1</w:t>
      </w:r>
      <w:r>
        <w:tab/>
        <w:t xml:space="preserve">The Supplier will have a clear business continuity and disaster recovery plan in their service descriptions. </w:t>
      </w:r>
    </w:p>
    <w:p w:rsidR="00E11179" w:rsidRDefault="007E1E99">
      <w:pPr>
        <w:ind w:left="721" w:hanging="721"/>
      </w:pPr>
      <w:r>
        <w:t>6.2</w:t>
      </w:r>
      <w:r>
        <w:tab/>
        <w:t xml:space="preserve">The Supplier’s business continuity and disaster recovery services are part of the Services and will be performed by the Supplier when required. </w:t>
      </w:r>
    </w:p>
    <w:p w:rsidR="00E11179" w:rsidRDefault="007E1E99">
      <w:pPr>
        <w:spacing w:after="198"/>
        <w:ind w:left="721" w:hanging="721"/>
      </w:pPr>
      <w:r>
        <w:t>6.3</w:t>
      </w:r>
      <w:r>
        <w:tab/>
        <w:t xml:space="preserve">If requested by the Buyer prior to entering into this Call-Off Contract, the Supplier must ensure that its business continuity and disaster recovery plan is consistent with the Buyer’s own plans. </w:t>
      </w:r>
    </w:p>
    <w:p w:rsidR="00E11179" w:rsidRDefault="007E1E99">
      <w:pPr>
        <w:spacing w:after="257" w:line="259" w:lineRule="auto"/>
        <w:ind w:left="0" w:firstLine="0"/>
      </w:pPr>
      <w:r>
        <w:t xml:space="preserve"> </w:t>
      </w:r>
    </w:p>
    <w:p w:rsidR="00E11179" w:rsidRDefault="007E1E99">
      <w:pPr>
        <w:pStyle w:val="Heading1"/>
        <w:ind w:left="-5"/>
      </w:pPr>
      <w:bookmarkStart w:id="18" w:name="_Toc76503"/>
      <w:r>
        <w:t xml:space="preserve">7. Payment, VAT and Call-Off Contract charges </w:t>
      </w:r>
      <w:bookmarkEnd w:id="18"/>
    </w:p>
    <w:p w:rsidR="00E11179" w:rsidRDefault="007E1E99">
      <w:pPr>
        <w:spacing w:after="252" w:line="259" w:lineRule="auto"/>
        <w:ind w:left="0" w:firstLine="0"/>
      </w:pPr>
      <w:r>
        <w:t xml:space="preserve"> </w:t>
      </w:r>
    </w:p>
    <w:p w:rsidR="00E11179" w:rsidRDefault="007E1E99">
      <w:pPr>
        <w:ind w:left="721" w:hanging="721"/>
      </w:pPr>
      <w:r>
        <w:t>7.1</w:t>
      </w:r>
      <w:r>
        <w:tab/>
        <w:t xml:space="preserve">The Buyer must pay the Charges following clauses 7.2 to 7.11 for the Supplier’s delivery of the Services. </w:t>
      </w:r>
    </w:p>
    <w:p w:rsidR="00E11179" w:rsidRDefault="007E1E99">
      <w:pPr>
        <w:ind w:left="721" w:hanging="721"/>
      </w:pPr>
      <w:r>
        <w:t>7.2</w:t>
      </w:r>
      <w:r>
        <w:tab/>
        <w:t xml:space="preserve">The Buyer will pay the Supplier within the number of days specified in the Order Form on receipt of a valid invoice. </w:t>
      </w:r>
    </w:p>
    <w:p w:rsidR="00E11179" w:rsidRDefault="007E1E99">
      <w:pPr>
        <w:ind w:left="721" w:hanging="721"/>
      </w:pPr>
      <w:r>
        <w:t>7.3</w:t>
      </w:r>
      <w:r>
        <w:tab/>
        <w:t xml:space="preserve">The Call-Off Contract Charges include all Charges for payment Processing. All invoices submitted to the Buyer for the Services will be exclusive of any Management Charge. </w:t>
      </w:r>
    </w:p>
    <w:p w:rsidR="00E11179" w:rsidRDefault="007E1E99">
      <w:pPr>
        <w:ind w:left="721" w:hanging="721"/>
      </w:pPr>
      <w:r>
        <w:t>7.4</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E11179" w:rsidRDefault="007E1E99">
      <w:pPr>
        <w:ind w:left="721" w:hanging="721"/>
      </w:pPr>
      <w:r>
        <w:t>7.5</w:t>
      </w:r>
      <w:r>
        <w:tab/>
        <w:t xml:space="preserve">The Supplier must ensure that each invoice contains a detailed breakdown of the G-Cloud Services supplied. The Buyer may request the Supplier provides further documentation to substantiate the invoice.  </w:t>
      </w:r>
    </w:p>
    <w:p w:rsidR="00E11179" w:rsidRDefault="007E1E99">
      <w:r>
        <w:t>7.6</w:t>
      </w:r>
      <w:r>
        <w:tab/>
        <w:t xml:space="preserve">If the Supplier enters into a Subcontract it must ensure that a provision is included in each Subcontract which specifies that payment must be made to the Subcontractor within 30 days of receipt of a valid invoice. </w:t>
      </w:r>
    </w:p>
    <w:p w:rsidR="00E11179" w:rsidRDefault="007E1E99">
      <w:pPr>
        <w:tabs>
          <w:tab w:val="center" w:pos="5472"/>
        </w:tabs>
        <w:ind w:left="0" w:firstLine="0"/>
      </w:pPr>
      <w:r>
        <w:t>7.7</w:t>
      </w:r>
      <w:r>
        <w:tab/>
        <w:t xml:space="preserve">All Charges payable by the Buyer to the Supplier will include VAT at the appropriate rate. </w:t>
      </w:r>
    </w:p>
    <w:p w:rsidR="00E11179" w:rsidRDefault="007E1E99">
      <w:pPr>
        <w:ind w:left="721" w:hanging="721"/>
      </w:pPr>
      <w:r>
        <w:t>7.8</w:t>
      </w:r>
      <w:r>
        <w:tab/>
        <w:t xml:space="preserve">The Supplier must add VAT to the Charges at the appropriate rate with visibility of the amount as a separate line item.  </w:t>
      </w:r>
    </w:p>
    <w:p w:rsidR="00E11179" w:rsidRDefault="007E1E99">
      <w:pPr>
        <w:ind w:left="721" w:hanging="721"/>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E11179" w:rsidRDefault="007E1E99">
      <w:pPr>
        <w:ind w:left="721" w:hanging="721"/>
      </w:pPr>
      <w:r>
        <w:t>7.10</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E11179" w:rsidRDefault="007E1E99">
      <w:pPr>
        <w:ind w:left="721" w:hanging="721"/>
      </w:pPr>
      <w:r>
        <w:t>7.11</w:t>
      </w:r>
      <w:r>
        <w:tab/>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E11179" w:rsidRDefault="007E1E99">
      <w:pPr>
        <w:spacing w:after="198"/>
        <w:ind w:left="721" w:hanging="721"/>
      </w:pPr>
      <w:r>
        <w:t>7.12</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E11179" w:rsidRDefault="007E1E99">
      <w:pPr>
        <w:spacing w:after="257" w:line="259" w:lineRule="auto"/>
        <w:ind w:left="0" w:firstLine="0"/>
      </w:pPr>
      <w:r>
        <w:t xml:space="preserve"> </w:t>
      </w:r>
    </w:p>
    <w:p w:rsidR="00E11179" w:rsidRDefault="007E1E99">
      <w:pPr>
        <w:pStyle w:val="Heading1"/>
        <w:ind w:left="-5"/>
      </w:pPr>
      <w:bookmarkStart w:id="19" w:name="_Toc76504"/>
      <w:r>
        <w:t xml:space="preserve">8. Recovery of sums due and right of set-off </w:t>
      </w:r>
      <w:bookmarkEnd w:id="19"/>
    </w:p>
    <w:p w:rsidR="00E11179" w:rsidRDefault="007E1E99">
      <w:pPr>
        <w:spacing w:after="252" w:line="259" w:lineRule="auto"/>
        <w:ind w:left="0" w:firstLine="0"/>
      </w:pPr>
      <w:r>
        <w:t xml:space="preserve"> </w:t>
      </w:r>
    </w:p>
    <w:p w:rsidR="00E11179" w:rsidRDefault="007E1E99">
      <w:pPr>
        <w:spacing w:after="198"/>
        <w:ind w:left="721" w:hanging="721"/>
      </w:pPr>
      <w:r>
        <w:t>8.1</w:t>
      </w:r>
      <w:r>
        <w:tab/>
        <w:t xml:space="preserve">If a Supplier owes money to the Buyer, the Buyer may deduct that sum from the Call-Off Contract Charges. </w:t>
      </w:r>
    </w:p>
    <w:p w:rsidR="00E11179" w:rsidRDefault="007E1E99">
      <w:pPr>
        <w:spacing w:after="257" w:line="259" w:lineRule="auto"/>
        <w:ind w:left="0" w:firstLine="0"/>
      </w:pPr>
      <w:r>
        <w:t xml:space="preserve"> </w:t>
      </w:r>
    </w:p>
    <w:p w:rsidR="00E11179" w:rsidRDefault="007E1E99">
      <w:pPr>
        <w:pStyle w:val="Heading1"/>
        <w:ind w:left="-5"/>
      </w:pPr>
      <w:bookmarkStart w:id="20" w:name="_Toc76505"/>
      <w:r>
        <w:t xml:space="preserve">9. Insurance </w:t>
      </w:r>
      <w:bookmarkEnd w:id="20"/>
    </w:p>
    <w:p w:rsidR="00E11179" w:rsidRDefault="007E1E99">
      <w:pPr>
        <w:spacing w:after="252" w:line="259" w:lineRule="auto"/>
        <w:ind w:left="0" w:firstLine="0"/>
      </w:pPr>
      <w:r>
        <w:t xml:space="preserve"> </w:t>
      </w:r>
    </w:p>
    <w:p w:rsidR="00E11179" w:rsidRDefault="007E1E99">
      <w:pPr>
        <w:ind w:left="721" w:hanging="721"/>
      </w:pPr>
      <w:r>
        <w:t>9.1</w:t>
      </w:r>
      <w:r>
        <w:tab/>
        <w:t xml:space="preserve">The Supplier will maintain the insurances required by the Buyer including those in this clause. </w:t>
      </w:r>
    </w:p>
    <w:p w:rsidR="00E11179" w:rsidRDefault="007E1E99">
      <w:pPr>
        <w:tabs>
          <w:tab w:val="center" w:pos="2273"/>
        </w:tabs>
        <w:spacing w:after="252"/>
        <w:ind w:left="0" w:firstLine="0"/>
      </w:pPr>
      <w:r>
        <w:t>9.2</w:t>
      </w:r>
      <w:r>
        <w:tab/>
        <w:t xml:space="preserve">The Supplier will ensure that: </w:t>
      </w:r>
    </w:p>
    <w:p w:rsidR="00E11179" w:rsidRDefault="007E1E99">
      <w:pPr>
        <w:numPr>
          <w:ilvl w:val="0"/>
          <w:numId w:val="10"/>
        </w:numPr>
        <w:ind w:hanging="405"/>
      </w:pPr>
      <w:r>
        <w:t>during this Call-Off Contract, Subcontractors hold third-</w:t>
      </w:r>
      <w:r>
        <w:rPr>
          <w:rFonts w:ascii="Calibri" w:eastAsia="Calibri" w:hAnsi="Calibri" w:cs="Calibri"/>
        </w:rPr>
        <w:t xml:space="preserve">​ </w:t>
      </w:r>
      <w:r>
        <w:t xml:space="preserve">party public and products </w:t>
      </w:r>
    </w:p>
    <w:p w:rsidR="00E11179" w:rsidRDefault="007E1E99">
      <w:pPr>
        <w:ind w:left="1451"/>
      </w:pPr>
      <w:r>
        <w:t xml:space="preserve">liability insurance of the same amounts that the Supplier would be legally liable to pay as damages, including the claimant's costs and expenses, for accidental death or bodily injury and loss of or damage to Property, to a minimum of </w:t>
      </w:r>
      <w:r w:rsidR="00E4154A">
        <w:t>REDACTED</w:t>
      </w:r>
      <w:r>
        <w:t xml:space="preserve"> </w:t>
      </w:r>
    </w:p>
    <w:p w:rsidR="00E11179" w:rsidRDefault="007E1E99">
      <w:pPr>
        <w:numPr>
          <w:ilvl w:val="0"/>
          <w:numId w:val="10"/>
        </w:numPr>
        <w:ind w:hanging="405"/>
      </w:pPr>
      <w:r>
        <w:t xml:space="preserve">the third-party public and products liability insurance contains an ‘indemnity to principals’ clause for the Buyer’s benefit  </w:t>
      </w:r>
    </w:p>
    <w:p w:rsidR="00E11179" w:rsidRDefault="007E1E99">
      <w:pPr>
        <w:numPr>
          <w:ilvl w:val="0"/>
          <w:numId w:val="10"/>
        </w:numPr>
        <w:ind w:hanging="405"/>
      </w:pPr>
      <w:r>
        <w:t xml:space="preserve">all agents and professional consultants involved in the Services hold professional indemnity insurance to a minimum indemnity of </w:t>
      </w:r>
      <w:r w:rsidR="00E4154A">
        <w:t>REDACTED</w:t>
      </w:r>
      <w:r>
        <w:t xml:space="preserve"> for each individual claim during the Call-Off Contract, and for 6 years after the End or Expiry Date </w:t>
      </w:r>
    </w:p>
    <w:p w:rsidR="00E11179" w:rsidRDefault="007E1E99">
      <w:pPr>
        <w:numPr>
          <w:ilvl w:val="0"/>
          <w:numId w:val="10"/>
        </w:numPr>
        <w:ind w:hanging="405"/>
      </w:pPr>
      <w:r>
        <w:t xml:space="preserve">all agents and professional consultants involved in the Services hold </w:t>
      </w:r>
      <w:proofErr w:type="gramStart"/>
      <w:r>
        <w:t>employers</w:t>
      </w:r>
      <w:proofErr w:type="gramEnd"/>
      <w:r>
        <w:t xml:space="preserve"> liability insurance (except where exempt under Law) to a minimum indemnity of </w:t>
      </w:r>
      <w:r w:rsidR="00E4154A">
        <w:t>REDACTED</w:t>
      </w:r>
      <w:r>
        <w:t xml:space="preserve"> for each individual claim during the Call-Off Contract, and for 6 years after the End or Expiry Date </w:t>
      </w:r>
    </w:p>
    <w:p w:rsidR="00E11179" w:rsidRDefault="007E1E99">
      <w:pPr>
        <w:numPr>
          <w:ilvl w:val="1"/>
          <w:numId w:val="11"/>
        </w:numPr>
        <w:ind w:hanging="721"/>
      </w:pPr>
      <w:r>
        <w:t xml:space="preserve">If requested by the Buyer, the Supplier will obtain additional insurance policies, or extend existing policies bought under the Framework Agreement. </w:t>
      </w:r>
    </w:p>
    <w:p w:rsidR="00E11179" w:rsidRDefault="007E1E99">
      <w:pPr>
        <w:numPr>
          <w:ilvl w:val="1"/>
          <w:numId w:val="11"/>
        </w:numPr>
        <w:ind w:hanging="721"/>
      </w:pPr>
      <w:r>
        <w:t xml:space="preserve">If requested by the Buyer, the Supplier will provide the following to show compliance with this clause: </w:t>
      </w:r>
    </w:p>
    <w:p w:rsidR="00E11179" w:rsidRDefault="007E1E99">
      <w:pPr>
        <w:numPr>
          <w:ilvl w:val="0"/>
          <w:numId w:val="10"/>
        </w:numPr>
        <w:ind w:hanging="405"/>
      </w:pPr>
      <w:r>
        <w:t xml:space="preserve">a broker's verification of insurance </w:t>
      </w:r>
    </w:p>
    <w:p w:rsidR="00E11179" w:rsidRDefault="007E1E99">
      <w:pPr>
        <w:numPr>
          <w:ilvl w:val="0"/>
          <w:numId w:val="10"/>
        </w:numPr>
        <w:ind w:hanging="405"/>
      </w:pPr>
      <w:r>
        <w:t xml:space="preserve">receipts for the insurance premium </w:t>
      </w:r>
    </w:p>
    <w:p w:rsidR="00E11179" w:rsidRDefault="007E1E99">
      <w:pPr>
        <w:numPr>
          <w:ilvl w:val="0"/>
          <w:numId w:val="10"/>
        </w:numPr>
        <w:ind w:hanging="405"/>
      </w:pPr>
      <w:r>
        <w:t xml:space="preserve">evidence of payment of the latest premiums due </w:t>
      </w:r>
    </w:p>
    <w:p w:rsidR="00E11179" w:rsidRDefault="007E1E99">
      <w:pPr>
        <w:ind w:left="721" w:hanging="721"/>
      </w:pPr>
      <w:r>
        <w:t>9.5</w:t>
      </w:r>
      <w:r>
        <w:tab/>
        <w:t xml:space="preserve">Insurance will not relieve the Supplier of any liabilities under the Framework Agreement or this Call-Off Contract and the Supplier will: </w:t>
      </w:r>
    </w:p>
    <w:p w:rsidR="00E11179" w:rsidRDefault="007E1E99">
      <w:pPr>
        <w:numPr>
          <w:ilvl w:val="0"/>
          <w:numId w:val="10"/>
        </w:numPr>
        <w:spacing w:after="27"/>
        <w:ind w:hanging="405"/>
      </w:pPr>
      <w:r>
        <w:t xml:space="preserve">take all risk control measures using Good Industry Practice, including the investigation and reports of claims to insurers </w:t>
      </w:r>
    </w:p>
    <w:p w:rsidR="00E11179" w:rsidRDefault="007E1E99">
      <w:pPr>
        <w:numPr>
          <w:ilvl w:val="0"/>
          <w:numId w:val="10"/>
        </w:numPr>
        <w:spacing w:after="27"/>
        <w:ind w:hanging="405"/>
      </w:pPr>
      <w:r>
        <w:t xml:space="preserve">promptly notify the insurers in writing of any relevant material fact under any insurances  </w:t>
      </w:r>
    </w:p>
    <w:p w:rsidR="00E11179" w:rsidRDefault="007E1E99">
      <w:pPr>
        <w:numPr>
          <w:ilvl w:val="0"/>
          <w:numId w:val="10"/>
        </w:numPr>
        <w:spacing w:after="3"/>
        <w:ind w:hanging="405"/>
      </w:pPr>
      <w:r>
        <w:t xml:space="preserve">hold all insurance policies and require any broker arranging the insurance to hold any insurance slips and other evidence of insurance </w:t>
      </w:r>
    </w:p>
    <w:p w:rsidR="00E11179" w:rsidRDefault="007E1E99">
      <w:pPr>
        <w:spacing w:after="56" w:line="259" w:lineRule="auto"/>
        <w:ind w:left="0" w:firstLine="0"/>
      </w:pPr>
      <w:r>
        <w:t xml:space="preserve"> </w:t>
      </w:r>
    </w:p>
    <w:p w:rsidR="00E11179" w:rsidRDefault="007E1E99">
      <w:pPr>
        <w:numPr>
          <w:ilvl w:val="1"/>
          <w:numId w:val="12"/>
        </w:numPr>
        <w:ind w:hanging="721"/>
      </w:pPr>
      <w:r>
        <w:t xml:space="preserve">The Supplier will not do or omit to do anything, which would destroy or impair the legal validity of the insurance. </w:t>
      </w:r>
    </w:p>
    <w:p w:rsidR="00E11179" w:rsidRDefault="007E1E99">
      <w:pPr>
        <w:numPr>
          <w:ilvl w:val="1"/>
          <w:numId w:val="12"/>
        </w:numPr>
        <w:ind w:hanging="721"/>
      </w:pPr>
      <w:r>
        <w:t xml:space="preserve">The Supplier will notify CCS and the Buyer as soon as possible if any insurance policies have been, or are due to be, cancelled, suspended, Ended or not renewed. </w:t>
      </w:r>
    </w:p>
    <w:p w:rsidR="00E11179" w:rsidRDefault="007E1E99">
      <w:pPr>
        <w:numPr>
          <w:ilvl w:val="1"/>
          <w:numId w:val="12"/>
        </w:numPr>
        <w:ind w:hanging="721"/>
      </w:pPr>
      <w:r>
        <w:t xml:space="preserve">The Supplier will be liable for the payment of any: </w:t>
      </w:r>
    </w:p>
    <w:p w:rsidR="00E11179" w:rsidRDefault="007E1E99">
      <w:pPr>
        <w:numPr>
          <w:ilvl w:val="0"/>
          <w:numId w:val="10"/>
        </w:numPr>
        <w:ind w:hanging="405"/>
      </w:pPr>
      <w:r>
        <w:t xml:space="preserve">premiums, which it will pay promptly </w:t>
      </w:r>
    </w:p>
    <w:p w:rsidR="00E11179" w:rsidRDefault="007E1E99">
      <w:pPr>
        <w:numPr>
          <w:ilvl w:val="0"/>
          <w:numId w:val="10"/>
        </w:numPr>
        <w:spacing w:after="202"/>
        <w:ind w:hanging="405"/>
      </w:pPr>
      <w:r>
        <w:t xml:space="preserve">excess or deductibles and will not be entitled to recover this from the Buyer  </w:t>
      </w:r>
    </w:p>
    <w:p w:rsidR="00E11179" w:rsidRDefault="007E1E99">
      <w:pPr>
        <w:spacing w:after="257" w:line="259" w:lineRule="auto"/>
        <w:ind w:left="0" w:firstLine="0"/>
      </w:pPr>
      <w:r>
        <w:t xml:space="preserve"> </w:t>
      </w:r>
    </w:p>
    <w:p w:rsidR="00E11179" w:rsidRDefault="007E1E99">
      <w:pPr>
        <w:pStyle w:val="Heading1"/>
        <w:ind w:left="-5"/>
      </w:pPr>
      <w:bookmarkStart w:id="21" w:name="_Toc76506"/>
      <w:r>
        <w:t xml:space="preserve">10. Confidentiality  </w:t>
      </w:r>
      <w:bookmarkEnd w:id="21"/>
    </w:p>
    <w:p w:rsidR="00E11179" w:rsidRDefault="007E1E99">
      <w:pPr>
        <w:spacing w:after="252" w:line="259" w:lineRule="auto"/>
        <w:ind w:left="0" w:firstLine="0"/>
      </w:pPr>
      <w:r>
        <w:t xml:space="preserve"> </w:t>
      </w:r>
    </w:p>
    <w:p w:rsidR="00E11179" w:rsidRDefault="007E1E99">
      <w:pPr>
        <w:ind w:left="721" w:hanging="721"/>
      </w:pPr>
      <w:r>
        <w:t>10.1</w:t>
      </w:r>
      <w:r>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 </w:t>
      </w:r>
    </w:p>
    <w:p w:rsidR="00E11179" w:rsidRDefault="007E1E99">
      <w:pPr>
        <w:pStyle w:val="Heading1"/>
        <w:ind w:left="-5"/>
      </w:pPr>
      <w:bookmarkStart w:id="22" w:name="_Toc76507"/>
      <w:r>
        <w:t xml:space="preserve">11. Intellectual Property Rights </w:t>
      </w:r>
      <w:bookmarkEnd w:id="22"/>
    </w:p>
    <w:p w:rsidR="00E11179" w:rsidRDefault="007E1E99">
      <w:pPr>
        <w:spacing w:after="252" w:line="259" w:lineRule="auto"/>
        <w:ind w:left="0" w:firstLine="0"/>
      </w:pPr>
      <w:r>
        <w:t xml:space="preserve"> </w:t>
      </w:r>
    </w:p>
    <w:p w:rsidR="00E11179" w:rsidRDefault="007E1E99">
      <w:pPr>
        <w:ind w:left="721" w:hanging="721"/>
      </w:pPr>
      <w:r>
        <w:t>11.1</w:t>
      </w:r>
      <w:r>
        <w:tab/>
        <w:t xml:space="preserve">Unless otherwise specified in this Call-Off Contract, a Party will not acquire any right, title or interest in or to the Intellectual Property Rights (IPRs) of the other Party or its licensors. </w:t>
      </w:r>
    </w:p>
    <w:p w:rsidR="00E11179" w:rsidRDefault="007E1E99">
      <w:pPr>
        <w:ind w:left="721" w:hanging="721"/>
      </w:pPr>
      <w:r>
        <w:t>11.2</w:t>
      </w:r>
      <w:r>
        <w:tab/>
        <w:t xml:space="preserve">The Supplier grants the Buyer a non-exclusive, transferable, perpetual, irrevocable, royalty-free licence to use the Project Specific IPRs and any Background IPRs embedded within the Project Specific IPRs for the Buyer’s ordinary business activities. </w:t>
      </w:r>
    </w:p>
    <w:p w:rsidR="00E11179" w:rsidRDefault="007E1E99">
      <w:pPr>
        <w:ind w:left="721" w:hanging="721"/>
      </w:pPr>
      <w:r>
        <w:t>11.3</w:t>
      </w:r>
      <w:r>
        <w:tab/>
        <w:t xml:space="preserve">The Supplier must obtain the grant of any third-party IPRs and Background IPRs so the Buyer can enjoy full use of the Project Specific IPRs, including the Buyer’s right to publish the IPR as open source.  </w:t>
      </w:r>
    </w:p>
    <w:p w:rsidR="00E11179" w:rsidRDefault="007E1E99">
      <w:pPr>
        <w:ind w:left="721" w:hanging="721"/>
      </w:pPr>
      <w:r>
        <w:t>11.4</w:t>
      </w:r>
      <w:r>
        <w:tab/>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rsidR="00E11179" w:rsidRDefault="007E1E99">
      <w:pPr>
        <w:ind w:left="721" w:hanging="721"/>
      </w:pPr>
      <w:r>
        <w:t>11.5</w:t>
      </w:r>
      <w:r>
        <w:tab/>
        <w:t xml:space="preserve">The Supplier will, on written demand, fully indemnify the Buyer and the Crown for all Losses which it may incur at any time from any claim of infringement or alleged infringement of a third party’s IPRs because of the: </w:t>
      </w:r>
    </w:p>
    <w:p w:rsidR="00E11179" w:rsidRDefault="007E1E99">
      <w:pPr>
        <w:numPr>
          <w:ilvl w:val="0"/>
          <w:numId w:val="13"/>
        </w:numPr>
        <w:ind w:hanging="360"/>
      </w:pPr>
      <w:r>
        <w:t xml:space="preserve">rights granted to the Buyer under this Call-Off Contract </w:t>
      </w:r>
    </w:p>
    <w:p w:rsidR="00E11179" w:rsidRDefault="007E1E99">
      <w:pPr>
        <w:numPr>
          <w:ilvl w:val="0"/>
          <w:numId w:val="13"/>
        </w:numPr>
        <w:ind w:hanging="360"/>
      </w:pPr>
      <w:r>
        <w:t xml:space="preserve">Supplier’s performance of the Services  </w:t>
      </w:r>
    </w:p>
    <w:p w:rsidR="00E11179" w:rsidRDefault="007E1E99">
      <w:pPr>
        <w:numPr>
          <w:ilvl w:val="0"/>
          <w:numId w:val="13"/>
        </w:numPr>
        <w:ind w:hanging="360"/>
      </w:pPr>
      <w:r>
        <w:t xml:space="preserve">use by the Buyer of the Services  </w:t>
      </w:r>
    </w:p>
    <w:p w:rsidR="00E11179" w:rsidRDefault="007E1E99">
      <w:pPr>
        <w:ind w:left="721" w:hanging="721"/>
      </w:pPr>
      <w:r>
        <w:t>11.6</w:t>
      </w:r>
      <w:r>
        <w:tab/>
        <w:t xml:space="preserve">If an IPR Claim is made, or is likely to be made, the Supplier will immediately notify the Buyer in writing and must at its own expense after written approval from the Buyer, either: </w:t>
      </w:r>
    </w:p>
    <w:p w:rsidR="00E11179" w:rsidRDefault="007E1E99">
      <w:pPr>
        <w:numPr>
          <w:ilvl w:val="0"/>
          <w:numId w:val="13"/>
        </w:numPr>
        <w:ind w:hanging="360"/>
      </w:pPr>
      <w:r>
        <w:t xml:space="preserve">modify the relevant part of the Services without reducing its functionality or performance </w:t>
      </w:r>
    </w:p>
    <w:p w:rsidR="00E11179" w:rsidRDefault="007E1E99">
      <w:pPr>
        <w:numPr>
          <w:ilvl w:val="0"/>
          <w:numId w:val="13"/>
        </w:numPr>
        <w:ind w:hanging="360"/>
      </w:pPr>
      <w:r>
        <w:t xml:space="preserve">substitute Services of equivalent functionality and performance, to avoid the </w:t>
      </w:r>
    </w:p>
    <w:p w:rsidR="00E11179" w:rsidRDefault="007E1E99">
      <w:pPr>
        <w:ind w:left="1451"/>
      </w:pPr>
      <w:r>
        <w:t xml:space="preserve">infringement or the alleged infringement, as long as there is no additional cost or burden to the Buyer </w:t>
      </w:r>
    </w:p>
    <w:p w:rsidR="00E11179" w:rsidRDefault="007E1E99">
      <w:pPr>
        <w:numPr>
          <w:ilvl w:val="0"/>
          <w:numId w:val="13"/>
        </w:numPr>
        <w:ind w:hanging="360"/>
      </w:pPr>
      <w:r>
        <w:t xml:space="preserve">buy a licence to use and supply the Services which are the subject of the alleged infringement, on terms acceptable to the Buyer </w:t>
      </w:r>
    </w:p>
    <w:p w:rsidR="00E11179" w:rsidRDefault="007E1E99">
      <w:pPr>
        <w:tabs>
          <w:tab w:val="center" w:pos="3392"/>
        </w:tabs>
        <w:ind w:left="0" w:firstLine="0"/>
      </w:pPr>
      <w:r>
        <w:t>11.7</w:t>
      </w:r>
      <w:r>
        <w:tab/>
        <w:t xml:space="preserve">Clause 11.5 will not apply if the IPR Claim is from: </w:t>
      </w:r>
    </w:p>
    <w:p w:rsidR="00E11179" w:rsidRDefault="007E1E99">
      <w:pPr>
        <w:numPr>
          <w:ilvl w:val="0"/>
          <w:numId w:val="13"/>
        </w:numPr>
        <w:ind w:hanging="360"/>
      </w:pPr>
      <w:r>
        <w:t xml:space="preserve">the use of data supplied by the Buyer which the Supplier isn’t required to verify under this Call-Off Contract </w:t>
      </w:r>
    </w:p>
    <w:p w:rsidR="00E11179" w:rsidRDefault="007E1E99">
      <w:pPr>
        <w:numPr>
          <w:ilvl w:val="0"/>
          <w:numId w:val="13"/>
        </w:numPr>
        <w:ind w:hanging="360"/>
      </w:pPr>
      <w:r>
        <w:t xml:space="preserve">other material provided by the Buyer necessary for the Services </w:t>
      </w:r>
    </w:p>
    <w:p w:rsidR="00E11179" w:rsidRDefault="007E1E99">
      <w:pPr>
        <w:ind w:left="721" w:hanging="721"/>
      </w:pPr>
      <w:r>
        <w:t>11.8</w:t>
      </w:r>
      <w:r>
        <w:tab/>
        <w:t xml:space="preserve">If the Supplier does not comply with clauses 11.2 to 11.6, the Buyer may End this Call-Off Contract for Material Breach. The Supplier will, on demand, refund the Buyer all the money paid for the affected Services. </w:t>
      </w:r>
    </w:p>
    <w:p w:rsidR="00E11179" w:rsidRDefault="007E1E99">
      <w:pPr>
        <w:pStyle w:val="Heading1"/>
        <w:ind w:left="-5"/>
      </w:pPr>
      <w:bookmarkStart w:id="23" w:name="_Toc76508"/>
      <w:r>
        <w:t xml:space="preserve">12. Protection of information </w:t>
      </w:r>
      <w:bookmarkEnd w:id="23"/>
    </w:p>
    <w:p w:rsidR="00E11179" w:rsidRDefault="007E1E99">
      <w:pPr>
        <w:spacing w:after="252" w:line="259" w:lineRule="auto"/>
        <w:ind w:left="0" w:firstLine="0"/>
      </w:pPr>
      <w:r>
        <w:t xml:space="preserve"> </w:t>
      </w:r>
    </w:p>
    <w:p w:rsidR="00E11179" w:rsidRDefault="007E1E99">
      <w:pPr>
        <w:tabs>
          <w:tab w:val="center" w:pos="1733"/>
        </w:tabs>
        <w:ind w:left="0" w:firstLine="0"/>
      </w:pPr>
      <w:r>
        <w:t>12.1</w:t>
      </w:r>
      <w:r>
        <w:tab/>
        <w:t xml:space="preserve">The Supplier must: </w:t>
      </w:r>
    </w:p>
    <w:p w:rsidR="00E11179" w:rsidRDefault="007E1E99">
      <w:pPr>
        <w:numPr>
          <w:ilvl w:val="0"/>
          <w:numId w:val="14"/>
        </w:numPr>
        <w:ind w:hanging="360"/>
      </w:pPr>
      <w:r>
        <w:t xml:space="preserve">comply with the Buyer’s written instructions and this Call-Off Contract when Processing Buyer Personal Data </w:t>
      </w:r>
    </w:p>
    <w:p w:rsidR="00E11179" w:rsidRDefault="007E1E99">
      <w:pPr>
        <w:numPr>
          <w:ilvl w:val="0"/>
          <w:numId w:val="14"/>
        </w:numPr>
        <w:spacing w:after="7"/>
        <w:ind w:hanging="360"/>
      </w:pPr>
      <w:r>
        <w:t xml:space="preserve">only Process the Buyer Personal Data as necessary for the provision of the G-Cloud </w:t>
      </w:r>
    </w:p>
    <w:p w:rsidR="00E11179" w:rsidRDefault="007E1E99">
      <w:pPr>
        <w:ind w:left="1451"/>
      </w:pPr>
      <w:r>
        <w:t xml:space="preserve">Services or as required by Law or any Regulatory Body </w:t>
      </w:r>
    </w:p>
    <w:p w:rsidR="00E11179" w:rsidRDefault="007E1E99">
      <w:pPr>
        <w:numPr>
          <w:ilvl w:val="0"/>
          <w:numId w:val="14"/>
        </w:numPr>
        <w:ind w:hanging="360"/>
      </w:pPr>
      <w:r>
        <w:t xml:space="preserve">take reasonable steps to ensure that any Supplier Staff who have access to Buyer Personal Data act in compliance with Supplier's security processes </w:t>
      </w:r>
    </w:p>
    <w:p w:rsidR="00E11179" w:rsidRDefault="007E1E99">
      <w:pPr>
        <w:ind w:left="721" w:hanging="721"/>
      </w:pPr>
      <w:r>
        <w:t>12.2</w:t>
      </w:r>
      <w:r>
        <w:tab/>
        <w:t xml:space="preserve">The Supplier must fully assist with any complaint or request for Buyer Personal Data including by: </w:t>
      </w:r>
    </w:p>
    <w:p w:rsidR="00E11179" w:rsidRDefault="007E1E99">
      <w:pPr>
        <w:numPr>
          <w:ilvl w:val="0"/>
          <w:numId w:val="14"/>
        </w:numPr>
        <w:ind w:hanging="360"/>
      </w:pPr>
      <w:r>
        <w:t xml:space="preserve">providing the Buyer with full details of the complaint or request </w:t>
      </w:r>
    </w:p>
    <w:p w:rsidR="00E11179" w:rsidRDefault="007E1E99">
      <w:pPr>
        <w:numPr>
          <w:ilvl w:val="0"/>
          <w:numId w:val="14"/>
        </w:numPr>
        <w:ind w:hanging="360"/>
      </w:pPr>
      <w:r>
        <w:t xml:space="preserve">complying with a data access request within the timescales in the Data Protection Legislation and following the Buyer’s instructions </w:t>
      </w:r>
    </w:p>
    <w:p w:rsidR="00E11179" w:rsidRDefault="007E1E99">
      <w:pPr>
        <w:numPr>
          <w:ilvl w:val="0"/>
          <w:numId w:val="14"/>
        </w:numPr>
        <w:ind w:hanging="360"/>
      </w:pPr>
      <w:r>
        <w:t xml:space="preserve">providing the Buyer with any Buyer Personal Data it holds about a Data Subject (within the timescales required by the Buyer) </w:t>
      </w:r>
    </w:p>
    <w:p w:rsidR="00E11179" w:rsidRDefault="007E1E99">
      <w:pPr>
        <w:numPr>
          <w:ilvl w:val="0"/>
          <w:numId w:val="14"/>
        </w:numPr>
        <w:ind w:hanging="360"/>
      </w:pPr>
      <w:r>
        <w:t xml:space="preserve">providing the Buyer with any information requested by the Data Subject </w:t>
      </w:r>
    </w:p>
    <w:p w:rsidR="00E11179" w:rsidRDefault="007E1E99">
      <w:pPr>
        <w:spacing w:after="198"/>
        <w:ind w:left="721" w:hanging="721"/>
      </w:pPr>
      <w:r>
        <w:t>12.3</w:t>
      </w:r>
      <w:r>
        <w:tab/>
        <w:t xml:space="preserve">The Supplier must get prior written consent from the Buyer to transfer Buyer Personal Data to any other person (including any Subcontractors) for the provision of the G-Cloud Services. </w:t>
      </w:r>
    </w:p>
    <w:p w:rsidR="00E11179" w:rsidRDefault="007E1E99">
      <w:pPr>
        <w:spacing w:after="0" w:line="259" w:lineRule="auto"/>
        <w:ind w:left="0" w:firstLine="0"/>
      </w:pPr>
      <w:r>
        <w:t xml:space="preserve"> </w:t>
      </w:r>
    </w:p>
    <w:p w:rsidR="00E11179" w:rsidRDefault="007E1E99">
      <w:pPr>
        <w:pStyle w:val="Heading1"/>
        <w:ind w:left="-5"/>
      </w:pPr>
      <w:bookmarkStart w:id="24" w:name="_Toc76509"/>
      <w:r>
        <w:t xml:space="preserve">13. Buyer data </w:t>
      </w:r>
      <w:bookmarkEnd w:id="24"/>
    </w:p>
    <w:p w:rsidR="00E11179" w:rsidRDefault="007E1E99">
      <w:pPr>
        <w:spacing w:after="227" w:line="259" w:lineRule="auto"/>
        <w:ind w:left="0" w:firstLine="0"/>
      </w:pPr>
      <w:r>
        <w:t xml:space="preserve"> </w:t>
      </w:r>
    </w:p>
    <w:p w:rsidR="00E11179" w:rsidRDefault="007E1E99">
      <w:pPr>
        <w:spacing w:after="31"/>
      </w:pPr>
      <w:r>
        <w:t xml:space="preserve">The Supplier must not remove any proprietary notices in the Buyer Data. </w:t>
      </w:r>
    </w:p>
    <w:p w:rsidR="00E11179" w:rsidRDefault="007E1E99">
      <w:pPr>
        <w:tabs>
          <w:tab w:val="center" w:pos="5389"/>
        </w:tabs>
        <w:ind w:left="0" w:firstLine="0"/>
      </w:pPr>
      <w:r>
        <w:t>13.1</w:t>
      </w:r>
      <w:r>
        <w:tab/>
        <w:t xml:space="preserve">The Supplier will not store or use Buyer Data except if necessary to fulfil its obligations. </w:t>
      </w:r>
    </w:p>
    <w:p w:rsidR="00E11179" w:rsidRDefault="007E1E99">
      <w:pPr>
        <w:ind w:left="721" w:hanging="721"/>
      </w:pPr>
      <w:r>
        <w:t>13.2</w:t>
      </w:r>
      <w:r>
        <w:tab/>
        <w:t xml:space="preserve">If Buyer Data is processed by the Supplier, the Supplier will supply the data to the Buyer as requested. </w:t>
      </w:r>
    </w:p>
    <w:p w:rsidR="00E11179" w:rsidRDefault="007E1E99">
      <w:pPr>
        <w:ind w:left="721" w:hanging="721"/>
      </w:pPr>
      <w:r>
        <w:t>13.3</w:t>
      </w:r>
      <w:r>
        <w:tab/>
        <w:t xml:space="preserve">The Supplier must ensure that any Supplier system that holds any Buyer Data is a secure system that complies with the Supplier’s and Buyer’s security policy and all Buyer requirements in the Order Form.  </w:t>
      </w:r>
    </w:p>
    <w:p w:rsidR="00E11179" w:rsidRDefault="007E1E99">
      <w:pPr>
        <w:ind w:left="721" w:hanging="721"/>
      </w:pPr>
      <w:r>
        <w:t>13.4</w:t>
      </w:r>
      <w:r>
        <w:tab/>
        <w:t xml:space="preserve">The Supplier will preserve the integrity of Buyer Data processed by the Supplier and prevent its corruption and loss. </w:t>
      </w:r>
    </w:p>
    <w:p w:rsidR="00E11179" w:rsidRDefault="007E1E99">
      <w:pPr>
        <w:ind w:left="721" w:hanging="721"/>
      </w:pPr>
      <w:r>
        <w:t>13.5</w:t>
      </w:r>
      <w:r>
        <w:tab/>
        <w:t xml:space="preserve">The Supplier will ensure that any Supplier system which holds any protectively marked Buyer Data or other government data will comply with: </w:t>
      </w:r>
    </w:p>
    <w:p w:rsidR="00E11179" w:rsidRDefault="007E1E99">
      <w:pPr>
        <w:numPr>
          <w:ilvl w:val="0"/>
          <w:numId w:val="15"/>
        </w:numPr>
        <w:spacing w:after="0" w:line="354" w:lineRule="auto"/>
        <w:ind w:hanging="360"/>
      </w:pPr>
      <w:r>
        <w:t xml:space="preserve">the principles in the Security Policy Framework at </w:t>
      </w:r>
      <w:hyperlink r:id="rId8">
        <w:r>
          <w:rPr>
            <w:color w:val="1155CC"/>
            <w:u w:val="single" w:color="1155CC"/>
          </w:rPr>
          <w:t>https://www.gov.uk/government/publications/security-policy-framework</w:t>
        </w:r>
      </w:hyperlink>
      <w:r>
        <w:t xml:space="preserve"> and the</w:t>
      </w:r>
      <w:r>
        <w:rPr>
          <w:rFonts w:ascii="Calibri" w:eastAsia="Calibri" w:hAnsi="Calibri" w:cs="Calibri"/>
          <w:color w:val="1155CC"/>
        </w:rPr>
        <w:t>​</w:t>
      </w:r>
      <w:r>
        <w:rPr>
          <w:rFonts w:ascii="Calibri" w:eastAsia="Calibri" w:hAnsi="Calibri" w:cs="Calibri"/>
          <w:color w:val="1155CC"/>
        </w:rPr>
        <w:tab/>
      </w:r>
      <w:r>
        <w:t xml:space="preserve"> Government Security Classification policy at </w:t>
      </w:r>
    </w:p>
    <w:p w:rsidR="00E11179" w:rsidRDefault="00CD12D3">
      <w:pPr>
        <w:spacing w:after="252" w:line="259" w:lineRule="auto"/>
        <w:ind w:left="1436"/>
      </w:pPr>
      <w:hyperlink r:id="rId9">
        <w:r w:rsidR="007E1E99">
          <w:rPr>
            <w:color w:val="1155CC"/>
            <w:u w:val="single" w:color="1155CC"/>
          </w:rPr>
          <w:t>https://www.gov.uk/government/publications/government-security-classifications</w:t>
        </w:r>
      </w:hyperlink>
      <w:r w:rsidR="007E1E99">
        <w:t xml:space="preserve"> </w:t>
      </w:r>
    </w:p>
    <w:p w:rsidR="00E11179" w:rsidRDefault="007E1E99">
      <w:pPr>
        <w:numPr>
          <w:ilvl w:val="0"/>
          <w:numId w:val="15"/>
        </w:numPr>
        <w:spacing w:after="0" w:line="354" w:lineRule="auto"/>
        <w:ind w:hanging="360"/>
      </w:pPr>
      <w:r>
        <w:t xml:space="preserve">guidance issued by the Centre for Protection of National Infrastructure on Risk Management at </w:t>
      </w:r>
      <w:hyperlink r:id="rId10">
        <w:r>
          <w:rPr>
            <w:color w:val="1155CC"/>
            <w:u w:val="single" w:color="1155CC"/>
          </w:rPr>
          <w:t>https://www.cpni.gov.uk/content/adopt-risk-management-approac</w:t>
        </w:r>
      </w:hyperlink>
      <w:r>
        <w:rPr>
          <w:rFonts w:ascii="Calibri" w:eastAsia="Calibri" w:hAnsi="Calibri" w:cs="Calibri"/>
        </w:rPr>
        <w:t>​</w:t>
      </w:r>
      <w:r>
        <w:rPr>
          <w:rFonts w:ascii="Calibri" w:eastAsia="Calibri" w:hAnsi="Calibri" w:cs="Calibri"/>
        </w:rPr>
        <w:tab/>
      </w:r>
      <w:hyperlink r:id="rId11">
        <w:r>
          <w:rPr>
            <w:color w:val="1155CC"/>
            <w:u w:val="single" w:color="1155CC"/>
          </w:rPr>
          <w:t>h</w:t>
        </w:r>
      </w:hyperlink>
      <w:r>
        <w:t xml:space="preserve"> and Protection of Sensitive Information and Assets at </w:t>
      </w:r>
    </w:p>
    <w:p w:rsidR="00E11179" w:rsidRDefault="00CD12D3">
      <w:pPr>
        <w:spacing w:after="252" w:line="259" w:lineRule="auto"/>
        <w:ind w:left="1436"/>
      </w:pPr>
      <w:hyperlink r:id="rId12">
        <w:r w:rsidR="007E1E99">
          <w:rPr>
            <w:color w:val="1155CC"/>
            <w:u w:val="single" w:color="1155CC"/>
          </w:rPr>
          <w:t>https://www.cpni.gov.uk/protection-sensitive-information-and-assets</w:t>
        </w:r>
      </w:hyperlink>
      <w:hyperlink r:id="rId13">
        <w:r w:rsidR="007E1E99">
          <w:t xml:space="preserve"> </w:t>
        </w:r>
      </w:hyperlink>
      <w:r w:rsidR="007E1E99">
        <w:t xml:space="preserve"> </w:t>
      </w:r>
    </w:p>
    <w:p w:rsidR="00E11179" w:rsidRDefault="007E1E99">
      <w:pPr>
        <w:numPr>
          <w:ilvl w:val="0"/>
          <w:numId w:val="15"/>
        </w:numPr>
        <w:spacing w:after="348"/>
        <w:ind w:hanging="360"/>
      </w:pPr>
      <w:r>
        <w:t xml:space="preserve">the National Cyber Security Centre’s (NCSC) information risk management guidance, available at </w:t>
      </w:r>
      <w:hyperlink r:id="rId14">
        <w:r>
          <w:rPr>
            <w:color w:val="1155CC"/>
            <w:u w:val="single" w:color="1155CC"/>
          </w:rPr>
          <w:t>https://www.ncsc.gov.uk/collection/risk-management-collectio</w:t>
        </w:r>
      </w:hyperlink>
      <w:r>
        <w:rPr>
          <w:rFonts w:ascii="Calibri" w:eastAsia="Calibri" w:hAnsi="Calibri" w:cs="Calibri"/>
          <w:u w:val="single" w:color="1155CC"/>
        </w:rPr>
        <w:t>​</w:t>
      </w:r>
      <w:r>
        <w:rPr>
          <w:rFonts w:ascii="Calibri" w:eastAsia="Calibri" w:hAnsi="Calibri" w:cs="Calibri"/>
          <w:u w:val="single" w:color="1155CC"/>
        </w:rPr>
        <w:tab/>
      </w:r>
      <w:hyperlink r:id="rId15">
        <w:r>
          <w:rPr>
            <w:color w:val="1155CC"/>
            <w:u w:val="single" w:color="1155CC"/>
          </w:rPr>
          <w:t>n</w:t>
        </w:r>
      </w:hyperlink>
      <w:hyperlink r:id="rId16">
        <w:r>
          <w:t xml:space="preserve"> </w:t>
        </w:r>
      </w:hyperlink>
    </w:p>
    <w:p w:rsidR="00E11179" w:rsidRDefault="007E1E99">
      <w:pPr>
        <w:numPr>
          <w:ilvl w:val="0"/>
          <w:numId w:val="15"/>
        </w:numPr>
        <w:ind w:hanging="360"/>
      </w:pPr>
      <w:r>
        <w:t>government best practice</w:t>
      </w:r>
      <w:hyperlink r:id="rId17">
        <w:r>
          <w:t xml:space="preserve"> </w:t>
        </w:r>
      </w:hyperlink>
      <w:r>
        <w:rPr>
          <w:rFonts w:ascii="Calibri" w:eastAsia="Calibri" w:hAnsi="Calibri" w:cs="Calibri"/>
        </w:rPr>
        <w:t xml:space="preserve">​ </w:t>
      </w:r>
      <w:hyperlink r:id="rId18">
        <w:r>
          <w:t>i</w:t>
        </w:r>
      </w:hyperlink>
      <w:r>
        <w:rPr>
          <w:rFonts w:ascii="Calibri" w:eastAsia="Calibri" w:hAnsi="Calibri" w:cs="Calibri"/>
        </w:rPr>
        <w:t xml:space="preserve">​ </w:t>
      </w:r>
      <w:hyperlink r:id="rId19">
        <w:r>
          <w:t>n</w:t>
        </w:r>
      </w:hyperlink>
      <w:r>
        <w:rPr>
          <w:rFonts w:ascii="Calibri" w:eastAsia="Calibri" w:hAnsi="Calibri" w:cs="Calibri"/>
        </w:rPr>
        <w:t>​</w:t>
      </w:r>
      <w:r>
        <w:t xml:space="preserve"> </w:t>
      </w:r>
      <w:r>
        <w:rPr>
          <w:rFonts w:ascii="Calibri" w:eastAsia="Calibri" w:hAnsi="Calibri" w:cs="Calibri"/>
        </w:rPr>
        <w:t xml:space="preserve">​ </w:t>
      </w:r>
      <w:hyperlink r:id="rId20">
        <w:r>
          <w:t>t</w:t>
        </w:r>
      </w:hyperlink>
      <w:r>
        <w:rPr>
          <w:rFonts w:ascii="Calibri" w:eastAsia="Calibri" w:hAnsi="Calibri" w:cs="Calibri"/>
        </w:rPr>
        <w:t xml:space="preserve">​ </w:t>
      </w:r>
      <w:hyperlink r:id="rId21">
        <w:r>
          <w:t>h</w:t>
        </w:r>
      </w:hyperlink>
      <w:r>
        <w:rPr>
          <w:rFonts w:ascii="Calibri" w:eastAsia="Calibri" w:hAnsi="Calibri" w:cs="Calibri"/>
        </w:rPr>
        <w:t xml:space="preserve">​ </w:t>
      </w:r>
      <w:r>
        <w:t xml:space="preserve">e design and implementation of system components, including network principles, security design principles for digital services and the secure email blueprint, available at </w:t>
      </w:r>
      <w:hyperlink r:id="rId22">
        <w:r>
          <w:rPr>
            <w:color w:val="1155CC"/>
            <w:u w:val="single" w:color="1155CC"/>
          </w:rPr>
          <w:t xml:space="preserve">https://www.gov.uk/government/publications/technology-code-of-practice/technolog </w:t>
        </w:r>
      </w:hyperlink>
      <w:hyperlink r:id="rId23">
        <w:r>
          <w:rPr>
            <w:color w:val="1155CC"/>
            <w:u w:val="single" w:color="1155CC"/>
          </w:rPr>
          <w:t>y-code-of-practice</w:t>
        </w:r>
      </w:hyperlink>
      <w:r>
        <w:t xml:space="preserve"> </w:t>
      </w:r>
    </w:p>
    <w:p w:rsidR="00E11179" w:rsidRDefault="007E1E99">
      <w:pPr>
        <w:numPr>
          <w:ilvl w:val="0"/>
          <w:numId w:val="15"/>
        </w:numPr>
        <w:spacing w:after="3"/>
        <w:ind w:hanging="360"/>
      </w:pPr>
      <w:r>
        <w:t xml:space="preserve">the security requirements of cloud services using the NCSC Cloud Security Principles and accompanying guidance at </w:t>
      </w:r>
    </w:p>
    <w:p w:rsidR="00E11179" w:rsidRDefault="00CD12D3">
      <w:pPr>
        <w:spacing w:after="252" w:line="259" w:lineRule="auto"/>
        <w:ind w:left="1436"/>
      </w:pPr>
      <w:hyperlink r:id="rId24">
        <w:r w:rsidR="007E1E99">
          <w:rPr>
            <w:color w:val="1155CC"/>
            <w:u w:val="single" w:color="1155CC"/>
          </w:rPr>
          <w:t>https://www.ncsc.gov.uk/guidance/implementing-cloud-security-principles</w:t>
        </w:r>
      </w:hyperlink>
      <w:hyperlink r:id="rId25">
        <w:r w:rsidR="007E1E99">
          <w:t xml:space="preserve"> </w:t>
        </w:r>
      </w:hyperlink>
      <w:r w:rsidR="007E1E99">
        <w:t xml:space="preserve"> </w:t>
      </w:r>
    </w:p>
    <w:p w:rsidR="00E11179" w:rsidRDefault="007E1E99">
      <w:pPr>
        <w:numPr>
          <w:ilvl w:val="1"/>
          <w:numId w:val="16"/>
        </w:numPr>
        <w:ind w:hanging="721"/>
      </w:pPr>
      <w:r>
        <w:t xml:space="preserve">The Buyer will specify any security requirements for this project in the Order Form. </w:t>
      </w:r>
    </w:p>
    <w:p w:rsidR="00E11179" w:rsidRDefault="007E1E99">
      <w:pPr>
        <w:numPr>
          <w:ilvl w:val="1"/>
          <w:numId w:val="16"/>
        </w:numPr>
        <w:spacing w:after="254"/>
        <w:ind w:hanging="721"/>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E11179" w:rsidRDefault="007E1E99">
      <w:pPr>
        <w:numPr>
          <w:ilvl w:val="1"/>
          <w:numId w:val="16"/>
        </w:numPr>
        <w:ind w:hanging="721"/>
      </w:pPr>
      <w:r>
        <w:t xml:space="preserve">The Supplier agrees to use the appropriate organisational, operational and technological processes to keep the Buyer Data safe from unauthorised use or access, loss, destruction, theft or disclosure. </w:t>
      </w:r>
    </w:p>
    <w:p w:rsidR="00E11179" w:rsidRDefault="007E1E99">
      <w:pPr>
        <w:numPr>
          <w:ilvl w:val="1"/>
          <w:numId w:val="16"/>
        </w:numPr>
        <w:spacing w:after="198"/>
        <w:ind w:hanging="721"/>
      </w:pPr>
      <w:r>
        <w:t xml:space="preserve">The provisions of this clause 13 will apply during the term of this Call-Off Contract and for as long as the Supplier holds the Buyer’s Data. </w:t>
      </w:r>
    </w:p>
    <w:p w:rsidR="00E11179" w:rsidRDefault="007E1E99">
      <w:pPr>
        <w:spacing w:after="257" w:line="259" w:lineRule="auto"/>
        <w:ind w:left="0" w:firstLine="0"/>
      </w:pPr>
      <w:r>
        <w:t xml:space="preserve"> </w:t>
      </w:r>
    </w:p>
    <w:p w:rsidR="00E11179" w:rsidRDefault="007E1E99">
      <w:pPr>
        <w:pStyle w:val="Heading1"/>
        <w:ind w:left="-5"/>
      </w:pPr>
      <w:bookmarkStart w:id="25" w:name="_Toc76510"/>
      <w:r>
        <w:t xml:space="preserve">14. Standards and quality </w:t>
      </w:r>
      <w:bookmarkEnd w:id="25"/>
    </w:p>
    <w:p w:rsidR="00E11179" w:rsidRDefault="007E1E99">
      <w:pPr>
        <w:spacing w:after="252" w:line="259" w:lineRule="auto"/>
        <w:ind w:left="0" w:firstLine="0"/>
      </w:pPr>
      <w:r>
        <w:t xml:space="preserve"> </w:t>
      </w:r>
    </w:p>
    <w:p w:rsidR="00E11179" w:rsidRDefault="007E1E99">
      <w:pPr>
        <w:ind w:left="721" w:hanging="721"/>
      </w:pPr>
      <w:r>
        <w:t>14.1</w:t>
      </w:r>
      <w:r>
        <w:tab/>
        <w:t xml:space="preserve">The Supplier will comply with any standards in this Call-Off Contract, the Order Form and the Framework Agreement. </w:t>
      </w:r>
    </w:p>
    <w:p w:rsidR="00E11179" w:rsidRDefault="007E1E99">
      <w:pPr>
        <w:ind w:left="721" w:hanging="721"/>
      </w:pPr>
      <w:r>
        <w:t>14.2</w:t>
      </w:r>
      <w:r>
        <w:tab/>
      </w:r>
      <w:hyperlink r:id="rId26">
        <w:r>
          <w:t>The Supplier will deliver the Services in a way that enables the Buyer to comply with its</w:t>
        </w:r>
      </w:hyperlink>
      <w:hyperlink r:id="rId27">
        <w:r>
          <w:t xml:space="preserve"> </w:t>
        </w:r>
      </w:hyperlink>
      <w:hyperlink r:id="rId28">
        <w:r>
          <w:t>obligations under the Technology Code of Practice, which is available at</w:t>
        </w:r>
      </w:hyperlink>
      <w:hyperlink r:id="rId29">
        <w:r>
          <w:t xml:space="preserve"> </w:t>
        </w:r>
      </w:hyperlink>
      <w:hyperlink r:id="rId30">
        <w:r>
          <w:rPr>
            <w:color w:val="1155CC"/>
            <w:u w:val="single" w:color="1155CC"/>
          </w:rPr>
          <w:t xml:space="preserve">https://www.gov.uk/government/publications/technology-code-of-practice/technology-code </w:t>
        </w:r>
      </w:hyperlink>
      <w:hyperlink r:id="rId31">
        <w:r>
          <w:rPr>
            <w:color w:val="1155CC"/>
            <w:u w:val="single" w:color="1155CC"/>
          </w:rPr>
          <w:t>-of-practice</w:t>
        </w:r>
      </w:hyperlink>
      <w:r>
        <w:t xml:space="preserve"> </w:t>
      </w:r>
    </w:p>
    <w:p w:rsidR="00E11179" w:rsidRDefault="007E1E99">
      <w:pPr>
        <w:ind w:left="721" w:hanging="721"/>
      </w:pPr>
      <w:r>
        <w:t>14.3</w:t>
      </w:r>
      <w:r>
        <w:tab/>
        <w:t xml:space="preserve">If requested by the Buyer, the Supplier must, at its own cost, ensure that the G-Cloud Services comply with the requirements in the PSN Code of Practice. </w:t>
      </w:r>
    </w:p>
    <w:p w:rsidR="00E11179" w:rsidRDefault="007E1E99">
      <w:pPr>
        <w:ind w:left="721" w:hanging="721"/>
      </w:pPr>
      <w:r>
        <w:t>14.4</w:t>
      </w:r>
      <w:r>
        <w:tab/>
        <w:t xml:space="preserve">If any PSN Services are Subcontracted by the Supplier, the Supplier must ensure that the services have the relevant PSN compliance certification. </w:t>
      </w:r>
    </w:p>
    <w:p w:rsidR="00E11179" w:rsidRDefault="007E1E99">
      <w:pPr>
        <w:spacing w:after="302"/>
        <w:ind w:left="721" w:hanging="721"/>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2">
        <w:r>
          <w:t>.</w:t>
        </w:r>
      </w:hyperlink>
      <w:r>
        <w:rPr>
          <w:rFonts w:ascii="Calibri" w:eastAsia="Calibri" w:hAnsi="Calibri" w:cs="Calibri"/>
        </w:rPr>
        <w:t>​</w:t>
      </w:r>
      <w:hyperlink r:id="rId33">
        <w:r>
          <w:t xml:space="preserve"> </w:t>
        </w:r>
      </w:hyperlink>
    </w:p>
    <w:p w:rsidR="00E11179" w:rsidRDefault="007E1E99">
      <w:pPr>
        <w:spacing w:after="257" w:line="259" w:lineRule="auto"/>
        <w:ind w:left="0" w:firstLine="0"/>
      </w:pPr>
      <w:r>
        <w:t xml:space="preserve"> </w:t>
      </w:r>
    </w:p>
    <w:p w:rsidR="00E11179" w:rsidRDefault="007E1E99">
      <w:pPr>
        <w:pStyle w:val="Heading1"/>
        <w:ind w:left="-5"/>
      </w:pPr>
      <w:bookmarkStart w:id="26" w:name="_Toc76511"/>
      <w:r>
        <w:t xml:space="preserve">15. Open source </w:t>
      </w:r>
      <w:bookmarkEnd w:id="26"/>
    </w:p>
    <w:p w:rsidR="00E11179" w:rsidRDefault="007E1E99">
      <w:pPr>
        <w:spacing w:after="252" w:line="259" w:lineRule="auto"/>
        <w:ind w:left="0" w:firstLine="0"/>
      </w:pPr>
      <w:r>
        <w:t xml:space="preserve"> </w:t>
      </w:r>
    </w:p>
    <w:p w:rsidR="00E11179" w:rsidRDefault="007E1E99">
      <w:pPr>
        <w:ind w:left="721" w:hanging="721"/>
      </w:pPr>
      <w:r>
        <w:t>15.1</w:t>
      </w:r>
      <w:r>
        <w:tab/>
        <w:t xml:space="preserve">All software created for the Buyer must be suitable for publication as open source, unless otherwise agreed by the Buyer. </w:t>
      </w:r>
    </w:p>
    <w:p w:rsidR="00E11179" w:rsidRDefault="007E1E99">
      <w:pPr>
        <w:spacing w:after="198"/>
        <w:ind w:left="721" w:hanging="721"/>
      </w:pPr>
      <w:r>
        <w:t>15.2</w:t>
      </w:r>
      <w:r>
        <w:tab/>
        <w:t xml:space="preserve">If software needs to be converted before publication as open source, the Supplier must also provide the converted format unless otherwise agreed by the Buyer. </w:t>
      </w:r>
    </w:p>
    <w:p w:rsidR="00E11179" w:rsidRDefault="007E1E99">
      <w:pPr>
        <w:spacing w:after="257" w:line="259" w:lineRule="auto"/>
        <w:ind w:left="0" w:firstLine="0"/>
      </w:pPr>
      <w:r>
        <w:t xml:space="preserve"> </w:t>
      </w:r>
    </w:p>
    <w:p w:rsidR="00E11179" w:rsidRDefault="007E1E99">
      <w:pPr>
        <w:pStyle w:val="Heading1"/>
        <w:ind w:left="-5"/>
      </w:pPr>
      <w:bookmarkStart w:id="27" w:name="_Toc76512"/>
      <w:r>
        <w:t xml:space="preserve">16. Security </w:t>
      </w:r>
      <w:bookmarkEnd w:id="27"/>
    </w:p>
    <w:p w:rsidR="00E11179" w:rsidRDefault="007E1E99">
      <w:pPr>
        <w:spacing w:after="0" w:line="259" w:lineRule="auto"/>
        <w:ind w:left="0" w:firstLine="0"/>
      </w:pPr>
      <w:r>
        <w:t xml:space="preserve"> </w:t>
      </w:r>
    </w:p>
    <w:p w:rsidR="00E11179" w:rsidRDefault="007E1E99">
      <w:pPr>
        <w:spacing w:after="2"/>
        <w:ind w:left="721" w:hanging="721"/>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w:t>
      </w:r>
    </w:p>
    <w:p w:rsidR="00E11179" w:rsidRDefault="007E1E99">
      <w:pPr>
        <w:ind w:left="731"/>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E11179" w:rsidRDefault="007E1E99">
      <w:pPr>
        <w:ind w:left="721" w:hanging="721"/>
      </w:pPr>
      <w:r>
        <w:t>16.2</w:t>
      </w:r>
      <w:r>
        <w:tab/>
        <w:t xml:space="preserve">The Supplier will use all reasonable endeavours, software and the most up-to-date antivirus definitions available from an industry-accepted antivirus software seller to minimise the impact of Malicious Software. </w:t>
      </w:r>
    </w:p>
    <w:p w:rsidR="00E11179" w:rsidRDefault="007E1E99">
      <w:pPr>
        <w:ind w:left="721" w:hanging="721"/>
      </w:pPr>
      <w:r>
        <w:t>16.3</w:t>
      </w:r>
      <w:r>
        <w:tab/>
        <w:t xml:space="preserve">If Malicious Software causes loss of operational efficiency or loss or corruption of Service Data, the Supplier will help the Buyer to mitigate any losses and restore the Services to operating efficiency as soon as possible. </w:t>
      </w:r>
    </w:p>
    <w:p w:rsidR="00E11179" w:rsidRDefault="007E1E99">
      <w:pPr>
        <w:tabs>
          <w:tab w:val="center" w:pos="2718"/>
        </w:tabs>
        <w:ind w:left="0" w:firstLine="0"/>
      </w:pPr>
      <w:r>
        <w:t>16.4</w:t>
      </w:r>
      <w:r>
        <w:tab/>
        <w:t xml:space="preserve">Responsibility for costs will be at the: </w:t>
      </w:r>
    </w:p>
    <w:p w:rsidR="00E11179" w:rsidRDefault="007E1E99">
      <w:pPr>
        <w:numPr>
          <w:ilvl w:val="0"/>
          <w:numId w:val="17"/>
        </w:numPr>
        <w:ind w:hanging="360"/>
      </w:pPr>
      <w:r>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E11179" w:rsidRDefault="007E1E99">
      <w:pPr>
        <w:numPr>
          <w:ilvl w:val="0"/>
          <w:numId w:val="17"/>
        </w:numPr>
        <w:ind w:hanging="360"/>
      </w:pPr>
      <w:r>
        <w:t xml:space="preserve">Buyer’s expense if the Malicious Software originates from the Buyer software or the Service Data, while the Service Data was under the Buyer’s control </w:t>
      </w:r>
    </w:p>
    <w:p w:rsidR="00E11179" w:rsidRDefault="007E1E99">
      <w:pPr>
        <w:numPr>
          <w:ilvl w:val="1"/>
          <w:numId w:val="18"/>
        </w:numPr>
        <w:ind w:hanging="721"/>
      </w:pPr>
      <w:r>
        <w:t xml:space="preserve">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 </w:t>
      </w:r>
    </w:p>
    <w:p w:rsidR="00E11179" w:rsidRDefault="007E1E99">
      <w:pPr>
        <w:numPr>
          <w:ilvl w:val="1"/>
          <w:numId w:val="18"/>
        </w:numPr>
        <w:spacing w:after="2"/>
        <w:ind w:hanging="721"/>
      </w:pPr>
      <w:r>
        <w:t xml:space="preserve">Any system development by the Supplier should also comply with the government’s ‘10 Steps to Cyber Security’ guidance, available at </w:t>
      </w:r>
    </w:p>
    <w:p w:rsidR="00E11179" w:rsidRDefault="00CD12D3">
      <w:pPr>
        <w:spacing w:after="252" w:line="259" w:lineRule="auto"/>
        <w:ind w:left="731"/>
      </w:pPr>
      <w:hyperlink r:id="rId34">
        <w:r w:rsidR="007E1E99">
          <w:rPr>
            <w:color w:val="1155CC"/>
            <w:u w:val="single" w:color="1155CC"/>
          </w:rPr>
          <w:t>https://www.ncsc.gov.uk/guidance/10-steps-cyber-security</w:t>
        </w:r>
      </w:hyperlink>
      <w:r w:rsidR="007E1E99">
        <w:t xml:space="preserve"> </w:t>
      </w:r>
    </w:p>
    <w:p w:rsidR="00E11179" w:rsidRDefault="007E1E99">
      <w:pPr>
        <w:numPr>
          <w:ilvl w:val="1"/>
          <w:numId w:val="18"/>
        </w:numPr>
        <w:spacing w:after="198"/>
        <w:ind w:hanging="721"/>
      </w:pPr>
      <w:r>
        <w:t xml:space="preserve">If a Buyer has requested in the Order Form that the Supplier has a Cyber Essentials certificate, the Supplier must provide the Buyer with a valid Cyber Essentials certificate (or equivalent) required for the Services before the Start Date.  </w:t>
      </w:r>
    </w:p>
    <w:p w:rsidR="00E11179" w:rsidRDefault="007E1E99">
      <w:pPr>
        <w:spacing w:after="257" w:line="259" w:lineRule="auto"/>
        <w:ind w:left="0" w:firstLine="0"/>
      </w:pPr>
      <w:r>
        <w:t xml:space="preserve"> </w:t>
      </w:r>
    </w:p>
    <w:p w:rsidR="00E11179" w:rsidRDefault="007E1E99">
      <w:pPr>
        <w:pStyle w:val="Heading1"/>
        <w:ind w:left="-5"/>
      </w:pPr>
      <w:bookmarkStart w:id="28" w:name="_Toc76513"/>
      <w:r>
        <w:t xml:space="preserve">17. Guarantee </w:t>
      </w:r>
      <w:bookmarkEnd w:id="28"/>
    </w:p>
    <w:p w:rsidR="00E11179" w:rsidRDefault="007E1E99">
      <w:pPr>
        <w:spacing w:after="252" w:line="259" w:lineRule="auto"/>
        <w:ind w:left="0" w:firstLine="0"/>
      </w:pPr>
      <w:r>
        <w:t xml:space="preserve"> </w:t>
      </w:r>
    </w:p>
    <w:p w:rsidR="00E11179" w:rsidRDefault="007E1E99">
      <w:pPr>
        <w:tabs>
          <w:tab w:val="center" w:pos="5434"/>
        </w:tabs>
        <w:spacing w:after="7"/>
        <w:ind w:left="0" w:firstLine="0"/>
      </w:pPr>
      <w:r>
        <w:t>17.1</w:t>
      </w:r>
      <w:r>
        <w:tab/>
        <w:t xml:space="preserve">If this Call-Off Contract is conditional on receipt of a Guarantee that is acceptable to the </w:t>
      </w:r>
    </w:p>
    <w:p w:rsidR="00E11179" w:rsidRDefault="007E1E99">
      <w:pPr>
        <w:ind w:left="731"/>
      </w:pPr>
      <w:r>
        <w:t xml:space="preserve">Buyer, the Supplier must give the Buyer on or before the Start Date: </w:t>
      </w:r>
    </w:p>
    <w:p w:rsidR="00E11179" w:rsidRDefault="007E1E99">
      <w:pPr>
        <w:numPr>
          <w:ilvl w:val="0"/>
          <w:numId w:val="19"/>
        </w:numPr>
        <w:ind w:hanging="360"/>
      </w:pPr>
      <w:r>
        <w:t xml:space="preserve">an executed Guarantee in the form at Schedule 5  </w:t>
      </w:r>
    </w:p>
    <w:p w:rsidR="00E11179" w:rsidRDefault="007E1E99">
      <w:pPr>
        <w:numPr>
          <w:ilvl w:val="0"/>
          <w:numId w:val="19"/>
        </w:numPr>
        <w:spacing w:after="198"/>
        <w:ind w:hanging="360"/>
      </w:pPr>
      <w:r>
        <w:t xml:space="preserve">a certified copy of the passed resolution or board minutes of the guarantor approving the execution of the Guarantee </w:t>
      </w:r>
    </w:p>
    <w:p w:rsidR="00E11179" w:rsidRDefault="007E1E99">
      <w:pPr>
        <w:spacing w:after="257" w:line="259" w:lineRule="auto"/>
        <w:ind w:left="0" w:firstLine="0"/>
      </w:pPr>
      <w:r>
        <w:t xml:space="preserve"> </w:t>
      </w:r>
    </w:p>
    <w:p w:rsidR="00E11179" w:rsidRDefault="007E1E99">
      <w:pPr>
        <w:pStyle w:val="Heading1"/>
        <w:ind w:left="-5"/>
      </w:pPr>
      <w:bookmarkStart w:id="29" w:name="_Toc76514"/>
      <w:r>
        <w:t xml:space="preserve">18. Ending the Call-Off Contract </w:t>
      </w:r>
      <w:bookmarkEnd w:id="29"/>
    </w:p>
    <w:p w:rsidR="00E11179" w:rsidRDefault="007E1E99">
      <w:pPr>
        <w:spacing w:after="252" w:line="259" w:lineRule="auto"/>
        <w:ind w:left="0" w:firstLine="0"/>
      </w:pPr>
      <w:r>
        <w:t xml:space="preserve"> </w:t>
      </w:r>
    </w:p>
    <w:p w:rsidR="00E11179" w:rsidRDefault="007E1E99">
      <w:pPr>
        <w:ind w:left="721" w:hanging="721"/>
      </w:pPr>
      <w:r>
        <w:t>18.1</w:t>
      </w:r>
      <w:r>
        <w:tab/>
        <w:t xml:space="preserve">The Buyer can End this Call-Off Contract at any time by giving 30 days’ written notice to the Supplier, unless a shorter period is specified in the Order Form. The Supplier’s obligation to provide the Services will end on the date in the notice. </w:t>
      </w:r>
    </w:p>
    <w:p w:rsidR="00E11179" w:rsidRDefault="007E1E99">
      <w:pPr>
        <w:tabs>
          <w:tab w:val="center" w:pos="2138"/>
        </w:tabs>
        <w:ind w:left="0" w:firstLine="0"/>
      </w:pPr>
      <w:r>
        <w:t>18.2</w:t>
      </w:r>
      <w:r>
        <w:tab/>
        <w:t xml:space="preserve">The Parties agree that the: </w:t>
      </w:r>
    </w:p>
    <w:p w:rsidR="00E11179" w:rsidRDefault="007E1E99">
      <w:pPr>
        <w:numPr>
          <w:ilvl w:val="0"/>
          <w:numId w:val="20"/>
        </w:numPr>
        <w:ind w:hanging="360"/>
      </w:pPr>
      <w:r>
        <w:t xml:space="preserve">Buyer’s right to End the Call-Off Contract under clause 18.1 is reasonable considering the type of cloud Service being provided </w:t>
      </w:r>
    </w:p>
    <w:p w:rsidR="00E11179" w:rsidRDefault="007E1E99">
      <w:pPr>
        <w:numPr>
          <w:ilvl w:val="0"/>
          <w:numId w:val="20"/>
        </w:numPr>
        <w:ind w:hanging="360"/>
      </w:pPr>
      <w:r>
        <w:t xml:space="preserve">Call-Off Contract Charges paid during the notice period is reasonable compensation and covers all the Supplier’s avoidable costs or Losses </w:t>
      </w:r>
    </w:p>
    <w:p w:rsidR="00E11179" w:rsidRDefault="007E1E99">
      <w:pPr>
        <w:numPr>
          <w:ilvl w:val="1"/>
          <w:numId w:val="22"/>
        </w:numPr>
        <w:ind w:hanging="721"/>
      </w:pPr>
      <w: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E11179" w:rsidRDefault="007E1E99">
      <w:pPr>
        <w:numPr>
          <w:ilvl w:val="1"/>
          <w:numId w:val="22"/>
        </w:numPr>
        <w:ind w:hanging="721"/>
      </w:pPr>
      <w:r>
        <w:t xml:space="preserve">The Buyer will have the right to End this Call-Off Contract at any time with immediate effect by written notice to the Supplier if either the Supplier commits: </w:t>
      </w:r>
    </w:p>
    <w:p w:rsidR="00E11179" w:rsidRDefault="007E1E99">
      <w:pPr>
        <w:numPr>
          <w:ilvl w:val="0"/>
          <w:numId w:val="20"/>
        </w:numPr>
        <w:spacing w:after="7"/>
        <w:ind w:hanging="360"/>
      </w:pPr>
      <w:r>
        <w:t xml:space="preserve">a Supplier Default and if the Supplier Default cannot, in the reasonable opinion of the </w:t>
      </w:r>
    </w:p>
    <w:p w:rsidR="00E11179" w:rsidRDefault="007E1E99">
      <w:pPr>
        <w:ind w:left="1451"/>
      </w:pPr>
      <w:r>
        <w:t xml:space="preserve">Buyer, be remedied </w:t>
      </w:r>
    </w:p>
    <w:p w:rsidR="00E11179" w:rsidRDefault="007E1E99">
      <w:pPr>
        <w:numPr>
          <w:ilvl w:val="0"/>
          <w:numId w:val="20"/>
        </w:numPr>
        <w:ind w:hanging="360"/>
      </w:pPr>
      <w:r>
        <w:t xml:space="preserve">any fraud </w:t>
      </w:r>
    </w:p>
    <w:p w:rsidR="00E11179" w:rsidRDefault="007E1E99">
      <w:pPr>
        <w:tabs>
          <w:tab w:val="right" w:pos="10643"/>
        </w:tabs>
        <w:ind w:left="0" w:firstLine="0"/>
      </w:pPr>
      <w:r>
        <w:t>18.5</w:t>
      </w:r>
      <w:r>
        <w:tab/>
        <w:t xml:space="preserve">A Party can End this Call-Off Contract at any time with immediate effect by written notice if: </w:t>
      </w:r>
    </w:p>
    <w:p w:rsidR="00E11179" w:rsidRDefault="007E1E99">
      <w:pPr>
        <w:numPr>
          <w:ilvl w:val="0"/>
          <w:numId w:val="20"/>
        </w:numPr>
        <w:ind w:hanging="360"/>
      </w:pPr>
      <w:r>
        <w:t xml:space="preserve">the other Party commits a Material Breach of any term of this Call-Off Contract (other than failure to pay any amounts due) and, if that breach is remediable, fails to remedy it within 15 Working Days of being notified in writing to do so </w:t>
      </w:r>
    </w:p>
    <w:p w:rsidR="00E11179" w:rsidRDefault="007E1E99">
      <w:pPr>
        <w:numPr>
          <w:ilvl w:val="0"/>
          <w:numId w:val="20"/>
        </w:numPr>
        <w:ind w:hanging="360"/>
      </w:pPr>
      <w:r>
        <w:t xml:space="preserve">an Insolvency Event of the other Party happens </w:t>
      </w:r>
    </w:p>
    <w:p w:rsidR="00E11179" w:rsidRDefault="007E1E99">
      <w:pPr>
        <w:numPr>
          <w:ilvl w:val="0"/>
          <w:numId w:val="20"/>
        </w:numPr>
        <w:ind w:hanging="360"/>
      </w:pPr>
      <w:r>
        <w:t xml:space="preserve">the other Party ceases or threatens to cease to carry on the whole or any material part of its business </w:t>
      </w:r>
    </w:p>
    <w:p w:rsidR="00E11179" w:rsidRDefault="007E1E99">
      <w:pPr>
        <w:numPr>
          <w:ilvl w:val="1"/>
          <w:numId w:val="21"/>
        </w:numPr>
        <w:ind w:hanging="721"/>
      </w:pPr>
      <w:r>
        <w:t xml:space="preserve">If the Buyer fails to pay the Supplier undisputed sums of money when due, the Supplier must notify the Buyer and allow the Buyer 5 Working Days to pay. If the Buyer doesn’t pay </w:t>
      </w:r>
    </w:p>
    <w:p w:rsidR="00E11179" w:rsidRDefault="007E1E99">
      <w:pPr>
        <w:ind w:left="731"/>
      </w:pPr>
      <w:r>
        <w:t xml:space="preserve">within 5 Working Days, the Supplier may End this Call-Off Contract by giving the length of notice in the Order Form. </w:t>
      </w:r>
    </w:p>
    <w:p w:rsidR="00E11179" w:rsidRDefault="007E1E99">
      <w:pPr>
        <w:numPr>
          <w:ilvl w:val="1"/>
          <w:numId w:val="21"/>
        </w:numPr>
        <w:spacing w:after="198"/>
        <w:ind w:hanging="721"/>
      </w:pPr>
      <w:r>
        <w:t xml:space="preserve">A Party who isn’t relying on a Force Majeure event will have the right to End this Call-Off Contract if clause 23.1 applies. </w:t>
      </w:r>
    </w:p>
    <w:p w:rsidR="00E11179" w:rsidRDefault="007E1E99">
      <w:pPr>
        <w:spacing w:after="257" w:line="259" w:lineRule="auto"/>
        <w:ind w:left="0" w:firstLine="0"/>
      </w:pPr>
      <w:r>
        <w:t xml:space="preserve"> </w:t>
      </w:r>
    </w:p>
    <w:p w:rsidR="00E11179" w:rsidRDefault="007E1E99">
      <w:pPr>
        <w:pStyle w:val="Heading1"/>
        <w:ind w:left="-5"/>
      </w:pPr>
      <w:bookmarkStart w:id="30" w:name="_Toc76515"/>
      <w:r>
        <w:t xml:space="preserve">19. Consequences of suspension, ending and expiry </w:t>
      </w:r>
      <w:bookmarkEnd w:id="30"/>
    </w:p>
    <w:p w:rsidR="00E11179" w:rsidRDefault="007E1E99">
      <w:pPr>
        <w:spacing w:after="252" w:line="259" w:lineRule="auto"/>
        <w:ind w:left="0" w:firstLine="0"/>
      </w:pPr>
      <w:r>
        <w:t xml:space="preserve"> </w:t>
      </w:r>
    </w:p>
    <w:p w:rsidR="00E11179" w:rsidRDefault="007E1E99">
      <w:pPr>
        <w:ind w:left="721" w:hanging="721"/>
      </w:pPr>
      <w:r>
        <w:t>19.1</w:t>
      </w:r>
      <w:r>
        <w:tab/>
        <w:t xml:space="preserve">If a Buyer has the right to End a Call-Off Contract, it may elect to suspend this Call-Off Contract or any part of it. </w:t>
      </w:r>
    </w:p>
    <w:p w:rsidR="00E11179" w:rsidRDefault="007E1E99">
      <w:pPr>
        <w:ind w:left="721" w:hanging="721"/>
      </w:pPr>
      <w:r>
        <w:t>19.2</w:t>
      </w:r>
      <w:r>
        <w:tab/>
        <w:t xml:space="preserve">Even if a notice has been served to End this Call-Off Contract or any part of it, the Supplier must continue to provide the Ordered G-Cloud Services until the dates set out in the notice. </w:t>
      </w:r>
    </w:p>
    <w:p w:rsidR="00E11179" w:rsidRDefault="007E1E99">
      <w:pPr>
        <w:tabs>
          <w:tab w:val="center" w:pos="5107"/>
        </w:tabs>
        <w:spacing w:after="7"/>
        <w:ind w:left="0" w:firstLine="0"/>
      </w:pPr>
      <w:r>
        <w:t>19.3</w:t>
      </w:r>
      <w:r>
        <w:tab/>
        <w:t xml:space="preserve">The rights and obligations of the Parties will cease on the Expiry Date or End Date </w:t>
      </w:r>
    </w:p>
    <w:p w:rsidR="00E11179" w:rsidRDefault="007E1E99">
      <w:pPr>
        <w:ind w:left="731"/>
      </w:pPr>
      <w:r>
        <w:t xml:space="preserve">(whichever applies) of this Call-Off Contract, except those continuing provisions described in clause 19.4. </w:t>
      </w:r>
    </w:p>
    <w:p w:rsidR="00E11179" w:rsidRDefault="007E1E99">
      <w:pPr>
        <w:tabs>
          <w:tab w:val="center" w:pos="3685"/>
        </w:tabs>
        <w:ind w:left="0" w:firstLine="0"/>
      </w:pPr>
      <w:r>
        <w:t>19.4</w:t>
      </w:r>
      <w:r>
        <w:tab/>
        <w:t xml:space="preserve">Ending or expiry of this Call-Off Contract will not affect: </w:t>
      </w:r>
    </w:p>
    <w:p w:rsidR="00E11179" w:rsidRDefault="007E1E99">
      <w:pPr>
        <w:numPr>
          <w:ilvl w:val="0"/>
          <w:numId w:val="23"/>
        </w:numPr>
        <w:ind w:hanging="405"/>
      </w:pPr>
      <w:r>
        <w:t xml:space="preserve">any rights, remedies or obligations accrued before its Ending or expiration </w:t>
      </w:r>
    </w:p>
    <w:p w:rsidR="00E11179" w:rsidRDefault="007E1E99">
      <w:pPr>
        <w:numPr>
          <w:ilvl w:val="0"/>
          <w:numId w:val="23"/>
        </w:numPr>
        <w:ind w:hanging="405"/>
      </w:pPr>
      <w:r>
        <w:t xml:space="preserve">the right of either Party to recover any amount outstanding at the time of Ending or expiry </w:t>
      </w:r>
    </w:p>
    <w:p w:rsidR="00E11179" w:rsidRDefault="007E1E99">
      <w:pPr>
        <w:numPr>
          <w:ilvl w:val="0"/>
          <w:numId w:val="23"/>
        </w:numPr>
        <w:spacing w:after="3"/>
        <w:ind w:hanging="405"/>
      </w:pPr>
      <w: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w:t>
      </w:r>
    </w:p>
    <w:p w:rsidR="00E11179" w:rsidRDefault="007E1E99">
      <w:pPr>
        <w:ind w:left="1451"/>
      </w:pPr>
      <w:r>
        <w:t xml:space="preserve">4.7 (Liability); 8.42 to 8.48 (Conflicts of interest and ethical walls) and 8.87 to 8.88 (Waiver and cumulative remedies) </w:t>
      </w:r>
    </w:p>
    <w:p w:rsidR="00E11179" w:rsidRDefault="007E1E99">
      <w:pPr>
        <w:numPr>
          <w:ilvl w:val="0"/>
          <w:numId w:val="23"/>
        </w:numPr>
        <w:spacing w:after="3"/>
        <w:ind w:hanging="405"/>
      </w:pPr>
      <w:r>
        <w:t xml:space="preserve">any other provision of the Framework Agreement or this Call-Off Contract which expressly or by implication is in force even if it Ends or expires </w:t>
      </w:r>
    </w:p>
    <w:p w:rsidR="00E11179" w:rsidRDefault="007E1E99">
      <w:pPr>
        <w:spacing w:after="57" w:line="259" w:lineRule="auto"/>
        <w:ind w:left="0" w:firstLine="0"/>
      </w:pPr>
      <w:r>
        <w:t xml:space="preserve"> </w:t>
      </w:r>
    </w:p>
    <w:p w:rsidR="00E11179" w:rsidRDefault="007E1E99">
      <w:pPr>
        <w:tabs>
          <w:tab w:val="center" w:pos="4431"/>
        </w:tabs>
        <w:ind w:left="0" w:firstLine="0"/>
      </w:pPr>
      <w:r>
        <w:t>19.5</w:t>
      </w:r>
      <w:r>
        <w:tab/>
        <w:t xml:space="preserve">At the end of the Call-Off Contract Term, the Supplier must promptly: </w:t>
      </w:r>
    </w:p>
    <w:p w:rsidR="00E11179" w:rsidRDefault="007E1E99">
      <w:pPr>
        <w:numPr>
          <w:ilvl w:val="0"/>
          <w:numId w:val="23"/>
        </w:numPr>
        <w:ind w:hanging="405"/>
      </w:pPr>
      <w:r>
        <w:t xml:space="preserve">return all Buyer Data including all copies of Buyer software, code and any other software licensed by the Buyer to the Supplier under it </w:t>
      </w:r>
    </w:p>
    <w:p w:rsidR="00E11179" w:rsidRDefault="007E1E99">
      <w:pPr>
        <w:numPr>
          <w:ilvl w:val="0"/>
          <w:numId w:val="23"/>
        </w:numPr>
        <w:ind w:hanging="405"/>
      </w:pPr>
      <w:r>
        <w:t xml:space="preserve">return any materials created by the Supplier under this Call-Off Contract if the IPRs are owned by the Buyer </w:t>
      </w:r>
    </w:p>
    <w:p w:rsidR="00E11179" w:rsidRDefault="007E1E99">
      <w:pPr>
        <w:numPr>
          <w:ilvl w:val="0"/>
          <w:numId w:val="23"/>
        </w:numPr>
        <w:spacing w:after="219" w:line="287" w:lineRule="auto"/>
        <w:ind w:hanging="405"/>
      </w:pPr>
      <w:r>
        <w:t xml:space="preserve">stop using the Buyer Data and, at the direction of the Buyer, provide the Buyer with a complete and uncorrupted version in electronic form in the formats and on media </w:t>
      </w:r>
    </w:p>
    <w:p w:rsidR="00E11179" w:rsidRDefault="007E1E99">
      <w:pPr>
        <w:ind w:left="1451"/>
      </w:pPr>
      <w:r>
        <w:t xml:space="preserve">agreed with the Buyer </w:t>
      </w:r>
    </w:p>
    <w:p w:rsidR="00E11179" w:rsidRDefault="007E1E99">
      <w:pPr>
        <w:numPr>
          <w:ilvl w:val="0"/>
          <w:numId w:val="23"/>
        </w:numPr>
        <w:ind w:hanging="405"/>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E11179" w:rsidRDefault="007E1E99">
      <w:pPr>
        <w:numPr>
          <w:ilvl w:val="0"/>
          <w:numId w:val="23"/>
        </w:numPr>
        <w:ind w:hanging="405"/>
      </w:pPr>
      <w:r>
        <w:t xml:space="preserve">work with the Buyer on any ongoing work  </w:t>
      </w:r>
    </w:p>
    <w:p w:rsidR="00E11179" w:rsidRDefault="007E1E99">
      <w:pPr>
        <w:numPr>
          <w:ilvl w:val="0"/>
          <w:numId w:val="23"/>
        </w:numPr>
        <w:ind w:hanging="405"/>
      </w:pPr>
      <w:r>
        <w:t xml:space="preserve">return any sums prepaid for Services which have not been delivered to the Buyer, within 10 Working Days of the End or Expiry Date </w:t>
      </w:r>
    </w:p>
    <w:p w:rsidR="00E11179" w:rsidRDefault="007E1E99">
      <w:pPr>
        <w:numPr>
          <w:ilvl w:val="1"/>
          <w:numId w:val="24"/>
        </w:numPr>
        <w:ind w:hanging="721"/>
      </w:pPr>
      <w:r>
        <w:t xml:space="preserve">Each Party will return all of the other Party’s Confidential Information and confirm this has been done, unless there is a legal requirement to keep it or this Call-Off Contract states otherwise. </w:t>
      </w:r>
    </w:p>
    <w:p w:rsidR="00E11179" w:rsidRDefault="007E1E99">
      <w:pPr>
        <w:numPr>
          <w:ilvl w:val="1"/>
          <w:numId w:val="24"/>
        </w:numPr>
        <w:spacing w:after="198"/>
        <w:ind w:hanging="721"/>
      </w:pPr>
      <w:r>
        <w:t xml:space="preserve">All licences, leases and authorisations granted by the Buyer to the Supplier will cease at the end of the Call-Off Contract Term without the need for the Buyer to serve notice except if this Call-Off Contract states otherwise.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57" w:line="259" w:lineRule="auto"/>
        <w:ind w:left="0" w:firstLine="0"/>
      </w:pPr>
      <w:r>
        <w:t xml:space="preserve"> </w:t>
      </w:r>
    </w:p>
    <w:p w:rsidR="00E11179" w:rsidRDefault="007E1E99">
      <w:pPr>
        <w:pStyle w:val="Heading1"/>
        <w:ind w:left="-5"/>
      </w:pPr>
      <w:bookmarkStart w:id="31" w:name="_Toc76516"/>
      <w:r>
        <w:t xml:space="preserve">20. Notices </w:t>
      </w:r>
      <w:bookmarkEnd w:id="31"/>
    </w:p>
    <w:p w:rsidR="00E11179" w:rsidRDefault="007E1E99">
      <w:pPr>
        <w:spacing w:after="252" w:line="259" w:lineRule="auto"/>
        <w:ind w:left="0" w:firstLine="0"/>
      </w:pPr>
      <w:r>
        <w:t xml:space="preserve"> </w:t>
      </w:r>
    </w:p>
    <w:p w:rsidR="00E11179" w:rsidRDefault="007E1E99">
      <w:pPr>
        <w:spacing w:after="0"/>
        <w:ind w:left="721" w:hanging="721"/>
      </w:pPr>
      <w:r>
        <w:t>20.1</w:t>
      </w:r>
      <w:r>
        <w:tab/>
        <w:t xml:space="preserve">Any notices sent must be in writing. For the purpose of this clause, an email is accepted as being 'in writing'. </w:t>
      </w:r>
    </w:p>
    <w:tbl>
      <w:tblPr>
        <w:tblStyle w:val="TableGrid"/>
        <w:tblW w:w="9908" w:type="dxa"/>
        <w:tblInd w:w="605" w:type="dxa"/>
        <w:tblCellMar>
          <w:top w:w="76" w:type="dxa"/>
          <w:left w:w="115" w:type="dxa"/>
          <w:right w:w="115" w:type="dxa"/>
        </w:tblCellMar>
        <w:tblLook w:val="04A0" w:firstRow="1" w:lastRow="0" w:firstColumn="1" w:lastColumn="0" w:noHBand="0" w:noVBand="1"/>
      </w:tblPr>
      <w:tblGrid>
        <w:gridCol w:w="3302"/>
        <w:gridCol w:w="3303"/>
        <w:gridCol w:w="3303"/>
      </w:tblGrid>
      <w:tr w:rsidR="00E11179">
        <w:trPr>
          <w:trHeight w:val="300"/>
        </w:trPr>
        <w:tc>
          <w:tcPr>
            <w:tcW w:w="3303"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rPr>
              <w:t xml:space="preserve">Manner of delivery </w:t>
            </w:r>
          </w:p>
        </w:tc>
        <w:tc>
          <w:tcPr>
            <w:tcW w:w="3303"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rPr>
              <w:t xml:space="preserve">Deemed time of delivery </w:t>
            </w:r>
          </w:p>
        </w:tc>
        <w:tc>
          <w:tcPr>
            <w:tcW w:w="3303"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rPr>
              <w:t xml:space="preserve">Proof of service </w:t>
            </w:r>
          </w:p>
        </w:tc>
      </w:tr>
      <w:tr w:rsidR="00E11179">
        <w:trPr>
          <w:trHeight w:val="871"/>
        </w:trPr>
        <w:tc>
          <w:tcPr>
            <w:tcW w:w="3303"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t xml:space="preserve">Email </w:t>
            </w:r>
          </w:p>
        </w:tc>
        <w:tc>
          <w:tcPr>
            <w:tcW w:w="3303"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t xml:space="preserve">9am on the first Working </w:t>
            </w:r>
          </w:p>
          <w:p w:rsidR="00E11179" w:rsidRDefault="007E1E99">
            <w:pPr>
              <w:spacing w:after="0" w:line="259" w:lineRule="auto"/>
              <w:ind w:left="0" w:firstLine="0"/>
            </w:pPr>
            <w:r>
              <w:t xml:space="preserve">Day after sending </w:t>
            </w:r>
          </w:p>
        </w:tc>
        <w:tc>
          <w:tcPr>
            <w:tcW w:w="3303"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t xml:space="preserve">Sent by pdf to the correct email address without getting an error message </w:t>
            </w:r>
          </w:p>
        </w:tc>
      </w:tr>
    </w:tbl>
    <w:p w:rsidR="00E11179" w:rsidRDefault="007E1E99">
      <w:pPr>
        <w:spacing w:after="252" w:line="259" w:lineRule="auto"/>
        <w:ind w:left="0" w:firstLine="0"/>
      </w:pPr>
      <w:r>
        <w:t xml:space="preserve"> </w:t>
      </w:r>
    </w:p>
    <w:p w:rsidR="00E11179" w:rsidRDefault="007E1E99">
      <w:pPr>
        <w:spacing w:after="198"/>
        <w:ind w:left="721" w:hanging="721"/>
      </w:pPr>
      <w:r>
        <w:t>20.2</w:t>
      </w:r>
      <w:r>
        <w:tab/>
        <w:t xml:space="preserve">This clause does not apply to any legal action or other method of dispute resolution which should be sent to the addresses in the Order Form (other than a dispute notice under this Call-Off Contract). </w:t>
      </w:r>
    </w:p>
    <w:p w:rsidR="00E11179" w:rsidRDefault="007E1E99">
      <w:pPr>
        <w:spacing w:after="257" w:line="259" w:lineRule="auto"/>
        <w:ind w:left="0" w:firstLine="0"/>
      </w:pPr>
      <w:r>
        <w:t xml:space="preserve"> </w:t>
      </w:r>
    </w:p>
    <w:p w:rsidR="00E11179" w:rsidRDefault="007E1E99">
      <w:pPr>
        <w:pStyle w:val="Heading1"/>
        <w:ind w:left="-5"/>
      </w:pPr>
      <w:bookmarkStart w:id="32" w:name="_Toc76517"/>
      <w:r>
        <w:t xml:space="preserve">21. Exit plan </w:t>
      </w:r>
      <w:bookmarkEnd w:id="32"/>
    </w:p>
    <w:p w:rsidR="00E11179" w:rsidRDefault="007E1E99">
      <w:pPr>
        <w:spacing w:after="252" w:line="259" w:lineRule="auto"/>
        <w:ind w:left="0" w:firstLine="0"/>
      </w:pPr>
      <w:r>
        <w:t xml:space="preserve"> </w:t>
      </w:r>
    </w:p>
    <w:p w:rsidR="00E11179" w:rsidRDefault="007E1E99">
      <w:r>
        <w:t>21.1</w:t>
      </w:r>
      <w:r>
        <w:tab/>
        <w:t xml:space="preserve">The Supplier must provide an exit plan in its Application which ensures continuity of service and the Supplier will follow it. </w:t>
      </w:r>
    </w:p>
    <w:p w:rsidR="00E11179" w:rsidRDefault="007E1E99">
      <w:pPr>
        <w:ind w:left="721" w:hanging="721"/>
      </w:pPr>
      <w:r>
        <w:t>21.2</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E11179" w:rsidRDefault="007E1E99">
      <w:pPr>
        <w:ind w:left="721" w:hanging="721"/>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  </w:t>
      </w:r>
    </w:p>
    <w:p w:rsidR="00E11179" w:rsidRDefault="007E1E99">
      <w:pPr>
        <w:ind w:left="721" w:hanging="721"/>
      </w:pPr>
      <w:r>
        <w:t>21.4</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E11179" w:rsidRDefault="007E1E99">
      <w:pPr>
        <w:ind w:left="721" w:hanging="721"/>
      </w:pPr>
      <w:r>
        <w:t>21.5</w:t>
      </w:r>
      <w:r>
        <w:tab/>
        <w:t xml:space="preserve">Before submitting the additional exit plan to the Buyer for approval, the Supplier will work with the Buyer to ensure that the additional exit plan is aligned with the Buyer’s own exit plan and strategy. </w:t>
      </w:r>
    </w:p>
    <w:p w:rsidR="00E11179" w:rsidRDefault="007E1E99">
      <w:pPr>
        <w:ind w:left="721" w:hanging="721"/>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E11179" w:rsidRDefault="007E1E99">
      <w:pPr>
        <w:numPr>
          <w:ilvl w:val="0"/>
          <w:numId w:val="25"/>
        </w:numPr>
        <w:ind w:hanging="360"/>
      </w:pPr>
      <w:r>
        <w:t xml:space="preserve">the Buyer will be able to transfer the Services to a replacement supplier before the expiry or Ending of the extension period on terms that are commercially reasonable and acceptable to the Buyer </w:t>
      </w:r>
    </w:p>
    <w:p w:rsidR="00E11179" w:rsidRDefault="007E1E99">
      <w:pPr>
        <w:numPr>
          <w:ilvl w:val="0"/>
          <w:numId w:val="25"/>
        </w:numPr>
        <w:ind w:hanging="360"/>
      </w:pPr>
      <w:r>
        <w:t xml:space="preserve">there will be no adverse impact on service continuity </w:t>
      </w:r>
    </w:p>
    <w:p w:rsidR="00E11179" w:rsidRDefault="007E1E99">
      <w:pPr>
        <w:numPr>
          <w:ilvl w:val="0"/>
          <w:numId w:val="25"/>
        </w:numPr>
        <w:ind w:hanging="360"/>
      </w:pPr>
      <w:r>
        <w:t xml:space="preserve">there is no vendor lock-in to the Supplier’s Service at exit </w:t>
      </w:r>
    </w:p>
    <w:p w:rsidR="00E11179" w:rsidRDefault="007E1E99">
      <w:pPr>
        <w:numPr>
          <w:ilvl w:val="0"/>
          <w:numId w:val="25"/>
        </w:numPr>
        <w:ind w:hanging="360"/>
      </w:pPr>
      <w:r>
        <w:t xml:space="preserve">it enables the Buyer to meet its obligations under the Technology Code </w:t>
      </w:r>
      <w:proofErr w:type="gramStart"/>
      <w:r>
        <w:t>Of</w:t>
      </w:r>
      <w:proofErr w:type="gramEnd"/>
      <w:r>
        <w:t xml:space="preserve"> Practice </w:t>
      </w:r>
    </w:p>
    <w:p w:rsidR="00E11179" w:rsidRDefault="007E1E99">
      <w:pPr>
        <w:numPr>
          <w:ilvl w:val="1"/>
          <w:numId w:val="26"/>
        </w:numPr>
        <w:spacing w:after="27"/>
        <w:ind w:hanging="721"/>
      </w:pPr>
      <w:r>
        <w:t xml:space="preserve">If approval is obtained by the Buyer to extend the Term, then the Supplier will comply with its obligations in the additional exit plan. </w:t>
      </w:r>
    </w:p>
    <w:p w:rsidR="00E11179" w:rsidRDefault="007E1E99">
      <w:pPr>
        <w:numPr>
          <w:ilvl w:val="1"/>
          <w:numId w:val="26"/>
        </w:numPr>
        <w:ind w:hanging="721"/>
      </w:pPr>
      <w:r>
        <w:t xml:space="preserve">The additional exit plan must set out full details of timescales, activities and roles and responsibilities of the Parties for: </w:t>
      </w:r>
    </w:p>
    <w:p w:rsidR="00E11179" w:rsidRDefault="007E1E99">
      <w:pPr>
        <w:numPr>
          <w:ilvl w:val="0"/>
          <w:numId w:val="25"/>
        </w:numPr>
        <w:spacing w:after="219" w:line="287" w:lineRule="auto"/>
        <w:ind w:hanging="360"/>
      </w:pPr>
      <w:r>
        <w:t xml:space="preserve">the transfer to the Buyer of any technical information, instructions, manuals and code reasonably required by the Buyer to enable a smooth migration from the Supplier </w:t>
      </w:r>
    </w:p>
    <w:p w:rsidR="00E11179" w:rsidRDefault="007E1E99">
      <w:pPr>
        <w:numPr>
          <w:ilvl w:val="0"/>
          <w:numId w:val="25"/>
        </w:numPr>
        <w:ind w:hanging="360"/>
      </w:pPr>
      <w:r>
        <w:t xml:space="preserve">the strategy for exportation and migration of Buyer Data from the Supplier system to the Buyer or a replacement supplier, including conversion to open standards or other standards required by the Buyer </w:t>
      </w:r>
    </w:p>
    <w:p w:rsidR="00E11179" w:rsidRDefault="007E1E99">
      <w:pPr>
        <w:numPr>
          <w:ilvl w:val="0"/>
          <w:numId w:val="25"/>
        </w:numPr>
        <w:ind w:hanging="360"/>
      </w:pPr>
      <w:r>
        <w:t xml:space="preserve">the transfer of Project Specific IPR items and other Buyer customisations, </w:t>
      </w:r>
    </w:p>
    <w:p w:rsidR="00E11179" w:rsidRDefault="007E1E99">
      <w:pPr>
        <w:ind w:left="1451"/>
      </w:pPr>
      <w:r>
        <w:t xml:space="preserve">configurations and databases to the Buyer or a replacement supplier </w:t>
      </w:r>
    </w:p>
    <w:p w:rsidR="00E11179" w:rsidRDefault="007E1E99">
      <w:pPr>
        <w:numPr>
          <w:ilvl w:val="0"/>
          <w:numId w:val="25"/>
        </w:numPr>
        <w:ind w:hanging="360"/>
      </w:pPr>
      <w:r>
        <w:t xml:space="preserve">the testing and assurance strategy for exported Buyer Data </w:t>
      </w:r>
    </w:p>
    <w:p w:rsidR="00E11179" w:rsidRDefault="007E1E99">
      <w:pPr>
        <w:numPr>
          <w:ilvl w:val="0"/>
          <w:numId w:val="25"/>
        </w:numPr>
        <w:ind w:hanging="360"/>
      </w:pPr>
      <w:r>
        <w:t xml:space="preserve">if relevant, TUPE-related activity to comply with the TUPE regulations </w:t>
      </w:r>
    </w:p>
    <w:p w:rsidR="00E11179" w:rsidRDefault="007E1E99">
      <w:pPr>
        <w:numPr>
          <w:ilvl w:val="0"/>
          <w:numId w:val="25"/>
        </w:numPr>
        <w:spacing w:after="198"/>
        <w:ind w:hanging="360"/>
      </w:pPr>
      <w:r>
        <w:t xml:space="preserve">any other activities and information which is reasonably required to ensure continuity of Service during the exit period and an orderly transition  </w:t>
      </w:r>
    </w:p>
    <w:p w:rsidR="00E11179" w:rsidRDefault="007E1E99">
      <w:pPr>
        <w:spacing w:after="257" w:line="259" w:lineRule="auto"/>
        <w:ind w:left="0" w:firstLine="0"/>
      </w:pPr>
      <w:r>
        <w:t xml:space="preserve"> </w:t>
      </w:r>
    </w:p>
    <w:p w:rsidR="00E11179" w:rsidRDefault="007E1E99">
      <w:pPr>
        <w:pStyle w:val="Heading1"/>
        <w:ind w:left="-5"/>
      </w:pPr>
      <w:bookmarkStart w:id="33" w:name="_Toc76518"/>
      <w:r>
        <w:t xml:space="preserve">22. Handover to replacement supplier </w:t>
      </w:r>
      <w:bookmarkEnd w:id="33"/>
    </w:p>
    <w:p w:rsidR="00E11179" w:rsidRDefault="007E1E99">
      <w:pPr>
        <w:spacing w:after="252" w:line="259" w:lineRule="auto"/>
        <w:ind w:left="0" w:firstLine="0"/>
      </w:pPr>
      <w:r>
        <w:t xml:space="preserve"> </w:t>
      </w:r>
    </w:p>
    <w:p w:rsidR="00E11179" w:rsidRDefault="007E1E99">
      <w:pPr>
        <w:ind w:left="721" w:hanging="721"/>
      </w:pPr>
      <w:r>
        <w:t>22.1</w:t>
      </w:r>
      <w:r>
        <w:tab/>
        <w:t xml:space="preserve">At least 10 Working Days before the Expiry Date or End Date, the Supplier must provide any: </w:t>
      </w:r>
    </w:p>
    <w:p w:rsidR="00E11179" w:rsidRDefault="007E1E99">
      <w:pPr>
        <w:numPr>
          <w:ilvl w:val="0"/>
          <w:numId w:val="27"/>
        </w:numPr>
        <w:ind w:hanging="360"/>
      </w:pPr>
      <w:r>
        <w:t xml:space="preserve">data (including Buyer Data), Buyer Personal Data and Buyer Confidential Information in the Supplier’s possession, power or control </w:t>
      </w:r>
    </w:p>
    <w:p w:rsidR="00E11179" w:rsidRDefault="007E1E99">
      <w:pPr>
        <w:numPr>
          <w:ilvl w:val="0"/>
          <w:numId w:val="27"/>
        </w:numPr>
        <w:ind w:hanging="360"/>
      </w:pPr>
      <w:r>
        <w:t xml:space="preserve">other information reasonably requested by the Buyer </w:t>
      </w:r>
    </w:p>
    <w:p w:rsidR="00E11179" w:rsidRDefault="007E1E99">
      <w:pPr>
        <w:numPr>
          <w:ilvl w:val="1"/>
          <w:numId w:val="28"/>
        </w:numPr>
        <w:ind w:hanging="721"/>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E11179" w:rsidRDefault="007E1E99">
      <w:pPr>
        <w:numPr>
          <w:ilvl w:val="1"/>
          <w:numId w:val="28"/>
        </w:numPr>
        <w:ind w:hanging="721"/>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E11179" w:rsidRDefault="007E1E99">
      <w:pPr>
        <w:pStyle w:val="Heading1"/>
        <w:ind w:left="-5"/>
      </w:pPr>
      <w:bookmarkStart w:id="34" w:name="_Toc76519"/>
      <w:r>
        <w:t xml:space="preserve">23. Force majeure </w:t>
      </w:r>
      <w:bookmarkEnd w:id="34"/>
    </w:p>
    <w:p w:rsidR="00E11179" w:rsidRDefault="007E1E99">
      <w:pPr>
        <w:spacing w:after="252" w:line="259" w:lineRule="auto"/>
        <w:ind w:left="0" w:firstLine="0"/>
      </w:pPr>
      <w:r>
        <w:t xml:space="preserve"> </w:t>
      </w:r>
    </w:p>
    <w:p w:rsidR="00E11179" w:rsidRDefault="007E1E99">
      <w:pPr>
        <w:spacing w:after="2"/>
        <w:ind w:left="721" w:hanging="721"/>
      </w:pPr>
      <w:r>
        <w:t xml:space="preserve">23.1 If a Force Majeure event prevents a Party from performing its obligations under this Call-Off Contract for more than the number of consecutive days set out in the Order Form, the other </w:t>
      </w:r>
    </w:p>
    <w:p w:rsidR="00E11179" w:rsidRDefault="007E1E99">
      <w:pPr>
        <w:spacing w:after="202"/>
        <w:ind w:left="731"/>
      </w:pPr>
      <w:r>
        <w:t xml:space="preserve">Party may End this Call-Off Contract with immediate effect by written notice. </w:t>
      </w:r>
    </w:p>
    <w:p w:rsidR="00E11179" w:rsidRDefault="007E1E99">
      <w:pPr>
        <w:spacing w:after="257" w:line="259" w:lineRule="auto"/>
        <w:ind w:left="0" w:firstLine="0"/>
      </w:pPr>
      <w:r>
        <w:t xml:space="preserve"> </w:t>
      </w:r>
    </w:p>
    <w:p w:rsidR="00E11179" w:rsidRDefault="007E1E99">
      <w:pPr>
        <w:pStyle w:val="Heading1"/>
        <w:ind w:left="-5"/>
      </w:pPr>
      <w:bookmarkStart w:id="35" w:name="_Toc76520"/>
      <w:r>
        <w:t xml:space="preserve">24. Liability </w:t>
      </w:r>
      <w:bookmarkEnd w:id="35"/>
    </w:p>
    <w:p w:rsidR="00E11179" w:rsidRDefault="007E1E99">
      <w:pPr>
        <w:spacing w:after="252" w:line="259" w:lineRule="auto"/>
        <w:ind w:left="0" w:firstLine="0"/>
      </w:pPr>
      <w:r>
        <w:t xml:space="preserve"> </w:t>
      </w:r>
    </w:p>
    <w:p w:rsidR="00E11179" w:rsidRDefault="007E1E99">
      <w:pPr>
        <w:ind w:left="721" w:hanging="721"/>
      </w:pPr>
      <w:r>
        <w:t>24.1</w:t>
      </w:r>
      <w:r>
        <w:tab/>
        <w:t xml:space="preserve">Subject to incorporated Framework Agreement clauses 4.2 to 4.7, each Party's Yearly total liability for defaults under or in connection with this Call-Off Contract (whether expressed as an indemnity or otherwise) will be set as follows:  </w:t>
      </w:r>
    </w:p>
    <w:p w:rsidR="00E11179" w:rsidRDefault="007E1E99">
      <w:pPr>
        <w:numPr>
          <w:ilvl w:val="0"/>
          <w:numId w:val="29"/>
        </w:numPr>
        <w:ind w:hanging="360"/>
      </w:pPr>
      <w:r>
        <w:t xml:space="preserve">Property: for all defaults resulting in direct loss to the property (including technical infrastructure, assets, IPR or equipment but excluding any loss or damage to Buyer Data) of the other Party, will not exceed the amount in the Order Form </w:t>
      </w:r>
    </w:p>
    <w:p w:rsidR="00E11179" w:rsidRDefault="007E1E99">
      <w:pPr>
        <w:numPr>
          <w:ilvl w:val="0"/>
          <w:numId w:val="29"/>
        </w:numPr>
        <w:ind w:hanging="360"/>
      </w:pPr>
      <w:r>
        <w:t xml:space="preserve">Buyer Data: for all defaults resulting in direct loss, destruction, corruption, degradation or damage to any Buyer Data caused by the Supplier's default will not exceed the amount in the Order Form </w:t>
      </w:r>
    </w:p>
    <w:p w:rsidR="00E11179" w:rsidRDefault="007E1E99">
      <w:pPr>
        <w:numPr>
          <w:ilvl w:val="0"/>
          <w:numId w:val="29"/>
        </w:numPr>
        <w:spacing w:after="198"/>
        <w:ind w:hanging="360"/>
      </w:pPr>
      <w: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 </w:t>
      </w:r>
    </w:p>
    <w:p w:rsidR="00E11179" w:rsidRDefault="007E1E99">
      <w:pPr>
        <w:spacing w:after="257" w:line="259" w:lineRule="auto"/>
        <w:ind w:left="0" w:firstLine="0"/>
      </w:pPr>
      <w:r>
        <w:t xml:space="preserve"> </w:t>
      </w:r>
    </w:p>
    <w:p w:rsidR="00E11179" w:rsidRDefault="007E1E99">
      <w:pPr>
        <w:pStyle w:val="Heading1"/>
        <w:ind w:left="-5"/>
      </w:pPr>
      <w:bookmarkStart w:id="36" w:name="_Toc76521"/>
      <w:r>
        <w:t xml:space="preserve">25. Premises </w:t>
      </w:r>
      <w:bookmarkEnd w:id="36"/>
    </w:p>
    <w:p w:rsidR="00E11179" w:rsidRDefault="007E1E99">
      <w:pPr>
        <w:spacing w:after="252" w:line="259" w:lineRule="auto"/>
        <w:ind w:left="0" w:firstLine="0"/>
      </w:pPr>
      <w:r>
        <w:t xml:space="preserve"> </w:t>
      </w:r>
    </w:p>
    <w:p w:rsidR="00E11179" w:rsidRDefault="007E1E99">
      <w:pPr>
        <w:ind w:left="721" w:hanging="721"/>
      </w:pPr>
      <w:r>
        <w:t>25.1</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E11179" w:rsidRDefault="007E1E99">
      <w:pPr>
        <w:ind w:left="721" w:hanging="721"/>
      </w:pPr>
      <w:r>
        <w:t>25.2</w:t>
      </w:r>
      <w:r>
        <w:tab/>
        <w:t xml:space="preserve">The Supplier will use the Buyer’s premises solely for the performance of its obligations under this Call-Off Contract. </w:t>
      </w:r>
    </w:p>
    <w:p w:rsidR="00E11179" w:rsidRDefault="007E1E99">
      <w:pPr>
        <w:tabs>
          <w:tab w:val="center" w:pos="5534"/>
        </w:tabs>
        <w:ind w:left="0" w:firstLine="0"/>
      </w:pPr>
      <w:r>
        <w:t>25.3</w:t>
      </w:r>
      <w:r>
        <w:tab/>
        <w:t xml:space="preserve">The Supplier will vacate the Buyer’s premises when the Call-Off Contract Ends or expires. </w:t>
      </w:r>
    </w:p>
    <w:p w:rsidR="00E11179" w:rsidRDefault="007E1E99">
      <w:pPr>
        <w:tabs>
          <w:tab w:val="center" w:pos="4505"/>
        </w:tabs>
        <w:ind w:left="0" w:firstLine="0"/>
      </w:pPr>
      <w:r>
        <w:t>25.4</w:t>
      </w:r>
      <w:r>
        <w:tab/>
        <w:t xml:space="preserve">This clause does not create a tenancy or exclusive right of occupation. </w:t>
      </w:r>
    </w:p>
    <w:p w:rsidR="00E11179" w:rsidRDefault="007E1E99">
      <w:pPr>
        <w:tabs>
          <w:tab w:val="center" w:pos="3303"/>
        </w:tabs>
        <w:ind w:left="0" w:firstLine="0"/>
      </w:pPr>
      <w:r>
        <w:t>25.5</w:t>
      </w:r>
      <w:r>
        <w:tab/>
        <w:t xml:space="preserve">While on the Buyer’s premises, the Supplier will: </w:t>
      </w:r>
    </w:p>
    <w:p w:rsidR="00E11179" w:rsidRDefault="007E1E99">
      <w:pPr>
        <w:numPr>
          <w:ilvl w:val="0"/>
          <w:numId w:val="30"/>
        </w:numPr>
        <w:ind w:hanging="360"/>
      </w:pPr>
      <w:r>
        <w:t xml:space="preserve">comply with any security requirements at the premises and not do anything to weaken the security of the premises </w:t>
      </w:r>
    </w:p>
    <w:p w:rsidR="00E11179" w:rsidRDefault="007E1E99">
      <w:pPr>
        <w:numPr>
          <w:ilvl w:val="0"/>
          <w:numId w:val="30"/>
        </w:numPr>
        <w:ind w:hanging="360"/>
      </w:pPr>
      <w:r>
        <w:t xml:space="preserve">comply with Buyer requirements for the conduct of personnel </w:t>
      </w:r>
    </w:p>
    <w:p w:rsidR="00E11179" w:rsidRDefault="007E1E99">
      <w:pPr>
        <w:numPr>
          <w:ilvl w:val="0"/>
          <w:numId w:val="30"/>
        </w:numPr>
        <w:ind w:hanging="360"/>
      </w:pPr>
      <w:r>
        <w:t xml:space="preserve">comply with any health and safety measures implemented by the Buyer </w:t>
      </w:r>
    </w:p>
    <w:p w:rsidR="00E11179" w:rsidRDefault="007E1E99">
      <w:pPr>
        <w:numPr>
          <w:ilvl w:val="0"/>
          <w:numId w:val="30"/>
        </w:numPr>
        <w:ind w:hanging="360"/>
      </w:pPr>
      <w:r>
        <w:t xml:space="preserve">immediately notify the Buyer of any incident on the premises that causes any damage to Property which could cause personal injury </w:t>
      </w:r>
    </w:p>
    <w:p w:rsidR="00E11179" w:rsidRDefault="007E1E99">
      <w:pPr>
        <w:tabs>
          <w:tab w:val="center" w:pos="5305"/>
        </w:tabs>
        <w:spacing w:after="7"/>
        <w:ind w:left="0" w:firstLine="0"/>
      </w:pPr>
      <w:r>
        <w:t>25.6</w:t>
      </w:r>
      <w:r>
        <w:tab/>
        <w:t xml:space="preserve">The Supplier will ensure that its health and safety policy statement (as required by the </w:t>
      </w:r>
    </w:p>
    <w:p w:rsidR="00E11179" w:rsidRDefault="007E1E99">
      <w:pPr>
        <w:spacing w:after="202"/>
        <w:ind w:left="731"/>
      </w:pPr>
      <w:r>
        <w:t xml:space="preserve">Health and Safety at Work etc Act 1974) is made available to the Buyer on request. </w:t>
      </w:r>
    </w:p>
    <w:p w:rsidR="00E11179" w:rsidRDefault="007E1E99">
      <w:pPr>
        <w:spacing w:after="257" w:line="259" w:lineRule="auto"/>
        <w:ind w:left="0" w:firstLine="0"/>
      </w:pPr>
      <w:r>
        <w:t xml:space="preserve"> </w:t>
      </w:r>
    </w:p>
    <w:p w:rsidR="00E11179" w:rsidRDefault="007E1E99">
      <w:pPr>
        <w:pStyle w:val="Heading1"/>
        <w:ind w:left="-5"/>
      </w:pPr>
      <w:bookmarkStart w:id="37" w:name="_Toc76522"/>
      <w:r>
        <w:t xml:space="preserve">26. Equipment </w:t>
      </w:r>
      <w:bookmarkEnd w:id="37"/>
    </w:p>
    <w:p w:rsidR="00E11179" w:rsidRDefault="007E1E99">
      <w:pPr>
        <w:spacing w:after="252" w:line="259" w:lineRule="auto"/>
        <w:ind w:left="0" w:firstLine="0"/>
      </w:pPr>
      <w:r>
        <w:t xml:space="preserve"> </w:t>
      </w:r>
    </w:p>
    <w:p w:rsidR="00E11179" w:rsidRDefault="007E1E99">
      <w:r>
        <w:t>26.1</w:t>
      </w:r>
      <w:r>
        <w:tab/>
        <w:t xml:space="preserve">The Supplier is responsible for providing any Equipment which the Supplier requires to provide the Services.  </w:t>
      </w:r>
    </w:p>
    <w:p w:rsidR="00E11179" w:rsidRDefault="007E1E99">
      <w:pPr>
        <w:ind w:left="721" w:hanging="721"/>
      </w:pPr>
      <w:r>
        <w:t>26.2</w:t>
      </w:r>
      <w:r>
        <w:tab/>
        <w:t xml:space="preserve">Any Equipment brought onto the premises will be at the Supplier's own risk and the Buyer will have no liability for any loss of, or damage to, any Equipment. </w:t>
      </w:r>
    </w:p>
    <w:p w:rsidR="00E11179" w:rsidRDefault="007E1E99">
      <w:pPr>
        <w:spacing w:after="198"/>
        <w:ind w:left="721" w:hanging="721"/>
      </w:pPr>
      <w:r>
        <w:t>26.3</w:t>
      </w:r>
      <w:r>
        <w:tab/>
        <w:t xml:space="preserve">When the Call-Off Contract Ends or expires, the Supplier will remove the Equipment and any other materials leaving the premises in a safe and clean condition. </w:t>
      </w:r>
    </w:p>
    <w:p w:rsidR="00E11179" w:rsidRDefault="007E1E99">
      <w:pPr>
        <w:spacing w:after="257" w:line="259" w:lineRule="auto"/>
        <w:ind w:left="0" w:firstLine="0"/>
      </w:pPr>
      <w:r>
        <w:t xml:space="preserve"> </w:t>
      </w:r>
    </w:p>
    <w:p w:rsidR="00E11179" w:rsidRDefault="007E1E99">
      <w:pPr>
        <w:pStyle w:val="Heading1"/>
        <w:ind w:left="-5"/>
      </w:pPr>
      <w:bookmarkStart w:id="38" w:name="_Toc76523"/>
      <w:r>
        <w:t xml:space="preserve">27. The Contracts (Rights of Third Parties) Act 1999 </w:t>
      </w:r>
      <w:bookmarkEnd w:id="38"/>
    </w:p>
    <w:p w:rsidR="00E11179" w:rsidRDefault="007E1E99">
      <w:pPr>
        <w:spacing w:after="252" w:line="259" w:lineRule="auto"/>
        <w:ind w:left="0" w:firstLine="0"/>
      </w:pPr>
      <w:r>
        <w:t xml:space="preserve"> </w:t>
      </w:r>
    </w:p>
    <w:p w:rsidR="00E11179" w:rsidRDefault="007E1E99">
      <w:pPr>
        <w:spacing w:after="198"/>
        <w:ind w:left="721" w:hanging="721"/>
      </w:pPr>
      <w:r>
        <w:t>27.1</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E11179" w:rsidRDefault="007E1E99">
      <w:pPr>
        <w:spacing w:after="257" w:line="259" w:lineRule="auto"/>
        <w:ind w:left="0" w:firstLine="0"/>
      </w:pPr>
      <w:r>
        <w:t xml:space="preserve"> </w:t>
      </w:r>
    </w:p>
    <w:p w:rsidR="00E11179" w:rsidRDefault="007E1E99">
      <w:pPr>
        <w:pStyle w:val="Heading1"/>
        <w:ind w:left="-5"/>
      </w:pPr>
      <w:bookmarkStart w:id="39" w:name="_Toc76524"/>
      <w:r>
        <w:t xml:space="preserve">28. Environmental requirements </w:t>
      </w:r>
      <w:bookmarkEnd w:id="39"/>
    </w:p>
    <w:p w:rsidR="00E11179" w:rsidRDefault="007E1E99">
      <w:pPr>
        <w:spacing w:after="252" w:line="259" w:lineRule="auto"/>
        <w:ind w:left="0" w:firstLine="0"/>
      </w:pPr>
      <w:r>
        <w:t xml:space="preserve"> </w:t>
      </w:r>
    </w:p>
    <w:p w:rsidR="00E11179" w:rsidRDefault="007E1E99">
      <w:pPr>
        <w:ind w:left="721" w:hanging="721"/>
      </w:pPr>
      <w:r>
        <w:t>28.1</w:t>
      </w:r>
      <w:r>
        <w:tab/>
        <w:t xml:space="preserve">The Buyer will provide a copy of its environmental policy to the Supplier on request, which the Supplier will comply with. </w:t>
      </w:r>
    </w:p>
    <w:p w:rsidR="00E11179" w:rsidRDefault="007E1E99">
      <w:pPr>
        <w:spacing w:after="198"/>
        <w:ind w:left="721" w:hanging="721"/>
      </w:pPr>
      <w:r>
        <w:t>28.2</w:t>
      </w:r>
      <w:r>
        <w:tab/>
        <w:t xml:space="preserve">The Supplier must provide reasonable support to enable Buyers to work in an environmentally friendly way, for example by helping them recycle or lower their carbon footprint. </w:t>
      </w:r>
    </w:p>
    <w:p w:rsidR="00E11179" w:rsidRDefault="007E1E99">
      <w:pPr>
        <w:spacing w:after="257" w:line="259" w:lineRule="auto"/>
        <w:ind w:left="0" w:firstLine="0"/>
      </w:pPr>
      <w:r>
        <w:t xml:space="preserve"> </w:t>
      </w:r>
    </w:p>
    <w:p w:rsidR="00E11179" w:rsidRDefault="007E1E99">
      <w:pPr>
        <w:pStyle w:val="Heading1"/>
        <w:ind w:left="-5"/>
      </w:pPr>
      <w:bookmarkStart w:id="40" w:name="_Toc76525"/>
      <w:r>
        <w:t xml:space="preserve">29. The Employment Regulations (TUPE) </w:t>
      </w:r>
      <w:bookmarkEnd w:id="40"/>
    </w:p>
    <w:p w:rsidR="00E11179" w:rsidRDefault="007E1E99">
      <w:pPr>
        <w:spacing w:after="252" w:line="259" w:lineRule="auto"/>
        <w:ind w:left="0" w:firstLine="0"/>
      </w:pPr>
      <w:r>
        <w:t xml:space="preserve"> </w:t>
      </w:r>
    </w:p>
    <w:p w:rsidR="00E11179" w:rsidRDefault="007E1E99">
      <w:pPr>
        <w:ind w:left="721" w:hanging="721"/>
      </w:pPr>
      <w:r>
        <w:t>29.1</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E11179" w:rsidRDefault="007E1E99">
      <w:pPr>
        <w:spacing w:after="2"/>
        <w:ind w:left="721" w:hanging="721"/>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w:t>
      </w:r>
    </w:p>
    <w:p w:rsidR="00E11179" w:rsidRDefault="007E1E99">
      <w:pPr>
        <w:ind w:left="731"/>
      </w:pPr>
      <w:r>
        <w:t xml:space="preserve">Supplier must provide details of:  </w:t>
      </w:r>
    </w:p>
    <w:p w:rsidR="00E11179" w:rsidRDefault="007E1E99">
      <w:pPr>
        <w:numPr>
          <w:ilvl w:val="0"/>
          <w:numId w:val="31"/>
        </w:numPr>
        <w:ind w:hanging="360"/>
      </w:pPr>
      <w:r>
        <w:t xml:space="preserve">the activities they perform </w:t>
      </w:r>
    </w:p>
    <w:p w:rsidR="00E11179" w:rsidRDefault="007E1E99">
      <w:pPr>
        <w:numPr>
          <w:ilvl w:val="0"/>
          <w:numId w:val="31"/>
        </w:numPr>
        <w:ind w:hanging="360"/>
      </w:pPr>
      <w:r>
        <w:t xml:space="preserve">age </w:t>
      </w:r>
    </w:p>
    <w:p w:rsidR="00E11179" w:rsidRDefault="007E1E99">
      <w:pPr>
        <w:numPr>
          <w:ilvl w:val="0"/>
          <w:numId w:val="31"/>
        </w:numPr>
        <w:ind w:hanging="360"/>
      </w:pPr>
      <w:r>
        <w:t xml:space="preserve">start date  </w:t>
      </w:r>
    </w:p>
    <w:p w:rsidR="00E11179" w:rsidRDefault="007E1E99">
      <w:pPr>
        <w:numPr>
          <w:ilvl w:val="0"/>
          <w:numId w:val="31"/>
        </w:numPr>
        <w:ind w:hanging="360"/>
      </w:pPr>
      <w:r>
        <w:t xml:space="preserve">place of work </w:t>
      </w:r>
    </w:p>
    <w:p w:rsidR="00E11179" w:rsidRDefault="007E1E99">
      <w:pPr>
        <w:numPr>
          <w:ilvl w:val="0"/>
          <w:numId w:val="31"/>
        </w:numPr>
        <w:ind w:hanging="360"/>
      </w:pPr>
      <w:r>
        <w:t xml:space="preserve">notice period </w:t>
      </w:r>
    </w:p>
    <w:p w:rsidR="00E11179" w:rsidRDefault="007E1E99">
      <w:pPr>
        <w:numPr>
          <w:ilvl w:val="0"/>
          <w:numId w:val="31"/>
        </w:numPr>
        <w:ind w:hanging="360"/>
      </w:pPr>
      <w:r>
        <w:t xml:space="preserve">redundancy payment entitlement </w:t>
      </w:r>
    </w:p>
    <w:p w:rsidR="00E11179" w:rsidRDefault="007E1E99">
      <w:pPr>
        <w:numPr>
          <w:ilvl w:val="0"/>
          <w:numId w:val="31"/>
        </w:numPr>
        <w:ind w:hanging="360"/>
      </w:pPr>
      <w:r>
        <w:t xml:space="preserve">salary, benefits and pension entitlements </w:t>
      </w:r>
    </w:p>
    <w:p w:rsidR="00E11179" w:rsidRDefault="007E1E99">
      <w:pPr>
        <w:numPr>
          <w:ilvl w:val="0"/>
          <w:numId w:val="31"/>
        </w:numPr>
        <w:ind w:hanging="360"/>
      </w:pPr>
      <w:r>
        <w:t xml:space="preserve">employment status </w:t>
      </w:r>
    </w:p>
    <w:p w:rsidR="00E11179" w:rsidRDefault="007E1E99">
      <w:pPr>
        <w:numPr>
          <w:ilvl w:val="0"/>
          <w:numId w:val="31"/>
        </w:numPr>
        <w:ind w:hanging="360"/>
      </w:pPr>
      <w:r>
        <w:t xml:space="preserve">identity of employer </w:t>
      </w:r>
    </w:p>
    <w:p w:rsidR="00E11179" w:rsidRDefault="007E1E99">
      <w:pPr>
        <w:numPr>
          <w:ilvl w:val="0"/>
          <w:numId w:val="31"/>
        </w:numPr>
        <w:ind w:hanging="360"/>
      </w:pPr>
      <w:r>
        <w:t xml:space="preserve">working arrangements </w:t>
      </w:r>
    </w:p>
    <w:p w:rsidR="00E11179" w:rsidRDefault="007E1E99">
      <w:pPr>
        <w:numPr>
          <w:ilvl w:val="0"/>
          <w:numId w:val="31"/>
        </w:numPr>
        <w:ind w:hanging="360"/>
      </w:pPr>
      <w:r>
        <w:t xml:space="preserve">outstanding liabilities </w:t>
      </w:r>
    </w:p>
    <w:p w:rsidR="00E11179" w:rsidRDefault="007E1E99">
      <w:pPr>
        <w:numPr>
          <w:ilvl w:val="0"/>
          <w:numId w:val="31"/>
        </w:numPr>
        <w:ind w:hanging="360"/>
      </w:pPr>
      <w:r>
        <w:t xml:space="preserve">sickness absence </w:t>
      </w:r>
    </w:p>
    <w:p w:rsidR="00E11179" w:rsidRDefault="007E1E99">
      <w:pPr>
        <w:numPr>
          <w:ilvl w:val="0"/>
          <w:numId w:val="31"/>
        </w:numPr>
        <w:ind w:hanging="360"/>
      </w:pPr>
      <w:r>
        <w:t xml:space="preserve">copies of all relevant employment contracts and related documents </w:t>
      </w:r>
    </w:p>
    <w:p w:rsidR="00E11179" w:rsidRDefault="007E1E99">
      <w:pPr>
        <w:numPr>
          <w:ilvl w:val="0"/>
          <w:numId w:val="31"/>
        </w:numPr>
        <w:ind w:hanging="360"/>
      </w:pPr>
      <w:r>
        <w:t xml:space="preserve">all information required under regulation 11 of TUPE or as reasonably requested by the Buyer  </w:t>
      </w:r>
    </w:p>
    <w:p w:rsidR="00E11179" w:rsidRDefault="007E1E99">
      <w:pPr>
        <w:numPr>
          <w:ilvl w:val="1"/>
          <w:numId w:val="33"/>
        </w:numPr>
        <w:ind w:hanging="721"/>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E11179" w:rsidRDefault="007E1E99">
      <w:pPr>
        <w:numPr>
          <w:ilvl w:val="1"/>
          <w:numId w:val="33"/>
        </w:numPr>
        <w:ind w:hanging="721"/>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 </w:t>
      </w:r>
    </w:p>
    <w:p w:rsidR="00E11179" w:rsidRDefault="007E1E99">
      <w:pPr>
        <w:numPr>
          <w:ilvl w:val="1"/>
          <w:numId w:val="33"/>
        </w:numPr>
        <w:ind w:hanging="721"/>
      </w:pPr>
      <w:r>
        <w:t xml:space="preserve">The Supplier will co-operate with the re-tendering of this Call-Off Contract by allowing the Replacement Supplier to communicate with and meet the affected employees or their representatives. </w:t>
      </w:r>
    </w:p>
    <w:p w:rsidR="00E11179" w:rsidRDefault="007E1E99">
      <w:pPr>
        <w:numPr>
          <w:ilvl w:val="1"/>
          <w:numId w:val="33"/>
        </w:numPr>
        <w:ind w:hanging="721"/>
      </w:pPr>
      <w:r>
        <w:t xml:space="preserve">The Supplier will indemnify the Buyer or any Replacement Supplier for all Loss arising from both: </w:t>
      </w:r>
    </w:p>
    <w:p w:rsidR="00E11179" w:rsidRDefault="007E1E99">
      <w:pPr>
        <w:numPr>
          <w:ilvl w:val="0"/>
          <w:numId w:val="31"/>
        </w:numPr>
        <w:ind w:hanging="360"/>
      </w:pPr>
      <w:r>
        <w:t xml:space="preserve">its failure to comply with the provisions of this clause </w:t>
      </w:r>
    </w:p>
    <w:p w:rsidR="00E11179" w:rsidRDefault="007E1E99">
      <w:pPr>
        <w:numPr>
          <w:ilvl w:val="0"/>
          <w:numId w:val="31"/>
        </w:numPr>
        <w:ind w:hanging="360"/>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E11179" w:rsidRDefault="007E1E99">
      <w:pPr>
        <w:numPr>
          <w:ilvl w:val="1"/>
          <w:numId w:val="32"/>
        </w:numPr>
        <w:ind w:hanging="721"/>
      </w:pPr>
      <w:r>
        <w:t xml:space="preserve">The provisions of this clause apply during the Term of this Call-Off Contract and indefinitely after it Ends or expires. </w:t>
      </w:r>
    </w:p>
    <w:p w:rsidR="00E11179" w:rsidRDefault="007E1E99">
      <w:pPr>
        <w:numPr>
          <w:ilvl w:val="1"/>
          <w:numId w:val="32"/>
        </w:numPr>
        <w:spacing w:after="198"/>
        <w:ind w:hanging="721"/>
      </w:pPr>
      <w:r>
        <w:t xml:space="preserve">For these TUPE clauses, the relevant third party will be able to enforce its rights under this clause but their consent will not be required to vary these clauses as the Buyer and Supplier may agree. </w:t>
      </w:r>
    </w:p>
    <w:p w:rsidR="00E11179" w:rsidRDefault="007E1E99">
      <w:pPr>
        <w:spacing w:after="257" w:line="259" w:lineRule="auto"/>
        <w:ind w:left="0" w:firstLine="0"/>
      </w:pPr>
      <w:r>
        <w:t xml:space="preserve"> </w:t>
      </w:r>
    </w:p>
    <w:p w:rsidR="00E11179" w:rsidRDefault="007E1E99">
      <w:pPr>
        <w:pStyle w:val="Heading1"/>
        <w:ind w:left="-5"/>
      </w:pPr>
      <w:bookmarkStart w:id="41" w:name="_Toc76526"/>
      <w:r>
        <w:t xml:space="preserve">30. Additional G-Cloud services </w:t>
      </w:r>
      <w:bookmarkEnd w:id="41"/>
    </w:p>
    <w:p w:rsidR="00E11179" w:rsidRDefault="007E1E99">
      <w:pPr>
        <w:spacing w:after="252" w:line="259" w:lineRule="auto"/>
        <w:ind w:left="0" w:firstLine="0"/>
      </w:pPr>
      <w:r>
        <w:t xml:space="preserve"> </w:t>
      </w:r>
    </w:p>
    <w:p w:rsidR="00E11179" w:rsidRDefault="007E1E99">
      <w:pPr>
        <w:ind w:left="721" w:hanging="721"/>
      </w:pPr>
      <w:r>
        <w:t>30.1</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rsidR="00E11179" w:rsidRDefault="007E1E99">
      <w:pPr>
        <w:spacing w:after="198"/>
        <w:ind w:left="721" w:hanging="721"/>
      </w:pPr>
      <w:r>
        <w:t>30.2</w:t>
      </w:r>
      <w:r>
        <w:tab/>
        <w:t xml:space="preserve">If reasonably requested to do so by the Buyer in the Order Form, the Supplier must provide and monitor performance of the Additional Services using an Implementation Plan. </w:t>
      </w:r>
    </w:p>
    <w:p w:rsidR="00E11179" w:rsidRDefault="007E1E99">
      <w:pPr>
        <w:spacing w:after="257" w:line="259" w:lineRule="auto"/>
        <w:ind w:left="0" w:firstLine="0"/>
      </w:pPr>
      <w:r>
        <w:t xml:space="preserve"> </w:t>
      </w:r>
    </w:p>
    <w:p w:rsidR="00E11179" w:rsidRDefault="007E1E99">
      <w:pPr>
        <w:pStyle w:val="Heading1"/>
        <w:ind w:left="-5"/>
      </w:pPr>
      <w:bookmarkStart w:id="42" w:name="_Toc76527"/>
      <w:r>
        <w:t xml:space="preserve">31. Collaboration </w:t>
      </w:r>
      <w:bookmarkEnd w:id="42"/>
    </w:p>
    <w:p w:rsidR="00E11179" w:rsidRDefault="007E1E99">
      <w:pPr>
        <w:spacing w:after="252" w:line="259" w:lineRule="auto"/>
        <w:ind w:left="0" w:firstLine="0"/>
      </w:pPr>
      <w:r>
        <w:t xml:space="preserve"> </w:t>
      </w:r>
    </w:p>
    <w:p w:rsidR="00E11179" w:rsidRDefault="007E1E99">
      <w:pPr>
        <w:tabs>
          <w:tab w:val="center" w:pos="5328"/>
        </w:tabs>
        <w:spacing w:after="7"/>
        <w:ind w:left="0" w:firstLine="0"/>
      </w:pPr>
      <w:r>
        <w:t>31.1</w:t>
      </w:r>
      <w:r>
        <w:tab/>
        <w:t xml:space="preserve">If the Buyer has specified in the Order Form that it requires the Supplier to enter into a </w:t>
      </w:r>
    </w:p>
    <w:p w:rsidR="00E11179" w:rsidRDefault="007E1E99">
      <w:pPr>
        <w:ind w:left="731"/>
      </w:pPr>
      <w:r>
        <w:t xml:space="preserve">Collaboration Agreement, the Supplier must give the Buyer an executed Collaboration Agreement before the Start Date. </w:t>
      </w:r>
    </w:p>
    <w:p w:rsidR="00E11179" w:rsidRDefault="007E1E99">
      <w:pPr>
        <w:tabs>
          <w:tab w:val="center" w:pos="5237"/>
        </w:tabs>
        <w:ind w:left="0" w:firstLine="0"/>
      </w:pPr>
      <w:r>
        <w:t>31.2</w:t>
      </w:r>
      <w:r>
        <w:tab/>
        <w:t xml:space="preserve">In addition to any obligations under the Collaboration Agreement, the Supplier must: </w:t>
      </w:r>
    </w:p>
    <w:p w:rsidR="00E11179" w:rsidRDefault="007E1E99">
      <w:pPr>
        <w:numPr>
          <w:ilvl w:val="0"/>
          <w:numId w:val="34"/>
        </w:numPr>
        <w:ind w:hanging="360"/>
      </w:pPr>
      <w:r>
        <w:t xml:space="preserve">work proactively and in good faith with each of the Buyer’s contractors </w:t>
      </w:r>
    </w:p>
    <w:p w:rsidR="00E11179" w:rsidRDefault="007E1E99">
      <w:pPr>
        <w:numPr>
          <w:ilvl w:val="0"/>
          <w:numId w:val="34"/>
        </w:numPr>
        <w:spacing w:after="198"/>
        <w:ind w:hanging="360"/>
      </w:pPr>
      <w:r>
        <w:t xml:space="preserve">co-operate and share information with the Buyer’s contractors to enable the efficient operation of the Buyer’s ICT services and G-Cloud Services </w:t>
      </w:r>
    </w:p>
    <w:p w:rsidR="00E11179" w:rsidRDefault="007E1E99">
      <w:pPr>
        <w:spacing w:after="257" w:line="259" w:lineRule="auto"/>
        <w:ind w:left="0" w:firstLine="0"/>
      </w:pPr>
      <w:r>
        <w:t xml:space="preserve"> </w:t>
      </w:r>
    </w:p>
    <w:p w:rsidR="00E11179" w:rsidRDefault="007E1E99">
      <w:pPr>
        <w:pStyle w:val="Heading1"/>
        <w:ind w:left="-5"/>
      </w:pPr>
      <w:bookmarkStart w:id="43" w:name="_Toc76528"/>
      <w:r>
        <w:t xml:space="preserve">32. Variation process </w:t>
      </w:r>
      <w:bookmarkEnd w:id="43"/>
    </w:p>
    <w:p w:rsidR="00E11179" w:rsidRDefault="007E1E99">
      <w:pPr>
        <w:spacing w:after="252" w:line="259" w:lineRule="auto"/>
        <w:ind w:left="0" w:firstLine="0"/>
      </w:pPr>
      <w:r>
        <w:t xml:space="preserve"> </w:t>
      </w:r>
    </w:p>
    <w:p w:rsidR="00E11179" w:rsidRDefault="007E1E99">
      <w:pPr>
        <w:ind w:left="721" w:hanging="721"/>
      </w:pPr>
      <w:r>
        <w:t>32.1</w:t>
      </w:r>
      <w:r>
        <w:tab/>
        <w:t xml:space="preserve">The Buyer can request in writing a change to this Call-Off Contract if it isn’t a material change to the Framework Agreement/or this Call-Off Contract. Once implemented, it is called a Variation. </w:t>
      </w:r>
    </w:p>
    <w:p w:rsidR="00E11179" w:rsidRDefault="007E1E99">
      <w:pPr>
        <w:ind w:left="721" w:hanging="721"/>
      </w:pPr>
      <w:r>
        <w:t>32.2</w:t>
      </w:r>
      <w:r>
        <w:tab/>
        <w:t xml:space="preserve">The Supplier must notify the Buyer immediately in writing of any proposed changes to their G-Cloud Services or their delivery by submitting a Variation request. This includes any changes in the Supplier’s supply chain. </w:t>
      </w:r>
    </w:p>
    <w:p w:rsidR="00E11179" w:rsidRDefault="007E1E99">
      <w:pPr>
        <w:spacing w:after="2"/>
        <w:ind w:left="721" w:hanging="721"/>
      </w:pPr>
      <w:r>
        <w:t>32.3</w:t>
      </w:r>
      <w:r>
        <w:tab/>
        <w:t xml:space="preserve">If Either Party can’t agree to or provide the Variation, the Buyer may agree to continue performing its obligations under this Call-Off Contract without the Variation, or End this </w:t>
      </w:r>
    </w:p>
    <w:p w:rsidR="00E11179" w:rsidRDefault="007E1E99">
      <w:pPr>
        <w:spacing w:after="202"/>
        <w:ind w:left="731"/>
      </w:pPr>
      <w:r>
        <w:t xml:space="preserve">Call-Off Contract by giving 30 </w:t>
      </w:r>
      <w:proofErr w:type="spellStart"/>
      <w:r>
        <w:t>days notice</w:t>
      </w:r>
      <w:proofErr w:type="spellEnd"/>
      <w:r>
        <w:t xml:space="preserve"> to the Supplier. </w:t>
      </w:r>
    </w:p>
    <w:p w:rsidR="00E11179" w:rsidRDefault="007E1E99">
      <w:pPr>
        <w:spacing w:after="0" w:line="259" w:lineRule="auto"/>
        <w:ind w:left="0" w:firstLine="0"/>
      </w:pPr>
      <w:r>
        <w:t xml:space="preserve"> </w:t>
      </w:r>
    </w:p>
    <w:p w:rsidR="00E11179" w:rsidRDefault="007E1E99">
      <w:pPr>
        <w:pStyle w:val="Heading1"/>
        <w:ind w:left="-5"/>
      </w:pPr>
      <w:bookmarkStart w:id="44" w:name="_Toc76529"/>
      <w:r>
        <w:t xml:space="preserve">33. Data Protection Legislation (GDPR) </w:t>
      </w:r>
      <w:bookmarkEnd w:id="44"/>
    </w:p>
    <w:p w:rsidR="00E11179" w:rsidRDefault="007E1E99">
      <w:pPr>
        <w:spacing w:after="227" w:line="259" w:lineRule="auto"/>
        <w:ind w:left="0" w:firstLine="0"/>
      </w:pPr>
      <w:r>
        <w:t xml:space="preserve"> </w:t>
      </w:r>
    </w:p>
    <w:p w:rsidR="00E11179" w:rsidRDefault="007E1E99">
      <w:pPr>
        <w:spacing w:after="198"/>
        <w:ind w:left="706" w:hanging="706"/>
      </w:pPr>
      <w: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rsidR="00E11179" w:rsidRDefault="007E1E99">
      <w:pPr>
        <w:spacing w:after="302" w:line="259" w:lineRule="auto"/>
        <w:ind w:left="0" w:firstLine="0"/>
      </w:pPr>
      <w:r>
        <w:t xml:space="preserve"> </w:t>
      </w:r>
    </w:p>
    <w:p w:rsidR="00E11179" w:rsidRDefault="007E1E99">
      <w:pPr>
        <w:spacing w:after="113" w:line="259" w:lineRule="auto"/>
        <w:ind w:left="-5"/>
      </w:pPr>
      <w:r>
        <w:rPr>
          <w:b/>
          <w:sz w:val="32"/>
        </w:rPr>
        <w:t xml:space="preserve">Schedule 3 - Collaboration agreement </w:t>
      </w:r>
    </w:p>
    <w:p w:rsidR="00E11179" w:rsidRDefault="007E1E99">
      <w:pPr>
        <w:spacing w:after="267" w:line="271" w:lineRule="auto"/>
      </w:pPr>
      <w:r>
        <w:rPr>
          <w:sz w:val="20"/>
        </w:rPr>
        <w:t xml:space="preserve">N/A </w:t>
      </w:r>
    </w:p>
    <w:p w:rsidR="00E11179" w:rsidRDefault="007E1E99">
      <w:pPr>
        <w:spacing w:after="302" w:line="259" w:lineRule="auto"/>
        <w:ind w:left="0" w:firstLine="0"/>
      </w:pPr>
      <w:r>
        <w:t xml:space="preserve"> </w:t>
      </w:r>
    </w:p>
    <w:p w:rsidR="00E11179" w:rsidRDefault="007E1E99">
      <w:pPr>
        <w:spacing w:after="158" w:line="259" w:lineRule="auto"/>
        <w:ind w:left="-5"/>
      </w:pPr>
      <w:r>
        <w:rPr>
          <w:b/>
          <w:sz w:val="32"/>
        </w:rPr>
        <w:t xml:space="preserve">Schedule 4 - Alternative clauses </w:t>
      </w:r>
    </w:p>
    <w:p w:rsidR="00E11179" w:rsidRDefault="007E1E99">
      <w:pPr>
        <w:pStyle w:val="Heading2"/>
        <w:spacing w:after="173"/>
        <w:ind w:left="-5"/>
      </w:pPr>
      <w:r>
        <w:rPr>
          <w:sz w:val="24"/>
        </w:rPr>
        <w:t xml:space="preserve">1. Introduction </w:t>
      </w:r>
    </w:p>
    <w:p w:rsidR="00E11179" w:rsidRDefault="007E1E99">
      <w:pPr>
        <w:spacing w:after="298" w:line="271" w:lineRule="auto"/>
        <w:ind w:left="721" w:hanging="721"/>
      </w:pPr>
      <w:r>
        <w:rPr>
          <w:sz w:val="20"/>
        </w:rPr>
        <w:t>1.1</w:t>
      </w:r>
      <w:r>
        <w:rPr>
          <w:sz w:val="20"/>
        </w:rPr>
        <w:tab/>
        <w:t xml:space="preserve">This Schedule specifies the alternative clauses that may be requested in the Order Form and, if requested in the Order Form, will apply to this Call-Off Contract. </w:t>
      </w:r>
    </w:p>
    <w:p w:rsidR="00E11179" w:rsidRDefault="007E1E99">
      <w:pPr>
        <w:pStyle w:val="Heading2"/>
        <w:tabs>
          <w:tab w:val="center" w:pos="2201"/>
        </w:tabs>
        <w:spacing w:after="283"/>
        <w:ind w:left="-15" w:firstLine="0"/>
      </w:pPr>
      <w:r>
        <w:rPr>
          <w:sz w:val="22"/>
        </w:rPr>
        <w:t xml:space="preserve">2. </w:t>
      </w:r>
      <w:r>
        <w:rPr>
          <w:sz w:val="24"/>
        </w:rPr>
        <w:t>Clauses selected</w:t>
      </w:r>
      <w:r>
        <w:rPr>
          <w:rFonts w:ascii="Calibri" w:eastAsia="Calibri" w:hAnsi="Calibri" w:cs="Calibri"/>
          <w:b w:val="0"/>
          <w:sz w:val="22"/>
        </w:rPr>
        <w:t>​</w:t>
      </w:r>
      <w:r>
        <w:rPr>
          <w:rFonts w:ascii="Calibri" w:eastAsia="Calibri" w:hAnsi="Calibri" w:cs="Calibri"/>
          <w:b w:val="0"/>
          <w:sz w:val="22"/>
        </w:rPr>
        <w:tab/>
      </w:r>
      <w:r>
        <w:rPr>
          <w:sz w:val="22"/>
        </w:rPr>
        <w:t xml:space="preserve"> </w:t>
      </w:r>
    </w:p>
    <w:p w:rsidR="00E11179" w:rsidRDefault="007E1E99">
      <w:pPr>
        <w:tabs>
          <w:tab w:val="center" w:pos="4292"/>
        </w:tabs>
        <w:spacing w:after="241" w:line="271" w:lineRule="auto"/>
        <w:ind w:left="0" w:firstLine="0"/>
      </w:pPr>
      <w:r>
        <w:rPr>
          <w:sz w:val="20"/>
        </w:rPr>
        <w:t>2.1</w:t>
      </w:r>
      <w:r>
        <w:rPr>
          <w:sz w:val="20"/>
        </w:rPr>
        <w:tab/>
        <w:t xml:space="preserve">The Customer may, in the Order Form, request the following alternative clauses: </w:t>
      </w:r>
    </w:p>
    <w:p w:rsidR="00E11179" w:rsidRDefault="007E1E99">
      <w:pPr>
        <w:tabs>
          <w:tab w:val="center" w:pos="1303"/>
          <w:tab w:val="center" w:pos="3995"/>
        </w:tabs>
        <w:spacing w:after="241" w:line="271" w:lineRule="auto"/>
        <w:ind w:left="0" w:firstLine="0"/>
      </w:pPr>
      <w:r>
        <w:rPr>
          <w:rFonts w:ascii="Calibri" w:eastAsia="Calibri" w:hAnsi="Calibri" w:cs="Calibri"/>
          <w:sz w:val="22"/>
        </w:rPr>
        <w:tab/>
      </w:r>
      <w:r>
        <w:rPr>
          <w:sz w:val="20"/>
        </w:rPr>
        <w:t>2.1.1</w:t>
      </w:r>
      <w:r>
        <w:rPr>
          <w:sz w:val="20"/>
        </w:rPr>
        <w:tab/>
        <w:t xml:space="preserve">Scots Law (see paragraph 2.1.2 of this Schedule) </w:t>
      </w:r>
    </w:p>
    <w:p w:rsidR="00E11179" w:rsidRDefault="007E1E99">
      <w:pPr>
        <w:tabs>
          <w:tab w:val="center" w:pos="1303"/>
          <w:tab w:val="center" w:pos="2272"/>
        </w:tabs>
        <w:spacing w:after="241" w:line="271" w:lineRule="auto"/>
        <w:ind w:left="0" w:firstLine="0"/>
      </w:pPr>
      <w:r>
        <w:rPr>
          <w:rFonts w:ascii="Calibri" w:eastAsia="Calibri" w:hAnsi="Calibri" w:cs="Calibri"/>
          <w:sz w:val="22"/>
        </w:rPr>
        <w:tab/>
      </w:r>
      <w:r>
        <w:rPr>
          <w:sz w:val="20"/>
        </w:rPr>
        <w:t>2.1.2</w:t>
      </w:r>
      <w:r>
        <w:rPr>
          <w:sz w:val="20"/>
        </w:rPr>
        <w:tab/>
        <w:t xml:space="preserve">Scots Law </w:t>
      </w:r>
    </w:p>
    <w:p w:rsidR="00E11179" w:rsidRDefault="007E1E99">
      <w:pPr>
        <w:spacing w:after="241" w:line="271" w:lineRule="auto"/>
        <w:ind w:left="2172"/>
      </w:pPr>
      <w:r>
        <w:rPr>
          <w:sz w:val="20"/>
        </w:rPr>
        <w:t xml:space="preserve">Law and Jurisdiction </w:t>
      </w:r>
    </w:p>
    <w:p w:rsidR="00E11179" w:rsidRDefault="007E1E99">
      <w:pPr>
        <w:spacing w:after="241" w:line="271" w:lineRule="auto"/>
      </w:pPr>
      <w:r>
        <w:rPr>
          <w:sz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E11179" w:rsidRDefault="007E1E99">
      <w:pPr>
        <w:spacing w:after="241" w:line="271" w:lineRule="auto"/>
      </w:pPr>
      <w:r>
        <w:rPr>
          <w:sz w:val="20"/>
        </w:rPr>
        <w:t xml:space="preserve">Reference to England and Wales in Working Days definition within the Glossary and interpretations section will be replaced with Scotland. </w:t>
      </w:r>
    </w:p>
    <w:p w:rsidR="00E11179" w:rsidRDefault="007E1E99">
      <w:pPr>
        <w:spacing w:after="241" w:line="271" w:lineRule="auto"/>
      </w:pPr>
      <w:r>
        <w:rPr>
          <w:sz w:val="20"/>
        </w:rPr>
        <w:t xml:space="preserve">References to the Contracts (Rights of Third Parties) Act 1999 will be removed in clause 27.1 </w:t>
      </w:r>
    </w:p>
    <w:p w:rsidR="00E11179" w:rsidRDefault="007E1E99">
      <w:pPr>
        <w:spacing w:after="241" w:line="271" w:lineRule="auto"/>
      </w:pPr>
      <w:r>
        <w:rPr>
          <w:sz w:val="20"/>
        </w:rPr>
        <w:t>Reference to the Freedom of Information Act 2000 within the defined terms for ‘</w:t>
      </w:r>
      <w:proofErr w:type="spellStart"/>
      <w:r>
        <w:rPr>
          <w:sz w:val="20"/>
        </w:rPr>
        <w:t>FoIA</w:t>
      </w:r>
      <w:proofErr w:type="spellEnd"/>
      <w:r>
        <w:rPr>
          <w:sz w:val="20"/>
        </w:rPr>
        <w:t xml:space="preserve">/Freedom of Information Act’ to be replaced with Freedom of Information (Scotland) Act 2002. </w:t>
      </w:r>
    </w:p>
    <w:p w:rsidR="00E11179" w:rsidRDefault="007E1E99">
      <w:pPr>
        <w:spacing w:after="241" w:line="271" w:lineRule="auto"/>
      </w:pPr>
      <w:r>
        <w:rPr>
          <w:sz w:val="20"/>
        </w:rPr>
        <w:t xml:space="preserve">Reference to the Supply of Goods and Services Act 1982 will be removed in incorporated Framework Agreement clause 4.2. </w:t>
      </w:r>
    </w:p>
    <w:p w:rsidR="00E11179" w:rsidRDefault="007E1E99">
      <w:pPr>
        <w:spacing w:after="241" w:line="271" w:lineRule="auto"/>
      </w:pPr>
      <w:r>
        <w:rPr>
          <w:sz w:val="20"/>
        </w:rPr>
        <w:t xml:space="preserve">References to “tort” will be replaced with “delict” throughout. </w:t>
      </w:r>
    </w:p>
    <w:p w:rsidR="00E11179" w:rsidRDefault="007E1E99">
      <w:pPr>
        <w:spacing w:after="252" w:line="259" w:lineRule="auto"/>
        <w:ind w:left="0" w:firstLine="0"/>
      </w:pPr>
      <w:r>
        <w:rPr>
          <w:sz w:val="20"/>
        </w:rPr>
        <w:t xml:space="preserve"> </w:t>
      </w:r>
    </w:p>
    <w:p w:rsidR="00E11179" w:rsidRDefault="007E1E99">
      <w:pPr>
        <w:tabs>
          <w:tab w:val="center" w:pos="4349"/>
        </w:tabs>
        <w:spacing w:after="241" w:line="271" w:lineRule="auto"/>
        <w:ind w:left="0" w:firstLine="0"/>
      </w:pPr>
      <w:r>
        <w:rPr>
          <w:sz w:val="20"/>
        </w:rPr>
        <w:t>2.2</w:t>
      </w:r>
      <w:r>
        <w:rPr>
          <w:sz w:val="20"/>
        </w:rPr>
        <w:tab/>
        <w:t xml:space="preserve"> The Customer may, in the Order Form, request the following Alternative Clauses: </w:t>
      </w:r>
    </w:p>
    <w:p w:rsidR="00E11179" w:rsidRDefault="007E1E99">
      <w:pPr>
        <w:tabs>
          <w:tab w:val="center" w:pos="1303"/>
          <w:tab w:val="center" w:pos="5326"/>
        </w:tabs>
        <w:spacing w:after="412" w:line="271" w:lineRule="auto"/>
        <w:ind w:left="0" w:firstLine="0"/>
      </w:pPr>
      <w:r>
        <w:rPr>
          <w:rFonts w:ascii="Calibri" w:eastAsia="Calibri" w:hAnsi="Calibri" w:cs="Calibri"/>
          <w:sz w:val="22"/>
        </w:rPr>
        <w:tab/>
      </w:r>
      <w:r>
        <w:rPr>
          <w:sz w:val="20"/>
        </w:rPr>
        <w:t>2.7.1</w:t>
      </w:r>
      <w:r>
        <w:rPr>
          <w:sz w:val="20"/>
        </w:rPr>
        <w:tab/>
        <w:t xml:space="preserve">Northern Ireland Law (see paragraph 2.3, 2.4, 2.5, 2.6 and 2.7 of this Schedule) </w:t>
      </w:r>
    </w:p>
    <w:p w:rsidR="00E11179" w:rsidRDefault="007E1E99">
      <w:pPr>
        <w:pStyle w:val="Heading3"/>
        <w:tabs>
          <w:tab w:val="center" w:pos="1534"/>
        </w:tabs>
        <w:ind w:left="-15" w:firstLine="0"/>
      </w:pPr>
      <w:r>
        <w:rPr>
          <w:b w:val="0"/>
        </w:rPr>
        <w:t>2.3</w:t>
      </w:r>
      <w:r>
        <w:rPr>
          <w:b w:val="0"/>
        </w:rPr>
        <w:tab/>
      </w:r>
      <w:r>
        <w:t>Discrimination</w:t>
      </w:r>
      <w:r>
        <w:rPr>
          <w:b w:val="0"/>
        </w:rPr>
        <w:t xml:space="preserve"> </w:t>
      </w:r>
    </w:p>
    <w:p w:rsidR="00E11179" w:rsidRDefault="007E1E99">
      <w:pPr>
        <w:spacing w:after="27" w:line="271" w:lineRule="auto"/>
        <w:ind w:left="1426" w:hanging="360"/>
      </w:pPr>
      <w:r>
        <w:rPr>
          <w:sz w:val="20"/>
        </w:rPr>
        <w:t>2.3.1</w:t>
      </w:r>
      <w:r>
        <w:rPr>
          <w:sz w:val="20"/>
        </w:rPr>
        <w:tab/>
        <w:t xml:space="preserve">The Supplier will comply with all applicable fair employment, equality of treatment and antidiscrimination legislation, including, in particular, the Employment (Northern Ireland) Order </w:t>
      </w:r>
      <w:r>
        <w:rPr>
          <w:sz w:val="20"/>
        </w:rPr>
        <w:tab/>
        <w:t xml:space="preserve">2002, the Fair Employment and </w:t>
      </w:r>
      <w:proofErr w:type="gramStart"/>
      <w:r>
        <w:rPr>
          <w:sz w:val="20"/>
        </w:rPr>
        <w:t>Treatment  (</w:t>
      </w:r>
      <w:proofErr w:type="gramEnd"/>
      <w:r>
        <w:rPr>
          <w:sz w:val="20"/>
        </w:rPr>
        <w:t xml:space="preserve">Northern Ireland) ) Order 1998, the Sex </w:t>
      </w:r>
      <w:r>
        <w:rPr>
          <w:sz w:val="20"/>
        </w:rPr>
        <w:tab/>
        <w:t xml:space="preserve">Discrimination (Northern Ireland) Order 1976 and 1988, the Employment Equality (Sexual </w:t>
      </w:r>
      <w:r>
        <w:rPr>
          <w:sz w:val="20"/>
        </w:rPr>
        <w:tab/>
        <w:t xml:space="preserve">Orientation) </w:t>
      </w:r>
    </w:p>
    <w:p w:rsidR="00E11179" w:rsidRDefault="007E1E99">
      <w:pPr>
        <w:spacing w:after="12" w:line="271" w:lineRule="auto"/>
        <w:ind w:left="1451"/>
      </w:pPr>
      <w:r>
        <w:rPr>
          <w:sz w:val="20"/>
        </w:rPr>
        <w:t xml:space="preserve">Regulations (Northern Ireland) 2003, the Equal Pay Act (Northern Ireland) 1970, the Disability </w:t>
      </w:r>
    </w:p>
    <w:p w:rsidR="00E11179" w:rsidRDefault="007E1E99">
      <w:pPr>
        <w:spacing w:after="33" w:line="271" w:lineRule="auto"/>
        <w:ind w:left="1451"/>
      </w:pPr>
      <w:r>
        <w:rPr>
          <w:sz w:val="20"/>
        </w:rPr>
        <w:t xml:space="preserve">Discrimination Act 1995, the Race Relations (Northern Ireland) Order 1997, the Employment </w:t>
      </w:r>
    </w:p>
    <w:p w:rsidR="00E11179" w:rsidRDefault="007E1E99">
      <w:pPr>
        <w:spacing w:after="29" w:line="271" w:lineRule="auto"/>
        <w:ind w:left="1451"/>
      </w:pPr>
      <w:r>
        <w:rPr>
          <w:sz w:val="20"/>
        </w:rPr>
        <w:t xml:space="preserve">Relations (Northern Ireland) Order 1999 and Employment Rights (Northern Ireland </w:t>
      </w:r>
      <w:r>
        <w:rPr>
          <w:sz w:val="20"/>
        </w:rPr>
        <w:tab/>
        <w:t xml:space="preserve">) Order 1996 Employment Equality (Age) Regulations (Northern Ireland) 2006; Part-time </w:t>
      </w:r>
      <w:r>
        <w:rPr>
          <w:sz w:val="20"/>
        </w:rPr>
        <w:tab/>
        <w:t xml:space="preserve">Workers (Prevention of less Favourable Treatment) Regulation 2000; Fixed-term Employees (Prevention of Less </w:t>
      </w:r>
    </w:p>
    <w:p w:rsidR="00E11179" w:rsidRDefault="007E1E99">
      <w:pPr>
        <w:tabs>
          <w:tab w:val="center" w:pos="4571"/>
          <w:tab w:val="right" w:pos="10643"/>
        </w:tabs>
        <w:spacing w:after="33" w:line="271" w:lineRule="auto"/>
        <w:ind w:left="0" w:firstLine="0"/>
      </w:pPr>
      <w:r>
        <w:rPr>
          <w:rFonts w:ascii="Calibri" w:eastAsia="Calibri" w:hAnsi="Calibri" w:cs="Calibri"/>
          <w:sz w:val="22"/>
        </w:rPr>
        <w:tab/>
      </w:r>
      <w:r>
        <w:rPr>
          <w:sz w:val="20"/>
        </w:rPr>
        <w:t xml:space="preserve">Favourable Treatment) Regulations 2002, The Disability Discrimination </w:t>
      </w:r>
      <w:r>
        <w:rPr>
          <w:sz w:val="20"/>
        </w:rPr>
        <w:tab/>
        <w:t xml:space="preserve">(Northern Ireland) Order 2006, </w:t>
      </w:r>
    </w:p>
    <w:p w:rsidR="00E11179" w:rsidRDefault="007E1E99">
      <w:pPr>
        <w:tabs>
          <w:tab w:val="center" w:pos="4201"/>
          <w:tab w:val="center" w:pos="8642"/>
        </w:tabs>
        <w:spacing w:after="33" w:line="271" w:lineRule="auto"/>
        <w:ind w:left="0" w:firstLine="0"/>
      </w:pPr>
      <w:r>
        <w:rPr>
          <w:rFonts w:ascii="Calibri" w:eastAsia="Calibri" w:hAnsi="Calibri" w:cs="Calibri"/>
          <w:sz w:val="22"/>
        </w:rPr>
        <w:tab/>
      </w:r>
      <w:r>
        <w:rPr>
          <w:sz w:val="20"/>
        </w:rPr>
        <w:t xml:space="preserve">The Employment Relations (Northern Ireland) Order 2004, The </w:t>
      </w:r>
      <w:r>
        <w:rPr>
          <w:sz w:val="20"/>
        </w:rPr>
        <w:tab/>
        <w:t xml:space="preserve">Equality Act (Sexual Orientation) </w:t>
      </w:r>
    </w:p>
    <w:p w:rsidR="00E11179" w:rsidRDefault="007E1E99">
      <w:pPr>
        <w:spacing w:after="18" w:line="271" w:lineRule="auto"/>
        <w:ind w:left="1451"/>
      </w:pPr>
      <w:r>
        <w:rPr>
          <w:sz w:val="20"/>
        </w:rPr>
        <w:t xml:space="preserve">Regulations (Northern Ireland) 2006, The Employment </w:t>
      </w:r>
      <w:r>
        <w:rPr>
          <w:sz w:val="20"/>
        </w:rPr>
        <w:tab/>
        <w:t xml:space="preserve">Relations (Northern Ireland) Order 2004 and The Work and Families (Northern Ireland) Order 2006; and will use his best endeavours to ensure that in his employment policies and practices </w:t>
      </w:r>
      <w:r>
        <w:rPr>
          <w:sz w:val="20"/>
        </w:rPr>
        <w:tab/>
        <w:t xml:space="preserve">and in the delivery of the services required of the </w:t>
      </w:r>
    </w:p>
    <w:p w:rsidR="00E11179" w:rsidRDefault="007E1E99">
      <w:pPr>
        <w:spacing w:after="241" w:line="271" w:lineRule="auto"/>
        <w:ind w:left="1451"/>
      </w:pPr>
      <w:r>
        <w:rPr>
          <w:sz w:val="20"/>
        </w:rPr>
        <w:t xml:space="preserve">Supplier under this Call-Off Contract he promotes equality of treatment and opportunity between: </w:t>
      </w:r>
    </w:p>
    <w:p w:rsidR="00E11179" w:rsidRDefault="007E1E99">
      <w:pPr>
        <w:numPr>
          <w:ilvl w:val="0"/>
          <w:numId w:val="35"/>
        </w:numPr>
        <w:spacing w:after="241" w:line="271" w:lineRule="auto"/>
        <w:ind w:left="2853" w:hanging="721"/>
      </w:pPr>
      <w:r>
        <w:rPr>
          <w:sz w:val="20"/>
        </w:rPr>
        <w:t xml:space="preserve">persons of different religious beliefs or political opinions </w:t>
      </w:r>
    </w:p>
    <w:p w:rsidR="00E11179" w:rsidRDefault="007E1E99">
      <w:pPr>
        <w:numPr>
          <w:ilvl w:val="0"/>
          <w:numId w:val="35"/>
        </w:numPr>
        <w:spacing w:after="241" w:line="271" w:lineRule="auto"/>
        <w:ind w:left="2853" w:hanging="721"/>
      </w:pPr>
      <w:r>
        <w:rPr>
          <w:sz w:val="20"/>
        </w:rPr>
        <w:t xml:space="preserve">men and women or married and unmarried persons </w:t>
      </w:r>
    </w:p>
    <w:p w:rsidR="00E11179" w:rsidRDefault="007E1E99">
      <w:pPr>
        <w:numPr>
          <w:ilvl w:val="0"/>
          <w:numId w:val="35"/>
        </w:numPr>
        <w:spacing w:after="12" w:line="271" w:lineRule="auto"/>
        <w:ind w:left="2853" w:hanging="721"/>
      </w:pPr>
      <w:r>
        <w:rPr>
          <w:sz w:val="20"/>
        </w:rPr>
        <w:t xml:space="preserve">persons with and without dependants (including women who are pregnant or on </w:t>
      </w:r>
    </w:p>
    <w:p w:rsidR="00E11179" w:rsidRDefault="007E1E99">
      <w:pPr>
        <w:spacing w:after="241" w:line="271" w:lineRule="auto"/>
        <w:ind w:left="2172"/>
      </w:pPr>
      <w:r>
        <w:rPr>
          <w:sz w:val="20"/>
        </w:rPr>
        <w:t xml:space="preserve">maternity leave and men on paternity leave) </w:t>
      </w:r>
    </w:p>
    <w:p w:rsidR="00E11179" w:rsidRDefault="007E1E99">
      <w:pPr>
        <w:numPr>
          <w:ilvl w:val="0"/>
          <w:numId w:val="35"/>
        </w:numPr>
        <w:spacing w:after="241" w:line="271" w:lineRule="auto"/>
        <w:ind w:left="2853" w:hanging="721"/>
      </w:pPr>
      <w:r>
        <w:rPr>
          <w:sz w:val="20"/>
        </w:rPr>
        <w:t xml:space="preserve">persons of different racial groups (within the meaning of the Race Relations (Northern Ireland) Order 1997) </w:t>
      </w:r>
    </w:p>
    <w:p w:rsidR="00E11179" w:rsidRDefault="007E1E99">
      <w:pPr>
        <w:numPr>
          <w:ilvl w:val="0"/>
          <w:numId w:val="35"/>
        </w:numPr>
        <w:spacing w:after="241" w:line="271" w:lineRule="auto"/>
        <w:ind w:left="2853" w:hanging="721"/>
      </w:pPr>
      <w:r>
        <w:rPr>
          <w:sz w:val="20"/>
        </w:rPr>
        <w:t xml:space="preserve">persons with and without a disability (within the meaning of the Disability Discrimination Act 1995) </w:t>
      </w:r>
    </w:p>
    <w:p w:rsidR="00E11179" w:rsidRDefault="007E1E99">
      <w:pPr>
        <w:numPr>
          <w:ilvl w:val="0"/>
          <w:numId w:val="35"/>
        </w:numPr>
        <w:spacing w:after="241" w:line="271" w:lineRule="auto"/>
        <w:ind w:left="2853" w:hanging="721"/>
      </w:pPr>
      <w:r>
        <w:rPr>
          <w:sz w:val="20"/>
        </w:rPr>
        <w:t xml:space="preserve">persons of different ages </w:t>
      </w:r>
    </w:p>
    <w:p w:rsidR="00E11179" w:rsidRDefault="007E1E99">
      <w:pPr>
        <w:numPr>
          <w:ilvl w:val="0"/>
          <w:numId w:val="35"/>
        </w:numPr>
        <w:spacing w:after="241" w:line="271" w:lineRule="auto"/>
        <w:ind w:left="2853" w:hanging="721"/>
      </w:pPr>
      <w:r>
        <w:rPr>
          <w:sz w:val="20"/>
        </w:rPr>
        <w:t xml:space="preserve">persons of differing sexual orientation </w:t>
      </w:r>
    </w:p>
    <w:p w:rsidR="00E11179" w:rsidRDefault="007E1E99">
      <w:pPr>
        <w:spacing w:after="252" w:line="259" w:lineRule="auto"/>
        <w:ind w:left="0" w:firstLine="0"/>
      </w:pPr>
      <w:r>
        <w:rPr>
          <w:sz w:val="20"/>
        </w:rPr>
        <w:t xml:space="preserve"> </w:t>
      </w:r>
    </w:p>
    <w:p w:rsidR="00E11179" w:rsidRDefault="007E1E99">
      <w:pPr>
        <w:spacing w:after="241" w:line="271" w:lineRule="auto"/>
        <w:ind w:left="1426" w:hanging="360"/>
      </w:pPr>
      <w:r>
        <w:rPr>
          <w:sz w:val="20"/>
        </w:rPr>
        <w:t>2.3.2</w:t>
      </w:r>
      <w:r>
        <w:rPr>
          <w:sz w:val="20"/>
        </w:rPr>
        <w:tab/>
        <w:t xml:space="preserve">The Supplier will take all reasonable steps to secure the observance of clause 2.3.1 of this Schedule by all Supplier Staff.  </w:t>
      </w:r>
    </w:p>
    <w:p w:rsidR="00E11179" w:rsidRDefault="007E1E99">
      <w:pPr>
        <w:spacing w:after="422" w:line="259" w:lineRule="auto"/>
        <w:ind w:left="0" w:firstLine="0"/>
      </w:pPr>
      <w:r>
        <w:rPr>
          <w:sz w:val="20"/>
        </w:rPr>
        <w:t xml:space="preserve"> </w:t>
      </w:r>
    </w:p>
    <w:p w:rsidR="00E11179" w:rsidRDefault="007E1E99">
      <w:pPr>
        <w:pStyle w:val="Heading3"/>
        <w:tabs>
          <w:tab w:val="center" w:pos="2453"/>
        </w:tabs>
        <w:ind w:left="-15" w:firstLine="0"/>
      </w:pPr>
      <w:r>
        <w:rPr>
          <w:b w:val="0"/>
        </w:rPr>
        <w:t>2.4</w:t>
      </w:r>
      <w:r>
        <w:rPr>
          <w:b w:val="0"/>
        </w:rPr>
        <w:tab/>
      </w:r>
      <w:r>
        <w:t>Equality policies and practices</w:t>
      </w:r>
      <w:r>
        <w:rPr>
          <w:b w:val="0"/>
        </w:rPr>
        <w:t xml:space="preserve"> </w:t>
      </w:r>
    </w:p>
    <w:p w:rsidR="00E11179" w:rsidRDefault="007E1E99">
      <w:pPr>
        <w:spacing w:after="241" w:line="271" w:lineRule="auto"/>
        <w:ind w:left="1426" w:hanging="360"/>
      </w:pPr>
      <w:r>
        <w:rPr>
          <w:sz w:val="20"/>
        </w:rPr>
        <w:t>2.4.1</w:t>
      </w:r>
      <w:r>
        <w:rPr>
          <w:sz w:val="20"/>
        </w:rPr>
        <w:tab/>
        <w:t xml:space="preserve">The Supplier will introduce and will procure that any Subcontractor will also introduce and implement an equal opportunities policy in accordance with guidance from and to the </w:t>
      </w:r>
      <w:r>
        <w:rPr>
          <w:sz w:val="20"/>
        </w:rPr>
        <w:tab/>
        <w:t xml:space="preserve">satisfaction of the Equality Commission. The Supplier will review these policies on a regular </w:t>
      </w:r>
      <w:r>
        <w:rPr>
          <w:sz w:val="20"/>
        </w:rPr>
        <w:tab/>
        <w:t xml:space="preserve">basis (and will procure that its Subcontractors do likewise) and the Customer will be entitled to receive upon request a copy of the policy. </w:t>
      </w:r>
    </w:p>
    <w:p w:rsidR="00E11179" w:rsidRDefault="007E1E99">
      <w:pPr>
        <w:spacing w:after="241" w:line="271" w:lineRule="auto"/>
        <w:ind w:left="2147" w:hanging="1081"/>
      </w:pPr>
      <w:r>
        <w:rPr>
          <w:sz w:val="20"/>
        </w:rPr>
        <w:t>2.4.2</w:t>
      </w:r>
      <w:r>
        <w:rPr>
          <w:sz w:val="20"/>
        </w:rPr>
        <w:tab/>
        <w:t xml:space="preserve">The Supplier will take all reasonable steps to ensure that all of the Supplier Staff comply with its equal opportunities policies (referred to in clause 2.3 above). These steps will include: </w:t>
      </w:r>
    </w:p>
    <w:p w:rsidR="00E11179" w:rsidRDefault="007E1E99">
      <w:pPr>
        <w:numPr>
          <w:ilvl w:val="0"/>
          <w:numId w:val="36"/>
        </w:numPr>
        <w:spacing w:after="241" w:line="271" w:lineRule="auto"/>
        <w:ind w:left="2853" w:hanging="721"/>
      </w:pPr>
      <w:r>
        <w:rPr>
          <w:sz w:val="20"/>
        </w:rPr>
        <w:t xml:space="preserve">the issue of written instructions to staff and other relevant persons </w:t>
      </w:r>
    </w:p>
    <w:p w:rsidR="00E11179" w:rsidRDefault="007E1E99">
      <w:pPr>
        <w:numPr>
          <w:ilvl w:val="0"/>
          <w:numId w:val="36"/>
        </w:numPr>
        <w:spacing w:after="12" w:line="271" w:lineRule="auto"/>
        <w:ind w:left="2853" w:hanging="721"/>
      </w:pPr>
      <w:r>
        <w:rPr>
          <w:sz w:val="20"/>
        </w:rPr>
        <w:t xml:space="preserve">the appointment or designation of a senior manager with responsibility for equal </w:t>
      </w:r>
    </w:p>
    <w:p w:rsidR="00E11179" w:rsidRDefault="007E1E99">
      <w:pPr>
        <w:spacing w:after="241" w:line="271" w:lineRule="auto"/>
        <w:ind w:left="2172"/>
      </w:pPr>
      <w:r>
        <w:rPr>
          <w:sz w:val="20"/>
        </w:rPr>
        <w:t xml:space="preserve">opportunities </w:t>
      </w:r>
    </w:p>
    <w:p w:rsidR="00E11179" w:rsidRDefault="007E1E99">
      <w:pPr>
        <w:numPr>
          <w:ilvl w:val="0"/>
          <w:numId w:val="36"/>
        </w:numPr>
        <w:spacing w:after="241" w:line="271" w:lineRule="auto"/>
        <w:ind w:left="2853" w:hanging="721"/>
      </w:pPr>
      <w:r>
        <w:rPr>
          <w:sz w:val="20"/>
        </w:rPr>
        <w:t xml:space="preserve">training of all staff and other relevant persons in equal opportunities and harassment matters </w:t>
      </w:r>
    </w:p>
    <w:p w:rsidR="00E11179" w:rsidRDefault="007E1E99">
      <w:pPr>
        <w:numPr>
          <w:ilvl w:val="0"/>
          <w:numId w:val="36"/>
        </w:numPr>
        <w:spacing w:after="241" w:line="271" w:lineRule="auto"/>
        <w:ind w:left="2853" w:hanging="721"/>
      </w:pPr>
      <w:r>
        <w:rPr>
          <w:sz w:val="20"/>
        </w:rPr>
        <w:t xml:space="preserve">the inclusion of the topic of equality as an agenda item at team, </w:t>
      </w:r>
      <w:proofErr w:type="gramStart"/>
      <w:r>
        <w:rPr>
          <w:sz w:val="20"/>
        </w:rPr>
        <w:t>management  and</w:t>
      </w:r>
      <w:proofErr w:type="gramEnd"/>
      <w:r>
        <w:rPr>
          <w:sz w:val="20"/>
        </w:rPr>
        <w:t xml:space="preserve"> staff meetings </w:t>
      </w:r>
    </w:p>
    <w:p w:rsidR="00E11179" w:rsidRDefault="007E1E99">
      <w:pPr>
        <w:spacing w:after="241" w:line="271" w:lineRule="auto"/>
        <w:ind w:left="2142"/>
      </w:pPr>
      <w:r>
        <w:rPr>
          <w:sz w:val="20"/>
        </w:rPr>
        <w:t xml:space="preserve">The Supplier will procure that its Subcontractors do likewise with their equal opportunities policies. </w:t>
      </w:r>
    </w:p>
    <w:p w:rsidR="00E11179" w:rsidRDefault="007E1E99">
      <w:pPr>
        <w:tabs>
          <w:tab w:val="center" w:pos="1303"/>
          <w:tab w:val="center" w:pos="5087"/>
        </w:tabs>
        <w:spacing w:after="241" w:line="271" w:lineRule="auto"/>
        <w:ind w:left="0" w:firstLine="0"/>
      </w:pPr>
      <w:r>
        <w:rPr>
          <w:rFonts w:ascii="Calibri" w:eastAsia="Calibri" w:hAnsi="Calibri" w:cs="Calibri"/>
          <w:sz w:val="22"/>
        </w:rPr>
        <w:tab/>
      </w:r>
      <w:r>
        <w:rPr>
          <w:sz w:val="20"/>
        </w:rPr>
        <w:t>2.4.3</w:t>
      </w:r>
      <w:r>
        <w:rPr>
          <w:sz w:val="20"/>
        </w:rPr>
        <w:tab/>
        <w:t xml:space="preserve">The Supplier will inform the Customer as soon as possible in the event of:  </w:t>
      </w:r>
    </w:p>
    <w:p w:rsidR="00E11179" w:rsidRDefault="007E1E99">
      <w:pPr>
        <w:numPr>
          <w:ilvl w:val="0"/>
          <w:numId w:val="37"/>
        </w:numPr>
        <w:spacing w:after="22" w:line="259" w:lineRule="auto"/>
        <w:ind w:right="-7" w:hanging="360"/>
        <w:jc w:val="right"/>
      </w:pPr>
      <w:r>
        <w:rPr>
          <w:sz w:val="20"/>
        </w:rPr>
        <w:t xml:space="preserve">the Equality Commission notifying the Supplier of an alleged breach by it or any Subcontractor </w:t>
      </w:r>
    </w:p>
    <w:p w:rsidR="00E11179" w:rsidRDefault="007E1E99">
      <w:pPr>
        <w:spacing w:after="241" w:line="271" w:lineRule="auto"/>
        <w:ind w:left="2172"/>
      </w:pPr>
      <w:r>
        <w:rPr>
          <w:sz w:val="20"/>
        </w:rPr>
        <w:t xml:space="preserve">(or any of their shareholders or directors) of the Fair Employment and Treatment (Northern Ireland) Order 1998 or </w:t>
      </w:r>
    </w:p>
    <w:p w:rsidR="00E11179" w:rsidRDefault="007E1E99">
      <w:pPr>
        <w:numPr>
          <w:ilvl w:val="0"/>
          <w:numId w:val="37"/>
        </w:numPr>
        <w:spacing w:after="22" w:line="259" w:lineRule="auto"/>
        <w:ind w:right="-7" w:hanging="360"/>
        <w:jc w:val="right"/>
      </w:pPr>
      <w:r>
        <w:rPr>
          <w:sz w:val="20"/>
        </w:rPr>
        <w:t xml:space="preserve">any finding of unlawful discrimination (or any offence under the Legislation mentioned in clause </w:t>
      </w:r>
    </w:p>
    <w:p w:rsidR="00E11179" w:rsidRDefault="007E1E99">
      <w:pPr>
        <w:spacing w:after="12" w:line="271" w:lineRule="auto"/>
        <w:ind w:left="2172"/>
      </w:pPr>
      <w:r>
        <w:rPr>
          <w:sz w:val="20"/>
        </w:rPr>
        <w:t xml:space="preserve">2.3 above) being made against the Supplier or its Subcontractors during the Call-Off Contract </w:t>
      </w:r>
    </w:p>
    <w:p w:rsidR="00E11179" w:rsidRDefault="007E1E99">
      <w:pPr>
        <w:spacing w:after="241" w:line="271" w:lineRule="auto"/>
        <w:ind w:left="2172"/>
      </w:pPr>
      <w:r>
        <w:rPr>
          <w:sz w:val="20"/>
        </w:rPr>
        <w:t xml:space="preserve">Period by any Industrial or Fair Employment Tribunal or Court, </w:t>
      </w:r>
    </w:p>
    <w:p w:rsidR="00E11179" w:rsidRDefault="007E1E99">
      <w:pPr>
        <w:spacing w:after="0" w:line="282" w:lineRule="auto"/>
        <w:ind w:left="1808" w:right="133" w:firstLine="0"/>
        <w:jc w:val="center"/>
      </w:pPr>
      <w:r>
        <w:rPr>
          <w:sz w:val="20"/>
        </w:rPr>
        <w:t xml:space="preserve">The Supplier will take any necessary steps (including the dismissal or replacement of any relevant staff or Subcontractor(s)) as the Customer directs and will seek the advice of the </w:t>
      </w:r>
    </w:p>
    <w:p w:rsidR="00E11179" w:rsidRDefault="007E1E99">
      <w:pPr>
        <w:spacing w:after="241" w:line="271" w:lineRule="auto"/>
        <w:ind w:left="1441" w:firstLine="721"/>
      </w:pPr>
      <w:r>
        <w:rPr>
          <w:sz w:val="20"/>
        </w:rPr>
        <w:t xml:space="preserve">Equality Commission in order to prevent any offence or repetition of the unlawful discrimination as the case may be. </w:t>
      </w:r>
    </w:p>
    <w:p w:rsidR="00E11179" w:rsidRDefault="007E1E99">
      <w:pPr>
        <w:numPr>
          <w:ilvl w:val="2"/>
          <w:numId w:val="38"/>
        </w:numPr>
        <w:spacing w:after="241" w:line="271" w:lineRule="auto"/>
        <w:ind w:right="84" w:hanging="360"/>
      </w:pPr>
      <w:r>
        <w:rPr>
          <w:sz w:val="20"/>
        </w:rPr>
        <w:t xml:space="preserve">The Supplier will monitor (in accordance with guidance issued by the Equality Commission) the composition of its workforce and applicants for employment and will provide an annual report on </w:t>
      </w:r>
      <w:r>
        <w:rPr>
          <w:sz w:val="20"/>
        </w:rPr>
        <w:tab/>
        <w:t xml:space="preserve">the composition of the workforce and applicants to the Customer. If the monitoring reveals under-representation or lack of fair participation of particular groups, the Supplier will review the </w:t>
      </w:r>
      <w:r>
        <w:rPr>
          <w:sz w:val="20"/>
        </w:rPr>
        <w:tab/>
        <w:t xml:space="preserve">operation of its relevant policies and take positive action if appropriate. The Supplier will impose on its Subcontractors obligations similar to those undertaken by it in this clause 2.4 and will procure that those Subcontractors comply with their obligations.  </w:t>
      </w:r>
    </w:p>
    <w:p w:rsidR="00E11179" w:rsidRDefault="007E1E99">
      <w:pPr>
        <w:numPr>
          <w:ilvl w:val="2"/>
          <w:numId w:val="38"/>
        </w:numPr>
        <w:spacing w:after="409" w:line="271" w:lineRule="auto"/>
        <w:ind w:right="84" w:hanging="360"/>
      </w:pPr>
      <w:r>
        <w:rPr>
          <w:sz w:val="20"/>
        </w:rPr>
        <w:t xml:space="preserve">The Supplier will provide any information the Customer requests (including information requested to be provided by any Subcontractors) for the purpose of assessing the Supplier’s compliance with its obligations under clauses 2.4.1 to 2.4.5 of this Schedule. </w:t>
      </w:r>
    </w:p>
    <w:p w:rsidR="00E11179" w:rsidRDefault="007E1E99">
      <w:pPr>
        <w:pStyle w:val="Heading3"/>
        <w:tabs>
          <w:tab w:val="center" w:pos="1163"/>
        </w:tabs>
        <w:ind w:left="-15" w:firstLine="0"/>
      </w:pPr>
      <w:r>
        <w:t>2.5</w:t>
      </w:r>
      <w:r>
        <w:tab/>
        <w:t xml:space="preserve">Equality  </w:t>
      </w:r>
    </w:p>
    <w:p w:rsidR="00E11179" w:rsidRDefault="007E1E99">
      <w:pPr>
        <w:spacing w:after="203" w:line="259" w:lineRule="auto"/>
        <w:ind w:left="0" w:firstLine="0"/>
      </w:pPr>
      <w:r>
        <w:rPr>
          <w:b/>
        </w:rPr>
        <w:t xml:space="preserve"> </w:t>
      </w:r>
    </w:p>
    <w:p w:rsidR="00E11179" w:rsidRDefault="007E1E99">
      <w:pPr>
        <w:spacing w:after="30" w:line="271" w:lineRule="auto"/>
        <w:ind w:left="1426" w:right="211" w:hanging="360"/>
      </w:pPr>
      <w:r>
        <w:rPr>
          <w:sz w:val="20"/>
        </w:rPr>
        <w:t>2.5.1</w:t>
      </w:r>
      <w:r>
        <w:rPr>
          <w:sz w:val="20"/>
        </w:rPr>
        <w:tab/>
        <w:t xml:space="preserve">The Supplier will, and will procure that each Subcontractor will, in performing its/their obligations under this Call-Off Contract (and other relevant agreements), comply with the </w:t>
      </w:r>
    </w:p>
    <w:p w:rsidR="00E11179" w:rsidRDefault="007E1E99">
      <w:pPr>
        <w:spacing w:after="241" w:line="271" w:lineRule="auto"/>
        <w:ind w:left="1451"/>
      </w:pPr>
      <w:r>
        <w:rPr>
          <w:sz w:val="20"/>
        </w:rPr>
        <w:t xml:space="preserve">provisions of Section 75 of the Northern Ireland Act 1998, as if they were a public authority </w:t>
      </w:r>
      <w:r>
        <w:rPr>
          <w:sz w:val="20"/>
        </w:rPr>
        <w:tab/>
        <w:t xml:space="preserve">within the meaning of that section. </w:t>
      </w:r>
    </w:p>
    <w:p w:rsidR="00E11179" w:rsidRDefault="007E1E99">
      <w:pPr>
        <w:spacing w:after="30" w:line="271" w:lineRule="auto"/>
        <w:ind w:left="1426" w:right="98" w:hanging="360"/>
      </w:pPr>
      <w:r>
        <w:rPr>
          <w:sz w:val="20"/>
        </w:rPr>
        <w:t>2.5.2</w:t>
      </w:r>
      <w:r>
        <w:rPr>
          <w:sz w:val="20"/>
        </w:rPr>
        <w:tab/>
        <w:t xml:space="preserve">The Supplier acknowledges that the Customer must, in carrying out its functions, have due regard to the need to promote equality of opportunity as contemplated by the Northern Ireland Act </w:t>
      </w:r>
    </w:p>
    <w:p w:rsidR="00E11179" w:rsidRDefault="007E1E99">
      <w:pPr>
        <w:spacing w:after="241" w:line="271" w:lineRule="auto"/>
        <w:ind w:left="1451"/>
      </w:pPr>
      <w:r>
        <w:rPr>
          <w:sz w:val="20"/>
        </w:rPr>
        <w:t xml:space="preserve">1998 and the Supplier will use all reasonable endeavours to assist (and to ensure that </w:t>
      </w:r>
      <w:r>
        <w:rPr>
          <w:sz w:val="20"/>
        </w:rPr>
        <w:tab/>
        <w:t xml:space="preserve">relevant Subcontractor helps) the Customer in relation to same. </w:t>
      </w:r>
    </w:p>
    <w:p w:rsidR="00E11179" w:rsidRDefault="007E1E99">
      <w:pPr>
        <w:pStyle w:val="Heading3"/>
        <w:tabs>
          <w:tab w:val="center" w:pos="1704"/>
        </w:tabs>
        <w:ind w:left="-15" w:firstLine="0"/>
      </w:pPr>
      <w:r>
        <w:rPr>
          <w:b w:val="0"/>
        </w:rPr>
        <w:t>2.6</w:t>
      </w:r>
      <w:r>
        <w:rPr>
          <w:b w:val="0"/>
        </w:rPr>
        <w:tab/>
      </w:r>
      <w:r>
        <w:t>Health and safety</w:t>
      </w:r>
      <w:r>
        <w:rPr>
          <w:b w:val="0"/>
        </w:rPr>
        <w:t xml:space="preserve"> </w:t>
      </w:r>
    </w:p>
    <w:p w:rsidR="00E11179" w:rsidRDefault="007E1E99">
      <w:pPr>
        <w:spacing w:after="27" w:line="271" w:lineRule="auto"/>
        <w:ind w:left="1426" w:hanging="360"/>
      </w:pPr>
      <w:r>
        <w:rPr>
          <w:sz w:val="20"/>
        </w:rPr>
        <w:t>2.6.1</w:t>
      </w:r>
      <w:r>
        <w:rPr>
          <w:sz w:val="20"/>
        </w:rPr>
        <w:tab/>
        <w:t xml:space="preserve">The Supplier will promptly notify the Customer of any health and safety hazards which may arise in connection with the performance of its obligations under the Call-Off Contract. The </w:t>
      </w:r>
      <w:r>
        <w:rPr>
          <w:sz w:val="20"/>
        </w:rPr>
        <w:tab/>
        <w:t xml:space="preserve">Customer will promptly notify the Supplier of any health and safety hazards which may exist or </w:t>
      </w:r>
      <w:r>
        <w:rPr>
          <w:sz w:val="20"/>
        </w:rPr>
        <w:tab/>
        <w:t xml:space="preserve">arise at the </w:t>
      </w:r>
    </w:p>
    <w:p w:rsidR="00E11179" w:rsidRDefault="007E1E99">
      <w:pPr>
        <w:spacing w:after="241" w:line="271" w:lineRule="auto"/>
        <w:ind w:left="1451"/>
      </w:pPr>
      <w:r>
        <w:rPr>
          <w:sz w:val="20"/>
        </w:rPr>
        <w:t xml:space="preserve">Customer premises and which may affect the Supplier in the performance of its obligations under the Call-Off Contract. </w:t>
      </w:r>
    </w:p>
    <w:p w:rsidR="00E11179" w:rsidRDefault="007E1E99">
      <w:pPr>
        <w:spacing w:after="241" w:line="271" w:lineRule="auto"/>
        <w:ind w:left="2147" w:hanging="1081"/>
      </w:pPr>
      <w:r>
        <w:rPr>
          <w:sz w:val="20"/>
        </w:rPr>
        <w:t>2.6.2</w:t>
      </w:r>
      <w:r>
        <w:rPr>
          <w:sz w:val="20"/>
        </w:rPr>
        <w:tab/>
        <w:t xml:space="preserve">While on the Customer premises, the Supplier will comply with any health and safety measures implemented by the Customer in respect of Supplier Staff and other persons working there. </w:t>
      </w:r>
    </w:p>
    <w:p w:rsidR="00E11179" w:rsidRDefault="007E1E99">
      <w:pPr>
        <w:spacing w:after="241" w:line="271" w:lineRule="auto"/>
        <w:ind w:left="2147" w:hanging="1081"/>
      </w:pPr>
      <w:r>
        <w:rPr>
          <w:sz w:val="20"/>
        </w:rPr>
        <w:t>2.6.3</w:t>
      </w:r>
      <w:r>
        <w:rPr>
          <w:sz w:val="20"/>
        </w:rPr>
        <w:tab/>
        <w:t xml:space="preserve">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rsidR="00E11179" w:rsidRDefault="007E1E99">
      <w:pPr>
        <w:tabs>
          <w:tab w:val="center" w:pos="1303"/>
          <w:tab w:val="center" w:pos="5821"/>
        </w:tabs>
        <w:spacing w:after="33" w:line="271" w:lineRule="auto"/>
        <w:ind w:left="0" w:firstLine="0"/>
      </w:pPr>
      <w:r>
        <w:rPr>
          <w:rFonts w:ascii="Calibri" w:eastAsia="Calibri" w:hAnsi="Calibri" w:cs="Calibri"/>
          <w:sz w:val="22"/>
        </w:rPr>
        <w:tab/>
      </w:r>
      <w:r>
        <w:rPr>
          <w:sz w:val="20"/>
        </w:rPr>
        <w:t>2.6.4</w:t>
      </w:r>
      <w:r>
        <w:rPr>
          <w:sz w:val="20"/>
        </w:rPr>
        <w:tab/>
        <w:t xml:space="preserve">The Supplier will comply with the requirements of the Health and Safety at Work (Northern </w:t>
      </w:r>
    </w:p>
    <w:p w:rsidR="00E11179" w:rsidRDefault="007E1E99">
      <w:pPr>
        <w:spacing w:after="241" w:line="271" w:lineRule="auto"/>
        <w:ind w:left="1451"/>
      </w:pPr>
      <w:r>
        <w:rPr>
          <w:sz w:val="20"/>
        </w:rPr>
        <w:t xml:space="preserve">Ireland) Order 1978 and any other acts, orders, regulations and codes of practice relating to </w:t>
      </w:r>
      <w:r>
        <w:rPr>
          <w:sz w:val="20"/>
        </w:rPr>
        <w:tab/>
        <w:t xml:space="preserve">health and safety, which may apply to Supplier Staff and other persons working on the Customer premises in the performance of its obligations under the Call-Off Contract. </w:t>
      </w:r>
    </w:p>
    <w:p w:rsidR="00E11179" w:rsidRDefault="007E1E99">
      <w:pPr>
        <w:spacing w:after="9" w:line="271" w:lineRule="auto"/>
        <w:ind w:left="2147" w:right="177" w:hanging="1081"/>
      </w:pPr>
      <w:r>
        <w:rPr>
          <w:sz w:val="20"/>
        </w:rPr>
        <w:t>2.6.5</w:t>
      </w:r>
      <w:r>
        <w:rPr>
          <w:sz w:val="20"/>
        </w:rPr>
        <w:tab/>
        <w:t xml:space="preserve">The Supplier will ensure that its health and safety policy statement (as required by the Health and Safety at Work (Northern Ireland) Order 1978) is made available to the Customer on </w:t>
      </w:r>
    </w:p>
    <w:p w:rsidR="00E11179" w:rsidRDefault="007E1E99">
      <w:pPr>
        <w:spacing w:after="412" w:line="271" w:lineRule="auto"/>
        <w:ind w:left="1451"/>
      </w:pPr>
      <w:r>
        <w:rPr>
          <w:sz w:val="20"/>
        </w:rPr>
        <w:t xml:space="preserve">request. </w:t>
      </w:r>
    </w:p>
    <w:p w:rsidR="00E11179" w:rsidRDefault="007E1E99">
      <w:pPr>
        <w:pStyle w:val="Heading3"/>
        <w:tabs>
          <w:tab w:val="center" w:pos="1679"/>
        </w:tabs>
        <w:ind w:left="-15" w:firstLine="0"/>
      </w:pPr>
      <w:r>
        <w:rPr>
          <w:b w:val="0"/>
        </w:rPr>
        <w:t>2.7</w:t>
      </w:r>
      <w:r>
        <w:rPr>
          <w:b w:val="0"/>
        </w:rPr>
        <w:tab/>
      </w:r>
      <w:r>
        <w:t xml:space="preserve">Criminal damage </w:t>
      </w:r>
      <w:r>
        <w:rPr>
          <w:b w:val="0"/>
        </w:rPr>
        <w:t xml:space="preserve"> </w:t>
      </w:r>
    </w:p>
    <w:p w:rsidR="00E11179" w:rsidRDefault="007E1E99">
      <w:pPr>
        <w:spacing w:after="241" w:line="271" w:lineRule="auto"/>
        <w:ind w:left="1426" w:hanging="360"/>
      </w:pPr>
      <w:r>
        <w:rPr>
          <w:sz w:val="20"/>
        </w:rPr>
        <w:t>2.7.1</w:t>
      </w:r>
      <w:r>
        <w:rPr>
          <w:sz w:val="20"/>
        </w:rPr>
        <w:tab/>
        <w:t xml:space="preserve">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rsidR="00E11179" w:rsidRDefault="007E1E99">
      <w:pPr>
        <w:spacing w:after="241" w:line="271" w:lineRule="auto"/>
        <w:ind w:left="1426" w:hanging="360"/>
      </w:pPr>
      <w:r>
        <w:rPr>
          <w:sz w:val="20"/>
        </w:rPr>
        <w:t>2.7.2</w:t>
      </w:r>
      <w:r>
        <w:rPr>
          <w:sz w:val="20"/>
        </w:rPr>
        <w:tab/>
        <w:t xml:space="preserve">If during the Call-Off Contract Period any assets (or any part thereof) is or are damaged or destroyed by any circumstance giving rise to a claim for compensation under the provisions of </w:t>
      </w:r>
      <w:r>
        <w:rPr>
          <w:sz w:val="20"/>
        </w:rPr>
        <w:tab/>
        <w:t xml:space="preserve">the Compensation Order the following provisions of this clause 2.7 will apply. </w:t>
      </w:r>
    </w:p>
    <w:p w:rsidR="00E11179" w:rsidRDefault="007E1E99">
      <w:pPr>
        <w:spacing w:after="241" w:line="271" w:lineRule="auto"/>
        <w:ind w:left="1426" w:hanging="360"/>
      </w:pPr>
      <w:r>
        <w:rPr>
          <w:sz w:val="20"/>
        </w:rPr>
        <w:t>2.7.3</w:t>
      </w:r>
      <w:r>
        <w:rPr>
          <w:sz w:val="20"/>
        </w:rPr>
        <w:tab/>
        <w:t xml:space="preserve">The Supplier will make (or will procure that the appropriate organisation </w:t>
      </w:r>
      <w:proofErr w:type="gramStart"/>
      <w:r>
        <w:rPr>
          <w:sz w:val="20"/>
        </w:rPr>
        <w:t>make</w:t>
      </w:r>
      <w:proofErr w:type="gramEnd"/>
      <w:r>
        <w:rPr>
          <w:sz w:val="20"/>
        </w:rPr>
        <w:t xml:space="preserv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rsidR="00E11179" w:rsidRDefault="007E1E99">
      <w:pPr>
        <w:spacing w:after="338" w:line="271" w:lineRule="auto"/>
        <w:ind w:left="1426" w:hanging="360"/>
      </w:pPr>
      <w:r>
        <w:rPr>
          <w:sz w:val="20"/>
        </w:rPr>
        <w:t>2.7.4</w:t>
      </w:r>
      <w:r>
        <w:rPr>
          <w:sz w:val="20"/>
        </w:rPr>
        <w:tab/>
        <w:t>The Supplier will apply any compensation paid under the Compensation Order in respect of damage to the relevant assets towards the repair, reinstatement or replacement of the assets</w:t>
      </w:r>
      <w:r>
        <w:rPr>
          <w:sz w:val="20"/>
        </w:rPr>
        <w:tab/>
        <w:t xml:space="preserve"> affected. </w:t>
      </w:r>
    </w:p>
    <w:p w:rsidR="00E11179" w:rsidRDefault="007E1E99">
      <w:pPr>
        <w:spacing w:after="113" w:line="259" w:lineRule="auto"/>
        <w:ind w:left="-5"/>
      </w:pPr>
      <w:r>
        <w:rPr>
          <w:b/>
          <w:sz w:val="32"/>
        </w:rPr>
        <w:t xml:space="preserve">Schedule 5 - Guarantee </w:t>
      </w:r>
    </w:p>
    <w:p w:rsidR="00E11179" w:rsidRDefault="007E1E99">
      <w:pPr>
        <w:spacing w:after="241" w:line="271" w:lineRule="auto"/>
      </w:pPr>
      <w:r>
        <w:rPr>
          <w:sz w:val="20"/>
        </w:rPr>
        <w:t xml:space="preserve">N/A </w:t>
      </w:r>
    </w:p>
    <w:p w:rsidR="00E11179" w:rsidRDefault="007E1E99">
      <w:pPr>
        <w:spacing w:after="353" w:line="259" w:lineRule="auto"/>
        <w:ind w:left="0" w:firstLine="0"/>
      </w:pPr>
      <w:r>
        <w:rPr>
          <w:sz w:val="20"/>
        </w:rPr>
        <w:t xml:space="preserve"> </w:t>
      </w:r>
    </w:p>
    <w:p w:rsidR="00E11179" w:rsidRDefault="007E1E99">
      <w:pPr>
        <w:spacing w:after="128" w:line="259" w:lineRule="auto"/>
        <w:ind w:left="-5"/>
      </w:pPr>
      <w:r>
        <w:rPr>
          <w:b/>
          <w:sz w:val="32"/>
        </w:rPr>
        <w:t>Schedule 6 - Glossary and interpretations</w:t>
      </w:r>
      <w:r>
        <w:rPr>
          <w:b/>
          <w:sz w:val="20"/>
        </w:rPr>
        <w:t xml:space="preserve"> </w:t>
      </w:r>
    </w:p>
    <w:p w:rsidR="00E11179" w:rsidRDefault="007E1E99">
      <w:pPr>
        <w:spacing w:after="0" w:line="271" w:lineRule="auto"/>
      </w:pPr>
      <w:r>
        <w:rPr>
          <w:sz w:val="20"/>
        </w:rPr>
        <w:t xml:space="preserve">In this Call-Off Contract the following expressions mean: </w:t>
      </w:r>
    </w:p>
    <w:tbl>
      <w:tblPr>
        <w:tblStyle w:val="TableGrid"/>
        <w:tblW w:w="10599" w:type="dxa"/>
        <w:tblInd w:w="-100" w:type="dxa"/>
        <w:tblCellMar>
          <w:top w:w="165" w:type="dxa"/>
          <w:left w:w="100" w:type="dxa"/>
          <w:right w:w="57" w:type="dxa"/>
        </w:tblCellMar>
        <w:tblLook w:val="04A0" w:firstRow="1" w:lastRow="0" w:firstColumn="1" w:lastColumn="0" w:noHBand="0" w:noVBand="1"/>
      </w:tblPr>
      <w:tblGrid>
        <w:gridCol w:w="3438"/>
        <w:gridCol w:w="7161"/>
      </w:tblGrid>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right="69" w:firstLine="0"/>
              <w:jc w:val="center"/>
            </w:pPr>
            <w:r>
              <w:rPr>
                <w:sz w:val="20"/>
              </w:rPr>
              <w:t xml:space="preserve">Expression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right="77" w:firstLine="0"/>
              <w:jc w:val="center"/>
            </w:pPr>
            <w:r>
              <w:rPr>
                <w:sz w:val="20"/>
              </w:rPr>
              <w:t xml:space="preserve">Meaning </w:t>
            </w:r>
          </w:p>
        </w:tc>
      </w:tr>
      <w:tr w:rsidR="00E11179">
        <w:trPr>
          <w:trHeight w:val="94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Additional Services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Any services ancillary to the G-Cloud Services that are in the scope of Framework Agreement Section 2 (Services Offered) which a Buyer may request.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Admission Agreement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agreement to be entered into to enable the Supplier to participate in the relevant Civil Service pension scheme(s).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Application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response submitted by the Supplier to the Invitation to Tender (known as the Invitation to Apply on the Digital Marketplace).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Audit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An audit carried out under the incorporated Framework Agreement clauses specified by the Buyer in the Order (if any). </w:t>
            </w:r>
          </w:p>
        </w:tc>
      </w:tr>
      <w:tr w:rsidR="00E11179">
        <w:trPr>
          <w:trHeight w:val="2867"/>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Background IPRs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For each Party, IPRs: </w:t>
            </w:r>
          </w:p>
          <w:p w:rsidR="00E11179" w:rsidRDefault="007E1E99">
            <w:pPr>
              <w:spacing w:after="12" w:line="259" w:lineRule="auto"/>
              <w:ind w:left="0" w:firstLine="0"/>
            </w:pPr>
            <w:r>
              <w:rPr>
                <w:sz w:val="20"/>
              </w:rPr>
              <w:t xml:space="preserve"> </w:t>
            </w:r>
          </w:p>
          <w:p w:rsidR="00E11179" w:rsidRDefault="007E1E99">
            <w:pPr>
              <w:numPr>
                <w:ilvl w:val="0"/>
                <w:numId w:val="51"/>
              </w:numPr>
              <w:spacing w:after="20" w:line="251" w:lineRule="auto"/>
              <w:ind w:left="720" w:hanging="360"/>
            </w:pPr>
            <w:r>
              <w:rPr>
                <w:sz w:val="20"/>
              </w:rPr>
              <w:t xml:space="preserve">owned by that Party before the date of this Call-Off Contract (as may be enhanced and/or modified but not as a consequence of the Services) including IPRs contained in any of the Party's Know-How, documentation and processes  </w:t>
            </w:r>
          </w:p>
          <w:p w:rsidR="00E11179" w:rsidRDefault="007E1E99">
            <w:pPr>
              <w:numPr>
                <w:ilvl w:val="0"/>
                <w:numId w:val="51"/>
              </w:numPr>
              <w:spacing w:after="0" w:line="259" w:lineRule="auto"/>
              <w:ind w:left="720" w:hanging="360"/>
            </w:pPr>
            <w:r>
              <w:rPr>
                <w:sz w:val="20"/>
              </w:rPr>
              <w:t xml:space="preserve">created by the Party independently of this Call-Off Contract, or </w:t>
            </w:r>
          </w:p>
          <w:p w:rsidR="00E11179" w:rsidRDefault="007E1E99">
            <w:pPr>
              <w:spacing w:after="0" w:line="259" w:lineRule="auto"/>
              <w:ind w:left="0" w:firstLine="0"/>
            </w:pPr>
            <w:r>
              <w:rPr>
                <w:sz w:val="20"/>
              </w:rPr>
              <w:t xml:space="preserve"> </w:t>
            </w:r>
          </w:p>
          <w:p w:rsidR="00E11179" w:rsidRDefault="007E1E99">
            <w:pPr>
              <w:spacing w:after="0" w:line="259" w:lineRule="auto"/>
              <w:ind w:left="0" w:right="33" w:firstLine="0"/>
            </w:pPr>
            <w:r>
              <w:rPr>
                <w:sz w:val="20"/>
              </w:rPr>
              <w:t xml:space="preserve">For the Buyer, Crown Copyright which isn’t available to the Supplier otherwise than under this Call-Off Contract, but excluding IPRs owned by that Party in Buyer software or Supplier software.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Buyer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contracting authority ordering services as set out in the Order Form.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Buyer Data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All data supplied by the Buyer to the Supplier including Personal Data and Service Data that is owned and managed by the Buyer.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Buyer Personal Data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personal data supplied by the Buyer to the Supplier for purposes of, or in connection with, this Call-Off Contract.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Buyer Representative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representative appointed by the Buyer under this Call-Off Contract.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Buyer Software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Software owned by or licensed to the Buyer (other than under this </w:t>
            </w:r>
          </w:p>
          <w:p w:rsidR="00E11179" w:rsidRDefault="007E1E99">
            <w:pPr>
              <w:spacing w:after="0" w:line="259" w:lineRule="auto"/>
              <w:ind w:left="0" w:firstLine="0"/>
            </w:pPr>
            <w:r>
              <w:rPr>
                <w:sz w:val="20"/>
              </w:rPr>
              <w:t xml:space="preserve">Agreement), which is or will be used by the Supplier to provide the Services. </w:t>
            </w:r>
          </w:p>
        </w:tc>
      </w:tr>
      <w:tr w:rsidR="00E11179">
        <w:trPr>
          <w:trHeight w:val="118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Call-Off Contract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This call-off contract entered into following the provisions of the Framework </w:t>
            </w:r>
          </w:p>
          <w:p w:rsidR="00E11179" w:rsidRDefault="007E1E99">
            <w:pPr>
              <w:spacing w:after="0" w:line="259" w:lineRule="auto"/>
              <w:ind w:left="0" w:firstLine="0"/>
            </w:pPr>
            <w:r>
              <w:rPr>
                <w:sz w:val="20"/>
              </w:rPr>
              <w:t xml:space="preserve">Agreement for the provision of Services made between the Buyer and the </w:t>
            </w:r>
          </w:p>
          <w:p w:rsidR="00E11179" w:rsidRDefault="007E1E99">
            <w:pPr>
              <w:spacing w:after="0" w:line="259" w:lineRule="auto"/>
              <w:ind w:left="0" w:firstLine="0"/>
            </w:pPr>
            <w:r>
              <w:rPr>
                <w:sz w:val="20"/>
              </w:rPr>
              <w:t xml:space="preserve">Supplier comprising the Order Form, the Call-Off terms and conditions, the </w:t>
            </w:r>
          </w:p>
          <w:p w:rsidR="00E11179" w:rsidRDefault="007E1E99">
            <w:pPr>
              <w:spacing w:after="0" w:line="259" w:lineRule="auto"/>
              <w:ind w:left="0" w:firstLine="0"/>
            </w:pPr>
            <w:r>
              <w:rPr>
                <w:sz w:val="20"/>
              </w:rPr>
              <w:t xml:space="preserve">Call-Off schedules and the Collaboration Agreement.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Charges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prices (excluding any applicable VAT), payable to the Supplier by the Buyer under this Call-Off Contract.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Collaboration Agreement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N/A </w:t>
            </w:r>
          </w:p>
        </w:tc>
      </w:tr>
      <w:tr w:rsidR="00E11179">
        <w:trPr>
          <w:trHeight w:val="94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Commercially Sensitive Information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Information, which the Buyer has been notified about by the Supplier in writing before the Start Date with full details of why the Information is deemed to be commercially sensitive. </w:t>
            </w:r>
          </w:p>
        </w:tc>
      </w:tr>
    </w:tbl>
    <w:p w:rsidR="00E11179" w:rsidRDefault="00E11179">
      <w:pPr>
        <w:spacing w:after="0" w:line="259" w:lineRule="auto"/>
        <w:ind w:left="-708" w:right="145" w:firstLine="0"/>
      </w:pPr>
    </w:p>
    <w:tbl>
      <w:tblPr>
        <w:tblStyle w:val="TableGrid"/>
        <w:tblW w:w="10599" w:type="dxa"/>
        <w:tblInd w:w="-100" w:type="dxa"/>
        <w:tblCellMar>
          <w:top w:w="165" w:type="dxa"/>
          <w:left w:w="100" w:type="dxa"/>
          <w:right w:w="68" w:type="dxa"/>
        </w:tblCellMar>
        <w:tblLook w:val="04A0" w:firstRow="1" w:lastRow="0" w:firstColumn="1" w:lastColumn="0" w:noHBand="0" w:noVBand="1"/>
      </w:tblPr>
      <w:tblGrid>
        <w:gridCol w:w="3438"/>
        <w:gridCol w:w="7161"/>
      </w:tblGrid>
      <w:tr w:rsidR="00E11179">
        <w:trPr>
          <w:trHeight w:val="2387"/>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Confidential Information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20" w:line="251" w:lineRule="auto"/>
              <w:ind w:left="0" w:firstLine="0"/>
              <w:jc w:val="both"/>
            </w:pPr>
            <w:r>
              <w:rPr>
                <w:sz w:val="20"/>
              </w:rPr>
              <w:t xml:space="preserve">Data, personal data and any information, which may include (but isn’t limited to) any: </w:t>
            </w:r>
          </w:p>
          <w:p w:rsidR="00E11179" w:rsidRDefault="007E1E99">
            <w:pPr>
              <w:numPr>
                <w:ilvl w:val="0"/>
                <w:numId w:val="52"/>
              </w:numPr>
              <w:spacing w:after="20" w:line="251" w:lineRule="auto"/>
              <w:ind w:left="720" w:right="6" w:hanging="360"/>
            </w:pPr>
            <w:r>
              <w:rPr>
                <w:sz w:val="20"/>
              </w:rPr>
              <w:t xml:space="preserve">information about business, affairs, developments, trade secrets, know-how, personnel, and third parties, including all Intellectual Property Rights (IPRs), together with all information derived from any of the above </w:t>
            </w:r>
          </w:p>
          <w:p w:rsidR="00E11179" w:rsidRDefault="007E1E99">
            <w:pPr>
              <w:numPr>
                <w:ilvl w:val="0"/>
                <w:numId w:val="52"/>
              </w:numPr>
              <w:spacing w:after="0" w:line="259" w:lineRule="auto"/>
              <w:ind w:left="720" w:right="6"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Control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‘Control’ as defined in section 1124 and 450 of the Corporation Tax </w:t>
            </w:r>
          </w:p>
          <w:p w:rsidR="00E11179" w:rsidRDefault="007E1E99">
            <w:pPr>
              <w:spacing w:after="0" w:line="259" w:lineRule="auto"/>
              <w:ind w:left="0" w:firstLine="0"/>
            </w:pPr>
            <w:r>
              <w:rPr>
                <w:sz w:val="20"/>
              </w:rPr>
              <w:t xml:space="preserve">Act 2010. 'Controls' and 'Controlled' will be interpreted accordingly.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Controller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color w:val="353535"/>
                <w:sz w:val="20"/>
              </w:rPr>
              <w:t>Takes the meaning given in the GDPR.</w:t>
            </w:r>
            <w:r>
              <w:rPr>
                <w:sz w:val="20"/>
              </w:rPr>
              <w:t xml:space="preserve"> </w:t>
            </w:r>
          </w:p>
        </w:tc>
      </w:tr>
      <w:tr w:rsidR="00E11179">
        <w:trPr>
          <w:trHeight w:val="142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Crown </w:t>
            </w:r>
          </w:p>
          <w:p w:rsidR="00E11179" w:rsidRDefault="007E1E99">
            <w:pPr>
              <w:spacing w:after="0" w:line="259" w:lineRule="auto"/>
              <w:ind w:left="0" w:firstLine="0"/>
            </w:pPr>
            <w:r>
              <w:rPr>
                <w:b/>
                <w:sz w:val="20"/>
              </w:rPr>
              <w:t xml:space="preserv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government of the United Kingdom (including the Northern Ireland </w:t>
            </w:r>
          </w:p>
          <w:p w:rsidR="00E11179" w:rsidRDefault="007E1E99">
            <w:pPr>
              <w:spacing w:after="0" w:line="259" w:lineRule="auto"/>
              <w:ind w:left="0" w:firstLine="0"/>
            </w:pPr>
            <w:r>
              <w:rPr>
                <w:sz w:val="20"/>
              </w:rPr>
              <w:t xml:space="preserve">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E11179">
        <w:trPr>
          <w:trHeight w:val="118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Data Loss Event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1" w:lineRule="auto"/>
              <w:ind w:left="0" w:right="21" w:firstLine="0"/>
            </w:pPr>
            <w:r>
              <w:rPr>
                <w:sz w:val="20"/>
              </w:rPr>
              <w:t xml:space="preserve">event that results, or may result, in unauthorised access to Personal Data held by the Processor under this Framework Agreement and/or actual or potential loss and/or destruction of Personal Data in breach of this </w:t>
            </w:r>
          </w:p>
          <w:p w:rsidR="00E11179" w:rsidRDefault="007E1E99">
            <w:pPr>
              <w:spacing w:after="0" w:line="259" w:lineRule="auto"/>
              <w:ind w:left="0" w:firstLine="0"/>
            </w:pPr>
            <w:r>
              <w:rPr>
                <w:sz w:val="20"/>
              </w:rPr>
              <w:t xml:space="preserve">Agreement, including any Personal Data Breach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color w:val="353535"/>
                <w:sz w:val="20"/>
              </w:rPr>
              <w:t xml:space="preserve">Data Protection Impact Assessment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color w:val="353535"/>
                <w:sz w:val="20"/>
              </w:rPr>
              <w:t xml:space="preserve">An assessment by the Controller of the impact of the envisaged Processing on the protection of Personal Data. </w:t>
            </w:r>
          </w:p>
        </w:tc>
      </w:tr>
      <w:tr w:rsidR="00E11179">
        <w:trPr>
          <w:trHeight w:val="2387"/>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Data Protection Legislation (DPL)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tabs>
                <w:tab w:val="center" w:pos="1562"/>
                <w:tab w:val="center" w:pos="3603"/>
              </w:tabs>
              <w:spacing w:after="0" w:line="259" w:lineRule="auto"/>
              <w:ind w:left="0" w:firstLine="0"/>
            </w:pPr>
            <w:r>
              <w:rPr>
                <w:rFonts w:ascii="Calibri" w:eastAsia="Calibri" w:hAnsi="Calibri" w:cs="Calibri"/>
                <w:sz w:val="22"/>
              </w:rPr>
              <w:tab/>
            </w:r>
            <w:r>
              <w:rPr>
                <w:sz w:val="20"/>
              </w:rPr>
              <w:t>Data Protection Legislation means:</w:t>
            </w:r>
            <w:r>
              <w:rPr>
                <w:sz w:val="20"/>
              </w:rPr>
              <w:tab/>
              <w:t xml:space="preserve"> </w:t>
            </w:r>
          </w:p>
          <w:p w:rsidR="00E11179" w:rsidRDefault="007E1E99">
            <w:pPr>
              <w:spacing w:after="12" w:line="259" w:lineRule="auto"/>
              <w:ind w:left="0" w:firstLine="0"/>
            </w:pPr>
            <w:r>
              <w:rPr>
                <w:sz w:val="20"/>
              </w:rPr>
              <w:t xml:space="preserve"> </w:t>
            </w:r>
          </w:p>
          <w:p w:rsidR="00E11179" w:rsidRDefault="007E1E99">
            <w:pPr>
              <w:numPr>
                <w:ilvl w:val="0"/>
                <w:numId w:val="53"/>
              </w:numPr>
              <w:spacing w:after="0" w:line="259" w:lineRule="auto"/>
              <w:ind w:hanging="721"/>
            </w:pPr>
            <w:r>
              <w:rPr>
                <w:sz w:val="20"/>
              </w:rPr>
              <w:t>(</w:t>
            </w:r>
            <w:proofErr w:type="spellStart"/>
            <w:r>
              <w:rPr>
                <w:sz w:val="20"/>
              </w:rPr>
              <w:t>i</w:t>
            </w:r>
            <w:proofErr w:type="spellEnd"/>
            <w:r>
              <w:rPr>
                <w:sz w:val="20"/>
              </w:rPr>
              <w:t xml:space="preserve">) the GDPR, the LED and any applicable national implementing </w:t>
            </w:r>
          </w:p>
          <w:p w:rsidR="00E11179" w:rsidRDefault="007E1E99">
            <w:pPr>
              <w:spacing w:after="12" w:line="259" w:lineRule="auto"/>
              <w:ind w:left="1081" w:firstLine="0"/>
            </w:pPr>
            <w:r>
              <w:rPr>
                <w:sz w:val="20"/>
              </w:rPr>
              <w:t xml:space="preserve">Laws as amended from time to time  </w:t>
            </w:r>
          </w:p>
          <w:p w:rsidR="00E11179" w:rsidRDefault="007E1E99">
            <w:pPr>
              <w:numPr>
                <w:ilvl w:val="0"/>
                <w:numId w:val="53"/>
              </w:numPr>
              <w:spacing w:after="20" w:line="251" w:lineRule="auto"/>
              <w:ind w:hanging="721"/>
            </w:pPr>
            <w:r>
              <w:rPr>
                <w:sz w:val="20"/>
              </w:rPr>
              <w:t xml:space="preserve">(ii) the DPA </w:t>
            </w:r>
            <w:proofErr w:type="gramStart"/>
            <w:r>
              <w:rPr>
                <w:sz w:val="20"/>
              </w:rPr>
              <w:t>2018  to</w:t>
            </w:r>
            <w:proofErr w:type="gramEnd"/>
            <w:r>
              <w:rPr>
                <w:sz w:val="20"/>
              </w:rPr>
              <w:t xml:space="preserve"> the extent that it relates to Processing of personal data and privacy; </w:t>
            </w:r>
          </w:p>
          <w:p w:rsidR="00E11179" w:rsidRDefault="007E1E99">
            <w:pPr>
              <w:numPr>
                <w:ilvl w:val="0"/>
                <w:numId w:val="53"/>
              </w:numPr>
              <w:spacing w:after="0" w:line="259" w:lineRule="auto"/>
              <w:ind w:hanging="721"/>
            </w:pPr>
            <w:r>
              <w:rPr>
                <w:sz w:val="20"/>
              </w:rPr>
              <w:t xml:space="preserve">(iii) all applicable Law about the Processing of personal data and privacy including if applicable legally binding guidance and codes of practice issued by the Information </w:t>
            </w:r>
            <w:proofErr w:type="gramStart"/>
            <w:r>
              <w:rPr>
                <w:sz w:val="20"/>
              </w:rPr>
              <w:t>Commissioner .</w:t>
            </w:r>
            <w:proofErr w:type="gramEnd"/>
            <w:r>
              <w:rPr>
                <w:sz w:val="20"/>
              </w:rPr>
              <w:t xml:space="preserve">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Data Subject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color w:val="353535"/>
                <w:sz w:val="20"/>
              </w:rPr>
              <w:t>Takes the meaning given in the GDPR</w:t>
            </w:r>
            <w:r>
              <w:rPr>
                <w:sz w:val="20"/>
              </w:rPr>
              <w:t xml:space="preserve"> </w:t>
            </w:r>
          </w:p>
        </w:tc>
      </w:tr>
      <w:tr w:rsidR="00E11179">
        <w:trPr>
          <w:trHeight w:val="2717"/>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Default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12" w:line="259" w:lineRule="auto"/>
              <w:ind w:left="0" w:firstLine="0"/>
            </w:pPr>
            <w:r>
              <w:rPr>
                <w:sz w:val="20"/>
              </w:rPr>
              <w:t xml:space="preserve">Default is any: </w:t>
            </w:r>
          </w:p>
          <w:p w:rsidR="00E11179" w:rsidRDefault="007E1E99">
            <w:pPr>
              <w:numPr>
                <w:ilvl w:val="0"/>
                <w:numId w:val="54"/>
              </w:numPr>
              <w:spacing w:after="20" w:line="251" w:lineRule="auto"/>
              <w:ind w:left="720" w:hanging="360"/>
            </w:pPr>
            <w:r>
              <w:rPr>
                <w:sz w:val="20"/>
              </w:rPr>
              <w:t xml:space="preserve">breach of the obligations of the Supplier (including any fundamental breach or breach of a fundamental term) </w:t>
            </w:r>
          </w:p>
          <w:p w:rsidR="00E11179" w:rsidRDefault="007E1E99">
            <w:pPr>
              <w:numPr>
                <w:ilvl w:val="0"/>
                <w:numId w:val="54"/>
              </w:numPr>
              <w:spacing w:after="0" w:line="251" w:lineRule="auto"/>
              <w:ind w:left="720" w:hanging="360"/>
            </w:pPr>
            <w:r>
              <w:rPr>
                <w:sz w:val="20"/>
              </w:rPr>
              <w:t xml:space="preserve">other default, negligence or negligent statement of the Supplier, of its Subcontractors or any Supplier Staff (whether by act or omission), in connection with or in relation to this Call-Off Contract </w:t>
            </w:r>
          </w:p>
          <w:p w:rsidR="00E11179" w:rsidRDefault="007E1E99">
            <w:pPr>
              <w:spacing w:after="0" w:line="259" w:lineRule="auto"/>
              <w:ind w:left="0" w:firstLine="0"/>
            </w:pPr>
            <w:r>
              <w:rPr>
                <w:sz w:val="20"/>
              </w:rPr>
              <w:t xml:space="preserve"> </w:t>
            </w:r>
          </w:p>
          <w:p w:rsidR="00E11179" w:rsidRDefault="007E1E99">
            <w:pPr>
              <w:spacing w:after="0" w:line="259" w:lineRule="auto"/>
              <w:ind w:left="0" w:firstLine="0"/>
            </w:pPr>
            <w:r>
              <w:rPr>
                <w:sz w:val="20"/>
              </w:rPr>
              <w:t xml:space="preserve">Unless otherwise specified in the Framework Agreement the Supplier is liable to CCS for a Default of the Framework Agreement and in relation to a Default of the Call-Off Contract, the Supplier is liable to the Buyer.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Deliverable(s)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G-Cloud Services the Buyer contracts the Supplier to provide under this Call-Off Contract.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Digital Marketplace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The government marketplace where Services are available for Buyers to buy. (</w:t>
            </w:r>
            <w:r>
              <w:rPr>
                <w:rFonts w:ascii="Calibri" w:eastAsia="Calibri" w:hAnsi="Calibri" w:cs="Calibri"/>
                <w:sz w:val="20"/>
              </w:rPr>
              <w:t>​</w:t>
            </w:r>
            <w:hyperlink r:id="rId35">
              <w:r>
                <w:rPr>
                  <w:color w:val="1155CC"/>
                  <w:sz w:val="20"/>
                  <w:u w:val="single" w:color="1155CC"/>
                </w:rPr>
                <w:t>https://www.digitalmarketplace.service.gov.uk</w:t>
              </w:r>
            </w:hyperlink>
            <w:r>
              <w:rPr>
                <w:rFonts w:ascii="Calibri" w:eastAsia="Calibri" w:hAnsi="Calibri" w:cs="Calibri"/>
                <w:color w:val="1155CC"/>
                <w:sz w:val="20"/>
                <w:u w:val="single" w:color="1155CC"/>
              </w:rPr>
              <w:t>​</w:t>
            </w:r>
            <w:hyperlink r:id="rId36">
              <w:r>
                <w:rPr>
                  <w:sz w:val="20"/>
                </w:rPr>
                <w:t>/</w:t>
              </w:r>
            </w:hyperlink>
            <w:r>
              <w:rPr>
                <w:sz w:val="20"/>
              </w:rPr>
              <w:t xml:space="preserve">)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DPA 2018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color w:val="353535"/>
                <w:sz w:val="20"/>
              </w:rPr>
              <w:t>Data Protection Act 2018.</w:t>
            </w:r>
            <w:r>
              <w:rPr>
                <w:sz w:val="20"/>
              </w:rPr>
              <w:t xml:space="preserve"> </w:t>
            </w:r>
          </w:p>
        </w:tc>
      </w:tr>
    </w:tbl>
    <w:p w:rsidR="00E11179" w:rsidRDefault="00E11179">
      <w:pPr>
        <w:spacing w:after="0" w:line="259" w:lineRule="auto"/>
        <w:ind w:left="-708" w:right="145" w:firstLine="0"/>
      </w:pPr>
    </w:p>
    <w:tbl>
      <w:tblPr>
        <w:tblStyle w:val="TableGrid"/>
        <w:tblW w:w="10599" w:type="dxa"/>
        <w:tblInd w:w="-100" w:type="dxa"/>
        <w:tblCellMar>
          <w:top w:w="165" w:type="dxa"/>
          <w:left w:w="100" w:type="dxa"/>
          <w:right w:w="63" w:type="dxa"/>
        </w:tblCellMar>
        <w:tblLook w:val="04A0" w:firstRow="1" w:lastRow="0" w:firstColumn="1" w:lastColumn="0" w:noHBand="0" w:noVBand="1"/>
      </w:tblPr>
      <w:tblGrid>
        <w:gridCol w:w="3438"/>
        <w:gridCol w:w="7161"/>
      </w:tblGrid>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Employment Regulations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right="4" w:firstLine="0"/>
            </w:pPr>
            <w:r>
              <w:rPr>
                <w:sz w:val="20"/>
              </w:rPr>
              <w:t xml:space="preserve">The Transfer of Undertakings (Protection of Employment) Regulations 2006 (SI 2006/246) (‘TUPE’) which implements the Acquired Rights Directive.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End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Means to terminate; and Ended and Ending are construed accordingly. </w:t>
            </w:r>
          </w:p>
        </w:tc>
      </w:tr>
      <w:tr w:rsidR="00E11179">
        <w:trPr>
          <w:trHeight w:val="94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Environmental Information Regulations or EIR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Environmental Information Regulations 2004 together with any guidance or codes of practice issued by the Information Commissioner or relevant Government department about the regulations. </w:t>
            </w:r>
          </w:p>
        </w:tc>
      </w:tr>
      <w:tr w:rsidR="00E11179">
        <w:trPr>
          <w:trHeight w:val="118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Equipment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ESI Reference Number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w:t>
            </w:r>
            <w:proofErr w:type="gramStart"/>
            <w:r>
              <w:rPr>
                <w:sz w:val="20"/>
              </w:rPr>
              <w:t>14 digit</w:t>
            </w:r>
            <w:proofErr w:type="gramEnd"/>
            <w:r>
              <w:rPr>
                <w:sz w:val="20"/>
              </w:rPr>
              <w:t xml:space="preserve"> ESI reference number from the summary of outcome screen of the ESI tool. </w:t>
            </w:r>
          </w:p>
        </w:tc>
      </w:tr>
      <w:tr w:rsidR="00E11179">
        <w:trPr>
          <w:trHeight w:val="94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Employment Status Indicator test tool or ESI tool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HMRC Employment Status Indicator test tool. The most up-to-date version must be used. At the time of drafting the tool may be found here: </w:t>
            </w:r>
            <w:hyperlink r:id="rId37">
              <w:r>
                <w:rPr>
                  <w:color w:val="1155CC"/>
                  <w:sz w:val="20"/>
                  <w:u w:val="single" w:color="1155CC"/>
                </w:rPr>
                <w:t>http://tools.hmrc.gov.uk/esi</w:t>
              </w:r>
            </w:hyperlink>
            <w:hyperlink r:id="rId38">
              <w:r>
                <w:rPr>
                  <w:sz w:val="20"/>
                </w:rPr>
                <w:t xml:space="preserve"> </w:t>
              </w:r>
            </w:hyperlink>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Expiry Date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expiry date of this Call-Off Contract in the Order Form. </w:t>
            </w:r>
          </w:p>
        </w:tc>
      </w:tr>
      <w:tr w:rsidR="00E11179">
        <w:trPr>
          <w:trHeight w:val="5990"/>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Force Majeure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1" w:lineRule="auto"/>
              <w:ind w:left="0" w:right="23" w:firstLine="0"/>
            </w:pPr>
            <w:r>
              <w:rPr>
                <w:sz w:val="20"/>
              </w:rPr>
              <w:t xml:space="preserve">A Force Majeure event means anything affecting either Party's performance of their obligations arising from any: </w:t>
            </w:r>
          </w:p>
          <w:p w:rsidR="00E11179" w:rsidRDefault="007E1E99">
            <w:pPr>
              <w:spacing w:after="12" w:line="259" w:lineRule="auto"/>
              <w:ind w:left="0" w:firstLine="0"/>
            </w:pPr>
            <w:r>
              <w:rPr>
                <w:sz w:val="20"/>
              </w:rPr>
              <w:t xml:space="preserve"> </w:t>
            </w:r>
          </w:p>
          <w:p w:rsidR="00E11179" w:rsidRDefault="007E1E99">
            <w:pPr>
              <w:numPr>
                <w:ilvl w:val="0"/>
                <w:numId w:val="55"/>
              </w:numPr>
              <w:spacing w:after="20" w:line="251" w:lineRule="auto"/>
              <w:ind w:left="720" w:hanging="360"/>
            </w:pPr>
            <w:r>
              <w:rPr>
                <w:sz w:val="20"/>
              </w:rPr>
              <w:t xml:space="preserve">acts, events or omissions beyond the reasonable control of the affected Party </w:t>
            </w:r>
          </w:p>
          <w:p w:rsidR="00E11179" w:rsidRDefault="007E1E99">
            <w:pPr>
              <w:numPr>
                <w:ilvl w:val="0"/>
                <w:numId w:val="55"/>
              </w:numPr>
              <w:spacing w:after="20" w:line="251" w:lineRule="auto"/>
              <w:ind w:left="720" w:hanging="360"/>
            </w:pPr>
            <w:r>
              <w:rPr>
                <w:sz w:val="20"/>
              </w:rPr>
              <w:t xml:space="preserve">riots, war or armed conflict, acts of terrorism, nuclear, biological or chemical warfare </w:t>
            </w:r>
          </w:p>
          <w:p w:rsidR="00E11179" w:rsidRDefault="007E1E99">
            <w:pPr>
              <w:numPr>
                <w:ilvl w:val="0"/>
                <w:numId w:val="55"/>
              </w:numPr>
              <w:spacing w:after="12" w:line="259" w:lineRule="auto"/>
              <w:ind w:left="720" w:hanging="360"/>
            </w:pPr>
            <w:r>
              <w:rPr>
                <w:sz w:val="20"/>
              </w:rPr>
              <w:t xml:space="preserve">acts of government, local government or Regulatory Bodies </w:t>
            </w:r>
          </w:p>
          <w:p w:rsidR="00E11179" w:rsidRDefault="007E1E99">
            <w:pPr>
              <w:numPr>
                <w:ilvl w:val="0"/>
                <w:numId w:val="55"/>
              </w:numPr>
              <w:spacing w:after="12" w:line="259" w:lineRule="auto"/>
              <w:ind w:left="720" w:hanging="360"/>
            </w:pPr>
            <w:r>
              <w:rPr>
                <w:sz w:val="20"/>
              </w:rPr>
              <w:t xml:space="preserve">fire, flood or disaster and any failure or shortage of power or fuel </w:t>
            </w:r>
          </w:p>
          <w:p w:rsidR="00E11179" w:rsidRDefault="007E1E99">
            <w:pPr>
              <w:numPr>
                <w:ilvl w:val="0"/>
                <w:numId w:val="55"/>
              </w:numPr>
              <w:spacing w:after="0" w:line="251" w:lineRule="auto"/>
              <w:ind w:left="720" w:hanging="360"/>
            </w:pPr>
            <w:r>
              <w:rPr>
                <w:sz w:val="20"/>
              </w:rPr>
              <w:t xml:space="preserve">industrial dispute affecting a third party for which a substitute third party isn’t reasonably available </w:t>
            </w:r>
          </w:p>
          <w:p w:rsidR="00E11179" w:rsidRDefault="007E1E99">
            <w:pPr>
              <w:spacing w:after="0" w:line="259" w:lineRule="auto"/>
              <w:ind w:left="0" w:firstLine="0"/>
            </w:pPr>
            <w:r>
              <w:rPr>
                <w:sz w:val="20"/>
              </w:rPr>
              <w:t xml:space="preserve"> </w:t>
            </w:r>
          </w:p>
          <w:p w:rsidR="00E11179" w:rsidRDefault="007E1E99">
            <w:pPr>
              <w:spacing w:after="0" w:line="259" w:lineRule="auto"/>
              <w:ind w:left="0" w:firstLine="0"/>
            </w:pPr>
            <w:r>
              <w:rPr>
                <w:sz w:val="20"/>
              </w:rPr>
              <w:t xml:space="preserve">The following do not constitute a Force Majeure event: </w:t>
            </w:r>
          </w:p>
          <w:p w:rsidR="00E11179" w:rsidRDefault="007E1E99">
            <w:pPr>
              <w:spacing w:after="12" w:line="259" w:lineRule="auto"/>
              <w:ind w:left="0" w:firstLine="0"/>
            </w:pPr>
            <w:r>
              <w:rPr>
                <w:sz w:val="20"/>
              </w:rPr>
              <w:t xml:space="preserve"> </w:t>
            </w:r>
          </w:p>
          <w:p w:rsidR="00E11179" w:rsidRDefault="007E1E99">
            <w:pPr>
              <w:numPr>
                <w:ilvl w:val="0"/>
                <w:numId w:val="55"/>
              </w:numPr>
              <w:spacing w:after="20" w:line="251" w:lineRule="auto"/>
              <w:ind w:left="720" w:hanging="360"/>
            </w:pPr>
            <w:r>
              <w:rPr>
                <w:sz w:val="20"/>
              </w:rPr>
              <w:t xml:space="preserve">any industrial dispute about the Supplier, its staff, or failure in the Supplier’s (or a Subcontractor's) supply chain </w:t>
            </w:r>
          </w:p>
          <w:p w:rsidR="00E11179" w:rsidRDefault="007E1E99">
            <w:pPr>
              <w:numPr>
                <w:ilvl w:val="0"/>
                <w:numId w:val="55"/>
              </w:numPr>
              <w:spacing w:after="20" w:line="251" w:lineRule="auto"/>
              <w:ind w:left="720" w:hanging="360"/>
            </w:pPr>
            <w:r>
              <w:rPr>
                <w:sz w:val="20"/>
              </w:rPr>
              <w:t xml:space="preserve">any event which is attributable to the wilful act, neglect or failure to take reasonable precautions by the Party seeking to rely on Force Majeure </w:t>
            </w:r>
          </w:p>
          <w:p w:rsidR="00E11179" w:rsidRDefault="007E1E99">
            <w:pPr>
              <w:numPr>
                <w:ilvl w:val="0"/>
                <w:numId w:val="55"/>
              </w:numPr>
              <w:spacing w:after="20" w:line="251" w:lineRule="auto"/>
              <w:ind w:left="720" w:hanging="360"/>
            </w:pPr>
            <w:r>
              <w:rPr>
                <w:sz w:val="20"/>
              </w:rPr>
              <w:t xml:space="preserve">the event was foreseeable by the Party seeking to rely on Force Majeure at the time this Call-Off Contract was entered into </w:t>
            </w:r>
          </w:p>
          <w:p w:rsidR="00E11179" w:rsidRDefault="007E1E99">
            <w:pPr>
              <w:numPr>
                <w:ilvl w:val="0"/>
                <w:numId w:val="55"/>
              </w:numPr>
              <w:spacing w:after="0" w:line="259" w:lineRule="auto"/>
              <w:ind w:left="720" w:hanging="360"/>
            </w:pPr>
            <w:r>
              <w:rPr>
                <w:sz w:val="20"/>
              </w:rPr>
              <w:t xml:space="preserve">any event which is attributable to the Party seeking to rely on Force Majeure and its failure to comply with its own business continuity and disaster recovery plans </w:t>
            </w:r>
          </w:p>
        </w:tc>
      </w:tr>
      <w:tr w:rsidR="00E11179">
        <w:trPr>
          <w:trHeight w:val="94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Former Supplier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 supplier supplying services to the Buyer before the Start Date that are the same as or substantially similar to the Services. This also includes any Subcontractor or the Supplier (or any subcontractor of the Subcontractor).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Framework Agreement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clauses of framework agreement RM1557.11 together with the Framework Schedules. </w:t>
            </w:r>
          </w:p>
        </w:tc>
      </w:tr>
      <w:tr w:rsidR="00E11179">
        <w:trPr>
          <w:trHeight w:val="118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Fraud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1" w:lineRule="auto"/>
              <w:ind w:left="0" w:firstLine="0"/>
            </w:pPr>
            <w:r>
              <w:rPr>
                <w:sz w:val="20"/>
              </w:rPr>
              <w:t xml:space="preserve">Any offence under Laws creating offences in respect of fraudulent acts (including the Misrepresentation Act 1967) or at common law in respect of </w:t>
            </w:r>
          </w:p>
          <w:p w:rsidR="00E11179" w:rsidRDefault="007E1E99">
            <w:pPr>
              <w:spacing w:after="0" w:line="259" w:lineRule="auto"/>
              <w:ind w:left="0" w:firstLine="0"/>
            </w:pPr>
            <w:r>
              <w:rPr>
                <w:sz w:val="20"/>
              </w:rPr>
              <w:t xml:space="preserve">fraudulent acts in relation to this Call-Off Contract or defrauding or </w:t>
            </w:r>
          </w:p>
          <w:p w:rsidR="00E11179" w:rsidRDefault="007E1E99">
            <w:pPr>
              <w:spacing w:after="0" w:line="259" w:lineRule="auto"/>
              <w:ind w:left="0" w:firstLine="0"/>
            </w:pPr>
            <w:r>
              <w:rPr>
                <w:sz w:val="20"/>
              </w:rPr>
              <w:t xml:space="preserve">attempting to defraud or conspiring to defraud the Crown. </w:t>
            </w:r>
          </w:p>
        </w:tc>
      </w:tr>
    </w:tbl>
    <w:p w:rsidR="00E11179" w:rsidRDefault="00E11179">
      <w:pPr>
        <w:spacing w:after="0" w:line="259" w:lineRule="auto"/>
        <w:ind w:left="-708" w:right="145" w:firstLine="0"/>
      </w:pPr>
    </w:p>
    <w:tbl>
      <w:tblPr>
        <w:tblStyle w:val="TableGrid"/>
        <w:tblW w:w="10599" w:type="dxa"/>
        <w:tblInd w:w="-100" w:type="dxa"/>
        <w:tblCellMar>
          <w:top w:w="165" w:type="dxa"/>
          <w:left w:w="100" w:type="dxa"/>
          <w:right w:w="60" w:type="dxa"/>
        </w:tblCellMar>
        <w:tblLook w:val="04A0" w:firstRow="1" w:lastRow="0" w:firstColumn="1" w:lastColumn="0" w:noHBand="0" w:noVBand="1"/>
      </w:tblPr>
      <w:tblGrid>
        <w:gridCol w:w="3438"/>
        <w:gridCol w:w="7161"/>
      </w:tblGrid>
      <w:tr w:rsidR="00E11179">
        <w:trPr>
          <w:trHeight w:val="118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Freedom of Information Act or </w:t>
            </w:r>
            <w:proofErr w:type="spellStart"/>
            <w:r>
              <w:rPr>
                <w:b/>
                <w:sz w:val="20"/>
              </w:rPr>
              <w:t>FoIA</w:t>
            </w:r>
            <w:proofErr w:type="spellEnd"/>
            <w:r>
              <w:rPr>
                <w:b/>
                <w:sz w:val="20"/>
              </w:rPr>
              <w:t xml:space="preserv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E11179">
        <w:trPr>
          <w:trHeight w:val="142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G-Cloud Services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right="36" w:firstLine="0"/>
            </w:pPr>
            <w:r>
              <w:rPr>
                <w:sz w:val="20"/>
              </w:rP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GDPR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color w:val="353535"/>
                <w:sz w:val="20"/>
              </w:rPr>
              <w:t>The General Data Protection Regulation (Regulation (EU) 2016/679).</w:t>
            </w:r>
            <w:r>
              <w:rPr>
                <w:sz w:val="20"/>
              </w:rPr>
              <w:t xml:space="preserve"> </w:t>
            </w:r>
          </w:p>
        </w:tc>
      </w:tr>
      <w:tr w:rsidR="00E11179">
        <w:trPr>
          <w:trHeight w:val="142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Good Industry Practice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E11179">
        <w:trPr>
          <w:trHeight w:val="118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Government Procurement Card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1" w:lineRule="auto"/>
              <w:ind w:left="0" w:right="41" w:firstLine="0"/>
            </w:pPr>
            <w:r>
              <w:rPr>
                <w:sz w:val="20"/>
              </w:rPr>
              <w:t xml:space="preserve">The Government’s preferred method of purchasing and payment for low value goods or services </w:t>
            </w:r>
          </w:p>
          <w:p w:rsidR="00E11179" w:rsidRDefault="007E1E99">
            <w:pPr>
              <w:spacing w:after="0" w:line="259" w:lineRule="auto"/>
              <w:ind w:left="0" w:firstLine="0"/>
            </w:pPr>
            <w:r>
              <w:rPr>
                <w:sz w:val="20"/>
              </w:rPr>
              <w:t>https://www.gov.uk/government/publications/government-procurement-card</w:t>
            </w:r>
          </w:p>
          <w:p w:rsidR="00E11179" w:rsidRDefault="007E1E99">
            <w:pPr>
              <w:spacing w:after="0" w:line="259" w:lineRule="auto"/>
              <w:ind w:left="0" w:firstLine="0"/>
            </w:pPr>
            <w:r>
              <w:rPr>
                <w:sz w:val="20"/>
              </w:rPr>
              <w:t xml:space="preserve">--2.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Guarantee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guarantee described in Schedule 5. </w:t>
            </w:r>
          </w:p>
        </w:tc>
      </w:tr>
      <w:tr w:rsidR="00E11179">
        <w:trPr>
          <w:trHeight w:val="118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Guidance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Any current UK Government Guidance on the Public Contracts Regulations </w:t>
            </w:r>
          </w:p>
          <w:p w:rsidR="00E11179" w:rsidRDefault="007E1E99">
            <w:pPr>
              <w:spacing w:after="0" w:line="251" w:lineRule="auto"/>
              <w:ind w:left="0" w:right="3" w:firstLine="0"/>
            </w:pPr>
            <w:r>
              <w:rPr>
                <w:sz w:val="20"/>
              </w:rPr>
              <w:t xml:space="preserve">2015. In the event of a conflict between any current UK Government Guidance and the Crown Commercial Service Guidance, current UK </w:t>
            </w:r>
          </w:p>
          <w:p w:rsidR="00E11179" w:rsidRDefault="007E1E99">
            <w:pPr>
              <w:spacing w:after="0" w:line="259" w:lineRule="auto"/>
              <w:ind w:left="0" w:firstLine="0"/>
            </w:pPr>
            <w:r>
              <w:rPr>
                <w:sz w:val="20"/>
              </w:rPr>
              <w:t xml:space="preserve">Government Guidance will take precedence. </w:t>
            </w:r>
          </w:p>
        </w:tc>
      </w:tr>
      <w:tr w:rsidR="00E11179">
        <w:trPr>
          <w:trHeight w:val="94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Implementation Plan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plan with an outline of processes (including data standards for migration), costs (for example) of implementing the services which may be required as part of Onboarding.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Indicative Test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ESI tool completed by contractors on their own behalf at the request of CCS or the Buyer (as applicable) under clause 4.6.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Information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right="321" w:firstLine="0"/>
            </w:pPr>
            <w:r>
              <w:rPr>
                <w:sz w:val="20"/>
              </w:rPr>
              <w:t xml:space="preserve">Has the meaning given under section 84 of the Freedom of Information Act </w:t>
            </w:r>
            <w:proofErr w:type="gramStart"/>
            <w:r>
              <w:rPr>
                <w:sz w:val="20"/>
              </w:rPr>
              <w:t>2000.</w:t>
            </w:r>
            <w:proofErr w:type="gramEnd"/>
            <w:r>
              <w:rPr>
                <w:sz w:val="20"/>
              </w:rPr>
              <w:t xml:space="preserve">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right="29" w:firstLine="0"/>
            </w:pPr>
            <w:r>
              <w:rPr>
                <w:b/>
                <w:sz w:val="20"/>
              </w:rPr>
              <w:t xml:space="preserve">Information Security Management System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information security management system and process developed by the Supplier in accordance with clause 16.1.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Inside IR35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Contractual engagements which would be determined to be within the scope of the IR35 Intermediaries legislation if assessed using the ESI tool. </w:t>
            </w:r>
          </w:p>
        </w:tc>
      </w:tr>
      <w:tr w:rsidR="00E11179">
        <w:trPr>
          <w:trHeight w:val="166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Insolvency Event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12" w:line="259" w:lineRule="auto"/>
              <w:ind w:left="0" w:firstLine="0"/>
            </w:pPr>
            <w:r>
              <w:rPr>
                <w:sz w:val="20"/>
              </w:rPr>
              <w:t xml:space="preserve">Can be: </w:t>
            </w:r>
          </w:p>
          <w:p w:rsidR="00E11179" w:rsidRDefault="007E1E99">
            <w:pPr>
              <w:numPr>
                <w:ilvl w:val="0"/>
                <w:numId w:val="56"/>
              </w:numPr>
              <w:spacing w:after="13" w:line="259" w:lineRule="auto"/>
              <w:ind w:left="720" w:hanging="360"/>
            </w:pPr>
            <w:r>
              <w:rPr>
                <w:sz w:val="20"/>
              </w:rPr>
              <w:t xml:space="preserve">a voluntary arrangement </w:t>
            </w:r>
          </w:p>
          <w:p w:rsidR="00E11179" w:rsidRDefault="007E1E99">
            <w:pPr>
              <w:numPr>
                <w:ilvl w:val="0"/>
                <w:numId w:val="56"/>
              </w:numPr>
              <w:spacing w:after="13" w:line="259" w:lineRule="auto"/>
              <w:ind w:left="720" w:hanging="360"/>
            </w:pPr>
            <w:r>
              <w:rPr>
                <w:sz w:val="20"/>
              </w:rPr>
              <w:t xml:space="preserve">a winding-up petition </w:t>
            </w:r>
          </w:p>
          <w:p w:rsidR="00E11179" w:rsidRDefault="007E1E99">
            <w:pPr>
              <w:numPr>
                <w:ilvl w:val="0"/>
                <w:numId w:val="56"/>
              </w:numPr>
              <w:spacing w:after="12" w:line="259" w:lineRule="auto"/>
              <w:ind w:left="720" w:hanging="360"/>
            </w:pPr>
            <w:r>
              <w:rPr>
                <w:sz w:val="20"/>
              </w:rPr>
              <w:t xml:space="preserve">the appointment of a receiver or administrator </w:t>
            </w:r>
          </w:p>
          <w:p w:rsidR="00E11179" w:rsidRDefault="007E1E99">
            <w:pPr>
              <w:numPr>
                <w:ilvl w:val="0"/>
                <w:numId w:val="56"/>
              </w:numPr>
              <w:spacing w:after="13" w:line="259" w:lineRule="auto"/>
              <w:ind w:left="720" w:hanging="360"/>
            </w:pPr>
            <w:r>
              <w:rPr>
                <w:sz w:val="20"/>
              </w:rPr>
              <w:t xml:space="preserve">an unresolved statutory demand  </w:t>
            </w:r>
          </w:p>
          <w:p w:rsidR="00E11179" w:rsidRDefault="007E1E99">
            <w:pPr>
              <w:numPr>
                <w:ilvl w:val="0"/>
                <w:numId w:val="56"/>
              </w:numPr>
              <w:spacing w:after="0" w:line="259" w:lineRule="auto"/>
              <w:ind w:left="720" w:hanging="360"/>
            </w:pPr>
            <w:r>
              <w:rPr>
                <w:sz w:val="20"/>
              </w:rPr>
              <w:t xml:space="preserve">a Schedule A1 moratorium. </w:t>
            </w:r>
          </w:p>
        </w:tc>
      </w:tr>
      <w:tr w:rsidR="00E11179">
        <w:trPr>
          <w:trHeight w:val="166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right="29" w:firstLine="0"/>
            </w:pPr>
            <w:r>
              <w:rPr>
                <w:b/>
                <w:sz w:val="20"/>
              </w:rPr>
              <w:t xml:space="preserve">Intellectual Property Rights or IPR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12" w:line="259" w:lineRule="auto"/>
              <w:ind w:left="0" w:firstLine="0"/>
            </w:pPr>
            <w:r>
              <w:rPr>
                <w:sz w:val="20"/>
              </w:rPr>
              <w:t xml:space="preserve">Intellectual Property Rights are: </w:t>
            </w:r>
          </w:p>
          <w:p w:rsidR="00E11179" w:rsidRDefault="007E1E99">
            <w:pPr>
              <w:spacing w:after="0" w:line="259" w:lineRule="auto"/>
              <w:ind w:left="720" w:right="47" w:hanging="360"/>
            </w:pPr>
            <w:r>
              <w:rPr>
                <w:sz w:val="20"/>
              </w:rPr>
              <w:t xml:space="preserve">●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w:t>
            </w:r>
          </w:p>
        </w:tc>
      </w:tr>
    </w:tbl>
    <w:p w:rsidR="00E11179" w:rsidRDefault="00E11179">
      <w:pPr>
        <w:spacing w:after="0" w:line="259" w:lineRule="auto"/>
        <w:ind w:left="-708" w:right="145" w:firstLine="0"/>
      </w:pPr>
    </w:p>
    <w:tbl>
      <w:tblPr>
        <w:tblStyle w:val="TableGrid"/>
        <w:tblW w:w="10599" w:type="dxa"/>
        <w:tblInd w:w="-100" w:type="dxa"/>
        <w:tblCellMar>
          <w:top w:w="165" w:type="dxa"/>
          <w:left w:w="100" w:type="dxa"/>
          <w:right w:w="87" w:type="dxa"/>
        </w:tblCellMar>
        <w:tblLook w:val="04A0" w:firstRow="1" w:lastRow="0" w:firstColumn="1" w:lastColumn="0" w:noHBand="0" w:noVBand="1"/>
      </w:tblPr>
      <w:tblGrid>
        <w:gridCol w:w="3438"/>
        <w:gridCol w:w="7161"/>
      </w:tblGrid>
      <w:tr w:rsidR="00E11179">
        <w:trPr>
          <w:trHeight w:val="1666"/>
        </w:trPr>
        <w:tc>
          <w:tcPr>
            <w:tcW w:w="3438" w:type="dxa"/>
            <w:tcBorders>
              <w:top w:val="single" w:sz="6" w:space="0" w:color="000000"/>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12" w:line="259" w:lineRule="auto"/>
              <w:ind w:left="721" w:firstLine="0"/>
            </w:pPr>
            <w:r>
              <w:rPr>
                <w:sz w:val="20"/>
              </w:rPr>
              <w:t xml:space="preserve">Confidential Information </w:t>
            </w:r>
          </w:p>
          <w:p w:rsidR="00E11179" w:rsidRDefault="007E1E99">
            <w:pPr>
              <w:numPr>
                <w:ilvl w:val="0"/>
                <w:numId w:val="57"/>
              </w:numPr>
              <w:spacing w:after="20" w:line="251" w:lineRule="auto"/>
              <w:ind w:left="720" w:hanging="360"/>
            </w:pPr>
            <w:r>
              <w:rPr>
                <w:sz w:val="20"/>
              </w:rPr>
              <w:t xml:space="preserve">applications for registration, and the right to apply for registration, for any of the rights listed at (a) that are capable of being registered in any country or jurisdiction </w:t>
            </w:r>
          </w:p>
          <w:p w:rsidR="00E11179" w:rsidRDefault="007E1E99">
            <w:pPr>
              <w:numPr>
                <w:ilvl w:val="0"/>
                <w:numId w:val="57"/>
              </w:numPr>
              <w:spacing w:after="0" w:line="259" w:lineRule="auto"/>
              <w:ind w:left="720" w:hanging="360"/>
            </w:pPr>
            <w:r>
              <w:rPr>
                <w:sz w:val="20"/>
              </w:rPr>
              <w:t xml:space="preserve">all other rights having equivalent or similar effect in any country or jurisdiction </w:t>
            </w:r>
          </w:p>
        </w:tc>
      </w:tr>
      <w:tr w:rsidR="00E11179">
        <w:trPr>
          <w:trHeight w:val="1907"/>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Intermediary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12" w:line="259" w:lineRule="auto"/>
              <w:ind w:left="0" w:firstLine="0"/>
            </w:pPr>
            <w:r>
              <w:rPr>
                <w:sz w:val="20"/>
              </w:rPr>
              <w:t xml:space="preserve">For the purposes of the IR35 rules an intermediary can be: </w:t>
            </w:r>
          </w:p>
          <w:p w:rsidR="00E11179" w:rsidRDefault="007E1E99">
            <w:pPr>
              <w:numPr>
                <w:ilvl w:val="0"/>
                <w:numId w:val="58"/>
              </w:numPr>
              <w:spacing w:after="13" w:line="259" w:lineRule="auto"/>
              <w:ind w:left="720" w:hanging="360"/>
            </w:pPr>
            <w:r>
              <w:rPr>
                <w:sz w:val="20"/>
              </w:rPr>
              <w:t xml:space="preserve">the supplier's own limited company </w:t>
            </w:r>
          </w:p>
          <w:p w:rsidR="00E11179" w:rsidRDefault="007E1E99">
            <w:pPr>
              <w:numPr>
                <w:ilvl w:val="0"/>
                <w:numId w:val="58"/>
              </w:numPr>
              <w:spacing w:after="12" w:line="259" w:lineRule="auto"/>
              <w:ind w:left="720" w:hanging="360"/>
            </w:pPr>
            <w:r>
              <w:rPr>
                <w:sz w:val="20"/>
              </w:rPr>
              <w:t xml:space="preserve">a service or a personal service company </w:t>
            </w:r>
          </w:p>
          <w:p w:rsidR="00E11179" w:rsidRDefault="007E1E99">
            <w:pPr>
              <w:numPr>
                <w:ilvl w:val="0"/>
                <w:numId w:val="58"/>
              </w:numPr>
              <w:spacing w:after="0" w:line="259" w:lineRule="auto"/>
              <w:ind w:left="720" w:hanging="360"/>
            </w:pPr>
            <w:r>
              <w:rPr>
                <w:sz w:val="20"/>
              </w:rPr>
              <w:t xml:space="preserve">a partnership </w:t>
            </w:r>
          </w:p>
          <w:p w:rsidR="00E11179" w:rsidRDefault="007E1E99">
            <w:pPr>
              <w:spacing w:after="0" w:line="259" w:lineRule="auto"/>
              <w:ind w:left="0" w:firstLine="0"/>
            </w:pPr>
            <w:r>
              <w:rPr>
                <w:sz w:val="20"/>
              </w:rPr>
              <w:t xml:space="preserve"> </w:t>
            </w:r>
          </w:p>
          <w:p w:rsidR="00E11179" w:rsidRDefault="007E1E99">
            <w:pPr>
              <w:spacing w:after="0" w:line="259" w:lineRule="auto"/>
              <w:ind w:left="0" w:firstLine="0"/>
            </w:pPr>
            <w:r>
              <w:rPr>
                <w:sz w:val="20"/>
              </w:rPr>
              <w:t xml:space="preserve">It does not apply if you work for a client through a Managed Service </w:t>
            </w:r>
          </w:p>
          <w:p w:rsidR="00E11179" w:rsidRDefault="007E1E99">
            <w:pPr>
              <w:spacing w:after="0" w:line="259" w:lineRule="auto"/>
              <w:ind w:left="0" w:firstLine="0"/>
            </w:pPr>
            <w:r>
              <w:rPr>
                <w:sz w:val="20"/>
              </w:rPr>
              <w:t xml:space="preserve">Company (MSC) or agency (for example, an employment agency).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IPR Claim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As set out in clause 11.5. </w:t>
            </w:r>
          </w:p>
        </w:tc>
      </w:tr>
      <w:tr w:rsidR="00E11179">
        <w:trPr>
          <w:trHeight w:val="94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IR35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IR35 is also known as ‘Intermediaries legislation’. It’s a set of rules that affect tax and National Insurance where a Supplier is contracted to work for a client through an Intermediary.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IR35 Assessment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Assessment of employment status using the ESI tool to determine if engagement is Inside or Outside IR35. </w:t>
            </w:r>
          </w:p>
        </w:tc>
      </w:tr>
      <w:tr w:rsidR="00E11179">
        <w:trPr>
          <w:trHeight w:val="118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Know-How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E11179">
        <w:trPr>
          <w:trHeight w:val="142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Law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LED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color w:val="353535"/>
                <w:sz w:val="20"/>
              </w:rPr>
              <w:t>Law Enforcement Directive (EU) 2016/680.</w:t>
            </w:r>
            <w:r>
              <w:rPr>
                <w:sz w:val="20"/>
              </w:rPr>
              <w:t xml:space="preserve"> </w:t>
            </w:r>
          </w:p>
        </w:tc>
      </w:tr>
      <w:tr w:rsidR="00E11179">
        <w:trPr>
          <w:trHeight w:val="142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 </w:t>
            </w:r>
          </w:p>
          <w:p w:rsidR="00E11179" w:rsidRDefault="007E1E99">
            <w:pPr>
              <w:spacing w:after="0" w:line="259" w:lineRule="auto"/>
              <w:ind w:left="0" w:firstLine="0"/>
            </w:pPr>
            <w:r>
              <w:rPr>
                <w:b/>
                <w:sz w:val="20"/>
              </w:rPr>
              <w:t xml:space="preserve">Loss </w:t>
            </w:r>
          </w:p>
          <w:p w:rsidR="00E11179" w:rsidRDefault="007E1E99">
            <w:pPr>
              <w:spacing w:after="0" w:line="259" w:lineRule="auto"/>
              <w:ind w:left="0" w:firstLine="0"/>
            </w:pPr>
            <w:r>
              <w:rPr>
                <w:b/>
                <w:sz w:val="20"/>
              </w:rPr>
              <w:t xml:space="preserve"> </w:t>
            </w:r>
          </w:p>
          <w:p w:rsidR="00E11179" w:rsidRDefault="007E1E99">
            <w:pPr>
              <w:spacing w:after="0" w:line="259" w:lineRule="auto"/>
              <w:ind w:left="0" w:firstLine="0"/>
            </w:pPr>
            <w:r>
              <w:rPr>
                <w:b/>
                <w:sz w:val="20"/>
              </w:rPr>
              <w:t xml:space="preserv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right="6"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Calibri" w:eastAsia="Calibri" w:hAnsi="Calibri" w:cs="Calibri"/>
                <w:sz w:val="20"/>
              </w:rPr>
              <w:t>​</w:t>
            </w:r>
            <w:r>
              <w:rPr>
                <w:b/>
                <w:sz w:val="20"/>
              </w:rPr>
              <w:t>Losses</w:t>
            </w:r>
            <w:r>
              <w:rPr>
                <w:rFonts w:ascii="Calibri" w:eastAsia="Calibri" w:hAnsi="Calibri" w:cs="Calibri"/>
                <w:sz w:val="20"/>
              </w:rPr>
              <w:t>​</w:t>
            </w:r>
            <w:r>
              <w:rPr>
                <w:sz w:val="20"/>
              </w:rPr>
              <w:t xml:space="preserve">' will be interpreted accordingly.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Lot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Any of the 3 Lots specified in the ITT and Lots will be construed accordingly. </w:t>
            </w:r>
          </w:p>
        </w:tc>
      </w:tr>
      <w:tr w:rsidR="00E11179">
        <w:trPr>
          <w:trHeight w:val="142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Malicious Software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1" w:lineRule="auto"/>
              <w:ind w:left="0" w:firstLine="0"/>
            </w:pPr>
            <w:r>
              <w:rPr>
                <w:sz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
          <w:p w:rsidR="00E11179" w:rsidRDefault="007E1E99">
            <w:pPr>
              <w:spacing w:after="0" w:line="259" w:lineRule="auto"/>
              <w:ind w:left="0" w:firstLine="0"/>
            </w:pPr>
            <w:r>
              <w:rPr>
                <w:sz w:val="20"/>
              </w:rPr>
              <w:t xml:space="preserve">wilfully, negligently or without knowledge of its existence. </w:t>
            </w:r>
          </w:p>
        </w:tc>
      </w:tr>
      <w:tr w:rsidR="00E11179">
        <w:trPr>
          <w:trHeight w:val="118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Management Charge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Management Information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management information specified in Framework Agreement section 6 (What you report to CCS).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Material Breach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Those breaches which have been expressly set out as a material breach and </w:t>
            </w:r>
          </w:p>
        </w:tc>
      </w:tr>
    </w:tbl>
    <w:p w:rsidR="00E11179" w:rsidRDefault="00E11179">
      <w:pPr>
        <w:spacing w:after="0" w:line="259" w:lineRule="auto"/>
        <w:ind w:left="-708" w:right="145" w:firstLine="0"/>
      </w:pPr>
    </w:p>
    <w:tbl>
      <w:tblPr>
        <w:tblStyle w:val="TableGrid"/>
        <w:tblW w:w="10599" w:type="dxa"/>
        <w:tblInd w:w="-100" w:type="dxa"/>
        <w:tblCellMar>
          <w:top w:w="165" w:type="dxa"/>
          <w:left w:w="100" w:type="dxa"/>
          <w:right w:w="66" w:type="dxa"/>
        </w:tblCellMar>
        <w:tblLook w:val="04A0" w:firstRow="1" w:lastRow="0" w:firstColumn="1" w:lastColumn="0" w:noHBand="0" w:noVBand="1"/>
      </w:tblPr>
      <w:tblGrid>
        <w:gridCol w:w="3438"/>
        <w:gridCol w:w="7161"/>
      </w:tblGrid>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any other single serious breach or persistent failure to perform as required under this Call-Off Contract.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Ministry of Justice Code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Ministry of Justice’s Code of Practice on the Discharge of the Functions of Public Authorities under Part 1 of the Freedom of Information Act 2000. </w:t>
            </w:r>
          </w:p>
        </w:tc>
      </w:tr>
      <w:tr w:rsidR="00E11179">
        <w:trPr>
          <w:trHeight w:val="94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New Fair Deal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right="30" w:firstLine="0"/>
            </w:pPr>
            <w:r>
              <w:rPr>
                <w:sz w:val="20"/>
              </w:rPr>
              <w:t xml:space="preserve">The revised Fair Deal position in the HM Treasury guidance: “Fair Deal for staff pensions: staff transfer from central government” issued in October 2013 as amended.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Order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right="2" w:firstLine="0"/>
            </w:pPr>
            <w:r>
              <w:rPr>
                <w:sz w:val="20"/>
              </w:rPr>
              <w:t xml:space="preserve">An order for G-Cloud Services placed by a Contracting Body with the Supplier in accordance with the Ordering Processes.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Order Form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right="5" w:firstLine="0"/>
            </w:pPr>
            <w:r>
              <w:rPr>
                <w:sz w:val="20"/>
              </w:rPr>
              <w:t xml:space="preserve">The order form set out in Part A of the Call-Off Contract to be used by a Buyer to order G-Cloud Services.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Ordered G-Cloud Services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G-Cloud Services which are the subject of an Order by the Buyer.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Outside IR35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Party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Buyer or the Supplier and ‘Parties’ will be interpreted accordingly.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Personal Data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color w:val="353535"/>
                <w:sz w:val="20"/>
              </w:rPr>
              <w:t>Takes the meaning given in the GDPR.</w:t>
            </w:r>
            <w:r>
              <w:rPr>
                <w:sz w:val="20"/>
              </w:rPr>
              <w:t xml:space="preserve">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Personal Data Breach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color w:val="353535"/>
                <w:sz w:val="20"/>
              </w:rPr>
              <w:t xml:space="preserve">Takes the meaning given in the GDPR.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Processing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color w:val="353535"/>
                <w:sz w:val="20"/>
              </w:rPr>
              <w:t xml:space="preserve">Takes the meaning given in the </w:t>
            </w:r>
            <w:r>
              <w:rPr>
                <w:rFonts w:ascii="Calibri" w:eastAsia="Calibri" w:hAnsi="Calibri" w:cs="Calibri"/>
                <w:color w:val="353535"/>
                <w:sz w:val="20"/>
              </w:rPr>
              <w:t>​</w:t>
            </w:r>
            <w:r>
              <w:rPr>
                <w:sz w:val="20"/>
              </w:rPr>
              <w:t xml:space="preserve">GDPR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Processor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color w:val="353535"/>
                <w:sz w:val="20"/>
              </w:rPr>
              <w:t>Takes the meaning given in the GDPR.</w:t>
            </w:r>
            <w:r>
              <w:rPr>
                <w:sz w:val="20"/>
              </w:rPr>
              <w:t xml:space="preserve"> </w:t>
            </w:r>
          </w:p>
        </w:tc>
      </w:tr>
      <w:tr w:rsidR="00E11179">
        <w:trPr>
          <w:trHeight w:val="3108"/>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Prohibited Act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20" w:line="251" w:lineRule="auto"/>
              <w:ind w:left="0" w:right="958" w:firstLine="0"/>
            </w:pPr>
            <w:r>
              <w:rPr>
                <w:sz w:val="20"/>
              </w:rPr>
              <w:t xml:space="preserve">To directly or indirectly offer, promise or give any person working for or engaged by a Buyer or CCS a financial or other advantage to: </w:t>
            </w:r>
          </w:p>
          <w:p w:rsidR="00E11179" w:rsidRDefault="007E1E99">
            <w:pPr>
              <w:numPr>
                <w:ilvl w:val="0"/>
                <w:numId w:val="59"/>
              </w:numPr>
              <w:spacing w:after="0" w:line="259" w:lineRule="auto"/>
              <w:ind w:left="720" w:hanging="360"/>
            </w:pPr>
            <w:r>
              <w:rPr>
                <w:sz w:val="20"/>
              </w:rPr>
              <w:t xml:space="preserve">induce that person to perform improperly a relevant function or </w:t>
            </w:r>
          </w:p>
          <w:p w:rsidR="00E11179" w:rsidRDefault="007E1E99">
            <w:pPr>
              <w:spacing w:after="12" w:line="259" w:lineRule="auto"/>
              <w:ind w:left="721" w:firstLine="0"/>
            </w:pPr>
            <w:r>
              <w:rPr>
                <w:sz w:val="20"/>
              </w:rPr>
              <w:t xml:space="preserve">activity </w:t>
            </w:r>
          </w:p>
          <w:p w:rsidR="00E11179" w:rsidRDefault="007E1E99">
            <w:pPr>
              <w:numPr>
                <w:ilvl w:val="0"/>
                <w:numId w:val="59"/>
              </w:numPr>
              <w:spacing w:after="0" w:line="259" w:lineRule="auto"/>
              <w:ind w:left="720" w:hanging="360"/>
            </w:pPr>
            <w:r>
              <w:rPr>
                <w:sz w:val="20"/>
              </w:rPr>
              <w:t xml:space="preserve">reward that person for improper performance of a relevant function or </w:t>
            </w:r>
          </w:p>
          <w:p w:rsidR="00E11179" w:rsidRDefault="007E1E99">
            <w:pPr>
              <w:spacing w:after="12" w:line="259" w:lineRule="auto"/>
              <w:ind w:left="721" w:firstLine="0"/>
            </w:pPr>
            <w:r>
              <w:rPr>
                <w:sz w:val="20"/>
              </w:rPr>
              <w:t xml:space="preserve">activity </w:t>
            </w:r>
          </w:p>
          <w:p w:rsidR="00E11179" w:rsidRDefault="007E1E99">
            <w:pPr>
              <w:numPr>
                <w:ilvl w:val="0"/>
                <w:numId w:val="59"/>
              </w:numPr>
              <w:spacing w:after="13" w:line="259" w:lineRule="auto"/>
              <w:ind w:left="720" w:hanging="360"/>
            </w:pPr>
            <w:r>
              <w:rPr>
                <w:sz w:val="20"/>
              </w:rPr>
              <w:t xml:space="preserve">commit any offence: </w:t>
            </w:r>
          </w:p>
          <w:p w:rsidR="00E11179" w:rsidRDefault="007E1E99">
            <w:pPr>
              <w:spacing w:after="13" w:line="259" w:lineRule="auto"/>
              <w:ind w:left="1081" w:firstLine="0"/>
            </w:pPr>
            <w:r>
              <w:rPr>
                <w:sz w:val="20"/>
              </w:rPr>
              <w:t xml:space="preserve">○ under the Bribery Act 2010 </w:t>
            </w:r>
          </w:p>
          <w:p w:rsidR="00E11179" w:rsidRDefault="007E1E99">
            <w:pPr>
              <w:spacing w:after="12" w:line="259" w:lineRule="auto"/>
              <w:ind w:left="1081" w:firstLine="0"/>
            </w:pPr>
            <w:r>
              <w:rPr>
                <w:sz w:val="20"/>
              </w:rPr>
              <w:t xml:space="preserve">○ under legislation creating offences concerning Fraud </w:t>
            </w:r>
          </w:p>
          <w:p w:rsidR="00E11179" w:rsidRDefault="007E1E99">
            <w:pPr>
              <w:spacing w:after="13" w:line="259" w:lineRule="auto"/>
              <w:ind w:left="1081" w:firstLine="0"/>
            </w:pPr>
            <w:r>
              <w:rPr>
                <w:sz w:val="20"/>
              </w:rPr>
              <w:t xml:space="preserve">○ at common Law concerning Fraud </w:t>
            </w:r>
          </w:p>
          <w:p w:rsidR="00E11179" w:rsidRDefault="007E1E99">
            <w:pPr>
              <w:spacing w:after="0" w:line="259" w:lineRule="auto"/>
              <w:ind w:left="1081" w:firstLine="0"/>
            </w:pPr>
            <w:r>
              <w:rPr>
                <w:sz w:val="20"/>
              </w:rPr>
              <w:t xml:space="preserve">○ committing or attempting or conspiring to commit Fraud </w:t>
            </w:r>
          </w:p>
        </w:tc>
      </w:tr>
      <w:tr w:rsidR="00E11179">
        <w:trPr>
          <w:trHeight w:val="142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Project Specific IPRs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Property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Assets and property including technical infrastructure, IPRs and equipment.  </w:t>
            </w:r>
          </w:p>
        </w:tc>
      </w:tr>
      <w:tr w:rsidR="00E11179">
        <w:trPr>
          <w:trHeight w:val="166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Protective Measures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color w:val="353535"/>
                <w:sz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rPr>
                <w:sz w:val="20"/>
              </w:rPr>
              <w:t xml:space="preserve">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PSN or Public Services Network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Public Services Network (PSN) is the Government’s high-performance </w:t>
            </w:r>
          </w:p>
        </w:tc>
      </w:tr>
    </w:tbl>
    <w:p w:rsidR="00E11179" w:rsidRDefault="00E11179">
      <w:pPr>
        <w:spacing w:after="0" w:line="259" w:lineRule="auto"/>
        <w:ind w:left="-708" w:right="145" w:firstLine="0"/>
      </w:pPr>
    </w:p>
    <w:tbl>
      <w:tblPr>
        <w:tblStyle w:val="TableGrid"/>
        <w:tblW w:w="10599" w:type="dxa"/>
        <w:tblInd w:w="-100" w:type="dxa"/>
        <w:tblCellMar>
          <w:top w:w="165" w:type="dxa"/>
          <w:left w:w="100" w:type="dxa"/>
          <w:right w:w="104" w:type="dxa"/>
        </w:tblCellMar>
        <w:tblLook w:val="04A0" w:firstRow="1" w:lastRow="0" w:firstColumn="1" w:lastColumn="0" w:noHBand="0" w:noVBand="1"/>
      </w:tblPr>
      <w:tblGrid>
        <w:gridCol w:w="3438"/>
        <w:gridCol w:w="7161"/>
      </w:tblGrid>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E11179">
            <w:pPr>
              <w:spacing w:after="160" w:line="259" w:lineRule="auto"/>
              <w:ind w:left="0" w:firstLine="0"/>
            </w:pP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network which helps public sector organisations work together, reduce duplication and share resources. </w:t>
            </w:r>
          </w:p>
        </w:tc>
      </w:tr>
      <w:tr w:rsidR="00E11179">
        <w:trPr>
          <w:trHeight w:val="94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Regulatory Body or Bodies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Government departments and other bodies which, whether under statute, codes of practice or otherwise, are entitled to investigate or influence the matters dealt with in this Call-Off Contract. </w:t>
            </w:r>
          </w:p>
        </w:tc>
      </w:tr>
      <w:tr w:rsidR="00E11179">
        <w:trPr>
          <w:trHeight w:val="94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Relevant Person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Any employee, agent, servant, or representative of the Buyer, any other public body or person employed by or on behalf of the Buyer, or any other public body.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Relevant Transfer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 transfer of employment to which the Employment Regulations applies. </w:t>
            </w:r>
          </w:p>
        </w:tc>
      </w:tr>
      <w:tr w:rsidR="00E11179">
        <w:trPr>
          <w:trHeight w:val="118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Replacement Services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 </w:t>
            </w:r>
          </w:p>
        </w:tc>
      </w:tr>
      <w:tr w:rsidR="00E11179">
        <w:trPr>
          <w:trHeight w:val="94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Replacement Supplier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Any third-party service provider of Replacement Services appointed by the Buyer (or where the Buyer is providing replacement Services for its own account, the Buyer).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Security Management Plan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Supplier's security management plan developed by the Supplier in accordance with clause 16.1.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Services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services ordered by the Buyer as set out in the Order Form.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Service Data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Data that is owned or managed by the Buyer and used for the G-Cloud Services, including backup data. </w:t>
            </w:r>
          </w:p>
        </w:tc>
      </w:tr>
      <w:tr w:rsidR="00E11179">
        <w:trPr>
          <w:trHeight w:val="94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Service Definition(s)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definition of the Supplier's G-Cloud </w:t>
            </w:r>
            <w:proofErr w:type="gramStart"/>
            <w:r>
              <w:rPr>
                <w:sz w:val="20"/>
              </w:rPr>
              <w:t>Services  provided</w:t>
            </w:r>
            <w:proofErr w:type="gramEnd"/>
            <w:r>
              <w:rPr>
                <w:sz w:val="20"/>
              </w:rPr>
              <w:t xml:space="preserve"> as part of their </w:t>
            </w:r>
          </w:p>
          <w:p w:rsidR="00E11179" w:rsidRDefault="007E1E99">
            <w:pPr>
              <w:spacing w:after="0" w:line="259" w:lineRule="auto"/>
              <w:ind w:left="0" w:firstLine="0"/>
            </w:pPr>
            <w:r>
              <w:rPr>
                <w:sz w:val="20"/>
              </w:rPr>
              <w:t xml:space="preserve">Application that includes, but isn’t limited to, those items listed in Section 2 (Services Offered) of the Framework Agreement.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Service Description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description of the Supplier service offering as published on the Digital Marketplace. </w:t>
            </w:r>
          </w:p>
        </w:tc>
      </w:tr>
      <w:tr w:rsidR="00E11179">
        <w:trPr>
          <w:trHeight w:val="94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Service Personal Data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Personal Data supplied by a Buyer to the Supplier in the course of the use of the G-Cloud Services for purposes of or in connection with this Call-Off Contract. </w:t>
            </w:r>
          </w:p>
        </w:tc>
      </w:tr>
      <w:tr w:rsidR="00E11179">
        <w:trPr>
          <w:trHeight w:val="118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Spend Controls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approval process used by a central government Buyer if it needs to spend money on certain digital or technology services, see </w:t>
            </w:r>
            <w:hyperlink r:id="rId39">
              <w:r>
                <w:rPr>
                  <w:color w:val="1155CC"/>
                  <w:sz w:val="20"/>
                  <w:u w:val="single" w:color="1155CC"/>
                </w:rPr>
                <w:t xml:space="preserve">https://www.gov.uk/service-manual/agile-delivery/spend-controls-check-if-y </w:t>
              </w:r>
            </w:hyperlink>
            <w:hyperlink r:id="rId40">
              <w:proofErr w:type="spellStart"/>
              <w:r>
                <w:rPr>
                  <w:color w:val="1155CC"/>
                  <w:sz w:val="20"/>
                  <w:u w:val="single" w:color="1155CC"/>
                </w:rPr>
                <w:t>ou</w:t>
              </w:r>
              <w:proofErr w:type="spellEnd"/>
              <w:r>
                <w:rPr>
                  <w:color w:val="1155CC"/>
                  <w:sz w:val="20"/>
                  <w:u w:val="single" w:color="1155CC"/>
                </w:rPr>
                <w:t>-need-approval-to-spend-money-on-a-service</w:t>
              </w:r>
            </w:hyperlink>
            <w:hyperlink r:id="rId41">
              <w:r>
                <w:rPr>
                  <w:sz w:val="20"/>
                </w:rPr>
                <w:t xml:space="preserve"> </w:t>
              </w:r>
            </w:hyperlink>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Start Date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start date of this Call-Off Contract as set out in the Order Form. </w:t>
            </w:r>
          </w:p>
        </w:tc>
      </w:tr>
      <w:tr w:rsidR="00E11179">
        <w:trPr>
          <w:trHeight w:val="118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Subcontract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E11179">
        <w:trPr>
          <w:trHeight w:val="94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Subcontractor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Any third party engaged by the Supplier under a Subcontract (permitted under the Framework Agreement and the Call-Off Contract) and its servants or agents in connection with the provision of G-Cloud Services.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proofErr w:type="spellStart"/>
            <w:r>
              <w:rPr>
                <w:b/>
                <w:sz w:val="20"/>
              </w:rPr>
              <w:t>Subprocessor</w:t>
            </w:r>
            <w:proofErr w:type="spellEnd"/>
            <w:r>
              <w:rPr>
                <w:b/>
                <w:sz w:val="20"/>
              </w:rPr>
              <w:t xml:space="preserv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color w:val="353535"/>
                <w:sz w:val="20"/>
              </w:rPr>
              <w:t>Any third party appointed to process Personal Data on behalf of the Supplier under this Call-Off Contract.</w:t>
            </w:r>
            <w:r>
              <w:rPr>
                <w:sz w:val="20"/>
              </w:rPr>
              <w:t xml:space="preserve">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Supplier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color w:val="353535"/>
                <w:sz w:val="20"/>
              </w:rPr>
              <w:t xml:space="preserve">The person, firm or company identified in the Order Form.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Supplier Representative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representative appointed by the Supplier from time to time in relation to the Call-Off Contract. </w:t>
            </w:r>
          </w:p>
        </w:tc>
      </w:tr>
      <w:tr w:rsidR="00E11179">
        <w:trPr>
          <w:trHeight w:val="94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Supplier Staff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All persons employed by the Supplier together with the Supplier’s servants, agents, suppliers and Subcontractors used in the performance of its obligations under this Call-Off Contract.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Supplier Terms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relevant G-Cloud Service terms and conditions as set out in the Terms and Conditions document supplied as part of the Supplier’s Application.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Term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The term of this Call-Off Contract as set out in the Order Form.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Variation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This has the meaning given to it in clause 32 (Variation process). </w:t>
            </w:r>
          </w:p>
        </w:tc>
      </w:tr>
      <w:tr w:rsidR="00E11179">
        <w:trPr>
          <w:trHeight w:val="706"/>
        </w:trPr>
        <w:tc>
          <w:tcPr>
            <w:tcW w:w="3438"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b/>
                <w:sz w:val="20"/>
              </w:rPr>
              <w:t xml:space="preserve">Working Days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Any day other than a Saturday, Sunday or public holiday in England and Wales. </w:t>
            </w:r>
          </w:p>
        </w:tc>
      </w:tr>
      <w:tr w:rsidR="00E11179">
        <w:trPr>
          <w:trHeight w:val="465"/>
        </w:trPr>
        <w:tc>
          <w:tcPr>
            <w:tcW w:w="3438"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b/>
                <w:sz w:val="20"/>
              </w:rPr>
              <w:t xml:space="preserve">Year </w:t>
            </w:r>
          </w:p>
        </w:tc>
        <w:tc>
          <w:tcPr>
            <w:tcW w:w="7161" w:type="dxa"/>
            <w:tcBorders>
              <w:top w:val="single" w:sz="6" w:space="0" w:color="000000"/>
              <w:left w:val="single" w:sz="6" w:space="0" w:color="000000"/>
              <w:bottom w:val="single" w:sz="6" w:space="0" w:color="000000"/>
              <w:right w:val="single" w:sz="6" w:space="0" w:color="000000"/>
            </w:tcBorders>
            <w:vAlign w:val="center"/>
          </w:tcPr>
          <w:p w:rsidR="00E11179" w:rsidRDefault="007E1E99">
            <w:pPr>
              <w:spacing w:after="0" w:line="259" w:lineRule="auto"/>
              <w:ind w:left="0" w:firstLine="0"/>
            </w:pPr>
            <w:r>
              <w:rPr>
                <w:sz w:val="20"/>
              </w:rPr>
              <w:t xml:space="preserve">A contract year. </w:t>
            </w:r>
          </w:p>
        </w:tc>
      </w:tr>
    </w:tbl>
    <w:p w:rsidR="00E11179" w:rsidRDefault="007E1E99">
      <w:pPr>
        <w:spacing w:after="197" w:line="259" w:lineRule="auto"/>
        <w:ind w:left="0" w:firstLine="0"/>
        <w:jc w:val="both"/>
      </w:pPr>
      <w:r>
        <w:t xml:space="preserve"> </w:t>
      </w:r>
    </w:p>
    <w:p w:rsidR="00E11179" w:rsidRDefault="007E1E99">
      <w:pPr>
        <w:spacing w:after="0" w:line="259" w:lineRule="auto"/>
        <w:ind w:left="0" w:firstLine="0"/>
        <w:jc w:val="both"/>
      </w:pPr>
      <w:r>
        <w:rPr>
          <w:sz w:val="22"/>
        </w:rPr>
        <w:t xml:space="preserve"> </w:t>
      </w:r>
      <w:r>
        <w:br w:type="page"/>
      </w:r>
    </w:p>
    <w:p w:rsidR="00E11179" w:rsidRDefault="007E1E99">
      <w:pPr>
        <w:spacing w:after="158" w:line="259" w:lineRule="auto"/>
        <w:ind w:left="445"/>
      </w:pPr>
      <w:r>
        <w:rPr>
          <w:b/>
          <w:sz w:val="32"/>
        </w:rPr>
        <w:t xml:space="preserve">Schedule 7 - GDPR Information </w:t>
      </w:r>
      <w:r>
        <w:rPr>
          <w:sz w:val="32"/>
        </w:rPr>
        <w:t xml:space="preserve"> </w:t>
      </w:r>
    </w:p>
    <w:p w:rsidR="00E11179" w:rsidRDefault="007E1E99">
      <w:pPr>
        <w:spacing w:after="7"/>
      </w:pPr>
      <w:r>
        <w:t xml:space="preserve">This schedule reproduces the annexes to the GDPR schedule contained within the Framework </w:t>
      </w:r>
    </w:p>
    <w:p w:rsidR="00E11179" w:rsidRDefault="007E1E99">
      <w:pPr>
        <w:spacing w:after="202"/>
      </w:pPr>
      <w:r>
        <w:t xml:space="preserve">Agreement and incorporated into this Call-off Contract.  </w:t>
      </w:r>
    </w:p>
    <w:p w:rsidR="00E11179" w:rsidRDefault="007E1E99">
      <w:pPr>
        <w:pStyle w:val="Heading2"/>
        <w:spacing w:after="227"/>
        <w:ind w:left="-5"/>
      </w:pPr>
      <w:r>
        <w:rPr>
          <w:sz w:val="24"/>
        </w:rPr>
        <w:t xml:space="preserve">Annex 1 - Processing Personal Data </w:t>
      </w:r>
    </w:p>
    <w:p w:rsidR="00E11179" w:rsidRDefault="007E1E99">
      <w:pPr>
        <w:spacing w:after="7"/>
      </w:pPr>
      <w:r>
        <w:t xml:space="preserve">This Annex shall be completed by the Controller, who may take account of the view of the </w:t>
      </w:r>
    </w:p>
    <w:p w:rsidR="00E11179" w:rsidRDefault="007E1E99">
      <w:r>
        <w:t xml:space="preserve">Processors, however the final decision as to the content of this Annex shall be with the Buyer at its absolute discretion.  </w:t>
      </w:r>
    </w:p>
    <w:p w:rsidR="00E11179" w:rsidRDefault="007E1E99" w:rsidP="00E4154A">
      <w:pPr>
        <w:tabs>
          <w:tab w:val="right" w:pos="10643"/>
        </w:tabs>
        <w:spacing w:after="0"/>
        <w:ind w:left="0" w:firstLine="0"/>
      </w:pPr>
      <w:r>
        <w:t>1.1</w:t>
      </w:r>
      <w:r>
        <w:tab/>
        <w:t xml:space="preserve">The contact details of the Buyer’s Data Protection Officer are: </w:t>
      </w:r>
      <w:r w:rsidR="00E4154A">
        <w:t>REDACTED</w:t>
      </w:r>
    </w:p>
    <w:p w:rsidR="00E4154A" w:rsidRDefault="007E1E99">
      <w:pPr>
        <w:spacing w:after="0"/>
        <w:ind w:left="721" w:hanging="721"/>
      </w:pPr>
      <w:r>
        <w:t xml:space="preserve">1.2 The contact details of the Supplier’s Data Protection Officer are: </w:t>
      </w:r>
      <w:r w:rsidR="00E4154A">
        <w:t>REDACTED</w:t>
      </w:r>
    </w:p>
    <w:p w:rsidR="00E11179" w:rsidRDefault="007E1E99">
      <w:pPr>
        <w:spacing w:after="0"/>
        <w:ind w:left="721" w:hanging="721"/>
      </w:pPr>
      <w:r>
        <w:t xml:space="preserve">1.3 The Processor shall comply with any further written instructions with respect to Processing by the Controller. </w:t>
      </w:r>
    </w:p>
    <w:p w:rsidR="00E11179" w:rsidRDefault="007E1E99">
      <w:pPr>
        <w:tabs>
          <w:tab w:val="center" w:pos="4287"/>
        </w:tabs>
        <w:spacing w:after="0"/>
        <w:ind w:left="0" w:firstLine="0"/>
      </w:pPr>
      <w:r>
        <w:t>1.4</w:t>
      </w:r>
      <w:r>
        <w:tab/>
        <w:t xml:space="preserve">Any such further instructions shall be incorporated into this Annex. </w:t>
      </w:r>
    </w:p>
    <w:p w:rsidR="00E11179" w:rsidRDefault="007E1E99">
      <w:pPr>
        <w:spacing w:after="0" w:line="259" w:lineRule="auto"/>
        <w:ind w:left="0" w:firstLine="0"/>
      </w:pPr>
      <w:r>
        <w:t xml:space="preserve"> </w:t>
      </w:r>
    </w:p>
    <w:tbl>
      <w:tblPr>
        <w:tblStyle w:val="TableGrid"/>
        <w:tblW w:w="9698" w:type="dxa"/>
        <w:tblInd w:w="-117" w:type="dxa"/>
        <w:tblCellMar>
          <w:top w:w="76" w:type="dxa"/>
          <w:left w:w="115" w:type="dxa"/>
          <w:right w:w="60" w:type="dxa"/>
        </w:tblCellMar>
        <w:tblLook w:val="04A0" w:firstRow="1" w:lastRow="0" w:firstColumn="1" w:lastColumn="0" w:noHBand="0" w:noVBand="1"/>
      </w:tblPr>
      <w:tblGrid>
        <w:gridCol w:w="2269"/>
        <w:gridCol w:w="7429"/>
      </w:tblGrid>
      <w:tr w:rsidR="00E11179">
        <w:trPr>
          <w:trHeight w:val="721"/>
        </w:trPr>
        <w:tc>
          <w:tcPr>
            <w:tcW w:w="2269" w:type="dxa"/>
            <w:tcBorders>
              <w:top w:val="single" w:sz="6" w:space="0" w:color="000000"/>
              <w:left w:val="single" w:sz="6" w:space="0" w:color="000000"/>
              <w:bottom w:val="single" w:sz="6" w:space="0" w:color="000000"/>
              <w:right w:val="single" w:sz="6" w:space="0" w:color="000000"/>
            </w:tcBorders>
            <w:shd w:val="clear" w:color="auto" w:fill="BFBFBF"/>
          </w:tcPr>
          <w:p w:rsidR="00E11179" w:rsidRDefault="007E1E99">
            <w:pPr>
              <w:spacing w:after="0" w:line="259" w:lineRule="auto"/>
              <w:ind w:left="2" w:firstLine="0"/>
            </w:pPr>
            <w:r>
              <w:rPr>
                <w:b/>
              </w:rPr>
              <w:t xml:space="preserve">Description </w:t>
            </w:r>
          </w:p>
        </w:tc>
        <w:tc>
          <w:tcPr>
            <w:tcW w:w="7429" w:type="dxa"/>
            <w:tcBorders>
              <w:top w:val="single" w:sz="6" w:space="0" w:color="000000"/>
              <w:left w:val="single" w:sz="6" w:space="0" w:color="000000"/>
              <w:bottom w:val="single" w:sz="6" w:space="0" w:color="000000"/>
              <w:right w:val="single" w:sz="6" w:space="0" w:color="000000"/>
            </w:tcBorders>
            <w:shd w:val="clear" w:color="auto" w:fill="BFBFBF"/>
          </w:tcPr>
          <w:p w:rsidR="00E11179" w:rsidRDefault="007E1E99">
            <w:pPr>
              <w:spacing w:after="0" w:line="259" w:lineRule="auto"/>
              <w:ind w:left="0" w:right="40" w:firstLine="0"/>
              <w:jc w:val="center"/>
            </w:pPr>
            <w:r>
              <w:rPr>
                <w:b/>
              </w:rPr>
              <w:t xml:space="preserve">Details </w:t>
            </w:r>
          </w:p>
        </w:tc>
      </w:tr>
      <w:tr w:rsidR="00E11179">
        <w:trPr>
          <w:trHeight w:val="2914"/>
        </w:trPr>
        <w:tc>
          <w:tcPr>
            <w:tcW w:w="2269" w:type="dxa"/>
            <w:tcBorders>
              <w:top w:val="single" w:sz="6" w:space="0" w:color="000000"/>
              <w:left w:val="single" w:sz="6" w:space="0" w:color="000000"/>
              <w:bottom w:val="single" w:sz="6" w:space="0" w:color="000000"/>
              <w:right w:val="single" w:sz="6" w:space="0" w:color="000000"/>
            </w:tcBorders>
          </w:tcPr>
          <w:p w:rsidR="00E11179" w:rsidRDefault="007E1E99">
            <w:pPr>
              <w:spacing w:after="32" w:line="259" w:lineRule="auto"/>
              <w:ind w:left="2" w:firstLine="0"/>
            </w:pPr>
            <w:r>
              <w:t xml:space="preserve">Identity of </w:t>
            </w:r>
          </w:p>
          <w:p w:rsidR="00E11179" w:rsidRDefault="007E1E99">
            <w:pPr>
              <w:spacing w:after="32" w:line="259" w:lineRule="auto"/>
              <w:ind w:left="2" w:firstLine="0"/>
            </w:pPr>
            <w:r>
              <w:t xml:space="preserve">Controller for each </w:t>
            </w:r>
          </w:p>
          <w:p w:rsidR="00E11179" w:rsidRDefault="007E1E99">
            <w:pPr>
              <w:spacing w:after="32" w:line="259" w:lineRule="auto"/>
              <w:ind w:left="2" w:firstLine="0"/>
            </w:pPr>
            <w:r>
              <w:t xml:space="preserve">Category of </w:t>
            </w:r>
          </w:p>
          <w:p w:rsidR="00E11179" w:rsidRDefault="007E1E99">
            <w:pPr>
              <w:spacing w:after="0" w:line="259" w:lineRule="auto"/>
              <w:ind w:left="2" w:firstLine="0"/>
            </w:pPr>
            <w:r>
              <w:t xml:space="preserve">Personal Data </w:t>
            </w:r>
          </w:p>
        </w:tc>
        <w:tc>
          <w:tcPr>
            <w:tcW w:w="7429" w:type="dxa"/>
            <w:tcBorders>
              <w:top w:val="single" w:sz="6" w:space="0" w:color="000000"/>
              <w:left w:val="single" w:sz="6" w:space="0" w:color="000000"/>
              <w:bottom w:val="single" w:sz="6" w:space="0" w:color="000000"/>
              <w:right w:val="single" w:sz="6" w:space="0" w:color="000000"/>
            </w:tcBorders>
          </w:tcPr>
          <w:p w:rsidR="00E11179" w:rsidRDefault="007E1E99">
            <w:pPr>
              <w:spacing w:after="227" w:line="259" w:lineRule="auto"/>
              <w:ind w:left="0" w:firstLine="0"/>
            </w:pPr>
            <w:r>
              <w:rPr>
                <w:b/>
              </w:rPr>
              <w:t xml:space="preserve">The Buyer is Controller and the Supplier is Processor </w:t>
            </w:r>
          </w:p>
          <w:p w:rsidR="00E11179" w:rsidRDefault="007E1E99">
            <w:pPr>
              <w:spacing w:after="195" w:line="287" w:lineRule="auto"/>
              <w:ind w:left="0" w:firstLine="0"/>
            </w:pPr>
            <w: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all personal Data. </w:t>
            </w:r>
          </w:p>
          <w:p w:rsidR="00E11179" w:rsidRDefault="007E1E99">
            <w:pPr>
              <w:spacing w:after="0" w:line="259" w:lineRule="auto"/>
              <w:ind w:left="0" w:firstLine="0"/>
            </w:pPr>
            <w:r>
              <w:t xml:space="preserve"> </w:t>
            </w:r>
          </w:p>
        </w:tc>
      </w:tr>
      <w:tr w:rsidR="00E11179">
        <w:trPr>
          <w:trHeight w:val="2672"/>
        </w:trPr>
        <w:tc>
          <w:tcPr>
            <w:tcW w:w="2269" w:type="dxa"/>
            <w:tcBorders>
              <w:top w:val="single" w:sz="6" w:space="0" w:color="000000"/>
              <w:left w:val="single" w:sz="6" w:space="0" w:color="000000"/>
              <w:bottom w:val="single" w:sz="6" w:space="0" w:color="000000"/>
              <w:right w:val="single" w:sz="6" w:space="0" w:color="000000"/>
            </w:tcBorders>
          </w:tcPr>
          <w:p w:rsidR="00E11179" w:rsidRDefault="007E1E99">
            <w:pPr>
              <w:spacing w:after="32" w:line="259" w:lineRule="auto"/>
              <w:ind w:left="2" w:firstLine="0"/>
            </w:pPr>
            <w:r>
              <w:t xml:space="preserve">Duration of the </w:t>
            </w:r>
          </w:p>
          <w:p w:rsidR="00E11179" w:rsidRDefault="007E1E99">
            <w:pPr>
              <w:spacing w:after="0" w:line="259" w:lineRule="auto"/>
              <w:ind w:left="2" w:firstLine="0"/>
            </w:pPr>
            <w:r>
              <w:t xml:space="preserve">Processing </w:t>
            </w:r>
          </w:p>
        </w:tc>
        <w:tc>
          <w:tcPr>
            <w:tcW w:w="7429" w:type="dxa"/>
            <w:tcBorders>
              <w:top w:val="single" w:sz="6" w:space="0" w:color="000000"/>
              <w:left w:val="single" w:sz="6" w:space="0" w:color="000000"/>
              <w:bottom w:val="single" w:sz="6" w:space="0" w:color="000000"/>
              <w:right w:val="single" w:sz="6" w:space="0" w:color="000000"/>
            </w:tcBorders>
          </w:tcPr>
          <w:p w:rsidR="00E11179" w:rsidRDefault="007E1E99">
            <w:pPr>
              <w:spacing w:after="240" w:line="287" w:lineRule="auto"/>
              <w:ind w:left="0" w:right="24" w:firstLine="0"/>
            </w:pPr>
            <w:r>
              <w:rPr>
                <w:i/>
              </w:rPr>
              <w:t xml:space="preserve">Names and email addresses for users will be retained for the duration of their account use. Users comments or questions on forums which display their name will be held as long as the site is in use. </w:t>
            </w:r>
          </w:p>
          <w:p w:rsidR="00E11179" w:rsidRDefault="007E1E99">
            <w:pPr>
              <w:spacing w:after="272" w:line="259" w:lineRule="auto"/>
              <w:ind w:left="0" w:firstLine="0"/>
            </w:pPr>
            <w:r>
              <w:rPr>
                <w:i/>
              </w:rPr>
              <w:t xml:space="preserve"> Board papers with names will only be stored for 1 year. </w:t>
            </w:r>
          </w:p>
          <w:p w:rsidR="00E11179" w:rsidRDefault="007E1E99">
            <w:pPr>
              <w:spacing w:after="0" w:line="259" w:lineRule="auto"/>
              <w:ind w:left="0" w:firstLine="0"/>
            </w:pPr>
            <w:r>
              <w:rPr>
                <w:i/>
              </w:rPr>
              <w:t xml:space="preserve"> </w:t>
            </w:r>
          </w:p>
        </w:tc>
      </w:tr>
      <w:tr w:rsidR="00E11179">
        <w:trPr>
          <w:trHeight w:val="1531"/>
        </w:trPr>
        <w:tc>
          <w:tcPr>
            <w:tcW w:w="2269"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87" w:lineRule="auto"/>
              <w:ind w:left="2" w:firstLine="0"/>
            </w:pPr>
            <w:r>
              <w:t xml:space="preserve">Nature and purposes of the </w:t>
            </w:r>
          </w:p>
          <w:p w:rsidR="00E11179" w:rsidRDefault="007E1E99">
            <w:pPr>
              <w:spacing w:after="0" w:line="259" w:lineRule="auto"/>
              <w:ind w:left="2" w:firstLine="0"/>
            </w:pPr>
            <w:r>
              <w:t xml:space="preserve">Processing </w:t>
            </w:r>
          </w:p>
        </w:tc>
        <w:tc>
          <w:tcPr>
            <w:tcW w:w="7429"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i/>
              </w:rPr>
              <w:t xml:space="preserve">Processing includes personal data collection for account creation and use and consultation e.g. feedback forms and forums where name/email address is provided. </w:t>
            </w:r>
          </w:p>
        </w:tc>
      </w:tr>
      <w:tr w:rsidR="00E11179">
        <w:trPr>
          <w:trHeight w:val="4774"/>
        </w:trPr>
        <w:tc>
          <w:tcPr>
            <w:tcW w:w="2269" w:type="dxa"/>
            <w:tcBorders>
              <w:top w:val="single" w:sz="6" w:space="0" w:color="000000"/>
              <w:left w:val="single" w:sz="6" w:space="0" w:color="000000"/>
              <w:bottom w:val="single" w:sz="6" w:space="0" w:color="000000"/>
              <w:right w:val="single" w:sz="6" w:space="0" w:color="000000"/>
            </w:tcBorders>
          </w:tcPr>
          <w:p w:rsidR="00E11179" w:rsidRDefault="007E1E99">
            <w:pPr>
              <w:spacing w:after="32" w:line="259" w:lineRule="auto"/>
              <w:ind w:left="0" w:firstLine="0"/>
            </w:pPr>
            <w:r>
              <w:t xml:space="preserve">Type of Personal </w:t>
            </w:r>
          </w:p>
          <w:p w:rsidR="00E11179" w:rsidRDefault="007E1E99">
            <w:pPr>
              <w:spacing w:after="0" w:line="259" w:lineRule="auto"/>
              <w:ind w:left="0" w:firstLine="0"/>
            </w:pPr>
            <w:r>
              <w:t xml:space="preserve">Data </w:t>
            </w:r>
          </w:p>
        </w:tc>
        <w:tc>
          <w:tcPr>
            <w:tcW w:w="7429" w:type="dxa"/>
            <w:tcBorders>
              <w:top w:val="single" w:sz="6" w:space="0" w:color="000000"/>
              <w:left w:val="single" w:sz="6" w:space="0" w:color="000000"/>
              <w:bottom w:val="single" w:sz="6" w:space="0" w:color="000000"/>
              <w:right w:val="single" w:sz="6" w:space="0" w:color="000000"/>
            </w:tcBorders>
          </w:tcPr>
          <w:p w:rsidR="00E11179" w:rsidRDefault="007E1E99">
            <w:pPr>
              <w:numPr>
                <w:ilvl w:val="0"/>
                <w:numId w:val="60"/>
              </w:numPr>
              <w:spacing w:after="24" w:line="248" w:lineRule="auto"/>
              <w:ind w:left="720" w:hanging="360"/>
              <w:jc w:val="both"/>
            </w:pPr>
            <w:r>
              <w:rPr>
                <w:i/>
              </w:rPr>
              <w:t xml:space="preserve">Name and email address are processed to set up a </w:t>
            </w:r>
            <w:proofErr w:type="spellStart"/>
            <w:r>
              <w:rPr>
                <w:i/>
              </w:rPr>
              <w:t>Kahootz</w:t>
            </w:r>
            <w:proofErr w:type="spellEnd"/>
            <w:r>
              <w:rPr>
                <w:i/>
              </w:rPr>
              <w:t xml:space="preserve"> account </w:t>
            </w:r>
          </w:p>
          <w:p w:rsidR="00E11179" w:rsidRDefault="007E1E99">
            <w:pPr>
              <w:numPr>
                <w:ilvl w:val="0"/>
                <w:numId w:val="60"/>
              </w:numPr>
              <w:spacing w:after="24" w:line="248" w:lineRule="auto"/>
              <w:ind w:left="720" w:hanging="360"/>
              <w:jc w:val="both"/>
            </w:pPr>
            <w:r>
              <w:rPr>
                <w:i/>
              </w:rPr>
              <w:t xml:space="preserve">Names are included in ‘attendees’ for Board papers, access to these papers is locked down to Board members and is not publicly visible </w:t>
            </w:r>
          </w:p>
          <w:p w:rsidR="00E11179" w:rsidRDefault="007E1E99">
            <w:pPr>
              <w:numPr>
                <w:ilvl w:val="0"/>
                <w:numId w:val="60"/>
              </w:numPr>
              <w:spacing w:after="24" w:line="248" w:lineRule="auto"/>
              <w:ind w:left="720" w:hanging="360"/>
              <w:jc w:val="both"/>
            </w:pPr>
            <w:r>
              <w:rPr>
                <w:i/>
              </w:rPr>
              <w:t xml:space="preserve">Names are included in Action trackers for projects shared between SSCL, GSS and Fujitsu </w:t>
            </w:r>
          </w:p>
          <w:p w:rsidR="00E11179" w:rsidRDefault="007E1E99">
            <w:pPr>
              <w:numPr>
                <w:ilvl w:val="0"/>
                <w:numId w:val="60"/>
              </w:numPr>
              <w:spacing w:after="24" w:line="248" w:lineRule="auto"/>
              <w:ind w:left="720" w:hanging="360"/>
              <w:jc w:val="both"/>
            </w:pPr>
            <w:r>
              <w:rPr>
                <w:i/>
              </w:rPr>
              <w:t xml:space="preserve">Names are displayed if individuals choose to comment or engage in a forum available in </w:t>
            </w:r>
            <w:proofErr w:type="spellStart"/>
            <w:r>
              <w:rPr>
                <w:i/>
              </w:rPr>
              <w:t>Kahootz</w:t>
            </w:r>
            <w:proofErr w:type="spellEnd"/>
            <w:r>
              <w:rPr>
                <w:i/>
              </w:rPr>
              <w:t xml:space="preserve">, this can also be done anonymously </w:t>
            </w:r>
          </w:p>
          <w:p w:rsidR="00E11179" w:rsidRDefault="007E1E99">
            <w:pPr>
              <w:numPr>
                <w:ilvl w:val="0"/>
                <w:numId w:val="60"/>
              </w:numPr>
              <w:spacing w:after="9" w:line="248" w:lineRule="auto"/>
              <w:ind w:left="720" w:hanging="360"/>
              <w:jc w:val="both"/>
            </w:pPr>
            <w:r>
              <w:rPr>
                <w:i/>
              </w:rPr>
              <w:t xml:space="preserve">An email address would be supplied if a user submitted a feedback form to the site owner in </w:t>
            </w:r>
            <w:proofErr w:type="spellStart"/>
            <w:r>
              <w:rPr>
                <w:i/>
              </w:rPr>
              <w:t>OneGovCloud</w:t>
            </w:r>
            <w:proofErr w:type="spellEnd"/>
            <w:r>
              <w:rPr>
                <w:i/>
              </w:rPr>
              <w:t xml:space="preserve"> </w:t>
            </w:r>
          </w:p>
          <w:p w:rsidR="00E11179" w:rsidRDefault="007E1E99">
            <w:pPr>
              <w:numPr>
                <w:ilvl w:val="0"/>
                <w:numId w:val="60"/>
              </w:numPr>
              <w:spacing w:after="250" w:line="246" w:lineRule="auto"/>
              <w:ind w:left="720" w:hanging="360"/>
              <w:jc w:val="both"/>
            </w:pPr>
            <w:r>
              <w:rPr>
                <w:rFonts w:ascii="Cambria" w:eastAsia="Cambria" w:hAnsi="Cambria" w:cs="Cambria"/>
              </w:rPr>
              <w:t xml:space="preserve">A phone number without name is provided in the ‘contact us’ section of the </w:t>
            </w:r>
            <w:proofErr w:type="spellStart"/>
            <w:r>
              <w:rPr>
                <w:rFonts w:ascii="Cambria" w:eastAsia="Cambria" w:hAnsi="Cambria" w:cs="Cambria"/>
              </w:rPr>
              <w:t>OneGovCloud</w:t>
            </w:r>
            <w:proofErr w:type="spellEnd"/>
            <w:r>
              <w:rPr>
                <w:rFonts w:ascii="Cambria" w:eastAsia="Cambria" w:hAnsi="Cambria" w:cs="Cambria"/>
              </w:rPr>
              <w:t xml:space="preserve"> </w:t>
            </w:r>
            <w:proofErr w:type="spellStart"/>
            <w:r>
              <w:rPr>
                <w:rFonts w:ascii="Cambria" w:eastAsia="Cambria" w:hAnsi="Cambria" w:cs="Cambria"/>
              </w:rPr>
              <w:t>Kahootz</w:t>
            </w:r>
            <w:proofErr w:type="spellEnd"/>
            <w:r>
              <w:rPr>
                <w:rFonts w:ascii="Cambria" w:eastAsia="Cambria" w:hAnsi="Cambria" w:cs="Cambria"/>
              </w:rPr>
              <w:t xml:space="preserve"> site </w:t>
            </w:r>
            <w:r>
              <w:rPr>
                <w:b/>
              </w:rPr>
              <w:t xml:space="preserve"> </w:t>
            </w:r>
          </w:p>
          <w:p w:rsidR="00E11179" w:rsidRDefault="007E1E99">
            <w:pPr>
              <w:spacing w:after="0" w:line="259" w:lineRule="auto"/>
              <w:ind w:left="0" w:firstLine="0"/>
            </w:pPr>
            <w:r>
              <w:rPr>
                <w:i/>
              </w:rPr>
              <w:t xml:space="preserve"> </w:t>
            </w:r>
          </w:p>
        </w:tc>
      </w:tr>
      <w:tr w:rsidR="00E11179">
        <w:trPr>
          <w:trHeight w:val="1771"/>
        </w:trPr>
        <w:tc>
          <w:tcPr>
            <w:tcW w:w="2269" w:type="dxa"/>
            <w:tcBorders>
              <w:top w:val="single" w:sz="6" w:space="0" w:color="000000"/>
              <w:left w:val="single" w:sz="6" w:space="0" w:color="000000"/>
              <w:bottom w:val="single" w:sz="6" w:space="0" w:color="000000"/>
              <w:right w:val="single" w:sz="6" w:space="0" w:color="000000"/>
            </w:tcBorders>
          </w:tcPr>
          <w:p w:rsidR="00E11179" w:rsidRDefault="007E1E99">
            <w:pPr>
              <w:spacing w:after="32" w:line="259" w:lineRule="auto"/>
              <w:ind w:left="0" w:firstLine="0"/>
            </w:pPr>
            <w:r>
              <w:t xml:space="preserve">Categories of Data </w:t>
            </w:r>
          </w:p>
          <w:p w:rsidR="00E11179" w:rsidRDefault="007E1E99">
            <w:pPr>
              <w:spacing w:after="0" w:line="259" w:lineRule="auto"/>
              <w:ind w:left="0" w:firstLine="0"/>
            </w:pPr>
            <w:r>
              <w:t xml:space="preserve">Subject </w:t>
            </w:r>
          </w:p>
        </w:tc>
        <w:tc>
          <w:tcPr>
            <w:tcW w:w="7429" w:type="dxa"/>
            <w:tcBorders>
              <w:top w:val="single" w:sz="6" w:space="0" w:color="000000"/>
              <w:left w:val="single" w:sz="6" w:space="0" w:color="000000"/>
              <w:bottom w:val="single" w:sz="6" w:space="0" w:color="000000"/>
              <w:right w:val="single" w:sz="6" w:space="0" w:color="000000"/>
            </w:tcBorders>
          </w:tcPr>
          <w:p w:rsidR="00E11179" w:rsidRDefault="007E1E99">
            <w:pPr>
              <w:numPr>
                <w:ilvl w:val="0"/>
                <w:numId w:val="61"/>
              </w:numPr>
              <w:spacing w:after="58" w:line="259" w:lineRule="auto"/>
              <w:ind w:left="755" w:hanging="395"/>
            </w:pPr>
            <w:r>
              <w:t xml:space="preserve">Civil servants </w:t>
            </w:r>
          </w:p>
          <w:p w:rsidR="00E11179" w:rsidRDefault="007E1E99">
            <w:pPr>
              <w:numPr>
                <w:ilvl w:val="0"/>
                <w:numId w:val="61"/>
              </w:numPr>
              <w:spacing w:after="58" w:line="259" w:lineRule="auto"/>
              <w:ind w:left="755" w:hanging="395"/>
            </w:pPr>
            <w:r>
              <w:t xml:space="preserve">SSCL staff working on specific projects </w:t>
            </w:r>
          </w:p>
          <w:p w:rsidR="00E11179" w:rsidRDefault="007E1E99">
            <w:pPr>
              <w:numPr>
                <w:ilvl w:val="0"/>
                <w:numId w:val="61"/>
              </w:numPr>
              <w:spacing w:after="318" w:line="259" w:lineRule="auto"/>
              <w:ind w:left="755" w:hanging="395"/>
            </w:pPr>
            <w:r>
              <w:t>Fujitsu staff working on specific projects</w:t>
            </w:r>
            <w:r>
              <w:rPr>
                <w:rFonts w:ascii="Calibri" w:eastAsia="Calibri" w:hAnsi="Calibri" w:cs="Calibri"/>
                <w:sz w:val="22"/>
                <w:vertAlign w:val="subscript"/>
              </w:rPr>
              <w:t>​</w:t>
            </w:r>
            <w:r>
              <w:rPr>
                <w:rFonts w:ascii="Calibri" w:eastAsia="Calibri" w:hAnsi="Calibri" w:cs="Calibri"/>
                <w:sz w:val="22"/>
                <w:vertAlign w:val="subscript"/>
              </w:rPr>
              <w:tab/>
            </w:r>
            <w:r>
              <w:t xml:space="preserve"> </w:t>
            </w:r>
          </w:p>
          <w:p w:rsidR="00E11179" w:rsidRDefault="007E1E99">
            <w:pPr>
              <w:spacing w:after="0" w:line="259" w:lineRule="auto"/>
              <w:ind w:left="0" w:firstLine="0"/>
            </w:pPr>
            <w:r>
              <w:rPr>
                <w:i/>
              </w:rPr>
              <w:t xml:space="preserve"> </w:t>
            </w:r>
          </w:p>
        </w:tc>
      </w:tr>
      <w:tr w:rsidR="00E11179">
        <w:trPr>
          <w:trHeight w:val="4038"/>
        </w:trPr>
        <w:tc>
          <w:tcPr>
            <w:tcW w:w="2269" w:type="dxa"/>
            <w:tcBorders>
              <w:top w:val="single" w:sz="6" w:space="0" w:color="000000"/>
              <w:left w:val="single" w:sz="6" w:space="0" w:color="000000"/>
              <w:bottom w:val="single" w:sz="6" w:space="0" w:color="000000"/>
              <w:right w:val="single" w:sz="6" w:space="0" w:color="000000"/>
            </w:tcBorders>
          </w:tcPr>
          <w:p w:rsidR="00E11179" w:rsidRDefault="007E1E99">
            <w:pPr>
              <w:spacing w:after="195" w:line="287" w:lineRule="auto"/>
              <w:ind w:left="0" w:firstLine="0"/>
            </w:pPr>
            <w:r>
              <w:t xml:space="preserve">Plan for return and destruction of the data once the Processing is complete </w:t>
            </w:r>
          </w:p>
          <w:p w:rsidR="00E11179" w:rsidRDefault="007E1E99">
            <w:pPr>
              <w:spacing w:after="32" w:line="259" w:lineRule="auto"/>
              <w:ind w:left="0" w:firstLine="0"/>
            </w:pPr>
            <w:r>
              <w:t xml:space="preserve">UNLESS </w:t>
            </w:r>
          </w:p>
          <w:p w:rsidR="00E11179" w:rsidRDefault="007E1E99">
            <w:pPr>
              <w:spacing w:after="32" w:line="259" w:lineRule="auto"/>
              <w:ind w:left="0" w:firstLine="0"/>
            </w:pPr>
            <w:r>
              <w:t xml:space="preserve">requirement under </w:t>
            </w:r>
          </w:p>
          <w:p w:rsidR="00E11179" w:rsidRDefault="007E1E99">
            <w:pPr>
              <w:spacing w:after="0" w:line="259" w:lineRule="auto"/>
              <w:ind w:left="0" w:firstLine="0"/>
            </w:pPr>
            <w:r>
              <w:t xml:space="preserve">Union or Member State law to preserve that type of data </w:t>
            </w:r>
          </w:p>
        </w:tc>
        <w:tc>
          <w:tcPr>
            <w:tcW w:w="7429" w:type="dxa"/>
            <w:tcBorders>
              <w:top w:val="single" w:sz="6" w:space="0" w:color="000000"/>
              <w:left w:val="single" w:sz="6" w:space="0" w:color="000000"/>
              <w:bottom w:val="single" w:sz="6" w:space="0" w:color="000000"/>
              <w:right w:val="single" w:sz="6" w:space="0" w:color="000000"/>
            </w:tcBorders>
          </w:tcPr>
          <w:p w:rsidR="00E11179" w:rsidRDefault="007E1E99">
            <w:pPr>
              <w:spacing w:after="0" w:line="259" w:lineRule="auto"/>
              <w:ind w:left="0" w:firstLine="0"/>
            </w:pPr>
            <w:r>
              <w:rPr>
                <w:i/>
              </w:rPr>
              <w:t xml:space="preserve">When </w:t>
            </w:r>
            <w:proofErr w:type="spellStart"/>
            <w:r>
              <w:rPr>
                <w:i/>
              </w:rPr>
              <w:t>kahootz</w:t>
            </w:r>
            <w:proofErr w:type="spellEnd"/>
            <w:r>
              <w:rPr>
                <w:i/>
              </w:rPr>
              <w:t xml:space="preserve"> workspaces are no longer in use they will be deleted by the controller. When a user no longer needs access to </w:t>
            </w:r>
            <w:proofErr w:type="spellStart"/>
            <w:r>
              <w:rPr>
                <w:i/>
              </w:rPr>
              <w:t>kahootz</w:t>
            </w:r>
            <w:proofErr w:type="spellEnd"/>
            <w:r>
              <w:rPr>
                <w:i/>
              </w:rPr>
              <w:t xml:space="preserve"> the controller will remove them. </w:t>
            </w:r>
          </w:p>
        </w:tc>
      </w:tr>
    </w:tbl>
    <w:p w:rsidR="00E11179" w:rsidRDefault="007E1E99">
      <w:pPr>
        <w:spacing w:after="252" w:line="259" w:lineRule="auto"/>
        <w:ind w:left="0" w:firstLine="0"/>
      </w:pPr>
      <w:r>
        <w:rPr>
          <w:b/>
        </w:rPr>
        <w:t xml:space="preserve"> </w:t>
      </w:r>
    </w:p>
    <w:p w:rsidR="00E11179" w:rsidRDefault="007E1E99">
      <w:pPr>
        <w:spacing w:after="0" w:line="259" w:lineRule="auto"/>
        <w:ind w:left="0" w:firstLine="0"/>
        <w:jc w:val="both"/>
      </w:pPr>
      <w:r>
        <w:rPr>
          <w:b/>
        </w:rPr>
        <w:t xml:space="preserve"> </w:t>
      </w:r>
      <w:r>
        <w:rPr>
          <w:b/>
        </w:rPr>
        <w:tab/>
        <w:t xml:space="preserve"> </w:t>
      </w:r>
    </w:p>
    <w:p w:rsidR="00E11179" w:rsidRDefault="007E1E99">
      <w:pPr>
        <w:pStyle w:val="Heading2"/>
        <w:tabs>
          <w:tab w:val="center" w:pos="2378"/>
        </w:tabs>
        <w:spacing w:after="227"/>
        <w:ind w:left="-15" w:firstLine="0"/>
      </w:pPr>
      <w:r>
        <w:rPr>
          <w:sz w:val="24"/>
        </w:rPr>
        <w:t>2.</w:t>
      </w:r>
      <w:r>
        <w:rPr>
          <w:sz w:val="24"/>
        </w:rPr>
        <w:tab/>
        <w:t xml:space="preserve">Undertakings of Both Parties </w:t>
      </w:r>
    </w:p>
    <w:p w:rsidR="00E11179" w:rsidRDefault="007E1E99">
      <w:pPr>
        <w:tabs>
          <w:tab w:val="center" w:pos="3864"/>
        </w:tabs>
        <w:ind w:left="0" w:firstLine="0"/>
      </w:pPr>
      <w:r>
        <w:t>2.1</w:t>
      </w:r>
      <w:r>
        <w:tab/>
        <w:t xml:space="preserve">The Supplier and the Buyer each undertake that they shall:  </w:t>
      </w:r>
    </w:p>
    <w:p w:rsidR="00E11179" w:rsidRDefault="007E1E99">
      <w:pPr>
        <w:numPr>
          <w:ilvl w:val="0"/>
          <w:numId w:val="39"/>
        </w:numPr>
        <w:ind w:hanging="570"/>
      </w:pPr>
      <w:r>
        <w:t xml:space="preserve">report to the other Party every 3 months on: </w:t>
      </w:r>
    </w:p>
    <w:p w:rsidR="00E11179" w:rsidRDefault="007E1E99">
      <w:pPr>
        <w:numPr>
          <w:ilvl w:val="1"/>
          <w:numId w:val="39"/>
        </w:numPr>
        <w:ind w:hanging="570"/>
      </w:pPr>
      <w:r>
        <w:t xml:space="preserve">the volume of Data Subject Request (or purported Data Subject Requests) from Data Subjects (or third parties on their behalf); </w:t>
      </w:r>
    </w:p>
    <w:p w:rsidR="00E11179" w:rsidRDefault="007E1E99">
      <w:pPr>
        <w:numPr>
          <w:ilvl w:val="1"/>
          <w:numId w:val="39"/>
        </w:numPr>
        <w:ind w:hanging="570"/>
      </w:pPr>
      <w:r>
        <w:t xml:space="preserve">the volume of requests from Data Subjects (or third parties on their behalf) to rectify, block or erase any Personal Data;  </w:t>
      </w:r>
    </w:p>
    <w:p w:rsidR="00E11179" w:rsidRDefault="007E1E99">
      <w:pPr>
        <w:numPr>
          <w:ilvl w:val="1"/>
          <w:numId w:val="39"/>
        </w:numPr>
        <w:ind w:hanging="570"/>
      </w:pPr>
      <w:r>
        <w:t xml:space="preserve">any other requests, complaints or communications from Data Subjects (or third parties on their behalf) relating to the other Party’s obligations under applicable Data Protection Legislation; </w:t>
      </w:r>
    </w:p>
    <w:p w:rsidR="00E11179" w:rsidRDefault="007E1E99">
      <w:pPr>
        <w:numPr>
          <w:ilvl w:val="1"/>
          <w:numId w:val="39"/>
        </w:numPr>
        <w:ind w:hanging="570"/>
      </w:pPr>
      <w:r>
        <w:t xml:space="preserve">any communications from the Information Commissioner or any other regulatory authority in connection with Personal Data; and </w:t>
      </w:r>
    </w:p>
    <w:p w:rsidR="00E11179" w:rsidRDefault="007E1E99">
      <w:pPr>
        <w:numPr>
          <w:ilvl w:val="1"/>
          <w:numId w:val="39"/>
        </w:numPr>
        <w:spacing w:after="198"/>
        <w:ind w:hanging="570"/>
      </w:pPr>
      <w:r>
        <w:t xml:space="preserve">any requests from any third party for disclosure of Personal Data where compliance with such request is required or purported to be required by Law, </w:t>
      </w:r>
    </w:p>
    <w:p w:rsidR="00E11179" w:rsidRDefault="007E1E99">
      <w:pPr>
        <w:spacing w:after="252"/>
      </w:pPr>
      <w:r>
        <w:t xml:space="preserve">that it has received in relation to the subject matter of the Contract during that period;  </w:t>
      </w:r>
    </w:p>
    <w:p w:rsidR="00E11179" w:rsidRDefault="007E1E99">
      <w:pPr>
        <w:numPr>
          <w:ilvl w:val="0"/>
          <w:numId w:val="39"/>
        </w:numPr>
        <w:spacing w:after="94" w:line="397" w:lineRule="auto"/>
        <w:ind w:hanging="570"/>
      </w:pPr>
      <w:r>
        <w:t>notify each other immediately if it receives any request, complaint or communication</w:t>
      </w:r>
      <w:r>
        <w:rPr>
          <w:rFonts w:ascii="Calibri" w:eastAsia="Calibri" w:hAnsi="Calibri" w:cs="Calibri"/>
        </w:rPr>
        <w:t>​</w:t>
      </w:r>
      <w:r>
        <w:rPr>
          <w:rFonts w:ascii="Calibri" w:eastAsia="Calibri" w:hAnsi="Calibri" w:cs="Calibri"/>
        </w:rPr>
        <w:tab/>
      </w:r>
      <w:r>
        <w:t xml:space="preserve"> made as referred to in Clauses 2.1(a)(</w:t>
      </w:r>
      <w:proofErr w:type="spellStart"/>
      <w:r>
        <w:t>i</w:t>
      </w:r>
      <w:proofErr w:type="spellEnd"/>
      <w:r>
        <w:t xml:space="preserve">) to (v);  </w:t>
      </w:r>
    </w:p>
    <w:p w:rsidR="00E11179" w:rsidRDefault="007E1E99">
      <w:pPr>
        <w:numPr>
          <w:ilvl w:val="0"/>
          <w:numId w:val="39"/>
        </w:numPr>
        <w:ind w:hanging="57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rsidR="00E11179" w:rsidRDefault="007E1E99">
      <w:pPr>
        <w:numPr>
          <w:ilvl w:val="0"/>
          <w:numId w:val="39"/>
        </w:numPr>
        <w:ind w:hanging="57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rsidR="00E11179" w:rsidRDefault="007E1E99">
      <w:pPr>
        <w:numPr>
          <w:ilvl w:val="0"/>
          <w:numId w:val="39"/>
        </w:numPr>
        <w:spacing w:after="7"/>
        <w:ind w:hanging="570"/>
      </w:pPr>
      <w:r>
        <w:t xml:space="preserve">request from the Data Subject only the minimum information necessary to provide the </w:t>
      </w:r>
    </w:p>
    <w:p w:rsidR="00E11179" w:rsidRDefault="007E1E99">
      <w:pPr>
        <w:ind w:left="1211"/>
      </w:pPr>
      <w:r>
        <w:t xml:space="preserve">Services and treat such extracted information as Confidential Information; </w:t>
      </w:r>
    </w:p>
    <w:p w:rsidR="00E11179" w:rsidRDefault="007E1E99">
      <w:pPr>
        <w:numPr>
          <w:ilvl w:val="0"/>
          <w:numId w:val="39"/>
        </w:numPr>
        <w:ind w:hanging="57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rsidR="00E11179" w:rsidRDefault="007E1E99">
      <w:pPr>
        <w:numPr>
          <w:ilvl w:val="0"/>
          <w:numId w:val="39"/>
        </w:numPr>
        <w:ind w:hanging="570"/>
      </w:pPr>
      <w:r>
        <w:t xml:space="preserve">take all reasonable steps to ensure the reliability and integrity of any of its Personnel who have access to the Personal Data and ensure that its Personnel: </w:t>
      </w:r>
    </w:p>
    <w:p w:rsidR="00E11179" w:rsidRDefault="007E1E99">
      <w:pPr>
        <w:numPr>
          <w:ilvl w:val="1"/>
          <w:numId w:val="39"/>
        </w:numPr>
        <w:spacing w:after="7"/>
        <w:ind w:hanging="570"/>
      </w:pPr>
      <w:r>
        <w:t xml:space="preserve">are aware of and comply with their ’s duties under this Annex 2 (Joint Controller </w:t>
      </w:r>
    </w:p>
    <w:p w:rsidR="00E11179" w:rsidRDefault="007E1E99">
      <w:pPr>
        <w:ind w:left="1781"/>
      </w:pPr>
      <w:r>
        <w:t xml:space="preserve">Agreement) and those in respect of Confidential Information  </w:t>
      </w:r>
    </w:p>
    <w:p w:rsidR="00E11179" w:rsidRDefault="007E1E99">
      <w:pPr>
        <w:numPr>
          <w:ilvl w:val="1"/>
          <w:numId w:val="39"/>
        </w:numPr>
        <w:ind w:hanging="57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E11179" w:rsidRDefault="007E1E99">
      <w:pPr>
        <w:numPr>
          <w:ilvl w:val="1"/>
          <w:numId w:val="39"/>
        </w:numPr>
        <w:spacing w:after="219" w:line="287" w:lineRule="auto"/>
        <w:ind w:hanging="570"/>
      </w:pPr>
      <w:r>
        <w:t xml:space="preserve">have undergone adequate training in the use, care, protection and handling of personal data as required by the applicable Data Protection Legislation; </w:t>
      </w:r>
    </w:p>
    <w:p w:rsidR="00E11179" w:rsidRDefault="007E1E99">
      <w:pPr>
        <w:numPr>
          <w:ilvl w:val="0"/>
          <w:numId w:val="39"/>
        </w:numPr>
        <w:spacing w:after="198"/>
        <w:ind w:hanging="570"/>
      </w:pPr>
      <w:r>
        <w:t xml:space="preserve">ensure that it has in place Protective Measures as appropriate to protect against a Data Loss Event having taken account of the: </w:t>
      </w:r>
    </w:p>
    <w:p w:rsidR="00E11179" w:rsidRDefault="007E1E99">
      <w:pPr>
        <w:numPr>
          <w:ilvl w:val="0"/>
          <w:numId w:val="39"/>
        </w:numPr>
        <w:spacing w:after="202"/>
        <w:ind w:hanging="570"/>
      </w:pPr>
      <w:r>
        <w:t xml:space="preserve">nature of the data to be protected; </w:t>
      </w:r>
    </w:p>
    <w:p w:rsidR="00E11179" w:rsidRDefault="007E1E99">
      <w:pPr>
        <w:numPr>
          <w:ilvl w:val="1"/>
          <w:numId w:val="39"/>
        </w:numPr>
        <w:spacing w:after="202"/>
        <w:ind w:hanging="570"/>
      </w:pPr>
      <w:r>
        <w:t xml:space="preserve">harm that might result from a Data Loss Event; </w:t>
      </w:r>
    </w:p>
    <w:p w:rsidR="00E11179" w:rsidRDefault="007E1E99">
      <w:pPr>
        <w:numPr>
          <w:ilvl w:val="1"/>
          <w:numId w:val="40"/>
        </w:numPr>
        <w:spacing w:after="202"/>
        <w:ind w:hanging="498"/>
      </w:pPr>
      <w:r>
        <w:t xml:space="preserve">state of technological development; and </w:t>
      </w:r>
    </w:p>
    <w:p w:rsidR="00E11179" w:rsidRDefault="007E1E99">
      <w:pPr>
        <w:numPr>
          <w:ilvl w:val="1"/>
          <w:numId w:val="40"/>
        </w:numPr>
        <w:ind w:hanging="498"/>
      </w:pPr>
      <w:r>
        <w:t xml:space="preserve">cost of implementing any measures; </w:t>
      </w:r>
    </w:p>
    <w:p w:rsidR="00E11179" w:rsidRDefault="007E1E99">
      <w:pPr>
        <w:ind w:left="1201" w:hanging="57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and </w:t>
      </w:r>
    </w:p>
    <w:p w:rsidR="00E11179" w:rsidRDefault="007E1E99">
      <w:pPr>
        <w:ind w:left="1201" w:hanging="570"/>
      </w:pPr>
      <w:r>
        <w:t>(</w:t>
      </w:r>
      <w:proofErr w:type="spellStart"/>
      <w:r>
        <w:t>i</w:t>
      </w:r>
      <w:proofErr w:type="spellEnd"/>
      <w:r>
        <w:t xml:space="preserve">) </w:t>
      </w:r>
      <w:r>
        <w:tab/>
        <w:t xml:space="preserve">ensure that it notifies the other Party as soon as it becomes aware of a Data Loss Event.  </w:t>
      </w:r>
    </w:p>
    <w:p w:rsidR="00E11179" w:rsidRDefault="007E1E99">
      <w:pPr>
        <w:spacing w:after="2"/>
        <w:ind w:left="721" w:hanging="721"/>
      </w:pPr>
      <w:r>
        <w:t xml:space="preserve">2.2 </w:t>
      </w:r>
      <w:r>
        <w:tab/>
        <w:t xml:space="preserve">Each Joint Controller shall use its reasonable endeavours to assist the other Controller to comply with any obligations under applicable Data Protection Legislation and shall not </w:t>
      </w:r>
    </w:p>
    <w:p w:rsidR="00E11179" w:rsidRDefault="007E1E99">
      <w:pPr>
        <w:spacing w:after="198"/>
        <w:ind w:right="142"/>
      </w:pPr>
      <w:r>
        <w:t xml:space="preserve">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E11179" w:rsidRDefault="007E1E99">
      <w:pPr>
        <w:spacing w:after="278" w:line="259" w:lineRule="auto"/>
        <w:ind w:left="0" w:firstLine="0"/>
      </w:pPr>
      <w:r>
        <w:t xml:space="preserve"> </w:t>
      </w:r>
    </w:p>
    <w:p w:rsidR="00E11179" w:rsidRDefault="007E1E99">
      <w:pPr>
        <w:pStyle w:val="Heading2"/>
        <w:tabs>
          <w:tab w:val="center" w:pos="2954"/>
        </w:tabs>
        <w:spacing w:after="335"/>
        <w:ind w:left="-15" w:firstLine="0"/>
      </w:pPr>
      <w:r>
        <w:rPr>
          <w:b w:val="0"/>
          <w:sz w:val="24"/>
        </w:rPr>
        <w:t>3</w:t>
      </w:r>
      <w:r>
        <w:rPr>
          <w:sz w:val="24"/>
        </w:rPr>
        <w:t>. Data Protection Breach</w:t>
      </w:r>
      <w:r>
        <w:rPr>
          <w:rFonts w:ascii="Calibri" w:eastAsia="Calibri" w:hAnsi="Calibri" w:cs="Calibri"/>
          <w:b w:val="0"/>
          <w:sz w:val="24"/>
        </w:rPr>
        <w:t>​</w:t>
      </w:r>
      <w:r>
        <w:rPr>
          <w:rFonts w:ascii="Calibri" w:eastAsia="Calibri" w:hAnsi="Calibri" w:cs="Calibri"/>
          <w:b w:val="0"/>
          <w:sz w:val="24"/>
        </w:rPr>
        <w:tab/>
      </w:r>
      <w:r>
        <w:rPr>
          <w:sz w:val="24"/>
        </w:rPr>
        <w:t xml:space="preserve"> </w:t>
      </w:r>
    </w:p>
    <w:p w:rsidR="00E11179" w:rsidRDefault="007E1E99">
      <w:pPr>
        <w:ind w:left="420" w:hanging="420"/>
      </w:pPr>
      <w:r>
        <w:t xml:space="preserve">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rsidR="00E11179" w:rsidRDefault="007E1E99">
      <w:pPr>
        <w:numPr>
          <w:ilvl w:val="0"/>
          <w:numId w:val="41"/>
        </w:numPr>
        <w:spacing w:after="198"/>
        <w:ind w:hanging="333"/>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w:t>
      </w:r>
    </w:p>
    <w:p w:rsidR="00E11179" w:rsidRDefault="007E1E99">
      <w:pPr>
        <w:numPr>
          <w:ilvl w:val="0"/>
          <w:numId w:val="41"/>
        </w:numPr>
        <w:ind w:hanging="333"/>
      </w:pPr>
      <w:r>
        <w:t xml:space="preserve">all reasonable assistance, including: </w:t>
      </w:r>
    </w:p>
    <w:p w:rsidR="00E11179" w:rsidRDefault="007E1E99">
      <w:pPr>
        <w:numPr>
          <w:ilvl w:val="2"/>
          <w:numId w:val="42"/>
        </w:numPr>
        <w:spacing w:after="7"/>
        <w:ind w:hanging="570"/>
      </w:pPr>
      <w:r>
        <w:t xml:space="preserve">co-operation with the other Party and the Information Commissioner investigating the </w:t>
      </w:r>
    </w:p>
    <w:p w:rsidR="00E11179" w:rsidRDefault="007E1E99">
      <w:pPr>
        <w:ind w:left="1286"/>
      </w:pPr>
      <w:r>
        <w:t xml:space="preserve">Personal Data Breach and its cause, containing and recovering the compromised Personal Data and compliance with the applicable guidance; </w:t>
      </w:r>
    </w:p>
    <w:p w:rsidR="00E11179" w:rsidRDefault="007E1E99">
      <w:pPr>
        <w:numPr>
          <w:ilvl w:val="2"/>
          <w:numId w:val="42"/>
        </w:numPr>
        <w:ind w:hanging="570"/>
      </w:pPr>
      <w:r>
        <w:t xml:space="preserve">co-operation with the other Party including taking such reasonable steps as are directed by the other Party to assist in the investigation, mitigation and remediation of a Personal Data Breach; </w:t>
      </w:r>
    </w:p>
    <w:p w:rsidR="00E11179" w:rsidRDefault="007E1E99">
      <w:pPr>
        <w:numPr>
          <w:ilvl w:val="2"/>
          <w:numId w:val="42"/>
        </w:numPr>
        <w:ind w:hanging="570"/>
      </w:pPr>
      <w:r>
        <w:t xml:space="preserve">co-ordination with the other Party regarding the management of public relations and public statements relating to the Personal Data Breach; and/or </w:t>
      </w:r>
    </w:p>
    <w:p w:rsidR="00E11179" w:rsidRDefault="007E1E99">
      <w:pPr>
        <w:numPr>
          <w:ilvl w:val="2"/>
          <w:numId w:val="42"/>
        </w:numPr>
        <w:spacing w:after="198"/>
        <w:ind w:hanging="57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rsidR="00E11179" w:rsidRDefault="007E1E99">
      <w:pPr>
        <w:spacing w:after="2"/>
        <w:ind w:left="420" w:hanging="420"/>
      </w:pPr>
      <w:r>
        <w:t xml:space="preserve">3.2 Each Party shall take all steps to restore, re-constitute and/or reconstruct any Personal Data where it </w:t>
      </w:r>
      <w:proofErr w:type="gramStart"/>
      <w:r>
        <w:t>has  lost</w:t>
      </w:r>
      <w:proofErr w:type="gramEnd"/>
      <w:r>
        <w:t xml:space="preserve">, damaged, destroyed, altered or corrupted as a result of a Personal Data Breach as it was  that Party’s own data at its own cost with all possible speed and shall provide the other Party with all reasonable assistance in respect of any such Personal Data </w:t>
      </w:r>
    </w:p>
    <w:p w:rsidR="00E11179" w:rsidRDefault="007E1E99">
      <w:pPr>
        <w:spacing w:after="4" w:line="287" w:lineRule="auto"/>
        <w:ind w:right="94"/>
        <w:jc w:val="center"/>
      </w:pPr>
      <w:r>
        <w:t xml:space="preserve">Breach, including providing the other Party, as soon as possible and within 48 hours of the </w:t>
      </w:r>
    </w:p>
    <w:p w:rsidR="00E11179" w:rsidRDefault="007E1E99">
      <w:pPr>
        <w:spacing w:after="202"/>
        <w:ind w:left="430"/>
      </w:pPr>
      <w:r>
        <w:t xml:space="preserve">Personal Data Breach relating to the Personal Data Breach, in particular: </w:t>
      </w:r>
    </w:p>
    <w:p w:rsidR="00E11179" w:rsidRDefault="007E1E99">
      <w:pPr>
        <w:numPr>
          <w:ilvl w:val="3"/>
          <w:numId w:val="43"/>
        </w:numPr>
        <w:spacing w:after="202"/>
        <w:ind w:left="1609" w:hanging="333"/>
      </w:pPr>
      <w:r>
        <w:t xml:space="preserve">the nature of the Personal Data Breach;  </w:t>
      </w:r>
    </w:p>
    <w:p w:rsidR="00E11179" w:rsidRDefault="007E1E99">
      <w:pPr>
        <w:numPr>
          <w:ilvl w:val="3"/>
          <w:numId w:val="43"/>
        </w:numPr>
        <w:spacing w:after="202"/>
        <w:ind w:left="1609" w:hanging="333"/>
      </w:pPr>
      <w:r>
        <w:t xml:space="preserve">the nature of Personal Data affected; </w:t>
      </w:r>
    </w:p>
    <w:p w:rsidR="00E11179" w:rsidRDefault="007E1E99">
      <w:pPr>
        <w:numPr>
          <w:ilvl w:val="3"/>
          <w:numId w:val="43"/>
        </w:numPr>
        <w:spacing w:after="202"/>
        <w:ind w:left="1609" w:hanging="333"/>
      </w:pPr>
      <w:r>
        <w:t xml:space="preserve">the categories and number of Data Subjects concerned; </w:t>
      </w:r>
    </w:p>
    <w:p w:rsidR="00E11179" w:rsidRDefault="007E1E99">
      <w:pPr>
        <w:numPr>
          <w:ilvl w:val="3"/>
          <w:numId w:val="43"/>
        </w:numPr>
        <w:spacing w:after="198"/>
        <w:ind w:left="1609" w:hanging="333"/>
      </w:pPr>
      <w:r>
        <w:t xml:space="preserve">the name and contact details of the Supplier’s Data Protection Officer or other    relevant contact from whom more information may be obtained; </w:t>
      </w:r>
    </w:p>
    <w:p w:rsidR="00E11179" w:rsidRDefault="007E1E99">
      <w:pPr>
        <w:numPr>
          <w:ilvl w:val="3"/>
          <w:numId w:val="43"/>
        </w:numPr>
        <w:spacing w:after="202"/>
        <w:ind w:left="1609" w:hanging="333"/>
      </w:pPr>
      <w:r>
        <w:t xml:space="preserve">measures taken or proposed to be taken to address the Personal Data Breach; and </w:t>
      </w:r>
    </w:p>
    <w:p w:rsidR="00E11179" w:rsidRDefault="007E1E99">
      <w:pPr>
        <w:numPr>
          <w:ilvl w:val="3"/>
          <w:numId w:val="43"/>
        </w:numPr>
        <w:spacing w:after="202"/>
        <w:ind w:left="1609" w:hanging="333"/>
      </w:pPr>
      <w:r>
        <w:t xml:space="preserve">describe the likely consequences of the Personal Data Breach. </w:t>
      </w:r>
    </w:p>
    <w:p w:rsidR="00E11179" w:rsidRDefault="007E1E99">
      <w:pPr>
        <w:spacing w:after="278" w:line="259" w:lineRule="auto"/>
        <w:ind w:left="1276" w:firstLine="0"/>
      </w:pPr>
      <w:r>
        <w:t xml:space="preserve"> </w:t>
      </w:r>
    </w:p>
    <w:p w:rsidR="00E11179" w:rsidRDefault="007E1E99">
      <w:pPr>
        <w:pStyle w:val="Heading2"/>
        <w:tabs>
          <w:tab w:val="center" w:pos="867"/>
        </w:tabs>
        <w:spacing w:after="360"/>
        <w:ind w:left="-15" w:firstLine="0"/>
      </w:pPr>
      <w:r>
        <w:rPr>
          <w:b w:val="0"/>
          <w:sz w:val="24"/>
        </w:rPr>
        <w:t>4</w:t>
      </w:r>
      <w:r>
        <w:rPr>
          <w:sz w:val="24"/>
        </w:rPr>
        <w:t>. Audit</w:t>
      </w:r>
      <w:r>
        <w:rPr>
          <w:rFonts w:ascii="Calibri" w:eastAsia="Calibri" w:hAnsi="Calibri" w:cs="Calibri"/>
          <w:b w:val="0"/>
          <w:sz w:val="24"/>
        </w:rPr>
        <w:t>​</w:t>
      </w:r>
      <w:r>
        <w:rPr>
          <w:rFonts w:ascii="Calibri" w:eastAsia="Calibri" w:hAnsi="Calibri" w:cs="Calibri"/>
          <w:b w:val="0"/>
          <w:sz w:val="24"/>
        </w:rPr>
        <w:tab/>
      </w:r>
      <w:r>
        <w:rPr>
          <w:sz w:val="24"/>
        </w:rPr>
        <w:t xml:space="preserve"> </w:t>
      </w:r>
    </w:p>
    <w:p w:rsidR="00E11179" w:rsidRDefault="007E1E99">
      <w:pPr>
        <w:tabs>
          <w:tab w:val="center" w:pos="3603"/>
        </w:tabs>
        <w:ind w:left="0" w:firstLine="0"/>
      </w:pPr>
      <w:proofErr w:type="gramStart"/>
      <w:r>
        <w:t>4.1  The</w:t>
      </w:r>
      <w:proofErr w:type="gramEnd"/>
      <w:r>
        <w:t xml:space="preserve"> Supplier shall permit:</w:t>
      </w:r>
      <w:r>
        <w:tab/>
        <w:t xml:space="preserve"> </w:t>
      </w:r>
    </w:p>
    <w:p w:rsidR="00E11179" w:rsidRDefault="007E1E99">
      <w:pPr>
        <w:numPr>
          <w:ilvl w:val="0"/>
          <w:numId w:val="44"/>
        </w:numPr>
        <w:spacing w:after="0" w:line="275" w:lineRule="auto"/>
        <w:ind w:left="705" w:right="-9" w:hanging="360"/>
        <w:jc w:val="both"/>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rsidR="00E11179" w:rsidRDefault="007E1E99">
      <w:pPr>
        <w:spacing w:after="42" w:line="259" w:lineRule="auto"/>
        <w:ind w:left="0" w:firstLine="0"/>
      </w:pPr>
      <w:r>
        <w:t xml:space="preserve"> </w:t>
      </w:r>
    </w:p>
    <w:p w:rsidR="00E11179" w:rsidRDefault="007E1E99">
      <w:pPr>
        <w:numPr>
          <w:ilvl w:val="0"/>
          <w:numId w:val="44"/>
        </w:numPr>
        <w:spacing w:after="0" w:line="275" w:lineRule="auto"/>
        <w:ind w:left="705" w:right="-9" w:hanging="360"/>
        <w:jc w:val="both"/>
      </w:pPr>
      <w: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rsidR="00E11179" w:rsidRDefault="007E1E99">
      <w:pPr>
        <w:spacing w:after="17" w:line="259" w:lineRule="auto"/>
        <w:ind w:left="0" w:firstLine="0"/>
      </w:pPr>
      <w:r>
        <w:t xml:space="preserve"> </w:t>
      </w:r>
    </w:p>
    <w:p w:rsidR="00E11179" w:rsidRDefault="007E1E99">
      <w:pPr>
        <w:spacing w:after="198"/>
      </w:pPr>
      <w:r>
        <w:t xml:space="preserve">4.2 The Buyer may, in its sole discretion, require the Supplier to provide evidence of the Supplier’s compliance with Clause 4.1 in lieu of conducting such an audit, assessment or inspection. </w:t>
      </w:r>
    </w:p>
    <w:p w:rsidR="00E11179" w:rsidRDefault="007E1E99">
      <w:pPr>
        <w:spacing w:after="227" w:line="259" w:lineRule="auto"/>
        <w:ind w:left="0" w:firstLine="0"/>
      </w:pPr>
      <w:r>
        <w:t xml:space="preserve"> </w:t>
      </w:r>
    </w:p>
    <w:p w:rsidR="00E11179" w:rsidRDefault="007E1E99">
      <w:pPr>
        <w:pStyle w:val="Heading2"/>
        <w:spacing w:after="227"/>
        <w:ind w:left="-5"/>
      </w:pPr>
      <w:r>
        <w:rPr>
          <w:sz w:val="24"/>
        </w:rPr>
        <w:t xml:space="preserve">5. Impact Assessments </w:t>
      </w:r>
    </w:p>
    <w:p w:rsidR="00E11179" w:rsidRDefault="007E1E99">
      <w:r>
        <w:t xml:space="preserve">5.1 The Parties shall: </w:t>
      </w:r>
    </w:p>
    <w:p w:rsidR="00E11179" w:rsidRDefault="007E1E99">
      <w:pPr>
        <w:numPr>
          <w:ilvl w:val="0"/>
          <w:numId w:val="45"/>
        </w:numPr>
        <w:spacing w:after="0" w:line="275" w:lineRule="auto"/>
        <w:ind w:left="715" w:right="-4" w:hanging="37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rsidR="00E11179" w:rsidRDefault="007E1E99">
      <w:pPr>
        <w:spacing w:after="57" w:line="259" w:lineRule="auto"/>
        <w:ind w:left="0" w:firstLine="0"/>
      </w:pPr>
      <w:r>
        <w:t xml:space="preserve"> </w:t>
      </w:r>
    </w:p>
    <w:p w:rsidR="00E11179" w:rsidRDefault="007E1E99">
      <w:pPr>
        <w:numPr>
          <w:ilvl w:val="0"/>
          <w:numId w:val="45"/>
        </w:numPr>
        <w:spacing w:after="0"/>
        <w:ind w:left="715" w:right="-4" w:hanging="370"/>
      </w:pPr>
      <w:r>
        <w:t xml:space="preserve">maintain full and complete records of all Processing carried out in respect of the Personal Data in connection with the Contract, in accordance with the terms of Article 30 GDPR. </w:t>
      </w:r>
    </w:p>
    <w:p w:rsidR="00E11179" w:rsidRDefault="007E1E99">
      <w:pPr>
        <w:spacing w:after="227" w:line="259" w:lineRule="auto"/>
        <w:ind w:left="0" w:firstLine="0"/>
      </w:pPr>
      <w:r>
        <w:t xml:space="preserve"> </w:t>
      </w:r>
    </w:p>
    <w:p w:rsidR="00E11179" w:rsidRDefault="007E1E99">
      <w:pPr>
        <w:pStyle w:val="Heading2"/>
        <w:spacing w:after="227"/>
        <w:ind w:left="-5"/>
      </w:pPr>
      <w:r>
        <w:rPr>
          <w:sz w:val="24"/>
        </w:rPr>
        <w:t xml:space="preserve">6. ICO Guidance </w:t>
      </w:r>
    </w:p>
    <w:p w:rsidR="00E11179" w:rsidRDefault="007E1E99">
      <w:pPr>
        <w:spacing w:after="198"/>
      </w:pPr>
      <w:r>
        <w:t xml:space="preserve">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 </w:t>
      </w:r>
    </w:p>
    <w:p w:rsidR="00E11179" w:rsidRDefault="007E1E99">
      <w:pPr>
        <w:spacing w:after="227" w:line="259" w:lineRule="auto"/>
        <w:ind w:left="0" w:firstLine="0"/>
      </w:pPr>
      <w:r>
        <w:t xml:space="preserve"> </w:t>
      </w:r>
    </w:p>
    <w:p w:rsidR="00E11179" w:rsidRDefault="007E1E99">
      <w:pPr>
        <w:pStyle w:val="Heading2"/>
        <w:spacing w:after="227"/>
        <w:ind w:left="-5"/>
      </w:pPr>
      <w:r>
        <w:rPr>
          <w:sz w:val="24"/>
        </w:rPr>
        <w:t xml:space="preserve">7. Liabilities for Data Protection Breach </w:t>
      </w:r>
    </w:p>
    <w:p w:rsidR="00E11179" w:rsidRDefault="007E1E99">
      <w:pPr>
        <w:spacing w:after="323"/>
        <w:ind w:left="420" w:hanging="420"/>
      </w:pPr>
      <w:r>
        <w:t>7.1 If financial penalties are imposed by the Information Commissioner on either the Buyer or the Supplier for a Personal Data Breach ("</w:t>
      </w:r>
      <w:r>
        <w:rPr>
          <w:b/>
        </w:rPr>
        <w:t>Financial Penalties</w:t>
      </w:r>
      <w:r>
        <w:rPr>
          <w:rFonts w:ascii="Calibri" w:eastAsia="Calibri" w:hAnsi="Calibri" w:cs="Calibri"/>
        </w:rPr>
        <w:t>​</w:t>
      </w:r>
      <w:r>
        <w:rPr>
          <w:rFonts w:ascii="Calibri" w:eastAsia="Calibri" w:hAnsi="Calibri" w:cs="Calibri"/>
        </w:rPr>
        <w:tab/>
      </w:r>
      <w:r>
        <w:t xml:space="preserve">") then the following shall </w:t>
      </w:r>
      <w:proofErr w:type="gramStart"/>
      <w:r>
        <w:t>occur:</w:t>
      </w:r>
      <w:r>
        <w:rPr>
          <w:rFonts w:ascii="Calibri" w:eastAsia="Calibri" w:hAnsi="Calibri" w:cs="Calibri"/>
        </w:rPr>
        <w:t>​</w:t>
      </w:r>
      <w:proofErr w:type="gramEnd"/>
      <w:r>
        <w:rPr>
          <w:rFonts w:ascii="Calibri" w:eastAsia="Calibri" w:hAnsi="Calibri" w:cs="Calibri"/>
        </w:rPr>
        <w:tab/>
      </w:r>
      <w:r>
        <w:t xml:space="preserve"> </w:t>
      </w:r>
    </w:p>
    <w:p w:rsidR="00E11179" w:rsidRDefault="007E1E99">
      <w:pPr>
        <w:numPr>
          <w:ilvl w:val="0"/>
          <w:numId w:val="46"/>
        </w:numPr>
        <w:spacing w:after="0" w:line="275" w:lineRule="auto"/>
        <w:ind w:left="705" w:right="-9" w:hanging="360"/>
        <w:jc w:val="both"/>
      </w:pPr>
      <w: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rsidR="00E11179" w:rsidRDefault="007E1E99">
      <w:pPr>
        <w:spacing w:after="42" w:line="259" w:lineRule="auto"/>
        <w:ind w:left="0" w:firstLine="0"/>
      </w:pPr>
      <w:r>
        <w:t xml:space="preserve"> </w:t>
      </w:r>
    </w:p>
    <w:p w:rsidR="00E11179" w:rsidRDefault="007E1E99">
      <w:pPr>
        <w:numPr>
          <w:ilvl w:val="0"/>
          <w:numId w:val="46"/>
        </w:numPr>
        <w:spacing w:after="0" w:line="275" w:lineRule="auto"/>
        <w:ind w:left="705" w:right="-9" w:hanging="360"/>
        <w:jc w:val="both"/>
      </w:pPr>
      <w: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rsidR="00E11179" w:rsidRDefault="007E1E99">
      <w:pPr>
        <w:spacing w:after="41" w:line="259" w:lineRule="auto"/>
        <w:ind w:left="0" w:firstLine="0"/>
      </w:pPr>
      <w:r>
        <w:rPr>
          <w:b/>
        </w:rPr>
        <w:t xml:space="preserve"> </w:t>
      </w:r>
    </w:p>
    <w:p w:rsidR="00E11179" w:rsidRDefault="007E1E99">
      <w:pPr>
        <w:numPr>
          <w:ilvl w:val="0"/>
          <w:numId w:val="46"/>
        </w:numPr>
        <w:spacing w:after="361" w:line="275" w:lineRule="auto"/>
        <w:ind w:left="705" w:right="-9" w:hanging="360"/>
        <w:jc w:val="both"/>
      </w:pPr>
      <w: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Pr>
          <w:i/>
        </w:rPr>
        <w:t>Resolving disputes</w:t>
      </w:r>
      <w:r>
        <w:rPr>
          <w:rFonts w:ascii="Calibri" w:eastAsia="Calibri" w:hAnsi="Calibri" w:cs="Calibri"/>
        </w:rPr>
        <w:t>​</w:t>
      </w:r>
      <w:r>
        <w:rPr>
          <w:rFonts w:ascii="Calibri" w:eastAsia="Calibri" w:hAnsi="Calibri" w:cs="Calibri"/>
        </w:rPr>
        <w:tab/>
      </w:r>
      <w:r>
        <w:rPr>
          <w:rFonts w:ascii="Calibri" w:eastAsia="Calibri" w:hAnsi="Calibri" w:cs="Calibri"/>
          <w:sz w:val="25"/>
        </w:rPr>
        <w:t>​</w:t>
      </w:r>
      <w:r>
        <w:t xml:space="preserve">).  </w:t>
      </w:r>
    </w:p>
    <w:p w:rsidR="00E11179" w:rsidRDefault="007E1E99">
      <w:pPr>
        <w:numPr>
          <w:ilvl w:val="1"/>
          <w:numId w:val="47"/>
        </w:numPr>
        <w:spacing w:after="198"/>
        <w:ind w:hanging="401"/>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E11179" w:rsidRDefault="007E1E99">
      <w:pPr>
        <w:numPr>
          <w:ilvl w:val="1"/>
          <w:numId w:val="47"/>
        </w:numPr>
        <w:ind w:hanging="401"/>
      </w:pPr>
      <w:r>
        <w:t xml:space="preserve">In respect of any losses, cost claims or expenses incurred by either Party as a result of a Personal Data Breach (the “Claim Losses”): </w:t>
      </w:r>
    </w:p>
    <w:p w:rsidR="00E11179" w:rsidRDefault="007E1E99">
      <w:pPr>
        <w:numPr>
          <w:ilvl w:val="0"/>
          <w:numId w:val="48"/>
        </w:numPr>
        <w:spacing w:after="0"/>
        <w:ind w:left="720" w:hanging="360"/>
      </w:pPr>
      <w:r>
        <w:t xml:space="preserve">if the Buyer is responsible for the relevant Personal Data Breach, then the Buyer shall be responsible for the Claim Losses; </w:t>
      </w:r>
    </w:p>
    <w:p w:rsidR="00E11179" w:rsidRDefault="007E1E99">
      <w:pPr>
        <w:spacing w:after="41" w:line="259" w:lineRule="auto"/>
        <w:ind w:left="0" w:firstLine="0"/>
      </w:pPr>
      <w:r>
        <w:t xml:space="preserve"> </w:t>
      </w:r>
    </w:p>
    <w:p w:rsidR="00E11179" w:rsidRDefault="007E1E99">
      <w:pPr>
        <w:numPr>
          <w:ilvl w:val="0"/>
          <w:numId w:val="48"/>
        </w:numPr>
        <w:spacing w:after="0"/>
        <w:ind w:left="720" w:hanging="360"/>
      </w:pPr>
      <w:r>
        <w:t xml:space="preserve">if the Supplier is responsible for the relevant Personal Data Breach, then the Supplier shall be responsible for the Claim Losses: and </w:t>
      </w:r>
    </w:p>
    <w:p w:rsidR="00E11179" w:rsidRDefault="007E1E99">
      <w:pPr>
        <w:spacing w:after="42" w:line="259" w:lineRule="auto"/>
        <w:ind w:left="0" w:firstLine="0"/>
      </w:pPr>
      <w:r>
        <w:t xml:space="preserve"> </w:t>
      </w:r>
    </w:p>
    <w:p w:rsidR="00E11179" w:rsidRDefault="007E1E99">
      <w:pPr>
        <w:numPr>
          <w:ilvl w:val="0"/>
          <w:numId w:val="48"/>
        </w:numPr>
        <w:spacing w:after="0"/>
        <w:ind w:left="720" w:hanging="360"/>
      </w:pPr>
      <w:r>
        <w:t xml:space="preserve">if responsibility for the relevant Personal Data Breach is unclear, then the Buyer and the Supplier shall be responsible for the Claim Losses equally.  </w:t>
      </w:r>
    </w:p>
    <w:p w:rsidR="00E11179" w:rsidRDefault="007E1E99">
      <w:pPr>
        <w:spacing w:after="227" w:line="259" w:lineRule="auto"/>
        <w:ind w:left="0" w:firstLine="0"/>
      </w:pPr>
      <w:r>
        <w:t xml:space="preserve"> </w:t>
      </w:r>
    </w:p>
    <w:p w:rsidR="00E11179" w:rsidRDefault="007E1E99">
      <w:pPr>
        <w:spacing w:after="198"/>
        <w:ind w:left="420" w:hanging="420"/>
      </w:pPr>
      <w:r>
        <w:t xml:space="preserve">7.4 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rsidR="00E11179" w:rsidRDefault="007E1E99">
      <w:pPr>
        <w:spacing w:after="0" w:line="259" w:lineRule="auto"/>
        <w:ind w:left="0" w:firstLine="0"/>
      </w:pPr>
      <w:r>
        <w:t xml:space="preserve"> </w:t>
      </w:r>
    </w:p>
    <w:p w:rsidR="00E11179" w:rsidRDefault="007E1E99">
      <w:pPr>
        <w:pStyle w:val="Heading2"/>
        <w:spacing w:after="278"/>
        <w:ind w:left="-5"/>
      </w:pPr>
      <w:r>
        <w:rPr>
          <w:sz w:val="24"/>
        </w:rPr>
        <w:t xml:space="preserve">9. Termination </w:t>
      </w:r>
    </w:p>
    <w:p w:rsidR="00E11179" w:rsidRDefault="007E1E99">
      <w:pPr>
        <w:spacing w:after="144" w:line="402" w:lineRule="auto"/>
      </w:pPr>
      <w:r>
        <w:t>If the Supplier is in material Default under any of its obligations under this Annex 2 (</w:t>
      </w:r>
      <w:r>
        <w:rPr>
          <w:i/>
        </w:rPr>
        <w:t>Joint Controller</w:t>
      </w:r>
      <w:r>
        <w:rPr>
          <w:rFonts w:ascii="Calibri" w:eastAsia="Calibri" w:hAnsi="Calibri" w:cs="Calibri"/>
        </w:rPr>
        <w:t>​</w:t>
      </w:r>
      <w:r>
        <w:rPr>
          <w:rFonts w:ascii="Calibri" w:eastAsia="Calibri" w:hAnsi="Calibri" w:cs="Calibri"/>
        </w:rPr>
        <w:tab/>
      </w:r>
      <w:r>
        <w:rPr>
          <w:i/>
        </w:rPr>
        <w:t xml:space="preserve"> Agreement</w:t>
      </w:r>
      <w:r>
        <w:rPr>
          <w:rFonts w:ascii="Calibri" w:eastAsia="Calibri" w:hAnsi="Calibri" w:cs="Calibri"/>
          <w:sz w:val="25"/>
        </w:rPr>
        <w:t>​</w:t>
      </w:r>
      <w:r>
        <w:t>), the Buyer shall be entitled to terminate the Contract by issuing a Termination Notice to the Supplier in accordance with Clause 18.5 (</w:t>
      </w:r>
      <w:r>
        <w:rPr>
          <w:i/>
        </w:rPr>
        <w:t>Ending the contract</w:t>
      </w:r>
      <w:r>
        <w:rPr>
          <w:rFonts w:ascii="Calibri" w:eastAsia="Calibri" w:hAnsi="Calibri" w:cs="Calibri"/>
        </w:rPr>
        <w:t>​</w:t>
      </w:r>
      <w:r>
        <w:rPr>
          <w:rFonts w:ascii="Calibri" w:eastAsia="Calibri" w:hAnsi="Calibri" w:cs="Calibri"/>
        </w:rPr>
        <w:tab/>
      </w:r>
      <w:r>
        <w:rPr>
          <w:rFonts w:ascii="Calibri" w:eastAsia="Calibri" w:hAnsi="Calibri" w:cs="Calibri"/>
          <w:sz w:val="25"/>
        </w:rPr>
        <w:t>​</w:t>
      </w:r>
      <w:r>
        <w:t xml:space="preserve">). </w:t>
      </w:r>
    </w:p>
    <w:p w:rsidR="00E11179" w:rsidRDefault="007E1E99">
      <w:pPr>
        <w:spacing w:after="227" w:line="259" w:lineRule="auto"/>
        <w:ind w:left="0" w:firstLine="0"/>
      </w:pPr>
      <w:r>
        <w:t xml:space="preserve"> </w:t>
      </w:r>
    </w:p>
    <w:p w:rsidR="00E11179" w:rsidRDefault="007E1E99">
      <w:pPr>
        <w:pStyle w:val="Heading2"/>
        <w:spacing w:after="227"/>
        <w:ind w:left="-5"/>
      </w:pPr>
      <w:r>
        <w:rPr>
          <w:sz w:val="24"/>
        </w:rPr>
        <w:t>10. Sub-Processing</w:t>
      </w:r>
      <w:r>
        <w:rPr>
          <w:b w:val="0"/>
          <w:sz w:val="24"/>
        </w:rPr>
        <w:t xml:space="preserve"> </w:t>
      </w:r>
    </w:p>
    <w:p w:rsidR="00E11179" w:rsidRDefault="007E1E99">
      <w:pPr>
        <w:spacing w:after="198"/>
        <w:ind w:left="570" w:hanging="570"/>
      </w:pPr>
      <w:r>
        <w:t xml:space="preserve">10.1 In respect of any Processing of Personal Data performed by a third party on behalf of a Party, that Party shall: </w:t>
      </w:r>
    </w:p>
    <w:p w:rsidR="00E11179" w:rsidRDefault="007E1E99">
      <w:pPr>
        <w:numPr>
          <w:ilvl w:val="0"/>
          <w:numId w:val="49"/>
        </w:numPr>
        <w:spacing w:after="198"/>
        <w:ind w:hanging="333"/>
      </w:pPr>
      <w:r>
        <w:t xml:space="preserve">carry out adequate due diligence on such third party to ensure that it is capable of providing the level of protection for the Personal Data as is required by the Contract, </w:t>
      </w:r>
      <w:proofErr w:type="gramStart"/>
      <w:r>
        <w:t>and  provide</w:t>
      </w:r>
      <w:proofErr w:type="gramEnd"/>
      <w:r>
        <w:t xml:space="preserve"> evidence of such due diligence to the  other Party where reasonably requested; and </w:t>
      </w:r>
    </w:p>
    <w:p w:rsidR="00E11179" w:rsidRDefault="007E1E99">
      <w:pPr>
        <w:numPr>
          <w:ilvl w:val="0"/>
          <w:numId w:val="49"/>
        </w:numPr>
        <w:spacing w:after="198"/>
        <w:ind w:hanging="333"/>
      </w:pPr>
      <w:r>
        <w:t xml:space="preserve">ensure that a suitable agreement is in place with the third party as required under applicable Data Protection Legislation. </w:t>
      </w:r>
    </w:p>
    <w:p w:rsidR="00E11179" w:rsidRDefault="007E1E99">
      <w:pPr>
        <w:spacing w:after="227" w:line="259" w:lineRule="auto"/>
        <w:ind w:left="0" w:firstLine="0"/>
      </w:pPr>
      <w:r>
        <w:t xml:space="preserve"> </w:t>
      </w:r>
    </w:p>
    <w:p w:rsidR="00E11179" w:rsidRDefault="007E1E99">
      <w:pPr>
        <w:pStyle w:val="Heading2"/>
        <w:spacing w:after="227"/>
        <w:ind w:left="-5"/>
      </w:pPr>
      <w:r>
        <w:rPr>
          <w:sz w:val="24"/>
        </w:rPr>
        <w:t>11. Data Retention</w:t>
      </w:r>
      <w:r>
        <w:rPr>
          <w:b w:val="0"/>
          <w:sz w:val="24"/>
        </w:rPr>
        <w:t xml:space="preserve"> </w:t>
      </w:r>
    </w:p>
    <w:p w:rsidR="00E11179" w:rsidRDefault="007E1E99">
      <w:pPr>
        <w:spacing w:after="198"/>
      </w:pPr>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227" w:line="259" w:lineRule="auto"/>
        <w:ind w:left="0" w:firstLine="0"/>
      </w:pPr>
      <w:r>
        <w:t xml:space="preserve"> </w:t>
      </w:r>
    </w:p>
    <w:p w:rsidR="00E11179" w:rsidRDefault="007E1E99">
      <w:pPr>
        <w:spacing w:after="0" w:line="259" w:lineRule="auto"/>
        <w:ind w:left="3618" w:firstLine="0"/>
      </w:pPr>
      <w:r>
        <w:t xml:space="preserve"> </w:t>
      </w:r>
    </w:p>
    <w:sectPr w:rsidR="00E11179">
      <w:footerReference w:type="even" r:id="rId42"/>
      <w:footerReference w:type="default" r:id="rId43"/>
      <w:footerReference w:type="first" r:id="rId44"/>
      <w:pgSz w:w="11920" w:h="16860"/>
      <w:pgMar w:top="968" w:right="568" w:bottom="1448" w:left="708" w:header="720"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2D3" w:rsidRDefault="00CD12D3">
      <w:pPr>
        <w:spacing w:after="0" w:line="240" w:lineRule="auto"/>
      </w:pPr>
      <w:r>
        <w:separator/>
      </w:r>
    </w:p>
  </w:endnote>
  <w:endnote w:type="continuationSeparator" w:id="0">
    <w:p w:rsidR="00CD12D3" w:rsidRDefault="00CD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
    <w:altName w:val="Arial"/>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E99" w:rsidRDefault="007E1E99">
    <w:pPr>
      <w:spacing w:after="0" w:line="259" w:lineRule="auto"/>
      <w:ind w:left="0" w:right="12" w:firstLine="0"/>
      <w:jc w:val="right"/>
    </w:pP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rsidR="007E1E99" w:rsidRDefault="007E1E99">
    <w:pPr>
      <w:spacing w:after="0" w:line="259" w:lineRule="auto"/>
      <w:ind w:left="0" w:firstLine="0"/>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E99" w:rsidRDefault="007E1E99">
    <w:pPr>
      <w:spacing w:after="0" w:line="259" w:lineRule="auto"/>
      <w:ind w:left="0" w:right="12" w:firstLine="0"/>
      <w:jc w:val="right"/>
    </w:pP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rsidR="007E1E99" w:rsidRDefault="007E1E99">
    <w:pPr>
      <w:spacing w:after="0" w:line="259" w:lineRule="auto"/>
      <w:ind w:left="0" w:firstLine="0"/>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E99" w:rsidRDefault="007E1E99">
    <w:pPr>
      <w:spacing w:after="0" w:line="259" w:lineRule="auto"/>
      <w:ind w:left="0" w:right="12" w:firstLine="0"/>
      <w:jc w:val="right"/>
    </w:pP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rsidR="007E1E99" w:rsidRDefault="007E1E99">
    <w:pPr>
      <w:spacing w:after="0" w:line="259" w:lineRule="auto"/>
      <w:ind w:left="0" w:firstLine="0"/>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2D3" w:rsidRDefault="00CD12D3">
      <w:pPr>
        <w:spacing w:after="0" w:line="240" w:lineRule="auto"/>
      </w:pPr>
      <w:r>
        <w:separator/>
      </w:r>
    </w:p>
  </w:footnote>
  <w:footnote w:type="continuationSeparator" w:id="0">
    <w:p w:rsidR="00CD12D3" w:rsidRDefault="00CD1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603"/>
    <w:multiLevelType w:val="hybridMultilevel"/>
    <w:tmpl w:val="9664F06C"/>
    <w:lvl w:ilvl="0" w:tplc="E250B6E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2E027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0CC93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CA47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A4A45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709B6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CCF7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B6DB0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54E92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B26535"/>
    <w:multiLevelType w:val="hybridMultilevel"/>
    <w:tmpl w:val="D0862104"/>
    <w:lvl w:ilvl="0" w:tplc="EDB4ABC6">
      <w:start w:val="1"/>
      <w:numFmt w:val="lowerLetter"/>
      <w:lvlText w:val="%1."/>
      <w:lvlJc w:val="left"/>
      <w:pPr>
        <w:ind w:left="2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7EBAAA">
      <w:start w:val="1"/>
      <w:numFmt w:val="lowerLetter"/>
      <w:lvlText w:val="%2"/>
      <w:lvlJc w:val="left"/>
      <w:pPr>
        <w:ind w:left="3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026126">
      <w:start w:val="1"/>
      <w:numFmt w:val="lowerRoman"/>
      <w:lvlText w:val="%3"/>
      <w:lvlJc w:val="left"/>
      <w:pPr>
        <w:ind w:left="3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0678CA">
      <w:start w:val="1"/>
      <w:numFmt w:val="decimal"/>
      <w:lvlText w:val="%4"/>
      <w:lvlJc w:val="left"/>
      <w:pPr>
        <w:ind w:left="4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80114E">
      <w:start w:val="1"/>
      <w:numFmt w:val="lowerLetter"/>
      <w:lvlText w:val="%5"/>
      <w:lvlJc w:val="left"/>
      <w:pPr>
        <w:ind w:left="5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DE661E">
      <w:start w:val="1"/>
      <w:numFmt w:val="lowerRoman"/>
      <w:lvlText w:val="%6"/>
      <w:lvlJc w:val="left"/>
      <w:pPr>
        <w:ind w:left="6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223202">
      <w:start w:val="1"/>
      <w:numFmt w:val="decimal"/>
      <w:lvlText w:val="%7"/>
      <w:lvlJc w:val="left"/>
      <w:pPr>
        <w:ind w:left="6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FCFF1C">
      <w:start w:val="1"/>
      <w:numFmt w:val="lowerLetter"/>
      <w:lvlText w:val="%8"/>
      <w:lvlJc w:val="left"/>
      <w:pPr>
        <w:ind w:left="7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3AA7DE">
      <w:start w:val="1"/>
      <w:numFmt w:val="lowerRoman"/>
      <w:lvlText w:val="%9"/>
      <w:lvlJc w:val="left"/>
      <w:pPr>
        <w:ind w:left="8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4149A5"/>
    <w:multiLevelType w:val="hybridMultilevel"/>
    <w:tmpl w:val="04769922"/>
    <w:lvl w:ilvl="0" w:tplc="258A873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CAF242">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CC4B50">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FC9776">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FE8FD2">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BC56FC">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A03E22">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2415F0">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BE9F58">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3101ED"/>
    <w:multiLevelType w:val="hybridMultilevel"/>
    <w:tmpl w:val="0A1E70F6"/>
    <w:lvl w:ilvl="0" w:tplc="F5FA3A9E">
      <w:start w:val="1"/>
      <w:numFmt w:val="bullet"/>
      <w:lvlText w:val="●"/>
      <w:lvlJc w:val="left"/>
      <w:pPr>
        <w:ind w:left="7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E0E5212">
      <w:start w:val="1"/>
      <w:numFmt w:val="bullet"/>
      <w:lvlText w:val="o"/>
      <w:lvlJc w:val="left"/>
      <w:pPr>
        <w:ind w:left="155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B4A8CC2">
      <w:start w:val="1"/>
      <w:numFmt w:val="bullet"/>
      <w:lvlText w:val="▪"/>
      <w:lvlJc w:val="left"/>
      <w:pPr>
        <w:ind w:left="227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D84D1D6">
      <w:start w:val="1"/>
      <w:numFmt w:val="bullet"/>
      <w:lvlText w:val="•"/>
      <w:lvlJc w:val="left"/>
      <w:pPr>
        <w:ind w:left="299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9C02E26">
      <w:start w:val="1"/>
      <w:numFmt w:val="bullet"/>
      <w:lvlText w:val="o"/>
      <w:lvlJc w:val="left"/>
      <w:pPr>
        <w:ind w:left="371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ADA63A28">
      <w:start w:val="1"/>
      <w:numFmt w:val="bullet"/>
      <w:lvlText w:val="▪"/>
      <w:lvlJc w:val="left"/>
      <w:pPr>
        <w:ind w:left="443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973C6364">
      <w:start w:val="1"/>
      <w:numFmt w:val="bullet"/>
      <w:lvlText w:val="•"/>
      <w:lvlJc w:val="left"/>
      <w:pPr>
        <w:ind w:left="515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9268219A">
      <w:start w:val="1"/>
      <w:numFmt w:val="bullet"/>
      <w:lvlText w:val="o"/>
      <w:lvlJc w:val="left"/>
      <w:pPr>
        <w:ind w:left="587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57305168">
      <w:start w:val="1"/>
      <w:numFmt w:val="bullet"/>
      <w:lvlText w:val="▪"/>
      <w:lvlJc w:val="left"/>
      <w:pPr>
        <w:ind w:left="659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F14326"/>
    <w:multiLevelType w:val="hybridMultilevel"/>
    <w:tmpl w:val="866A0A4C"/>
    <w:lvl w:ilvl="0" w:tplc="6234C8E6">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7CD03A">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4476D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EA8A7E">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CA0610">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82BC8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242D6E">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EA5E">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F81AB4">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5B7E74"/>
    <w:multiLevelType w:val="multilevel"/>
    <w:tmpl w:val="1908B102"/>
    <w:lvl w:ilvl="0">
      <w:start w:val="2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925C1D"/>
    <w:multiLevelType w:val="multilevel"/>
    <w:tmpl w:val="FA6EEA98"/>
    <w:lvl w:ilvl="0">
      <w:start w:val="1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D301ED"/>
    <w:multiLevelType w:val="hybridMultilevel"/>
    <w:tmpl w:val="FFBECE22"/>
    <w:lvl w:ilvl="0" w:tplc="93AA4516">
      <w:start w:val="1"/>
      <w:numFmt w:val="lowerRoman"/>
      <w:lvlText w:val="%1)"/>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E6CADC">
      <w:start w:val="1"/>
      <w:numFmt w:val="lowerLetter"/>
      <w:lvlText w:val="%2"/>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086FCC">
      <w:start w:val="1"/>
      <w:numFmt w:val="lowerRoman"/>
      <w:lvlText w:val="%3"/>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F2AD2E">
      <w:start w:val="1"/>
      <w:numFmt w:val="decimal"/>
      <w:lvlText w:val="%4"/>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1E3BDC">
      <w:start w:val="1"/>
      <w:numFmt w:val="lowerLetter"/>
      <w:lvlText w:val="%5"/>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3AEAFC">
      <w:start w:val="1"/>
      <w:numFmt w:val="lowerRoman"/>
      <w:lvlText w:val="%6"/>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D206AE">
      <w:start w:val="1"/>
      <w:numFmt w:val="decimal"/>
      <w:lvlText w:val="%7"/>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9E688A">
      <w:start w:val="1"/>
      <w:numFmt w:val="lowerLetter"/>
      <w:lvlText w:val="%8"/>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604DC2">
      <w:start w:val="1"/>
      <w:numFmt w:val="lowerRoman"/>
      <w:lvlText w:val="%9"/>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F55751D"/>
    <w:multiLevelType w:val="hybridMultilevel"/>
    <w:tmpl w:val="704CAD6A"/>
    <w:lvl w:ilvl="0" w:tplc="38F43A0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AE7776">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BE97D8">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52470E">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A2A68E">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1AA624">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FEC76C">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98DF72">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0814D2">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91C04C6"/>
    <w:multiLevelType w:val="hybridMultilevel"/>
    <w:tmpl w:val="C4D6C1A4"/>
    <w:lvl w:ilvl="0" w:tplc="5B346C00">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FE325C">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72165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E02E66">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9AC398">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ACA1F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1CA0BE">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6AE8F6">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183E50">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D77BB8"/>
    <w:multiLevelType w:val="multilevel"/>
    <w:tmpl w:val="36BC1458"/>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4"/>
      <w:numFmt w:val="decimal"/>
      <w:lvlRestart w:val="0"/>
      <w:lvlText w:val="%1.%2.%3"/>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E472E14"/>
    <w:multiLevelType w:val="hybridMultilevel"/>
    <w:tmpl w:val="C310B2FE"/>
    <w:lvl w:ilvl="0" w:tplc="69F6997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84D66E">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08D836">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48EDC6">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A2EB84">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B08E94">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14F82C">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843A30">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AE7C24">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F262949"/>
    <w:multiLevelType w:val="hybridMultilevel"/>
    <w:tmpl w:val="229C06AE"/>
    <w:lvl w:ilvl="0" w:tplc="B3180BB0">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BAA598">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BACF5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C4C2A4">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18D798">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4413B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BE1942">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4E3C9E">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56FD6A">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CA08CC"/>
    <w:multiLevelType w:val="multilevel"/>
    <w:tmpl w:val="54D4CC68"/>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3F0026"/>
    <w:multiLevelType w:val="multilevel"/>
    <w:tmpl w:val="CADE3912"/>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7462BC"/>
    <w:multiLevelType w:val="multilevel"/>
    <w:tmpl w:val="29E0BDC8"/>
    <w:lvl w:ilvl="0">
      <w:start w:val="1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3AA6D74"/>
    <w:multiLevelType w:val="multilevel"/>
    <w:tmpl w:val="8496D4FE"/>
    <w:lvl w:ilvl="0">
      <w:start w:val="2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4C60AA6"/>
    <w:multiLevelType w:val="hybridMultilevel"/>
    <w:tmpl w:val="718EEF0A"/>
    <w:lvl w:ilvl="0" w:tplc="0E78569E">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5E55C0">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00B91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EC932E">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9AD3F8">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78401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F8819A">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9C15AC">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68C85C">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5684A63"/>
    <w:multiLevelType w:val="hybridMultilevel"/>
    <w:tmpl w:val="F27C13DC"/>
    <w:lvl w:ilvl="0" w:tplc="46489F3C">
      <w:start w:val="1"/>
      <w:numFmt w:val="lowerLetter"/>
      <w:lvlText w:val="(%1)"/>
      <w:lvlJc w:val="left"/>
      <w:pPr>
        <w:ind w:left="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743776">
      <w:start w:val="1"/>
      <w:numFmt w:val="lowerLetter"/>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80E3A4">
      <w:start w:val="1"/>
      <w:numFmt w:val="lowerRoman"/>
      <w:lvlText w:val="%3"/>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3853C2">
      <w:start w:val="1"/>
      <w:numFmt w:val="decimal"/>
      <w:lvlText w:val="%4"/>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7E8DA2">
      <w:start w:val="1"/>
      <w:numFmt w:val="lowerLetter"/>
      <w:lvlText w:val="%5"/>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4EEEB4">
      <w:start w:val="1"/>
      <w:numFmt w:val="lowerRoman"/>
      <w:lvlText w:val="%6"/>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5C9B70">
      <w:start w:val="1"/>
      <w:numFmt w:val="decimal"/>
      <w:lvlText w:val="%7"/>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624DCC">
      <w:start w:val="1"/>
      <w:numFmt w:val="lowerLetter"/>
      <w:lvlText w:val="%8"/>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42E43A">
      <w:start w:val="1"/>
      <w:numFmt w:val="lowerRoman"/>
      <w:lvlText w:val="%9"/>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648430C"/>
    <w:multiLevelType w:val="hybridMultilevel"/>
    <w:tmpl w:val="C85C1ACA"/>
    <w:lvl w:ilvl="0" w:tplc="138C4B7C">
      <w:start w:val="1"/>
      <w:numFmt w:val="bullet"/>
      <w:lvlText w:val="●"/>
      <w:lvlJc w:val="left"/>
      <w:pPr>
        <w:ind w:left="1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5092DE">
      <w:start w:val="1"/>
      <w:numFmt w:val="bullet"/>
      <w:lvlText w:val="o"/>
      <w:lvlJc w:val="left"/>
      <w:pPr>
        <w:ind w:left="2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BE5BFE">
      <w:start w:val="1"/>
      <w:numFmt w:val="bullet"/>
      <w:lvlText w:val="▪"/>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70A9A0">
      <w:start w:val="1"/>
      <w:numFmt w:val="bullet"/>
      <w:lvlText w:val="•"/>
      <w:lvlJc w:val="left"/>
      <w:pPr>
        <w:ind w:left="3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EC7870">
      <w:start w:val="1"/>
      <w:numFmt w:val="bullet"/>
      <w:lvlText w:val="o"/>
      <w:lvlJc w:val="left"/>
      <w:pPr>
        <w:ind w:left="4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C07B3C">
      <w:start w:val="1"/>
      <w:numFmt w:val="bullet"/>
      <w:lvlText w:val="▪"/>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7A6904">
      <w:start w:val="1"/>
      <w:numFmt w:val="bullet"/>
      <w:lvlText w:val="•"/>
      <w:lvlJc w:val="left"/>
      <w:pPr>
        <w:ind w:left="5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CAE0F8">
      <w:start w:val="1"/>
      <w:numFmt w:val="bullet"/>
      <w:lvlText w:val="o"/>
      <w:lvlJc w:val="left"/>
      <w:pPr>
        <w:ind w:left="6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DCBF46">
      <w:start w:val="1"/>
      <w:numFmt w:val="bullet"/>
      <w:lvlText w:val="▪"/>
      <w:lvlJc w:val="left"/>
      <w:pPr>
        <w:ind w:left="7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8480AB3"/>
    <w:multiLevelType w:val="multilevel"/>
    <w:tmpl w:val="564CFE78"/>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CD94838"/>
    <w:multiLevelType w:val="hybridMultilevel"/>
    <w:tmpl w:val="8D906584"/>
    <w:lvl w:ilvl="0" w:tplc="1186C09E">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D4BE2C">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BC831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62A77C">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880EB2">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82A1A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AABD4E">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3C83B2">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B222CC">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1D15DA5"/>
    <w:multiLevelType w:val="multilevel"/>
    <w:tmpl w:val="783AC79E"/>
    <w:lvl w:ilvl="0">
      <w:start w:val="1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63B3FF9"/>
    <w:multiLevelType w:val="multilevel"/>
    <w:tmpl w:val="FFDE7AE2"/>
    <w:lvl w:ilvl="0">
      <w:start w:val="2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EBA3657"/>
    <w:multiLevelType w:val="hybridMultilevel"/>
    <w:tmpl w:val="ABDA7BAC"/>
    <w:lvl w:ilvl="0" w:tplc="EEE6A49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A8BFAA">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FA3396">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181C8C">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8EE9FA">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90EE36">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645D76">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D0025E">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4C7F1E">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02D39E3"/>
    <w:multiLevelType w:val="hybridMultilevel"/>
    <w:tmpl w:val="16ECBB16"/>
    <w:lvl w:ilvl="0" w:tplc="BAB8A3EC">
      <w:start w:val="1"/>
      <w:numFmt w:val="bullet"/>
      <w:lvlText w:val="●"/>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A408E2">
      <w:start w:val="1"/>
      <w:numFmt w:val="bullet"/>
      <w:lvlText w:val="o"/>
      <w:lvlJc w:val="left"/>
      <w:pPr>
        <w:ind w:left="2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EE9468">
      <w:start w:val="1"/>
      <w:numFmt w:val="bullet"/>
      <w:lvlText w:val="▪"/>
      <w:lvlJc w:val="left"/>
      <w:pPr>
        <w:ind w:left="2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F665FA">
      <w:start w:val="1"/>
      <w:numFmt w:val="bullet"/>
      <w:lvlText w:val="•"/>
      <w:lvlJc w:val="left"/>
      <w:pPr>
        <w:ind w:left="3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B2A9A8">
      <w:start w:val="1"/>
      <w:numFmt w:val="bullet"/>
      <w:lvlText w:val="o"/>
      <w:lvlJc w:val="left"/>
      <w:pPr>
        <w:ind w:left="4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B28C6E">
      <w:start w:val="1"/>
      <w:numFmt w:val="bullet"/>
      <w:lvlText w:val="▪"/>
      <w:lvlJc w:val="left"/>
      <w:pPr>
        <w:ind w:left="5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2661C4">
      <w:start w:val="1"/>
      <w:numFmt w:val="bullet"/>
      <w:lvlText w:val="•"/>
      <w:lvlJc w:val="left"/>
      <w:pPr>
        <w:ind w:left="5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CCE5EE">
      <w:start w:val="1"/>
      <w:numFmt w:val="bullet"/>
      <w:lvlText w:val="o"/>
      <w:lvlJc w:val="left"/>
      <w:pPr>
        <w:ind w:left="6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DA2B34">
      <w:start w:val="1"/>
      <w:numFmt w:val="bullet"/>
      <w:lvlText w:val="▪"/>
      <w:lvlJc w:val="left"/>
      <w:pPr>
        <w:ind w:left="7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14F2441"/>
    <w:multiLevelType w:val="hybridMultilevel"/>
    <w:tmpl w:val="22B4DE7C"/>
    <w:lvl w:ilvl="0" w:tplc="E65AAA24">
      <w:start w:val="1"/>
      <w:numFmt w:val="lowerLetter"/>
      <w:lvlText w:val="(%1)"/>
      <w:lvlJc w:val="left"/>
      <w:pPr>
        <w:ind w:left="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E2961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34E45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30FE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4259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84ACF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C688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D0437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4EF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21F5EA6"/>
    <w:multiLevelType w:val="hybridMultilevel"/>
    <w:tmpl w:val="9DF8E40C"/>
    <w:lvl w:ilvl="0" w:tplc="3FC85BF6">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2C681A">
      <w:start w:val="1"/>
      <w:numFmt w:val="lowerLetter"/>
      <w:lvlText w:val="%2"/>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AA4A68">
      <w:start w:val="1"/>
      <w:numFmt w:val="lowerRoman"/>
      <w:lvlText w:val="%3"/>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E094E0">
      <w:start w:val="1"/>
      <w:numFmt w:val="decimal"/>
      <w:lvlText w:val="%4"/>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D8E77E">
      <w:start w:val="1"/>
      <w:numFmt w:val="lowerLetter"/>
      <w:lvlText w:val="%5"/>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523988">
      <w:start w:val="1"/>
      <w:numFmt w:val="lowerRoman"/>
      <w:lvlText w:val="%6"/>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DE61DA">
      <w:start w:val="1"/>
      <w:numFmt w:val="decimal"/>
      <w:lvlText w:val="%7"/>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8A7440">
      <w:start w:val="1"/>
      <w:numFmt w:val="lowerLetter"/>
      <w:lvlText w:val="%8"/>
      <w:lvlJc w:val="left"/>
      <w:pPr>
        <w:ind w:left="72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900724">
      <w:start w:val="1"/>
      <w:numFmt w:val="lowerRoman"/>
      <w:lvlText w:val="%9"/>
      <w:lvlJc w:val="left"/>
      <w:pPr>
        <w:ind w:left="79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36D0055"/>
    <w:multiLevelType w:val="hybridMultilevel"/>
    <w:tmpl w:val="B89CC4EA"/>
    <w:lvl w:ilvl="0" w:tplc="DFA07CC2">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2C3AA8">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DE279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8E9C2E">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1294CE">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846B3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C8EDA4">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9CF0C8">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867836">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57C7192"/>
    <w:multiLevelType w:val="hybridMultilevel"/>
    <w:tmpl w:val="87206B2C"/>
    <w:lvl w:ilvl="0" w:tplc="11F08376">
      <w:start w:val="1"/>
      <w:numFmt w:val="lowerLetter"/>
      <w:lvlText w:val="(%1)"/>
      <w:lvlJc w:val="left"/>
      <w:pPr>
        <w:ind w:left="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1CD5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4083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3C6D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2261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CEF66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900B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88D3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1003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59814C3"/>
    <w:multiLevelType w:val="hybridMultilevel"/>
    <w:tmpl w:val="7E38CCF4"/>
    <w:lvl w:ilvl="0" w:tplc="3398A676">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C05A58">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242A8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F462C4">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4B57C">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E609B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B8B4F0">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E8B74E">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FAB6FE">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7827D09"/>
    <w:multiLevelType w:val="hybridMultilevel"/>
    <w:tmpl w:val="48A447A8"/>
    <w:lvl w:ilvl="0" w:tplc="66C2A41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88E660">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B82360">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809738">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6445D8">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D84F3C">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BAFA28">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206AE">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D8CDA6">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7F95EBB"/>
    <w:multiLevelType w:val="hybridMultilevel"/>
    <w:tmpl w:val="E1AC4238"/>
    <w:lvl w:ilvl="0" w:tplc="DF44D3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983DF2">
      <w:start w:val="1"/>
      <w:numFmt w:val="lowerLetter"/>
      <w:lvlText w:val="%2"/>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70FB56">
      <w:start w:val="1"/>
      <w:numFmt w:val="lowerRoman"/>
      <w:lvlText w:val="%3"/>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F69448">
      <w:start w:val="1"/>
      <w:numFmt w:val="lowerLetter"/>
      <w:lvlRestart w:val="0"/>
      <w:lvlText w:val="(%4)"/>
      <w:lvlJc w:val="left"/>
      <w:pPr>
        <w:ind w:left="1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E2902C">
      <w:start w:val="1"/>
      <w:numFmt w:val="lowerLetter"/>
      <w:lvlText w:val="%5"/>
      <w:lvlJc w:val="left"/>
      <w:pPr>
        <w:ind w:left="2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001180">
      <w:start w:val="1"/>
      <w:numFmt w:val="lowerRoman"/>
      <w:lvlText w:val="%6"/>
      <w:lvlJc w:val="left"/>
      <w:pPr>
        <w:ind w:left="3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C42F4C">
      <w:start w:val="1"/>
      <w:numFmt w:val="decimal"/>
      <w:lvlText w:val="%7"/>
      <w:lvlJc w:val="left"/>
      <w:pPr>
        <w:ind w:left="3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440438">
      <w:start w:val="1"/>
      <w:numFmt w:val="lowerLetter"/>
      <w:lvlText w:val="%8"/>
      <w:lvlJc w:val="left"/>
      <w:pPr>
        <w:ind w:left="4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0A1792">
      <w:start w:val="1"/>
      <w:numFmt w:val="lowerRoman"/>
      <w:lvlText w:val="%9"/>
      <w:lvlJc w:val="left"/>
      <w:pPr>
        <w:ind w:left="5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9BC6D4F"/>
    <w:multiLevelType w:val="hybridMultilevel"/>
    <w:tmpl w:val="61FA4F1A"/>
    <w:lvl w:ilvl="0" w:tplc="208CEFD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C819CC">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60AD30">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E85DB2">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C4F512">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160F46">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FE1138">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D01A44">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700A58">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9CA1FEC"/>
    <w:multiLevelType w:val="hybridMultilevel"/>
    <w:tmpl w:val="BCBE62FC"/>
    <w:lvl w:ilvl="0" w:tplc="E542D2E0">
      <w:start w:val="1"/>
      <w:numFmt w:val="bullet"/>
      <w:lvlText w:val="●"/>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0AF1C0">
      <w:start w:val="1"/>
      <w:numFmt w:val="bullet"/>
      <w:lvlText w:val="o"/>
      <w:lvlJc w:val="left"/>
      <w:pPr>
        <w:ind w:left="1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DC503A">
      <w:start w:val="1"/>
      <w:numFmt w:val="bullet"/>
      <w:lvlText w:val="▪"/>
      <w:lvlJc w:val="left"/>
      <w:pPr>
        <w:ind w:left="2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444664">
      <w:start w:val="1"/>
      <w:numFmt w:val="bullet"/>
      <w:lvlText w:val="•"/>
      <w:lvlJc w:val="left"/>
      <w:pPr>
        <w:ind w:left="2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8E3C5C">
      <w:start w:val="1"/>
      <w:numFmt w:val="bullet"/>
      <w:lvlText w:val="o"/>
      <w:lvlJc w:val="left"/>
      <w:pPr>
        <w:ind w:left="3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F4A3A2">
      <w:start w:val="1"/>
      <w:numFmt w:val="bullet"/>
      <w:lvlText w:val="▪"/>
      <w:lvlJc w:val="left"/>
      <w:pPr>
        <w:ind w:left="4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68205A">
      <w:start w:val="1"/>
      <w:numFmt w:val="bullet"/>
      <w:lvlText w:val="•"/>
      <w:lvlJc w:val="left"/>
      <w:pPr>
        <w:ind w:left="5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DC7A08">
      <w:start w:val="1"/>
      <w:numFmt w:val="bullet"/>
      <w:lvlText w:val="o"/>
      <w:lvlJc w:val="left"/>
      <w:pPr>
        <w:ind w:left="5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801888">
      <w:start w:val="1"/>
      <w:numFmt w:val="bullet"/>
      <w:lvlText w:val="▪"/>
      <w:lvlJc w:val="left"/>
      <w:pPr>
        <w:ind w:left="6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BF65394"/>
    <w:multiLevelType w:val="hybridMultilevel"/>
    <w:tmpl w:val="14C88366"/>
    <w:lvl w:ilvl="0" w:tplc="82E29E84">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189A3C">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CAE9D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10B186">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F63520">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14280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9A51D4">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3A05BC">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425648">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2111CA2"/>
    <w:multiLevelType w:val="hybridMultilevel"/>
    <w:tmpl w:val="3000EB08"/>
    <w:lvl w:ilvl="0" w:tplc="13E8F0A0">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000CC4">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BA1A0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9E09AC">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D4648C">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2CDD8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A83BCC">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02F644">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3CBD18">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4A04018"/>
    <w:multiLevelType w:val="hybridMultilevel"/>
    <w:tmpl w:val="50A415B0"/>
    <w:lvl w:ilvl="0" w:tplc="463A6A5A">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A21A1C">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22243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6497C2">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30B6C0">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76AAE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2022D4">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32130A">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A2F008">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57E07A9"/>
    <w:multiLevelType w:val="multilevel"/>
    <w:tmpl w:val="413C190E"/>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6CA550B"/>
    <w:multiLevelType w:val="hybridMultilevel"/>
    <w:tmpl w:val="93DA7A7A"/>
    <w:lvl w:ilvl="0" w:tplc="040A472C">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024032">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548BB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B47834">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8CD978">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20FBC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D239A2">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A46548">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2416C0">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921054A"/>
    <w:multiLevelType w:val="hybridMultilevel"/>
    <w:tmpl w:val="41F6D726"/>
    <w:lvl w:ilvl="0" w:tplc="5A1C4A18">
      <w:start w:val="1"/>
      <w:numFmt w:val="lowerLetter"/>
      <w:lvlText w:val="(%1)"/>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76907A">
      <w:start w:val="1"/>
      <w:numFmt w:val="lowerLetter"/>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CCD946">
      <w:start w:val="1"/>
      <w:numFmt w:val="lowerRoman"/>
      <w:lvlText w:val="%3"/>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3C1CAA">
      <w:start w:val="1"/>
      <w:numFmt w:val="decimal"/>
      <w:lvlText w:val="%4"/>
      <w:lvlJc w:val="left"/>
      <w:pPr>
        <w:ind w:left="2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4E4EFC">
      <w:start w:val="1"/>
      <w:numFmt w:val="lowerLetter"/>
      <w:lvlText w:val="%5"/>
      <w:lvlJc w:val="left"/>
      <w:pPr>
        <w:ind w:left="3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B8EF12">
      <w:start w:val="1"/>
      <w:numFmt w:val="lowerRoman"/>
      <w:lvlText w:val="%6"/>
      <w:lvlJc w:val="left"/>
      <w:pPr>
        <w:ind w:left="4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8A0D54">
      <w:start w:val="1"/>
      <w:numFmt w:val="decimal"/>
      <w:lvlText w:val="%7"/>
      <w:lvlJc w:val="left"/>
      <w:pPr>
        <w:ind w:left="5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72EE7E">
      <w:start w:val="1"/>
      <w:numFmt w:val="lowerLetter"/>
      <w:lvlText w:val="%8"/>
      <w:lvlJc w:val="left"/>
      <w:pPr>
        <w:ind w:left="5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BE46B0">
      <w:start w:val="1"/>
      <w:numFmt w:val="lowerRoman"/>
      <w:lvlText w:val="%9"/>
      <w:lvlJc w:val="left"/>
      <w:pPr>
        <w:ind w:left="6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BEF32B7"/>
    <w:multiLevelType w:val="multilevel"/>
    <w:tmpl w:val="9B3CD8E6"/>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105396E"/>
    <w:multiLevelType w:val="hybridMultilevel"/>
    <w:tmpl w:val="D87A4F80"/>
    <w:lvl w:ilvl="0" w:tplc="3FB2E56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72BBAE">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B0A5DE">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060E4A">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84574A">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32201A">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061CB8">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04041E">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F89110">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2301A40"/>
    <w:multiLevelType w:val="multilevel"/>
    <w:tmpl w:val="726046CE"/>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2C32379"/>
    <w:multiLevelType w:val="hybridMultilevel"/>
    <w:tmpl w:val="18F01B52"/>
    <w:lvl w:ilvl="0" w:tplc="8F4E20C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7E687C">
      <w:start w:val="1"/>
      <w:numFmt w:val="lowerLetter"/>
      <w:lvlText w:val="%2"/>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AC425E">
      <w:start w:val="1"/>
      <w:numFmt w:val="lowerRoman"/>
      <w:lvlRestart w:val="0"/>
      <w:lvlText w:val="(%3)"/>
      <w:lvlJc w:val="left"/>
      <w:pPr>
        <w:ind w:left="1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C84E10">
      <w:start w:val="1"/>
      <w:numFmt w:val="decimal"/>
      <w:lvlText w:val="%4"/>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9ACA80">
      <w:start w:val="1"/>
      <w:numFmt w:val="lowerLetter"/>
      <w:lvlText w:val="%5"/>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E259E8">
      <w:start w:val="1"/>
      <w:numFmt w:val="lowerRoman"/>
      <w:lvlText w:val="%6"/>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26165E">
      <w:start w:val="1"/>
      <w:numFmt w:val="decimal"/>
      <w:lvlText w:val="%7"/>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FC5A02">
      <w:start w:val="1"/>
      <w:numFmt w:val="lowerLetter"/>
      <w:lvlText w:val="%8"/>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E08E7C">
      <w:start w:val="1"/>
      <w:numFmt w:val="lowerRoman"/>
      <w:lvlText w:val="%9"/>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4F44103"/>
    <w:multiLevelType w:val="hybridMultilevel"/>
    <w:tmpl w:val="8842B38C"/>
    <w:lvl w:ilvl="0" w:tplc="92B4B1DE">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B41874">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124AD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D01D5E">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12F73C">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0E69D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B2A88C">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5AC400">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6C7F72">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5C918A6"/>
    <w:multiLevelType w:val="hybridMultilevel"/>
    <w:tmpl w:val="8F1E1E2E"/>
    <w:lvl w:ilvl="0" w:tplc="25C2C520">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52EBA2">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F488B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ECAF96">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540B04">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90AC7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3411F0">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3E4D3E">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F4EA86">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62A2918"/>
    <w:multiLevelType w:val="hybridMultilevel"/>
    <w:tmpl w:val="4E32249E"/>
    <w:lvl w:ilvl="0" w:tplc="1994A422">
      <w:start w:val="1"/>
      <w:numFmt w:val="lowerLetter"/>
      <w:lvlText w:val="(%1)"/>
      <w:lvlJc w:val="left"/>
      <w:pPr>
        <w:ind w:left="1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185782">
      <w:start w:val="1"/>
      <w:numFmt w:val="lowerRoman"/>
      <w:lvlText w:val="(%2)"/>
      <w:lvlJc w:val="left"/>
      <w:pPr>
        <w:ind w:left="1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AA764A">
      <w:start w:val="1"/>
      <w:numFmt w:val="lowerRoman"/>
      <w:lvlText w:val="%3"/>
      <w:lvlJc w:val="left"/>
      <w:pPr>
        <w:ind w:left="2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E0304C">
      <w:start w:val="1"/>
      <w:numFmt w:val="decimal"/>
      <w:lvlText w:val="%4"/>
      <w:lvlJc w:val="left"/>
      <w:pPr>
        <w:ind w:left="3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AE164E">
      <w:start w:val="1"/>
      <w:numFmt w:val="lowerLetter"/>
      <w:lvlText w:val="%5"/>
      <w:lvlJc w:val="left"/>
      <w:pPr>
        <w:ind w:left="3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BCF02E">
      <w:start w:val="1"/>
      <w:numFmt w:val="lowerRoman"/>
      <w:lvlText w:val="%6"/>
      <w:lvlJc w:val="left"/>
      <w:pPr>
        <w:ind w:left="4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D4E34C">
      <w:start w:val="1"/>
      <w:numFmt w:val="decimal"/>
      <w:lvlText w:val="%7"/>
      <w:lvlJc w:val="left"/>
      <w:pPr>
        <w:ind w:left="5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CE6E4A">
      <w:start w:val="1"/>
      <w:numFmt w:val="lowerLetter"/>
      <w:lvlText w:val="%8"/>
      <w:lvlJc w:val="left"/>
      <w:pPr>
        <w:ind w:left="5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442EAC">
      <w:start w:val="1"/>
      <w:numFmt w:val="lowerRoman"/>
      <w:lvlText w:val="%9"/>
      <w:lvlJc w:val="left"/>
      <w:pPr>
        <w:ind w:left="6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66A2C4D"/>
    <w:multiLevelType w:val="hybridMultilevel"/>
    <w:tmpl w:val="7F5C6AB2"/>
    <w:lvl w:ilvl="0" w:tplc="B1B60D48">
      <w:start w:val="1"/>
      <w:numFmt w:val="lowerLetter"/>
      <w:lvlText w:val="%1."/>
      <w:lvlJc w:val="left"/>
      <w:pPr>
        <w:ind w:left="2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24C05E">
      <w:start w:val="1"/>
      <w:numFmt w:val="lowerLetter"/>
      <w:lvlText w:val="%2"/>
      <w:lvlJc w:val="left"/>
      <w:pPr>
        <w:ind w:left="3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9812D8">
      <w:start w:val="1"/>
      <w:numFmt w:val="lowerRoman"/>
      <w:lvlText w:val="%3"/>
      <w:lvlJc w:val="left"/>
      <w:pPr>
        <w:ind w:left="3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D625BE">
      <w:start w:val="1"/>
      <w:numFmt w:val="decimal"/>
      <w:lvlText w:val="%4"/>
      <w:lvlJc w:val="left"/>
      <w:pPr>
        <w:ind w:left="4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8AB0DE">
      <w:start w:val="1"/>
      <w:numFmt w:val="lowerLetter"/>
      <w:lvlText w:val="%5"/>
      <w:lvlJc w:val="left"/>
      <w:pPr>
        <w:ind w:left="5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26C5CA">
      <w:start w:val="1"/>
      <w:numFmt w:val="lowerRoman"/>
      <w:lvlText w:val="%6"/>
      <w:lvlJc w:val="left"/>
      <w:pPr>
        <w:ind w:left="6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9AEC00">
      <w:start w:val="1"/>
      <w:numFmt w:val="decimal"/>
      <w:lvlText w:val="%7"/>
      <w:lvlJc w:val="left"/>
      <w:pPr>
        <w:ind w:left="6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6A8BE4">
      <w:start w:val="1"/>
      <w:numFmt w:val="lowerLetter"/>
      <w:lvlText w:val="%8"/>
      <w:lvlJc w:val="left"/>
      <w:pPr>
        <w:ind w:left="7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6C1B56">
      <w:start w:val="1"/>
      <w:numFmt w:val="lowerRoman"/>
      <w:lvlText w:val="%9"/>
      <w:lvlJc w:val="left"/>
      <w:pPr>
        <w:ind w:left="8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67C70F76"/>
    <w:multiLevelType w:val="hybridMultilevel"/>
    <w:tmpl w:val="CACCB046"/>
    <w:lvl w:ilvl="0" w:tplc="15442C38">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DC74B8">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F22E7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8E5048">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20ECF2">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54355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7ABEEC">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20D170">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16E2CC">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9856993"/>
    <w:multiLevelType w:val="multilevel"/>
    <w:tmpl w:val="1602AA12"/>
    <w:lvl w:ilvl="0">
      <w:start w:val="1"/>
      <w:numFmt w:val="decimal"/>
      <w:lvlText w:val="%1."/>
      <w:lvlJc w:val="left"/>
      <w:pPr>
        <w:ind w:left="2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AB72E5E"/>
    <w:multiLevelType w:val="multilevel"/>
    <w:tmpl w:val="3438CFE0"/>
    <w:lvl w:ilvl="0">
      <w:start w:val="2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CB478FF"/>
    <w:multiLevelType w:val="hybridMultilevel"/>
    <w:tmpl w:val="630C2752"/>
    <w:lvl w:ilvl="0" w:tplc="D35C2208">
      <w:start w:val="1"/>
      <w:numFmt w:val="bullet"/>
      <w:lvlText w:val="●"/>
      <w:lvlJc w:val="left"/>
      <w:pPr>
        <w:ind w:left="1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4E6B32">
      <w:start w:val="1"/>
      <w:numFmt w:val="bullet"/>
      <w:lvlText w:val="o"/>
      <w:lvlJc w:val="left"/>
      <w:pPr>
        <w:ind w:left="2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96FC60">
      <w:start w:val="1"/>
      <w:numFmt w:val="bullet"/>
      <w:lvlText w:val="▪"/>
      <w:lvlJc w:val="left"/>
      <w:pPr>
        <w:ind w:left="2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7AD56A">
      <w:start w:val="1"/>
      <w:numFmt w:val="bullet"/>
      <w:lvlText w:val="•"/>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D66ED6">
      <w:start w:val="1"/>
      <w:numFmt w:val="bullet"/>
      <w:lvlText w:val="o"/>
      <w:lvlJc w:val="left"/>
      <w:pPr>
        <w:ind w:left="4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E8D09A">
      <w:start w:val="1"/>
      <w:numFmt w:val="bullet"/>
      <w:lvlText w:val="▪"/>
      <w:lvlJc w:val="left"/>
      <w:pPr>
        <w:ind w:left="5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52A2D8">
      <w:start w:val="1"/>
      <w:numFmt w:val="bullet"/>
      <w:lvlText w:val="•"/>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32CE2A">
      <w:start w:val="1"/>
      <w:numFmt w:val="bullet"/>
      <w:lvlText w:val="o"/>
      <w:lvlJc w:val="left"/>
      <w:pPr>
        <w:ind w:left="6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603800">
      <w:start w:val="1"/>
      <w:numFmt w:val="bullet"/>
      <w:lvlText w:val="▪"/>
      <w:lvlJc w:val="left"/>
      <w:pPr>
        <w:ind w:left="7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E684E94"/>
    <w:multiLevelType w:val="hybridMultilevel"/>
    <w:tmpl w:val="AB10F650"/>
    <w:lvl w:ilvl="0" w:tplc="1832B5BE">
      <w:start w:val="1"/>
      <w:numFmt w:val="lowerLetter"/>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0E50A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C00AF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7C51E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F26C9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128FB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66AB4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1EE6B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16133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0511374"/>
    <w:multiLevelType w:val="hybridMultilevel"/>
    <w:tmpl w:val="DC9A96CE"/>
    <w:lvl w:ilvl="0" w:tplc="E446F746">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B0F9C4">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4E956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40E1AC">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DC3EF2">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62D1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D86D14">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2CD48E">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461AEA">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565702D"/>
    <w:multiLevelType w:val="multilevel"/>
    <w:tmpl w:val="73F85D64"/>
    <w:lvl w:ilvl="0">
      <w:start w:val="1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5CD786D"/>
    <w:multiLevelType w:val="hybridMultilevel"/>
    <w:tmpl w:val="5FF49436"/>
    <w:lvl w:ilvl="0" w:tplc="543CEBFE">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2AC006">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C28D8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209002">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4247FA">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F47D4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6AC696">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2A562C">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74B330">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C580AFE"/>
    <w:multiLevelType w:val="hybridMultilevel"/>
    <w:tmpl w:val="B12A2D66"/>
    <w:lvl w:ilvl="0" w:tplc="30DE11D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9648BC">
      <w:start w:val="3"/>
      <w:numFmt w:val="lowerRoman"/>
      <w:lvlText w:val="(%2)"/>
      <w:lvlJc w:val="left"/>
      <w:pPr>
        <w:ind w:left="1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5839A4">
      <w:start w:val="1"/>
      <w:numFmt w:val="lowerRoman"/>
      <w:lvlText w:val="%3"/>
      <w:lvlJc w:val="left"/>
      <w:pPr>
        <w:ind w:left="2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24AAAE">
      <w:start w:val="1"/>
      <w:numFmt w:val="decimal"/>
      <w:lvlText w:val="%4"/>
      <w:lvlJc w:val="left"/>
      <w:pPr>
        <w:ind w:left="3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C2FB6A">
      <w:start w:val="1"/>
      <w:numFmt w:val="lowerLetter"/>
      <w:lvlText w:val="%5"/>
      <w:lvlJc w:val="left"/>
      <w:pPr>
        <w:ind w:left="3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CAEDAC">
      <w:start w:val="1"/>
      <w:numFmt w:val="lowerRoman"/>
      <w:lvlText w:val="%6"/>
      <w:lvlJc w:val="left"/>
      <w:pPr>
        <w:ind w:left="4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1A8DE4">
      <w:start w:val="1"/>
      <w:numFmt w:val="decimal"/>
      <w:lvlText w:val="%7"/>
      <w:lvlJc w:val="left"/>
      <w:pPr>
        <w:ind w:left="5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D8B658">
      <w:start w:val="1"/>
      <w:numFmt w:val="lowerLetter"/>
      <w:lvlText w:val="%8"/>
      <w:lvlJc w:val="left"/>
      <w:pPr>
        <w:ind w:left="5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E6286E">
      <w:start w:val="1"/>
      <w:numFmt w:val="lowerRoman"/>
      <w:lvlText w:val="%9"/>
      <w:lvlJc w:val="left"/>
      <w:pPr>
        <w:ind w:left="6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D8414E3"/>
    <w:multiLevelType w:val="hybridMultilevel"/>
    <w:tmpl w:val="F4700A08"/>
    <w:lvl w:ilvl="0" w:tplc="22740046">
      <w:start w:val="1"/>
      <w:numFmt w:val="upperLetter"/>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C2C2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3AF4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C09D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7E2D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56F1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2C90A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A0D31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F0F1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DA154D9"/>
    <w:multiLevelType w:val="hybridMultilevel"/>
    <w:tmpl w:val="A0323360"/>
    <w:lvl w:ilvl="0" w:tplc="41246FC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34ADFC">
      <w:start w:val="1"/>
      <w:numFmt w:val="bullet"/>
      <w:lvlText w:val="o"/>
      <w:lvlJc w:val="left"/>
      <w:pPr>
        <w:ind w:left="1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4EAD3C">
      <w:start w:val="1"/>
      <w:numFmt w:val="bullet"/>
      <w:lvlText w:val="▪"/>
      <w:lvlJc w:val="left"/>
      <w:pPr>
        <w:ind w:left="2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FC0B42">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F2469A">
      <w:start w:val="1"/>
      <w:numFmt w:val="bullet"/>
      <w:lvlText w:val="o"/>
      <w:lvlJc w:val="left"/>
      <w:pPr>
        <w:ind w:left="3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0005D8">
      <w:start w:val="1"/>
      <w:numFmt w:val="bullet"/>
      <w:lvlText w:val="▪"/>
      <w:lvlJc w:val="left"/>
      <w:pPr>
        <w:ind w:left="4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FA6564">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5EAC74">
      <w:start w:val="1"/>
      <w:numFmt w:val="bullet"/>
      <w:lvlText w:val="o"/>
      <w:lvlJc w:val="left"/>
      <w:pPr>
        <w:ind w:left="5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E0429E">
      <w:start w:val="1"/>
      <w:numFmt w:val="bullet"/>
      <w:lvlText w:val="▪"/>
      <w:lvlJc w:val="left"/>
      <w:pPr>
        <w:ind w:left="6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7FF0752E"/>
    <w:multiLevelType w:val="hybridMultilevel"/>
    <w:tmpl w:val="8E2EE144"/>
    <w:lvl w:ilvl="0" w:tplc="8020C7C4">
      <w:start w:val="1"/>
      <w:numFmt w:val="lowerLetter"/>
      <w:lvlText w:val="(%1)"/>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38304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F0ACC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BA8F5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24043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AA5DB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7216B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36687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CC620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50"/>
  </w:num>
  <w:num w:numId="2">
    <w:abstractNumId w:val="58"/>
  </w:num>
  <w:num w:numId="3">
    <w:abstractNumId w:val="0"/>
  </w:num>
  <w:num w:numId="4">
    <w:abstractNumId w:val="35"/>
  </w:num>
  <w:num w:numId="5">
    <w:abstractNumId w:val="28"/>
  </w:num>
  <w:num w:numId="6">
    <w:abstractNumId w:val="13"/>
  </w:num>
  <w:num w:numId="7">
    <w:abstractNumId w:val="21"/>
  </w:num>
  <w:num w:numId="8">
    <w:abstractNumId w:val="20"/>
  </w:num>
  <w:num w:numId="9">
    <w:abstractNumId w:val="46"/>
  </w:num>
  <w:num w:numId="10">
    <w:abstractNumId w:val="52"/>
  </w:num>
  <w:num w:numId="11">
    <w:abstractNumId w:val="43"/>
  </w:num>
  <w:num w:numId="12">
    <w:abstractNumId w:val="41"/>
  </w:num>
  <w:num w:numId="13">
    <w:abstractNumId w:val="39"/>
  </w:num>
  <w:num w:numId="14">
    <w:abstractNumId w:val="17"/>
  </w:num>
  <w:num w:numId="15">
    <w:abstractNumId w:val="4"/>
  </w:num>
  <w:num w:numId="16">
    <w:abstractNumId w:val="38"/>
  </w:num>
  <w:num w:numId="17">
    <w:abstractNumId w:val="36"/>
  </w:num>
  <w:num w:numId="18">
    <w:abstractNumId w:val="55"/>
  </w:num>
  <w:num w:numId="19">
    <w:abstractNumId w:val="9"/>
  </w:num>
  <w:num w:numId="20">
    <w:abstractNumId w:val="49"/>
  </w:num>
  <w:num w:numId="21">
    <w:abstractNumId w:val="15"/>
  </w:num>
  <w:num w:numId="22">
    <w:abstractNumId w:val="6"/>
  </w:num>
  <w:num w:numId="23">
    <w:abstractNumId w:val="19"/>
  </w:num>
  <w:num w:numId="24">
    <w:abstractNumId w:val="22"/>
  </w:num>
  <w:num w:numId="25">
    <w:abstractNumId w:val="30"/>
  </w:num>
  <w:num w:numId="26">
    <w:abstractNumId w:val="51"/>
  </w:num>
  <w:num w:numId="27">
    <w:abstractNumId w:val="12"/>
  </w:num>
  <w:num w:numId="28">
    <w:abstractNumId w:val="23"/>
  </w:num>
  <w:num w:numId="29">
    <w:abstractNumId w:val="37"/>
  </w:num>
  <w:num w:numId="30">
    <w:abstractNumId w:val="56"/>
  </w:num>
  <w:num w:numId="31">
    <w:abstractNumId w:val="54"/>
  </w:num>
  <w:num w:numId="32">
    <w:abstractNumId w:val="5"/>
  </w:num>
  <w:num w:numId="33">
    <w:abstractNumId w:val="16"/>
  </w:num>
  <w:num w:numId="34">
    <w:abstractNumId w:val="45"/>
  </w:num>
  <w:num w:numId="35">
    <w:abstractNumId w:val="48"/>
  </w:num>
  <w:num w:numId="36">
    <w:abstractNumId w:val="1"/>
  </w:num>
  <w:num w:numId="37">
    <w:abstractNumId w:val="27"/>
  </w:num>
  <w:num w:numId="38">
    <w:abstractNumId w:val="10"/>
  </w:num>
  <w:num w:numId="39">
    <w:abstractNumId w:val="47"/>
  </w:num>
  <w:num w:numId="40">
    <w:abstractNumId w:val="57"/>
  </w:num>
  <w:num w:numId="41">
    <w:abstractNumId w:val="29"/>
  </w:num>
  <w:num w:numId="42">
    <w:abstractNumId w:val="44"/>
  </w:num>
  <w:num w:numId="43">
    <w:abstractNumId w:val="32"/>
  </w:num>
  <w:num w:numId="44">
    <w:abstractNumId w:val="40"/>
  </w:num>
  <w:num w:numId="45">
    <w:abstractNumId w:val="18"/>
  </w:num>
  <w:num w:numId="46">
    <w:abstractNumId w:val="60"/>
  </w:num>
  <w:num w:numId="47">
    <w:abstractNumId w:val="14"/>
  </w:num>
  <w:num w:numId="48">
    <w:abstractNumId w:val="53"/>
  </w:num>
  <w:num w:numId="49">
    <w:abstractNumId w:val="26"/>
  </w:num>
  <w:num w:numId="50">
    <w:abstractNumId w:val="25"/>
  </w:num>
  <w:num w:numId="51">
    <w:abstractNumId w:val="42"/>
  </w:num>
  <w:num w:numId="52">
    <w:abstractNumId w:val="24"/>
  </w:num>
  <w:num w:numId="53">
    <w:abstractNumId w:val="7"/>
  </w:num>
  <w:num w:numId="54">
    <w:abstractNumId w:val="33"/>
  </w:num>
  <w:num w:numId="55">
    <w:abstractNumId w:val="8"/>
  </w:num>
  <w:num w:numId="56">
    <w:abstractNumId w:val="11"/>
  </w:num>
  <w:num w:numId="57">
    <w:abstractNumId w:val="59"/>
  </w:num>
  <w:num w:numId="58">
    <w:abstractNumId w:val="2"/>
  </w:num>
  <w:num w:numId="59">
    <w:abstractNumId w:val="31"/>
  </w:num>
  <w:num w:numId="60">
    <w:abstractNumId w:val="3"/>
  </w:num>
  <w:num w:numId="61">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179"/>
    <w:rsid w:val="002A038F"/>
    <w:rsid w:val="004D4D74"/>
    <w:rsid w:val="00507482"/>
    <w:rsid w:val="007A2A2B"/>
    <w:rsid w:val="007E1E99"/>
    <w:rsid w:val="0081439E"/>
    <w:rsid w:val="00CD12D3"/>
    <w:rsid w:val="00E11179"/>
    <w:rsid w:val="00E4154A"/>
    <w:rsid w:val="00F00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54612-0015-4B7F-9485-38783822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5" w:line="285"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2"/>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2"/>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27"/>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28"/>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cesg.gov.uk/risk-management-collection" TargetMode="External"/><Relationship Id="rId34" Type="http://schemas.openxmlformats.org/officeDocument/2006/relationships/hyperlink" Target="https://www.ncsc.gov.uk/guidance/10-steps-cyber-security" TargetMode="External"/><Relationship Id="rId42"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tools.hmrc.gov.uk/es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cesg.gov.uk/risk-management-collection"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tools.hmrc.gov.uk/esi" TargetMode="External"/><Relationship Id="rId40" Type="http://schemas.openxmlformats.org/officeDocument/2006/relationships/hyperlink" Target="https://www.gov.uk/service-manual/agile-delivery/spend-controls-check-if-you-need-approval-to-spend-money-on-a-service"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digitalmarketplace.service.gov.uk/" TargetMode="External"/><Relationship Id="rId10" Type="http://schemas.openxmlformats.org/officeDocument/2006/relationships/hyperlink" Target="https://www.cpni.gov.uk/content/adopt-risk-management-approach" TargetMode="External"/><Relationship Id="rId19" Type="http://schemas.openxmlformats.org/officeDocument/2006/relationships/hyperlink" Target="https://www.cesg.gov.uk/risk-management-collection" TargetMode="External"/><Relationship Id="rId31" Type="http://schemas.openxmlformats.org/officeDocument/2006/relationships/hyperlink" Target="https://www.gov.uk/government/publications/technology-code-of-practice/technology-code-of-practice"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publications/government-security-classifications"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digitalmarketplace.service.gov.uk/"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15669</Words>
  <Characters>89316</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Burrell</dc:creator>
  <cp:keywords/>
  <cp:lastModifiedBy>Alison Read</cp:lastModifiedBy>
  <cp:revision>2</cp:revision>
  <dcterms:created xsi:type="dcterms:W3CDTF">2022-06-09T09:27:00Z</dcterms:created>
  <dcterms:modified xsi:type="dcterms:W3CDTF">2022-06-09T09:27:00Z</dcterms:modified>
</cp:coreProperties>
</file>