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88"/>
        <w:gridCol w:w="5670"/>
        <w:gridCol w:w="1134"/>
        <w:gridCol w:w="4394"/>
        <w:gridCol w:w="1762"/>
      </w:tblGrid>
      <w:tr w:rsidR="00914C79" w14:paraId="371997A6" w14:textId="77777777" w:rsidTr="00914C79">
        <w:tc>
          <w:tcPr>
            <w:tcW w:w="988" w:type="dxa"/>
          </w:tcPr>
          <w:p w14:paraId="2116F251" w14:textId="72EAAA7D" w:rsidR="00914C79" w:rsidRPr="00285F46" w:rsidRDefault="00914C79" w:rsidP="00914C79">
            <w:pPr>
              <w:rPr>
                <w:rFonts w:ascii="Arial" w:hAnsi="Arial" w:cs="Arial"/>
                <w:sz w:val="24"/>
                <w:szCs w:val="24"/>
              </w:rPr>
            </w:pPr>
            <w:r w:rsidRPr="00285F46">
              <w:rPr>
                <w:rFonts w:ascii="Arial" w:hAnsi="Arial" w:cs="Arial"/>
                <w:sz w:val="24"/>
                <w:szCs w:val="24"/>
              </w:rPr>
              <w:t xml:space="preserve">NO </w:t>
            </w:r>
          </w:p>
        </w:tc>
        <w:tc>
          <w:tcPr>
            <w:tcW w:w="5670" w:type="dxa"/>
          </w:tcPr>
          <w:p w14:paraId="085ABF8E" w14:textId="2AE4DD60" w:rsidR="00914C79" w:rsidRPr="00285F46" w:rsidRDefault="00914C79" w:rsidP="00914C79">
            <w:pPr>
              <w:rPr>
                <w:rFonts w:ascii="Arial" w:hAnsi="Arial" w:cs="Arial"/>
                <w:sz w:val="24"/>
                <w:szCs w:val="24"/>
              </w:rPr>
            </w:pPr>
            <w:r w:rsidRPr="00285F46">
              <w:rPr>
                <w:rFonts w:ascii="Arial" w:hAnsi="Arial" w:cs="Arial"/>
                <w:sz w:val="24"/>
                <w:szCs w:val="24"/>
              </w:rPr>
              <w:t>Query</w:t>
            </w:r>
          </w:p>
        </w:tc>
        <w:tc>
          <w:tcPr>
            <w:tcW w:w="1134" w:type="dxa"/>
          </w:tcPr>
          <w:p w14:paraId="1C7371EC" w14:textId="77777777" w:rsidR="00914C79" w:rsidRPr="00285F46" w:rsidRDefault="00914C79" w:rsidP="00914C79">
            <w:pPr>
              <w:rPr>
                <w:rFonts w:ascii="Arial" w:hAnsi="Arial" w:cs="Arial"/>
                <w:sz w:val="24"/>
                <w:szCs w:val="24"/>
              </w:rPr>
            </w:pPr>
          </w:p>
        </w:tc>
        <w:tc>
          <w:tcPr>
            <w:tcW w:w="4394" w:type="dxa"/>
          </w:tcPr>
          <w:p w14:paraId="13E61B37" w14:textId="41727332" w:rsidR="00914C79" w:rsidRPr="00285F46" w:rsidRDefault="00914C79" w:rsidP="00914C79">
            <w:pPr>
              <w:rPr>
                <w:rFonts w:ascii="Arial" w:hAnsi="Arial" w:cs="Arial"/>
                <w:sz w:val="24"/>
                <w:szCs w:val="24"/>
              </w:rPr>
            </w:pPr>
            <w:r w:rsidRPr="00285F46">
              <w:rPr>
                <w:rFonts w:ascii="Arial" w:hAnsi="Arial" w:cs="Arial"/>
                <w:sz w:val="24"/>
                <w:szCs w:val="24"/>
              </w:rPr>
              <w:t>Reply</w:t>
            </w:r>
          </w:p>
        </w:tc>
        <w:tc>
          <w:tcPr>
            <w:tcW w:w="1762" w:type="dxa"/>
          </w:tcPr>
          <w:p w14:paraId="7DAED475" w14:textId="14369FAE" w:rsidR="00914C79" w:rsidRPr="00285F46" w:rsidRDefault="00BE0D0C" w:rsidP="00914C79">
            <w:pPr>
              <w:rPr>
                <w:rFonts w:ascii="Arial" w:hAnsi="Arial" w:cs="Arial"/>
                <w:sz w:val="24"/>
                <w:szCs w:val="24"/>
              </w:rPr>
            </w:pPr>
            <w:r w:rsidRPr="00285F46">
              <w:rPr>
                <w:rFonts w:ascii="Arial" w:hAnsi="Arial" w:cs="Arial"/>
                <w:sz w:val="24"/>
                <w:szCs w:val="24"/>
              </w:rPr>
              <w:t>Date uploaded</w:t>
            </w:r>
          </w:p>
        </w:tc>
      </w:tr>
      <w:tr w:rsidR="00914C79" w14:paraId="1FE9AF61" w14:textId="77777777" w:rsidTr="00914C79">
        <w:tc>
          <w:tcPr>
            <w:tcW w:w="988" w:type="dxa"/>
          </w:tcPr>
          <w:p w14:paraId="6BDB7A9E" w14:textId="189F1D63" w:rsidR="00914C79" w:rsidRDefault="00A4375A" w:rsidP="00914C79">
            <w:r>
              <w:t>1</w:t>
            </w:r>
          </w:p>
        </w:tc>
        <w:tc>
          <w:tcPr>
            <w:tcW w:w="5670" w:type="dxa"/>
          </w:tcPr>
          <w:p w14:paraId="3E8B0C1A" w14:textId="77777777" w:rsidR="00285F46" w:rsidRPr="00285F46" w:rsidRDefault="00285F46" w:rsidP="00285F46">
            <w:pPr>
              <w:rPr>
                <w:rFonts w:ascii="Arial" w:eastAsia="Times New Roman" w:hAnsi="Arial" w:cs="Arial"/>
                <w:sz w:val="24"/>
                <w:szCs w:val="24"/>
              </w:rPr>
            </w:pPr>
            <w:r w:rsidRPr="00285F46">
              <w:rPr>
                <w:rFonts w:ascii="Arial" w:eastAsia="Times New Roman" w:hAnsi="Arial" w:cs="Arial"/>
                <w:sz w:val="24"/>
                <w:szCs w:val="24"/>
              </w:rPr>
              <w:t>If incentive payments were proposed, would the authority see them as being included in the £50,000 budget?</w:t>
            </w:r>
          </w:p>
          <w:p w14:paraId="5DFBEBE5" w14:textId="265FA6B4" w:rsidR="00914C79" w:rsidRDefault="00914C79" w:rsidP="00914C79"/>
        </w:tc>
        <w:tc>
          <w:tcPr>
            <w:tcW w:w="1134" w:type="dxa"/>
          </w:tcPr>
          <w:p w14:paraId="24958AA2" w14:textId="77777777" w:rsidR="00914C79" w:rsidRDefault="00914C79" w:rsidP="00914C79"/>
        </w:tc>
        <w:tc>
          <w:tcPr>
            <w:tcW w:w="4394" w:type="dxa"/>
          </w:tcPr>
          <w:p w14:paraId="17F4258C" w14:textId="631DF069" w:rsidR="00914C79" w:rsidRDefault="00285F46" w:rsidP="00914C79">
            <w:r>
              <w:rPr>
                <w:rFonts w:ascii="Arial" w:hAnsi="Arial" w:cs="Arial"/>
                <w:sz w:val="24"/>
                <w:szCs w:val="24"/>
              </w:rPr>
              <w:t>Yes, incentive payments for participants would be included in the £50,000 budget</w:t>
            </w:r>
          </w:p>
        </w:tc>
        <w:tc>
          <w:tcPr>
            <w:tcW w:w="1762" w:type="dxa"/>
          </w:tcPr>
          <w:p w14:paraId="0C512449" w14:textId="739C99B1" w:rsidR="00914C79" w:rsidRPr="00285F46" w:rsidRDefault="00285F46" w:rsidP="00914C79">
            <w:pPr>
              <w:rPr>
                <w:rFonts w:ascii="Arial" w:hAnsi="Arial" w:cs="Arial"/>
                <w:sz w:val="24"/>
                <w:szCs w:val="24"/>
              </w:rPr>
            </w:pPr>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304DDE63" w14:textId="77777777" w:rsidTr="00914C79">
        <w:tc>
          <w:tcPr>
            <w:tcW w:w="988" w:type="dxa"/>
          </w:tcPr>
          <w:p w14:paraId="62F9F22E" w14:textId="679CBFDC" w:rsidR="00914C79" w:rsidRDefault="00712D32" w:rsidP="00914C79">
            <w:r>
              <w:t>2</w:t>
            </w:r>
          </w:p>
        </w:tc>
        <w:tc>
          <w:tcPr>
            <w:tcW w:w="5670" w:type="dxa"/>
          </w:tcPr>
          <w:p w14:paraId="43BE3DFE" w14:textId="77777777" w:rsidR="00285F46" w:rsidRDefault="00285F46" w:rsidP="00285F46">
            <w:pPr>
              <w:rPr>
                <w:rFonts w:ascii="Arial" w:hAnsi="Arial" w:cs="Arial"/>
                <w:sz w:val="24"/>
                <w:szCs w:val="24"/>
              </w:rPr>
            </w:pPr>
            <w:r>
              <w:rPr>
                <w:rFonts w:ascii="Arial" w:hAnsi="Arial" w:cs="Arial"/>
                <w:sz w:val="24"/>
                <w:szCs w:val="24"/>
              </w:rPr>
              <w:t>Would the authority be involved in providing contacts for any of the user groups proposed, e.g. those who have already made a complaint?  Or would all groups need to be sourced by the supplier?</w:t>
            </w:r>
          </w:p>
          <w:p w14:paraId="29CCB5AA" w14:textId="161BCE18" w:rsidR="00914C79" w:rsidRDefault="00914C79" w:rsidP="00914C79"/>
        </w:tc>
        <w:tc>
          <w:tcPr>
            <w:tcW w:w="1134" w:type="dxa"/>
          </w:tcPr>
          <w:p w14:paraId="2D620444" w14:textId="77777777" w:rsidR="00914C79" w:rsidRDefault="00914C79" w:rsidP="00914C79"/>
        </w:tc>
        <w:tc>
          <w:tcPr>
            <w:tcW w:w="4394" w:type="dxa"/>
          </w:tcPr>
          <w:p w14:paraId="244A5F73" w14:textId="66C237AF" w:rsidR="00914C79" w:rsidRDefault="00285F46" w:rsidP="00914C79">
            <w:r>
              <w:rPr>
                <w:rFonts w:ascii="Arial" w:hAnsi="Arial" w:cs="Arial"/>
                <w:sz w:val="24"/>
                <w:szCs w:val="24"/>
              </w:rPr>
              <w:t xml:space="preserve">The recruitment of research participants is the responsibility of the organisation delivering the </w:t>
            </w:r>
            <w:r>
              <w:rPr>
                <w:rFonts w:ascii="Arial" w:hAnsi="Arial" w:cs="Arial"/>
                <w:sz w:val="24"/>
                <w:szCs w:val="24"/>
              </w:rPr>
              <w:t>research,</w:t>
            </w:r>
            <w:r>
              <w:rPr>
                <w:rFonts w:ascii="Arial" w:hAnsi="Arial" w:cs="Arial"/>
                <w:sz w:val="24"/>
                <w:szCs w:val="24"/>
              </w:rPr>
              <w:t xml:space="preserve"> but the Professional Standards Authority can provide contacts for patient and service user organisations in the UK as well introductions to the health and social care regulators we oversee.</w:t>
            </w:r>
          </w:p>
        </w:tc>
        <w:tc>
          <w:tcPr>
            <w:tcW w:w="1762" w:type="dxa"/>
          </w:tcPr>
          <w:p w14:paraId="543C81D6" w14:textId="770AB8D2"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70641BBE" w14:textId="77777777" w:rsidTr="00914C79">
        <w:tc>
          <w:tcPr>
            <w:tcW w:w="988" w:type="dxa"/>
          </w:tcPr>
          <w:p w14:paraId="3659482B" w14:textId="6B9CE8EB" w:rsidR="00914C79" w:rsidRDefault="00976920" w:rsidP="00914C79">
            <w:r>
              <w:t>3</w:t>
            </w:r>
          </w:p>
        </w:tc>
        <w:tc>
          <w:tcPr>
            <w:tcW w:w="5670" w:type="dxa"/>
          </w:tcPr>
          <w:p w14:paraId="1A32690C" w14:textId="32B8A166" w:rsidR="00914C79" w:rsidRDefault="00285F46" w:rsidP="00914C79">
            <w:r>
              <w:rPr>
                <w:rFonts w:ascii="Arial" w:hAnsi="Arial" w:cs="Arial"/>
                <w:sz w:val="24"/>
                <w:szCs w:val="24"/>
              </w:rPr>
              <w:t>What is the expected weight of the research between research with members of the public and research with health and social care practitioners?</w:t>
            </w:r>
          </w:p>
        </w:tc>
        <w:tc>
          <w:tcPr>
            <w:tcW w:w="1134" w:type="dxa"/>
          </w:tcPr>
          <w:p w14:paraId="1AF4B985" w14:textId="77777777" w:rsidR="00914C79" w:rsidRDefault="00914C79" w:rsidP="00914C79"/>
        </w:tc>
        <w:tc>
          <w:tcPr>
            <w:tcW w:w="4394" w:type="dxa"/>
          </w:tcPr>
          <w:p w14:paraId="397DD3B9" w14:textId="72362F9A" w:rsidR="00914C79" w:rsidRDefault="00285F46" w:rsidP="00914C79">
            <w:r>
              <w:rPr>
                <w:rFonts w:ascii="Arial" w:hAnsi="Arial" w:cs="Arial"/>
                <w:sz w:val="24"/>
                <w:szCs w:val="24"/>
              </w:rPr>
              <w:t>The sample for both groups (those who have and have not raised a complaint) should have representation of regulated or unregulated health and social care practitioners but the weighting should be towards the members of the public as patients or service users.</w:t>
            </w:r>
          </w:p>
        </w:tc>
        <w:tc>
          <w:tcPr>
            <w:tcW w:w="1762" w:type="dxa"/>
          </w:tcPr>
          <w:p w14:paraId="2B3020B9" w14:textId="394C1248"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914C79" w14:paraId="24C00B9F" w14:textId="77777777" w:rsidTr="00914C79">
        <w:tc>
          <w:tcPr>
            <w:tcW w:w="988" w:type="dxa"/>
          </w:tcPr>
          <w:p w14:paraId="4B892D40" w14:textId="358CABB8" w:rsidR="00914C79" w:rsidRDefault="002F416B" w:rsidP="00914C79">
            <w:r>
              <w:t>4</w:t>
            </w:r>
          </w:p>
        </w:tc>
        <w:tc>
          <w:tcPr>
            <w:tcW w:w="5670" w:type="dxa"/>
          </w:tcPr>
          <w:p w14:paraId="6899D95F" w14:textId="19F22BF1" w:rsidR="00914C79" w:rsidRDefault="00285F46" w:rsidP="00914C79">
            <w:r>
              <w:rPr>
                <w:rFonts w:ascii="Arial" w:hAnsi="Arial" w:cs="Arial"/>
                <w:sz w:val="24"/>
                <w:szCs w:val="24"/>
              </w:rPr>
              <w:t>Would it be possible to contact the individual regulators as part of this research to ask for support in recruiting a breadth of complainants across regulators?</w:t>
            </w:r>
          </w:p>
        </w:tc>
        <w:tc>
          <w:tcPr>
            <w:tcW w:w="1134" w:type="dxa"/>
          </w:tcPr>
          <w:p w14:paraId="71350BA4" w14:textId="77777777" w:rsidR="00914C79" w:rsidRDefault="00914C79" w:rsidP="00914C79"/>
        </w:tc>
        <w:tc>
          <w:tcPr>
            <w:tcW w:w="4394" w:type="dxa"/>
          </w:tcPr>
          <w:p w14:paraId="1B0C95A1" w14:textId="4A966CE5" w:rsidR="00914C79" w:rsidRDefault="00285F46" w:rsidP="00914C79">
            <w:r>
              <w:rPr>
                <w:rFonts w:ascii="Arial" w:hAnsi="Arial" w:cs="Arial"/>
                <w:sz w:val="24"/>
                <w:szCs w:val="24"/>
              </w:rPr>
              <w:t>Yes, and the Professional Standards Authority can facilitate introductions to the health and social care regulators and registers we oversee.</w:t>
            </w:r>
          </w:p>
        </w:tc>
        <w:tc>
          <w:tcPr>
            <w:tcW w:w="1762" w:type="dxa"/>
          </w:tcPr>
          <w:p w14:paraId="4CD50F7D" w14:textId="0D73FCFD" w:rsidR="00914C79"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4498BDE2" w14:textId="77777777" w:rsidTr="00914C79">
        <w:tc>
          <w:tcPr>
            <w:tcW w:w="988" w:type="dxa"/>
          </w:tcPr>
          <w:p w14:paraId="31F3E2B3" w14:textId="32B964EA" w:rsidR="00893C56" w:rsidRDefault="00893C56" w:rsidP="00914C79">
            <w:r>
              <w:t>5</w:t>
            </w:r>
          </w:p>
        </w:tc>
        <w:tc>
          <w:tcPr>
            <w:tcW w:w="5670" w:type="dxa"/>
          </w:tcPr>
          <w:p w14:paraId="744CB1BC" w14:textId="1000FC89" w:rsidR="00893C56" w:rsidRDefault="00285F46" w:rsidP="00914C79">
            <w:r>
              <w:rPr>
                <w:rFonts w:ascii="Arial" w:hAnsi="Arial" w:cs="Arial"/>
                <w:sz w:val="24"/>
                <w:szCs w:val="24"/>
              </w:rPr>
              <w:t>Is there a word count for the submission?</w:t>
            </w:r>
          </w:p>
        </w:tc>
        <w:tc>
          <w:tcPr>
            <w:tcW w:w="1134" w:type="dxa"/>
          </w:tcPr>
          <w:p w14:paraId="3D4B68CA" w14:textId="77777777" w:rsidR="00893C56" w:rsidRDefault="00893C56" w:rsidP="00914C79"/>
        </w:tc>
        <w:tc>
          <w:tcPr>
            <w:tcW w:w="4394" w:type="dxa"/>
          </w:tcPr>
          <w:p w14:paraId="65CF3930" w14:textId="77777777" w:rsidR="00285F46" w:rsidRDefault="00285F46" w:rsidP="00285F46">
            <w:pPr>
              <w:rPr>
                <w:rFonts w:ascii="Arial" w:hAnsi="Arial" w:cs="Arial"/>
                <w:sz w:val="24"/>
                <w:szCs w:val="24"/>
              </w:rPr>
            </w:pPr>
            <w:r>
              <w:rPr>
                <w:rFonts w:ascii="Arial" w:hAnsi="Arial" w:cs="Arial"/>
                <w:sz w:val="24"/>
                <w:szCs w:val="24"/>
              </w:rPr>
              <w:t>No</w:t>
            </w:r>
          </w:p>
          <w:p w14:paraId="10FFF204" w14:textId="31AD1302" w:rsidR="00893C56" w:rsidRDefault="00893C56" w:rsidP="00914C79"/>
        </w:tc>
        <w:tc>
          <w:tcPr>
            <w:tcW w:w="1762" w:type="dxa"/>
          </w:tcPr>
          <w:p w14:paraId="45F434C2" w14:textId="38422619"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4A9903EC" w14:textId="77777777" w:rsidTr="00914C79">
        <w:tc>
          <w:tcPr>
            <w:tcW w:w="988" w:type="dxa"/>
          </w:tcPr>
          <w:p w14:paraId="50D09363" w14:textId="7BE3964E" w:rsidR="00893C56" w:rsidRDefault="00050DC2" w:rsidP="00914C79">
            <w:r>
              <w:t>6</w:t>
            </w:r>
          </w:p>
        </w:tc>
        <w:tc>
          <w:tcPr>
            <w:tcW w:w="5670" w:type="dxa"/>
          </w:tcPr>
          <w:p w14:paraId="6CB3166D" w14:textId="0D6996C5" w:rsidR="00893C56" w:rsidRDefault="00285F46" w:rsidP="00914C79">
            <w:r>
              <w:rPr>
                <w:rFonts w:ascii="Arial" w:hAnsi="Arial" w:cs="Arial"/>
                <w:sz w:val="24"/>
                <w:szCs w:val="24"/>
              </w:rPr>
              <w:t>Where can I find the supplier questionnaire?</w:t>
            </w:r>
          </w:p>
        </w:tc>
        <w:tc>
          <w:tcPr>
            <w:tcW w:w="1134" w:type="dxa"/>
          </w:tcPr>
          <w:p w14:paraId="2D704F28" w14:textId="77777777" w:rsidR="00893C56" w:rsidRDefault="00893C56" w:rsidP="00914C79"/>
        </w:tc>
        <w:tc>
          <w:tcPr>
            <w:tcW w:w="4394" w:type="dxa"/>
          </w:tcPr>
          <w:p w14:paraId="4899793D" w14:textId="7C95BFF9" w:rsidR="00893C56" w:rsidRDefault="00285F46" w:rsidP="00914C79">
            <w:r>
              <w:rPr>
                <w:rFonts w:ascii="Arial" w:hAnsi="Arial" w:cs="Arial"/>
                <w:sz w:val="24"/>
                <w:szCs w:val="24"/>
              </w:rPr>
              <w:t xml:space="preserve">The supplier questionnaire can be found on Contracts Finder under the ‘More Information’ section at the </w:t>
            </w:r>
            <w:r>
              <w:rPr>
                <w:rFonts w:ascii="Arial" w:hAnsi="Arial" w:cs="Arial"/>
                <w:sz w:val="24"/>
                <w:szCs w:val="24"/>
              </w:rPr>
              <w:lastRenderedPageBreak/>
              <w:t xml:space="preserve">bottom of the page, please see link </w:t>
            </w:r>
            <w:hyperlink r:id="rId5" w:history="1">
              <w:r>
                <w:rPr>
                  <w:rStyle w:val="Hyperlink"/>
                  <w:rFonts w:ascii="Arial" w:hAnsi="Arial" w:cs="Arial"/>
                  <w:sz w:val="24"/>
                  <w:szCs w:val="24"/>
                </w:rPr>
                <w:t>Barriers and enablers to making a complaint to a health or social care professional regulator - Contracts Finder</w:t>
              </w:r>
            </w:hyperlink>
          </w:p>
        </w:tc>
        <w:tc>
          <w:tcPr>
            <w:tcW w:w="1762" w:type="dxa"/>
          </w:tcPr>
          <w:p w14:paraId="42CCEC7B" w14:textId="42A2BEF5" w:rsidR="00893C56" w:rsidRDefault="00285F46"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893C56" w14:paraId="56C31155" w14:textId="77777777" w:rsidTr="00914C79">
        <w:tc>
          <w:tcPr>
            <w:tcW w:w="988" w:type="dxa"/>
          </w:tcPr>
          <w:p w14:paraId="02FC1231" w14:textId="650A1B6E" w:rsidR="00893C56" w:rsidRDefault="00050DC2" w:rsidP="00914C79">
            <w:r>
              <w:t>7</w:t>
            </w:r>
          </w:p>
        </w:tc>
        <w:tc>
          <w:tcPr>
            <w:tcW w:w="5670" w:type="dxa"/>
          </w:tcPr>
          <w:p w14:paraId="1B52A696" w14:textId="505C1ACF" w:rsidR="00893C56" w:rsidRDefault="00285F46" w:rsidP="00914C79">
            <w:r>
              <w:rPr>
                <w:rFonts w:ascii="Arial" w:hAnsi="Arial" w:cs="Arial"/>
                <w:sz w:val="24"/>
                <w:szCs w:val="24"/>
              </w:rPr>
              <w:t>Are you interested in hearing only from members of the public who have had a concern about the fitness to practice of a health and social professional in relation to their own care OR are you interested both in members of the public who have had a concern relating to their own care and those whose concern arose in relation to someone else’s care (such as a friend or family member)?</w:t>
            </w:r>
          </w:p>
        </w:tc>
        <w:tc>
          <w:tcPr>
            <w:tcW w:w="1134" w:type="dxa"/>
          </w:tcPr>
          <w:p w14:paraId="4CCD9898" w14:textId="77777777" w:rsidR="00893C56" w:rsidRDefault="00893C56" w:rsidP="00914C79"/>
        </w:tc>
        <w:tc>
          <w:tcPr>
            <w:tcW w:w="4394" w:type="dxa"/>
          </w:tcPr>
          <w:p w14:paraId="0663D05F" w14:textId="4D51A072" w:rsidR="00893C56" w:rsidRDefault="00285F46" w:rsidP="00914C79">
            <w:r>
              <w:rPr>
                <w:rFonts w:ascii="Arial" w:hAnsi="Arial" w:cs="Arial"/>
                <w:sz w:val="24"/>
                <w:szCs w:val="24"/>
              </w:rPr>
              <w:t>The sample could include members of the public who have/have not raised a fitness to practise concern about a health and social professional in relation to their own care or in relation to a family member’s care.</w:t>
            </w:r>
          </w:p>
        </w:tc>
        <w:tc>
          <w:tcPr>
            <w:tcW w:w="1762" w:type="dxa"/>
          </w:tcPr>
          <w:p w14:paraId="3E3D7520" w14:textId="1333DBC8" w:rsidR="00893C56" w:rsidRDefault="00285F46" w:rsidP="00914C79">
            <w:r w:rsidRPr="00285F46">
              <w:rPr>
                <w:rFonts w:ascii="Arial" w:hAnsi="Arial" w:cs="Arial"/>
                <w:sz w:val="24"/>
                <w:szCs w:val="24"/>
              </w:rPr>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D10D0A" w14:paraId="4D95275E" w14:textId="77777777" w:rsidTr="00914C79">
        <w:tc>
          <w:tcPr>
            <w:tcW w:w="988" w:type="dxa"/>
          </w:tcPr>
          <w:p w14:paraId="78604DF4" w14:textId="040EF684" w:rsidR="00D10D0A" w:rsidRDefault="008A716F" w:rsidP="00914C79">
            <w:r>
              <w:t>8</w:t>
            </w:r>
          </w:p>
        </w:tc>
        <w:tc>
          <w:tcPr>
            <w:tcW w:w="5670" w:type="dxa"/>
          </w:tcPr>
          <w:p w14:paraId="219B862C" w14:textId="6CF0C5FD" w:rsidR="00D10D0A" w:rsidRDefault="00285F46" w:rsidP="00914C79">
            <w:r>
              <w:rPr>
                <w:rFonts w:ascii="Arial" w:hAnsi="Arial" w:cs="Arial"/>
                <w:color w:val="000000"/>
                <w:sz w:val="24"/>
                <w:szCs w:val="24"/>
              </w:rPr>
              <w:t>Would you be able to confirm the process for submission, for example if we should submit a full pitch deck, via email or an online portal, any restrictions, word counts etc.</w:t>
            </w:r>
          </w:p>
        </w:tc>
        <w:tc>
          <w:tcPr>
            <w:tcW w:w="1134" w:type="dxa"/>
          </w:tcPr>
          <w:p w14:paraId="66771BA0" w14:textId="77777777" w:rsidR="00D10D0A" w:rsidRDefault="00D10D0A" w:rsidP="00914C79"/>
        </w:tc>
        <w:tc>
          <w:tcPr>
            <w:tcW w:w="4394" w:type="dxa"/>
          </w:tcPr>
          <w:p w14:paraId="3F0C94CF" w14:textId="77777777" w:rsidR="00285F46" w:rsidRDefault="00285F46" w:rsidP="00285F46">
            <w:pPr>
              <w:shd w:val="clear" w:color="auto" w:fill="FFFFFF"/>
              <w:spacing w:after="240"/>
              <w:rPr>
                <w:rFonts w:ascii="Arial" w:hAnsi="Arial" w:cs="Arial"/>
                <w:sz w:val="24"/>
                <w:szCs w:val="24"/>
              </w:rPr>
            </w:pPr>
            <w:r>
              <w:rPr>
                <w:rFonts w:ascii="Arial" w:hAnsi="Arial" w:cs="Arial"/>
                <w:color w:val="000000"/>
                <w:sz w:val="24"/>
                <w:szCs w:val="24"/>
              </w:rPr>
              <w:t>The details of the tender response and evaluation criteria can be found in Section 4 of the tender document. The response can be submitted in any form, there is no word count, and we would anticipate it would include the following:</w:t>
            </w:r>
          </w:p>
          <w:p w14:paraId="60B597F2"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fixed price for conducting this study, including a breakdown of the different cost elements</w:t>
            </w:r>
          </w:p>
          <w:p w14:paraId="31931B72"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 xml:space="preserve">A draft project plan showing the required involvement of both parties and demonstrating how you will be able to complete and report on the study by Friday 21st March 2025. The plan will need to allow time for the PSA </w:t>
            </w:r>
            <w:r>
              <w:rPr>
                <w:rFonts w:ascii="Arial" w:eastAsia="Times New Roman" w:hAnsi="Arial" w:cs="Arial"/>
                <w:color w:val="000000"/>
                <w:sz w:val="24"/>
                <w:szCs w:val="24"/>
              </w:rPr>
              <w:lastRenderedPageBreak/>
              <w:t>to review a draft report prior to submission of the final report</w:t>
            </w:r>
          </w:p>
          <w:p w14:paraId="7390B9E8"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and justification for, the proposed methodological approach (including an outline of potential stimulus material and the recommended sample of participants)</w:t>
            </w:r>
          </w:p>
          <w:p w14:paraId="1238DCCA"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Evidence of how those who would be involved in the work have the appropriate skills and expertise, including any relevant previous work undertaken and reports produced</w:t>
            </w:r>
          </w:p>
          <w:p w14:paraId="2A7AED41"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how the project will be managed, indicating methods of communication with the PSA, as well as how any risks and issues will be managed</w:t>
            </w:r>
          </w:p>
          <w:p w14:paraId="48EC8F1C" w14:textId="77777777" w:rsidR="00285F46" w:rsidRDefault="00285F46" w:rsidP="00285F46">
            <w:pPr>
              <w:pStyle w:val="ListParagraph"/>
              <w:numPr>
                <w:ilvl w:val="0"/>
                <w:numId w:val="2"/>
              </w:numPr>
              <w:shd w:val="clear" w:color="auto" w:fill="FFFFFF"/>
              <w:spacing w:after="240"/>
              <w:rPr>
                <w:rFonts w:ascii="Arial" w:eastAsia="Times New Roman" w:hAnsi="Arial" w:cs="Arial"/>
                <w:sz w:val="24"/>
                <w:szCs w:val="24"/>
              </w:rPr>
            </w:pPr>
            <w:r>
              <w:rPr>
                <w:rFonts w:ascii="Arial" w:eastAsia="Times New Roman" w:hAnsi="Arial" w:cs="Arial"/>
                <w:color w:val="000000"/>
                <w:sz w:val="24"/>
                <w:szCs w:val="24"/>
              </w:rPr>
              <w:t>A description of how you would recruit participants to meet the requirements of our sample.</w:t>
            </w:r>
          </w:p>
          <w:p w14:paraId="026BBA92" w14:textId="75906200" w:rsidR="00D10D0A" w:rsidRPr="0039113E" w:rsidRDefault="00D10D0A" w:rsidP="00914C79"/>
        </w:tc>
        <w:tc>
          <w:tcPr>
            <w:tcW w:w="1762" w:type="dxa"/>
          </w:tcPr>
          <w:p w14:paraId="79E126A9" w14:textId="59A56765" w:rsidR="00D10D0A" w:rsidRPr="00E45BA7" w:rsidRDefault="00285F46" w:rsidP="00914C79">
            <w:r w:rsidRPr="00285F46">
              <w:rPr>
                <w:rFonts w:ascii="Arial" w:hAnsi="Arial" w:cs="Arial"/>
                <w:sz w:val="24"/>
                <w:szCs w:val="24"/>
              </w:rPr>
              <w:lastRenderedPageBreak/>
              <w:t>1</w:t>
            </w:r>
            <w:r w:rsidRPr="00285F46">
              <w:rPr>
                <w:rFonts w:ascii="Arial" w:hAnsi="Arial" w:cs="Arial"/>
                <w:sz w:val="24"/>
                <w:szCs w:val="24"/>
                <w:vertAlign w:val="superscript"/>
              </w:rPr>
              <w:t>st</w:t>
            </w:r>
            <w:r w:rsidRPr="00285F46">
              <w:rPr>
                <w:rFonts w:ascii="Arial" w:hAnsi="Arial" w:cs="Arial"/>
                <w:sz w:val="24"/>
                <w:szCs w:val="24"/>
              </w:rPr>
              <w:t xml:space="preserve"> November 2024</w:t>
            </w:r>
          </w:p>
        </w:tc>
      </w:tr>
      <w:tr w:rsidR="00285F46" w14:paraId="46E6C4D7" w14:textId="77777777" w:rsidTr="00914C79">
        <w:tc>
          <w:tcPr>
            <w:tcW w:w="988" w:type="dxa"/>
          </w:tcPr>
          <w:p w14:paraId="3D21E283" w14:textId="77777777" w:rsidR="00285F46" w:rsidRDefault="00285F46" w:rsidP="00914C79"/>
        </w:tc>
        <w:tc>
          <w:tcPr>
            <w:tcW w:w="5670" w:type="dxa"/>
          </w:tcPr>
          <w:p w14:paraId="57FB9F3E" w14:textId="77777777" w:rsidR="00285F46" w:rsidRDefault="00285F46" w:rsidP="00154EA5"/>
        </w:tc>
        <w:tc>
          <w:tcPr>
            <w:tcW w:w="1134" w:type="dxa"/>
          </w:tcPr>
          <w:p w14:paraId="6B18FDB0" w14:textId="77777777" w:rsidR="00285F46" w:rsidRDefault="00285F46" w:rsidP="00914C79"/>
        </w:tc>
        <w:tc>
          <w:tcPr>
            <w:tcW w:w="4394" w:type="dxa"/>
          </w:tcPr>
          <w:p w14:paraId="38C945EB" w14:textId="77777777" w:rsidR="00285F46" w:rsidRDefault="00285F46" w:rsidP="00914C79"/>
        </w:tc>
        <w:tc>
          <w:tcPr>
            <w:tcW w:w="1762" w:type="dxa"/>
          </w:tcPr>
          <w:p w14:paraId="1C8C2150" w14:textId="77777777" w:rsidR="00285F46" w:rsidRPr="00E45BA7" w:rsidRDefault="00285F46" w:rsidP="00914C79"/>
        </w:tc>
      </w:tr>
    </w:tbl>
    <w:p w14:paraId="7E197259" w14:textId="0D61285F" w:rsidR="009C2EF2" w:rsidRPr="00914C79" w:rsidRDefault="009C2EF2" w:rsidP="00AE51B6"/>
    <w:sectPr w:rsidR="009C2EF2" w:rsidRPr="00914C79" w:rsidSect="00914C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6A5092"/>
    <w:multiLevelType w:val="hybridMultilevel"/>
    <w:tmpl w:val="58226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9187FC1"/>
    <w:multiLevelType w:val="hybridMultilevel"/>
    <w:tmpl w:val="FDF44188"/>
    <w:lvl w:ilvl="0" w:tplc="492EFCDA">
      <w:start w:val="17"/>
      <w:numFmt w:val="upperLetter"/>
      <w:lvlText w:val="%1."/>
      <w:lvlJc w:val="left"/>
      <w:pPr>
        <w:ind w:left="720" w:hanging="360"/>
      </w:pPr>
      <w:rPr>
        <w:rFonts w:eastAsia="Apto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6583287">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7815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F2"/>
    <w:rsid w:val="00024DD3"/>
    <w:rsid w:val="0004096A"/>
    <w:rsid w:val="00040DC9"/>
    <w:rsid w:val="00050DC2"/>
    <w:rsid w:val="00097056"/>
    <w:rsid w:val="00154EA5"/>
    <w:rsid w:val="0015564F"/>
    <w:rsid w:val="00177F00"/>
    <w:rsid w:val="001A607E"/>
    <w:rsid w:val="001B31C0"/>
    <w:rsid w:val="001D38BA"/>
    <w:rsid w:val="001E296F"/>
    <w:rsid w:val="00270B52"/>
    <w:rsid w:val="00285F46"/>
    <w:rsid w:val="002F416B"/>
    <w:rsid w:val="00306ADB"/>
    <w:rsid w:val="003352B6"/>
    <w:rsid w:val="00344864"/>
    <w:rsid w:val="0039113E"/>
    <w:rsid w:val="003D0683"/>
    <w:rsid w:val="003D4A37"/>
    <w:rsid w:val="003D63E4"/>
    <w:rsid w:val="004554CF"/>
    <w:rsid w:val="004A16FB"/>
    <w:rsid w:val="004B54C9"/>
    <w:rsid w:val="004B6166"/>
    <w:rsid w:val="004C396F"/>
    <w:rsid w:val="004E6645"/>
    <w:rsid w:val="00504485"/>
    <w:rsid w:val="00553142"/>
    <w:rsid w:val="005D57AC"/>
    <w:rsid w:val="005E0B9E"/>
    <w:rsid w:val="005F0785"/>
    <w:rsid w:val="006B05D1"/>
    <w:rsid w:val="006C6819"/>
    <w:rsid w:val="00712523"/>
    <w:rsid w:val="00712D32"/>
    <w:rsid w:val="00715B48"/>
    <w:rsid w:val="00744AC0"/>
    <w:rsid w:val="00745CB1"/>
    <w:rsid w:val="00750D16"/>
    <w:rsid w:val="0075642C"/>
    <w:rsid w:val="007751D1"/>
    <w:rsid w:val="007973D6"/>
    <w:rsid w:val="007B005D"/>
    <w:rsid w:val="007B19A0"/>
    <w:rsid w:val="00823189"/>
    <w:rsid w:val="00863352"/>
    <w:rsid w:val="00893C56"/>
    <w:rsid w:val="008A716F"/>
    <w:rsid w:val="008E419C"/>
    <w:rsid w:val="008F059D"/>
    <w:rsid w:val="00914C79"/>
    <w:rsid w:val="009374A7"/>
    <w:rsid w:val="0095442A"/>
    <w:rsid w:val="00976920"/>
    <w:rsid w:val="00997834"/>
    <w:rsid w:val="009C2EF2"/>
    <w:rsid w:val="00A41ED5"/>
    <w:rsid w:val="00A4375A"/>
    <w:rsid w:val="00A94B10"/>
    <w:rsid w:val="00AA5032"/>
    <w:rsid w:val="00AB346C"/>
    <w:rsid w:val="00AE51B6"/>
    <w:rsid w:val="00B04A5F"/>
    <w:rsid w:val="00BE0D0C"/>
    <w:rsid w:val="00C1753E"/>
    <w:rsid w:val="00C25BF4"/>
    <w:rsid w:val="00C40B04"/>
    <w:rsid w:val="00CB5C14"/>
    <w:rsid w:val="00CF634A"/>
    <w:rsid w:val="00D10D0A"/>
    <w:rsid w:val="00D31731"/>
    <w:rsid w:val="00D77BB1"/>
    <w:rsid w:val="00DA352A"/>
    <w:rsid w:val="00DD5467"/>
    <w:rsid w:val="00DE1D85"/>
    <w:rsid w:val="00E06184"/>
    <w:rsid w:val="00E40A93"/>
    <w:rsid w:val="00E40ACC"/>
    <w:rsid w:val="00E41DC1"/>
    <w:rsid w:val="00E45BA7"/>
    <w:rsid w:val="00E45C87"/>
    <w:rsid w:val="00E71883"/>
    <w:rsid w:val="00E800EA"/>
    <w:rsid w:val="00E83686"/>
    <w:rsid w:val="00EE2018"/>
    <w:rsid w:val="00EF7C7F"/>
    <w:rsid w:val="00F077F2"/>
    <w:rsid w:val="00F2511E"/>
    <w:rsid w:val="00FF1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F506"/>
  <w15:docId w15:val="{951EF941-3EC9-4D7B-8746-581FAF19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46"/>
    <w:pPr>
      <w:spacing w:after="0" w:line="240" w:lineRule="auto"/>
      <w:ind w:left="720"/>
    </w:pPr>
    <w:rPr>
      <w:rFonts w:ascii="Aptos" w:hAnsi="Aptos" w:cs="Aptos"/>
      <w:kern w:val="0"/>
    </w:rPr>
  </w:style>
  <w:style w:type="character" w:styleId="Hyperlink">
    <w:name w:val="Hyperlink"/>
    <w:basedOn w:val="DefaultParagraphFont"/>
    <w:uiPriority w:val="99"/>
    <w:semiHidden/>
    <w:unhideWhenUsed/>
    <w:rsid w:val="00285F4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811256">
      <w:bodyDiv w:val="1"/>
      <w:marLeft w:val="0"/>
      <w:marRight w:val="0"/>
      <w:marTop w:val="0"/>
      <w:marBottom w:val="0"/>
      <w:divBdr>
        <w:top w:val="none" w:sz="0" w:space="0" w:color="auto"/>
        <w:left w:val="none" w:sz="0" w:space="0" w:color="auto"/>
        <w:bottom w:val="none" w:sz="0" w:space="0" w:color="auto"/>
        <w:right w:val="none" w:sz="0" w:space="0" w:color="auto"/>
      </w:divBdr>
    </w:div>
    <w:div w:id="903174790">
      <w:bodyDiv w:val="1"/>
      <w:marLeft w:val="0"/>
      <w:marRight w:val="0"/>
      <w:marTop w:val="0"/>
      <w:marBottom w:val="0"/>
      <w:divBdr>
        <w:top w:val="none" w:sz="0" w:space="0" w:color="auto"/>
        <w:left w:val="none" w:sz="0" w:space="0" w:color="auto"/>
        <w:bottom w:val="none" w:sz="0" w:space="0" w:color="auto"/>
        <w:right w:val="none" w:sz="0" w:space="0" w:color="auto"/>
      </w:divBdr>
    </w:div>
    <w:div w:id="1429234244">
      <w:bodyDiv w:val="1"/>
      <w:marLeft w:val="0"/>
      <w:marRight w:val="0"/>
      <w:marTop w:val="0"/>
      <w:marBottom w:val="0"/>
      <w:divBdr>
        <w:top w:val="none" w:sz="0" w:space="0" w:color="auto"/>
        <w:left w:val="none" w:sz="0" w:space="0" w:color="auto"/>
        <w:bottom w:val="none" w:sz="0" w:space="0" w:color="auto"/>
        <w:right w:val="none" w:sz="0" w:space="0" w:color="auto"/>
      </w:divBdr>
    </w:div>
    <w:div w:id="198203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2.safelinks.protection.outlook.com/?url=https%3A%2F%2Fwww.contractsfinder.service.gov.uk%2Fnotice%2Fb1a4a6e7-61b7-4540-828d-2410c16a9ba1%3Forigin%3DSearchResults%26p%3D1&amp;data=05%7C02%7CSylvia.Nartey-Tokoli%40Professionalstandards.org.uk%7C0e47077c6c354e2968b308dcf9b93a06%7Cfa2ea0824abc45d5a398523042a3bd9e%7C0%7C0%7C638659821141260466%7CUnknown%7CTWFpbGZsb3d8eyJWIjoiMC4wLjAwMDAiLCJQIjoiV2luMzIiLCJBTiI6Ik1haWwiLCJXVCI6Mn0%3D%7C0%7C%7C%7C&amp;sdata=14YIuuD8OQ%2BNCQGJoeLtmuC6ruwGemIOYKULll06LE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Professional Standards Authority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Hume</dc:creator>
  <cp:keywords/>
  <dc:description/>
  <cp:lastModifiedBy>Sylvia Nartey-Tokoli</cp:lastModifiedBy>
  <cp:revision>2</cp:revision>
  <dcterms:created xsi:type="dcterms:W3CDTF">2024-11-01T16:04:00Z</dcterms:created>
  <dcterms:modified xsi:type="dcterms:W3CDTF">2024-11-01T16:04:00Z</dcterms:modified>
</cp:coreProperties>
</file>