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551D" w14:textId="02173240" w:rsidR="007C4B4D" w:rsidRDefault="007C4B4D"/>
    <w:p w14:paraId="4EEF6657" w14:textId="7D30FE8A" w:rsidR="007C4B4D" w:rsidRPr="007C4B4D" w:rsidRDefault="007C4B4D">
      <w:pPr>
        <w:rPr>
          <w:rFonts w:ascii="Arial" w:hAnsi="Arial" w:cs="Arial"/>
          <w:b/>
          <w:bCs/>
          <w:u w:val="single"/>
        </w:rPr>
      </w:pPr>
      <w:r w:rsidRPr="007C4B4D">
        <w:rPr>
          <w:rFonts w:ascii="Arial" w:hAnsi="Arial" w:cs="Arial"/>
          <w:b/>
          <w:bCs/>
          <w:u w:val="single"/>
        </w:rPr>
        <w:t>Further Clarification Questions &amp; Responses for Contextual Safeguarding</w:t>
      </w:r>
    </w:p>
    <w:p w14:paraId="1CFB30E9" w14:textId="77777777" w:rsidR="007C4B4D" w:rsidRPr="007C4B4D" w:rsidRDefault="007C4B4D">
      <w:pPr>
        <w:rPr>
          <w:rFonts w:ascii="Arial" w:hAnsi="Arial" w:cs="Arial"/>
          <w:b/>
          <w:bCs/>
          <w:u w:val="single"/>
        </w:rPr>
      </w:pPr>
    </w:p>
    <w:tbl>
      <w:tblPr>
        <w:tblW w:w="974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440"/>
        <w:gridCol w:w="5300"/>
      </w:tblGrid>
      <w:tr w:rsidR="007C4B4D" w:rsidRPr="007C4B4D" w14:paraId="58B38AAA" w14:textId="77777777" w:rsidTr="007C4B4D">
        <w:trPr>
          <w:trHeight w:val="1155"/>
        </w:trPr>
        <w:tc>
          <w:tcPr>
            <w:tcW w:w="4440" w:type="dxa"/>
            <w:vAlign w:val="bottom"/>
            <w:hideMark/>
          </w:tcPr>
          <w:p w14:paraId="768FB00B" w14:textId="42D0C661" w:rsid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0" w:name="_GoBack"/>
            <w:bookmarkEnd w:id="0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9,</w:t>
            </w:r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Thank</w:t>
            </w:r>
            <w:proofErr w:type="gramEnd"/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you for this. In regards </w:t>
            </w:r>
            <w:proofErr w:type="gramStart"/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to  Clause</w:t>
            </w:r>
            <w:proofErr w:type="gramEnd"/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24.1 (Intellectual Property Rights). Can I confirm that in the following scenarios we would be able to:</w:t>
            </w:r>
          </w:p>
          <w:p w14:paraId="4545B439" w14:textId="77777777" w:rsid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67181B31" w14:textId="1168A507" w:rsidR="007C4B4D" w:rsidRP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300" w:type="dxa"/>
            <w:shd w:val="clear" w:color="000000" w:fill="F2F2F2"/>
            <w:hideMark/>
          </w:tcPr>
          <w:p w14:paraId="22D82296" w14:textId="496809EB" w:rsidR="007C4B4D" w:rsidRP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Please see below</w:t>
            </w:r>
          </w:p>
        </w:tc>
      </w:tr>
      <w:tr w:rsidR="007C4B4D" w:rsidRPr="007C4B4D" w14:paraId="7C0BEAD1" w14:textId="77777777" w:rsidTr="007C4B4D">
        <w:trPr>
          <w:trHeight w:val="1440"/>
        </w:trPr>
        <w:tc>
          <w:tcPr>
            <w:tcW w:w="4440" w:type="dxa"/>
            <w:vAlign w:val="bottom"/>
            <w:hideMark/>
          </w:tcPr>
          <w:p w14:paraId="147EDA4D" w14:textId="66C34412" w:rsid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10,</w:t>
            </w:r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Create</w:t>
            </w:r>
            <w:proofErr w:type="gramEnd"/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training content and webinars as a result of the project that we could make available on our websites and inform training and presentation delivery.</w:t>
            </w:r>
          </w:p>
          <w:p w14:paraId="7ADB821B" w14:textId="0161802C" w:rsidR="007C4B4D" w:rsidRP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300" w:type="dxa"/>
            <w:hideMark/>
          </w:tcPr>
          <w:p w14:paraId="521B4AA8" w14:textId="77777777" w:rsidR="007C4B4D" w:rsidRP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Acknowledgement to VRU is to be made clear and for the VRU logo to be used where possible and VRU funding will need to be acknowledged.  </w:t>
            </w:r>
          </w:p>
        </w:tc>
      </w:tr>
      <w:tr w:rsidR="007C4B4D" w:rsidRPr="007C4B4D" w14:paraId="49E4254D" w14:textId="77777777" w:rsidTr="007C4B4D">
        <w:trPr>
          <w:trHeight w:val="1155"/>
        </w:trPr>
        <w:tc>
          <w:tcPr>
            <w:tcW w:w="4440" w:type="dxa"/>
            <w:shd w:val="clear" w:color="000000" w:fill="F2F2F2"/>
            <w:vAlign w:val="bottom"/>
            <w:hideMark/>
          </w:tcPr>
          <w:p w14:paraId="6F185C5F" w14:textId="5CFB9D93" w:rsid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11,</w:t>
            </w:r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Be</w:t>
            </w:r>
            <w:proofErr w:type="gramEnd"/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able to publish academic publications in journals under the authors names without sign-off but with acknowledging funding. </w:t>
            </w:r>
          </w:p>
          <w:p w14:paraId="703C4152" w14:textId="618965EF" w:rsidR="007C4B4D" w:rsidRP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300" w:type="dxa"/>
            <w:shd w:val="clear" w:color="000000" w:fill="F2F2F2"/>
            <w:hideMark/>
          </w:tcPr>
          <w:p w14:paraId="52A2C81F" w14:textId="77777777" w:rsidR="007C4B4D" w:rsidRP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Acknowledgement to VRU is to be made clear and for the VRU logo to be used where possible and VRU funding will need to be acknowledged.  </w:t>
            </w:r>
          </w:p>
        </w:tc>
      </w:tr>
      <w:tr w:rsidR="007C4B4D" w:rsidRPr="007C4B4D" w14:paraId="2974CA3E" w14:textId="77777777" w:rsidTr="007C4B4D">
        <w:trPr>
          <w:trHeight w:val="1440"/>
        </w:trPr>
        <w:tc>
          <w:tcPr>
            <w:tcW w:w="4440" w:type="dxa"/>
            <w:vAlign w:val="bottom"/>
            <w:hideMark/>
          </w:tcPr>
          <w:p w14:paraId="59156565" w14:textId="6BC7C59C" w:rsid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12,</w:t>
            </w:r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Update</w:t>
            </w:r>
            <w:proofErr w:type="gramEnd"/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and add to toolkits and training resources owned by the Contextual safeguarding programme and Power the Fight based on the project and maintain ownership of these.</w:t>
            </w:r>
          </w:p>
          <w:p w14:paraId="10F1B831" w14:textId="77777777" w:rsid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5077E538" w14:textId="149CA93E" w:rsidR="007C4B4D" w:rsidRP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300" w:type="dxa"/>
            <w:hideMark/>
          </w:tcPr>
          <w:p w14:paraId="22A184EA" w14:textId="29BA0D82" w:rsidR="007C4B4D" w:rsidRP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Not limited </w:t>
            </w:r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to, any</w:t>
            </w:r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toolkits created would also feature acknowledgment to VRU and VRU also able to share any such toolkits to enhance support for children and young people and share that learning. </w:t>
            </w:r>
          </w:p>
        </w:tc>
      </w:tr>
      <w:tr w:rsidR="007C4B4D" w:rsidRPr="007C4B4D" w14:paraId="416FF614" w14:textId="77777777" w:rsidTr="007C4B4D">
        <w:trPr>
          <w:trHeight w:val="1440"/>
        </w:trPr>
        <w:tc>
          <w:tcPr>
            <w:tcW w:w="4440" w:type="dxa"/>
            <w:shd w:val="clear" w:color="000000" w:fill="F2F2F2"/>
            <w:vAlign w:val="bottom"/>
            <w:hideMark/>
          </w:tcPr>
          <w:p w14:paraId="76A2C0F4" w14:textId="27F5E8CF" w:rsid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13,</w:t>
            </w:r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Be</w:t>
            </w:r>
            <w:proofErr w:type="gramEnd"/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able to freely publish findings without sign-off from the VRU (but would acknowledge funding and ensure confidentiality and anonymity where necessary).</w:t>
            </w:r>
          </w:p>
          <w:p w14:paraId="007F8013" w14:textId="2433E9F2" w:rsidR="007C4B4D" w:rsidRP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300" w:type="dxa"/>
            <w:shd w:val="clear" w:color="000000" w:fill="F2F2F2"/>
            <w:hideMark/>
          </w:tcPr>
          <w:p w14:paraId="3660FA52" w14:textId="77777777" w:rsidR="007C4B4D" w:rsidRP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Yes </w:t>
            </w:r>
          </w:p>
        </w:tc>
      </w:tr>
      <w:tr w:rsidR="007C4B4D" w:rsidRPr="007C4B4D" w14:paraId="10D4FA3C" w14:textId="77777777" w:rsidTr="007C4B4D">
        <w:trPr>
          <w:trHeight w:val="2010"/>
        </w:trPr>
        <w:tc>
          <w:tcPr>
            <w:tcW w:w="4440" w:type="dxa"/>
            <w:vAlign w:val="bottom"/>
            <w:hideMark/>
          </w:tcPr>
          <w:p w14:paraId="61CD062E" w14:textId="71C18C69" w:rsid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14,</w:t>
            </w:r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Can</w:t>
            </w:r>
            <w:proofErr w:type="gramEnd"/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the Commissioner confirm whether the successful Provider will be able to use resources / materials (intellectual property) created for this service within their future service delivery to enhance their support for children and young people. </w:t>
            </w:r>
          </w:p>
          <w:p w14:paraId="7F403DD8" w14:textId="5CD13AE3" w:rsidR="007C4B4D" w:rsidRP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00" w:type="dxa"/>
            <w:hideMark/>
          </w:tcPr>
          <w:p w14:paraId="5E918CD7" w14:textId="77777777" w:rsidR="007C4B4D" w:rsidRP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Acknowledgement to VRU is to be made clear and for the VRU logo to be used and VRU funding will need to be acknowledged.  </w:t>
            </w:r>
          </w:p>
        </w:tc>
      </w:tr>
      <w:tr w:rsidR="007C4B4D" w:rsidRPr="007C4B4D" w14:paraId="17945295" w14:textId="77777777" w:rsidTr="007C4B4D">
        <w:trPr>
          <w:trHeight w:val="2010"/>
        </w:trPr>
        <w:tc>
          <w:tcPr>
            <w:tcW w:w="4440" w:type="dxa"/>
            <w:vAlign w:val="bottom"/>
            <w:hideMark/>
          </w:tcPr>
          <w:p w14:paraId="05A99832" w14:textId="019A403A" w:rsid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15,</w:t>
            </w:r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Please</w:t>
            </w:r>
            <w:proofErr w:type="gramEnd"/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can you advise whether we need to present the costs for a 2 year project over 3 financial / tax years? We have assumed that as the project is for </w:t>
            </w:r>
            <w:proofErr w:type="gramStart"/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 2 years</w:t>
            </w:r>
            <w:proofErr w:type="gramEnd"/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in duration, but the attached spreadsheet is in 3 </w:t>
            </w:r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years,</w:t>
            </w:r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that this is the case.</w:t>
            </w:r>
          </w:p>
          <w:p w14:paraId="55909960" w14:textId="11730C3F" w:rsidR="007C4B4D" w:rsidRP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300" w:type="dxa"/>
            <w:shd w:val="clear" w:color="000000" w:fill="F2F2F2"/>
            <w:hideMark/>
          </w:tcPr>
          <w:p w14:paraId="2758DFF4" w14:textId="77777777" w:rsidR="007C4B4D" w:rsidRP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The project is 24 months, but spanning 3 financial years (23/24, 24/25, 25/26). Please present the costs per financial year, assuming end of October 2023 start.</w:t>
            </w:r>
          </w:p>
        </w:tc>
      </w:tr>
      <w:tr w:rsidR="007C4B4D" w:rsidRPr="007C4B4D" w14:paraId="21F7FE36" w14:textId="77777777" w:rsidTr="007C4B4D">
        <w:trPr>
          <w:trHeight w:val="870"/>
        </w:trPr>
        <w:tc>
          <w:tcPr>
            <w:tcW w:w="4440" w:type="dxa"/>
            <w:hideMark/>
          </w:tcPr>
          <w:p w14:paraId="3030E7C9" w14:textId="673B219D" w:rsidR="007C4B4D" w:rsidRPr="007C4B4D" w:rsidRDefault="007C4B4D" w:rsidP="007C4B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16,</w:t>
            </w:r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Is</w:t>
            </w:r>
            <w:proofErr w:type="gramEnd"/>
            <w:r w:rsidRPr="007C4B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the 5% Start Fee Payment in addition to the contract value or part of the overall year 1 value?</w:t>
            </w:r>
          </w:p>
        </w:tc>
        <w:tc>
          <w:tcPr>
            <w:tcW w:w="5300" w:type="dxa"/>
            <w:vAlign w:val="bottom"/>
            <w:hideMark/>
          </w:tcPr>
          <w:p w14:paraId="5F38D2B3" w14:textId="77777777" w:rsidR="007C4B4D" w:rsidRP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Is it part of the overall year 1 value.</w:t>
            </w:r>
          </w:p>
        </w:tc>
      </w:tr>
      <w:tr w:rsidR="007C4B4D" w:rsidRPr="007C4B4D" w14:paraId="5D1331CE" w14:textId="77777777" w:rsidTr="007C4B4D">
        <w:trPr>
          <w:trHeight w:val="1365"/>
        </w:trPr>
        <w:tc>
          <w:tcPr>
            <w:tcW w:w="4440" w:type="dxa"/>
            <w:hideMark/>
          </w:tcPr>
          <w:p w14:paraId="41E027A6" w14:textId="71803201" w:rsidR="007C4B4D" w:rsidRPr="007C4B4D" w:rsidRDefault="007C4B4D" w:rsidP="007C4B4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lastRenderedPageBreak/>
              <w:t>17,</w:t>
            </w:r>
            <w:r w:rsidRPr="007C4B4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(</w:t>
            </w:r>
            <w:proofErr w:type="gramEnd"/>
            <w:r w:rsidRPr="007C4B4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Clause 20) Can MOPAC consider updating this clause to include undisputed sums only and only during the life of the contract?</w:t>
            </w:r>
          </w:p>
        </w:tc>
        <w:tc>
          <w:tcPr>
            <w:tcW w:w="5300" w:type="dxa"/>
            <w:shd w:val="clear" w:color="000000" w:fill="F2F2F2"/>
            <w:vAlign w:val="bottom"/>
            <w:hideMark/>
          </w:tcPr>
          <w:p w14:paraId="7E50A639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2BEB75C6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No</w:t>
            </w:r>
          </w:p>
          <w:p w14:paraId="734DAE49" w14:textId="7A8A6FAF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35166BB6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79DE9DE0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12684461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29D564D8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4F5DD077" w14:textId="4513F61C" w:rsidR="007C4B4D" w:rsidRP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C4B4D" w:rsidRPr="007C4B4D" w14:paraId="3CE61310" w14:textId="77777777" w:rsidTr="007C4B4D">
        <w:trPr>
          <w:trHeight w:val="1155"/>
        </w:trPr>
        <w:tc>
          <w:tcPr>
            <w:tcW w:w="4440" w:type="dxa"/>
            <w:hideMark/>
          </w:tcPr>
          <w:p w14:paraId="446A9E1A" w14:textId="39736ADC" w:rsidR="007C4B4D" w:rsidRPr="007C4B4D" w:rsidRDefault="007C4B4D" w:rsidP="007C4B4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18,</w:t>
            </w:r>
            <w:r w:rsidRPr="007C4B4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Would</w:t>
            </w:r>
            <w:proofErr w:type="gramEnd"/>
            <w:r w:rsidRPr="007C4B4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 xml:space="preserve"> MOPAC be open to reciprocal termination (Clause 29) rights for the Provider?</w:t>
            </w:r>
          </w:p>
        </w:tc>
        <w:tc>
          <w:tcPr>
            <w:tcW w:w="5300" w:type="dxa"/>
            <w:vAlign w:val="bottom"/>
            <w:hideMark/>
          </w:tcPr>
          <w:p w14:paraId="6E2E281C" w14:textId="031207AC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No </w:t>
            </w:r>
          </w:p>
          <w:p w14:paraId="65BD03AF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6C26FFA3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78271442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4940255C" w14:textId="2F29F84B" w:rsidR="007C4B4D" w:rsidRP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C4B4D" w:rsidRPr="007C4B4D" w14:paraId="68F3F5AA" w14:textId="77777777" w:rsidTr="007C4B4D">
        <w:trPr>
          <w:trHeight w:val="1080"/>
        </w:trPr>
        <w:tc>
          <w:tcPr>
            <w:tcW w:w="4440" w:type="dxa"/>
            <w:hideMark/>
          </w:tcPr>
          <w:p w14:paraId="61762214" w14:textId="6254926B" w:rsidR="007C4B4D" w:rsidRPr="007C4B4D" w:rsidRDefault="007C4B4D" w:rsidP="007C4B4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19,</w:t>
            </w:r>
            <w:r w:rsidRPr="007C4B4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Would</w:t>
            </w:r>
            <w:proofErr w:type="gramEnd"/>
            <w:r w:rsidRPr="007C4B4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 xml:space="preserve"> MOPAC also be open to reciprocal confidentiality (Clause 26) rights for the Provider?</w:t>
            </w:r>
          </w:p>
        </w:tc>
        <w:tc>
          <w:tcPr>
            <w:tcW w:w="5300" w:type="dxa"/>
            <w:shd w:val="clear" w:color="000000" w:fill="F2F2F2"/>
            <w:vAlign w:val="bottom"/>
            <w:hideMark/>
          </w:tcPr>
          <w:p w14:paraId="72C41EE2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o</w:t>
            </w:r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342704D8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6E2CBBB4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0C064E3B" w14:textId="57F1B154" w:rsidR="007C4B4D" w:rsidRP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C4B4D" w:rsidRPr="007C4B4D" w14:paraId="3937AF2B" w14:textId="77777777" w:rsidTr="007C4B4D">
        <w:trPr>
          <w:trHeight w:val="1080"/>
        </w:trPr>
        <w:tc>
          <w:tcPr>
            <w:tcW w:w="4440" w:type="dxa"/>
            <w:hideMark/>
          </w:tcPr>
          <w:p w14:paraId="68B2F50B" w14:textId="0D8AFBDF" w:rsidR="007C4B4D" w:rsidRPr="007C4B4D" w:rsidRDefault="007C4B4D" w:rsidP="007C4B4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20,</w:t>
            </w:r>
            <w:r w:rsidRPr="007C4B4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In addition to the question asked on Wednesday - Can the Commissioner confirm whether the successful Provider will be able to use resources / materials (intellectual property) created for this service within their future service delivery to enhance their support for children and young people</w:t>
            </w:r>
          </w:p>
        </w:tc>
        <w:tc>
          <w:tcPr>
            <w:tcW w:w="5300" w:type="dxa"/>
            <w:shd w:val="clear" w:color="000000" w:fill="F2F2F2"/>
            <w:vAlign w:val="bottom"/>
            <w:hideMark/>
          </w:tcPr>
          <w:p w14:paraId="72994EBA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Please see </w:t>
            </w:r>
            <w:proofErr w:type="gramStart"/>
            <w:r w:rsidRPr="007C4B4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above</w:t>
            </w:r>
            <w:proofErr w:type="gramEnd"/>
          </w:p>
          <w:p w14:paraId="62180105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7519A662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4A27E21E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4E31BD00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7B0E1C75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6C17FF83" w14:textId="77777777" w:rsid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346F9F1B" w14:textId="6766C171" w:rsidR="007C4B4D" w:rsidRPr="007C4B4D" w:rsidRDefault="007C4B4D" w:rsidP="007C4B4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BC59D53" w14:textId="77777777" w:rsidR="00AF22A0" w:rsidRPr="007C4B4D" w:rsidRDefault="00AF22A0" w:rsidP="00AF22A0">
      <w:pPr>
        <w:rPr>
          <w:rFonts w:ascii="Arial" w:hAnsi="Arial" w:cs="Arial"/>
          <w:sz w:val="22"/>
          <w:szCs w:val="22"/>
        </w:rPr>
      </w:pPr>
    </w:p>
    <w:sectPr w:rsidR="00AF22A0" w:rsidRPr="007C4B4D" w:rsidSect="00AF2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 Form Sans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4D"/>
    <w:rsid w:val="000136B9"/>
    <w:rsid w:val="002E66FC"/>
    <w:rsid w:val="0035694F"/>
    <w:rsid w:val="007C4B4D"/>
    <w:rsid w:val="00AF22A0"/>
    <w:rsid w:val="00D4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9C6E7"/>
  <w15:chartTrackingRefBased/>
  <w15:docId w15:val="{6D835D80-44AC-4B90-91A6-0F287FE8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43A4-58E2-4429-A276-21C35740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Evans</dc:creator>
  <cp:keywords/>
  <dc:description/>
  <cp:lastModifiedBy>Samantha Evans</cp:lastModifiedBy>
  <cp:revision>1</cp:revision>
  <dcterms:created xsi:type="dcterms:W3CDTF">2023-09-04T07:17:00Z</dcterms:created>
  <dcterms:modified xsi:type="dcterms:W3CDTF">2023-09-04T07:23:00Z</dcterms:modified>
</cp:coreProperties>
</file>