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138"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513"/>
        <w:tab w:val="right" w:leader="none"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tyjcwt"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 – Contract Reference: </w:t>
    </w:r>
    <w:r w:rsidDel="00000000" w:rsidR="00000000" w:rsidRPr="00000000">
      <w:rPr>
        <w:rFonts w:ascii="Arial" w:cs="Arial" w:eastAsia="Arial" w:hAnsi="Arial"/>
        <w:b w:val="1"/>
        <w:sz w:val="20"/>
        <w:szCs w:val="20"/>
        <w:rtl w:val="0"/>
      </w:rPr>
      <w:t xml:space="preserve">C23780/</w:t>
    </w:r>
    <w:r w:rsidDel="00000000" w:rsidR="00000000" w:rsidRPr="00000000">
      <w:rPr>
        <w:rFonts w:ascii="Roboto" w:cs="Roboto" w:eastAsia="Roboto" w:hAnsi="Roboto"/>
        <w:b w:val="1"/>
        <w:color w:val="181818"/>
        <w:sz w:val="20"/>
        <w:szCs w:val="20"/>
        <w:highlight w:val="white"/>
        <w:rtl w:val="0"/>
      </w:rPr>
      <w:t xml:space="preserve">CCFU23A01</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Caln5TG5r6ohkoiWm2idCmLwg==">CgMxLjAyCGguZ2pkZ3hzMgloLjMwajB6bGwyCWguMWZvYjl0ZTIJaC4zem55c2g3MgloLjJldDkycDAyCWlkLnR5amN3dDgAciExZ1hseEFvWVpsYWd5SEZuWGFFd2EwSDN5elhYVmc2VGc=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