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6DE90" w14:textId="77777777" w:rsidR="00214E69" w:rsidRPr="00214E69" w:rsidRDefault="00214E69" w:rsidP="00214E69">
      <w:pPr>
        <w:jc w:val="center"/>
        <w:rPr>
          <w:rFonts w:ascii="Arial Bold" w:hAnsi="Arial Bold" w:cs="Arial"/>
          <w:b/>
          <w:bCs/>
          <w:caps/>
        </w:rPr>
      </w:pPr>
      <w:r w:rsidRPr="00214E69">
        <w:rPr>
          <w:rFonts w:ascii="Arial Bold" w:hAnsi="Arial Bold" w:cs="Arial"/>
          <w:b/>
          <w:bCs/>
          <w:caps/>
        </w:rPr>
        <w:t>Enterprise Architecture Statement of Requir</w:t>
      </w:r>
      <w:bookmarkStart w:id="0" w:name="_GoBack"/>
      <w:bookmarkEnd w:id="0"/>
      <w:r w:rsidRPr="00214E69">
        <w:rPr>
          <w:rFonts w:ascii="Arial Bold" w:hAnsi="Arial Bold" w:cs="Arial"/>
          <w:b/>
          <w:bCs/>
          <w:caps/>
        </w:rPr>
        <w:t>ement</w:t>
      </w:r>
    </w:p>
    <w:p w14:paraId="2165E4A3" w14:textId="7C96C62D" w:rsidR="00214E69" w:rsidRPr="00214E69" w:rsidRDefault="00214E69" w:rsidP="00214E69">
      <w:pPr>
        <w:spacing w:after="0"/>
        <w:textAlignment w:val="baseline"/>
        <w:rPr>
          <w:rFonts w:ascii="Arial" w:hAnsi="Arial" w:cs="Arial"/>
          <w:b/>
          <w:bCs/>
        </w:rPr>
      </w:pPr>
      <w:r>
        <w:rPr>
          <w:rFonts w:ascii="Arial" w:hAnsi="Arial" w:cs="Arial"/>
          <w:b/>
          <w:bCs/>
        </w:rPr>
        <w:t>INTRODUCTION AND BACKGROUND TO THE AUTHORITY</w:t>
      </w:r>
    </w:p>
    <w:p w14:paraId="0B921B21" w14:textId="77777777" w:rsidR="00214E69" w:rsidRDefault="00214E69" w:rsidP="00214E69">
      <w:pPr>
        <w:pStyle w:val="paragraph"/>
        <w:spacing w:before="0" w:beforeAutospacing="0" w:after="0" w:afterAutospacing="0"/>
        <w:ind w:left="360"/>
        <w:jc w:val="both"/>
        <w:textAlignment w:val="baseline"/>
        <w:rPr>
          <w:rStyle w:val="normaltextrun"/>
          <w:rFonts w:ascii="Arial" w:hAnsi="Arial" w:cs="Arial"/>
          <w:sz w:val="22"/>
          <w:szCs w:val="22"/>
        </w:rPr>
      </w:pPr>
    </w:p>
    <w:p w14:paraId="448CCAD5" w14:textId="2B76FA29" w:rsidR="00214E69" w:rsidRDefault="00214E69" w:rsidP="00214E69">
      <w:pPr>
        <w:pStyle w:val="paragraph"/>
        <w:numPr>
          <w:ilvl w:val="0"/>
          <w:numId w:val="2"/>
        </w:numPr>
        <w:tabs>
          <w:tab w:val="clear" w:pos="720"/>
        </w:tabs>
        <w:spacing w:before="0" w:beforeAutospacing="0" w:after="0" w:afterAutospacing="0"/>
        <w:ind w:left="0" w:firstLine="0"/>
        <w:jc w:val="both"/>
        <w:textAlignment w:val="baseline"/>
        <w:rPr>
          <w:rFonts w:ascii="Arial" w:hAnsi="Arial" w:cs="Arial"/>
          <w:sz w:val="22"/>
          <w:szCs w:val="22"/>
        </w:rPr>
      </w:pPr>
      <w:r>
        <w:rPr>
          <w:rStyle w:val="normaltextrun"/>
          <w:rFonts w:ascii="Arial" w:hAnsi="Arial" w:cs="Arial"/>
          <w:sz w:val="22"/>
          <w:szCs w:val="22"/>
        </w:rPr>
        <w:t>Army HQ has made significant progress over the last three years in re-introducing its ability to manage the Army at an enterprise level. Enterprise Architecture services have been at the heart of this change, either delivering or shaping a series of 2* led initiatives:</w:t>
      </w:r>
    </w:p>
    <w:p w14:paraId="684E27E4" w14:textId="0E67C652" w:rsidR="00214E69" w:rsidRDefault="00214E69" w:rsidP="00214E69">
      <w:pPr>
        <w:pStyle w:val="paragraph"/>
        <w:spacing w:before="0" w:beforeAutospacing="0" w:after="0" w:afterAutospacing="0"/>
        <w:ind w:left="720"/>
        <w:jc w:val="both"/>
        <w:textAlignment w:val="baseline"/>
        <w:rPr>
          <w:rFonts w:ascii="Arial" w:hAnsi="Arial" w:cs="Arial"/>
          <w:sz w:val="22"/>
          <w:szCs w:val="22"/>
        </w:rPr>
      </w:pPr>
    </w:p>
    <w:p w14:paraId="195D3FDB" w14:textId="2E4C6F70" w:rsidR="00214E69" w:rsidRDefault="00214E69" w:rsidP="00214E69">
      <w:pPr>
        <w:pStyle w:val="paragraph"/>
        <w:numPr>
          <w:ilvl w:val="0"/>
          <w:numId w:val="3"/>
        </w:numPr>
        <w:tabs>
          <w:tab w:val="clear" w:pos="720"/>
        </w:tabs>
        <w:spacing w:before="0" w:beforeAutospacing="0" w:after="0" w:afterAutospacing="0"/>
        <w:ind w:firstLine="0"/>
        <w:jc w:val="both"/>
        <w:textAlignment w:val="baseline"/>
        <w:rPr>
          <w:rFonts w:ascii="Arial" w:hAnsi="Arial" w:cs="Arial"/>
          <w:sz w:val="22"/>
          <w:szCs w:val="22"/>
        </w:rPr>
      </w:pPr>
      <w:proofErr w:type="spellStart"/>
      <w:r>
        <w:rPr>
          <w:rStyle w:val="normaltextrun"/>
          <w:rFonts w:ascii="Arial" w:hAnsi="Arial" w:cs="Arial"/>
          <w:sz w:val="22"/>
          <w:szCs w:val="22"/>
        </w:rPr>
        <w:t>DCap</w:t>
      </w:r>
      <w:proofErr w:type="spellEnd"/>
      <w:r>
        <w:rPr>
          <w:rStyle w:val="normaltextrun"/>
          <w:rFonts w:ascii="Arial" w:hAnsi="Arial" w:cs="Arial"/>
          <w:sz w:val="22"/>
          <w:szCs w:val="22"/>
        </w:rPr>
        <w:t xml:space="preserve"> and </w:t>
      </w:r>
      <w:proofErr w:type="spellStart"/>
      <w:r>
        <w:rPr>
          <w:rStyle w:val="normaltextrun"/>
          <w:rFonts w:ascii="Arial" w:hAnsi="Arial" w:cs="Arial"/>
          <w:sz w:val="22"/>
          <w:szCs w:val="22"/>
        </w:rPr>
        <w:t>DSp</w:t>
      </w:r>
      <w:proofErr w:type="spellEnd"/>
      <w:r>
        <w:rPr>
          <w:rStyle w:val="normaltextrun"/>
          <w:rFonts w:ascii="Arial" w:hAnsi="Arial" w:cs="Arial"/>
          <w:sz w:val="22"/>
          <w:szCs w:val="22"/>
        </w:rPr>
        <w:t xml:space="preserve"> - the work to re-focus capability management back from the project level to the force (Force Centric Capability Management (FCCM));</w:t>
      </w:r>
    </w:p>
    <w:p w14:paraId="296768DC" w14:textId="3E2FFFF2" w:rsidR="00214E69" w:rsidRDefault="00214E69" w:rsidP="00214E69">
      <w:pPr>
        <w:pStyle w:val="paragraph"/>
        <w:spacing w:before="0" w:beforeAutospacing="0" w:after="0" w:afterAutospacing="0"/>
        <w:ind w:left="720"/>
        <w:jc w:val="both"/>
        <w:textAlignment w:val="baseline"/>
        <w:rPr>
          <w:rFonts w:ascii="Arial" w:hAnsi="Arial" w:cs="Arial"/>
          <w:sz w:val="22"/>
          <w:szCs w:val="22"/>
        </w:rPr>
      </w:pPr>
    </w:p>
    <w:p w14:paraId="7F2E9184" w14:textId="6682F470" w:rsidR="00214E69" w:rsidRDefault="00214E69" w:rsidP="00214E69">
      <w:pPr>
        <w:pStyle w:val="paragraph"/>
        <w:numPr>
          <w:ilvl w:val="0"/>
          <w:numId w:val="4"/>
        </w:numPr>
        <w:tabs>
          <w:tab w:val="clear" w:pos="720"/>
        </w:tabs>
        <w:spacing w:before="0" w:beforeAutospacing="0" w:after="0" w:afterAutospacing="0"/>
        <w:ind w:firstLine="0"/>
        <w:jc w:val="both"/>
        <w:textAlignment w:val="baseline"/>
        <w:rPr>
          <w:rFonts w:ascii="Arial" w:hAnsi="Arial" w:cs="Arial"/>
          <w:sz w:val="22"/>
          <w:szCs w:val="22"/>
        </w:rPr>
      </w:pPr>
      <w:proofErr w:type="spellStart"/>
      <w:r>
        <w:rPr>
          <w:rStyle w:val="normaltextrun"/>
          <w:rFonts w:ascii="Arial" w:hAnsi="Arial" w:cs="Arial"/>
          <w:sz w:val="22"/>
          <w:szCs w:val="22"/>
        </w:rPr>
        <w:t>DInfo</w:t>
      </w:r>
      <w:proofErr w:type="spellEnd"/>
      <w:r>
        <w:rPr>
          <w:rStyle w:val="normaltextrun"/>
          <w:rFonts w:ascii="Arial" w:hAnsi="Arial" w:cs="Arial"/>
          <w:sz w:val="22"/>
          <w:szCs w:val="22"/>
        </w:rPr>
        <w:t xml:space="preserve"> – support to the coherent delivery of Army Digital Services, LE </w:t>
      </w:r>
      <w:proofErr w:type="spellStart"/>
      <w:r>
        <w:rPr>
          <w:rStyle w:val="normaltextrun"/>
          <w:rFonts w:ascii="Arial" w:hAnsi="Arial" w:cs="Arial"/>
          <w:sz w:val="22"/>
          <w:szCs w:val="22"/>
        </w:rPr>
        <w:t>TacCIS</w:t>
      </w:r>
      <w:proofErr w:type="spellEnd"/>
      <w:r>
        <w:rPr>
          <w:rStyle w:val="normaltextrun"/>
          <w:rFonts w:ascii="Arial" w:hAnsi="Arial" w:cs="Arial"/>
          <w:sz w:val="22"/>
          <w:szCs w:val="22"/>
        </w:rPr>
        <w:t>, Land ISTAR and Land Cyber, and;</w:t>
      </w:r>
    </w:p>
    <w:p w14:paraId="38916DBD" w14:textId="77777777" w:rsidR="00214E69" w:rsidRDefault="00214E69" w:rsidP="00214E69">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3E2BBE02" w14:textId="4F1308CF" w:rsidR="00214E69" w:rsidRDefault="00214E69" w:rsidP="00214E69">
      <w:pPr>
        <w:pStyle w:val="paragraph"/>
        <w:numPr>
          <w:ilvl w:val="0"/>
          <w:numId w:val="5"/>
        </w:numPr>
        <w:tabs>
          <w:tab w:val="clear" w:pos="720"/>
        </w:tabs>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rPr>
        <w:t>ACGS - the re-design of the Army Operating Model (AOM).</w:t>
      </w:r>
      <w:r>
        <w:rPr>
          <w:rStyle w:val="eop"/>
          <w:rFonts w:ascii="Arial" w:hAnsi="Arial" w:cs="Arial"/>
          <w:sz w:val="22"/>
          <w:szCs w:val="22"/>
        </w:rPr>
        <w:t> </w:t>
      </w:r>
    </w:p>
    <w:p w14:paraId="2F251E1B" w14:textId="77777777" w:rsidR="00214E69" w:rsidRDefault="00214E69" w:rsidP="00214E69">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3E00C14F" w14:textId="5169B002" w:rsidR="00214E69" w:rsidRDefault="00214E69" w:rsidP="00214E69">
      <w:pPr>
        <w:pStyle w:val="paragraph"/>
        <w:numPr>
          <w:ilvl w:val="0"/>
          <w:numId w:val="6"/>
        </w:numPr>
        <w:tabs>
          <w:tab w:val="clear" w:pos="360"/>
        </w:tabs>
        <w:spacing w:before="0" w:beforeAutospacing="0" w:after="0" w:afterAutospacing="0"/>
        <w:ind w:left="0" w:firstLine="0"/>
        <w:jc w:val="both"/>
        <w:textAlignment w:val="baseline"/>
        <w:rPr>
          <w:rFonts w:ascii="Arial" w:hAnsi="Arial" w:cs="Arial"/>
          <w:sz w:val="22"/>
          <w:szCs w:val="22"/>
        </w:rPr>
      </w:pPr>
      <w:r>
        <w:rPr>
          <w:rStyle w:val="normaltextrun"/>
          <w:rFonts w:ascii="Arial" w:hAnsi="Arial" w:cs="Arial"/>
          <w:sz w:val="22"/>
          <w:szCs w:val="22"/>
        </w:rPr>
        <w:t>The provision of Enterprise Architecture has been a key enabler to this progress, demonstrating the value of investment in new enterprise Level thinking, processes and structures to deliver an Army that is designed to be integrated, adaptable and leading Defence coherence.  The Army EA Branch has been recognised as a leading Defence capability in a recent EA maturity review conducted by Defence Digital.</w:t>
      </w:r>
      <w:r>
        <w:rPr>
          <w:rStyle w:val="eop"/>
          <w:rFonts w:ascii="Arial" w:hAnsi="Arial" w:cs="Arial"/>
          <w:sz w:val="22"/>
          <w:szCs w:val="22"/>
        </w:rPr>
        <w:t> </w:t>
      </w:r>
    </w:p>
    <w:p w14:paraId="3E04C2D3" w14:textId="77777777" w:rsidR="00214E69" w:rsidRDefault="00214E69" w:rsidP="00214E69">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57B2EB4C" w14:textId="2F8FAC54" w:rsidR="00214E69" w:rsidRDefault="00214E69" w:rsidP="00214E69">
      <w:pPr>
        <w:pStyle w:val="paragraph"/>
        <w:numPr>
          <w:ilvl w:val="0"/>
          <w:numId w:val="7"/>
        </w:numPr>
        <w:tabs>
          <w:tab w:val="clear" w:pos="360"/>
        </w:tabs>
        <w:spacing w:before="0" w:beforeAutospacing="0" w:after="0" w:afterAutospacing="0"/>
        <w:ind w:left="0" w:firstLine="0"/>
        <w:jc w:val="both"/>
        <w:textAlignment w:val="baseline"/>
        <w:rPr>
          <w:rFonts w:ascii="Arial" w:hAnsi="Arial" w:cs="Arial"/>
          <w:sz w:val="22"/>
          <w:szCs w:val="22"/>
        </w:rPr>
      </w:pPr>
      <w:r>
        <w:rPr>
          <w:rStyle w:val="normaltextrun"/>
          <w:rFonts w:ascii="Arial" w:hAnsi="Arial" w:cs="Arial"/>
          <w:sz w:val="22"/>
          <w:szCs w:val="22"/>
        </w:rPr>
        <w:t xml:space="preserve">Key to this success has been the structure of the current EA service which provides a core EA service with a non-guaranteed Limit of Liability to enable additional EA work packages to be undertaken under separate tasks and funding. As well as supporting Army 2* areas across </w:t>
      </w:r>
      <w:proofErr w:type="spellStart"/>
      <w:r>
        <w:rPr>
          <w:rStyle w:val="normaltextrun"/>
          <w:rFonts w:ascii="Arial" w:hAnsi="Arial" w:cs="Arial"/>
          <w:sz w:val="22"/>
          <w:szCs w:val="22"/>
        </w:rPr>
        <w:t>DInfo</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DCap</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DSp</w:t>
      </w:r>
      <w:proofErr w:type="spellEnd"/>
      <w:r>
        <w:rPr>
          <w:rStyle w:val="normaltextrun"/>
          <w:rFonts w:ascii="Arial" w:hAnsi="Arial" w:cs="Arial"/>
          <w:sz w:val="22"/>
          <w:szCs w:val="22"/>
        </w:rPr>
        <w:t xml:space="preserve"> and ACGS, the contract has also supported wider EA initiatives across defence (e.g. BMFS support). </w:t>
      </w:r>
      <w:r>
        <w:rPr>
          <w:rStyle w:val="eop"/>
          <w:rFonts w:ascii="Arial" w:hAnsi="Arial" w:cs="Arial"/>
          <w:sz w:val="22"/>
          <w:szCs w:val="22"/>
        </w:rPr>
        <w:t> </w:t>
      </w:r>
    </w:p>
    <w:p w14:paraId="05F9A9DD" w14:textId="77777777" w:rsidR="00214E69" w:rsidRDefault="00214E69" w:rsidP="00214E69">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55F6424D" w14:textId="15E17F7E" w:rsidR="00214E69" w:rsidRDefault="00214E69" w:rsidP="00214E69">
      <w:pPr>
        <w:pStyle w:val="paragraph"/>
        <w:numPr>
          <w:ilvl w:val="0"/>
          <w:numId w:val="8"/>
        </w:numPr>
        <w:tabs>
          <w:tab w:val="clear" w:pos="720"/>
        </w:tabs>
        <w:spacing w:before="0" w:beforeAutospacing="0" w:after="0" w:afterAutospacing="0"/>
        <w:ind w:left="0" w:firstLine="0"/>
        <w:jc w:val="both"/>
        <w:textAlignment w:val="baseline"/>
        <w:rPr>
          <w:rFonts w:ascii="Arial" w:hAnsi="Arial" w:cs="Arial"/>
          <w:sz w:val="22"/>
          <w:szCs w:val="22"/>
        </w:rPr>
      </w:pPr>
      <w:r>
        <w:rPr>
          <w:rStyle w:val="normaltextrun"/>
          <w:rFonts w:ascii="Arial" w:hAnsi="Arial" w:cs="Arial"/>
          <w:sz w:val="22"/>
          <w:szCs w:val="22"/>
        </w:rPr>
        <w:t>Enabling functional areas to invest in digitalisation using D Info's capabilities as an enabler is a key component of THEIA – the Army’s initiative to accelerate digitalisation.  The next phase of Enterprise Architecture will not only support ongoing adoption of architecture best-practice in the Land domain but will, as a result of the AOM Review, place EA at the strategic heart of Army HQ to act as a binding function, bringing coherence and strategic alignment, and hence improved competitiveness and efficiency, to our corporate and warfighting capabilities.</w:t>
      </w:r>
      <w:r>
        <w:rPr>
          <w:rStyle w:val="eop"/>
          <w:rFonts w:ascii="Arial" w:hAnsi="Arial" w:cs="Arial"/>
          <w:sz w:val="22"/>
          <w:szCs w:val="22"/>
        </w:rPr>
        <w:t> </w:t>
      </w:r>
    </w:p>
    <w:p w14:paraId="4F638B6D" w14:textId="35D2DCC5" w:rsidR="00214E69" w:rsidRDefault="00214E69" w:rsidP="00D5293B">
      <w:pPr>
        <w:rPr>
          <w:rFonts w:ascii="Arial" w:hAnsi="Arial" w:cs="Arial"/>
          <w:b/>
          <w:bCs/>
        </w:rPr>
      </w:pPr>
    </w:p>
    <w:p w14:paraId="756C4BA1" w14:textId="06F8D4A5" w:rsidR="00214E69" w:rsidRPr="00214E69" w:rsidRDefault="00214E69" w:rsidP="00D5293B">
      <w:pPr>
        <w:rPr>
          <w:rFonts w:ascii="Arial" w:hAnsi="Arial" w:cs="Arial"/>
          <w:b/>
          <w:bCs/>
        </w:rPr>
      </w:pPr>
      <w:r>
        <w:rPr>
          <w:rFonts w:ascii="Arial" w:hAnsi="Arial" w:cs="Arial"/>
          <w:b/>
          <w:bCs/>
        </w:rPr>
        <w:t>BACKGROUND TO REQUIREMENT/OVERVIEW OF REQUIREMENT</w:t>
      </w:r>
    </w:p>
    <w:p w14:paraId="5698568D" w14:textId="77777777" w:rsidR="00D5293B" w:rsidRPr="00ED7522" w:rsidRDefault="00D5293B" w:rsidP="00214E69">
      <w:pPr>
        <w:pStyle w:val="ListParagraph"/>
        <w:numPr>
          <w:ilvl w:val="0"/>
          <w:numId w:val="8"/>
        </w:numPr>
        <w:tabs>
          <w:tab w:val="clear" w:pos="720"/>
          <w:tab w:val="num" w:pos="0"/>
        </w:tabs>
        <w:ind w:left="0" w:firstLine="0"/>
        <w:jc w:val="both"/>
        <w:rPr>
          <w:rFonts w:ascii="Arial" w:hAnsi="Arial" w:cs="Arial"/>
        </w:rPr>
      </w:pPr>
      <w:r w:rsidRPr="00ED7522">
        <w:rPr>
          <w:rFonts w:ascii="Arial" w:hAnsi="Arial" w:cs="Arial"/>
        </w:rPr>
        <w:t>The Statement of Requirement for Enterprise Architecture 3 is based on two main requirements: the provision of a core EA Service to develop and maintain the processes, governance and approach to enterprise architecture and secondly, the provision of specialist EA support for the delivery of wider enterprise architecture designs and products.</w:t>
      </w:r>
    </w:p>
    <w:p w14:paraId="2D3D49EC" w14:textId="77777777" w:rsidR="00D5293B" w:rsidRPr="00214E69" w:rsidRDefault="00D5293B" w:rsidP="00214E69">
      <w:pPr>
        <w:jc w:val="both"/>
        <w:rPr>
          <w:rFonts w:ascii="Arial" w:hAnsi="Arial" w:cs="Arial"/>
          <w:b/>
          <w:bCs/>
          <w:u w:val="single"/>
        </w:rPr>
      </w:pPr>
      <w:r w:rsidRPr="00214E69">
        <w:rPr>
          <w:rFonts w:ascii="Arial" w:hAnsi="Arial" w:cs="Arial"/>
          <w:b/>
          <w:bCs/>
          <w:u w:val="single"/>
        </w:rPr>
        <w:t>Requirement 1 – Core EA Service</w:t>
      </w:r>
    </w:p>
    <w:p w14:paraId="2349AF63" w14:textId="2B98D12E" w:rsidR="00D5293B" w:rsidRDefault="00D5293B" w:rsidP="00214E69">
      <w:pPr>
        <w:pStyle w:val="ListParagraph"/>
        <w:numPr>
          <w:ilvl w:val="0"/>
          <w:numId w:val="8"/>
        </w:numPr>
        <w:tabs>
          <w:tab w:val="clear" w:pos="720"/>
        </w:tabs>
        <w:spacing w:after="0"/>
        <w:ind w:left="0" w:firstLine="0"/>
        <w:jc w:val="both"/>
        <w:rPr>
          <w:rFonts w:ascii="Arial" w:hAnsi="Arial" w:cs="Arial"/>
        </w:rPr>
      </w:pPr>
      <w:r w:rsidRPr="004469F0">
        <w:rPr>
          <w:rFonts w:ascii="Arial" w:hAnsi="Arial" w:cs="Arial"/>
        </w:rPr>
        <w:t>The Army requires a core enterprise service that will develop the Army’s enterprise architecture by:</w:t>
      </w:r>
    </w:p>
    <w:p w14:paraId="209D9779" w14:textId="77777777" w:rsidR="00214E69" w:rsidRPr="00214E69" w:rsidRDefault="00214E69" w:rsidP="00214E69">
      <w:pPr>
        <w:spacing w:after="0"/>
        <w:jc w:val="both"/>
        <w:rPr>
          <w:rFonts w:ascii="Arial" w:hAnsi="Arial" w:cs="Arial"/>
        </w:rPr>
      </w:pPr>
    </w:p>
    <w:p w14:paraId="3B365689" w14:textId="77777777" w:rsidR="00D5293B" w:rsidRDefault="00D5293B" w:rsidP="00214E69">
      <w:pPr>
        <w:spacing w:after="0"/>
        <w:ind w:left="720"/>
        <w:jc w:val="both"/>
        <w:rPr>
          <w:rFonts w:ascii="Arial" w:hAnsi="Arial" w:cs="Arial"/>
        </w:rPr>
      </w:pPr>
      <w:r>
        <w:rPr>
          <w:rFonts w:ascii="Arial" w:hAnsi="Arial" w:cs="Arial"/>
        </w:rPr>
        <w:t>a.</w:t>
      </w:r>
      <w:r>
        <w:rPr>
          <w:rFonts w:ascii="Arial" w:hAnsi="Arial" w:cs="Arial"/>
        </w:rPr>
        <w:tab/>
      </w:r>
      <w:r w:rsidRPr="00ED7522">
        <w:rPr>
          <w:rFonts w:ascii="Arial" w:hAnsi="Arial" w:cs="Arial"/>
        </w:rPr>
        <w:t>Maintaining the Army’s architecture models and frameworks.</w:t>
      </w:r>
    </w:p>
    <w:p w14:paraId="2EA29EC9" w14:textId="77777777" w:rsidR="00D5293B" w:rsidRDefault="00D5293B" w:rsidP="00214E69">
      <w:pPr>
        <w:spacing w:after="0"/>
        <w:ind w:left="720"/>
        <w:jc w:val="both"/>
        <w:rPr>
          <w:rFonts w:ascii="Arial" w:hAnsi="Arial" w:cs="Arial"/>
        </w:rPr>
      </w:pPr>
      <w:r>
        <w:rPr>
          <w:rFonts w:ascii="Arial" w:hAnsi="Arial" w:cs="Arial"/>
        </w:rPr>
        <w:t>b.</w:t>
      </w:r>
      <w:r>
        <w:rPr>
          <w:rFonts w:ascii="Arial" w:hAnsi="Arial" w:cs="Arial"/>
        </w:rPr>
        <w:tab/>
      </w:r>
      <w:r w:rsidRPr="00ED7522">
        <w:rPr>
          <w:rFonts w:ascii="Arial" w:hAnsi="Arial" w:cs="Arial"/>
        </w:rPr>
        <w:t>Developing and promulgating the Army’s architecture principles, guidance and standards.</w:t>
      </w:r>
    </w:p>
    <w:p w14:paraId="2FB256C5" w14:textId="77777777" w:rsidR="00D5293B" w:rsidRDefault="00D5293B" w:rsidP="00214E69">
      <w:pPr>
        <w:spacing w:after="0"/>
        <w:ind w:left="720"/>
        <w:jc w:val="both"/>
        <w:rPr>
          <w:rFonts w:ascii="Arial" w:hAnsi="Arial" w:cs="Arial"/>
        </w:rPr>
      </w:pPr>
      <w:r>
        <w:rPr>
          <w:rFonts w:ascii="Arial" w:hAnsi="Arial" w:cs="Arial"/>
        </w:rPr>
        <w:t>c.</w:t>
      </w:r>
      <w:r>
        <w:rPr>
          <w:rFonts w:ascii="Arial" w:hAnsi="Arial" w:cs="Arial"/>
        </w:rPr>
        <w:tab/>
      </w:r>
      <w:r w:rsidRPr="00ED7522">
        <w:rPr>
          <w:rFonts w:ascii="Arial" w:hAnsi="Arial" w:cs="Arial"/>
        </w:rPr>
        <w:t>Developing, maintaining and running the Army’s architecture governance approaches.</w:t>
      </w:r>
    </w:p>
    <w:p w14:paraId="67B77D8F" w14:textId="77777777" w:rsidR="00D5293B" w:rsidRDefault="00D5293B" w:rsidP="00214E69">
      <w:pPr>
        <w:spacing w:after="0"/>
        <w:ind w:left="720"/>
        <w:jc w:val="both"/>
        <w:rPr>
          <w:rFonts w:ascii="Arial" w:hAnsi="Arial" w:cs="Arial"/>
        </w:rPr>
      </w:pPr>
      <w:r>
        <w:rPr>
          <w:rFonts w:ascii="Arial" w:hAnsi="Arial" w:cs="Arial"/>
        </w:rPr>
        <w:lastRenderedPageBreak/>
        <w:t>d.</w:t>
      </w:r>
      <w:r>
        <w:rPr>
          <w:rFonts w:ascii="Arial" w:hAnsi="Arial" w:cs="Arial"/>
        </w:rPr>
        <w:tab/>
      </w:r>
      <w:r w:rsidRPr="00ED7522">
        <w:rPr>
          <w:rFonts w:ascii="Arial" w:hAnsi="Arial" w:cs="Arial"/>
        </w:rPr>
        <w:t>Conducting architecture assurance to the Chief Army Enterprise Architecture that programme and functional architectures are conforming to Army EA policies.</w:t>
      </w:r>
    </w:p>
    <w:p w14:paraId="0558C76C" w14:textId="77777777" w:rsidR="00D5293B" w:rsidRDefault="00D5293B" w:rsidP="00214E69">
      <w:pPr>
        <w:spacing w:after="0"/>
        <w:ind w:left="720"/>
        <w:jc w:val="both"/>
        <w:rPr>
          <w:rFonts w:ascii="Arial" w:hAnsi="Arial" w:cs="Arial"/>
        </w:rPr>
      </w:pPr>
      <w:r>
        <w:rPr>
          <w:rFonts w:ascii="Arial" w:hAnsi="Arial" w:cs="Arial"/>
        </w:rPr>
        <w:t>e.</w:t>
      </w:r>
      <w:r>
        <w:rPr>
          <w:rFonts w:ascii="Arial" w:hAnsi="Arial" w:cs="Arial"/>
        </w:rPr>
        <w:tab/>
      </w:r>
      <w:r w:rsidRPr="00ED7522">
        <w:rPr>
          <w:rFonts w:ascii="Arial" w:hAnsi="Arial" w:cs="Arial"/>
        </w:rPr>
        <w:t>Providing advice, D&amp;G to programmes and Army functional areas.</w:t>
      </w:r>
    </w:p>
    <w:p w14:paraId="39E72000" w14:textId="19232FA0" w:rsidR="00D5293B" w:rsidRDefault="00D5293B" w:rsidP="00214E69">
      <w:pPr>
        <w:spacing w:after="0"/>
        <w:ind w:left="720"/>
        <w:jc w:val="both"/>
        <w:rPr>
          <w:rFonts w:ascii="Arial" w:hAnsi="Arial" w:cs="Arial"/>
        </w:rPr>
      </w:pPr>
      <w:r>
        <w:rPr>
          <w:rFonts w:ascii="Arial" w:hAnsi="Arial" w:cs="Arial"/>
        </w:rPr>
        <w:t>f.</w:t>
      </w:r>
      <w:r>
        <w:rPr>
          <w:rFonts w:ascii="Arial" w:hAnsi="Arial" w:cs="Arial"/>
        </w:rPr>
        <w:tab/>
      </w:r>
      <w:r w:rsidRPr="00ED7522">
        <w:rPr>
          <w:rFonts w:ascii="Arial" w:hAnsi="Arial" w:cs="Arial"/>
        </w:rPr>
        <w:t>Conducting impact assessments of architecture changes to programme and functional areas.</w:t>
      </w:r>
    </w:p>
    <w:p w14:paraId="72C36874" w14:textId="77777777" w:rsidR="00D5293B" w:rsidRDefault="00D5293B" w:rsidP="00214E69">
      <w:pPr>
        <w:spacing w:after="0"/>
        <w:ind w:left="720"/>
        <w:jc w:val="both"/>
        <w:rPr>
          <w:rFonts w:ascii="Arial" w:hAnsi="Arial" w:cs="Arial"/>
        </w:rPr>
      </w:pPr>
      <w:r>
        <w:rPr>
          <w:rFonts w:ascii="Arial" w:hAnsi="Arial" w:cs="Arial"/>
        </w:rPr>
        <w:t>g.</w:t>
      </w:r>
      <w:r>
        <w:rPr>
          <w:rFonts w:ascii="Arial" w:hAnsi="Arial" w:cs="Arial"/>
        </w:rPr>
        <w:tab/>
      </w:r>
      <w:r w:rsidRPr="00ED7522">
        <w:rPr>
          <w:rFonts w:ascii="Arial" w:hAnsi="Arial" w:cs="Arial"/>
          <w:noProof/>
        </w:rPr>
        <w:t>Providing knowledge transfer to build Army capability in EA and systms thinking</w:t>
      </w:r>
      <w:r w:rsidRPr="00ED7522">
        <w:rPr>
          <w:rFonts w:ascii="Arial" w:hAnsi="Arial" w:cs="Arial"/>
        </w:rPr>
        <w:t>.</w:t>
      </w:r>
    </w:p>
    <w:p w14:paraId="4D8B1CC8" w14:textId="77777777" w:rsidR="00D5293B" w:rsidRDefault="00D5293B" w:rsidP="00214E69">
      <w:pPr>
        <w:spacing w:after="0"/>
        <w:ind w:left="720"/>
        <w:jc w:val="both"/>
        <w:rPr>
          <w:rFonts w:ascii="Arial" w:hAnsi="Arial" w:cs="Arial"/>
        </w:rPr>
      </w:pPr>
      <w:r>
        <w:rPr>
          <w:rFonts w:ascii="Arial" w:hAnsi="Arial" w:cs="Arial"/>
        </w:rPr>
        <w:t>h.</w:t>
      </w:r>
      <w:r>
        <w:rPr>
          <w:rFonts w:ascii="Arial" w:hAnsi="Arial" w:cs="Arial"/>
        </w:rPr>
        <w:tab/>
      </w:r>
      <w:r w:rsidRPr="00ED7522">
        <w:rPr>
          <w:rFonts w:ascii="Arial" w:hAnsi="Arial" w:cs="Arial"/>
        </w:rPr>
        <w:t>Communicating with credibility the benefits and value of EA to senior Army stakeholders and suppliers.</w:t>
      </w:r>
    </w:p>
    <w:p w14:paraId="6CDBFB32" w14:textId="2FB9EE27" w:rsidR="00D5293B" w:rsidRDefault="00D5293B" w:rsidP="00214E69">
      <w:pPr>
        <w:spacing w:after="0"/>
        <w:ind w:left="720"/>
        <w:jc w:val="both"/>
        <w:rPr>
          <w:rFonts w:ascii="Arial" w:hAnsi="Arial" w:cs="Arial"/>
        </w:rPr>
      </w:pPr>
      <w:r>
        <w:rPr>
          <w:rFonts w:ascii="Arial" w:hAnsi="Arial" w:cs="Arial"/>
        </w:rPr>
        <w:t>i.</w:t>
      </w:r>
      <w:r>
        <w:rPr>
          <w:rFonts w:ascii="Arial" w:hAnsi="Arial" w:cs="Arial"/>
        </w:rPr>
        <w:tab/>
      </w:r>
      <w:r w:rsidRPr="00ED7522">
        <w:rPr>
          <w:rFonts w:ascii="Arial" w:hAnsi="Arial" w:cs="Arial"/>
        </w:rPr>
        <w:t>Engaging non-technical staff in the application of Enterprise Architecture to help deliver coherence.</w:t>
      </w:r>
    </w:p>
    <w:p w14:paraId="0AF22B02" w14:textId="77777777" w:rsidR="00214E69" w:rsidRPr="00ED7522" w:rsidRDefault="00214E69" w:rsidP="00214E69">
      <w:pPr>
        <w:spacing w:after="0"/>
        <w:ind w:left="720"/>
        <w:jc w:val="both"/>
        <w:rPr>
          <w:rFonts w:ascii="Arial" w:hAnsi="Arial" w:cs="Arial"/>
        </w:rPr>
      </w:pPr>
    </w:p>
    <w:p w14:paraId="4E40A580" w14:textId="0768A13B" w:rsidR="00D5293B" w:rsidRDefault="00D5293B" w:rsidP="00214E69">
      <w:pPr>
        <w:spacing w:after="0"/>
        <w:jc w:val="both"/>
        <w:rPr>
          <w:rFonts w:ascii="Arial" w:hAnsi="Arial" w:cs="Arial"/>
          <w:b/>
          <w:bCs/>
          <w:u w:val="single"/>
        </w:rPr>
      </w:pPr>
      <w:r w:rsidRPr="00214E69">
        <w:rPr>
          <w:rFonts w:ascii="Arial" w:hAnsi="Arial" w:cs="Arial"/>
          <w:b/>
          <w:bCs/>
          <w:u w:val="single"/>
        </w:rPr>
        <w:t>Requirement 2 – Provide Access to Defence literate Enterprise Architects</w:t>
      </w:r>
    </w:p>
    <w:p w14:paraId="53FDFC12" w14:textId="77777777" w:rsidR="00214E69" w:rsidRPr="00214E69" w:rsidRDefault="00214E69" w:rsidP="00214E69">
      <w:pPr>
        <w:spacing w:after="0"/>
        <w:jc w:val="both"/>
        <w:rPr>
          <w:rFonts w:ascii="Arial" w:hAnsi="Arial" w:cs="Arial"/>
          <w:b/>
          <w:bCs/>
          <w:u w:val="single"/>
        </w:rPr>
      </w:pPr>
    </w:p>
    <w:p w14:paraId="2119EE8D" w14:textId="51BC1BC0" w:rsidR="00D5293B" w:rsidRDefault="00D5293B" w:rsidP="00214E69">
      <w:pPr>
        <w:pStyle w:val="ListParagraph"/>
        <w:numPr>
          <w:ilvl w:val="0"/>
          <w:numId w:val="8"/>
        </w:numPr>
        <w:tabs>
          <w:tab w:val="clear" w:pos="720"/>
        </w:tabs>
        <w:spacing w:after="0"/>
        <w:ind w:left="0" w:firstLine="0"/>
        <w:jc w:val="both"/>
        <w:rPr>
          <w:rFonts w:ascii="Arial" w:hAnsi="Arial" w:cs="Arial"/>
        </w:rPr>
      </w:pPr>
      <w:r w:rsidRPr="004469F0">
        <w:rPr>
          <w:rFonts w:ascii="Arial" w:hAnsi="Arial" w:cs="Arial"/>
        </w:rPr>
        <w:t>Provide access to Defence-literate, security-cleared resource to/undertake:</w:t>
      </w:r>
    </w:p>
    <w:p w14:paraId="38816D17" w14:textId="77777777" w:rsidR="00214E69" w:rsidRPr="00214E69" w:rsidRDefault="00214E69" w:rsidP="00214E69">
      <w:pPr>
        <w:spacing w:after="0"/>
        <w:jc w:val="both"/>
        <w:rPr>
          <w:rFonts w:ascii="Arial" w:hAnsi="Arial" w:cs="Arial"/>
        </w:rPr>
      </w:pPr>
    </w:p>
    <w:p w14:paraId="7AE162E6" w14:textId="77777777" w:rsidR="00D5293B" w:rsidRDefault="00D5293B" w:rsidP="00214E69">
      <w:pPr>
        <w:spacing w:after="0"/>
        <w:ind w:left="720"/>
        <w:jc w:val="both"/>
        <w:rPr>
          <w:rFonts w:ascii="Arial" w:hAnsi="Arial" w:cs="Arial"/>
        </w:rPr>
      </w:pPr>
      <w:r>
        <w:rPr>
          <w:rFonts w:ascii="Arial" w:hAnsi="Arial" w:cs="Arial"/>
        </w:rPr>
        <w:t>a.</w:t>
      </w:r>
      <w:r>
        <w:rPr>
          <w:rFonts w:ascii="Arial" w:hAnsi="Arial" w:cs="Arial"/>
        </w:rPr>
        <w:tab/>
      </w:r>
      <w:r w:rsidRPr="00ED7522">
        <w:rPr>
          <w:rFonts w:ascii="Arial" w:hAnsi="Arial" w:cs="Arial"/>
        </w:rPr>
        <w:t>Architecture support to capability management, capability design, capability improvement and technical design authorities.</w:t>
      </w:r>
    </w:p>
    <w:p w14:paraId="339BFCEE" w14:textId="77777777" w:rsidR="00D5293B" w:rsidRDefault="00D5293B" w:rsidP="00214E69">
      <w:pPr>
        <w:spacing w:after="0"/>
        <w:ind w:left="720"/>
        <w:jc w:val="both"/>
        <w:rPr>
          <w:rFonts w:ascii="Arial" w:hAnsi="Arial" w:cs="Arial"/>
        </w:rPr>
      </w:pPr>
      <w:r>
        <w:rPr>
          <w:rFonts w:ascii="Arial" w:hAnsi="Arial" w:cs="Arial"/>
        </w:rPr>
        <w:t>b.</w:t>
      </w:r>
      <w:r>
        <w:rPr>
          <w:rFonts w:ascii="Arial" w:hAnsi="Arial" w:cs="Arial"/>
        </w:rPr>
        <w:tab/>
      </w:r>
      <w:r w:rsidRPr="00ED7522">
        <w:rPr>
          <w:rFonts w:ascii="Arial" w:hAnsi="Arial" w:cs="Arial"/>
        </w:rPr>
        <w:t>Architecture support to functional areas and strategic Army initiatives such as digitisation.</w:t>
      </w:r>
    </w:p>
    <w:p w14:paraId="0242F52E" w14:textId="052581E8" w:rsidR="00D5293B" w:rsidRDefault="00D5293B" w:rsidP="00214E69">
      <w:pPr>
        <w:spacing w:after="0"/>
        <w:ind w:left="720"/>
        <w:jc w:val="both"/>
        <w:rPr>
          <w:rFonts w:ascii="Arial" w:eastAsia="Times New Roman" w:hAnsi="Arial" w:cs="Arial"/>
        </w:rPr>
      </w:pPr>
      <w:r>
        <w:rPr>
          <w:rFonts w:ascii="Arial" w:hAnsi="Arial" w:cs="Arial"/>
        </w:rPr>
        <w:t>c.</w:t>
      </w:r>
      <w:r>
        <w:rPr>
          <w:rFonts w:ascii="Arial" w:hAnsi="Arial" w:cs="Arial"/>
        </w:rPr>
        <w:tab/>
      </w:r>
      <w:r w:rsidRPr="00ED7522">
        <w:rPr>
          <w:rFonts w:ascii="Arial" w:eastAsia="Times New Roman" w:hAnsi="Arial" w:cs="Arial"/>
        </w:rPr>
        <w:t>Support integration of enterprise architecture with other business functions.</w:t>
      </w:r>
    </w:p>
    <w:p w14:paraId="0AF55656" w14:textId="77777777" w:rsidR="00214E69" w:rsidRPr="00ED7522" w:rsidRDefault="00214E69" w:rsidP="00214E69">
      <w:pPr>
        <w:spacing w:after="0"/>
        <w:ind w:left="720"/>
        <w:jc w:val="both"/>
        <w:rPr>
          <w:rFonts w:ascii="Arial" w:hAnsi="Arial" w:cs="Arial"/>
        </w:rPr>
      </w:pPr>
    </w:p>
    <w:p w14:paraId="5DC49A75" w14:textId="77777777" w:rsidR="00D5293B" w:rsidRDefault="00D5293B" w:rsidP="00214E69">
      <w:pPr>
        <w:pStyle w:val="ListParagraph"/>
        <w:numPr>
          <w:ilvl w:val="0"/>
          <w:numId w:val="8"/>
        </w:numPr>
        <w:tabs>
          <w:tab w:val="clear" w:pos="720"/>
        </w:tabs>
        <w:spacing w:after="0"/>
        <w:ind w:left="0" w:firstLine="0"/>
        <w:jc w:val="both"/>
        <w:rPr>
          <w:rFonts w:ascii="Arial" w:hAnsi="Arial" w:cs="Arial"/>
        </w:rPr>
      </w:pPr>
      <w:r w:rsidRPr="007610F0">
        <w:rPr>
          <w:rFonts w:ascii="Arial" w:hAnsi="Arial" w:cs="Arial"/>
        </w:rPr>
        <w:t>Work with wider Defence to promote Army’s EA capability for the benefit of wider Defence.</w:t>
      </w:r>
    </w:p>
    <w:p w14:paraId="5A6675E9" w14:textId="77777777" w:rsidR="00D5293B" w:rsidRPr="007610F0" w:rsidRDefault="00D5293B" w:rsidP="00214E69">
      <w:pPr>
        <w:spacing w:after="0"/>
        <w:jc w:val="both"/>
        <w:rPr>
          <w:rFonts w:ascii="Arial" w:hAnsi="Arial" w:cs="Arial"/>
        </w:rPr>
      </w:pPr>
    </w:p>
    <w:p w14:paraId="27C662B5" w14:textId="77777777" w:rsidR="00D5293B" w:rsidRDefault="00D5293B" w:rsidP="00214E69">
      <w:pPr>
        <w:pStyle w:val="ListParagraph"/>
        <w:numPr>
          <w:ilvl w:val="0"/>
          <w:numId w:val="8"/>
        </w:numPr>
        <w:tabs>
          <w:tab w:val="clear" w:pos="720"/>
        </w:tabs>
        <w:spacing w:after="0"/>
        <w:ind w:left="0" w:firstLine="0"/>
        <w:jc w:val="both"/>
        <w:rPr>
          <w:rFonts w:ascii="Arial" w:hAnsi="Arial" w:cs="Arial"/>
        </w:rPr>
      </w:pPr>
      <w:r w:rsidRPr="007610F0">
        <w:rPr>
          <w:rFonts w:ascii="Arial" w:hAnsi="Arial" w:cs="Arial"/>
        </w:rPr>
        <w:t>Develop integration architectures that span programme boundaries.</w:t>
      </w:r>
    </w:p>
    <w:p w14:paraId="00C58549" w14:textId="77777777" w:rsidR="00D5293B" w:rsidRPr="007610F0" w:rsidRDefault="00D5293B" w:rsidP="00214E69">
      <w:pPr>
        <w:spacing w:after="0"/>
        <w:jc w:val="both"/>
        <w:rPr>
          <w:rFonts w:ascii="Arial" w:hAnsi="Arial" w:cs="Arial"/>
        </w:rPr>
      </w:pPr>
    </w:p>
    <w:p w14:paraId="3496F898" w14:textId="00FDC570" w:rsidR="00D5293B" w:rsidRPr="007610F0" w:rsidRDefault="00D5293B" w:rsidP="00214E69">
      <w:pPr>
        <w:spacing w:after="0"/>
        <w:ind w:left="720"/>
        <w:jc w:val="both"/>
        <w:rPr>
          <w:rFonts w:ascii="Arial" w:hAnsi="Arial" w:cs="Arial"/>
        </w:rPr>
      </w:pPr>
      <w:r>
        <w:rPr>
          <w:rFonts w:ascii="Arial" w:eastAsia="Times New Roman" w:hAnsi="Arial" w:cs="Arial"/>
        </w:rPr>
        <w:t>a.</w:t>
      </w:r>
      <w:r>
        <w:rPr>
          <w:rFonts w:ascii="Arial" w:eastAsia="Times New Roman" w:hAnsi="Arial" w:cs="Arial"/>
        </w:rPr>
        <w:tab/>
      </w:r>
      <w:r w:rsidRPr="007610F0">
        <w:rPr>
          <w:rFonts w:ascii="Arial" w:eastAsia="Times New Roman" w:hAnsi="Arial" w:cs="Arial"/>
        </w:rPr>
        <w:t>Provide cross domain security expertise (and appropriately cleared staff) to develop architecture material across security classification levels.</w:t>
      </w:r>
    </w:p>
    <w:p w14:paraId="1ECBA61B" w14:textId="228C02E6" w:rsidR="00D5293B" w:rsidRPr="007610F0" w:rsidRDefault="00D5293B" w:rsidP="00214E69">
      <w:pPr>
        <w:spacing w:after="0"/>
        <w:ind w:left="720"/>
        <w:jc w:val="both"/>
        <w:rPr>
          <w:rFonts w:ascii="Arial" w:hAnsi="Arial" w:cs="Arial"/>
        </w:rPr>
      </w:pPr>
      <w:r>
        <w:rPr>
          <w:rFonts w:ascii="Arial" w:eastAsia="Times New Roman" w:hAnsi="Arial" w:cs="Arial"/>
        </w:rPr>
        <w:t>b.</w:t>
      </w:r>
      <w:r>
        <w:rPr>
          <w:rFonts w:ascii="Arial" w:eastAsia="Times New Roman" w:hAnsi="Arial" w:cs="Arial"/>
        </w:rPr>
        <w:tab/>
      </w:r>
      <w:r w:rsidRPr="007610F0">
        <w:rPr>
          <w:rFonts w:ascii="Arial" w:eastAsia="Times New Roman" w:hAnsi="Arial" w:cs="Arial"/>
        </w:rPr>
        <w:t>Provide expertise on high classification cloud deployments.</w:t>
      </w:r>
    </w:p>
    <w:p w14:paraId="05B01259" w14:textId="705807A5" w:rsidR="00D5293B" w:rsidRPr="007610F0" w:rsidRDefault="00D5293B" w:rsidP="00214E69">
      <w:pPr>
        <w:spacing w:after="0"/>
        <w:ind w:left="720"/>
        <w:jc w:val="both"/>
        <w:rPr>
          <w:rFonts w:ascii="Arial" w:hAnsi="Arial" w:cs="Arial"/>
        </w:rPr>
      </w:pPr>
      <w:r>
        <w:rPr>
          <w:rFonts w:ascii="Arial" w:eastAsia="Times New Roman" w:hAnsi="Arial" w:cs="Arial"/>
        </w:rPr>
        <w:t>c.</w:t>
      </w:r>
      <w:r>
        <w:rPr>
          <w:rFonts w:ascii="Arial" w:eastAsia="Times New Roman" w:hAnsi="Arial" w:cs="Arial"/>
        </w:rPr>
        <w:tab/>
      </w:r>
      <w:r w:rsidRPr="007610F0">
        <w:rPr>
          <w:rFonts w:ascii="Arial" w:eastAsia="Times New Roman" w:hAnsi="Arial" w:cs="Arial"/>
        </w:rPr>
        <w:t>Use model-led approach to develop Army concepts</w:t>
      </w:r>
    </w:p>
    <w:p w14:paraId="4EBC8276" w14:textId="7C2A4554" w:rsidR="00D5293B" w:rsidRPr="007610F0" w:rsidRDefault="00D5293B" w:rsidP="00214E69">
      <w:pPr>
        <w:spacing w:after="0"/>
        <w:ind w:left="720"/>
        <w:jc w:val="both"/>
        <w:rPr>
          <w:rFonts w:ascii="Arial" w:hAnsi="Arial" w:cs="Arial"/>
        </w:rPr>
      </w:pPr>
      <w:r>
        <w:rPr>
          <w:rFonts w:ascii="Arial" w:eastAsia="Times New Roman" w:hAnsi="Arial" w:cs="Arial"/>
        </w:rPr>
        <w:t>d.</w:t>
      </w:r>
      <w:r>
        <w:rPr>
          <w:rFonts w:ascii="Arial" w:eastAsia="Times New Roman" w:hAnsi="Arial" w:cs="Arial"/>
        </w:rPr>
        <w:tab/>
      </w:r>
      <w:r w:rsidRPr="007610F0">
        <w:rPr>
          <w:rFonts w:ascii="Arial" w:eastAsia="Times New Roman" w:hAnsi="Arial" w:cs="Arial"/>
        </w:rPr>
        <w:t>Provide architecture domain specialist support in areas such as data, integration, application and business architecture</w:t>
      </w:r>
    </w:p>
    <w:p w14:paraId="30E5CBD0" w14:textId="7CB29DD3" w:rsidR="00D5293B" w:rsidRPr="007610F0" w:rsidRDefault="00D5293B" w:rsidP="00214E69">
      <w:pPr>
        <w:spacing w:after="0"/>
        <w:ind w:left="720"/>
        <w:jc w:val="both"/>
        <w:rPr>
          <w:rFonts w:ascii="Arial" w:hAnsi="Arial" w:cs="Arial"/>
        </w:rPr>
      </w:pPr>
      <w:r>
        <w:rPr>
          <w:rFonts w:ascii="Arial" w:eastAsia="Times New Roman" w:hAnsi="Arial" w:cs="Arial"/>
        </w:rPr>
        <w:t>e.</w:t>
      </w:r>
      <w:r>
        <w:rPr>
          <w:rFonts w:ascii="Arial" w:eastAsia="Times New Roman" w:hAnsi="Arial" w:cs="Arial"/>
        </w:rPr>
        <w:tab/>
      </w:r>
      <w:r w:rsidRPr="007610F0">
        <w:rPr>
          <w:rFonts w:ascii="Arial" w:eastAsia="Times New Roman" w:hAnsi="Arial" w:cs="Arial"/>
        </w:rPr>
        <w:t>Provide Subject matter Expertise (SME) on key land domain activities including Info Man, Mission Systems Integration and Land Open Systems Architecture.</w:t>
      </w:r>
    </w:p>
    <w:p w14:paraId="7AC8ABBF" w14:textId="6B5DA0A9" w:rsidR="00D5293B" w:rsidRPr="007610F0" w:rsidRDefault="00D5293B" w:rsidP="00214E69">
      <w:pPr>
        <w:spacing w:after="0"/>
        <w:ind w:left="720"/>
        <w:jc w:val="both"/>
        <w:rPr>
          <w:rFonts w:ascii="Arial" w:hAnsi="Arial" w:cs="Arial"/>
        </w:rPr>
      </w:pPr>
      <w:r>
        <w:rPr>
          <w:rFonts w:ascii="Arial" w:hAnsi="Arial" w:cs="Arial"/>
        </w:rPr>
        <w:t>f.</w:t>
      </w:r>
      <w:r>
        <w:rPr>
          <w:rFonts w:ascii="Arial" w:hAnsi="Arial" w:cs="Arial"/>
        </w:rPr>
        <w:tab/>
      </w:r>
      <w:r w:rsidRPr="007610F0">
        <w:rPr>
          <w:rFonts w:ascii="Arial" w:hAnsi="Arial" w:cs="Arial"/>
        </w:rPr>
        <w:t>Provide SME on land domain support and logistics activities.</w:t>
      </w:r>
    </w:p>
    <w:p w14:paraId="7F71BFA2" w14:textId="01E95ABA" w:rsidR="00D5293B" w:rsidRPr="007610F0" w:rsidRDefault="00D5293B" w:rsidP="00214E69">
      <w:pPr>
        <w:spacing w:after="0"/>
        <w:ind w:left="720"/>
        <w:jc w:val="both"/>
        <w:rPr>
          <w:rFonts w:ascii="Arial" w:hAnsi="Arial" w:cs="Arial"/>
        </w:rPr>
      </w:pPr>
      <w:r>
        <w:rPr>
          <w:rFonts w:ascii="Arial" w:hAnsi="Arial" w:cs="Arial"/>
        </w:rPr>
        <w:t>g.</w:t>
      </w:r>
      <w:r>
        <w:rPr>
          <w:rFonts w:ascii="Arial" w:hAnsi="Arial" w:cs="Arial"/>
        </w:rPr>
        <w:tab/>
      </w:r>
      <w:r w:rsidRPr="007610F0">
        <w:rPr>
          <w:rFonts w:ascii="Arial" w:hAnsi="Arial" w:cs="Arial"/>
        </w:rPr>
        <w:t>Provide SME on talent and skill development.</w:t>
      </w:r>
    </w:p>
    <w:p w14:paraId="49D1B6CB" w14:textId="77777777" w:rsidR="007D162D" w:rsidRDefault="007D162D" w:rsidP="00214E69">
      <w:pPr>
        <w:spacing w:after="0"/>
        <w:jc w:val="both"/>
      </w:pPr>
    </w:p>
    <w:sectPr w:rsidR="007D162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55C84" w14:textId="77777777" w:rsidR="00DE3A36" w:rsidRDefault="00DE3A36" w:rsidP="00D5293B">
      <w:pPr>
        <w:spacing w:after="0" w:line="240" w:lineRule="auto"/>
      </w:pPr>
      <w:r>
        <w:separator/>
      </w:r>
    </w:p>
  </w:endnote>
  <w:endnote w:type="continuationSeparator" w:id="0">
    <w:p w14:paraId="3F469931" w14:textId="77777777" w:rsidR="00DE3A36" w:rsidRDefault="00DE3A36" w:rsidP="00D5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267922"/>
      <w:docPartObj>
        <w:docPartGallery w:val="Page Numbers (Bottom of Page)"/>
        <w:docPartUnique/>
      </w:docPartObj>
    </w:sdtPr>
    <w:sdtEndPr>
      <w:rPr>
        <w:noProof/>
      </w:rPr>
    </w:sdtEndPr>
    <w:sdtContent>
      <w:p w14:paraId="3BE52A1F" w14:textId="77777777" w:rsidR="00437DA0" w:rsidRDefault="00A40704" w:rsidP="00402546">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618DBE67" w14:textId="77777777" w:rsidR="00437DA0" w:rsidRDefault="00A40704" w:rsidP="00437DA0">
        <w:pPr>
          <w:pStyle w:val="Header"/>
          <w:jc w:val="center"/>
        </w:pPr>
        <w:r>
          <w:t>OFFICIAL</w:t>
        </w:r>
      </w:p>
    </w:sdtContent>
  </w:sdt>
  <w:p w14:paraId="15CE58C7" w14:textId="77777777" w:rsidR="00437DA0" w:rsidRDefault="00DE3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5EFAD" w14:textId="77777777" w:rsidR="00DE3A36" w:rsidRDefault="00DE3A36" w:rsidP="00D5293B">
      <w:pPr>
        <w:spacing w:after="0" w:line="240" w:lineRule="auto"/>
      </w:pPr>
      <w:r>
        <w:separator/>
      </w:r>
    </w:p>
  </w:footnote>
  <w:footnote w:type="continuationSeparator" w:id="0">
    <w:p w14:paraId="21FEDD7C" w14:textId="77777777" w:rsidR="00DE3A36" w:rsidRDefault="00DE3A36" w:rsidP="00D52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8EE9C" w14:textId="7C859B06" w:rsidR="00437DA0" w:rsidRPr="00214E69" w:rsidRDefault="00D5293B" w:rsidP="00D5293B">
    <w:pPr>
      <w:pStyle w:val="Header"/>
      <w:tabs>
        <w:tab w:val="clear" w:pos="4513"/>
        <w:tab w:val="clear" w:pos="9026"/>
      </w:tabs>
      <w:jc w:val="right"/>
      <w:rPr>
        <w:rFonts w:ascii="Arial" w:hAnsi="Arial" w:cs="Arial"/>
      </w:rPr>
    </w:pPr>
    <w:r w:rsidRPr="00214E69">
      <w:rPr>
        <w:rFonts w:ascii="Arial" w:hAnsi="Arial" w:cs="Arial"/>
      </w:rPr>
      <w:t xml:space="preserve">Annex </w:t>
    </w:r>
    <w:r w:rsidR="00744884">
      <w:rPr>
        <w:rFonts w:ascii="Arial" w:hAnsi="Arial" w:cs="Arial"/>
      </w:rPr>
      <w:t>A</w:t>
    </w:r>
    <w:r w:rsidRPr="00214E69">
      <w:rPr>
        <w:rFonts w:ascii="Arial" w:hAnsi="Arial" w:cs="Arial"/>
      </w:rPr>
      <w:t xml:space="preserve"> to</w:t>
    </w:r>
  </w:p>
  <w:p w14:paraId="0A18685A" w14:textId="0D6C8495" w:rsidR="004404CD" w:rsidRPr="00214E69" w:rsidRDefault="004404CD" w:rsidP="00D5293B">
    <w:pPr>
      <w:pStyle w:val="Header"/>
      <w:tabs>
        <w:tab w:val="clear" w:pos="4513"/>
        <w:tab w:val="clear" w:pos="9026"/>
      </w:tabs>
      <w:jc w:val="right"/>
      <w:rPr>
        <w:rFonts w:ascii="Arial" w:hAnsi="Arial" w:cs="Arial"/>
      </w:rPr>
    </w:pPr>
    <w:r w:rsidRPr="00214E69">
      <w:rPr>
        <w:rFonts w:ascii="Arial" w:hAnsi="Arial" w:cs="Arial"/>
      </w:rPr>
      <w:t>701203378</w:t>
    </w:r>
  </w:p>
  <w:p w14:paraId="4136A2CD" w14:textId="77777777" w:rsidR="00D5293B" w:rsidRDefault="00D5293B" w:rsidP="00D5293B">
    <w:pPr>
      <w:pStyle w:val="Header"/>
      <w:tabs>
        <w:tab w:val="clear" w:pos="4513"/>
        <w:tab w:val="clear" w:pos="902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E49ED"/>
    <w:multiLevelType w:val="multilevel"/>
    <w:tmpl w:val="124E7A1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0FA7216B"/>
    <w:multiLevelType w:val="hybridMultilevel"/>
    <w:tmpl w:val="BF6410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597172"/>
    <w:multiLevelType w:val="multilevel"/>
    <w:tmpl w:val="DB9EDA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7C666C8"/>
    <w:multiLevelType w:val="multilevel"/>
    <w:tmpl w:val="631C8C74"/>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3B0277C2"/>
    <w:multiLevelType w:val="multilevel"/>
    <w:tmpl w:val="452063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8E94FDE"/>
    <w:multiLevelType w:val="multilevel"/>
    <w:tmpl w:val="6D4445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5C5F6139"/>
    <w:multiLevelType w:val="multilevel"/>
    <w:tmpl w:val="23EC98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3F620F4"/>
    <w:multiLevelType w:val="multilevel"/>
    <w:tmpl w:val="6C10FF04"/>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1"/>
  </w:num>
  <w:num w:numId="2">
    <w:abstractNumId w:val="5"/>
  </w:num>
  <w:num w:numId="3">
    <w:abstractNumId w:val="6"/>
  </w:num>
  <w:num w:numId="4">
    <w:abstractNumId w:val="4"/>
  </w:num>
  <w:num w:numId="5">
    <w:abstractNumId w:val="2"/>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3B"/>
    <w:rsid w:val="00172555"/>
    <w:rsid w:val="001F67F8"/>
    <w:rsid w:val="00214E69"/>
    <w:rsid w:val="004404CD"/>
    <w:rsid w:val="00453CE6"/>
    <w:rsid w:val="00744884"/>
    <w:rsid w:val="007D162D"/>
    <w:rsid w:val="00A40704"/>
    <w:rsid w:val="00D5293B"/>
    <w:rsid w:val="00DE3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578D"/>
  <w15:chartTrackingRefBased/>
  <w15:docId w15:val="{5274F714-600D-4135-B7F6-0C725508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52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93B"/>
    <w:pPr>
      <w:ind w:left="720"/>
      <w:contextualSpacing/>
    </w:pPr>
  </w:style>
  <w:style w:type="paragraph" w:styleId="Header">
    <w:name w:val="header"/>
    <w:basedOn w:val="Normal"/>
    <w:link w:val="HeaderChar"/>
    <w:uiPriority w:val="99"/>
    <w:unhideWhenUsed/>
    <w:rsid w:val="00D529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93B"/>
  </w:style>
  <w:style w:type="paragraph" w:styleId="Footer">
    <w:name w:val="footer"/>
    <w:basedOn w:val="Normal"/>
    <w:link w:val="FooterChar"/>
    <w:uiPriority w:val="99"/>
    <w:unhideWhenUsed/>
    <w:rsid w:val="00D529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93B"/>
  </w:style>
  <w:style w:type="paragraph" w:customStyle="1" w:styleId="paragraph">
    <w:name w:val="paragraph"/>
    <w:basedOn w:val="Normal"/>
    <w:rsid w:val="00214E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14E69"/>
  </w:style>
  <w:style w:type="character" w:customStyle="1" w:styleId="eop">
    <w:name w:val="eop"/>
    <w:basedOn w:val="DefaultParagraphFont"/>
    <w:rsid w:val="00214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195642">
      <w:bodyDiv w:val="1"/>
      <w:marLeft w:val="0"/>
      <w:marRight w:val="0"/>
      <w:marTop w:val="0"/>
      <w:marBottom w:val="0"/>
      <w:divBdr>
        <w:top w:val="none" w:sz="0" w:space="0" w:color="auto"/>
        <w:left w:val="none" w:sz="0" w:space="0" w:color="auto"/>
        <w:bottom w:val="none" w:sz="0" w:space="0" w:color="auto"/>
        <w:right w:val="none" w:sz="0" w:space="0" w:color="auto"/>
      </w:divBdr>
      <w:divsChild>
        <w:div w:id="406536429">
          <w:marLeft w:val="0"/>
          <w:marRight w:val="0"/>
          <w:marTop w:val="0"/>
          <w:marBottom w:val="0"/>
          <w:divBdr>
            <w:top w:val="none" w:sz="0" w:space="0" w:color="auto"/>
            <w:left w:val="none" w:sz="0" w:space="0" w:color="auto"/>
            <w:bottom w:val="none" w:sz="0" w:space="0" w:color="auto"/>
            <w:right w:val="none" w:sz="0" w:space="0" w:color="auto"/>
          </w:divBdr>
        </w:div>
        <w:div w:id="1451129463">
          <w:marLeft w:val="0"/>
          <w:marRight w:val="0"/>
          <w:marTop w:val="0"/>
          <w:marBottom w:val="0"/>
          <w:divBdr>
            <w:top w:val="none" w:sz="0" w:space="0" w:color="auto"/>
            <w:left w:val="none" w:sz="0" w:space="0" w:color="auto"/>
            <w:bottom w:val="none" w:sz="0" w:space="0" w:color="auto"/>
            <w:right w:val="none" w:sz="0" w:space="0" w:color="auto"/>
          </w:divBdr>
        </w:div>
        <w:div w:id="2146467458">
          <w:marLeft w:val="0"/>
          <w:marRight w:val="0"/>
          <w:marTop w:val="0"/>
          <w:marBottom w:val="0"/>
          <w:divBdr>
            <w:top w:val="none" w:sz="0" w:space="0" w:color="auto"/>
            <w:left w:val="none" w:sz="0" w:space="0" w:color="auto"/>
            <w:bottom w:val="none" w:sz="0" w:space="0" w:color="auto"/>
            <w:right w:val="none" w:sz="0" w:space="0" w:color="auto"/>
          </w:divBdr>
        </w:div>
        <w:div w:id="1879975543">
          <w:marLeft w:val="0"/>
          <w:marRight w:val="0"/>
          <w:marTop w:val="0"/>
          <w:marBottom w:val="0"/>
          <w:divBdr>
            <w:top w:val="none" w:sz="0" w:space="0" w:color="auto"/>
            <w:left w:val="none" w:sz="0" w:space="0" w:color="auto"/>
            <w:bottom w:val="none" w:sz="0" w:space="0" w:color="auto"/>
            <w:right w:val="none" w:sz="0" w:space="0" w:color="auto"/>
          </w:divBdr>
        </w:div>
        <w:div w:id="6566508">
          <w:marLeft w:val="0"/>
          <w:marRight w:val="0"/>
          <w:marTop w:val="0"/>
          <w:marBottom w:val="0"/>
          <w:divBdr>
            <w:top w:val="none" w:sz="0" w:space="0" w:color="auto"/>
            <w:left w:val="none" w:sz="0" w:space="0" w:color="auto"/>
            <w:bottom w:val="none" w:sz="0" w:space="0" w:color="auto"/>
            <w:right w:val="none" w:sz="0" w:space="0" w:color="auto"/>
          </w:divBdr>
        </w:div>
        <w:div w:id="32199487">
          <w:marLeft w:val="0"/>
          <w:marRight w:val="0"/>
          <w:marTop w:val="0"/>
          <w:marBottom w:val="0"/>
          <w:divBdr>
            <w:top w:val="none" w:sz="0" w:space="0" w:color="auto"/>
            <w:left w:val="none" w:sz="0" w:space="0" w:color="auto"/>
            <w:bottom w:val="none" w:sz="0" w:space="0" w:color="auto"/>
            <w:right w:val="none" w:sz="0" w:space="0" w:color="auto"/>
          </w:divBdr>
        </w:div>
        <w:div w:id="2108764277">
          <w:marLeft w:val="0"/>
          <w:marRight w:val="0"/>
          <w:marTop w:val="0"/>
          <w:marBottom w:val="0"/>
          <w:divBdr>
            <w:top w:val="none" w:sz="0" w:space="0" w:color="auto"/>
            <w:left w:val="none" w:sz="0" w:space="0" w:color="auto"/>
            <w:bottom w:val="none" w:sz="0" w:space="0" w:color="auto"/>
            <w:right w:val="none" w:sz="0" w:space="0" w:color="auto"/>
          </w:divBdr>
        </w:div>
        <w:div w:id="565455380">
          <w:marLeft w:val="0"/>
          <w:marRight w:val="0"/>
          <w:marTop w:val="0"/>
          <w:marBottom w:val="0"/>
          <w:divBdr>
            <w:top w:val="none" w:sz="0" w:space="0" w:color="auto"/>
            <w:left w:val="none" w:sz="0" w:space="0" w:color="auto"/>
            <w:bottom w:val="none" w:sz="0" w:space="0" w:color="auto"/>
            <w:right w:val="none" w:sz="0" w:space="0" w:color="auto"/>
          </w:divBdr>
        </w:div>
        <w:div w:id="1584952994">
          <w:marLeft w:val="0"/>
          <w:marRight w:val="0"/>
          <w:marTop w:val="0"/>
          <w:marBottom w:val="0"/>
          <w:divBdr>
            <w:top w:val="none" w:sz="0" w:space="0" w:color="auto"/>
            <w:left w:val="none" w:sz="0" w:space="0" w:color="auto"/>
            <w:bottom w:val="none" w:sz="0" w:space="0" w:color="auto"/>
            <w:right w:val="none" w:sz="0" w:space="0" w:color="auto"/>
          </w:divBdr>
        </w:div>
        <w:div w:id="1525942443">
          <w:marLeft w:val="0"/>
          <w:marRight w:val="0"/>
          <w:marTop w:val="0"/>
          <w:marBottom w:val="0"/>
          <w:divBdr>
            <w:top w:val="none" w:sz="0" w:space="0" w:color="auto"/>
            <w:left w:val="none" w:sz="0" w:space="0" w:color="auto"/>
            <w:bottom w:val="none" w:sz="0" w:space="0" w:color="auto"/>
            <w:right w:val="none" w:sz="0" w:space="0" w:color="auto"/>
          </w:divBdr>
        </w:div>
        <w:div w:id="1395591411">
          <w:marLeft w:val="0"/>
          <w:marRight w:val="0"/>
          <w:marTop w:val="0"/>
          <w:marBottom w:val="0"/>
          <w:divBdr>
            <w:top w:val="none" w:sz="0" w:space="0" w:color="auto"/>
            <w:left w:val="none" w:sz="0" w:space="0" w:color="auto"/>
            <w:bottom w:val="none" w:sz="0" w:space="0" w:color="auto"/>
            <w:right w:val="none" w:sz="0" w:space="0" w:color="auto"/>
          </w:divBdr>
        </w:div>
        <w:div w:id="1255482305">
          <w:marLeft w:val="0"/>
          <w:marRight w:val="0"/>
          <w:marTop w:val="0"/>
          <w:marBottom w:val="0"/>
          <w:divBdr>
            <w:top w:val="none" w:sz="0" w:space="0" w:color="auto"/>
            <w:left w:val="none" w:sz="0" w:space="0" w:color="auto"/>
            <w:bottom w:val="none" w:sz="0" w:space="0" w:color="auto"/>
            <w:right w:val="none" w:sz="0" w:space="0" w:color="auto"/>
          </w:divBdr>
        </w:div>
        <w:div w:id="743064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Contract Award</Document_x0020_S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215D70B127594285516E5A7898BAB5" ma:contentTypeVersion="5" ma:contentTypeDescription="Create a new document." ma:contentTypeScope="" ma:versionID="775d035d4d36a94c883ef9ea57ae35ac">
  <xsd:schema xmlns:xsd="http://www.w3.org/2001/XMLSchema" xmlns:xs="http://www.w3.org/2001/XMLSchema" xmlns:p="http://schemas.microsoft.com/office/2006/metadata/properties" xmlns:ns2="c15bfd49-86f1-4992-89cb-79a784bddd46" xmlns:ns3="e1418ac0-5643-4247-91ef-9be1a199d622" targetNamespace="http://schemas.microsoft.com/office/2006/metadata/properties" ma:root="true" ma:fieldsID="c8dfec1aa198f6c4a6d448b60f98361f" ns2:_="" ns3:_="">
    <xsd:import namespace="c15bfd49-86f1-4992-89cb-79a784bddd46"/>
    <xsd:import namespace="e1418ac0-5643-4247-91ef-9be1a199d622"/>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e1418ac0-5643-4247-91ef-9be1a199d62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66149-388E-42F1-8CBA-76A83F3557A8}">
  <ds:schemaRefs>
    <ds:schemaRef ds:uri="http://schemas.microsoft.com/office/2006/metadata/properties"/>
    <ds:schemaRef ds:uri="http://schemas.microsoft.com/office/infopath/2007/PartnerControls"/>
    <ds:schemaRef ds:uri="c15bfd49-86f1-4992-89cb-79a784bddd46"/>
  </ds:schemaRefs>
</ds:datastoreItem>
</file>

<file path=customXml/itemProps2.xml><?xml version="1.0" encoding="utf-8"?>
<ds:datastoreItem xmlns:ds="http://schemas.openxmlformats.org/officeDocument/2006/customXml" ds:itemID="{5A1F7280-17BC-47D9-A377-F5A6D6D9A966}">
  <ds:schemaRefs>
    <ds:schemaRef ds:uri="http://schemas.microsoft.com/sharepoint/v3/contenttype/forms"/>
  </ds:schemaRefs>
</ds:datastoreItem>
</file>

<file path=customXml/itemProps3.xml><?xml version="1.0" encoding="utf-8"?>
<ds:datastoreItem xmlns:ds="http://schemas.openxmlformats.org/officeDocument/2006/customXml" ds:itemID="{7F8D752C-5FD9-468E-A830-C21DC429D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fd49-86f1-4992-89cb-79a784bddd46"/>
    <ds:schemaRef ds:uri="e1418ac0-5643-4247-91ef-9be1a199d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Hewish, Pauline Mrs (Army Info-Strat-Cmrcl-C2)</dc:creator>
  <cp:keywords/>
  <dc:description/>
  <cp:lastModifiedBy>Hewish, Pauline Mrs (Army Info-Strat-Cmrcl-C2)</cp:lastModifiedBy>
  <cp:revision>4</cp:revision>
  <dcterms:created xsi:type="dcterms:W3CDTF">2020-12-09T10:42:00Z</dcterms:created>
  <dcterms:modified xsi:type="dcterms:W3CDTF">2021-02-03T22:23:00Z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0x01010037215D70B127594285516E5A7898BAB5</vt:lpwstr>
  </property>
</Properties>
</file>