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69D09" w14:textId="66A14FEB" w:rsidR="00A664D2" w:rsidRPr="00AD3D1F" w:rsidRDefault="00A664D2" w:rsidP="00B8425E">
      <w:pPr>
        <w:pStyle w:val="NoSpacing"/>
        <w:rPr>
          <w:rFonts w:asciiTheme="minorHAnsi" w:hAnsiTheme="minorHAnsi"/>
          <w:b/>
          <w:sz w:val="40"/>
          <w:szCs w:val="40"/>
        </w:rPr>
      </w:pPr>
      <w:r w:rsidRPr="00AD3D1F">
        <w:rPr>
          <w:rFonts w:asciiTheme="minorHAnsi" w:hAnsiTheme="minorHAnsi"/>
          <w:b/>
          <w:sz w:val="40"/>
          <w:szCs w:val="40"/>
        </w:rPr>
        <w:t>Appendix G – Specification of requirements</w:t>
      </w:r>
    </w:p>
    <w:p w14:paraId="6B534852" w14:textId="77777777" w:rsidR="00A664D2" w:rsidRPr="00AD3D1F" w:rsidRDefault="00A664D2" w:rsidP="00B8425E">
      <w:pPr>
        <w:pStyle w:val="NoSpacing"/>
        <w:rPr>
          <w:rFonts w:asciiTheme="minorHAnsi" w:hAnsiTheme="minorHAnsi"/>
          <w:b/>
          <w:sz w:val="40"/>
          <w:szCs w:val="40"/>
        </w:rPr>
      </w:pPr>
    </w:p>
    <w:p w14:paraId="750A5AC3" w14:textId="77777777" w:rsidR="00B8425E" w:rsidRPr="00AD3D1F" w:rsidRDefault="00A664D2" w:rsidP="00B8425E">
      <w:pPr>
        <w:pStyle w:val="NoSpacing"/>
        <w:rPr>
          <w:rFonts w:asciiTheme="minorHAnsi" w:hAnsiTheme="minorHAnsi"/>
          <w:b/>
          <w:sz w:val="40"/>
          <w:szCs w:val="40"/>
        </w:rPr>
      </w:pPr>
      <w:r w:rsidRPr="00AD3D1F">
        <w:rPr>
          <w:rFonts w:asciiTheme="minorHAnsi" w:hAnsiTheme="minorHAnsi"/>
          <w:b/>
          <w:sz w:val="40"/>
          <w:szCs w:val="40"/>
        </w:rPr>
        <w:t>RSSB2483 Medical and Dental Insurance and Employee Assistance Programme</w:t>
      </w:r>
    </w:p>
    <w:p w14:paraId="2948D71D" w14:textId="77777777" w:rsidR="004076A5" w:rsidRPr="00AD3D1F" w:rsidRDefault="004076A5" w:rsidP="004076A5">
      <w:pPr>
        <w:pStyle w:val="NoSpacing"/>
        <w:jc w:val="both"/>
        <w:rPr>
          <w:rFonts w:asciiTheme="minorHAnsi" w:hAnsiTheme="minorHAnsi" w:cs="Arial"/>
          <w:lang w:eastAsia="en-GB"/>
        </w:rPr>
      </w:pPr>
    </w:p>
    <w:p w14:paraId="6A713924" w14:textId="77777777" w:rsidR="00B8425E" w:rsidRPr="00AD3D1F" w:rsidRDefault="00B8425E" w:rsidP="00B8425E">
      <w:pPr>
        <w:pStyle w:val="NoSpacing"/>
        <w:rPr>
          <w:rFonts w:asciiTheme="minorHAnsi" w:hAnsiTheme="minorHAnsi"/>
          <w:u w:val="single"/>
        </w:rPr>
      </w:pPr>
      <w:r w:rsidRPr="00AD3D1F">
        <w:rPr>
          <w:rFonts w:asciiTheme="minorHAnsi" w:hAnsiTheme="minorHAnsi"/>
          <w:u w:val="single"/>
        </w:rPr>
        <w:tab/>
      </w:r>
      <w:r w:rsidRPr="00AD3D1F">
        <w:rPr>
          <w:rFonts w:asciiTheme="minorHAnsi" w:hAnsiTheme="minorHAnsi"/>
          <w:u w:val="single"/>
        </w:rPr>
        <w:tab/>
      </w:r>
      <w:r w:rsidRPr="00AD3D1F">
        <w:rPr>
          <w:rFonts w:asciiTheme="minorHAnsi" w:hAnsiTheme="minorHAnsi"/>
          <w:u w:val="single"/>
        </w:rPr>
        <w:tab/>
      </w:r>
      <w:r w:rsidRPr="00AD3D1F">
        <w:rPr>
          <w:rFonts w:asciiTheme="minorHAnsi" w:hAnsiTheme="minorHAnsi"/>
          <w:u w:val="single"/>
        </w:rPr>
        <w:tab/>
      </w:r>
      <w:r w:rsidRPr="00AD3D1F">
        <w:rPr>
          <w:rFonts w:asciiTheme="minorHAnsi" w:hAnsiTheme="minorHAnsi"/>
          <w:u w:val="single"/>
        </w:rPr>
        <w:tab/>
      </w:r>
      <w:r w:rsidRPr="00AD3D1F">
        <w:rPr>
          <w:rFonts w:asciiTheme="minorHAnsi" w:hAnsiTheme="minorHAnsi"/>
          <w:u w:val="single"/>
        </w:rPr>
        <w:tab/>
      </w:r>
      <w:r w:rsidRPr="00AD3D1F">
        <w:rPr>
          <w:rFonts w:asciiTheme="minorHAnsi" w:hAnsiTheme="minorHAnsi"/>
          <w:u w:val="single"/>
        </w:rPr>
        <w:tab/>
      </w:r>
      <w:r w:rsidRPr="00AD3D1F">
        <w:rPr>
          <w:rFonts w:asciiTheme="minorHAnsi" w:hAnsiTheme="minorHAnsi"/>
          <w:u w:val="single"/>
        </w:rPr>
        <w:tab/>
      </w:r>
      <w:r w:rsidRPr="00AD3D1F">
        <w:rPr>
          <w:rFonts w:asciiTheme="minorHAnsi" w:hAnsiTheme="minorHAnsi"/>
          <w:u w:val="single"/>
        </w:rPr>
        <w:tab/>
      </w:r>
      <w:r w:rsidRPr="00AD3D1F">
        <w:rPr>
          <w:rFonts w:asciiTheme="minorHAnsi" w:hAnsiTheme="minorHAnsi"/>
          <w:u w:val="single"/>
        </w:rPr>
        <w:tab/>
      </w:r>
      <w:r w:rsidRPr="00AD3D1F">
        <w:rPr>
          <w:rFonts w:asciiTheme="minorHAnsi" w:hAnsiTheme="minorHAnsi"/>
          <w:u w:val="single"/>
        </w:rPr>
        <w:tab/>
      </w:r>
      <w:r w:rsidRPr="00AD3D1F">
        <w:rPr>
          <w:rFonts w:asciiTheme="minorHAnsi" w:hAnsiTheme="minorHAnsi"/>
          <w:u w:val="single"/>
        </w:rPr>
        <w:tab/>
      </w:r>
    </w:p>
    <w:p w14:paraId="14AA1078" w14:textId="77777777" w:rsidR="00D645A8" w:rsidRPr="00AD3D1F" w:rsidRDefault="00D645A8" w:rsidP="00B8425E">
      <w:pPr>
        <w:pStyle w:val="NoSpacing"/>
        <w:rPr>
          <w:rFonts w:asciiTheme="minorHAnsi" w:hAnsiTheme="minorHAnsi"/>
          <w:u w:val="single"/>
        </w:rPr>
      </w:pPr>
    </w:p>
    <w:p w14:paraId="5B467EC5" w14:textId="77777777" w:rsidR="00D645A8" w:rsidRPr="00AD3D1F" w:rsidRDefault="00D645A8" w:rsidP="00B8425E">
      <w:pPr>
        <w:pStyle w:val="NoSpacing"/>
        <w:rPr>
          <w:rFonts w:asciiTheme="minorHAnsi" w:hAnsiTheme="minorHAnsi"/>
          <w:u w:val="single"/>
        </w:rPr>
      </w:pPr>
    </w:p>
    <w:p w14:paraId="3A7A27BB" w14:textId="77777777" w:rsidR="009964F9" w:rsidRPr="00AD3D1F" w:rsidRDefault="00A664D2" w:rsidP="009964F9">
      <w:pPr>
        <w:pStyle w:val="NoSpacing"/>
        <w:rPr>
          <w:rFonts w:asciiTheme="minorHAnsi" w:hAnsiTheme="minorHAnsi" w:cs="Arial"/>
          <w:b/>
        </w:rPr>
      </w:pPr>
      <w:r w:rsidRPr="00AD3D1F">
        <w:rPr>
          <w:rFonts w:asciiTheme="minorHAnsi" w:hAnsiTheme="minorHAnsi"/>
          <w:b/>
          <w:u w:val="single"/>
        </w:rPr>
        <w:t>I</w:t>
      </w:r>
      <w:r w:rsidR="001348F6" w:rsidRPr="00AD3D1F">
        <w:rPr>
          <w:rFonts w:asciiTheme="minorHAnsi" w:hAnsiTheme="minorHAnsi" w:cs="Arial"/>
          <w:b/>
        </w:rPr>
        <w:t xml:space="preserve">ntroduction to </w:t>
      </w:r>
      <w:r w:rsidR="002D61D3" w:rsidRPr="00AD3D1F">
        <w:rPr>
          <w:rFonts w:asciiTheme="minorHAnsi" w:hAnsiTheme="minorHAnsi" w:cs="Arial"/>
          <w:b/>
        </w:rPr>
        <w:t xml:space="preserve">RSSB </w:t>
      </w:r>
    </w:p>
    <w:p w14:paraId="7B52F471" w14:textId="77777777" w:rsidR="009964F9" w:rsidRPr="00AD3D1F" w:rsidRDefault="009964F9" w:rsidP="009964F9">
      <w:pPr>
        <w:pStyle w:val="NoSpacing"/>
        <w:rPr>
          <w:rFonts w:asciiTheme="minorHAnsi" w:hAnsiTheme="minorHAnsi" w:cs="Arial"/>
          <w:u w:val="single"/>
        </w:rPr>
      </w:pPr>
    </w:p>
    <w:p w14:paraId="38788624" w14:textId="77777777" w:rsidR="009964F9" w:rsidRPr="00AD3D1F" w:rsidRDefault="009964F9" w:rsidP="008C60B9">
      <w:pPr>
        <w:jc w:val="both"/>
        <w:rPr>
          <w:rFonts w:asciiTheme="minorHAnsi" w:hAnsiTheme="minorHAnsi" w:cs="Arial"/>
          <w:u w:val="single"/>
        </w:rPr>
      </w:pPr>
      <w:r w:rsidRPr="00AD3D1F">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p>
    <w:p w14:paraId="02BEECEC" w14:textId="77777777" w:rsidR="009964F9" w:rsidRPr="00AD3D1F" w:rsidRDefault="009964F9" w:rsidP="008C60B9">
      <w:pPr>
        <w:spacing w:before="100" w:beforeAutospacing="1" w:after="100" w:afterAutospacing="1" w:line="240" w:lineRule="auto"/>
        <w:jc w:val="both"/>
        <w:textAlignment w:val="top"/>
        <w:rPr>
          <w:rFonts w:asciiTheme="minorHAnsi" w:eastAsia="Times New Roman" w:hAnsiTheme="minorHAnsi" w:cs="Arial"/>
          <w:lang w:eastAsia="en-GB"/>
        </w:rPr>
      </w:pPr>
      <w:r w:rsidRPr="00AD3D1F">
        <w:rPr>
          <w:rFonts w:asciiTheme="minorHAnsi" w:eastAsia="Times New Roman" w:hAnsiTheme="minorHAnsi" w:cs="Arial"/>
          <w:b/>
          <w:bCs/>
          <w:lang w:eastAsia="en-GB"/>
        </w:rPr>
        <w:t>Key elements of the company’s remit are to:</w:t>
      </w:r>
    </w:p>
    <w:p w14:paraId="7193C50A" w14:textId="77777777" w:rsidR="009964F9" w:rsidRPr="00AD3D1F" w:rsidRDefault="009964F9" w:rsidP="008C60B9">
      <w:pPr>
        <w:numPr>
          <w:ilvl w:val="0"/>
          <w:numId w:val="1"/>
        </w:numPr>
        <w:spacing w:before="100" w:beforeAutospacing="1" w:after="100" w:afterAutospacing="1" w:line="240" w:lineRule="auto"/>
        <w:jc w:val="both"/>
        <w:rPr>
          <w:rFonts w:asciiTheme="minorHAnsi" w:eastAsia="Times New Roman" w:hAnsiTheme="minorHAnsi" w:cs="Arial"/>
          <w:lang w:eastAsia="en-GB"/>
        </w:rPr>
      </w:pPr>
      <w:r w:rsidRPr="00AD3D1F">
        <w:rPr>
          <w:rFonts w:asciiTheme="minorHAnsi" w:eastAsia="Times New Roman" w:hAnsiTheme="minorHAnsi" w:cs="Arial"/>
          <w:lang w:eastAsia="en-GB"/>
        </w:rPr>
        <w:t xml:space="preserve">Manage Railway Group Standards on behalf of the industry </w:t>
      </w:r>
    </w:p>
    <w:p w14:paraId="4CFB1063" w14:textId="77777777" w:rsidR="009964F9" w:rsidRPr="00AD3D1F" w:rsidRDefault="009964F9" w:rsidP="008C60B9">
      <w:pPr>
        <w:numPr>
          <w:ilvl w:val="0"/>
          <w:numId w:val="1"/>
        </w:numPr>
        <w:spacing w:before="100" w:beforeAutospacing="1" w:after="100" w:afterAutospacing="1" w:line="240" w:lineRule="auto"/>
        <w:jc w:val="both"/>
        <w:rPr>
          <w:rFonts w:asciiTheme="minorHAnsi" w:eastAsia="Times New Roman" w:hAnsiTheme="minorHAnsi" w:cs="Arial"/>
          <w:lang w:eastAsia="en-GB"/>
        </w:rPr>
      </w:pPr>
      <w:r w:rsidRPr="00AD3D1F">
        <w:rPr>
          <w:rFonts w:asciiTheme="minorHAnsi" w:eastAsia="Times New Roman" w:hAnsiTheme="minorHAnsi" w:cs="Arial"/>
          <w:lang w:eastAsia="en-GB"/>
        </w:rPr>
        <w:t xml:space="preserve">Lead the development of long-term safety strategy for the industry, including the publication of annual Railway Strategic Safety Plans </w:t>
      </w:r>
    </w:p>
    <w:p w14:paraId="56B08B31" w14:textId="77777777" w:rsidR="009964F9" w:rsidRPr="00AD3D1F" w:rsidRDefault="009964F9" w:rsidP="008C60B9">
      <w:pPr>
        <w:numPr>
          <w:ilvl w:val="0"/>
          <w:numId w:val="1"/>
        </w:numPr>
        <w:spacing w:before="100" w:beforeAutospacing="1" w:after="100" w:afterAutospacing="1" w:line="240" w:lineRule="auto"/>
        <w:jc w:val="both"/>
        <w:rPr>
          <w:rFonts w:asciiTheme="minorHAnsi" w:eastAsia="Times New Roman" w:hAnsiTheme="minorHAnsi" w:cs="Arial"/>
          <w:lang w:eastAsia="en-GB"/>
        </w:rPr>
      </w:pPr>
      <w:r w:rsidRPr="00AD3D1F">
        <w:rPr>
          <w:rFonts w:asciiTheme="minorHAnsi" w:eastAsia="Times New Roman" w:hAnsiTheme="minorHAnsi" w:cs="Arial"/>
          <w:lang w:eastAsia="en-GB"/>
        </w:rPr>
        <w:t xml:space="preserve">Propose change through facilitation of the research and development programme, education and awareness </w:t>
      </w:r>
    </w:p>
    <w:p w14:paraId="4DD8BFDA" w14:textId="77777777" w:rsidR="009964F9" w:rsidRPr="00AD3D1F" w:rsidRDefault="009964F9" w:rsidP="008C60B9">
      <w:pPr>
        <w:numPr>
          <w:ilvl w:val="0"/>
          <w:numId w:val="1"/>
        </w:numPr>
        <w:spacing w:before="100" w:beforeAutospacing="1" w:after="100" w:afterAutospacing="1" w:line="240" w:lineRule="auto"/>
        <w:jc w:val="both"/>
        <w:rPr>
          <w:rFonts w:asciiTheme="minorHAnsi" w:eastAsia="Times New Roman" w:hAnsiTheme="minorHAnsi" w:cs="Arial"/>
          <w:lang w:eastAsia="en-GB"/>
        </w:rPr>
      </w:pPr>
      <w:r w:rsidRPr="00AD3D1F">
        <w:rPr>
          <w:rFonts w:asciiTheme="minorHAnsi" w:eastAsia="Times New Roman" w:hAnsiTheme="minorHAnsi" w:cs="Arial"/>
          <w:lang w:eastAsia="en-GB"/>
        </w:rPr>
        <w:t xml:space="preserve">Measure, report and inform on health and safety performance, safety intelligence, trends, data and risk </w:t>
      </w:r>
    </w:p>
    <w:p w14:paraId="0F44DB00" w14:textId="77777777" w:rsidR="009964F9" w:rsidRPr="00AD3D1F" w:rsidRDefault="009964F9" w:rsidP="008C60B9">
      <w:pPr>
        <w:numPr>
          <w:ilvl w:val="0"/>
          <w:numId w:val="1"/>
        </w:numPr>
        <w:spacing w:before="100" w:beforeAutospacing="1" w:after="100" w:afterAutospacing="1" w:line="240" w:lineRule="auto"/>
        <w:jc w:val="both"/>
        <w:rPr>
          <w:rFonts w:asciiTheme="minorHAnsi" w:eastAsia="Times New Roman" w:hAnsiTheme="minorHAnsi" w:cs="Arial"/>
          <w:lang w:eastAsia="en-GB"/>
        </w:rPr>
      </w:pPr>
      <w:r w:rsidRPr="00AD3D1F">
        <w:rPr>
          <w:rFonts w:asciiTheme="minorHAnsi" w:eastAsia="Times New Roman" w:hAnsiTheme="minorHAnsi" w:cs="Arial"/>
          <w:lang w:eastAsia="en-GB"/>
        </w:rPr>
        <w:t xml:space="preserve">Support cross-industry groups in national programmes which address major areas of safety concern </w:t>
      </w:r>
    </w:p>
    <w:p w14:paraId="5F924971" w14:textId="77777777" w:rsidR="009964F9" w:rsidRPr="00AD3D1F" w:rsidRDefault="009964F9" w:rsidP="008C60B9">
      <w:pPr>
        <w:numPr>
          <w:ilvl w:val="0"/>
          <w:numId w:val="1"/>
        </w:numPr>
        <w:spacing w:before="100" w:beforeAutospacing="1" w:after="100" w:afterAutospacing="1" w:line="240" w:lineRule="auto"/>
        <w:jc w:val="both"/>
        <w:rPr>
          <w:rFonts w:asciiTheme="minorHAnsi" w:eastAsia="Times New Roman" w:hAnsiTheme="minorHAnsi" w:cs="Arial"/>
          <w:lang w:eastAsia="en-GB"/>
        </w:rPr>
      </w:pPr>
      <w:r w:rsidRPr="00AD3D1F">
        <w:rPr>
          <w:rFonts w:asciiTheme="minorHAnsi" w:eastAsia="Times New Roman" w:hAnsiTheme="minorHAnsi" w:cs="Arial"/>
          <w:lang w:eastAsia="en-GB"/>
        </w:rPr>
        <w:t xml:space="preserve">Facilitate the effective representation of the UK rail industry in the development of European legislation and standards that impact on the rail system </w:t>
      </w:r>
    </w:p>
    <w:p w14:paraId="0A1867F8" w14:textId="77777777" w:rsidR="009964F9" w:rsidRPr="00AD3D1F" w:rsidRDefault="009964F9" w:rsidP="008C60B9">
      <w:pPr>
        <w:spacing w:before="100" w:beforeAutospacing="1" w:after="100" w:afterAutospacing="1" w:line="240" w:lineRule="auto"/>
        <w:jc w:val="both"/>
        <w:textAlignment w:val="top"/>
        <w:rPr>
          <w:rFonts w:asciiTheme="minorHAnsi" w:eastAsia="Times New Roman" w:hAnsiTheme="minorHAnsi" w:cs="Arial"/>
          <w:lang w:eastAsia="en-GB"/>
        </w:rPr>
      </w:pPr>
      <w:r w:rsidRPr="00AD3D1F">
        <w:rPr>
          <w:rFonts w:asciiTheme="minorHAnsi" w:eastAsia="Times New Roman" w:hAnsiTheme="minorHAnsi" w:cs="Arial"/>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6559487E" w14:textId="77777777" w:rsidR="00F2463E" w:rsidRPr="00AD3D1F" w:rsidRDefault="00F2463E" w:rsidP="008C60B9">
      <w:pPr>
        <w:pStyle w:val="NoSpacing"/>
        <w:jc w:val="both"/>
        <w:rPr>
          <w:rFonts w:asciiTheme="minorHAnsi" w:hAnsiTheme="minorHAnsi" w:cs="Arial"/>
          <w:b/>
          <w:lang w:eastAsia="en-GB"/>
        </w:rPr>
      </w:pPr>
    </w:p>
    <w:p w14:paraId="2D3EFAD7" w14:textId="77777777" w:rsidR="009964F9" w:rsidRPr="00AD3D1F" w:rsidRDefault="00F4693E" w:rsidP="00C8606E">
      <w:pPr>
        <w:pStyle w:val="NoSpacing"/>
        <w:numPr>
          <w:ilvl w:val="0"/>
          <w:numId w:val="36"/>
        </w:numPr>
        <w:jc w:val="both"/>
        <w:rPr>
          <w:rFonts w:asciiTheme="minorHAnsi" w:hAnsiTheme="minorHAnsi" w:cs="Arial"/>
          <w:b/>
          <w:lang w:eastAsia="en-GB"/>
        </w:rPr>
      </w:pPr>
      <w:r w:rsidRPr="00AD3D1F">
        <w:rPr>
          <w:rFonts w:asciiTheme="minorHAnsi" w:hAnsiTheme="minorHAnsi" w:cs="Arial"/>
          <w:b/>
          <w:lang w:eastAsia="en-GB"/>
        </w:rPr>
        <w:t xml:space="preserve">Project </w:t>
      </w:r>
      <w:r w:rsidR="008E1F70" w:rsidRPr="00AD3D1F">
        <w:rPr>
          <w:rFonts w:asciiTheme="minorHAnsi" w:hAnsiTheme="minorHAnsi" w:cs="Arial"/>
          <w:b/>
          <w:lang w:eastAsia="en-GB"/>
        </w:rPr>
        <w:t>Overview</w:t>
      </w:r>
      <w:r w:rsidR="00E970B7" w:rsidRPr="00AD3D1F">
        <w:rPr>
          <w:rFonts w:asciiTheme="minorHAnsi" w:hAnsiTheme="minorHAnsi" w:cs="Arial"/>
          <w:b/>
          <w:lang w:eastAsia="en-GB"/>
        </w:rPr>
        <w:t>/Background</w:t>
      </w:r>
    </w:p>
    <w:p w14:paraId="6429E79D" w14:textId="77777777" w:rsidR="00866DE4" w:rsidRPr="00AD3D1F" w:rsidRDefault="00866DE4" w:rsidP="008C60B9">
      <w:pPr>
        <w:pStyle w:val="NoSpacing"/>
        <w:jc w:val="both"/>
        <w:rPr>
          <w:rFonts w:asciiTheme="minorHAnsi" w:hAnsiTheme="minorHAnsi" w:cs="Arial"/>
        </w:rPr>
      </w:pPr>
    </w:p>
    <w:p w14:paraId="36A76640" w14:textId="77777777" w:rsidR="001348F6" w:rsidRPr="00AD3D1F" w:rsidRDefault="00F4693E" w:rsidP="00C8606E">
      <w:pPr>
        <w:pStyle w:val="ListParagraph"/>
        <w:numPr>
          <w:ilvl w:val="1"/>
          <w:numId w:val="33"/>
        </w:numPr>
        <w:spacing w:after="0" w:line="240" w:lineRule="auto"/>
        <w:ind w:left="709" w:hanging="709"/>
        <w:contextualSpacing/>
        <w:rPr>
          <w:rFonts w:asciiTheme="minorHAnsi" w:hAnsiTheme="minorHAnsi" w:cs="Arial"/>
          <w:color w:val="000000"/>
        </w:rPr>
      </w:pPr>
      <w:r w:rsidRPr="00AD3D1F">
        <w:rPr>
          <w:rFonts w:asciiTheme="minorHAnsi" w:hAnsiTheme="minorHAnsi" w:cs="Arial"/>
          <w:color w:val="000000"/>
        </w:rPr>
        <w:t>RSSB’s flexible benefits package is available to all employees and as part of the employee benefits offer, RSSB provide Private Medical Insurance, Dental insurance and an Employee Assistance Programme. The current agreements are due to expire on 31st March 2017.</w:t>
      </w:r>
    </w:p>
    <w:p w14:paraId="4F0A7486" w14:textId="77777777" w:rsidR="001348F6" w:rsidRPr="00AD3D1F" w:rsidRDefault="001348F6" w:rsidP="008C60B9">
      <w:pPr>
        <w:pStyle w:val="NoSpacing"/>
        <w:jc w:val="both"/>
        <w:rPr>
          <w:rFonts w:asciiTheme="minorHAnsi" w:hAnsiTheme="minorHAnsi" w:cs="Arial"/>
          <w:b/>
        </w:rPr>
      </w:pPr>
    </w:p>
    <w:p w14:paraId="5F251943" w14:textId="10DF5B67" w:rsidR="00F4693E" w:rsidRPr="00AD3D1F" w:rsidRDefault="00F4693E" w:rsidP="00C8606E">
      <w:pPr>
        <w:pStyle w:val="ListParagraph"/>
        <w:numPr>
          <w:ilvl w:val="1"/>
          <w:numId w:val="33"/>
        </w:numPr>
        <w:spacing w:after="0" w:line="240" w:lineRule="auto"/>
        <w:ind w:left="709" w:hanging="709"/>
        <w:contextualSpacing/>
        <w:rPr>
          <w:rFonts w:asciiTheme="minorHAnsi" w:hAnsiTheme="minorHAnsi" w:cs="Arial"/>
          <w:color w:val="000000"/>
        </w:rPr>
      </w:pPr>
      <w:r w:rsidRPr="00AD3D1F">
        <w:rPr>
          <w:rFonts w:asciiTheme="minorHAnsi" w:hAnsiTheme="minorHAnsi" w:cs="Arial"/>
          <w:color w:val="000000"/>
        </w:rPr>
        <w:t xml:space="preserve">The current agreements </w:t>
      </w:r>
      <w:r w:rsidR="004D08B2">
        <w:rPr>
          <w:rFonts w:asciiTheme="minorHAnsi" w:hAnsiTheme="minorHAnsi" w:cs="Arial"/>
          <w:color w:val="000000"/>
        </w:rPr>
        <w:t>were</w:t>
      </w:r>
      <w:r w:rsidRPr="00AD3D1F">
        <w:rPr>
          <w:rFonts w:asciiTheme="minorHAnsi" w:hAnsiTheme="minorHAnsi" w:cs="Arial"/>
          <w:color w:val="000000"/>
        </w:rPr>
        <w:t xml:space="preserve"> sourced through an insurance broker, and RSSB engage with </w:t>
      </w:r>
      <w:r w:rsidR="00C8606E" w:rsidRPr="00AD3D1F">
        <w:rPr>
          <w:rFonts w:asciiTheme="minorHAnsi" w:hAnsiTheme="minorHAnsi" w:cs="Arial"/>
          <w:color w:val="000000"/>
        </w:rPr>
        <w:t>several different providers for</w:t>
      </w:r>
      <w:r w:rsidRPr="00AD3D1F">
        <w:rPr>
          <w:rFonts w:asciiTheme="minorHAnsi" w:hAnsiTheme="minorHAnsi" w:cs="Arial"/>
          <w:color w:val="000000"/>
        </w:rPr>
        <w:t xml:space="preserve"> Private Medical Insurance</w:t>
      </w:r>
      <w:r w:rsidR="00C8606E" w:rsidRPr="00AD3D1F">
        <w:rPr>
          <w:rFonts w:asciiTheme="minorHAnsi" w:hAnsiTheme="minorHAnsi" w:cs="Arial"/>
          <w:color w:val="000000"/>
        </w:rPr>
        <w:t>,</w:t>
      </w:r>
      <w:r w:rsidRPr="00AD3D1F">
        <w:rPr>
          <w:rFonts w:asciiTheme="minorHAnsi" w:hAnsiTheme="minorHAnsi" w:cs="Arial"/>
          <w:color w:val="000000"/>
        </w:rPr>
        <w:t xml:space="preserve"> Dental Insurance and for the provision of</w:t>
      </w:r>
      <w:r w:rsidR="00C8606E" w:rsidRPr="00AD3D1F">
        <w:rPr>
          <w:rFonts w:asciiTheme="minorHAnsi" w:hAnsiTheme="minorHAnsi" w:cs="Arial"/>
          <w:color w:val="000000"/>
        </w:rPr>
        <w:t xml:space="preserve"> an</w:t>
      </w:r>
      <w:r w:rsidRPr="00AD3D1F">
        <w:rPr>
          <w:rFonts w:asciiTheme="minorHAnsi" w:hAnsiTheme="minorHAnsi" w:cs="Arial"/>
          <w:color w:val="000000"/>
        </w:rPr>
        <w:t xml:space="preserve"> Employee Assistance</w:t>
      </w:r>
      <w:r w:rsidR="00C8606E" w:rsidRPr="00AD3D1F">
        <w:rPr>
          <w:rFonts w:asciiTheme="minorHAnsi" w:hAnsiTheme="minorHAnsi" w:cs="Arial"/>
          <w:color w:val="000000"/>
        </w:rPr>
        <w:t xml:space="preserve"> Programme</w:t>
      </w:r>
      <w:r w:rsidRPr="00AD3D1F">
        <w:rPr>
          <w:rFonts w:asciiTheme="minorHAnsi" w:hAnsiTheme="minorHAnsi" w:cs="Arial"/>
          <w:color w:val="000000"/>
        </w:rPr>
        <w:t xml:space="preserve">. </w:t>
      </w:r>
      <w:r w:rsidR="00C8606E" w:rsidRPr="00AD3D1F">
        <w:rPr>
          <w:rFonts w:asciiTheme="minorHAnsi" w:hAnsiTheme="minorHAnsi" w:cs="Arial"/>
          <w:color w:val="000000"/>
        </w:rPr>
        <w:br/>
      </w:r>
    </w:p>
    <w:p w14:paraId="2D46FE5A" w14:textId="40841B0E" w:rsidR="00F4693E" w:rsidRPr="00AD3D1F" w:rsidRDefault="00F4693E" w:rsidP="00F4693E">
      <w:pPr>
        <w:pStyle w:val="ListParagraph"/>
        <w:numPr>
          <w:ilvl w:val="1"/>
          <w:numId w:val="33"/>
        </w:numPr>
        <w:spacing w:after="0" w:line="240" w:lineRule="auto"/>
        <w:ind w:left="709" w:hanging="709"/>
        <w:contextualSpacing/>
        <w:rPr>
          <w:rFonts w:asciiTheme="minorHAnsi" w:hAnsiTheme="minorHAnsi" w:cs="Arial"/>
          <w:color w:val="000000"/>
        </w:rPr>
      </w:pPr>
      <w:r w:rsidRPr="00AD3D1F">
        <w:rPr>
          <w:rFonts w:asciiTheme="minorHAnsi" w:hAnsiTheme="minorHAnsi" w:cs="Arial"/>
          <w:color w:val="000000"/>
        </w:rPr>
        <w:t xml:space="preserve">Private Medical Insurance for staff is currently via an “opt in/opt-out” arrangement, staff can make changes to the arrangements for Private Medical Insurance on an annual basis, usually in mid-March. Employees also have the choice to buy additional cover for family members </w:t>
      </w:r>
      <w:r w:rsidRPr="00AD3D1F">
        <w:rPr>
          <w:rFonts w:asciiTheme="minorHAnsi" w:hAnsiTheme="minorHAnsi" w:cs="Arial"/>
          <w:color w:val="000000"/>
        </w:rPr>
        <w:lastRenderedPageBreak/>
        <w:t>through a salary sacrifice scheme. Employees who opt-out of the scheme currently have the option to take an annual allowance. The current arrangement is due to end on 31</w:t>
      </w:r>
      <w:r w:rsidRPr="00AD3D1F">
        <w:rPr>
          <w:rFonts w:asciiTheme="minorHAnsi" w:hAnsiTheme="minorHAnsi" w:cs="Arial"/>
          <w:color w:val="000000"/>
          <w:vertAlign w:val="superscript"/>
        </w:rPr>
        <w:t>st</w:t>
      </w:r>
      <w:r w:rsidRPr="00AD3D1F">
        <w:rPr>
          <w:rFonts w:asciiTheme="minorHAnsi" w:hAnsiTheme="minorHAnsi" w:cs="Arial"/>
          <w:color w:val="000000"/>
        </w:rPr>
        <w:t xml:space="preserve"> March 2017 when new rules reflecting new banding, terms and conditions will take effect</w:t>
      </w:r>
      <w:r w:rsidR="00AD3D1F" w:rsidRPr="00AD3D1F">
        <w:rPr>
          <w:rFonts w:asciiTheme="minorHAnsi" w:hAnsiTheme="minorHAnsi" w:cs="Arial"/>
          <w:color w:val="000000"/>
        </w:rPr>
        <w:t>,</w:t>
      </w:r>
      <w:r w:rsidR="0025773E" w:rsidRPr="00AD3D1F">
        <w:rPr>
          <w:rFonts w:asciiTheme="minorHAnsi" w:hAnsiTheme="minorHAnsi" w:cs="Arial"/>
          <w:color w:val="000000"/>
        </w:rPr>
        <w:t xml:space="preserve"> it is </w:t>
      </w:r>
      <w:r w:rsidR="00AD3D1F" w:rsidRPr="00AD3D1F">
        <w:rPr>
          <w:rFonts w:asciiTheme="minorHAnsi" w:hAnsiTheme="minorHAnsi" w:cs="Arial"/>
          <w:color w:val="000000"/>
        </w:rPr>
        <w:t xml:space="preserve">therefore </w:t>
      </w:r>
      <w:r w:rsidR="0025773E" w:rsidRPr="00AD3D1F">
        <w:rPr>
          <w:rFonts w:asciiTheme="minorHAnsi" w:hAnsiTheme="minorHAnsi" w:cs="Arial"/>
          <w:color w:val="000000"/>
        </w:rPr>
        <w:t>expected that there will be an increase in membership for the P</w:t>
      </w:r>
      <w:r w:rsidR="00AD3D1F" w:rsidRPr="00AD3D1F">
        <w:rPr>
          <w:rFonts w:asciiTheme="minorHAnsi" w:hAnsiTheme="minorHAnsi" w:cs="Arial"/>
          <w:color w:val="000000"/>
        </w:rPr>
        <w:t>rivate Medical Insurance scheme</w:t>
      </w:r>
      <w:r w:rsidRPr="00AD3D1F">
        <w:rPr>
          <w:rFonts w:asciiTheme="minorHAnsi" w:hAnsiTheme="minorHAnsi" w:cs="Arial"/>
          <w:color w:val="000000"/>
        </w:rPr>
        <w:t xml:space="preserve">. </w:t>
      </w:r>
    </w:p>
    <w:p w14:paraId="17988276" w14:textId="77777777" w:rsidR="00F4693E" w:rsidRPr="00AD3D1F" w:rsidRDefault="00F4693E" w:rsidP="00F4693E">
      <w:pPr>
        <w:pStyle w:val="ListParagraph"/>
        <w:rPr>
          <w:rFonts w:asciiTheme="minorHAnsi" w:hAnsiTheme="minorHAnsi" w:cs="Arial"/>
          <w:color w:val="000000"/>
        </w:rPr>
      </w:pPr>
    </w:p>
    <w:p w14:paraId="50D1B272" w14:textId="77777777" w:rsidR="00C8606E" w:rsidRPr="00AD3D1F" w:rsidRDefault="00F4693E" w:rsidP="00C8606E">
      <w:pPr>
        <w:pStyle w:val="ListParagraph"/>
        <w:numPr>
          <w:ilvl w:val="1"/>
          <w:numId w:val="33"/>
        </w:numPr>
        <w:spacing w:after="0" w:line="240" w:lineRule="auto"/>
        <w:ind w:left="709" w:hanging="709"/>
        <w:contextualSpacing/>
        <w:rPr>
          <w:rFonts w:asciiTheme="minorHAnsi" w:hAnsiTheme="minorHAnsi" w:cs="Arial"/>
          <w:color w:val="000000"/>
        </w:rPr>
      </w:pPr>
      <w:r w:rsidRPr="00AD3D1F">
        <w:rPr>
          <w:rFonts w:asciiTheme="minorHAnsi" w:hAnsiTheme="minorHAnsi" w:cs="Arial"/>
          <w:color w:val="000000"/>
        </w:rPr>
        <w:t>RSSB will pay for dental care cover for employees and there is an option for individuals to purchase additional cover for dependents. This is a discretionary benefit and does not form part of a contract of employment. There is no cash alternative if the cover is not taken up and participation in the scheme is subject to th</w:t>
      </w:r>
      <w:r w:rsidR="00C8606E" w:rsidRPr="00AD3D1F">
        <w:rPr>
          <w:rFonts w:asciiTheme="minorHAnsi" w:hAnsiTheme="minorHAnsi" w:cs="Arial"/>
          <w:color w:val="000000"/>
        </w:rPr>
        <w:t xml:space="preserve">e rules of the insurance plan. </w:t>
      </w:r>
    </w:p>
    <w:p w14:paraId="17B7A77E" w14:textId="77777777" w:rsidR="00C8606E" w:rsidRPr="00AD3D1F" w:rsidRDefault="00C8606E" w:rsidP="00C8606E">
      <w:pPr>
        <w:pStyle w:val="ListParagraph"/>
        <w:rPr>
          <w:rFonts w:asciiTheme="minorHAnsi" w:hAnsiTheme="minorHAnsi" w:cs="Arial"/>
          <w:color w:val="000000"/>
        </w:rPr>
      </w:pPr>
    </w:p>
    <w:p w14:paraId="7BA14BB6" w14:textId="77777777" w:rsidR="001348F6" w:rsidRPr="00AD3D1F" w:rsidRDefault="00F4693E" w:rsidP="00C8606E">
      <w:pPr>
        <w:pStyle w:val="ListParagraph"/>
        <w:numPr>
          <w:ilvl w:val="1"/>
          <w:numId w:val="33"/>
        </w:numPr>
        <w:spacing w:after="0" w:line="240" w:lineRule="auto"/>
        <w:ind w:left="709" w:hanging="709"/>
        <w:contextualSpacing/>
        <w:rPr>
          <w:rFonts w:asciiTheme="minorHAnsi" w:hAnsiTheme="minorHAnsi" w:cs="Arial"/>
          <w:color w:val="000000"/>
        </w:rPr>
      </w:pPr>
      <w:r w:rsidRPr="00AD3D1F">
        <w:rPr>
          <w:rFonts w:asciiTheme="minorHAnsi" w:hAnsiTheme="minorHAnsi" w:cs="Arial"/>
          <w:color w:val="000000"/>
        </w:rPr>
        <w:t xml:space="preserve">The employee assistance programme is a free, confidential and independent resource to help balance work, family and personal life. </w:t>
      </w:r>
      <w:r w:rsidRPr="00AD3D1F">
        <w:rPr>
          <w:rFonts w:asciiTheme="minorHAnsi" w:hAnsiTheme="minorHAnsi" w:cs="Arial"/>
        </w:rPr>
        <w:t>The EAP is available 7 days per week, 24 hours a day by phone, email or online.  The service provides information, resources, referrals and counselling on any issue the employee requires assistance with.</w:t>
      </w:r>
    </w:p>
    <w:p w14:paraId="75E27522" w14:textId="77777777" w:rsidR="001348F6" w:rsidRPr="00AD3D1F" w:rsidRDefault="001348F6" w:rsidP="008C60B9">
      <w:pPr>
        <w:pStyle w:val="NoSpacing"/>
        <w:jc w:val="both"/>
        <w:rPr>
          <w:rFonts w:asciiTheme="minorHAnsi" w:hAnsiTheme="minorHAnsi" w:cs="Arial"/>
          <w:b/>
        </w:rPr>
      </w:pPr>
    </w:p>
    <w:p w14:paraId="0BB48879" w14:textId="77777777" w:rsidR="002122F9" w:rsidRPr="00AD3D1F" w:rsidRDefault="00C8606E" w:rsidP="002122F9">
      <w:pPr>
        <w:pStyle w:val="NoSpacing"/>
        <w:numPr>
          <w:ilvl w:val="0"/>
          <w:numId w:val="36"/>
        </w:numPr>
        <w:jc w:val="both"/>
        <w:rPr>
          <w:rFonts w:asciiTheme="minorHAnsi" w:hAnsiTheme="minorHAnsi" w:cs="Arial"/>
          <w:b/>
          <w:lang w:eastAsia="en-GB"/>
        </w:rPr>
      </w:pPr>
      <w:r w:rsidRPr="00AD3D1F">
        <w:rPr>
          <w:rFonts w:asciiTheme="minorHAnsi" w:hAnsiTheme="minorHAnsi" w:cs="Arial"/>
          <w:b/>
          <w:lang w:eastAsia="en-GB"/>
        </w:rPr>
        <w:t>Project Objectives</w:t>
      </w:r>
    </w:p>
    <w:p w14:paraId="27E44BD2" w14:textId="77777777" w:rsidR="00C8606E" w:rsidRPr="00AD3D1F" w:rsidRDefault="00C8606E" w:rsidP="00892129">
      <w:pPr>
        <w:pStyle w:val="NoSpacing"/>
        <w:jc w:val="both"/>
        <w:rPr>
          <w:rFonts w:asciiTheme="minorHAnsi" w:hAnsiTheme="minorHAnsi" w:cs="Arial"/>
        </w:rPr>
      </w:pPr>
    </w:p>
    <w:p w14:paraId="73494096" w14:textId="1B5E2E52" w:rsidR="004D08B2" w:rsidRPr="004D08B2" w:rsidRDefault="002122F9" w:rsidP="004D08B2">
      <w:pPr>
        <w:pStyle w:val="ListParagraph"/>
        <w:numPr>
          <w:ilvl w:val="1"/>
          <w:numId w:val="36"/>
        </w:numPr>
        <w:spacing w:after="0" w:line="240" w:lineRule="auto"/>
        <w:contextualSpacing/>
        <w:rPr>
          <w:rFonts w:asciiTheme="minorHAnsi" w:eastAsia="Times New Roman" w:hAnsiTheme="minorHAnsi" w:cs="Arial"/>
          <w:lang w:eastAsia="en-GB"/>
        </w:rPr>
      </w:pPr>
      <w:r w:rsidRPr="004D08B2">
        <w:rPr>
          <w:rFonts w:asciiTheme="minorHAnsi" w:eastAsia="Times New Roman" w:hAnsiTheme="minorHAnsi" w:cs="Arial"/>
          <w:lang w:eastAsia="en-GB"/>
        </w:rPr>
        <w:t>RSSB wish</w:t>
      </w:r>
      <w:r w:rsidR="00DB577E" w:rsidRPr="004D08B2">
        <w:rPr>
          <w:rFonts w:asciiTheme="minorHAnsi" w:eastAsia="Times New Roman" w:hAnsiTheme="minorHAnsi" w:cs="Arial"/>
          <w:lang w:eastAsia="en-GB"/>
        </w:rPr>
        <w:t>es</w:t>
      </w:r>
      <w:r w:rsidRPr="004D08B2">
        <w:rPr>
          <w:rFonts w:asciiTheme="minorHAnsi" w:eastAsia="Times New Roman" w:hAnsiTheme="minorHAnsi" w:cs="Arial"/>
          <w:lang w:eastAsia="en-GB"/>
        </w:rPr>
        <w:t xml:space="preserve"> to </w:t>
      </w:r>
      <w:r w:rsidR="004D08B2" w:rsidRPr="004D08B2">
        <w:rPr>
          <w:rFonts w:asciiTheme="minorHAnsi" w:eastAsia="Times New Roman" w:hAnsiTheme="minorHAnsi" w:cs="Arial"/>
          <w:lang w:eastAsia="en-GB"/>
        </w:rPr>
        <w:t xml:space="preserve">procure the requirements for </w:t>
      </w:r>
      <w:r w:rsidRPr="004D08B2">
        <w:rPr>
          <w:rFonts w:asciiTheme="minorHAnsi" w:eastAsia="Times New Roman" w:hAnsiTheme="minorHAnsi" w:cs="Arial"/>
          <w:lang w:eastAsia="en-GB"/>
        </w:rPr>
        <w:t>Private</w:t>
      </w:r>
      <w:r w:rsidR="004D08B2" w:rsidRPr="004D08B2">
        <w:rPr>
          <w:rFonts w:asciiTheme="minorHAnsi" w:eastAsia="Times New Roman" w:hAnsiTheme="minorHAnsi" w:cs="Arial"/>
          <w:lang w:eastAsia="en-GB"/>
        </w:rPr>
        <w:t>,</w:t>
      </w:r>
      <w:r w:rsidRPr="004D08B2">
        <w:rPr>
          <w:rFonts w:asciiTheme="minorHAnsi" w:eastAsia="Times New Roman" w:hAnsiTheme="minorHAnsi" w:cs="Arial"/>
          <w:lang w:eastAsia="en-GB"/>
        </w:rPr>
        <w:t xml:space="preserve"> Medical and Dental Insurance and an Employee Assistance Programme</w:t>
      </w:r>
      <w:r w:rsidR="004D08B2" w:rsidRPr="004D08B2">
        <w:rPr>
          <w:rFonts w:asciiTheme="minorHAnsi" w:eastAsia="Times New Roman" w:hAnsiTheme="minorHAnsi" w:cs="Arial"/>
          <w:lang w:eastAsia="en-GB"/>
        </w:rPr>
        <w:t xml:space="preserve"> detailed in the specification</w:t>
      </w:r>
      <w:r w:rsidRPr="004D08B2">
        <w:rPr>
          <w:rFonts w:asciiTheme="minorHAnsi" w:eastAsia="Times New Roman" w:hAnsiTheme="minorHAnsi" w:cs="Arial"/>
          <w:lang w:eastAsia="en-GB"/>
        </w:rPr>
        <w:t>.</w:t>
      </w:r>
    </w:p>
    <w:p w14:paraId="7C3D842A" w14:textId="27B5B7DB" w:rsidR="00892129" w:rsidRPr="004D08B2" w:rsidRDefault="004D08B2" w:rsidP="004D08B2">
      <w:pPr>
        <w:pStyle w:val="ListParagraph"/>
        <w:numPr>
          <w:ilvl w:val="1"/>
          <w:numId w:val="36"/>
        </w:numPr>
        <w:spacing w:after="0" w:line="240" w:lineRule="auto"/>
        <w:contextualSpacing/>
        <w:rPr>
          <w:rFonts w:asciiTheme="minorHAnsi" w:eastAsia="Times New Roman" w:hAnsiTheme="minorHAnsi" w:cs="Arial"/>
          <w:lang w:eastAsia="en-GB"/>
        </w:rPr>
      </w:pPr>
      <w:r>
        <w:rPr>
          <w:rFonts w:asciiTheme="minorHAnsi" w:eastAsia="Times New Roman" w:hAnsiTheme="minorHAnsi" w:cs="Arial"/>
          <w:lang w:eastAsia="en-GB"/>
        </w:rPr>
        <w:t xml:space="preserve">Tenders are welcomed from providers of these services directly and </w:t>
      </w:r>
      <w:r w:rsidRPr="004D08B2">
        <w:rPr>
          <w:rFonts w:asciiTheme="minorHAnsi" w:eastAsia="Times New Roman" w:hAnsiTheme="minorHAnsi" w:cs="Arial"/>
          <w:lang w:eastAsia="en-GB"/>
        </w:rPr>
        <w:t>insurance broker</w:t>
      </w:r>
      <w:r>
        <w:rPr>
          <w:rFonts w:asciiTheme="minorHAnsi" w:eastAsia="Times New Roman" w:hAnsiTheme="minorHAnsi" w:cs="Arial"/>
          <w:lang w:eastAsia="en-GB"/>
        </w:rPr>
        <w:t>s</w:t>
      </w:r>
      <w:r w:rsidRPr="004D08B2">
        <w:rPr>
          <w:rFonts w:asciiTheme="minorHAnsi" w:eastAsia="Times New Roman" w:hAnsiTheme="minorHAnsi" w:cs="Arial"/>
          <w:lang w:eastAsia="en-GB"/>
        </w:rPr>
        <w:t xml:space="preserve"> who </w:t>
      </w:r>
      <w:r>
        <w:rPr>
          <w:rFonts w:asciiTheme="minorHAnsi" w:eastAsia="Times New Roman" w:hAnsiTheme="minorHAnsi" w:cs="Arial"/>
          <w:lang w:eastAsia="en-GB"/>
        </w:rPr>
        <w:t>deliver the requirements working with partners in their supply chain.</w:t>
      </w:r>
    </w:p>
    <w:p w14:paraId="7314AB52" w14:textId="449F155D" w:rsidR="0020119D" w:rsidRDefault="0020119D" w:rsidP="008C60B9">
      <w:pPr>
        <w:pStyle w:val="NoSpacing"/>
        <w:jc w:val="both"/>
        <w:rPr>
          <w:rFonts w:asciiTheme="minorHAnsi" w:hAnsiTheme="minorHAnsi" w:cs="Arial"/>
          <w:b/>
        </w:rPr>
      </w:pPr>
    </w:p>
    <w:p w14:paraId="26036E13" w14:textId="77777777" w:rsidR="00676F92" w:rsidRPr="00AD3D1F" w:rsidRDefault="00676F92" w:rsidP="008C60B9">
      <w:pPr>
        <w:pStyle w:val="NoSpacing"/>
        <w:jc w:val="both"/>
        <w:rPr>
          <w:rFonts w:asciiTheme="minorHAnsi" w:hAnsiTheme="minorHAnsi" w:cs="Arial"/>
          <w:b/>
        </w:rPr>
      </w:pPr>
    </w:p>
    <w:p w14:paraId="7AFD574E" w14:textId="602405FD" w:rsidR="00301540" w:rsidRPr="00AD3D1F" w:rsidRDefault="0020119D" w:rsidP="008C60B9">
      <w:pPr>
        <w:pStyle w:val="NoSpacing"/>
        <w:jc w:val="both"/>
        <w:rPr>
          <w:rFonts w:asciiTheme="minorHAnsi" w:hAnsiTheme="minorHAnsi" w:cs="Arial"/>
          <w:b/>
        </w:rPr>
      </w:pPr>
      <w:r w:rsidRPr="00AD3D1F">
        <w:rPr>
          <w:rFonts w:asciiTheme="minorHAnsi" w:hAnsiTheme="minorHAnsi" w:cs="Arial"/>
          <w:b/>
        </w:rPr>
        <w:t>3. Scope of Work</w:t>
      </w:r>
    </w:p>
    <w:p w14:paraId="640B488A" w14:textId="77777777" w:rsidR="00301540" w:rsidRPr="00AD3D1F" w:rsidRDefault="00301540" w:rsidP="008C60B9">
      <w:pPr>
        <w:pStyle w:val="NoSpacing"/>
        <w:jc w:val="both"/>
        <w:rPr>
          <w:rFonts w:asciiTheme="minorHAnsi" w:hAnsiTheme="minorHAnsi" w:cs="Arial"/>
          <w:u w:val="single"/>
        </w:rPr>
      </w:pPr>
      <w:r w:rsidRPr="00AD3D1F">
        <w:rPr>
          <w:rFonts w:asciiTheme="minorHAnsi" w:hAnsiTheme="minorHAnsi" w:cs="Arial"/>
          <w:u w:val="single"/>
        </w:rPr>
        <w:tab/>
      </w:r>
      <w:r w:rsidRPr="00AD3D1F">
        <w:rPr>
          <w:rFonts w:asciiTheme="minorHAnsi" w:hAnsiTheme="minorHAnsi" w:cs="Arial"/>
          <w:u w:val="single"/>
        </w:rPr>
        <w:tab/>
      </w:r>
      <w:r w:rsidRPr="00AD3D1F">
        <w:rPr>
          <w:rFonts w:asciiTheme="minorHAnsi" w:hAnsiTheme="minorHAnsi" w:cs="Arial"/>
          <w:u w:val="single"/>
        </w:rPr>
        <w:tab/>
      </w:r>
      <w:r w:rsidRPr="00AD3D1F">
        <w:rPr>
          <w:rFonts w:asciiTheme="minorHAnsi" w:hAnsiTheme="minorHAnsi" w:cs="Arial"/>
          <w:u w:val="single"/>
        </w:rPr>
        <w:tab/>
      </w:r>
      <w:r w:rsidRPr="00AD3D1F">
        <w:rPr>
          <w:rFonts w:asciiTheme="minorHAnsi" w:hAnsiTheme="minorHAnsi" w:cs="Arial"/>
          <w:u w:val="single"/>
        </w:rPr>
        <w:tab/>
      </w:r>
      <w:r w:rsidRPr="00AD3D1F">
        <w:rPr>
          <w:rFonts w:asciiTheme="minorHAnsi" w:hAnsiTheme="minorHAnsi" w:cs="Arial"/>
          <w:u w:val="single"/>
        </w:rPr>
        <w:tab/>
      </w:r>
      <w:r w:rsidRPr="00AD3D1F">
        <w:rPr>
          <w:rFonts w:asciiTheme="minorHAnsi" w:hAnsiTheme="minorHAnsi" w:cs="Arial"/>
          <w:u w:val="single"/>
        </w:rPr>
        <w:tab/>
      </w:r>
      <w:r w:rsidRPr="00AD3D1F">
        <w:rPr>
          <w:rFonts w:asciiTheme="minorHAnsi" w:hAnsiTheme="minorHAnsi" w:cs="Arial"/>
          <w:u w:val="single"/>
        </w:rPr>
        <w:tab/>
      </w:r>
      <w:r w:rsidRPr="00AD3D1F">
        <w:rPr>
          <w:rFonts w:asciiTheme="minorHAnsi" w:hAnsiTheme="minorHAnsi" w:cs="Arial"/>
          <w:u w:val="single"/>
        </w:rPr>
        <w:tab/>
      </w:r>
      <w:r w:rsidRPr="00AD3D1F">
        <w:rPr>
          <w:rFonts w:asciiTheme="minorHAnsi" w:hAnsiTheme="minorHAnsi" w:cs="Arial"/>
          <w:u w:val="single"/>
        </w:rPr>
        <w:tab/>
      </w:r>
      <w:r w:rsidRPr="00AD3D1F">
        <w:rPr>
          <w:rFonts w:asciiTheme="minorHAnsi" w:hAnsiTheme="minorHAnsi" w:cs="Arial"/>
          <w:u w:val="single"/>
        </w:rPr>
        <w:tab/>
      </w:r>
      <w:r w:rsidRPr="00AD3D1F">
        <w:rPr>
          <w:rFonts w:asciiTheme="minorHAnsi" w:hAnsiTheme="minorHAnsi" w:cs="Arial"/>
          <w:u w:val="single"/>
        </w:rPr>
        <w:tab/>
      </w:r>
    </w:p>
    <w:p w14:paraId="1FEAC40E" w14:textId="77777777" w:rsidR="00301540" w:rsidRPr="00AD3D1F" w:rsidRDefault="00301540" w:rsidP="008C60B9">
      <w:pPr>
        <w:pStyle w:val="NoSpacing"/>
        <w:jc w:val="both"/>
        <w:rPr>
          <w:rFonts w:asciiTheme="minorHAnsi" w:hAnsiTheme="minorHAnsi" w:cs="Arial"/>
          <w:b/>
        </w:rPr>
      </w:pPr>
    </w:p>
    <w:p w14:paraId="42816713" w14:textId="696CD57E" w:rsidR="00892129" w:rsidRDefault="00726581" w:rsidP="00892129">
      <w:pPr>
        <w:pStyle w:val="NoSpacing"/>
        <w:jc w:val="both"/>
        <w:rPr>
          <w:rFonts w:asciiTheme="minorHAnsi" w:hAnsiTheme="minorHAnsi" w:cs="Arial"/>
          <w:b/>
        </w:rPr>
      </w:pPr>
      <w:r w:rsidRPr="00AD3D1F">
        <w:rPr>
          <w:rFonts w:asciiTheme="minorHAnsi" w:hAnsiTheme="minorHAnsi" w:cs="Arial"/>
          <w:b/>
        </w:rPr>
        <w:t>Private Medical Insurance</w:t>
      </w:r>
    </w:p>
    <w:p w14:paraId="0F4721B6" w14:textId="77777777" w:rsidR="00676F92" w:rsidRPr="00B94E97" w:rsidRDefault="00676F92" w:rsidP="00892129">
      <w:pPr>
        <w:pStyle w:val="NoSpacing"/>
        <w:jc w:val="both"/>
        <w:rPr>
          <w:rFonts w:asciiTheme="minorHAnsi" w:hAnsiTheme="minorHAnsi" w:cs="Arial"/>
          <w:b/>
        </w:rPr>
      </w:pPr>
    </w:p>
    <w:p w14:paraId="795C29CD" w14:textId="77777777" w:rsidR="00B60C5E" w:rsidRPr="00AD3D1F" w:rsidRDefault="004B14D5" w:rsidP="00B60C5E">
      <w:pPr>
        <w:pStyle w:val="NoSpacing"/>
        <w:ind w:left="720" w:hanging="720"/>
        <w:rPr>
          <w:rFonts w:asciiTheme="minorHAnsi" w:hAnsiTheme="minorHAnsi" w:cs="Arial"/>
        </w:rPr>
      </w:pPr>
      <w:r w:rsidRPr="00AD3D1F">
        <w:rPr>
          <w:rFonts w:asciiTheme="minorHAnsi" w:hAnsiTheme="minorHAnsi" w:cs="Arial"/>
        </w:rPr>
        <w:t>3.1</w:t>
      </w:r>
      <w:r w:rsidRPr="00AD3D1F">
        <w:rPr>
          <w:rFonts w:asciiTheme="minorHAnsi" w:hAnsiTheme="minorHAnsi" w:cs="Arial"/>
        </w:rPr>
        <w:tab/>
      </w:r>
      <w:r w:rsidR="00B60C5E" w:rsidRPr="00AD3D1F">
        <w:rPr>
          <w:rFonts w:asciiTheme="minorHAnsi" w:hAnsiTheme="minorHAnsi" w:cs="Arial"/>
        </w:rPr>
        <w:t>There are currently 228 members registered in the Private Medical Insurance scheme, this figure is likely to increase when the arrangement of opting out of the scheme and receiving a cash allowance will cease at the end of March 2017.</w:t>
      </w:r>
    </w:p>
    <w:p w14:paraId="5FBC9EDF" w14:textId="77777777" w:rsidR="00B60C5E" w:rsidRPr="00AD3D1F" w:rsidRDefault="00B60C5E" w:rsidP="00B60C5E">
      <w:pPr>
        <w:pStyle w:val="NoSpacing"/>
        <w:ind w:left="720" w:hanging="720"/>
        <w:rPr>
          <w:rFonts w:asciiTheme="minorHAnsi" w:hAnsiTheme="minorHAnsi" w:cs="Arial"/>
        </w:rPr>
      </w:pPr>
    </w:p>
    <w:p w14:paraId="6227C586" w14:textId="49D84AB1" w:rsidR="00B60C5E" w:rsidRPr="00AD3D1F" w:rsidRDefault="00B60C5E" w:rsidP="00B60C5E">
      <w:pPr>
        <w:pStyle w:val="NoSpacing"/>
        <w:ind w:left="720" w:hanging="720"/>
        <w:rPr>
          <w:rFonts w:asciiTheme="minorHAnsi" w:hAnsiTheme="minorHAnsi" w:cs="Arial"/>
        </w:rPr>
      </w:pPr>
      <w:r w:rsidRPr="00AD3D1F">
        <w:rPr>
          <w:rFonts w:asciiTheme="minorHAnsi" w:hAnsiTheme="minorHAnsi" w:cs="Arial"/>
        </w:rPr>
        <w:t>3.2</w:t>
      </w:r>
      <w:r w:rsidRPr="00AD3D1F">
        <w:rPr>
          <w:rFonts w:asciiTheme="minorHAnsi" w:hAnsiTheme="minorHAnsi" w:cs="Arial"/>
        </w:rPr>
        <w:tab/>
      </w:r>
      <w:r w:rsidR="00FC0D26">
        <w:rPr>
          <w:rFonts w:asciiTheme="minorHAnsi" w:hAnsiTheme="minorHAnsi" w:cs="Arial"/>
        </w:rPr>
        <w:t>If an excess is required, a</w:t>
      </w:r>
      <w:r w:rsidRPr="00AD3D1F">
        <w:rPr>
          <w:rFonts w:asciiTheme="minorHAnsi" w:hAnsiTheme="minorHAnsi" w:cs="Arial"/>
        </w:rPr>
        <w:t xml:space="preserve">n excess of </w:t>
      </w:r>
      <w:r w:rsidR="00FC0D26">
        <w:rPr>
          <w:rFonts w:asciiTheme="minorHAnsi" w:hAnsiTheme="minorHAnsi" w:cs="Arial"/>
        </w:rPr>
        <w:t xml:space="preserve">no more than </w:t>
      </w:r>
      <w:r w:rsidRPr="00AD3D1F">
        <w:rPr>
          <w:rFonts w:asciiTheme="minorHAnsi" w:hAnsiTheme="minorHAnsi" w:cs="Arial"/>
        </w:rPr>
        <w:t xml:space="preserve">£100 per person per policy year </w:t>
      </w:r>
      <w:r w:rsidR="00FC0D26">
        <w:rPr>
          <w:rFonts w:asciiTheme="minorHAnsi" w:hAnsiTheme="minorHAnsi" w:cs="Arial"/>
        </w:rPr>
        <w:t>can apply</w:t>
      </w:r>
      <w:r w:rsidRPr="00AD3D1F">
        <w:rPr>
          <w:rFonts w:asciiTheme="minorHAnsi" w:hAnsiTheme="minorHAnsi" w:cs="Arial"/>
        </w:rPr>
        <w:t xml:space="preserve"> and benefits will only be paid once the excess amount has been exceeded and</w:t>
      </w:r>
      <w:r w:rsidR="00FC0D26">
        <w:rPr>
          <w:rFonts w:asciiTheme="minorHAnsi" w:hAnsiTheme="minorHAnsi" w:cs="Arial"/>
        </w:rPr>
        <w:t xml:space="preserve"> this must be settled directly </w:t>
      </w:r>
      <w:r w:rsidRPr="00AD3D1F">
        <w:rPr>
          <w:rFonts w:asciiTheme="minorHAnsi" w:hAnsiTheme="minorHAnsi" w:cs="Arial"/>
        </w:rPr>
        <w:t xml:space="preserve">with the relevant provider. </w:t>
      </w:r>
      <w:r w:rsidR="00FC0D26">
        <w:rPr>
          <w:rFonts w:asciiTheme="minorHAnsi" w:hAnsiTheme="minorHAnsi" w:cs="Arial"/>
        </w:rPr>
        <w:t xml:space="preserve">No </w:t>
      </w:r>
      <w:r w:rsidR="00FF7F2F" w:rsidRPr="00AD3D1F">
        <w:rPr>
          <w:rFonts w:asciiTheme="minorHAnsi" w:hAnsiTheme="minorHAnsi" w:cs="Arial"/>
        </w:rPr>
        <w:t xml:space="preserve">excess </w:t>
      </w:r>
      <w:r w:rsidR="00FC0D26">
        <w:rPr>
          <w:rFonts w:asciiTheme="minorHAnsi" w:hAnsiTheme="minorHAnsi" w:cs="Arial"/>
        </w:rPr>
        <w:t xml:space="preserve">can </w:t>
      </w:r>
      <w:r w:rsidR="00FF7F2F" w:rsidRPr="00AD3D1F">
        <w:rPr>
          <w:rFonts w:asciiTheme="minorHAnsi" w:hAnsiTheme="minorHAnsi" w:cs="Arial"/>
        </w:rPr>
        <w:t>appl</w:t>
      </w:r>
      <w:r w:rsidR="00FC0D26">
        <w:rPr>
          <w:rFonts w:asciiTheme="minorHAnsi" w:hAnsiTheme="minorHAnsi" w:cs="Arial"/>
        </w:rPr>
        <w:t>y</w:t>
      </w:r>
      <w:r w:rsidRPr="00AD3D1F">
        <w:rPr>
          <w:rFonts w:asciiTheme="minorHAnsi" w:hAnsiTheme="minorHAnsi" w:cs="Arial"/>
        </w:rPr>
        <w:t xml:space="preserve"> to physiotherapy for pain in the neck, muscles or joints (musculoskeletal </w:t>
      </w:r>
      <w:r w:rsidR="00FF7F2F" w:rsidRPr="00AD3D1F">
        <w:rPr>
          <w:rFonts w:asciiTheme="minorHAnsi" w:hAnsiTheme="minorHAnsi" w:cs="Arial"/>
        </w:rPr>
        <w:t>conditions) managed by the provider’s rehabilitation partner.</w:t>
      </w:r>
      <w:r w:rsidRPr="00AD3D1F">
        <w:rPr>
          <w:rFonts w:asciiTheme="minorHAnsi" w:hAnsiTheme="minorHAnsi" w:cs="Arial"/>
        </w:rPr>
        <w:br/>
      </w:r>
    </w:p>
    <w:p w14:paraId="2AD190D4" w14:textId="46509BB9" w:rsidR="00892129" w:rsidRPr="00AD3D1F" w:rsidRDefault="00FF7F2F" w:rsidP="00B60C5E">
      <w:pPr>
        <w:pStyle w:val="NoSpacing"/>
        <w:ind w:left="720" w:hanging="720"/>
        <w:rPr>
          <w:rFonts w:asciiTheme="minorHAnsi" w:hAnsiTheme="minorHAnsi" w:cs="Arial"/>
        </w:rPr>
      </w:pPr>
      <w:r w:rsidRPr="00AD3D1F">
        <w:rPr>
          <w:rFonts w:asciiTheme="minorHAnsi" w:hAnsiTheme="minorHAnsi" w:cs="Arial"/>
        </w:rPr>
        <w:t>3.3</w:t>
      </w:r>
      <w:r w:rsidR="00B60C5E" w:rsidRPr="00AD3D1F">
        <w:rPr>
          <w:rFonts w:asciiTheme="minorHAnsi" w:hAnsiTheme="minorHAnsi" w:cs="Arial"/>
        </w:rPr>
        <w:tab/>
        <w:t>RSSB require a</w:t>
      </w:r>
      <w:r w:rsidR="004B14D5" w:rsidRPr="00AD3D1F">
        <w:rPr>
          <w:rFonts w:asciiTheme="minorHAnsi" w:hAnsiTheme="minorHAnsi" w:cs="Arial"/>
        </w:rPr>
        <w:t xml:space="preserve"> fully insured service with the </w:t>
      </w:r>
      <w:r w:rsidR="00B25122">
        <w:rPr>
          <w:rFonts w:asciiTheme="minorHAnsi" w:hAnsiTheme="minorHAnsi" w:cs="Arial"/>
        </w:rPr>
        <w:t xml:space="preserve">rate and </w:t>
      </w:r>
      <w:r w:rsidR="004B14D5" w:rsidRPr="00AD3D1F">
        <w:rPr>
          <w:rFonts w:asciiTheme="minorHAnsi" w:hAnsiTheme="minorHAnsi" w:cs="Arial"/>
        </w:rPr>
        <w:t xml:space="preserve">premium set at the start of the </w:t>
      </w:r>
      <w:r w:rsidR="00B25122">
        <w:rPr>
          <w:rFonts w:asciiTheme="minorHAnsi" w:hAnsiTheme="minorHAnsi" w:cs="Arial"/>
        </w:rPr>
        <w:t>year and only adjusted to allow for additional employees (and their dependents) to join the scheme but at the fixed rate set.</w:t>
      </w:r>
      <w:r w:rsidR="00B60C5E" w:rsidRPr="00AD3D1F">
        <w:rPr>
          <w:rFonts w:asciiTheme="minorHAnsi" w:hAnsiTheme="minorHAnsi" w:cs="Arial"/>
        </w:rPr>
        <w:br/>
      </w:r>
    </w:p>
    <w:p w14:paraId="44ADE51D" w14:textId="77777777" w:rsidR="004B14D5" w:rsidRPr="00AD3D1F" w:rsidRDefault="00FF7F2F" w:rsidP="00B919E4">
      <w:pPr>
        <w:pStyle w:val="NoSpacing"/>
        <w:ind w:left="720" w:hanging="720"/>
        <w:rPr>
          <w:rFonts w:asciiTheme="minorHAnsi" w:hAnsiTheme="minorHAnsi" w:cs="Arial"/>
        </w:rPr>
      </w:pPr>
      <w:r w:rsidRPr="00AD3D1F">
        <w:rPr>
          <w:rFonts w:asciiTheme="minorHAnsi" w:hAnsiTheme="minorHAnsi" w:cs="Arial"/>
        </w:rPr>
        <w:t>3.4</w:t>
      </w:r>
      <w:r w:rsidRPr="00AD3D1F">
        <w:rPr>
          <w:rFonts w:asciiTheme="minorHAnsi" w:hAnsiTheme="minorHAnsi" w:cs="Arial"/>
        </w:rPr>
        <w:tab/>
        <w:t>RSSB require an</w:t>
      </w:r>
      <w:r w:rsidR="004B14D5" w:rsidRPr="00AD3D1F">
        <w:rPr>
          <w:rFonts w:asciiTheme="minorHAnsi" w:hAnsiTheme="minorHAnsi" w:cs="Arial"/>
        </w:rPr>
        <w:t xml:space="preserve"> allocated claims fund, if claims exceed the allocation, the insurer carries the loss and likewise if claims finalise below the claims fund the insurer retains the additional profit.</w:t>
      </w:r>
      <w:r w:rsidR="00B919E4" w:rsidRPr="00AD3D1F">
        <w:rPr>
          <w:rFonts w:asciiTheme="minorHAnsi" w:hAnsiTheme="minorHAnsi" w:cs="Arial"/>
        </w:rPr>
        <w:br/>
      </w:r>
    </w:p>
    <w:p w14:paraId="5E3B6A0B" w14:textId="77777777" w:rsidR="00B919E4" w:rsidRPr="00AD3D1F" w:rsidRDefault="00B919E4" w:rsidP="004B14D5">
      <w:pPr>
        <w:pStyle w:val="NoSpacing"/>
        <w:ind w:left="720" w:hanging="720"/>
        <w:jc w:val="both"/>
        <w:rPr>
          <w:rFonts w:asciiTheme="minorHAnsi" w:hAnsiTheme="minorHAnsi" w:cs="Arial"/>
        </w:rPr>
      </w:pPr>
      <w:r w:rsidRPr="00AD3D1F">
        <w:rPr>
          <w:rFonts w:asciiTheme="minorHAnsi" w:hAnsiTheme="minorHAnsi" w:cs="Arial"/>
        </w:rPr>
        <w:t>3.5</w:t>
      </w:r>
      <w:r w:rsidRPr="00AD3D1F">
        <w:rPr>
          <w:rFonts w:asciiTheme="minorHAnsi" w:hAnsiTheme="minorHAnsi" w:cs="Arial"/>
        </w:rPr>
        <w:tab/>
        <w:t xml:space="preserve">Benefits must cover as a minimum: </w:t>
      </w:r>
    </w:p>
    <w:p w14:paraId="05EE4386" w14:textId="153E2306" w:rsidR="001139E9" w:rsidRPr="00AD3D1F" w:rsidRDefault="001139E9" w:rsidP="00B919E4">
      <w:pPr>
        <w:pStyle w:val="NoSpacing"/>
        <w:numPr>
          <w:ilvl w:val="0"/>
          <w:numId w:val="1"/>
        </w:numPr>
        <w:jc w:val="both"/>
        <w:rPr>
          <w:rFonts w:asciiTheme="minorHAnsi" w:hAnsiTheme="minorHAnsi" w:cs="Arial"/>
        </w:rPr>
      </w:pPr>
      <w:r w:rsidRPr="00AD3D1F">
        <w:rPr>
          <w:rFonts w:asciiTheme="minorHAnsi" w:hAnsiTheme="minorHAnsi" w:cs="Arial"/>
        </w:rPr>
        <w:t xml:space="preserve">In-patient and day patient treatment of acute conditions at hospitals across </w:t>
      </w:r>
      <w:r w:rsidR="008D7347">
        <w:rPr>
          <w:rFonts w:asciiTheme="minorHAnsi" w:hAnsiTheme="minorHAnsi" w:cs="Arial"/>
        </w:rPr>
        <w:t xml:space="preserve">the </w:t>
      </w:r>
      <w:r w:rsidRPr="00AD3D1F">
        <w:rPr>
          <w:rFonts w:asciiTheme="minorHAnsi" w:hAnsiTheme="minorHAnsi" w:cs="Arial"/>
        </w:rPr>
        <w:t xml:space="preserve">UK. </w:t>
      </w:r>
    </w:p>
    <w:p w14:paraId="20A10E86" w14:textId="77777777" w:rsidR="001139E9" w:rsidRPr="00AD3D1F" w:rsidRDefault="001139E9" w:rsidP="001139E9">
      <w:pPr>
        <w:pStyle w:val="NoSpacing"/>
        <w:numPr>
          <w:ilvl w:val="0"/>
          <w:numId w:val="1"/>
        </w:numPr>
        <w:jc w:val="both"/>
        <w:rPr>
          <w:rFonts w:asciiTheme="minorHAnsi" w:hAnsiTheme="minorHAnsi" w:cs="Arial"/>
        </w:rPr>
      </w:pPr>
      <w:r w:rsidRPr="00AD3D1F">
        <w:rPr>
          <w:rFonts w:asciiTheme="minorHAnsi" w:hAnsiTheme="minorHAnsi" w:cs="Arial"/>
        </w:rPr>
        <w:t xml:space="preserve">Outpatient treatment of acute conditions. </w:t>
      </w:r>
    </w:p>
    <w:p w14:paraId="5DB6EFE9" w14:textId="77777777" w:rsidR="00B919E4" w:rsidRPr="00AD3D1F" w:rsidRDefault="001139E9" w:rsidP="00B919E4">
      <w:pPr>
        <w:pStyle w:val="NoSpacing"/>
        <w:numPr>
          <w:ilvl w:val="0"/>
          <w:numId w:val="1"/>
        </w:numPr>
        <w:jc w:val="both"/>
        <w:rPr>
          <w:rFonts w:asciiTheme="minorHAnsi" w:hAnsiTheme="minorHAnsi" w:cs="Arial"/>
        </w:rPr>
      </w:pPr>
      <w:r w:rsidRPr="00AD3D1F">
        <w:rPr>
          <w:rFonts w:asciiTheme="minorHAnsi" w:hAnsiTheme="minorHAnsi" w:cs="Arial"/>
        </w:rPr>
        <w:lastRenderedPageBreak/>
        <w:t>Cover for pre-existing health conditions for employees</w:t>
      </w:r>
    </w:p>
    <w:p w14:paraId="4E1EB78D" w14:textId="77777777" w:rsidR="00AB6048" w:rsidRPr="00AD3D1F" w:rsidRDefault="00AB6048" w:rsidP="00B919E4">
      <w:pPr>
        <w:pStyle w:val="NoSpacing"/>
        <w:numPr>
          <w:ilvl w:val="0"/>
          <w:numId w:val="1"/>
        </w:numPr>
        <w:jc w:val="both"/>
        <w:rPr>
          <w:rFonts w:asciiTheme="minorHAnsi" w:hAnsiTheme="minorHAnsi" w:cs="Arial"/>
        </w:rPr>
      </w:pPr>
      <w:r w:rsidRPr="00AD3D1F">
        <w:rPr>
          <w:rFonts w:asciiTheme="minorHAnsi" w:hAnsiTheme="minorHAnsi" w:cs="Arial"/>
        </w:rPr>
        <w:t>Moratorium for Dependants for circa 2 years</w:t>
      </w:r>
    </w:p>
    <w:p w14:paraId="1478E942" w14:textId="77777777" w:rsidR="00B94E97" w:rsidRDefault="003D6574" w:rsidP="00B919E4">
      <w:pPr>
        <w:pStyle w:val="NoSpacing"/>
        <w:numPr>
          <w:ilvl w:val="0"/>
          <w:numId w:val="1"/>
        </w:numPr>
        <w:jc w:val="both"/>
        <w:rPr>
          <w:rFonts w:asciiTheme="minorHAnsi" w:hAnsiTheme="minorHAnsi" w:cs="Arial"/>
        </w:rPr>
      </w:pPr>
      <w:r w:rsidRPr="00AD3D1F">
        <w:rPr>
          <w:rFonts w:asciiTheme="minorHAnsi" w:hAnsiTheme="minorHAnsi" w:cs="Arial"/>
        </w:rPr>
        <w:t xml:space="preserve">Cover to include </w:t>
      </w:r>
      <w:r w:rsidR="00486B7E">
        <w:rPr>
          <w:rFonts w:asciiTheme="minorHAnsi" w:hAnsiTheme="minorHAnsi" w:cs="Arial"/>
        </w:rPr>
        <w:t>care for musculoskeletal and</w:t>
      </w:r>
      <w:r w:rsidRPr="00AD3D1F">
        <w:rPr>
          <w:rFonts w:asciiTheme="minorHAnsi" w:hAnsiTheme="minorHAnsi" w:cs="Arial"/>
        </w:rPr>
        <w:t xml:space="preserve"> psychiatric </w:t>
      </w:r>
      <w:r w:rsidR="00B94E97">
        <w:rPr>
          <w:rFonts w:asciiTheme="minorHAnsi" w:hAnsiTheme="minorHAnsi" w:cs="Arial"/>
        </w:rPr>
        <w:t>condition</w:t>
      </w:r>
    </w:p>
    <w:p w14:paraId="0B748A5F" w14:textId="14D3628F" w:rsidR="00AB6048" w:rsidRPr="00AD3D1F" w:rsidRDefault="00B94E97" w:rsidP="00B919E4">
      <w:pPr>
        <w:pStyle w:val="NoSpacing"/>
        <w:numPr>
          <w:ilvl w:val="0"/>
          <w:numId w:val="1"/>
        </w:numPr>
        <w:jc w:val="both"/>
        <w:rPr>
          <w:rFonts w:asciiTheme="minorHAnsi" w:hAnsiTheme="minorHAnsi" w:cs="Arial"/>
        </w:rPr>
      </w:pPr>
      <w:r>
        <w:rPr>
          <w:rFonts w:asciiTheme="minorHAnsi" w:hAnsiTheme="minorHAnsi" w:cs="Arial"/>
        </w:rPr>
        <w:t>Cover for all forms</w:t>
      </w:r>
      <w:r w:rsidR="00486B7E">
        <w:rPr>
          <w:rFonts w:asciiTheme="minorHAnsi" w:hAnsiTheme="minorHAnsi" w:cs="Arial"/>
        </w:rPr>
        <w:t xml:space="preserve"> of </w:t>
      </w:r>
      <w:r w:rsidR="003D6574" w:rsidRPr="00AD3D1F">
        <w:rPr>
          <w:rFonts w:asciiTheme="minorHAnsi" w:hAnsiTheme="minorHAnsi" w:cs="Arial"/>
        </w:rPr>
        <w:t>cancer</w:t>
      </w:r>
      <w:r>
        <w:rPr>
          <w:rFonts w:asciiTheme="minorHAnsi" w:hAnsiTheme="minorHAnsi" w:cs="Arial"/>
        </w:rPr>
        <w:t xml:space="preserve"> and care with no cap on cost of treatment</w:t>
      </w:r>
      <w:r w:rsidR="003D6574" w:rsidRPr="00AD3D1F">
        <w:rPr>
          <w:rFonts w:asciiTheme="minorHAnsi" w:hAnsiTheme="minorHAnsi" w:cs="Arial"/>
        </w:rPr>
        <w:t>.</w:t>
      </w:r>
    </w:p>
    <w:p w14:paraId="18A8F0DD" w14:textId="77777777" w:rsidR="00892129" w:rsidRPr="00AD3D1F" w:rsidRDefault="00892129" w:rsidP="00892129">
      <w:pPr>
        <w:pStyle w:val="NoSpacing"/>
        <w:jc w:val="both"/>
        <w:rPr>
          <w:rFonts w:asciiTheme="minorHAnsi" w:hAnsiTheme="minorHAnsi" w:cs="Arial"/>
        </w:rPr>
      </w:pPr>
    </w:p>
    <w:p w14:paraId="242D1ED6" w14:textId="77777777" w:rsidR="00FF7F2F" w:rsidRPr="00AD3D1F" w:rsidRDefault="00FF7F2F" w:rsidP="00FF7F2F">
      <w:pPr>
        <w:pStyle w:val="NoSpacing"/>
        <w:jc w:val="both"/>
        <w:rPr>
          <w:rFonts w:asciiTheme="minorHAnsi" w:hAnsiTheme="minorHAnsi" w:cs="Arial"/>
          <w:b/>
        </w:rPr>
      </w:pPr>
      <w:r w:rsidRPr="00AD3D1F">
        <w:rPr>
          <w:rFonts w:asciiTheme="minorHAnsi" w:hAnsiTheme="minorHAnsi" w:cs="Arial"/>
          <w:b/>
        </w:rPr>
        <w:t>Dental Cover</w:t>
      </w:r>
    </w:p>
    <w:p w14:paraId="7204B555" w14:textId="77777777" w:rsidR="00FF7F2F" w:rsidRPr="00AD3D1F" w:rsidRDefault="00FF7F2F" w:rsidP="00FF7F2F">
      <w:pPr>
        <w:pStyle w:val="NoSpacing"/>
        <w:jc w:val="both"/>
        <w:rPr>
          <w:rFonts w:asciiTheme="minorHAnsi" w:hAnsiTheme="minorHAnsi" w:cs="Arial"/>
        </w:rPr>
      </w:pPr>
    </w:p>
    <w:p w14:paraId="39AD638F" w14:textId="77777777" w:rsidR="00FF7F2F" w:rsidRPr="00AD3D1F" w:rsidRDefault="00FF7F2F" w:rsidP="00FF7F2F">
      <w:pPr>
        <w:pStyle w:val="NoSpacing"/>
        <w:ind w:left="720" w:hanging="720"/>
        <w:rPr>
          <w:rFonts w:asciiTheme="minorHAnsi" w:hAnsiTheme="minorHAnsi" w:cs="Arial"/>
        </w:rPr>
      </w:pPr>
      <w:r w:rsidRPr="00AD3D1F">
        <w:rPr>
          <w:rFonts w:asciiTheme="minorHAnsi" w:hAnsiTheme="minorHAnsi" w:cs="Arial"/>
        </w:rPr>
        <w:t>3.5</w:t>
      </w:r>
      <w:r w:rsidRPr="00AD3D1F">
        <w:rPr>
          <w:rFonts w:asciiTheme="minorHAnsi" w:hAnsiTheme="minorHAnsi" w:cs="Arial"/>
        </w:rPr>
        <w:tab/>
        <w:t>There are currently 318 members registered in the Dental Cover scheme.</w:t>
      </w:r>
    </w:p>
    <w:p w14:paraId="4BD12B28" w14:textId="77777777" w:rsidR="00FF7F2F" w:rsidRPr="00AD3D1F" w:rsidRDefault="00FF7F2F" w:rsidP="00FF7F2F">
      <w:pPr>
        <w:pStyle w:val="NoSpacing"/>
        <w:ind w:left="720" w:hanging="720"/>
        <w:rPr>
          <w:rFonts w:asciiTheme="minorHAnsi" w:hAnsiTheme="minorHAnsi" w:cs="Arial"/>
        </w:rPr>
      </w:pPr>
    </w:p>
    <w:p w14:paraId="32717EF0" w14:textId="77777777" w:rsidR="00DC07CA" w:rsidRPr="00AD3D1F" w:rsidRDefault="00FF7F2F" w:rsidP="00FF7F2F">
      <w:pPr>
        <w:pStyle w:val="NoSpacing"/>
        <w:ind w:left="720" w:hanging="720"/>
        <w:rPr>
          <w:rFonts w:asciiTheme="minorHAnsi" w:hAnsiTheme="minorHAnsi" w:cs="Arial"/>
        </w:rPr>
      </w:pPr>
      <w:r w:rsidRPr="00AD3D1F">
        <w:rPr>
          <w:rFonts w:asciiTheme="minorHAnsi" w:hAnsiTheme="minorHAnsi" w:cs="Arial"/>
        </w:rPr>
        <w:t>3.6</w:t>
      </w:r>
      <w:r w:rsidRPr="00AD3D1F">
        <w:rPr>
          <w:rFonts w:asciiTheme="minorHAnsi" w:hAnsiTheme="minorHAnsi" w:cs="Arial"/>
        </w:rPr>
        <w:tab/>
        <w:t>RSSB require a dental cover scheme where employees seek and pay for dental treatment via a NHS or private dentist then download a claim form from a portal online</w:t>
      </w:r>
      <w:r w:rsidR="00DC07CA" w:rsidRPr="00AD3D1F">
        <w:rPr>
          <w:rFonts w:asciiTheme="minorHAnsi" w:hAnsiTheme="minorHAnsi" w:cs="Arial"/>
        </w:rPr>
        <w:t xml:space="preserve"> and submit to the provider. Current claim forms must be completed and signed in the treatment section by a qualified member of staff at the dentist /specialist before claim can be submitted to be reimbursed.</w:t>
      </w:r>
    </w:p>
    <w:p w14:paraId="471F9C1F" w14:textId="77777777" w:rsidR="00DC07CA" w:rsidRPr="00AD3D1F" w:rsidRDefault="00DC07CA" w:rsidP="00FF7F2F">
      <w:pPr>
        <w:pStyle w:val="NoSpacing"/>
        <w:ind w:left="720" w:hanging="720"/>
        <w:rPr>
          <w:rFonts w:asciiTheme="minorHAnsi" w:hAnsiTheme="minorHAnsi" w:cs="Arial"/>
        </w:rPr>
      </w:pPr>
    </w:p>
    <w:p w14:paraId="22B5306C" w14:textId="6031AA4B" w:rsidR="00DC07CA" w:rsidRPr="00AD3D1F" w:rsidRDefault="00DC07CA" w:rsidP="00B919E4">
      <w:pPr>
        <w:pStyle w:val="NoSpacing"/>
        <w:rPr>
          <w:rFonts w:asciiTheme="minorHAnsi" w:hAnsiTheme="minorHAnsi" w:cs="Arial"/>
        </w:rPr>
      </w:pPr>
      <w:r w:rsidRPr="00AD3D1F">
        <w:rPr>
          <w:rFonts w:asciiTheme="minorHAnsi" w:hAnsiTheme="minorHAnsi" w:cs="Arial"/>
        </w:rPr>
        <w:t>3.7</w:t>
      </w:r>
      <w:r w:rsidR="00FF7F2F" w:rsidRPr="00AD3D1F">
        <w:rPr>
          <w:rFonts w:asciiTheme="minorHAnsi" w:hAnsiTheme="minorHAnsi" w:cs="Arial"/>
        </w:rPr>
        <w:t>.</w:t>
      </w:r>
      <w:r w:rsidRPr="00AD3D1F">
        <w:rPr>
          <w:rFonts w:asciiTheme="minorHAnsi" w:hAnsiTheme="minorHAnsi" w:cs="Arial"/>
        </w:rPr>
        <w:tab/>
        <w:t>Benefits must cover as a minimum:</w:t>
      </w:r>
    </w:p>
    <w:p w14:paraId="1C0F6CF0" w14:textId="77777777" w:rsidR="00B919E4" w:rsidRPr="00AD3D1F" w:rsidRDefault="00B919E4" w:rsidP="00B919E4">
      <w:pPr>
        <w:pStyle w:val="NoSpacing"/>
        <w:numPr>
          <w:ilvl w:val="0"/>
          <w:numId w:val="1"/>
        </w:numPr>
        <w:jc w:val="both"/>
        <w:rPr>
          <w:rFonts w:asciiTheme="minorHAnsi" w:hAnsiTheme="minorHAnsi" w:cs="Arial"/>
        </w:rPr>
      </w:pPr>
      <w:r w:rsidRPr="00AD3D1F">
        <w:rPr>
          <w:rFonts w:asciiTheme="minorHAnsi" w:hAnsiTheme="minorHAnsi" w:cs="Arial"/>
        </w:rPr>
        <w:t>Dental emergencies</w:t>
      </w:r>
    </w:p>
    <w:p w14:paraId="16D2F487" w14:textId="77777777" w:rsidR="00DC07CA" w:rsidRPr="00AD3D1F" w:rsidRDefault="00DC07CA" w:rsidP="00B919E4">
      <w:pPr>
        <w:pStyle w:val="NoSpacing"/>
        <w:numPr>
          <w:ilvl w:val="0"/>
          <w:numId w:val="1"/>
        </w:numPr>
        <w:jc w:val="both"/>
        <w:rPr>
          <w:rFonts w:asciiTheme="minorHAnsi" w:hAnsiTheme="minorHAnsi" w:cs="Arial"/>
        </w:rPr>
      </w:pPr>
      <w:r w:rsidRPr="00AD3D1F">
        <w:rPr>
          <w:rFonts w:asciiTheme="minorHAnsi" w:hAnsiTheme="minorHAnsi" w:cs="Arial"/>
        </w:rPr>
        <w:t>Accidental damage</w:t>
      </w:r>
    </w:p>
    <w:p w14:paraId="35FBA181" w14:textId="77777777" w:rsidR="00DC07CA" w:rsidRPr="00AD3D1F" w:rsidRDefault="00DC07CA" w:rsidP="00B919E4">
      <w:pPr>
        <w:pStyle w:val="NoSpacing"/>
        <w:numPr>
          <w:ilvl w:val="0"/>
          <w:numId w:val="1"/>
        </w:numPr>
        <w:jc w:val="both"/>
        <w:rPr>
          <w:rFonts w:asciiTheme="minorHAnsi" w:hAnsiTheme="minorHAnsi" w:cs="Arial"/>
        </w:rPr>
      </w:pPr>
      <w:r w:rsidRPr="00AD3D1F">
        <w:rPr>
          <w:rFonts w:asciiTheme="minorHAnsi" w:hAnsiTheme="minorHAnsi" w:cs="Arial"/>
        </w:rPr>
        <w:t>Hospital cash amount (oral surgical procedure)</w:t>
      </w:r>
    </w:p>
    <w:p w14:paraId="116FB020" w14:textId="77777777" w:rsidR="00DC07CA" w:rsidRPr="00AD3D1F" w:rsidRDefault="00DC07CA" w:rsidP="00B919E4">
      <w:pPr>
        <w:pStyle w:val="NoSpacing"/>
        <w:numPr>
          <w:ilvl w:val="0"/>
          <w:numId w:val="1"/>
        </w:numPr>
        <w:jc w:val="both"/>
        <w:rPr>
          <w:rFonts w:asciiTheme="minorHAnsi" w:hAnsiTheme="minorHAnsi" w:cs="Arial"/>
        </w:rPr>
      </w:pPr>
      <w:r w:rsidRPr="00AD3D1F">
        <w:rPr>
          <w:rFonts w:asciiTheme="minorHAnsi" w:hAnsiTheme="minorHAnsi" w:cs="Arial"/>
        </w:rPr>
        <w:t>100% preventative treatment (any limitations must be outlined)</w:t>
      </w:r>
    </w:p>
    <w:p w14:paraId="04C48270" w14:textId="77777777" w:rsidR="00DC07CA" w:rsidRPr="00AD3D1F" w:rsidRDefault="00DC07CA" w:rsidP="00B919E4">
      <w:pPr>
        <w:pStyle w:val="NoSpacing"/>
        <w:numPr>
          <w:ilvl w:val="0"/>
          <w:numId w:val="1"/>
        </w:numPr>
        <w:jc w:val="both"/>
        <w:rPr>
          <w:rFonts w:asciiTheme="minorHAnsi" w:hAnsiTheme="minorHAnsi" w:cs="Arial"/>
        </w:rPr>
      </w:pPr>
      <w:r w:rsidRPr="00AD3D1F">
        <w:rPr>
          <w:rFonts w:asciiTheme="minorHAnsi" w:hAnsiTheme="minorHAnsi" w:cs="Arial"/>
        </w:rPr>
        <w:t xml:space="preserve">80% Minor and major treatment </w:t>
      </w:r>
    </w:p>
    <w:p w14:paraId="01CCA8C1" w14:textId="77777777" w:rsidR="00DC07CA" w:rsidRPr="00AD3D1F" w:rsidRDefault="00DC07CA" w:rsidP="00B919E4">
      <w:pPr>
        <w:pStyle w:val="NoSpacing"/>
        <w:numPr>
          <w:ilvl w:val="0"/>
          <w:numId w:val="1"/>
        </w:numPr>
        <w:jc w:val="both"/>
        <w:rPr>
          <w:rFonts w:asciiTheme="minorHAnsi" w:hAnsiTheme="minorHAnsi" w:cs="Arial"/>
        </w:rPr>
      </w:pPr>
      <w:r w:rsidRPr="00AD3D1F">
        <w:rPr>
          <w:rFonts w:asciiTheme="minorHAnsi" w:hAnsiTheme="minorHAnsi" w:cs="Arial"/>
        </w:rPr>
        <w:t>Oral cancer (no waiting period for mouth cancer claims)</w:t>
      </w:r>
    </w:p>
    <w:p w14:paraId="02268B6E" w14:textId="0DAEF643" w:rsidR="00DC07CA" w:rsidRPr="00AD3D1F" w:rsidRDefault="00DC07CA" w:rsidP="00B919E4">
      <w:pPr>
        <w:pStyle w:val="NoSpacing"/>
        <w:numPr>
          <w:ilvl w:val="0"/>
          <w:numId w:val="1"/>
        </w:numPr>
        <w:jc w:val="both"/>
        <w:rPr>
          <w:rFonts w:asciiTheme="minorHAnsi" w:hAnsiTheme="minorHAnsi" w:cs="Arial"/>
        </w:rPr>
      </w:pPr>
      <w:r w:rsidRPr="00AD3D1F">
        <w:rPr>
          <w:rFonts w:asciiTheme="minorHAnsi" w:hAnsiTheme="minorHAnsi" w:cs="Arial"/>
        </w:rPr>
        <w:t>Cover for pre-existing implant gaps</w:t>
      </w:r>
      <w:r w:rsidR="0025773E" w:rsidRPr="00AD3D1F">
        <w:rPr>
          <w:rFonts w:asciiTheme="minorHAnsi" w:hAnsiTheme="minorHAnsi" w:cs="Arial"/>
        </w:rPr>
        <w:t>?</w:t>
      </w:r>
    </w:p>
    <w:p w14:paraId="1BBF9D21" w14:textId="38683CE1" w:rsidR="00DC07CA" w:rsidRPr="00AD3D1F" w:rsidRDefault="00DC07CA" w:rsidP="00B919E4">
      <w:pPr>
        <w:pStyle w:val="NoSpacing"/>
        <w:numPr>
          <w:ilvl w:val="0"/>
          <w:numId w:val="1"/>
        </w:numPr>
        <w:jc w:val="both"/>
        <w:rPr>
          <w:rFonts w:asciiTheme="minorHAnsi" w:hAnsiTheme="minorHAnsi" w:cs="Arial"/>
        </w:rPr>
      </w:pPr>
      <w:r w:rsidRPr="00AD3D1F">
        <w:rPr>
          <w:rFonts w:asciiTheme="minorHAnsi" w:hAnsiTheme="minorHAnsi" w:cs="Arial"/>
        </w:rPr>
        <w:t>No preauthorisation for major treatment</w:t>
      </w:r>
      <w:r w:rsidR="0025773E" w:rsidRPr="00AD3D1F">
        <w:rPr>
          <w:rFonts w:asciiTheme="minorHAnsi" w:hAnsiTheme="minorHAnsi" w:cs="Arial"/>
        </w:rPr>
        <w:t>?</w:t>
      </w:r>
    </w:p>
    <w:p w14:paraId="20FBCE3D" w14:textId="08D0D08F" w:rsidR="00DC07CA" w:rsidRPr="00AD3D1F" w:rsidRDefault="00DC07CA" w:rsidP="00B919E4">
      <w:pPr>
        <w:pStyle w:val="NoSpacing"/>
        <w:numPr>
          <w:ilvl w:val="0"/>
          <w:numId w:val="1"/>
        </w:numPr>
        <w:jc w:val="both"/>
        <w:rPr>
          <w:rFonts w:asciiTheme="minorHAnsi" w:hAnsiTheme="minorHAnsi" w:cs="Arial"/>
        </w:rPr>
      </w:pPr>
      <w:r w:rsidRPr="00AD3D1F">
        <w:rPr>
          <w:rFonts w:asciiTheme="minorHAnsi" w:hAnsiTheme="minorHAnsi" w:cs="Arial"/>
        </w:rPr>
        <w:t>Child orthodontics treatments are not limited to those under 18 years old</w:t>
      </w:r>
      <w:r w:rsidR="0025773E" w:rsidRPr="00AD3D1F">
        <w:rPr>
          <w:rFonts w:asciiTheme="minorHAnsi" w:hAnsiTheme="minorHAnsi" w:cs="Arial"/>
        </w:rPr>
        <w:t>?</w:t>
      </w:r>
    </w:p>
    <w:p w14:paraId="75D9685E" w14:textId="6E4148A4" w:rsidR="00AD3D1F" w:rsidRPr="006701AA" w:rsidRDefault="00DC07CA" w:rsidP="001B387A">
      <w:pPr>
        <w:pStyle w:val="NoSpacing"/>
        <w:numPr>
          <w:ilvl w:val="0"/>
          <w:numId w:val="1"/>
        </w:numPr>
        <w:rPr>
          <w:rFonts w:asciiTheme="minorHAnsi" w:hAnsiTheme="minorHAnsi" w:cs="Arial"/>
          <w:b/>
        </w:rPr>
      </w:pPr>
      <w:r w:rsidRPr="006701AA">
        <w:rPr>
          <w:rFonts w:asciiTheme="minorHAnsi" w:hAnsiTheme="minorHAnsi" w:cs="Arial"/>
        </w:rPr>
        <w:t xml:space="preserve">Children are covered up to the age of 25 (no </w:t>
      </w:r>
      <w:r w:rsidR="00B919E4" w:rsidRPr="006701AA">
        <w:rPr>
          <w:rFonts w:asciiTheme="minorHAnsi" w:hAnsiTheme="minorHAnsi" w:cs="Arial"/>
        </w:rPr>
        <w:t>full-time</w:t>
      </w:r>
      <w:r w:rsidRPr="006701AA">
        <w:rPr>
          <w:rFonts w:asciiTheme="minorHAnsi" w:hAnsiTheme="minorHAnsi" w:cs="Arial"/>
        </w:rPr>
        <w:t xml:space="preserve"> education stipulation)</w:t>
      </w:r>
      <w:r w:rsidR="0025773E" w:rsidRPr="006701AA">
        <w:rPr>
          <w:rFonts w:asciiTheme="minorHAnsi" w:hAnsiTheme="minorHAnsi" w:cs="Arial"/>
        </w:rPr>
        <w:t>?</w:t>
      </w:r>
    </w:p>
    <w:p w14:paraId="683E82A5" w14:textId="77777777" w:rsidR="00676F92" w:rsidRDefault="00676F92" w:rsidP="00B919E4">
      <w:pPr>
        <w:pStyle w:val="NoSpacing"/>
        <w:jc w:val="both"/>
        <w:rPr>
          <w:rFonts w:asciiTheme="minorHAnsi" w:hAnsiTheme="minorHAnsi" w:cs="Arial"/>
          <w:b/>
        </w:rPr>
      </w:pPr>
    </w:p>
    <w:p w14:paraId="7248818D" w14:textId="784ACA44" w:rsidR="00B919E4" w:rsidRPr="00AD3D1F" w:rsidRDefault="00B919E4" w:rsidP="00B919E4">
      <w:pPr>
        <w:pStyle w:val="NoSpacing"/>
        <w:jc w:val="both"/>
        <w:rPr>
          <w:rFonts w:asciiTheme="minorHAnsi" w:hAnsiTheme="minorHAnsi" w:cs="Arial"/>
          <w:b/>
        </w:rPr>
      </w:pPr>
      <w:r w:rsidRPr="00AD3D1F">
        <w:rPr>
          <w:rFonts w:asciiTheme="minorHAnsi" w:hAnsiTheme="minorHAnsi" w:cs="Arial"/>
          <w:b/>
        </w:rPr>
        <w:t>Employee Assistance Programme</w:t>
      </w:r>
    </w:p>
    <w:p w14:paraId="629EF3C9" w14:textId="77777777" w:rsidR="00B919E4" w:rsidRPr="00AD3D1F" w:rsidRDefault="00B919E4" w:rsidP="00B919E4">
      <w:pPr>
        <w:pStyle w:val="NoSpacing"/>
        <w:jc w:val="both"/>
        <w:rPr>
          <w:rFonts w:asciiTheme="minorHAnsi" w:hAnsiTheme="minorHAnsi" w:cs="Arial"/>
        </w:rPr>
      </w:pPr>
    </w:p>
    <w:p w14:paraId="06FB3FB6" w14:textId="77777777" w:rsidR="00B919E4" w:rsidRPr="00AD3D1F" w:rsidRDefault="00B919E4" w:rsidP="00B919E4">
      <w:pPr>
        <w:pStyle w:val="NoSpacing"/>
        <w:ind w:left="720" w:hanging="720"/>
        <w:rPr>
          <w:rFonts w:asciiTheme="minorHAnsi" w:hAnsiTheme="minorHAnsi" w:cs="Arial"/>
        </w:rPr>
      </w:pPr>
      <w:r w:rsidRPr="00AD3D1F">
        <w:rPr>
          <w:rFonts w:asciiTheme="minorHAnsi" w:hAnsiTheme="minorHAnsi" w:cs="Arial"/>
        </w:rPr>
        <w:t>3.8</w:t>
      </w:r>
      <w:r w:rsidRPr="00AD3D1F">
        <w:rPr>
          <w:rFonts w:asciiTheme="minorHAnsi" w:hAnsiTheme="minorHAnsi" w:cs="Arial"/>
        </w:rPr>
        <w:tab/>
        <w:t xml:space="preserve">RSSB require an Employee Assistance Programme </w:t>
      </w:r>
      <w:r w:rsidR="002E7390" w:rsidRPr="00AD3D1F">
        <w:rPr>
          <w:rFonts w:asciiTheme="minorHAnsi" w:hAnsiTheme="minorHAnsi" w:cs="Arial"/>
        </w:rPr>
        <w:t>free of charge to staff which is a confidential and independent resource to help balance work, family and personal life. The EAP must be available 7 days a week, 24 hours a day by phone, email or online. The service must provide information, resources, referrals and counselling on any issue the employee requires assistance with.</w:t>
      </w:r>
    </w:p>
    <w:p w14:paraId="63D648D3" w14:textId="3E1091EE" w:rsidR="002E7390" w:rsidRDefault="002E7390" w:rsidP="00892129">
      <w:pPr>
        <w:pStyle w:val="NoSpacing"/>
        <w:jc w:val="both"/>
        <w:rPr>
          <w:rFonts w:asciiTheme="minorHAnsi" w:hAnsiTheme="minorHAnsi" w:cs="Arial"/>
        </w:rPr>
      </w:pPr>
    </w:p>
    <w:p w14:paraId="1CBB3712" w14:textId="463D6184" w:rsidR="00676F92" w:rsidRDefault="00676F92" w:rsidP="00676F92">
      <w:pPr>
        <w:pStyle w:val="NoSpacing"/>
        <w:jc w:val="both"/>
        <w:rPr>
          <w:rFonts w:asciiTheme="minorHAnsi" w:hAnsiTheme="minorHAnsi" w:cs="Arial"/>
          <w:b/>
        </w:rPr>
      </w:pPr>
      <w:r w:rsidRPr="00676F92">
        <w:rPr>
          <w:rFonts w:asciiTheme="minorHAnsi" w:hAnsiTheme="minorHAnsi" w:cs="Arial"/>
          <w:b/>
        </w:rPr>
        <w:t>4.</w:t>
      </w:r>
      <w:r>
        <w:rPr>
          <w:rFonts w:asciiTheme="minorHAnsi" w:hAnsiTheme="minorHAnsi" w:cs="Arial"/>
          <w:b/>
        </w:rPr>
        <w:t xml:space="preserve"> Claims History</w:t>
      </w:r>
    </w:p>
    <w:p w14:paraId="3BD2DA12" w14:textId="026427CE" w:rsidR="00676F92" w:rsidRDefault="00676F92" w:rsidP="00676F92">
      <w:pPr>
        <w:pStyle w:val="NoSpacing"/>
        <w:jc w:val="both"/>
        <w:rPr>
          <w:rFonts w:asciiTheme="minorHAnsi" w:hAnsiTheme="minorHAnsi" w:cs="Arial"/>
          <w:b/>
        </w:rPr>
      </w:pPr>
    </w:p>
    <w:tbl>
      <w:tblPr>
        <w:tblStyle w:val="TableGrid"/>
        <w:tblW w:w="0" w:type="auto"/>
        <w:tblLook w:val="04A0" w:firstRow="1" w:lastRow="0" w:firstColumn="1" w:lastColumn="0" w:noHBand="0" w:noVBand="1"/>
      </w:tblPr>
      <w:tblGrid>
        <w:gridCol w:w="2254"/>
        <w:gridCol w:w="2254"/>
        <w:gridCol w:w="2254"/>
        <w:gridCol w:w="2254"/>
      </w:tblGrid>
      <w:tr w:rsidR="00676F92" w14:paraId="7935780D" w14:textId="77777777" w:rsidTr="00676F92">
        <w:tc>
          <w:tcPr>
            <w:tcW w:w="2254" w:type="dxa"/>
          </w:tcPr>
          <w:p w14:paraId="498C8DE7" w14:textId="358170FB" w:rsidR="00676F92" w:rsidRDefault="00676F92" w:rsidP="00676F92">
            <w:pPr>
              <w:pStyle w:val="NoSpacing"/>
              <w:jc w:val="center"/>
              <w:rPr>
                <w:rFonts w:asciiTheme="minorHAnsi" w:hAnsiTheme="minorHAnsi" w:cs="Arial"/>
                <w:b/>
              </w:rPr>
            </w:pPr>
            <w:r>
              <w:rPr>
                <w:rFonts w:asciiTheme="minorHAnsi" w:hAnsiTheme="minorHAnsi" w:cs="Arial"/>
                <w:b/>
              </w:rPr>
              <w:t>Year</w:t>
            </w:r>
          </w:p>
        </w:tc>
        <w:tc>
          <w:tcPr>
            <w:tcW w:w="2254" w:type="dxa"/>
          </w:tcPr>
          <w:p w14:paraId="302CA239" w14:textId="4CC49D92" w:rsidR="00676F92" w:rsidRDefault="00676F92" w:rsidP="00676F92">
            <w:pPr>
              <w:pStyle w:val="NoSpacing"/>
              <w:jc w:val="center"/>
              <w:rPr>
                <w:rFonts w:asciiTheme="minorHAnsi" w:hAnsiTheme="minorHAnsi" w:cs="Arial"/>
                <w:b/>
              </w:rPr>
            </w:pPr>
            <w:r>
              <w:rPr>
                <w:rFonts w:asciiTheme="minorHAnsi" w:hAnsiTheme="minorHAnsi" w:cs="Arial"/>
                <w:b/>
              </w:rPr>
              <w:t>Average Registrations</w:t>
            </w:r>
          </w:p>
        </w:tc>
        <w:tc>
          <w:tcPr>
            <w:tcW w:w="2254" w:type="dxa"/>
          </w:tcPr>
          <w:p w14:paraId="3B582D3D" w14:textId="03DF6B30" w:rsidR="00676F92" w:rsidRDefault="00676F92" w:rsidP="00676F92">
            <w:pPr>
              <w:pStyle w:val="NoSpacing"/>
              <w:jc w:val="center"/>
              <w:rPr>
                <w:rFonts w:asciiTheme="minorHAnsi" w:hAnsiTheme="minorHAnsi" w:cs="Arial"/>
                <w:b/>
              </w:rPr>
            </w:pPr>
            <w:r>
              <w:rPr>
                <w:rFonts w:asciiTheme="minorHAnsi" w:hAnsiTheme="minorHAnsi" w:cs="Arial"/>
                <w:b/>
              </w:rPr>
              <w:t>Claims Fund £</w:t>
            </w:r>
          </w:p>
        </w:tc>
        <w:tc>
          <w:tcPr>
            <w:tcW w:w="2254" w:type="dxa"/>
          </w:tcPr>
          <w:p w14:paraId="40CC5068" w14:textId="18C42AE5" w:rsidR="00676F92" w:rsidRDefault="00676F92" w:rsidP="00676F92">
            <w:pPr>
              <w:pStyle w:val="NoSpacing"/>
              <w:jc w:val="center"/>
              <w:rPr>
                <w:rFonts w:asciiTheme="minorHAnsi" w:hAnsiTheme="minorHAnsi" w:cs="Arial"/>
                <w:b/>
              </w:rPr>
            </w:pPr>
            <w:r>
              <w:rPr>
                <w:rFonts w:asciiTheme="minorHAnsi" w:hAnsiTheme="minorHAnsi" w:cs="Arial"/>
                <w:b/>
              </w:rPr>
              <w:t>Claims Incurred</w:t>
            </w:r>
          </w:p>
        </w:tc>
      </w:tr>
      <w:tr w:rsidR="00676F92" w14:paraId="6DA1C9DB" w14:textId="77777777" w:rsidTr="00676F92">
        <w:tc>
          <w:tcPr>
            <w:tcW w:w="2254" w:type="dxa"/>
          </w:tcPr>
          <w:p w14:paraId="134B7580" w14:textId="51D4B323" w:rsidR="00676F92" w:rsidRPr="00676F92" w:rsidRDefault="00676F92" w:rsidP="00676F92">
            <w:pPr>
              <w:pStyle w:val="NoSpacing"/>
              <w:jc w:val="center"/>
              <w:rPr>
                <w:rFonts w:asciiTheme="minorHAnsi" w:hAnsiTheme="minorHAnsi" w:cs="Arial"/>
              </w:rPr>
            </w:pPr>
            <w:r>
              <w:rPr>
                <w:rFonts w:asciiTheme="minorHAnsi" w:hAnsiTheme="minorHAnsi" w:cs="Arial"/>
              </w:rPr>
              <w:t>2014-15</w:t>
            </w:r>
          </w:p>
        </w:tc>
        <w:tc>
          <w:tcPr>
            <w:tcW w:w="2254" w:type="dxa"/>
          </w:tcPr>
          <w:p w14:paraId="50E75CD5" w14:textId="033DE092" w:rsidR="00676F92" w:rsidRPr="00676F92" w:rsidRDefault="00676F92" w:rsidP="00676F92">
            <w:pPr>
              <w:pStyle w:val="NoSpacing"/>
              <w:jc w:val="center"/>
              <w:rPr>
                <w:rFonts w:asciiTheme="minorHAnsi" w:hAnsiTheme="minorHAnsi" w:cs="Arial"/>
              </w:rPr>
            </w:pPr>
            <w:r>
              <w:rPr>
                <w:rFonts w:asciiTheme="minorHAnsi" w:hAnsiTheme="minorHAnsi" w:cs="Arial"/>
              </w:rPr>
              <w:t>200.5</w:t>
            </w:r>
          </w:p>
        </w:tc>
        <w:tc>
          <w:tcPr>
            <w:tcW w:w="2254" w:type="dxa"/>
          </w:tcPr>
          <w:p w14:paraId="56E12D19" w14:textId="43A09BC0" w:rsidR="00676F92" w:rsidRPr="00676F92" w:rsidRDefault="00676F92" w:rsidP="00676F92">
            <w:pPr>
              <w:pStyle w:val="NoSpacing"/>
              <w:jc w:val="center"/>
              <w:rPr>
                <w:rFonts w:asciiTheme="minorHAnsi" w:hAnsiTheme="minorHAnsi" w:cs="Arial"/>
              </w:rPr>
            </w:pPr>
            <w:r>
              <w:rPr>
                <w:rFonts w:asciiTheme="minorHAnsi" w:hAnsiTheme="minorHAnsi" w:cs="Arial"/>
              </w:rPr>
              <w:t>143,241</w:t>
            </w:r>
          </w:p>
        </w:tc>
        <w:tc>
          <w:tcPr>
            <w:tcW w:w="2254" w:type="dxa"/>
          </w:tcPr>
          <w:p w14:paraId="178BEA22" w14:textId="6267D37C" w:rsidR="00676F92" w:rsidRPr="00676F92" w:rsidRDefault="00676F92" w:rsidP="00676F92">
            <w:pPr>
              <w:pStyle w:val="NoSpacing"/>
              <w:jc w:val="center"/>
              <w:rPr>
                <w:rFonts w:asciiTheme="minorHAnsi" w:hAnsiTheme="minorHAnsi" w:cs="Arial"/>
              </w:rPr>
            </w:pPr>
            <w:r>
              <w:rPr>
                <w:rFonts w:asciiTheme="minorHAnsi" w:hAnsiTheme="minorHAnsi" w:cs="Arial"/>
              </w:rPr>
              <w:t>199,241</w:t>
            </w:r>
          </w:p>
        </w:tc>
      </w:tr>
      <w:tr w:rsidR="00676F92" w14:paraId="5DCE1252" w14:textId="77777777" w:rsidTr="00676F92">
        <w:tc>
          <w:tcPr>
            <w:tcW w:w="2254" w:type="dxa"/>
          </w:tcPr>
          <w:p w14:paraId="72C9B68A" w14:textId="7DF72092" w:rsidR="00676F92" w:rsidRPr="00676F92" w:rsidRDefault="00676F92" w:rsidP="00676F92">
            <w:pPr>
              <w:pStyle w:val="NoSpacing"/>
              <w:jc w:val="center"/>
              <w:rPr>
                <w:rFonts w:asciiTheme="minorHAnsi" w:hAnsiTheme="minorHAnsi" w:cs="Arial"/>
              </w:rPr>
            </w:pPr>
            <w:r>
              <w:rPr>
                <w:rFonts w:asciiTheme="minorHAnsi" w:hAnsiTheme="minorHAnsi" w:cs="Arial"/>
              </w:rPr>
              <w:t>2015-16</w:t>
            </w:r>
          </w:p>
        </w:tc>
        <w:tc>
          <w:tcPr>
            <w:tcW w:w="2254" w:type="dxa"/>
          </w:tcPr>
          <w:p w14:paraId="3F6CC032" w14:textId="1F4645B4" w:rsidR="00676F92" w:rsidRPr="00676F92" w:rsidRDefault="00676F92" w:rsidP="00676F92">
            <w:pPr>
              <w:pStyle w:val="NoSpacing"/>
              <w:jc w:val="center"/>
              <w:rPr>
                <w:rFonts w:asciiTheme="minorHAnsi" w:hAnsiTheme="minorHAnsi" w:cs="Arial"/>
              </w:rPr>
            </w:pPr>
            <w:r>
              <w:rPr>
                <w:rFonts w:asciiTheme="minorHAnsi" w:hAnsiTheme="minorHAnsi" w:cs="Arial"/>
              </w:rPr>
              <w:t>192.0</w:t>
            </w:r>
          </w:p>
        </w:tc>
        <w:tc>
          <w:tcPr>
            <w:tcW w:w="2254" w:type="dxa"/>
          </w:tcPr>
          <w:p w14:paraId="4A1625F1" w14:textId="18D0991B" w:rsidR="00676F92" w:rsidRPr="00676F92" w:rsidRDefault="00676F92" w:rsidP="00676F92">
            <w:pPr>
              <w:pStyle w:val="NoSpacing"/>
              <w:jc w:val="center"/>
              <w:rPr>
                <w:rFonts w:asciiTheme="minorHAnsi" w:hAnsiTheme="minorHAnsi" w:cs="Arial"/>
              </w:rPr>
            </w:pPr>
            <w:r>
              <w:rPr>
                <w:rFonts w:asciiTheme="minorHAnsi" w:hAnsiTheme="minorHAnsi" w:cs="Arial"/>
              </w:rPr>
              <w:t>134,162</w:t>
            </w:r>
          </w:p>
        </w:tc>
        <w:tc>
          <w:tcPr>
            <w:tcW w:w="2254" w:type="dxa"/>
          </w:tcPr>
          <w:p w14:paraId="4EBA57FB" w14:textId="27F96A63" w:rsidR="00676F92" w:rsidRPr="00676F92" w:rsidRDefault="006C0B70" w:rsidP="00676F92">
            <w:pPr>
              <w:pStyle w:val="NoSpacing"/>
              <w:jc w:val="center"/>
              <w:rPr>
                <w:rFonts w:asciiTheme="minorHAnsi" w:hAnsiTheme="minorHAnsi" w:cs="Arial"/>
              </w:rPr>
            </w:pPr>
            <w:r>
              <w:rPr>
                <w:rFonts w:asciiTheme="minorHAnsi" w:hAnsiTheme="minorHAnsi" w:cs="Arial"/>
              </w:rPr>
              <w:t>134,162</w:t>
            </w:r>
          </w:p>
        </w:tc>
      </w:tr>
      <w:tr w:rsidR="00676F92" w14:paraId="720C182F" w14:textId="77777777" w:rsidTr="00676F92">
        <w:tc>
          <w:tcPr>
            <w:tcW w:w="2254" w:type="dxa"/>
          </w:tcPr>
          <w:p w14:paraId="45A1C156" w14:textId="248FA339" w:rsidR="00676F92" w:rsidRPr="00676F92" w:rsidRDefault="00676F92" w:rsidP="00676F92">
            <w:pPr>
              <w:pStyle w:val="NoSpacing"/>
              <w:jc w:val="center"/>
              <w:rPr>
                <w:rFonts w:asciiTheme="minorHAnsi" w:hAnsiTheme="minorHAnsi" w:cs="Arial"/>
              </w:rPr>
            </w:pPr>
            <w:r>
              <w:rPr>
                <w:rFonts w:asciiTheme="minorHAnsi" w:hAnsiTheme="minorHAnsi" w:cs="Arial"/>
              </w:rPr>
              <w:t>2016-17</w:t>
            </w:r>
          </w:p>
        </w:tc>
        <w:tc>
          <w:tcPr>
            <w:tcW w:w="2254" w:type="dxa"/>
          </w:tcPr>
          <w:p w14:paraId="6982C925" w14:textId="403A9454" w:rsidR="00676F92" w:rsidRPr="00676F92" w:rsidRDefault="00676F92" w:rsidP="00676F92">
            <w:pPr>
              <w:pStyle w:val="NoSpacing"/>
              <w:jc w:val="center"/>
              <w:rPr>
                <w:rFonts w:asciiTheme="minorHAnsi" w:hAnsiTheme="minorHAnsi" w:cs="Arial"/>
              </w:rPr>
            </w:pPr>
            <w:r>
              <w:rPr>
                <w:rFonts w:asciiTheme="minorHAnsi" w:hAnsiTheme="minorHAnsi" w:cs="Arial"/>
              </w:rPr>
              <w:t>212.5*</w:t>
            </w:r>
          </w:p>
        </w:tc>
        <w:tc>
          <w:tcPr>
            <w:tcW w:w="2254" w:type="dxa"/>
          </w:tcPr>
          <w:p w14:paraId="596B8687" w14:textId="1420E651" w:rsidR="00676F92" w:rsidRPr="00676F92" w:rsidRDefault="006C0B70" w:rsidP="00676F92">
            <w:pPr>
              <w:pStyle w:val="NoSpacing"/>
              <w:jc w:val="center"/>
              <w:rPr>
                <w:rFonts w:asciiTheme="minorHAnsi" w:hAnsiTheme="minorHAnsi" w:cs="Arial"/>
              </w:rPr>
            </w:pPr>
            <w:r>
              <w:rPr>
                <w:rFonts w:asciiTheme="minorHAnsi" w:hAnsiTheme="minorHAnsi" w:cs="Arial"/>
              </w:rPr>
              <w:t>165,618</w:t>
            </w:r>
          </w:p>
        </w:tc>
        <w:tc>
          <w:tcPr>
            <w:tcW w:w="2254" w:type="dxa"/>
          </w:tcPr>
          <w:p w14:paraId="0D14CD13" w14:textId="5B201379" w:rsidR="00676F92" w:rsidRPr="00676F92" w:rsidRDefault="006C0B70" w:rsidP="00676F92">
            <w:pPr>
              <w:pStyle w:val="NoSpacing"/>
              <w:jc w:val="center"/>
              <w:rPr>
                <w:rFonts w:asciiTheme="minorHAnsi" w:hAnsiTheme="minorHAnsi" w:cs="Arial"/>
              </w:rPr>
            </w:pPr>
            <w:r>
              <w:rPr>
                <w:rFonts w:asciiTheme="minorHAnsi" w:hAnsiTheme="minorHAnsi" w:cs="Arial"/>
              </w:rPr>
              <w:t>193,115**</w:t>
            </w:r>
          </w:p>
        </w:tc>
      </w:tr>
    </w:tbl>
    <w:p w14:paraId="5757B824" w14:textId="1DFA55EE" w:rsidR="00676F92" w:rsidRDefault="00676F92" w:rsidP="00676F92">
      <w:pPr>
        <w:pStyle w:val="NoSpacing"/>
        <w:jc w:val="both"/>
        <w:rPr>
          <w:rFonts w:asciiTheme="minorHAnsi" w:hAnsiTheme="minorHAnsi" w:cs="Arial"/>
        </w:rPr>
      </w:pPr>
      <w:r w:rsidRPr="00676F92">
        <w:rPr>
          <w:rFonts w:asciiTheme="minorHAnsi" w:hAnsiTheme="minorHAnsi" w:cs="Arial"/>
        </w:rPr>
        <w:t>*</w:t>
      </w:r>
      <w:r>
        <w:rPr>
          <w:rFonts w:asciiTheme="minorHAnsi" w:hAnsiTheme="minorHAnsi" w:cs="Arial"/>
        </w:rPr>
        <w:t xml:space="preserve"> (</w:t>
      </w:r>
      <w:r w:rsidRPr="00676F92">
        <w:rPr>
          <w:rFonts w:asciiTheme="minorHAnsi" w:hAnsiTheme="minorHAnsi" w:cs="Arial"/>
        </w:rPr>
        <w:t>based on an average of the opening and current registrations</w:t>
      </w:r>
      <w:r>
        <w:rPr>
          <w:rFonts w:asciiTheme="minorHAnsi" w:hAnsiTheme="minorHAnsi" w:cs="Arial"/>
        </w:rPr>
        <w:t>)</w:t>
      </w:r>
    </w:p>
    <w:p w14:paraId="03059670" w14:textId="2D9D03A8" w:rsidR="00676F92" w:rsidRPr="00676F92" w:rsidRDefault="00676F92" w:rsidP="00676F92">
      <w:pPr>
        <w:pStyle w:val="NoSpacing"/>
        <w:jc w:val="both"/>
        <w:rPr>
          <w:rFonts w:asciiTheme="minorHAnsi" w:hAnsiTheme="minorHAnsi" w:cs="Arial"/>
        </w:rPr>
      </w:pPr>
      <w:r>
        <w:rPr>
          <w:rFonts w:asciiTheme="minorHAnsi" w:hAnsiTheme="minorHAnsi" w:cs="Arial"/>
        </w:rPr>
        <w:t>**(9 months incurred £121,998, 3 months estimate £40,666, tail at 9 months £30,451)</w:t>
      </w:r>
    </w:p>
    <w:p w14:paraId="23065F98" w14:textId="77777777" w:rsidR="00676F92" w:rsidRPr="00AD3D1F" w:rsidRDefault="00676F92" w:rsidP="00892129">
      <w:pPr>
        <w:pStyle w:val="NoSpacing"/>
        <w:jc w:val="both"/>
        <w:rPr>
          <w:rFonts w:asciiTheme="minorHAnsi" w:hAnsiTheme="minorHAnsi" w:cs="Arial"/>
        </w:rPr>
      </w:pPr>
    </w:p>
    <w:p w14:paraId="64899FFA" w14:textId="001A5D11" w:rsidR="00535793" w:rsidRPr="00AD3D1F" w:rsidRDefault="00676F92" w:rsidP="008C60B9">
      <w:pPr>
        <w:pStyle w:val="NoSpacing"/>
        <w:jc w:val="both"/>
        <w:rPr>
          <w:rFonts w:asciiTheme="minorHAnsi" w:hAnsiTheme="minorHAnsi" w:cs="Arial"/>
          <w:b/>
        </w:rPr>
      </w:pPr>
      <w:r>
        <w:rPr>
          <w:rFonts w:asciiTheme="minorHAnsi" w:hAnsiTheme="minorHAnsi" w:cs="Arial"/>
          <w:b/>
        </w:rPr>
        <w:t>5</w:t>
      </w:r>
      <w:r w:rsidR="00474D69" w:rsidRPr="00AD3D1F">
        <w:rPr>
          <w:rFonts w:asciiTheme="minorHAnsi" w:hAnsiTheme="minorHAnsi" w:cs="Arial"/>
          <w:b/>
        </w:rPr>
        <w:t xml:space="preserve">. </w:t>
      </w:r>
      <w:r w:rsidR="008D323C" w:rsidRPr="00AD3D1F">
        <w:rPr>
          <w:rFonts w:asciiTheme="minorHAnsi" w:hAnsiTheme="minorHAnsi" w:cs="Arial"/>
          <w:b/>
        </w:rPr>
        <w:t xml:space="preserve">Contract </w:t>
      </w:r>
      <w:r w:rsidR="00535793" w:rsidRPr="00AD3D1F">
        <w:rPr>
          <w:rFonts w:asciiTheme="minorHAnsi" w:hAnsiTheme="minorHAnsi" w:cs="Arial"/>
          <w:b/>
        </w:rPr>
        <w:t xml:space="preserve">Management </w:t>
      </w:r>
      <w:r w:rsidR="008D323C" w:rsidRPr="00AD3D1F">
        <w:rPr>
          <w:rFonts w:asciiTheme="minorHAnsi" w:hAnsiTheme="minorHAnsi" w:cs="Arial"/>
          <w:b/>
        </w:rPr>
        <w:t>and Reporting</w:t>
      </w:r>
    </w:p>
    <w:p w14:paraId="4043224D" w14:textId="53E95F65" w:rsidR="00535793" w:rsidRDefault="00535793" w:rsidP="008C60B9">
      <w:pPr>
        <w:pStyle w:val="NoSpacing"/>
        <w:jc w:val="both"/>
        <w:rPr>
          <w:rFonts w:asciiTheme="minorHAnsi" w:hAnsiTheme="minorHAnsi" w:cs="Arial"/>
          <w:b/>
        </w:rPr>
      </w:pPr>
    </w:p>
    <w:p w14:paraId="690786CD" w14:textId="60C3A105" w:rsidR="008D323C" w:rsidRPr="00AD3D1F" w:rsidRDefault="006701AA" w:rsidP="006701AA">
      <w:pPr>
        <w:pStyle w:val="NoSpacing"/>
        <w:jc w:val="both"/>
        <w:rPr>
          <w:rFonts w:asciiTheme="minorHAnsi" w:hAnsiTheme="minorHAnsi" w:cs="Arial"/>
        </w:rPr>
      </w:pPr>
      <w:r w:rsidRPr="006701AA">
        <w:rPr>
          <w:rFonts w:asciiTheme="minorHAnsi" w:hAnsiTheme="minorHAnsi" w:cs="Arial"/>
        </w:rPr>
        <w:t xml:space="preserve">The successful supplier will be required to provide </w:t>
      </w:r>
      <w:r>
        <w:rPr>
          <w:rFonts w:asciiTheme="minorHAnsi" w:hAnsiTheme="minorHAnsi" w:cs="Arial"/>
        </w:rPr>
        <w:t xml:space="preserve">reporting </w:t>
      </w:r>
      <w:r w:rsidRPr="006701AA">
        <w:rPr>
          <w:rFonts w:asciiTheme="minorHAnsi" w:hAnsiTheme="minorHAnsi" w:cs="Arial"/>
        </w:rPr>
        <w:t>on the following management information</w:t>
      </w:r>
      <w:r>
        <w:rPr>
          <w:rFonts w:asciiTheme="minorHAnsi" w:hAnsiTheme="minorHAnsi" w:cs="Arial"/>
        </w:rPr>
        <w:t xml:space="preserve"> and attend r</w:t>
      </w:r>
      <w:r w:rsidR="008D323C" w:rsidRPr="00AD3D1F">
        <w:rPr>
          <w:rFonts w:asciiTheme="minorHAnsi" w:hAnsiTheme="minorHAnsi" w:cs="Arial"/>
        </w:rPr>
        <w:t>egular contract review meetings</w:t>
      </w:r>
      <w:r>
        <w:rPr>
          <w:rFonts w:asciiTheme="minorHAnsi" w:hAnsiTheme="minorHAnsi" w:cs="Arial"/>
        </w:rPr>
        <w:t xml:space="preserve"> to review and manage contractual performance:</w:t>
      </w:r>
    </w:p>
    <w:p w14:paraId="6FB67707" w14:textId="41945D2A" w:rsidR="006701AA" w:rsidRDefault="006701AA" w:rsidP="00AD3D1F">
      <w:pPr>
        <w:pStyle w:val="NoSpacing"/>
        <w:numPr>
          <w:ilvl w:val="0"/>
          <w:numId w:val="37"/>
        </w:numPr>
        <w:jc w:val="both"/>
        <w:rPr>
          <w:rFonts w:asciiTheme="minorHAnsi" w:hAnsiTheme="minorHAnsi" w:cs="Arial"/>
        </w:rPr>
      </w:pPr>
      <w:r>
        <w:rPr>
          <w:rFonts w:asciiTheme="minorHAnsi" w:hAnsiTheme="minorHAnsi" w:cs="Arial"/>
        </w:rPr>
        <w:t>Number of members in the scheme, broken down by members and dependents</w:t>
      </w:r>
    </w:p>
    <w:p w14:paraId="771CA4C8" w14:textId="08383784" w:rsidR="00535793" w:rsidRPr="00AD3D1F" w:rsidRDefault="00535793" w:rsidP="00AD3D1F">
      <w:pPr>
        <w:pStyle w:val="NoSpacing"/>
        <w:numPr>
          <w:ilvl w:val="0"/>
          <w:numId w:val="37"/>
        </w:numPr>
        <w:jc w:val="both"/>
        <w:rPr>
          <w:rFonts w:asciiTheme="minorHAnsi" w:hAnsiTheme="minorHAnsi" w:cs="Arial"/>
        </w:rPr>
      </w:pPr>
      <w:r w:rsidRPr="00AD3D1F">
        <w:rPr>
          <w:rFonts w:asciiTheme="minorHAnsi" w:hAnsiTheme="minorHAnsi" w:cs="Arial"/>
        </w:rPr>
        <w:t xml:space="preserve">Number of claims incurred in the last quarter and claims cost per registration </w:t>
      </w:r>
    </w:p>
    <w:p w14:paraId="1B9B50A6" w14:textId="7385C649" w:rsidR="00535793" w:rsidRPr="00AD3D1F" w:rsidRDefault="00B32C3C" w:rsidP="00AD3D1F">
      <w:pPr>
        <w:pStyle w:val="NoSpacing"/>
        <w:numPr>
          <w:ilvl w:val="0"/>
          <w:numId w:val="37"/>
        </w:numPr>
        <w:jc w:val="both"/>
        <w:rPr>
          <w:rFonts w:asciiTheme="minorHAnsi" w:hAnsiTheme="minorHAnsi" w:cs="Arial"/>
        </w:rPr>
      </w:pPr>
      <w:r w:rsidRPr="00AD3D1F">
        <w:rPr>
          <w:rFonts w:asciiTheme="minorHAnsi" w:hAnsiTheme="minorHAnsi" w:cs="Arial"/>
        </w:rPr>
        <w:lastRenderedPageBreak/>
        <w:t>Average claims cost per member</w:t>
      </w:r>
    </w:p>
    <w:p w14:paraId="683849A5" w14:textId="7E8AED14" w:rsidR="00B32C3C" w:rsidRPr="00AD3D1F" w:rsidRDefault="00B32C3C" w:rsidP="00AD3D1F">
      <w:pPr>
        <w:pStyle w:val="NoSpacing"/>
        <w:numPr>
          <w:ilvl w:val="0"/>
          <w:numId w:val="37"/>
        </w:numPr>
        <w:jc w:val="both"/>
        <w:rPr>
          <w:rFonts w:asciiTheme="minorHAnsi" w:hAnsiTheme="minorHAnsi" w:cs="Arial"/>
        </w:rPr>
      </w:pPr>
      <w:r w:rsidRPr="00AD3D1F">
        <w:rPr>
          <w:rFonts w:asciiTheme="minorHAnsi" w:hAnsiTheme="minorHAnsi" w:cs="Arial"/>
        </w:rPr>
        <w:t xml:space="preserve">Number of high value </w:t>
      </w:r>
      <w:r w:rsidR="006701AA">
        <w:rPr>
          <w:rFonts w:asciiTheme="minorHAnsi" w:hAnsiTheme="minorHAnsi" w:cs="Arial"/>
        </w:rPr>
        <w:t xml:space="preserve">(over £10,000) </w:t>
      </w:r>
      <w:r w:rsidRPr="00AD3D1F">
        <w:rPr>
          <w:rFonts w:asciiTheme="minorHAnsi" w:hAnsiTheme="minorHAnsi" w:cs="Arial"/>
        </w:rPr>
        <w:t>claims</w:t>
      </w:r>
    </w:p>
    <w:p w14:paraId="74418061" w14:textId="33E74506" w:rsidR="00535793" w:rsidRPr="00AD3D1F" w:rsidRDefault="006701AA" w:rsidP="00AD3D1F">
      <w:pPr>
        <w:pStyle w:val="NoSpacing"/>
        <w:numPr>
          <w:ilvl w:val="0"/>
          <w:numId w:val="37"/>
        </w:numPr>
        <w:jc w:val="both"/>
        <w:rPr>
          <w:rFonts w:asciiTheme="minorHAnsi" w:hAnsiTheme="minorHAnsi" w:cs="Arial"/>
        </w:rPr>
      </w:pPr>
      <w:r>
        <w:rPr>
          <w:rFonts w:asciiTheme="minorHAnsi" w:hAnsiTheme="minorHAnsi" w:cs="Arial"/>
        </w:rPr>
        <w:t>Total cost of claims</w:t>
      </w:r>
    </w:p>
    <w:p w14:paraId="69E36B71" w14:textId="77777777" w:rsidR="00535793" w:rsidRPr="00AD3D1F" w:rsidRDefault="00535793" w:rsidP="00AD3D1F">
      <w:pPr>
        <w:pStyle w:val="NoSpacing"/>
        <w:ind w:left="720"/>
        <w:jc w:val="both"/>
        <w:rPr>
          <w:rFonts w:asciiTheme="minorHAnsi" w:hAnsiTheme="minorHAnsi" w:cs="Arial"/>
        </w:rPr>
      </w:pPr>
    </w:p>
    <w:p w14:paraId="4C4F77A4" w14:textId="1F644C06" w:rsidR="00A73D65" w:rsidRPr="00AD3D1F" w:rsidRDefault="00676F92" w:rsidP="008C60B9">
      <w:pPr>
        <w:pStyle w:val="NoSpacing"/>
        <w:jc w:val="both"/>
        <w:rPr>
          <w:rFonts w:asciiTheme="minorHAnsi" w:hAnsiTheme="minorHAnsi" w:cs="Arial"/>
          <w:i/>
          <w:u w:val="single"/>
        </w:rPr>
      </w:pPr>
      <w:r>
        <w:rPr>
          <w:rFonts w:asciiTheme="minorHAnsi" w:hAnsiTheme="minorHAnsi" w:cs="Arial"/>
          <w:b/>
        </w:rPr>
        <w:t>6</w:t>
      </w:r>
      <w:r w:rsidR="00474D69" w:rsidRPr="00AD3D1F">
        <w:rPr>
          <w:rFonts w:asciiTheme="minorHAnsi" w:hAnsiTheme="minorHAnsi" w:cs="Arial"/>
          <w:b/>
        </w:rPr>
        <w:t xml:space="preserve">. </w:t>
      </w:r>
      <w:r w:rsidR="00E0609C">
        <w:rPr>
          <w:rFonts w:asciiTheme="minorHAnsi" w:hAnsiTheme="minorHAnsi" w:cs="Arial"/>
          <w:b/>
        </w:rPr>
        <w:t>Go live date</w:t>
      </w:r>
    </w:p>
    <w:p w14:paraId="664509F8" w14:textId="77777777" w:rsidR="00892129" w:rsidRPr="00AD3D1F" w:rsidRDefault="00892129" w:rsidP="00892129">
      <w:pPr>
        <w:pStyle w:val="NoSpacing"/>
        <w:rPr>
          <w:rStyle w:val="apple-style-span"/>
          <w:rFonts w:asciiTheme="minorHAnsi" w:hAnsiTheme="minorHAnsi" w:cs="Arial"/>
        </w:rPr>
      </w:pPr>
    </w:p>
    <w:p w14:paraId="019C5F1E" w14:textId="0EAE8201" w:rsidR="00892129" w:rsidRPr="00AD3D1F" w:rsidRDefault="00E0609C" w:rsidP="00892129">
      <w:pPr>
        <w:pStyle w:val="NoSpacing"/>
        <w:rPr>
          <w:rFonts w:asciiTheme="minorHAnsi" w:eastAsia="Times New Roman" w:hAnsiTheme="minorHAnsi"/>
          <w:bCs/>
          <w:lang w:eastAsia="en-GB"/>
        </w:rPr>
      </w:pPr>
      <w:r>
        <w:rPr>
          <w:rStyle w:val="apple-style-span"/>
          <w:rFonts w:asciiTheme="minorHAnsi" w:hAnsiTheme="minorHAnsi" w:cs="Arial"/>
        </w:rPr>
        <w:t>The successful supplier must arrange for the full range of services specified including</w:t>
      </w:r>
      <w:r w:rsidRPr="00AD3D1F">
        <w:rPr>
          <w:rStyle w:val="apple-style-span"/>
          <w:rFonts w:asciiTheme="minorHAnsi" w:hAnsiTheme="minorHAnsi" w:cs="Arial"/>
        </w:rPr>
        <w:t xml:space="preserve"> </w:t>
      </w:r>
      <w:r w:rsidR="00B919E4" w:rsidRPr="00AD3D1F">
        <w:rPr>
          <w:rStyle w:val="apple-style-span"/>
          <w:rFonts w:asciiTheme="minorHAnsi" w:hAnsiTheme="minorHAnsi" w:cs="Arial"/>
        </w:rPr>
        <w:t xml:space="preserve">Private Medical Insurance and Dental Cover and an Employee Assistance Programme </w:t>
      </w:r>
      <w:r>
        <w:rPr>
          <w:rStyle w:val="apple-style-span"/>
          <w:rFonts w:asciiTheme="minorHAnsi" w:hAnsiTheme="minorHAnsi" w:cs="Arial"/>
        </w:rPr>
        <w:t>t</w:t>
      </w:r>
      <w:r w:rsidRPr="00AD3D1F">
        <w:rPr>
          <w:rStyle w:val="apple-style-span"/>
          <w:rFonts w:asciiTheme="minorHAnsi" w:hAnsiTheme="minorHAnsi" w:cs="Arial"/>
        </w:rPr>
        <w:t xml:space="preserve">o start </w:t>
      </w:r>
      <w:r>
        <w:rPr>
          <w:rStyle w:val="apple-style-span"/>
          <w:rFonts w:asciiTheme="minorHAnsi" w:hAnsiTheme="minorHAnsi" w:cs="Arial"/>
        </w:rPr>
        <w:t>on</w:t>
      </w:r>
      <w:r w:rsidRPr="00AD3D1F">
        <w:rPr>
          <w:rStyle w:val="apple-style-span"/>
          <w:rFonts w:asciiTheme="minorHAnsi" w:hAnsiTheme="minorHAnsi" w:cs="Arial"/>
        </w:rPr>
        <w:t xml:space="preserve"> 1</w:t>
      </w:r>
      <w:r w:rsidRPr="00AD3D1F">
        <w:rPr>
          <w:rStyle w:val="apple-style-span"/>
          <w:rFonts w:asciiTheme="minorHAnsi" w:hAnsiTheme="minorHAnsi" w:cs="Arial"/>
          <w:vertAlign w:val="superscript"/>
        </w:rPr>
        <w:t>st</w:t>
      </w:r>
      <w:r w:rsidRPr="00AD3D1F">
        <w:rPr>
          <w:rStyle w:val="apple-style-span"/>
          <w:rFonts w:asciiTheme="minorHAnsi" w:hAnsiTheme="minorHAnsi" w:cs="Arial"/>
        </w:rPr>
        <w:t xml:space="preserve"> April 2017</w:t>
      </w:r>
      <w:r>
        <w:rPr>
          <w:rStyle w:val="apple-style-span"/>
          <w:rFonts w:asciiTheme="minorHAnsi" w:hAnsiTheme="minorHAnsi" w:cs="Arial"/>
        </w:rPr>
        <w:t>.</w:t>
      </w:r>
    </w:p>
    <w:p w14:paraId="121DB32B" w14:textId="35CDB83E" w:rsidR="004076A5" w:rsidRPr="00AD3D1F" w:rsidRDefault="004076A5" w:rsidP="00892129">
      <w:pPr>
        <w:pStyle w:val="NoSpacing"/>
        <w:jc w:val="both"/>
        <w:rPr>
          <w:rFonts w:asciiTheme="minorHAnsi" w:hAnsiTheme="minorHAnsi" w:cs="Arial"/>
        </w:rPr>
      </w:pPr>
    </w:p>
    <w:p w14:paraId="186F27C1" w14:textId="63AC8352" w:rsidR="004076A5" w:rsidRPr="00AD3D1F" w:rsidRDefault="006C0B70" w:rsidP="004076A5">
      <w:pPr>
        <w:pStyle w:val="NoSpacing"/>
        <w:jc w:val="both"/>
        <w:rPr>
          <w:rFonts w:asciiTheme="minorHAnsi" w:hAnsiTheme="minorHAnsi" w:cs="Arial"/>
          <w:b/>
          <w:i/>
          <w:u w:val="single"/>
        </w:rPr>
      </w:pPr>
      <w:r>
        <w:rPr>
          <w:rFonts w:asciiTheme="minorHAnsi" w:hAnsiTheme="minorHAnsi" w:cs="Arial"/>
          <w:b/>
        </w:rPr>
        <w:t>7</w:t>
      </w:r>
      <w:r w:rsidR="004076A5" w:rsidRPr="00AD3D1F">
        <w:rPr>
          <w:rFonts w:asciiTheme="minorHAnsi" w:hAnsiTheme="minorHAnsi" w:cs="Arial"/>
          <w:b/>
        </w:rPr>
        <w:t xml:space="preserve">. </w:t>
      </w:r>
      <w:r w:rsidR="002E7390" w:rsidRPr="00AD3D1F">
        <w:rPr>
          <w:rFonts w:asciiTheme="minorHAnsi" w:hAnsiTheme="minorHAnsi" w:cs="Arial"/>
          <w:b/>
        </w:rPr>
        <w:t>Contract</w:t>
      </w:r>
    </w:p>
    <w:p w14:paraId="701D7466" w14:textId="77777777" w:rsidR="004076A5" w:rsidRPr="00AD3D1F" w:rsidRDefault="004076A5" w:rsidP="00892129">
      <w:pPr>
        <w:pStyle w:val="NoSpacing"/>
        <w:jc w:val="both"/>
        <w:rPr>
          <w:rFonts w:asciiTheme="minorHAnsi" w:hAnsiTheme="minorHAnsi" w:cs="Arial"/>
        </w:rPr>
      </w:pPr>
    </w:p>
    <w:p w14:paraId="35077294" w14:textId="175C25DA" w:rsidR="004076A5" w:rsidRPr="00AD3D1F" w:rsidRDefault="004076A5" w:rsidP="004076A5">
      <w:pPr>
        <w:pStyle w:val="NoSpacing"/>
        <w:jc w:val="both"/>
        <w:rPr>
          <w:rFonts w:asciiTheme="minorHAnsi" w:hAnsiTheme="minorHAnsi" w:cs="Arial"/>
        </w:rPr>
      </w:pPr>
      <w:r w:rsidRPr="00AD3D1F">
        <w:rPr>
          <w:rFonts w:asciiTheme="minorHAnsi" w:hAnsiTheme="minorHAnsi" w:cs="Arial"/>
        </w:rPr>
        <w:t xml:space="preserve">The </w:t>
      </w:r>
      <w:r w:rsidR="002E7390" w:rsidRPr="00AD3D1F">
        <w:rPr>
          <w:rFonts w:asciiTheme="minorHAnsi" w:hAnsiTheme="minorHAnsi" w:cs="Arial"/>
        </w:rPr>
        <w:t xml:space="preserve">agreement will be for a period of 12 months with the option to renew for a further </w:t>
      </w:r>
      <w:r w:rsidR="00AD3D1F">
        <w:rPr>
          <w:rFonts w:asciiTheme="minorHAnsi" w:hAnsiTheme="minorHAnsi" w:cs="Arial"/>
        </w:rPr>
        <w:t>36 months</w:t>
      </w:r>
      <w:r w:rsidR="002E7390" w:rsidRPr="00AD3D1F">
        <w:rPr>
          <w:rFonts w:asciiTheme="minorHAnsi" w:hAnsiTheme="minorHAnsi" w:cs="Arial"/>
        </w:rPr>
        <w:t xml:space="preserve"> in 12 month increments.</w:t>
      </w:r>
    </w:p>
    <w:p w14:paraId="79C373D9" w14:textId="5006F88E" w:rsidR="004076A5" w:rsidRDefault="004076A5" w:rsidP="004076A5">
      <w:pPr>
        <w:pStyle w:val="NoSpacing"/>
        <w:jc w:val="both"/>
        <w:rPr>
          <w:rFonts w:asciiTheme="minorHAnsi" w:hAnsiTheme="minorHAnsi" w:cs="Arial"/>
        </w:rPr>
      </w:pPr>
    </w:p>
    <w:p w14:paraId="367A5154" w14:textId="20D51483" w:rsidR="006E3BD1" w:rsidRDefault="006C0B70" w:rsidP="004076A5">
      <w:pPr>
        <w:pStyle w:val="NoSpacing"/>
        <w:jc w:val="both"/>
        <w:rPr>
          <w:rFonts w:asciiTheme="minorHAnsi" w:hAnsiTheme="minorHAnsi" w:cs="Arial"/>
          <w:b/>
        </w:rPr>
      </w:pPr>
      <w:r>
        <w:rPr>
          <w:rFonts w:asciiTheme="minorHAnsi" w:hAnsiTheme="minorHAnsi" w:cs="Arial"/>
          <w:b/>
        </w:rPr>
        <w:t>8</w:t>
      </w:r>
      <w:r w:rsidR="006E3BD1" w:rsidRPr="006E3BD1">
        <w:rPr>
          <w:rFonts w:asciiTheme="minorHAnsi" w:hAnsiTheme="minorHAnsi" w:cs="Arial"/>
          <w:b/>
        </w:rPr>
        <w:t>. Terms and Conditions</w:t>
      </w:r>
    </w:p>
    <w:p w14:paraId="31C38E0B" w14:textId="77777777" w:rsidR="00B94E97" w:rsidRDefault="00B94E97" w:rsidP="004076A5">
      <w:pPr>
        <w:pStyle w:val="NoSpacing"/>
        <w:jc w:val="both"/>
        <w:rPr>
          <w:rFonts w:asciiTheme="minorHAnsi" w:hAnsiTheme="minorHAnsi" w:cs="Arial"/>
        </w:rPr>
      </w:pPr>
    </w:p>
    <w:p w14:paraId="25E6FE9B" w14:textId="6188B4D6" w:rsidR="006E3BD1" w:rsidRPr="006E3BD1" w:rsidRDefault="00BA037A" w:rsidP="004076A5">
      <w:pPr>
        <w:pStyle w:val="NoSpacing"/>
        <w:jc w:val="both"/>
        <w:rPr>
          <w:rFonts w:asciiTheme="minorHAnsi" w:hAnsiTheme="minorHAnsi" w:cs="Arial"/>
        </w:rPr>
      </w:pPr>
      <w:r>
        <w:rPr>
          <w:rFonts w:asciiTheme="minorHAnsi" w:hAnsiTheme="minorHAnsi" w:cs="Arial"/>
        </w:rPr>
        <w:t>RSSB standard terms and conditions</w:t>
      </w:r>
      <w:r w:rsidR="006C0B70">
        <w:rPr>
          <w:rFonts w:asciiTheme="minorHAnsi" w:hAnsiTheme="minorHAnsi" w:cs="Arial"/>
        </w:rPr>
        <w:t xml:space="preserve"> attached as Appendix I – draft agreement</w:t>
      </w:r>
      <w:r>
        <w:rPr>
          <w:rFonts w:asciiTheme="minorHAnsi" w:hAnsiTheme="minorHAnsi" w:cs="Arial"/>
        </w:rPr>
        <w:t>.</w:t>
      </w:r>
      <w:bookmarkStart w:id="0" w:name="_GoBack"/>
      <w:bookmarkEnd w:id="0"/>
    </w:p>
    <w:sectPr w:rsidR="006E3BD1" w:rsidRPr="006E3BD1" w:rsidSect="00321CD1">
      <w:footerReference w:type="default" r:id="rId12"/>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D8223" w14:textId="77777777" w:rsidR="006D49D3" w:rsidRDefault="006D49D3" w:rsidP="00B361BF">
      <w:pPr>
        <w:spacing w:after="0" w:line="240" w:lineRule="auto"/>
      </w:pPr>
      <w:r>
        <w:separator/>
      </w:r>
    </w:p>
  </w:endnote>
  <w:endnote w:type="continuationSeparator" w:id="0">
    <w:p w14:paraId="1F342BC1" w14:textId="77777777" w:rsidR="006D49D3" w:rsidRDefault="006D49D3" w:rsidP="00B36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IMPKF+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B7456" w14:textId="33EB7549" w:rsidR="00B361BF" w:rsidRDefault="00B361BF">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6C0B70">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C0B70">
      <w:rPr>
        <w:b/>
        <w:noProof/>
      </w:rPr>
      <w:t>4</w:t>
    </w:r>
    <w:r>
      <w:rPr>
        <w:b/>
        <w:sz w:val="24"/>
        <w:szCs w:val="24"/>
      </w:rPr>
      <w:fldChar w:fldCharType="end"/>
    </w:r>
  </w:p>
  <w:p w14:paraId="06EAF637" w14:textId="77777777" w:rsidR="00B361BF" w:rsidRDefault="00B36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D405A" w14:textId="77777777" w:rsidR="006D49D3" w:rsidRDefault="006D49D3" w:rsidP="00B361BF">
      <w:pPr>
        <w:spacing w:after="0" w:line="240" w:lineRule="auto"/>
      </w:pPr>
      <w:r>
        <w:separator/>
      </w:r>
    </w:p>
  </w:footnote>
  <w:footnote w:type="continuationSeparator" w:id="0">
    <w:p w14:paraId="6CF14EA5" w14:textId="77777777" w:rsidR="006D49D3" w:rsidRDefault="006D49D3" w:rsidP="00B361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F84E4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5F71FB"/>
    <w:multiLevelType w:val="hybridMultilevel"/>
    <w:tmpl w:val="82E864FC"/>
    <w:lvl w:ilvl="0" w:tplc="DF8A2C02">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BB32EA"/>
    <w:multiLevelType w:val="hybridMultilevel"/>
    <w:tmpl w:val="013CA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A3DC6"/>
    <w:multiLevelType w:val="hybridMultilevel"/>
    <w:tmpl w:val="1A082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84258"/>
    <w:multiLevelType w:val="hybridMultilevel"/>
    <w:tmpl w:val="CCB24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74B24"/>
    <w:multiLevelType w:val="hybridMultilevel"/>
    <w:tmpl w:val="3864A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A782C"/>
    <w:multiLevelType w:val="multilevel"/>
    <w:tmpl w:val="FBA80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84911"/>
    <w:multiLevelType w:val="hybridMultilevel"/>
    <w:tmpl w:val="C700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2E5104"/>
    <w:multiLevelType w:val="multilevel"/>
    <w:tmpl w:val="84B6A8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7A6A54"/>
    <w:multiLevelType w:val="multilevel"/>
    <w:tmpl w:val="FBA80AB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2B7F7432"/>
    <w:multiLevelType w:val="hybridMultilevel"/>
    <w:tmpl w:val="EE0C0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B4EE9"/>
    <w:multiLevelType w:val="hybridMultilevel"/>
    <w:tmpl w:val="287EC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9E3F68"/>
    <w:multiLevelType w:val="hybridMultilevel"/>
    <w:tmpl w:val="8B56CF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18F6671"/>
    <w:multiLevelType w:val="multilevel"/>
    <w:tmpl w:val="FBA80AB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362A15D6"/>
    <w:multiLevelType w:val="hybridMultilevel"/>
    <w:tmpl w:val="64383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707109"/>
    <w:multiLevelType w:val="multilevel"/>
    <w:tmpl w:val="0E46020A"/>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3EC96D97"/>
    <w:multiLevelType w:val="multilevel"/>
    <w:tmpl w:val="FBA80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51398E"/>
    <w:multiLevelType w:val="multilevel"/>
    <w:tmpl w:val="FBA80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E94243"/>
    <w:multiLevelType w:val="multilevel"/>
    <w:tmpl w:val="981C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8B52DA"/>
    <w:multiLevelType w:val="multilevel"/>
    <w:tmpl w:val="FBA80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006F31"/>
    <w:multiLevelType w:val="hybridMultilevel"/>
    <w:tmpl w:val="DFA41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1272EA"/>
    <w:multiLevelType w:val="hybridMultilevel"/>
    <w:tmpl w:val="872C4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4226A6"/>
    <w:multiLevelType w:val="multilevel"/>
    <w:tmpl w:val="84B6A80E"/>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15:restartNumberingAfterBreak="0">
    <w:nsid w:val="61210807"/>
    <w:multiLevelType w:val="hybridMultilevel"/>
    <w:tmpl w:val="4BBAB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751041"/>
    <w:multiLevelType w:val="hybridMultilevel"/>
    <w:tmpl w:val="367A2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80323C"/>
    <w:multiLevelType w:val="hybridMultilevel"/>
    <w:tmpl w:val="CE02C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9B7B71"/>
    <w:multiLevelType w:val="hybridMultilevel"/>
    <w:tmpl w:val="5580A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CA0F43"/>
    <w:multiLevelType w:val="hybridMultilevel"/>
    <w:tmpl w:val="76F27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E85932"/>
    <w:multiLevelType w:val="hybridMultilevel"/>
    <w:tmpl w:val="2F4E1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264365"/>
    <w:multiLevelType w:val="hybridMultilevel"/>
    <w:tmpl w:val="BD060416"/>
    <w:lvl w:ilvl="0" w:tplc="08090005">
      <w:start w:val="1"/>
      <w:numFmt w:val="bullet"/>
      <w:lvlText w:val=""/>
      <w:lvlJc w:val="left"/>
      <w:pPr>
        <w:ind w:left="720" w:hanging="360"/>
      </w:pPr>
      <w:rPr>
        <w:rFonts w:ascii="Wingdings" w:hAnsi="Wingdings" w:hint="default"/>
      </w:rPr>
    </w:lvl>
    <w:lvl w:ilvl="1" w:tplc="DF8A2C02">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0F22EB"/>
    <w:multiLevelType w:val="hybridMultilevel"/>
    <w:tmpl w:val="B1B4E8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79B861D7"/>
    <w:multiLevelType w:val="multilevel"/>
    <w:tmpl w:val="FBA80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124BB2"/>
    <w:multiLevelType w:val="hybridMultilevel"/>
    <w:tmpl w:val="624A3C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C02257E"/>
    <w:multiLevelType w:val="hybridMultilevel"/>
    <w:tmpl w:val="3864A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E82FB9"/>
    <w:multiLevelType w:val="multilevel"/>
    <w:tmpl w:val="043268B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0"/>
  </w:num>
  <w:num w:numId="2">
    <w:abstractNumId w:val="0"/>
  </w:num>
  <w:num w:numId="3">
    <w:abstractNumId w:val="14"/>
  </w:num>
  <w:num w:numId="4">
    <w:abstractNumId w:val="23"/>
  </w:num>
  <w:num w:numId="5">
    <w:abstractNumId w:val="25"/>
  </w:num>
  <w:num w:numId="6">
    <w:abstractNumId w:val="3"/>
  </w:num>
  <w:num w:numId="7">
    <w:abstractNumId w:val="26"/>
  </w:num>
  <w:num w:numId="8">
    <w:abstractNumId w:val="7"/>
  </w:num>
  <w:num w:numId="9">
    <w:abstractNumId w:val="34"/>
  </w:num>
  <w:num w:numId="10">
    <w:abstractNumId w:val="12"/>
  </w:num>
  <w:num w:numId="11">
    <w:abstractNumId w:val="32"/>
  </w:num>
  <w:num w:numId="12">
    <w:abstractNumId w:val="29"/>
  </w:num>
  <w:num w:numId="13">
    <w:abstractNumId w:val="31"/>
  </w:num>
  <w:num w:numId="14">
    <w:abstractNumId w:val="1"/>
  </w:num>
  <w:num w:numId="15">
    <w:abstractNumId w:val="5"/>
  </w:num>
  <w:num w:numId="16">
    <w:abstractNumId w:val="27"/>
  </w:num>
  <w:num w:numId="17">
    <w:abstractNumId w:val="4"/>
  </w:num>
  <w:num w:numId="18">
    <w:abstractNumId w:val="28"/>
  </w:num>
  <w:num w:numId="19">
    <w:abstractNumId w:val="17"/>
  </w:num>
  <w:num w:numId="20">
    <w:abstractNumId w:val="18"/>
  </w:num>
  <w:num w:numId="21">
    <w:abstractNumId w:val="9"/>
  </w:num>
  <w:num w:numId="22">
    <w:abstractNumId w:val="19"/>
  </w:num>
  <w:num w:numId="23">
    <w:abstractNumId w:val="13"/>
  </w:num>
  <w:num w:numId="24">
    <w:abstractNumId w:val="33"/>
  </w:num>
  <w:num w:numId="25">
    <w:abstractNumId w:val="16"/>
  </w:num>
  <w:num w:numId="26">
    <w:abstractNumId w:val="6"/>
  </w:num>
  <w:num w:numId="27">
    <w:abstractNumId w:val="8"/>
  </w:num>
  <w:num w:numId="28">
    <w:abstractNumId w:val="24"/>
  </w:num>
  <w:num w:numId="29">
    <w:abstractNumId w:val="10"/>
  </w:num>
  <w:num w:numId="30">
    <w:abstractNumId w:val="35"/>
  </w:num>
  <w:num w:numId="31">
    <w:abstractNumId w:val="22"/>
  </w:num>
  <w:num w:numId="32">
    <w:abstractNumId w:val="21"/>
  </w:num>
  <w:num w:numId="33">
    <w:abstractNumId w:val="36"/>
  </w:num>
  <w:num w:numId="34">
    <w:abstractNumId w:val="30"/>
  </w:num>
  <w:num w:numId="35">
    <w:abstractNumId w:val="11"/>
  </w:num>
  <w:num w:numId="36">
    <w:abstractNumId w:val="15"/>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1D3"/>
    <w:rsid w:val="00001602"/>
    <w:rsid w:val="00006AA6"/>
    <w:rsid w:val="00013C5D"/>
    <w:rsid w:val="00022832"/>
    <w:rsid w:val="0003586E"/>
    <w:rsid w:val="000601B7"/>
    <w:rsid w:val="000736BA"/>
    <w:rsid w:val="000762E1"/>
    <w:rsid w:val="00091DE6"/>
    <w:rsid w:val="000925A9"/>
    <w:rsid w:val="000B02AB"/>
    <w:rsid w:val="000B6365"/>
    <w:rsid w:val="000D322C"/>
    <w:rsid w:val="000E7547"/>
    <w:rsid w:val="001014F6"/>
    <w:rsid w:val="001139E9"/>
    <w:rsid w:val="0012356E"/>
    <w:rsid w:val="00124FE8"/>
    <w:rsid w:val="001348F6"/>
    <w:rsid w:val="00145B8E"/>
    <w:rsid w:val="00150BEE"/>
    <w:rsid w:val="001676E7"/>
    <w:rsid w:val="0018054A"/>
    <w:rsid w:val="00180B6F"/>
    <w:rsid w:val="001B6045"/>
    <w:rsid w:val="001C4E43"/>
    <w:rsid w:val="001D462A"/>
    <w:rsid w:val="001D6513"/>
    <w:rsid w:val="001E1A80"/>
    <w:rsid w:val="001E47DF"/>
    <w:rsid w:val="0020119D"/>
    <w:rsid w:val="002075CF"/>
    <w:rsid w:val="00211D1E"/>
    <w:rsid w:val="002122F9"/>
    <w:rsid w:val="00212802"/>
    <w:rsid w:val="00224B5C"/>
    <w:rsid w:val="0025773E"/>
    <w:rsid w:val="00261C0B"/>
    <w:rsid w:val="00267640"/>
    <w:rsid w:val="0028360B"/>
    <w:rsid w:val="00284913"/>
    <w:rsid w:val="00286167"/>
    <w:rsid w:val="00287532"/>
    <w:rsid w:val="002A20C0"/>
    <w:rsid w:val="002A238C"/>
    <w:rsid w:val="002C0FFC"/>
    <w:rsid w:val="002D61D3"/>
    <w:rsid w:val="002E7390"/>
    <w:rsid w:val="00301540"/>
    <w:rsid w:val="00321CD1"/>
    <w:rsid w:val="0034741F"/>
    <w:rsid w:val="00383F3E"/>
    <w:rsid w:val="00392BA2"/>
    <w:rsid w:val="00392BF2"/>
    <w:rsid w:val="003C084B"/>
    <w:rsid w:val="003D6574"/>
    <w:rsid w:val="003F6244"/>
    <w:rsid w:val="004076A5"/>
    <w:rsid w:val="00415FB7"/>
    <w:rsid w:val="0044215B"/>
    <w:rsid w:val="004512FD"/>
    <w:rsid w:val="00474D69"/>
    <w:rsid w:val="00477E7D"/>
    <w:rsid w:val="00486B7E"/>
    <w:rsid w:val="0049213A"/>
    <w:rsid w:val="004A0FF5"/>
    <w:rsid w:val="004A1B4E"/>
    <w:rsid w:val="004B14D5"/>
    <w:rsid w:val="004C6C7F"/>
    <w:rsid w:val="004D08B2"/>
    <w:rsid w:val="004F4DA8"/>
    <w:rsid w:val="004F54D8"/>
    <w:rsid w:val="004F7765"/>
    <w:rsid w:val="005148FE"/>
    <w:rsid w:val="00535793"/>
    <w:rsid w:val="0056571C"/>
    <w:rsid w:val="00566308"/>
    <w:rsid w:val="005740A6"/>
    <w:rsid w:val="005857C3"/>
    <w:rsid w:val="005915C2"/>
    <w:rsid w:val="005B2505"/>
    <w:rsid w:val="005C15E5"/>
    <w:rsid w:val="005D1DBF"/>
    <w:rsid w:val="005D6455"/>
    <w:rsid w:val="005F5FE9"/>
    <w:rsid w:val="00627456"/>
    <w:rsid w:val="00645606"/>
    <w:rsid w:val="006559AE"/>
    <w:rsid w:val="006701AA"/>
    <w:rsid w:val="00676F92"/>
    <w:rsid w:val="0067719D"/>
    <w:rsid w:val="00682E1E"/>
    <w:rsid w:val="00690967"/>
    <w:rsid w:val="006948FC"/>
    <w:rsid w:val="00696F8E"/>
    <w:rsid w:val="006A186D"/>
    <w:rsid w:val="006B19E9"/>
    <w:rsid w:val="006C0B70"/>
    <w:rsid w:val="006D34F8"/>
    <w:rsid w:val="006D49D3"/>
    <w:rsid w:val="006D605A"/>
    <w:rsid w:val="006E3BD1"/>
    <w:rsid w:val="0070495A"/>
    <w:rsid w:val="00715103"/>
    <w:rsid w:val="00716621"/>
    <w:rsid w:val="00726581"/>
    <w:rsid w:val="0075508C"/>
    <w:rsid w:val="00763AF4"/>
    <w:rsid w:val="007A1088"/>
    <w:rsid w:val="00801088"/>
    <w:rsid w:val="00830A66"/>
    <w:rsid w:val="00866DE4"/>
    <w:rsid w:val="00890A66"/>
    <w:rsid w:val="00892129"/>
    <w:rsid w:val="008C60B9"/>
    <w:rsid w:val="008D323C"/>
    <w:rsid w:val="008D7347"/>
    <w:rsid w:val="008E0C30"/>
    <w:rsid w:val="008E1F70"/>
    <w:rsid w:val="008F1EB6"/>
    <w:rsid w:val="008F4141"/>
    <w:rsid w:val="00901598"/>
    <w:rsid w:val="0090237C"/>
    <w:rsid w:val="0094733A"/>
    <w:rsid w:val="00960FBA"/>
    <w:rsid w:val="00987583"/>
    <w:rsid w:val="00992B09"/>
    <w:rsid w:val="0099420F"/>
    <w:rsid w:val="009964F9"/>
    <w:rsid w:val="009E092A"/>
    <w:rsid w:val="009E19ED"/>
    <w:rsid w:val="009E5AC5"/>
    <w:rsid w:val="009E7782"/>
    <w:rsid w:val="009F1BEC"/>
    <w:rsid w:val="009F2647"/>
    <w:rsid w:val="00A37849"/>
    <w:rsid w:val="00A56FCF"/>
    <w:rsid w:val="00A61B3D"/>
    <w:rsid w:val="00A664D2"/>
    <w:rsid w:val="00A73454"/>
    <w:rsid w:val="00A73D65"/>
    <w:rsid w:val="00A76341"/>
    <w:rsid w:val="00A83B49"/>
    <w:rsid w:val="00AA17A9"/>
    <w:rsid w:val="00AA1C3B"/>
    <w:rsid w:val="00AB3A30"/>
    <w:rsid w:val="00AB6048"/>
    <w:rsid w:val="00AD3D1F"/>
    <w:rsid w:val="00B033B7"/>
    <w:rsid w:val="00B25122"/>
    <w:rsid w:val="00B32C3C"/>
    <w:rsid w:val="00B342CC"/>
    <w:rsid w:val="00B361BF"/>
    <w:rsid w:val="00B40B12"/>
    <w:rsid w:val="00B60C5E"/>
    <w:rsid w:val="00B72A1C"/>
    <w:rsid w:val="00B8425E"/>
    <w:rsid w:val="00B919E4"/>
    <w:rsid w:val="00B94E97"/>
    <w:rsid w:val="00BA037A"/>
    <w:rsid w:val="00BA5161"/>
    <w:rsid w:val="00BA637F"/>
    <w:rsid w:val="00BD4E35"/>
    <w:rsid w:val="00C01B6C"/>
    <w:rsid w:val="00C01C52"/>
    <w:rsid w:val="00C15812"/>
    <w:rsid w:val="00C2087C"/>
    <w:rsid w:val="00C411A0"/>
    <w:rsid w:val="00C52847"/>
    <w:rsid w:val="00C70D0E"/>
    <w:rsid w:val="00C84986"/>
    <w:rsid w:val="00C8606E"/>
    <w:rsid w:val="00C93E50"/>
    <w:rsid w:val="00CE0287"/>
    <w:rsid w:val="00D46F0F"/>
    <w:rsid w:val="00D645A8"/>
    <w:rsid w:val="00D96696"/>
    <w:rsid w:val="00DA2A04"/>
    <w:rsid w:val="00DB577E"/>
    <w:rsid w:val="00DC07CA"/>
    <w:rsid w:val="00DC7103"/>
    <w:rsid w:val="00DE0820"/>
    <w:rsid w:val="00E0609C"/>
    <w:rsid w:val="00E13BAF"/>
    <w:rsid w:val="00E2109A"/>
    <w:rsid w:val="00E300A6"/>
    <w:rsid w:val="00E50DF1"/>
    <w:rsid w:val="00E73CB6"/>
    <w:rsid w:val="00E7494E"/>
    <w:rsid w:val="00E864F1"/>
    <w:rsid w:val="00E970B7"/>
    <w:rsid w:val="00E97754"/>
    <w:rsid w:val="00EB5CF9"/>
    <w:rsid w:val="00EB726B"/>
    <w:rsid w:val="00ED41A6"/>
    <w:rsid w:val="00EE11F0"/>
    <w:rsid w:val="00EE4519"/>
    <w:rsid w:val="00EF5578"/>
    <w:rsid w:val="00F00717"/>
    <w:rsid w:val="00F2463E"/>
    <w:rsid w:val="00F42500"/>
    <w:rsid w:val="00F4693E"/>
    <w:rsid w:val="00F502DE"/>
    <w:rsid w:val="00F540F5"/>
    <w:rsid w:val="00F55E94"/>
    <w:rsid w:val="00F617E5"/>
    <w:rsid w:val="00F879D6"/>
    <w:rsid w:val="00F94417"/>
    <w:rsid w:val="00FA0650"/>
    <w:rsid w:val="00FA3C5D"/>
    <w:rsid w:val="00FA4688"/>
    <w:rsid w:val="00FB115F"/>
    <w:rsid w:val="00FB3C38"/>
    <w:rsid w:val="00FC0D26"/>
    <w:rsid w:val="00FE62C0"/>
    <w:rsid w:val="00FF7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A1D8"/>
  <w15:docId w15:val="{ED7E132B-5E68-4E79-9066-C050005A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13BA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64F9"/>
    <w:pPr>
      <w:spacing w:before="100" w:beforeAutospacing="1" w:after="100" w:afterAutospacing="1" w:line="240" w:lineRule="auto"/>
      <w:textAlignment w:val="top"/>
    </w:pPr>
    <w:rPr>
      <w:rFonts w:eastAsia="Times New Roman" w:cs="Arial"/>
      <w:sz w:val="20"/>
      <w:szCs w:val="20"/>
      <w:lang w:eastAsia="en-GB"/>
    </w:rPr>
  </w:style>
  <w:style w:type="character" w:styleId="Strong">
    <w:name w:val="Strong"/>
    <w:basedOn w:val="DefaultParagraphFont"/>
    <w:uiPriority w:val="22"/>
    <w:qFormat/>
    <w:rsid w:val="009964F9"/>
    <w:rPr>
      <w:b/>
      <w:bCs/>
    </w:rPr>
  </w:style>
  <w:style w:type="paragraph" w:styleId="NoSpacing">
    <w:name w:val="No Spacing"/>
    <w:link w:val="NoSpacingChar"/>
    <w:uiPriority w:val="1"/>
    <w:qFormat/>
    <w:rsid w:val="009964F9"/>
    <w:rPr>
      <w:sz w:val="22"/>
      <w:szCs w:val="22"/>
      <w:lang w:eastAsia="en-US"/>
    </w:rPr>
  </w:style>
  <w:style w:type="paragraph" w:styleId="Header">
    <w:name w:val="header"/>
    <w:basedOn w:val="Normal"/>
    <w:link w:val="HeaderChar"/>
    <w:uiPriority w:val="99"/>
    <w:semiHidden/>
    <w:unhideWhenUsed/>
    <w:rsid w:val="00B361BF"/>
    <w:pPr>
      <w:tabs>
        <w:tab w:val="center" w:pos="4513"/>
        <w:tab w:val="right" w:pos="9026"/>
      </w:tabs>
    </w:pPr>
  </w:style>
  <w:style w:type="character" w:customStyle="1" w:styleId="HeaderChar">
    <w:name w:val="Header Char"/>
    <w:basedOn w:val="DefaultParagraphFont"/>
    <w:link w:val="Header"/>
    <w:uiPriority w:val="99"/>
    <w:semiHidden/>
    <w:rsid w:val="00B361BF"/>
    <w:rPr>
      <w:sz w:val="22"/>
      <w:szCs w:val="22"/>
      <w:lang w:eastAsia="en-US"/>
    </w:rPr>
  </w:style>
  <w:style w:type="paragraph" w:styleId="Footer">
    <w:name w:val="footer"/>
    <w:basedOn w:val="Normal"/>
    <w:link w:val="FooterChar"/>
    <w:uiPriority w:val="99"/>
    <w:unhideWhenUsed/>
    <w:rsid w:val="00B361BF"/>
    <w:pPr>
      <w:tabs>
        <w:tab w:val="center" w:pos="4513"/>
        <w:tab w:val="right" w:pos="9026"/>
      </w:tabs>
    </w:pPr>
  </w:style>
  <w:style w:type="character" w:customStyle="1" w:styleId="FooterChar">
    <w:name w:val="Footer Char"/>
    <w:basedOn w:val="DefaultParagraphFont"/>
    <w:link w:val="Footer"/>
    <w:uiPriority w:val="99"/>
    <w:rsid w:val="00B361BF"/>
    <w:rPr>
      <w:sz w:val="22"/>
      <w:szCs w:val="22"/>
      <w:lang w:eastAsia="en-US"/>
    </w:rPr>
  </w:style>
  <w:style w:type="paragraph" w:styleId="ListBullet">
    <w:name w:val="List Bullet"/>
    <w:basedOn w:val="Normal"/>
    <w:qFormat/>
    <w:rsid w:val="00145B8E"/>
    <w:pPr>
      <w:numPr>
        <w:numId w:val="2"/>
      </w:numPr>
      <w:tabs>
        <w:tab w:val="clear" w:pos="360"/>
        <w:tab w:val="left" w:pos="567"/>
      </w:tabs>
      <w:spacing w:after="160" w:line="240" w:lineRule="auto"/>
      <w:ind w:left="567" w:hanging="567"/>
    </w:pPr>
    <w:rPr>
      <w:rFonts w:eastAsia="Times New Roman"/>
      <w:szCs w:val="20"/>
    </w:rPr>
  </w:style>
  <w:style w:type="paragraph" w:styleId="BodyText">
    <w:name w:val="Body Text"/>
    <w:basedOn w:val="Normal"/>
    <w:link w:val="BodyTextChar"/>
    <w:uiPriority w:val="99"/>
    <w:semiHidden/>
    <w:unhideWhenUsed/>
    <w:rsid w:val="00145B8E"/>
    <w:pPr>
      <w:spacing w:after="120"/>
    </w:pPr>
  </w:style>
  <w:style w:type="character" w:customStyle="1" w:styleId="BodyTextChar">
    <w:name w:val="Body Text Char"/>
    <w:basedOn w:val="DefaultParagraphFont"/>
    <w:link w:val="BodyText"/>
    <w:uiPriority w:val="99"/>
    <w:semiHidden/>
    <w:rsid w:val="00145B8E"/>
    <w:rPr>
      <w:sz w:val="22"/>
      <w:szCs w:val="22"/>
      <w:lang w:eastAsia="en-US"/>
    </w:rPr>
  </w:style>
  <w:style w:type="paragraph" w:styleId="ListParagraph">
    <w:name w:val="List Paragraph"/>
    <w:basedOn w:val="Normal"/>
    <w:uiPriority w:val="34"/>
    <w:qFormat/>
    <w:rsid w:val="00145B8E"/>
    <w:pPr>
      <w:ind w:left="720"/>
    </w:pPr>
  </w:style>
  <w:style w:type="character" w:customStyle="1" w:styleId="apple-converted-space">
    <w:name w:val="apple-converted-space"/>
    <w:basedOn w:val="DefaultParagraphFont"/>
    <w:rsid w:val="00415FB7"/>
  </w:style>
  <w:style w:type="character" w:styleId="Hyperlink">
    <w:name w:val="Hyperlink"/>
    <w:basedOn w:val="DefaultParagraphFont"/>
    <w:uiPriority w:val="99"/>
    <w:unhideWhenUsed/>
    <w:rsid w:val="00415FB7"/>
    <w:rPr>
      <w:color w:val="0000FF"/>
      <w:u w:val="single"/>
    </w:rPr>
  </w:style>
  <w:style w:type="character" w:customStyle="1" w:styleId="apple-style-span">
    <w:name w:val="apple-style-span"/>
    <w:basedOn w:val="DefaultParagraphFont"/>
    <w:rsid w:val="00415FB7"/>
  </w:style>
  <w:style w:type="character" w:customStyle="1" w:styleId="NoSpacingChar">
    <w:name w:val="No Spacing Char"/>
    <w:basedOn w:val="DefaultParagraphFont"/>
    <w:link w:val="NoSpacing"/>
    <w:uiPriority w:val="1"/>
    <w:rsid w:val="005D1DBF"/>
    <w:rPr>
      <w:sz w:val="22"/>
      <w:szCs w:val="22"/>
      <w:lang w:val="en-GB" w:eastAsia="en-US" w:bidi="ar-SA"/>
    </w:rPr>
  </w:style>
  <w:style w:type="paragraph" w:styleId="BalloonText">
    <w:name w:val="Balloon Text"/>
    <w:basedOn w:val="Normal"/>
    <w:link w:val="BalloonTextChar"/>
    <w:uiPriority w:val="99"/>
    <w:semiHidden/>
    <w:unhideWhenUsed/>
    <w:rsid w:val="005D1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DBF"/>
    <w:rPr>
      <w:rFonts w:ascii="Tahoma" w:hAnsi="Tahoma" w:cs="Tahoma"/>
      <w:sz w:val="16"/>
      <w:szCs w:val="16"/>
      <w:lang w:eastAsia="en-US"/>
    </w:rPr>
  </w:style>
  <w:style w:type="paragraph" w:customStyle="1" w:styleId="Default">
    <w:name w:val="Default"/>
    <w:rsid w:val="005915C2"/>
    <w:pPr>
      <w:autoSpaceDE w:val="0"/>
      <w:autoSpaceDN w:val="0"/>
      <w:adjustRightInd w:val="0"/>
    </w:pPr>
    <w:rPr>
      <w:rFonts w:ascii="HIMPKF+Arial" w:hAnsi="HIMPKF+Arial" w:cs="HIMPKF+Arial"/>
      <w:color w:val="000000"/>
      <w:sz w:val="24"/>
      <w:szCs w:val="24"/>
    </w:rPr>
  </w:style>
  <w:style w:type="paragraph" w:customStyle="1" w:styleId="Bulleted">
    <w:name w:val="Bulleted"/>
    <w:semiHidden/>
    <w:rsid w:val="00F4693E"/>
    <w:pPr>
      <w:numPr>
        <w:numId w:val="32"/>
      </w:numPr>
      <w:spacing w:after="60" w:line="260" w:lineRule="exact"/>
    </w:pPr>
    <w:rPr>
      <w:rFonts w:eastAsia="Times New Roman"/>
      <w:sz w:val="22"/>
      <w:lang w:eastAsia="en-US"/>
    </w:rPr>
  </w:style>
  <w:style w:type="character" w:styleId="CommentReference">
    <w:name w:val="annotation reference"/>
    <w:basedOn w:val="DefaultParagraphFont"/>
    <w:uiPriority w:val="99"/>
    <w:semiHidden/>
    <w:unhideWhenUsed/>
    <w:rsid w:val="00B919E4"/>
    <w:rPr>
      <w:sz w:val="16"/>
      <w:szCs w:val="16"/>
    </w:rPr>
  </w:style>
  <w:style w:type="paragraph" w:styleId="CommentText">
    <w:name w:val="annotation text"/>
    <w:basedOn w:val="Normal"/>
    <w:link w:val="CommentTextChar"/>
    <w:uiPriority w:val="99"/>
    <w:semiHidden/>
    <w:unhideWhenUsed/>
    <w:rsid w:val="00B919E4"/>
    <w:pPr>
      <w:spacing w:line="240" w:lineRule="auto"/>
    </w:pPr>
    <w:rPr>
      <w:sz w:val="20"/>
      <w:szCs w:val="20"/>
    </w:rPr>
  </w:style>
  <w:style w:type="character" w:customStyle="1" w:styleId="CommentTextChar">
    <w:name w:val="Comment Text Char"/>
    <w:basedOn w:val="DefaultParagraphFont"/>
    <w:link w:val="CommentText"/>
    <w:uiPriority w:val="99"/>
    <w:semiHidden/>
    <w:rsid w:val="00B919E4"/>
    <w:rPr>
      <w:lang w:eastAsia="en-US"/>
    </w:rPr>
  </w:style>
  <w:style w:type="paragraph" w:styleId="CommentSubject">
    <w:name w:val="annotation subject"/>
    <w:basedOn w:val="CommentText"/>
    <w:next w:val="CommentText"/>
    <w:link w:val="CommentSubjectChar"/>
    <w:uiPriority w:val="99"/>
    <w:semiHidden/>
    <w:unhideWhenUsed/>
    <w:rsid w:val="00B919E4"/>
    <w:rPr>
      <w:b/>
      <w:bCs/>
    </w:rPr>
  </w:style>
  <w:style w:type="character" w:customStyle="1" w:styleId="CommentSubjectChar">
    <w:name w:val="Comment Subject Char"/>
    <w:basedOn w:val="CommentTextChar"/>
    <w:link w:val="CommentSubject"/>
    <w:uiPriority w:val="99"/>
    <w:semiHidden/>
    <w:rsid w:val="00B919E4"/>
    <w:rPr>
      <w:b/>
      <w:bCs/>
      <w:lang w:eastAsia="en-US"/>
    </w:rPr>
  </w:style>
  <w:style w:type="table" w:styleId="TableGrid">
    <w:name w:val="Table Grid"/>
    <w:basedOn w:val="TableNormal"/>
    <w:uiPriority w:val="59"/>
    <w:rsid w:val="00676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054939">
      <w:bodyDiv w:val="1"/>
      <w:marLeft w:val="0"/>
      <w:marRight w:val="0"/>
      <w:marTop w:val="0"/>
      <w:marBottom w:val="0"/>
      <w:divBdr>
        <w:top w:val="none" w:sz="0" w:space="0" w:color="auto"/>
        <w:left w:val="none" w:sz="0" w:space="0" w:color="auto"/>
        <w:bottom w:val="none" w:sz="0" w:space="0" w:color="auto"/>
        <w:right w:val="none" w:sz="0" w:space="0" w:color="auto"/>
      </w:divBdr>
    </w:div>
    <w:div w:id="157407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9" ma:contentTypeDescription="Create a new document." ma:contentTypeScope="" ma:versionID="c13d74c6be32909e9ddfb214d19cec31">
  <xsd:schema xmlns:xsd="http://www.w3.org/2001/XMLSchema" xmlns:xs="http://www.w3.org/2001/XMLSchema" xmlns:p="http://schemas.microsoft.com/office/2006/metadata/properties" xmlns:ns2="27de2167-70f8-47e2-931a-184d91a66223" targetNamespace="http://schemas.microsoft.com/office/2006/metadata/properties" ma:root="true" ma:fieldsID="2d0707e2c66a313c62fe72a904a069d7"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RSSB-1362-20</_dlc_DocId>
    <_dlc_DocIdUrl xmlns="27de2167-70f8-47e2-931a-184d91a66223">
      <Url>https://catalyst.rssb.co.uk/departments/Procurement/_layouts/15/DocIdRedir.aspx?ID=RSSB-1362-20</Url>
      <Description>RSSB-1362-20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E710B-3B53-480A-A2FF-DF4D9FE87D91}">
  <ds:schemaRefs>
    <ds:schemaRef ds:uri="http://schemas.microsoft.com/sharepoint/v3/contenttype/forms"/>
  </ds:schemaRefs>
</ds:datastoreItem>
</file>

<file path=customXml/itemProps2.xml><?xml version="1.0" encoding="utf-8"?>
<ds:datastoreItem xmlns:ds="http://schemas.openxmlformats.org/officeDocument/2006/customXml" ds:itemID="{02F42C89-76A1-43EA-8372-EC3364463395}">
  <ds:schemaRefs>
    <ds:schemaRef ds:uri="http://schemas.microsoft.com/sharepoint/events"/>
  </ds:schemaRefs>
</ds:datastoreItem>
</file>

<file path=customXml/itemProps3.xml><?xml version="1.0" encoding="utf-8"?>
<ds:datastoreItem xmlns:ds="http://schemas.openxmlformats.org/officeDocument/2006/customXml" ds:itemID="{52F48600-7887-4E9E-B627-3DEFB1C22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F9E5B3-FEC2-49FD-82C3-6A6E0D9B46E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27de2167-70f8-47e2-931a-184d91a66223"/>
    <ds:schemaRef ds:uri="http://www.w3.org/XML/1998/namespace"/>
  </ds:schemaRefs>
</ds:datastoreItem>
</file>

<file path=customXml/itemProps5.xml><?xml version="1.0" encoding="utf-8"?>
<ds:datastoreItem xmlns:ds="http://schemas.openxmlformats.org/officeDocument/2006/customXml" ds:itemID="{F0FF50AB-60B5-4E73-96FC-DCBC5190C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RSSB</Company>
  <LinksUpToDate>false</LinksUpToDate>
  <CharactersWithSpaces>7751</CharactersWithSpaces>
  <SharedDoc>false</SharedDoc>
  <HLinks>
    <vt:vector size="6" baseType="variant">
      <vt:variant>
        <vt:i4>6881329</vt:i4>
      </vt:variant>
      <vt:variant>
        <vt:i4>0</vt:i4>
      </vt:variant>
      <vt:variant>
        <vt:i4>0</vt:i4>
      </vt:variant>
      <vt:variant>
        <vt:i4>5</vt:i4>
      </vt:variant>
      <vt:variant>
        <vt:lpwstr>http://rssb-intranet/departments/supplychain/PoliciesProcedures/QP008/default.aspx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RSSB</dc:creator>
  <cp:keywords/>
  <dc:description/>
  <cp:lastModifiedBy>Tanja Odinsen</cp:lastModifiedBy>
  <cp:revision>3</cp:revision>
  <cp:lastPrinted>2017-02-17T10:51:00Z</cp:lastPrinted>
  <dcterms:created xsi:type="dcterms:W3CDTF">2017-02-20T16:58:00Z</dcterms:created>
  <dcterms:modified xsi:type="dcterms:W3CDTF">2017-02-21T17:41:00Z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_dlc_DocIdItemGuid">
    <vt:lpwstr>45c204cd-76ca-4ef9-98f1-91b41f01283e</vt:lpwstr>
  </property>
</Properties>
</file>