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5269865F" w14:textId="77777777" w:rsidR="00FA7E21" w:rsidRDefault="00FA7E21" w:rsidP="0093247A">
      <w:pPr>
        <w:pStyle w:val="StyleJustifiedLeft127cm"/>
        <w:spacing w:before="0" w:after="120"/>
        <w:ind w:left="0"/>
        <w:jc w:val="center"/>
        <w:rPr>
          <w:rFonts w:cs="Arial"/>
          <w:b/>
          <w:sz w:val="28"/>
          <w:szCs w:val="28"/>
        </w:rPr>
      </w:pPr>
      <w:r w:rsidRPr="00FA7E21">
        <w:rPr>
          <w:rFonts w:cs="Arial"/>
          <w:b/>
          <w:sz w:val="28"/>
          <w:szCs w:val="28"/>
        </w:rPr>
        <w:t>NHS England South West - Procurement for the provision of Supervised Tooth Brushing across the South West (Lots 1-7)</w:t>
      </w:r>
    </w:p>
    <w:p w14:paraId="71985216" w14:textId="53E9FBB1"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FA7E21">
        <w:rPr>
          <w:rFonts w:cs="Arial"/>
          <w:b/>
          <w:sz w:val="28"/>
          <w:szCs w:val="28"/>
        </w:rPr>
        <w:t>Additional</w:t>
      </w:r>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0E335435" w14:textId="77777777" w:rsidR="00FA7E21" w:rsidRPr="00CC61BE" w:rsidRDefault="00FA7E21" w:rsidP="00FA7E21">
            <w:pPr>
              <w:tabs>
                <w:tab w:val="left" w:pos="2975"/>
              </w:tabs>
              <w:rPr>
                <w:rFonts w:cs="Arial"/>
              </w:rPr>
            </w:pPr>
            <w:bookmarkStart w:id="0" w:name="_Hlk102987713"/>
            <w:r w:rsidRPr="001A3315">
              <w:rPr>
                <w:rFonts w:cs="Arial"/>
              </w:rPr>
              <w:t>The services are healthcare services falling within Schedule 3 to the Public Contracts Regulations 2015 ("the Regulations</w:t>
            </w:r>
            <w:r w:rsidRPr="00691C6B">
              <w:rPr>
                <w:rFonts w:cs="Arial"/>
              </w:rPr>
              <w:t>")</w:t>
            </w:r>
            <w:r>
              <w:rPr>
                <w:rFonts w:cs="Arial"/>
              </w:rPr>
              <w:t>,</w:t>
            </w:r>
            <w:r w:rsidRPr="00CC61BE">
              <w:rPr>
                <w:rFonts w:cs="Arial"/>
              </w:rPr>
              <w:t xml:space="preserve"> which are not subject to the full regime of the </w:t>
            </w:r>
            <w:proofErr w:type="gramStart"/>
            <w:r w:rsidRPr="00CC61BE">
              <w:rPr>
                <w:rFonts w:cs="Arial"/>
              </w:rPr>
              <w:t>Regulations, but</w:t>
            </w:r>
            <w:proofErr w:type="gramEnd"/>
            <w:r w:rsidRPr="00CC61BE">
              <w:rPr>
                <w:rFonts w:cs="Arial"/>
              </w:rPr>
              <w:t xml:space="preserve"> </w:t>
            </w:r>
            <w:r>
              <w:rPr>
                <w:rFonts w:cs="Arial"/>
              </w:rPr>
              <w:t>are</w:t>
            </w:r>
            <w:r w:rsidRPr="00CC61BE">
              <w:rPr>
                <w:rFonts w:cs="Arial"/>
              </w:rPr>
              <w:t xml:space="preserve"> instead governed by the "Light Touch Regime" contained within Chapter 3, Section 7 of the Regulations (Regulations 74 to 77).</w:t>
            </w:r>
          </w:p>
          <w:p w14:paraId="623220C9" w14:textId="77777777" w:rsidR="00FA7E21" w:rsidRPr="00CC61BE" w:rsidRDefault="00FA7E21" w:rsidP="00FA7E21">
            <w:pPr>
              <w:rPr>
                <w:rFonts w:cs="Arial"/>
              </w:rPr>
            </w:pPr>
          </w:p>
          <w:p w14:paraId="3820AD51" w14:textId="77777777" w:rsidR="00FA7E21" w:rsidRPr="00CC61BE" w:rsidRDefault="00FA7E21" w:rsidP="00FA7E21">
            <w:pPr>
              <w:rPr>
                <w:rFonts w:cs="Arial"/>
              </w:rPr>
            </w:pPr>
            <w:r w:rsidRPr="00CC61BE">
              <w:rPr>
                <w:rFonts w:cs="Arial"/>
              </w:rPr>
              <w:t>The tendering process will be conducted in accordance with the requirements and flexibilities provided by Articles 74 to 76 of the Directive, and Regulations 74 to 76 of the Regulations. The Authority will run a transparen</w:t>
            </w:r>
            <w:r>
              <w:rPr>
                <w:rFonts w:cs="Arial"/>
              </w:rPr>
              <w:t>t tender process, treating all B</w:t>
            </w:r>
            <w:r w:rsidRPr="00CC61BE">
              <w:rPr>
                <w:rFonts w:cs="Arial"/>
              </w:rPr>
              <w:t xml:space="preserve">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58A5BE49" w14:textId="77777777" w:rsidR="00FA7E21" w:rsidRPr="00CC61BE" w:rsidRDefault="00FA7E21" w:rsidP="00FA7E21">
            <w:pPr>
              <w:rPr>
                <w:rFonts w:cs="Arial"/>
              </w:rPr>
            </w:pPr>
            <w:r w:rsidRPr="00CC61BE">
              <w:rPr>
                <w:rFonts w:cs="Arial"/>
              </w:rPr>
              <w:t xml:space="preserve">  </w:t>
            </w:r>
          </w:p>
          <w:p w14:paraId="6981E9C2" w14:textId="77777777" w:rsidR="00FA7E21" w:rsidRDefault="00FA7E21" w:rsidP="00FA7E21">
            <w:pPr>
              <w:tabs>
                <w:tab w:val="left" w:pos="2975"/>
              </w:tabs>
              <w:rPr>
                <w:rFonts w:cs="Arial"/>
              </w:rPr>
            </w:pPr>
            <w:r w:rsidRPr="00CC61BE">
              <w:rPr>
                <w:rFonts w:cs="Arial"/>
              </w:rPr>
              <w:t xml:space="preserve">Neither the inclusion of a </w:t>
            </w:r>
            <w:r>
              <w:rPr>
                <w:rFonts w:cs="Arial"/>
              </w:rPr>
              <w:t>B</w:t>
            </w:r>
            <w:r w:rsidRPr="00CC61BE">
              <w:rPr>
                <w:rFonts w:cs="Arial"/>
              </w:rPr>
              <w:t xml:space="preserve">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37F19F41" w14:textId="77777777" w:rsidR="00FA7E21" w:rsidRPr="00CC61BE" w:rsidRDefault="00FA7E21" w:rsidP="00FA7E21">
            <w:pPr>
              <w:tabs>
                <w:tab w:val="left" w:pos="2975"/>
              </w:tabs>
              <w:rPr>
                <w:rFonts w:cs="Arial"/>
              </w:rPr>
            </w:pPr>
          </w:p>
          <w:p w14:paraId="5BEC5D77" w14:textId="4B774A0B" w:rsidR="006D2A64" w:rsidRPr="003F32A0" w:rsidRDefault="00FA7E21" w:rsidP="00FA7E21">
            <w:r w:rsidRPr="009B6B88">
              <w:rPr>
                <w:rFonts w:cs="Arial"/>
              </w:rPr>
              <w:t xml:space="preserve">The Contracting Authority intends to voluntarily observe the award decision notices provisions and </w:t>
            </w:r>
            <w:proofErr w:type="gramStart"/>
            <w:r w:rsidRPr="009B6B88">
              <w:rPr>
                <w:rFonts w:cs="Arial"/>
              </w:rPr>
              <w:t>10 day</w:t>
            </w:r>
            <w:proofErr w:type="gramEnd"/>
            <w:r w:rsidRPr="009B6B88">
              <w:rPr>
                <w:rFonts w:cs="Arial"/>
              </w:rPr>
              <w:t xml:space="preserve"> standstill period described in Regulation 86 of the Regulations. Unsuccessful Bidders will receive scores and reasons for the decision, including the characteristics and relative advantages of the winning bid and the reasons why the Bidder/application was unsuccessful.</w:t>
            </w:r>
          </w:p>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4"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4"/>
  </w:num>
  <w:num w:numId="2" w16cid:durableId="799760470">
    <w:abstractNumId w:val="12"/>
  </w:num>
  <w:num w:numId="3" w16cid:durableId="31541337">
    <w:abstractNumId w:val="11"/>
  </w:num>
  <w:num w:numId="4" w16cid:durableId="1627351578">
    <w:abstractNumId w:val="2"/>
  </w:num>
  <w:num w:numId="5" w16cid:durableId="1153640304">
    <w:abstractNumId w:val="6"/>
  </w:num>
  <w:num w:numId="6" w16cid:durableId="1664502846">
    <w:abstractNumId w:val="0"/>
  </w:num>
  <w:num w:numId="7" w16cid:durableId="1175919712">
    <w:abstractNumId w:val="10"/>
  </w:num>
  <w:num w:numId="8" w16cid:durableId="1845702129">
    <w:abstractNumId w:val="5"/>
  </w:num>
  <w:num w:numId="9" w16cid:durableId="204760503">
    <w:abstractNumId w:val="8"/>
  </w:num>
  <w:num w:numId="10" w16cid:durableId="771242200">
    <w:abstractNumId w:val="1"/>
  </w:num>
  <w:num w:numId="11" w16cid:durableId="1258176573">
    <w:abstractNumId w:val="4"/>
  </w:num>
  <w:num w:numId="12" w16cid:durableId="1121999986">
    <w:abstractNumId w:val="3"/>
  </w:num>
  <w:num w:numId="13" w16cid:durableId="2042851499">
    <w:abstractNumId w:val="9"/>
  </w:num>
  <w:num w:numId="14" w16cid:durableId="1698921712">
    <w:abstractNumId w:val="7"/>
  </w:num>
  <w:num w:numId="15" w16cid:durableId="823619440">
    <w:abstractNumId w:val="3"/>
  </w:num>
  <w:num w:numId="16" w16cid:durableId="685978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A7E21"/>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3.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4.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2023-01-03T12:00:00Z</dcterms:created>
  <dcterms:modified xsi:type="dcterms:W3CDTF">2023-01-03T12:00:00Z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