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CD00FC7" w:rsidR="00EB23A0" w:rsidRPr="00812225" w:rsidRDefault="002F4AF3" w:rsidP="452A660A">
      <w:pPr>
        <w:rPr>
          <w:rStyle w:val="Important"/>
          <w:color w:val="auto"/>
        </w:rPr>
      </w:pPr>
      <w:r>
        <w:rPr>
          <w:rStyle w:val="Important"/>
          <w:color w:val="auto"/>
        </w:rPr>
        <w:t>Electric UTV for Martin Down NNR</w:t>
      </w:r>
    </w:p>
    <w:p w14:paraId="475EA411" w14:textId="77777777" w:rsidR="00EB23A0" w:rsidRPr="00812225" w:rsidRDefault="00EB23A0" w:rsidP="452A660A">
      <w:pPr>
        <w:rPr>
          <w:rStyle w:val="Important"/>
          <w:color w:val="auto"/>
        </w:rPr>
      </w:pPr>
    </w:p>
    <w:p w14:paraId="14C9028F" w14:textId="73876C45" w:rsidR="00EB23A0" w:rsidRPr="00812225" w:rsidRDefault="000276B6" w:rsidP="452A660A">
      <w:pPr>
        <w:rPr>
          <w:rStyle w:val="Important"/>
          <w:color w:val="auto"/>
        </w:rPr>
      </w:pPr>
      <w:r>
        <w:rPr>
          <w:rStyle w:val="Important"/>
          <w:color w:val="auto"/>
        </w:rPr>
        <w:t>27</w:t>
      </w:r>
      <w:r w:rsidR="006A6004">
        <w:rPr>
          <w:rStyle w:val="Important"/>
          <w:color w:val="auto"/>
        </w:rPr>
        <w:t xml:space="preserve"> November</w:t>
      </w:r>
      <w:r w:rsidR="002B75CF" w:rsidRPr="452A660A">
        <w:rPr>
          <w:rStyle w:val="Important"/>
          <w:color w:val="auto"/>
        </w:rPr>
        <w:t xml:space="preserve"> 2024</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0FD76B55" w:rsidR="00EB23A0" w:rsidRPr="00A77416" w:rsidRDefault="00B02568" w:rsidP="6B4E47F6">
      <w:pPr>
        <w:rPr>
          <w:rStyle w:val="Important"/>
          <w:color w:val="auto"/>
        </w:rPr>
      </w:pPr>
      <w:r>
        <w:rPr>
          <w:rStyle w:val="Important"/>
          <w:color w:val="auto"/>
        </w:rPr>
        <w:t>Electric UTV for Martin Down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596270A5" w:rsidR="00EB23A0" w:rsidRPr="00A77416" w:rsidRDefault="00EB23A0" w:rsidP="00EB23A0">
      <w:pPr>
        <w:rPr>
          <w:rStyle w:val="Important"/>
        </w:rPr>
      </w:pPr>
      <w:r w:rsidRPr="00A77416">
        <w:t>Email:</w:t>
      </w:r>
      <w:r w:rsidRPr="00A77416">
        <w:rPr>
          <w:rStyle w:val="Important"/>
        </w:rPr>
        <w:t xml:space="preserve"> </w:t>
      </w:r>
      <w:r w:rsidR="00A036DA">
        <w:rPr>
          <w:rStyle w:val="Important"/>
        </w:rPr>
        <w:t>vi</w:t>
      </w:r>
      <w:r w:rsidR="007533B4">
        <w:rPr>
          <w:rStyle w:val="Important"/>
        </w:rPr>
        <w:t>cki.cross@naturalengland.org.uk</w:t>
      </w:r>
    </w:p>
    <w:p w14:paraId="228994B2" w14:textId="5CCC26AC" w:rsidR="00EB23A0" w:rsidRPr="00A77416" w:rsidRDefault="00EB23A0" w:rsidP="00EB23A0">
      <w:pPr>
        <w:rPr>
          <w:rStyle w:val="Important"/>
        </w:rPr>
      </w:pPr>
      <w:r>
        <w:t xml:space="preserve">Date: </w:t>
      </w:r>
      <w:r w:rsidR="00293C82">
        <w:rPr>
          <w:b/>
          <w:bCs/>
          <w:color w:val="FF0000"/>
        </w:rPr>
        <w:t>1</w:t>
      </w:r>
      <w:r w:rsidR="00A06885">
        <w:rPr>
          <w:b/>
          <w:bCs/>
          <w:color w:val="FF0000"/>
        </w:rPr>
        <w:t>8</w:t>
      </w:r>
      <w:r w:rsidR="00293C82">
        <w:rPr>
          <w:b/>
          <w:bCs/>
          <w:color w:val="FF0000"/>
        </w:rPr>
        <w:t>.12.</w:t>
      </w:r>
      <w:r w:rsidR="00A06885">
        <w:rPr>
          <w:b/>
          <w:bCs/>
          <w:color w:val="FF0000"/>
        </w:rPr>
        <w:t>24</w:t>
      </w:r>
    </w:p>
    <w:p w14:paraId="131A4868" w14:textId="4A5492D1" w:rsidR="00EB23A0" w:rsidRPr="00A77416" w:rsidRDefault="00EB23A0" w:rsidP="00EB23A0">
      <w:pPr>
        <w:rPr>
          <w:rStyle w:val="Important"/>
        </w:rPr>
      </w:pPr>
      <w:r w:rsidRPr="00A77416">
        <w:t>Time:</w:t>
      </w:r>
      <w:r>
        <w:t xml:space="preserve"> </w:t>
      </w:r>
      <w:r w:rsidR="00A06885">
        <w:rPr>
          <w:rStyle w:val="Important"/>
        </w:rPr>
        <w:t>17</w:t>
      </w:r>
      <w:r w:rsidR="00293C82">
        <w:rPr>
          <w:rStyle w:val="Important"/>
        </w:rPr>
        <w:t>:00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A3E544A" w:rsidR="00EB23A0" w:rsidRDefault="00A036DA" w:rsidP="00EB23A0">
      <w:r w:rsidRPr="2E2828E4">
        <w:rPr>
          <w:rStyle w:val="Important"/>
        </w:rPr>
        <w:t xml:space="preserve">Alan McVittie </w:t>
      </w:r>
      <w:r w:rsidR="007533B4" w:rsidRPr="2E2828E4">
        <w:rPr>
          <w:rStyle w:val="Important"/>
        </w:rPr>
        <w:t xml:space="preserve">alan.mcvittie@naturalengland.org.uk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A77416" w:rsidRDefault="00EB23A0" w:rsidP="00EB23A0"/>
    <w:tbl>
      <w:tblPr>
        <w:tblStyle w:val="Table"/>
        <w:tblW w:w="8637" w:type="dxa"/>
        <w:tblLook w:val="04A0" w:firstRow="1" w:lastRow="0" w:firstColumn="1" w:lastColumn="0" w:noHBand="0" w:noVBand="1"/>
      </w:tblPr>
      <w:tblGrid>
        <w:gridCol w:w="4305"/>
        <w:gridCol w:w="4332"/>
      </w:tblGrid>
      <w:tr w:rsidR="00EB23A0"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9F2992" w:rsidRDefault="00EB23A0" w:rsidP="00A706D8">
            <w:r w:rsidRPr="00A77416">
              <w:t>Action</w:t>
            </w:r>
          </w:p>
        </w:tc>
        <w:tc>
          <w:tcPr>
            <w:tcW w:w="4332" w:type="dxa"/>
          </w:tcPr>
          <w:p w14:paraId="73F96AB8" w14:textId="77777777" w:rsidR="00EB23A0" w:rsidRPr="009F2992" w:rsidRDefault="00EB23A0" w:rsidP="00A706D8">
            <w:r>
              <w:t>Date</w:t>
            </w:r>
          </w:p>
        </w:tc>
      </w:tr>
      <w:tr w:rsidR="00EB23A0" w14:paraId="0A74A764" w14:textId="77777777" w:rsidTr="79B01FBB">
        <w:tc>
          <w:tcPr>
            <w:tcW w:w="4305" w:type="dxa"/>
          </w:tcPr>
          <w:p w14:paraId="44869832" w14:textId="77777777" w:rsidR="00EB23A0" w:rsidRPr="009F2992" w:rsidRDefault="00EB23A0" w:rsidP="00A706D8">
            <w:r w:rsidRPr="00A77416">
              <w:t>Date of issue of RFQ</w:t>
            </w:r>
          </w:p>
        </w:tc>
        <w:tc>
          <w:tcPr>
            <w:tcW w:w="4332" w:type="dxa"/>
          </w:tcPr>
          <w:p w14:paraId="7A899060" w14:textId="677F0642" w:rsidR="00EB23A0" w:rsidRPr="009F2992" w:rsidRDefault="00A06885" w:rsidP="00A706D8">
            <w:r>
              <w:rPr>
                <w:b/>
                <w:bCs/>
                <w:color w:val="C00000"/>
              </w:rPr>
              <w:t>27</w:t>
            </w:r>
            <w:r w:rsidR="000B4EF1">
              <w:rPr>
                <w:b/>
                <w:bCs/>
                <w:color w:val="C00000"/>
              </w:rPr>
              <w:t>-11-24</w:t>
            </w:r>
            <w:r w:rsidR="00EB23A0" w:rsidRPr="18FB6F60">
              <w:rPr>
                <w:b/>
                <w:bCs/>
                <w:color w:val="C00000"/>
              </w:rPr>
              <w:t xml:space="preserve"> at</w:t>
            </w:r>
            <w:r w:rsidR="00EB23A0">
              <w:t xml:space="preserve"> </w:t>
            </w:r>
            <w:r w:rsidR="00B332F0" w:rsidRPr="18FB6F60">
              <w:rPr>
                <w:rStyle w:val="Important"/>
              </w:rPr>
              <w:t>17:00</w:t>
            </w:r>
            <w:r w:rsidR="00EB23A0" w:rsidRPr="18FB6F60">
              <w:rPr>
                <w:rStyle w:val="Important"/>
              </w:rPr>
              <w:t xml:space="preserve"> BST / GMT</w:t>
            </w:r>
          </w:p>
        </w:tc>
      </w:tr>
      <w:tr w:rsidR="00EB23A0" w14:paraId="72D08BFC" w14:textId="77777777" w:rsidTr="79B01FBB">
        <w:tc>
          <w:tcPr>
            <w:tcW w:w="4305" w:type="dxa"/>
          </w:tcPr>
          <w:p w14:paraId="38466C30" w14:textId="77777777" w:rsidR="00EB23A0" w:rsidRPr="009F2992" w:rsidRDefault="00EB23A0" w:rsidP="00A706D8">
            <w:r w:rsidRPr="00A77416">
              <w:t>Deadline for clarifications questions</w:t>
            </w:r>
          </w:p>
        </w:tc>
        <w:tc>
          <w:tcPr>
            <w:tcW w:w="4332" w:type="dxa"/>
          </w:tcPr>
          <w:p w14:paraId="00B14482" w14:textId="2887B6B7" w:rsidR="00EB23A0" w:rsidRPr="009F2992" w:rsidRDefault="00AF031A" w:rsidP="00A706D8">
            <w:pPr>
              <w:rPr>
                <w:rStyle w:val="Important"/>
              </w:rPr>
            </w:pPr>
            <w:r>
              <w:rPr>
                <w:rStyle w:val="Important"/>
              </w:rPr>
              <w:t>11-12-24</w:t>
            </w:r>
            <w:r w:rsidR="00EB23A0" w:rsidRPr="6A699DFC">
              <w:rPr>
                <w:rStyle w:val="Important"/>
              </w:rPr>
              <w:t xml:space="preserve"> </w:t>
            </w:r>
            <w:r w:rsidR="00EB23A0">
              <w:t xml:space="preserve">at </w:t>
            </w:r>
            <w:r w:rsidR="008A25AB" w:rsidRPr="6A699DFC">
              <w:rPr>
                <w:rStyle w:val="Important"/>
              </w:rPr>
              <w:t>17:00</w:t>
            </w:r>
            <w:r w:rsidR="00EB23A0" w:rsidRPr="6A699DFC">
              <w:rPr>
                <w:rStyle w:val="Important"/>
              </w:rPr>
              <w:t xml:space="preserve"> BST / GMT</w:t>
            </w:r>
          </w:p>
          <w:p w14:paraId="2B9DE540" w14:textId="77777777" w:rsidR="00EB23A0" w:rsidRDefault="00EB23A0" w:rsidP="00A706D8"/>
          <w:p w14:paraId="6370A0AA" w14:textId="77777777" w:rsidR="00EB23A0" w:rsidRPr="009F2992" w:rsidRDefault="00EB23A0" w:rsidP="00A706D8">
            <w:pPr>
              <w:rPr>
                <w:rStyle w:val="Important"/>
              </w:rPr>
            </w:pPr>
            <w:r w:rsidRPr="007A28B8">
              <w:rPr>
                <w:rStyle w:val="Important"/>
              </w:rPr>
              <w:t xml:space="preserve">[Note: A period of no less than 2 weeks is </w:t>
            </w:r>
            <w:r w:rsidRPr="009F2992">
              <w:rPr>
                <w:rStyle w:val="Important"/>
              </w:rPr>
              <w:t>recommended]</w:t>
            </w:r>
          </w:p>
        </w:tc>
      </w:tr>
      <w:tr w:rsidR="00EB23A0" w14:paraId="0A5AF447" w14:textId="77777777" w:rsidTr="79B01FBB">
        <w:tc>
          <w:tcPr>
            <w:tcW w:w="4305" w:type="dxa"/>
          </w:tcPr>
          <w:p w14:paraId="45972C32" w14:textId="77777777" w:rsidR="00EB23A0" w:rsidRPr="009F2992" w:rsidRDefault="00EB23A0" w:rsidP="00A706D8">
            <w:r w:rsidRPr="00A77416">
              <w:t>Deadline for receipt of Quotation</w:t>
            </w:r>
          </w:p>
        </w:tc>
        <w:tc>
          <w:tcPr>
            <w:tcW w:w="4332" w:type="dxa"/>
          </w:tcPr>
          <w:p w14:paraId="5387587F" w14:textId="47E2F92F" w:rsidR="00EB23A0" w:rsidRPr="009F2992" w:rsidRDefault="00AF031A" w:rsidP="00A706D8">
            <w:r>
              <w:rPr>
                <w:b/>
                <w:bCs/>
                <w:color w:val="C00000"/>
              </w:rPr>
              <w:t>18-12-24</w:t>
            </w:r>
            <w:r w:rsidR="00EB23A0" w:rsidRPr="18FB6F60">
              <w:rPr>
                <w:b/>
                <w:bCs/>
                <w:color w:val="C00000"/>
              </w:rPr>
              <w:t xml:space="preserve"> at </w:t>
            </w:r>
            <w:r w:rsidRPr="00AF031A">
              <w:rPr>
                <w:b/>
                <w:bCs/>
                <w:color w:val="FF0000"/>
              </w:rPr>
              <w:t>17:00</w:t>
            </w:r>
            <w:r w:rsidR="00EB23A0" w:rsidRPr="18FB6F60">
              <w:rPr>
                <w:rStyle w:val="Important"/>
                <w:color w:val="C00000"/>
              </w:rPr>
              <w:t xml:space="preserve"> B</w:t>
            </w:r>
            <w:r w:rsidR="00EB23A0" w:rsidRPr="18FB6F60">
              <w:rPr>
                <w:rStyle w:val="Important"/>
              </w:rPr>
              <w:t>ST / GMT</w:t>
            </w:r>
          </w:p>
        </w:tc>
      </w:tr>
      <w:tr w:rsidR="00EB23A0" w14:paraId="6AEEC4A7" w14:textId="77777777" w:rsidTr="79B01FBB">
        <w:tc>
          <w:tcPr>
            <w:tcW w:w="4305" w:type="dxa"/>
          </w:tcPr>
          <w:p w14:paraId="5E5A1019" w14:textId="77777777" w:rsidR="00EB23A0" w:rsidRPr="009F2992" w:rsidRDefault="00EB23A0" w:rsidP="00A706D8">
            <w:r w:rsidRPr="00A77416">
              <w:t>Intended date of Contract Award</w:t>
            </w:r>
          </w:p>
        </w:tc>
        <w:tc>
          <w:tcPr>
            <w:tcW w:w="4332" w:type="dxa"/>
          </w:tcPr>
          <w:p w14:paraId="402873C9" w14:textId="05A96C62" w:rsidR="00EB23A0" w:rsidRPr="009F2992" w:rsidRDefault="00693F29" w:rsidP="00A706D8">
            <w:pPr>
              <w:rPr>
                <w:rStyle w:val="Important"/>
              </w:rPr>
            </w:pPr>
            <w:r>
              <w:rPr>
                <w:rStyle w:val="Important"/>
              </w:rPr>
              <w:t>06-01-25</w:t>
            </w:r>
          </w:p>
        </w:tc>
      </w:tr>
      <w:tr w:rsidR="00EB23A0" w14:paraId="3828A79E" w14:textId="77777777" w:rsidTr="79B01FBB">
        <w:tc>
          <w:tcPr>
            <w:tcW w:w="4305" w:type="dxa"/>
          </w:tcPr>
          <w:p w14:paraId="64FB2451" w14:textId="77777777" w:rsidR="00EB23A0" w:rsidRPr="009F2992" w:rsidRDefault="00EB23A0" w:rsidP="00A706D8">
            <w:r w:rsidRPr="00A77416">
              <w:t>Intended Contract Start Date</w:t>
            </w:r>
          </w:p>
        </w:tc>
        <w:tc>
          <w:tcPr>
            <w:tcW w:w="4332" w:type="dxa"/>
          </w:tcPr>
          <w:p w14:paraId="11AD15C3" w14:textId="19C9A60B" w:rsidR="00EB23A0" w:rsidRPr="009F2992" w:rsidRDefault="00D90912" w:rsidP="00A706D8">
            <w:pPr>
              <w:rPr>
                <w:rStyle w:val="Important"/>
              </w:rPr>
            </w:pPr>
            <w:r>
              <w:rPr>
                <w:rStyle w:val="Important"/>
              </w:rPr>
              <w:t>28-02-25</w:t>
            </w:r>
            <w:r w:rsidR="1AB58833" w:rsidRPr="79B01FBB">
              <w:rPr>
                <w:rStyle w:val="Important"/>
              </w:rPr>
              <w:t xml:space="preserve"> </w:t>
            </w:r>
            <w:r w:rsidR="000A3D2F">
              <w:rPr>
                <w:rStyle w:val="Important"/>
              </w:rPr>
              <w:t xml:space="preserve">or before </w:t>
            </w:r>
            <w:r w:rsidR="1AB58833" w:rsidRPr="79B01FBB">
              <w:rPr>
                <w:rStyle w:val="Important"/>
              </w:rPr>
              <w:t>(delivery to site)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1D2212F6" w:rsidR="00EB23A0" w:rsidRPr="009F2992" w:rsidRDefault="00D90912" w:rsidP="34A73168">
            <w:pPr>
              <w:rPr>
                <w:b/>
                <w:bCs/>
                <w:color w:val="C00000"/>
              </w:rPr>
            </w:pPr>
            <w:r>
              <w:rPr>
                <w:b/>
                <w:bCs/>
                <w:color w:val="C00000"/>
              </w:rPr>
              <w:t>28-02-25</w:t>
            </w:r>
            <w:r w:rsidR="000A3D2F">
              <w:rPr>
                <w:b/>
                <w:bCs/>
                <w:color w:val="C00000"/>
              </w:rPr>
              <w:t xml:space="preserve"> or before</w:t>
            </w:r>
            <w:r w:rsidR="6D6B7CB1" w:rsidRPr="79B01FBB">
              <w:rPr>
                <w:b/>
                <w:bCs/>
                <w:color w:val="C00000"/>
              </w:rPr>
              <w:t xml:space="preserve"> (delivery to site)</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t xml:space="preserve">means </w:t>
            </w:r>
            <w:r w:rsidR="005A12DC" w:rsidRPr="40B9615C">
              <w:rPr>
                <w:rStyle w:val="Important"/>
              </w:rPr>
              <w:t xml:space="preserve">Natural England </w:t>
            </w:r>
            <w:r>
              <w:t xml:space="preserve">who 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98C8201" w:rsidR="00EB23A0" w:rsidRPr="007A28B8" w:rsidRDefault="00EB23A0" w:rsidP="00EB23A0">
      <w:r w:rsidRPr="007A28B8">
        <w:lastRenderedPageBreak/>
        <w:t xml:space="preserve">For the purpose of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3B41EB3D" w14:textId="29588757" w:rsidR="003A014C" w:rsidRDefault="004F7D5C" w:rsidP="003A014C">
      <w:r>
        <w:t>Electric UTV for Martin Down NNR</w:t>
      </w:r>
    </w:p>
    <w:p w14:paraId="4BF66DED" w14:textId="77777777" w:rsidR="00025276" w:rsidRPr="009233A6" w:rsidRDefault="00025276" w:rsidP="003A014C">
      <w:pPr>
        <w:rPr>
          <w:lang w:eastAsia="en-GB"/>
        </w:rPr>
      </w:pPr>
    </w:p>
    <w:p w14:paraId="6AEA66BD" w14:textId="77777777" w:rsidR="003A014C" w:rsidRPr="00C23D6C" w:rsidRDefault="003A014C" w:rsidP="003A014C">
      <w:pPr>
        <w:pStyle w:val="Blockheading"/>
      </w:pPr>
      <w:r w:rsidRPr="00C23D6C">
        <w:t>Requirement</w:t>
      </w:r>
    </w:p>
    <w:p w14:paraId="74B22FB5" w14:textId="77777777" w:rsidR="00F36050" w:rsidRDefault="00F36050" w:rsidP="00025276">
      <w:pPr>
        <w:pStyle w:val="ListParagraph"/>
        <w:numPr>
          <w:ilvl w:val="0"/>
          <w:numId w:val="18"/>
        </w:numPr>
        <w:spacing w:before="120" w:line="240" w:lineRule="auto"/>
        <w:rPr>
          <w:szCs w:val="24"/>
        </w:rPr>
      </w:pPr>
      <w:r w:rsidRPr="00025276">
        <w:rPr>
          <w:szCs w:val="24"/>
        </w:rPr>
        <w:t>2 seat Electric UTV</w:t>
      </w:r>
    </w:p>
    <w:p w14:paraId="5C5670A9" w14:textId="5041562E" w:rsidR="00D45A1F" w:rsidRPr="00025276" w:rsidRDefault="00D45A1F" w:rsidP="00025276">
      <w:pPr>
        <w:pStyle w:val="ListParagraph"/>
        <w:numPr>
          <w:ilvl w:val="0"/>
          <w:numId w:val="18"/>
        </w:numPr>
        <w:spacing w:before="120" w:line="240" w:lineRule="auto"/>
        <w:rPr>
          <w:szCs w:val="24"/>
        </w:rPr>
      </w:pPr>
      <w:r>
        <w:rPr>
          <w:szCs w:val="24"/>
        </w:rPr>
        <w:t>15kW rated power</w:t>
      </w:r>
    </w:p>
    <w:p w14:paraId="72DD21CB" w14:textId="77777777" w:rsidR="00F36050" w:rsidRPr="00025276" w:rsidRDefault="00F36050" w:rsidP="00025276">
      <w:pPr>
        <w:pStyle w:val="ListParagraph"/>
        <w:numPr>
          <w:ilvl w:val="0"/>
          <w:numId w:val="18"/>
        </w:numPr>
        <w:spacing w:before="120" w:line="240" w:lineRule="auto"/>
        <w:rPr>
          <w:szCs w:val="24"/>
        </w:rPr>
      </w:pPr>
      <w:r w:rsidRPr="00025276">
        <w:rPr>
          <w:szCs w:val="24"/>
        </w:rPr>
        <w:t>Fully Lockable cab with Glass Screen with wiper and removable doors</w:t>
      </w:r>
    </w:p>
    <w:p w14:paraId="28667071" w14:textId="77777777" w:rsidR="00F36050" w:rsidRPr="00025276" w:rsidRDefault="00F36050" w:rsidP="00025276">
      <w:pPr>
        <w:pStyle w:val="ListParagraph"/>
        <w:numPr>
          <w:ilvl w:val="0"/>
          <w:numId w:val="18"/>
        </w:numPr>
        <w:spacing w:before="120" w:line="240" w:lineRule="auto"/>
        <w:rPr>
          <w:szCs w:val="24"/>
        </w:rPr>
      </w:pPr>
      <w:r w:rsidRPr="00025276">
        <w:rPr>
          <w:szCs w:val="24"/>
        </w:rPr>
        <w:t>Knobby tyres</w:t>
      </w:r>
    </w:p>
    <w:p w14:paraId="7CF47717" w14:textId="77777777" w:rsidR="00F36050" w:rsidRPr="00025276" w:rsidRDefault="00F36050" w:rsidP="00025276">
      <w:pPr>
        <w:pStyle w:val="ListParagraph"/>
        <w:numPr>
          <w:ilvl w:val="0"/>
          <w:numId w:val="18"/>
        </w:numPr>
        <w:spacing w:before="120" w:line="240" w:lineRule="auto"/>
        <w:rPr>
          <w:szCs w:val="24"/>
        </w:rPr>
      </w:pPr>
      <w:r w:rsidRPr="00025276">
        <w:rPr>
          <w:szCs w:val="24"/>
        </w:rPr>
        <w:t>Removable tow ball to allow bespoke plate fitting</w:t>
      </w:r>
    </w:p>
    <w:p w14:paraId="4989979B" w14:textId="77777777" w:rsidR="00F36050" w:rsidRPr="00025276" w:rsidRDefault="00F36050" w:rsidP="00025276">
      <w:pPr>
        <w:pStyle w:val="ListParagraph"/>
        <w:numPr>
          <w:ilvl w:val="0"/>
          <w:numId w:val="18"/>
        </w:numPr>
        <w:spacing w:before="120" w:line="240" w:lineRule="auto"/>
        <w:rPr>
          <w:szCs w:val="24"/>
        </w:rPr>
      </w:pPr>
      <w:r w:rsidRPr="00025276">
        <w:rPr>
          <w:szCs w:val="24"/>
        </w:rPr>
        <w:t>Lug bar</w:t>
      </w:r>
    </w:p>
    <w:p w14:paraId="3E89DEAA" w14:textId="77777777" w:rsidR="00F36050" w:rsidRPr="00025276" w:rsidRDefault="00F36050" w:rsidP="00025276">
      <w:pPr>
        <w:pStyle w:val="ListParagraph"/>
        <w:numPr>
          <w:ilvl w:val="0"/>
          <w:numId w:val="18"/>
        </w:numPr>
        <w:spacing w:before="120" w:line="240" w:lineRule="auto"/>
        <w:rPr>
          <w:szCs w:val="24"/>
        </w:rPr>
      </w:pPr>
      <w:r w:rsidRPr="00025276">
        <w:rPr>
          <w:szCs w:val="24"/>
        </w:rPr>
        <w:t>Securing system for brushcutters in rear</w:t>
      </w:r>
    </w:p>
    <w:p w14:paraId="4A2FF2EE" w14:textId="77777777" w:rsidR="00F36050" w:rsidRPr="00025276" w:rsidRDefault="00F36050" w:rsidP="00025276">
      <w:pPr>
        <w:pStyle w:val="ListParagraph"/>
        <w:numPr>
          <w:ilvl w:val="0"/>
          <w:numId w:val="18"/>
        </w:numPr>
        <w:spacing w:before="120" w:line="240" w:lineRule="auto"/>
        <w:rPr>
          <w:szCs w:val="24"/>
        </w:rPr>
      </w:pPr>
      <w:r w:rsidRPr="00025276">
        <w:rPr>
          <w:szCs w:val="24"/>
        </w:rPr>
        <w:t>Winch with internal and external isolators</w:t>
      </w:r>
    </w:p>
    <w:p w14:paraId="2C875FC4" w14:textId="77777777" w:rsidR="00F36050" w:rsidRPr="00025276" w:rsidRDefault="00F36050" w:rsidP="00025276">
      <w:pPr>
        <w:pStyle w:val="ListParagraph"/>
        <w:numPr>
          <w:ilvl w:val="0"/>
          <w:numId w:val="18"/>
        </w:numPr>
        <w:spacing w:before="120" w:line="240" w:lineRule="auto"/>
        <w:rPr>
          <w:szCs w:val="24"/>
        </w:rPr>
      </w:pPr>
      <w:r w:rsidRPr="00025276">
        <w:rPr>
          <w:szCs w:val="24"/>
        </w:rPr>
        <w:t>Lights off switch</w:t>
      </w:r>
    </w:p>
    <w:p w14:paraId="6071AABB" w14:textId="77777777" w:rsidR="00F36050" w:rsidRPr="00025276" w:rsidRDefault="00F36050" w:rsidP="00025276">
      <w:pPr>
        <w:pStyle w:val="ListParagraph"/>
        <w:numPr>
          <w:ilvl w:val="0"/>
          <w:numId w:val="18"/>
        </w:numPr>
        <w:spacing w:before="120" w:line="240" w:lineRule="auto"/>
        <w:rPr>
          <w:szCs w:val="24"/>
        </w:rPr>
      </w:pPr>
      <w:r w:rsidRPr="00025276">
        <w:rPr>
          <w:szCs w:val="24"/>
        </w:rPr>
        <w:t>Small ATV Trailer</w:t>
      </w:r>
    </w:p>
    <w:p w14:paraId="03AFC18C" w14:textId="77777777" w:rsidR="00F36050" w:rsidRDefault="00F36050" w:rsidP="00025276">
      <w:pPr>
        <w:pStyle w:val="ListParagraph"/>
        <w:numPr>
          <w:ilvl w:val="0"/>
          <w:numId w:val="18"/>
        </w:numPr>
        <w:spacing w:before="120" w:line="240" w:lineRule="auto"/>
        <w:rPr>
          <w:szCs w:val="24"/>
        </w:rPr>
      </w:pPr>
      <w:r w:rsidRPr="00025276">
        <w:rPr>
          <w:szCs w:val="24"/>
        </w:rPr>
        <w:t>Road registered and road legal</w:t>
      </w:r>
    </w:p>
    <w:p w14:paraId="20034C55" w14:textId="558F587D" w:rsidR="00B84EAB" w:rsidRPr="00025276" w:rsidRDefault="00B84EAB" w:rsidP="00025276">
      <w:pPr>
        <w:pStyle w:val="ListParagraph"/>
        <w:numPr>
          <w:ilvl w:val="0"/>
          <w:numId w:val="18"/>
        </w:numPr>
        <w:spacing w:before="120" w:line="240" w:lineRule="auto"/>
        <w:rPr>
          <w:szCs w:val="24"/>
        </w:rPr>
      </w:pPr>
      <w:r>
        <w:rPr>
          <w:szCs w:val="24"/>
        </w:rPr>
        <w:t xml:space="preserve">Conforms to </w:t>
      </w:r>
      <w:r w:rsidR="00982B5D">
        <w:rPr>
          <w:szCs w:val="24"/>
        </w:rPr>
        <w:t>UK Government Vehicle Type Approval</w:t>
      </w:r>
    </w:p>
    <w:p w14:paraId="1A8320FB" w14:textId="77777777" w:rsidR="00F36050" w:rsidRPr="00025276" w:rsidRDefault="00F36050" w:rsidP="00025276">
      <w:pPr>
        <w:pStyle w:val="ListParagraph"/>
        <w:numPr>
          <w:ilvl w:val="0"/>
          <w:numId w:val="18"/>
        </w:numPr>
        <w:spacing w:before="120" w:line="240" w:lineRule="auto"/>
        <w:rPr>
          <w:szCs w:val="24"/>
        </w:rPr>
      </w:pPr>
      <w:r w:rsidRPr="00025276">
        <w:rPr>
          <w:szCs w:val="24"/>
        </w:rPr>
        <w:t>Delivery to Natural England, Damers Farm, Fordingbridge, SP6 3LS</w:t>
      </w:r>
    </w:p>
    <w:p w14:paraId="197DCB71" w14:textId="0BBB2834" w:rsidR="095E3660" w:rsidRDefault="095E3660"/>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Pr>
          <w:rStyle w:val="Important"/>
        </w:rPr>
        <w:t xml:space="preserve">Natural England </w:t>
      </w:r>
      <w:r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579CDF3" w14:textId="77777777" w:rsidR="003A014C" w:rsidRDefault="003A014C" w:rsidP="003A014C">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0C775291" w:rsidR="003A014C" w:rsidRPr="00025276" w:rsidRDefault="00FD3909" w:rsidP="00CC2098">
            <w:pPr>
              <w:rPr>
                <w:rStyle w:val="Text"/>
                <w:b/>
                <w:bCs/>
              </w:rPr>
            </w:pPr>
            <w:r>
              <w:rPr>
                <w:rStyle w:val="Text"/>
                <w:b/>
                <w:bCs/>
              </w:rPr>
              <w:t>28-02-25</w:t>
            </w:r>
            <w:r w:rsidR="00407025">
              <w:rPr>
                <w:rStyle w:val="Text"/>
                <w:b/>
                <w:bCs/>
              </w:rPr>
              <w:t xml:space="preserve"> or before</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5B1F1A4C" w:rsidR="00EB23A0" w:rsidRPr="001F5026" w:rsidRDefault="00EB23A0" w:rsidP="00EB23A0">
      <w:r>
        <w:t>It is anticipated that this contract will be awarded for a period</w:t>
      </w:r>
      <w:r w:rsidRPr="4E450A26">
        <w:rPr>
          <w:rStyle w:val="Text"/>
        </w:rPr>
        <w:t xml:space="preserve"> of</w:t>
      </w:r>
      <w:r w:rsidRPr="4E450A26">
        <w:rPr>
          <w:rStyle w:val="Important"/>
        </w:rPr>
        <w:t xml:space="preserve"> </w:t>
      </w:r>
      <w:r w:rsidR="00B77D33">
        <w:rPr>
          <w:rStyle w:val="Important"/>
        </w:rPr>
        <w:t xml:space="preserve">1 day, </w:t>
      </w:r>
      <w:r w:rsidR="00FD3909">
        <w:rPr>
          <w:rStyle w:val="Important"/>
        </w:rPr>
        <w:t>28 February 2025</w:t>
      </w:r>
      <w:r w:rsidR="00407025">
        <w:rPr>
          <w:rStyle w:val="Important"/>
        </w:rPr>
        <w:t xml:space="preserve"> or before</w:t>
      </w:r>
      <w:r w:rsidR="00EC33B1" w:rsidRPr="4E450A26">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Default="58A62909" w:rsidP="58A62909">
      <w:pPr>
        <w:pStyle w:val="Subheading"/>
      </w:pP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07E26D7" w:rsidR="00EB23A0" w:rsidRPr="001F5026" w:rsidRDefault="00EB23A0" w:rsidP="00EB23A0">
      <w:r w:rsidRPr="001F5026">
        <w:t xml:space="preserve">Technical – </w:t>
      </w:r>
      <w:r w:rsidR="00C40CA9">
        <w:rPr>
          <w:rStyle w:val="Important"/>
        </w:rPr>
        <w:t>5</w:t>
      </w:r>
      <w:r w:rsidR="00FC3730">
        <w:rPr>
          <w:rStyle w:val="Important"/>
        </w:rPr>
        <w:t>0</w:t>
      </w:r>
      <w:r w:rsidRPr="001F5026">
        <w:t>%</w:t>
      </w:r>
    </w:p>
    <w:p w14:paraId="422FE966" w14:textId="03CC822D" w:rsidR="00EB23A0" w:rsidRPr="001F5026" w:rsidRDefault="00EB23A0" w:rsidP="00EB23A0">
      <w:r w:rsidRPr="001F5026">
        <w:t xml:space="preserve">Commercial – </w:t>
      </w:r>
      <w:r w:rsidR="00C40CA9">
        <w:rPr>
          <w:rStyle w:val="Important"/>
        </w:rPr>
        <w:t>5</w:t>
      </w:r>
      <w:r w:rsidR="00FC3730">
        <w:rPr>
          <w:rStyle w:val="Important"/>
        </w:rPr>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B3FD639" w:rsidR="00EB23A0" w:rsidRDefault="00EB23A0" w:rsidP="00EB23A0">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33715449" w:rsidR="00EB23A0" w:rsidRPr="009F2992" w:rsidRDefault="00DF64B0" w:rsidP="00A706D8">
            <w:pPr>
              <w:rPr>
                <w:rStyle w:val="Important"/>
              </w:rPr>
            </w:pPr>
            <w:r>
              <w:rPr>
                <w:rStyle w:val="Important"/>
              </w:rPr>
              <w:t>5</w:t>
            </w:r>
            <w:r w:rsidR="008424C4">
              <w:rPr>
                <w:rStyle w:val="Important"/>
              </w:rPr>
              <w:t>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6CA4EF4F"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180DAE">
              <w:rPr>
                <w:rStyle w:val="Important"/>
              </w:rPr>
              <w:t>10</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57CB8500" w:rsidR="00052CD6" w:rsidRPr="009F2992" w:rsidRDefault="00180DAE" w:rsidP="00A706D8">
            <w:pPr>
              <w:rPr>
                <w:rStyle w:val="Important"/>
              </w:rPr>
            </w:pPr>
            <w:r>
              <w:rPr>
                <w:rStyle w:val="Important"/>
              </w:rPr>
              <w:t>2</w:t>
            </w:r>
            <w:r w:rsidR="00052CD6" w:rsidRPr="00415608">
              <w:rPr>
                <w:rStyle w:val="Important"/>
              </w:rPr>
              <w:t xml:space="preserve"> Question</w:t>
            </w:r>
            <w:r w:rsidR="00041C58">
              <w:rPr>
                <w:rStyle w:val="Important"/>
              </w:rPr>
              <w:t>s</w:t>
            </w:r>
          </w:p>
          <w:p w14:paraId="292A438F" w14:textId="34B3E8EF"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842172">
              <w:rPr>
                <w:rStyle w:val="Important"/>
              </w:rPr>
              <w:t>40</w:t>
            </w:r>
            <w:r w:rsidRPr="00415608">
              <w:rPr>
                <w:rStyle w:val="Important"/>
              </w:rPr>
              <w:t>%</w:t>
            </w:r>
            <w:r w:rsidR="00F60B7C">
              <w:rPr>
                <w:rStyle w:val="Important"/>
              </w:rPr>
              <w:t>)</w:t>
            </w:r>
            <w:r w:rsidRPr="00415608">
              <w:rPr>
                <w:rStyle w:val="Important"/>
              </w:rPr>
              <w:t xml:space="preserve"> of technical score available)</w:t>
            </w:r>
          </w:p>
          <w:p w14:paraId="6628140D" w14:textId="7D6E7206" w:rsidR="006577D7" w:rsidRPr="009F2992" w:rsidRDefault="005A589F" w:rsidP="00A706D8">
            <w:pPr>
              <w:rPr>
                <w:rStyle w:val="Important"/>
              </w:rPr>
            </w:pPr>
            <w:r>
              <w:rPr>
                <w:rStyle w:val="Important"/>
              </w:rPr>
              <w:t>Q</w:t>
            </w:r>
            <w:r w:rsidR="00E93F90">
              <w:rPr>
                <w:rStyle w:val="Important"/>
              </w:rPr>
              <w:t>2.2</w:t>
            </w:r>
            <w:r>
              <w:rPr>
                <w:rStyle w:val="Important"/>
              </w:rPr>
              <w:t xml:space="preserve"> </w:t>
            </w:r>
            <w:r w:rsidR="00B6626A">
              <w:rPr>
                <w:rStyle w:val="Important"/>
              </w:rPr>
              <w:t>Provide evidence of vehicle manuals</w:t>
            </w:r>
            <w:r w:rsidR="00180DAE">
              <w:rPr>
                <w:rStyle w:val="Important"/>
              </w:rPr>
              <w:t xml:space="preserve">, provision of spare parts </w:t>
            </w:r>
            <w:r w:rsidR="0028240F">
              <w:rPr>
                <w:rStyle w:val="Important"/>
              </w:rPr>
              <w:t>and 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7DBA3F56" w14:textId="77777777" w:rsidTr="00A706D8">
        <w:trPr>
          <w:trHeight w:val="1710"/>
        </w:trPr>
        <w:tc>
          <w:tcPr>
            <w:tcW w:w="1838" w:type="dxa"/>
            <w:vMerge/>
          </w:tcPr>
          <w:p w14:paraId="5F729785" w14:textId="77777777" w:rsidR="00052CD6" w:rsidRPr="00415608" w:rsidRDefault="00052CD6" w:rsidP="00A706D8">
            <w:pPr>
              <w:rPr>
                <w:rStyle w:val="Important"/>
              </w:rPr>
            </w:pPr>
          </w:p>
        </w:tc>
        <w:tc>
          <w:tcPr>
            <w:tcW w:w="1701" w:type="dxa"/>
            <w:vMerge/>
          </w:tcPr>
          <w:p w14:paraId="4A2BA720" w14:textId="77777777" w:rsidR="00052CD6" w:rsidRPr="00415608" w:rsidRDefault="00052CD6" w:rsidP="00A706D8">
            <w:pPr>
              <w:rPr>
                <w:rStyle w:val="Important"/>
              </w:rPr>
            </w:pPr>
          </w:p>
        </w:tc>
        <w:tc>
          <w:tcPr>
            <w:tcW w:w="2126" w:type="dxa"/>
            <w:vMerge/>
          </w:tcPr>
          <w:p w14:paraId="07B7605A" w14:textId="77777777" w:rsidR="00052CD6" w:rsidRPr="00415608" w:rsidRDefault="00052CD6" w:rsidP="00A706D8">
            <w:pPr>
              <w:rPr>
                <w:rStyle w:val="Important"/>
              </w:rPr>
            </w:pPr>
          </w:p>
        </w:tc>
        <w:tc>
          <w:tcPr>
            <w:tcW w:w="1843" w:type="dxa"/>
          </w:tcPr>
          <w:p w14:paraId="20F81B7D" w14:textId="67F3DEF5" w:rsidR="00052CD6" w:rsidRPr="009F2992" w:rsidRDefault="00052CD6" w:rsidP="00A706D8">
            <w:pPr>
              <w:rPr>
                <w:rStyle w:val="Important"/>
              </w:rPr>
            </w:pPr>
            <w:r w:rsidRPr="00415608">
              <w:rPr>
                <w:rStyle w:val="Important"/>
              </w:rPr>
              <w:t>Management of sustainability and social value</w:t>
            </w:r>
          </w:p>
        </w:tc>
        <w:tc>
          <w:tcPr>
            <w:tcW w:w="2816" w:type="dxa"/>
          </w:tcPr>
          <w:p w14:paraId="283A911A" w14:textId="77777777" w:rsidR="00052CD6" w:rsidRPr="009F2992" w:rsidRDefault="00052CD6" w:rsidP="00A706D8">
            <w:pPr>
              <w:rPr>
                <w:rStyle w:val="Important"/>
              </w:rPr>
            </w:pPr>
            <w:r w:rsidRPr="00415608">
              <w:rPr>
                <w:rStyle w:val="Important"/>
              </w:rPr>
              <w:t xml:space="preserve">1 Question </w:t>
            </w:r>
          </w:p>
          <w:p w14:paraId="1DEF3B14" w14:textId="0F69883C" w:rsidR="00052CD6" w:rsidRPr="009F2992" w:rsidRDefault="00052CD6" w:rsidP="00A706D8">
            <w:pPr>
              <w:rPr>
                <w:rStyle w:val="Important"/>
              </w:rPr>
            </w:pPr>
            <w:r w:rsidRPr="00415608">
              <w:rPr>
                <w:rStyle w:val="Important"/>
              </w:rPr>
              <w:t>Q</w:t>
            </w:r>
            <w:r w:rsidR="00E93F90">
              <w:rPr>
                <w:rStyle w:val="Important"/>
              </w:rPr>
              <w:t>3.1</w:t>
            </w:r>
            <w:r w:rsidRPr="00415608">
              <w:rPr>
                <w:rStyle w:val="Important"/>
              </w:rPr>
              <w:t xml:space="preserve"> </w:t>
            </w:r>
            <w:r w:rsidR="00872ECB">
              <w:rPr>
                <w:rStyle w:val="Important"/>
              </w:rPr>
              <w:t xml:space="preserve">Powered </w:t>
            </w:r>
            <w:r w:rsidR="0025186D">
              <w:rPr>
                <w:rStyle w:val="Important"/>
              </w:rPr>
              <w:t>solely by rechargeable electric batteries</w:t>
            </w:r>
            <w:r w:rsidR="000977B4">
              <w:rPr>
                <w:rStyle w:val="Important"/>
              </w:rPr>
              <w:t xml:space="preserve"> </w:t>
            </w:r>
            <w:r w:rsidRPr="00415608">
              <w:rPr>
                <w:rStyle w:val="Important"/>
              </w:rPr>
              <w:t>(</w:t>
            </w:r>
            <w:r w:rsidR="00842172">
              <w:rPr>
                <w:rStyle w:val="Important"/>
              </w:rPr>
              <w:t>10</w:t>
            </w:r>
            <w:r w:rsidRPr="00415608">
              <w:rPr>
                <w:rStyle w:val="Important"/>
              </w:rPr>
              <w:t>% of technical score available)</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72C05722" w:rsidR="00052CD6" w:rsidRPr="009F2992" w:rsidRDefault="00EC0E39" w:rsidP="00A706D8">
            <w:pPr>
              <w:rPr>
                <w:rStyle w:val="Important"/>
              </w:rPr>
            </w:pPr>
            <w:r>
              <w:rPr>
                <w:rStyle w:val="Important"/>
              </w:rPr>
              <w:t>1</w:t>
            </w:r>
            <w:r w:rsidR="00052CD6" w:rsidRPr="00415608">
              <w:rPr>
                <w:rStyle w:val="Important"/>
              </w:rPr>
              <w:t xml:space="preserve"> Question</w:t>
            </w:r>
          </w:p>
          <w:p w14:paraId="048FF17C" w14:textId="5340C1BB"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Road legal</w:t>
            </w:r>
            <w:r w:rsidR="004D582E">
              <w:rPr>
                <w:rStyle w:val="Important"/>
              </w:rPr>
              <w:t xml:space="preserve">, road registered and conforms to UK </w:t>
            </w:r>
            <w:r w:rsidR="004D582E">
              <w:rPr>
                <w:rStyle w:val="Important"/>
              </w:rPr>
              <w:lastRenderedPageBreak/>
              <w:t xml:space="preserve">government vehicle type </w:t>
            </w:r>
            <w:r w:rsidR="009F3327">
              <w:rPr>
                <w:rStyle w:val="Important"/>
              </w:rPr>
              <w:t xml:space="preserve">approval </w:t>
            </w:r>
            <w:r w:rsidRPr="00415608">
              <w:rPr>
                <w:rStyle w:val="Important"/>
              </w:rPr>
              <w:t>(</w:t>
            </w:r>
            <w:r w:rsidR="00842172">
              <w:rPr>
                <w:rStyle w:val="Important"/>
              </w:rPr>
              <w:t>20</w:t>
            </w:r>
            <w:r w:rsidRPr="00415608">
              <w:rPr>
                <w:rStyle w:val="Important"/>
              </w:rPr>
              <w:t>% of technical score available)</w:t>
            </w:r>
          </w:p>
          <w:p w14:paraId="12CB6691" w14:textId="069AB1CC" w:rsidR="00C676DF" w:rsidRPr="009F2992" w:rsidRDefault="00C676DF" w:rsidP="00EC0E39">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t>Commercial</w:t>
            </w:r>
          </w:p>
        </w:tc>
        <w:tc>
          <w:tcPr>
            <w:tcW w:w="1701" w:type="dxa"/>
          </w:tcPr>
          <w:p w14:paraId="4DF04D9F" w14:textId="28DC412C" w:rsidR="00B22C08" w:rsidRPr="009F2992" w:rsidRDefault="00DF64B0" w:rsidP="00A706D8">
            <w:pPr>
              <w:rPr>
                <w:rStyle w:val="Important"/>
              </w:rPr>
            </w:pPr>
            <w:r>
              <w:rPr>
                <w:rStyle w:val="Important"/>
              </w:rPr>
              <w:t>5</w:t>
            </w:r>
            <w:r w:rsidR="005341A0">
              <w:rPr>
                <w:rStyle w:val="Important"/>
              </w:rPr>
              <w:t>0</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00B86B51" w:rsidR="00EB23A0" w:rsidRDefault="00EB23A0" w:rsidP="00EB23A0">
      <w:pPr>
        <w:pStyle w:val="Subheading"/>
      </w:pPr>
      <w:r w:rsidRPr="00415608">
        <w:t>Technical (</w:t>
      </w:r>
      <w:r w:rsidR="00DF64B0">
        <w:t>5</w:t>
      </w:r>
      <w:r w:rsidR="005341A0">
        <w:t>0</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 xml:space="preserve">Addresses most of the requirements with most of the relevant supporting information set out in </w:t>
            </w:r>
            <w:r w:rsidRPr="00415608">
              <w:lastRenderedPageBreak/>
              <w:t>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DD66FF"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5421DC1E"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FA0AC0">
              <w:rPr>
                <w:rStyle w:val="Important"/>
              </w:rPr>
              <w:t>10</w:t>
            </w:r>
            <w:r w:rsidR="009A51EA" w:rsidRPr="00415608">
              <w:rPr>
                <w:rStyle w:val="Important"/>
              </w:rPr>
              <w:t>% of technical score available)</w:t>
            </w:r>
          </w:p>
        </w:tc>
        <w:tc>
          <w:tcPr>
            <w:tcW w:w="4319" w:type="dxa"/>
          </w:tcPr>
          <w:p w14:paraId="3D971FBB" w14:textId="5C617439" w:rsidR="00EB23A0" w:rsidRDefault="000C253F" w:rsidP="00A706D8">
            <w:r>
              <w:t xml:space="preserve">Delivery time should not exceed the stated date of </w:t>
            </w:r>
            <w:r w:rsidR="00FA0AC0">
              <w:rPr>
                <w:b/>
              </w:rPr>
              <w:t>28-02-25</w:t>
            </w:r>
          </w:p>
          <w:p w14:paraId="7917A241" w14:textId="264B463E" w:rsidR="000C253F" w:rsidRDefault="000C253F" w:rsidP="00A706D8">
            <w:r>
              <w:t>Delivery to the location specified between 09.00 – 1</w:t>
            </w:r>
            <w:r w:rsidR="009216FC">
              <w:t>7</w:t>
            </w:r>
            <w:r>
              <w:t xml:space="preserve">.00 hrs on </w:t>
            </w:r>
            <w:r w:rsidR="0040169D">
              <w:rPr>
                <w:b/>
              </w:rPr>
              <w:t>28-02-25 or before.</w:t>
            </w:r>
          </w:p>
          <w:p w14:paraId="497183AA" w14:textId="7BA828D4" w:rsidR="000C253F" w:rsidRPr="007309B9" w:rsidRDefault="000C253F" w:rsidP="00A706D8">
            <w:r>
              <w:t>Delivery location</w:t>
            </w:r>
            <w:r w:rsidR="0041250B">
              <w:t xml:space="preserve">: </w:t>
            </w:r>
            <w:r w:rsidR="00F53E23" w:rsidRPr="00663B80">
              <w:rPr>
                <w:szCs w:val="24"/>
              </w:rPr>
              <w:t>Natural England, Damers Farm, Fordingbridge, SP6 3LS</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lastRenderedPageBreak/>
              <w:t>Quality Assurance</w:t>
            </w:r>
          </w:p>
        </w:tc>
        <w:tc>
          <w:tcPr>
            <w:tcW w:w="4319" w:type="dxa"/>
          </w:tcPr>
          <w:p w14:paraId="5F5C5948" w14:textId="77777777" w:rsidR="00EB23A0" w:rsidRPr="009F2992" w:rsidRDefault="00EB23A0" w:rsidP="00A706D8">
            <w:r w:rsidRPr="007309B9">
              <w:t>Detailed Evaluation Criteria</w:t>
            </w:r>
          </w:p>
        </w:tc>
      </w:tr>
      <w:tr w:rsidR="0065427B" w14:paraId="4DCBDB6B" w14:textId="77777777" w:rsidTr="00A706D8">
        <w:tc>
          <w:tcPr>
            <w:tcW w:w="4318" w:type="dxa"/>
          </w:tcPr>
          <w:p w14:paraId="59713056" w14:textId="77777777" w:rsidR="0065427B" w:rsidRPr="009F2992" w:rsidRDefault="0065427B" w:rsidP="0065427B">
            <w:pPr>
              <w:rPr>
                <w:rStyle w:val="Important"/>
              </w:rPr>
            </w:pPr>
            <w:r>
              <w:rPr>
                <w:rStyle w:val="Important"/>
              </w:rPr>
              <w:t>2</w:t>
            </w:r>
            <w:r w:rsidRPr="00415608">
              <w:rPr>
                <w:rStyle w:val="Important"/>
              </w:rPr>
              <w:t xml:space="preserve"> Question</w:t>
            </w:r>
            <w:r>
              <w:rPr>
                <w:rStyle w:val="Important"/>
              </w:rPr>
              <w:t>s</w:t>
            </w:r>
          </w:p>
          <w:p w14:paraId="66583DA3" w14:textId="77777777" w:rsidR="0065427B" w:rsidRDefault="0065427B" w:rsidP="0065427B">
            <w:pPr>
              <w:rPr>
                <w:rStyle w:val="Important"/>
              </w:rPr>
            </w:pPr>
            <w:r w:rsidRPr="00415608">
              <w:rPr>
                <w:rStyle w:val="Important"/>
              </w:rPr>
              <w:t>Q</w:t>
            </w:r>
            <w:r>
              <w:rPr>
                <w:rStyle w:val="Important"/>
              </w:rPr>
              <w:t>2</w:t>
            </w:r>
            <w:r w:rsidRPr="00415608">
              <w:rPr>
                <w:rStyle w:val="Important"/>
              </w:rPr>
              <w:t>.</w:t>
            </w:r>
            <w:r>
              <w:rPr>
                <w:rStyle w:val="Important"/>
              </w:rPr>
              <w:t>1 Provide details of technical specification listed in the specification document</w:t>
            </w:r>
            <w:r w:rsidRPr="00415608">
              <w:rPr>
                <w:rStyle w:val="Important"/>
              </w:rPr>
              <w:t xml:space="preserve"> (</w:t>
            </w:r>
            <w:r>
              <w:rPr>
                <w:rStyle w:val="Important"/>
              </w:rPr>
              <w:t>40</w:t>
            </w:r>
            <w:r w:rsidRPr="00415608">
              <w:rPr>
                <w:rStyle w:val="Important"/>
              </w:rPr>
              <w:t>%</w:t>
            </w:r>
            <w:r>
              <w:rPr>
                <w:rStyle w:val="Important"/>
              </w:rPr>
              <w:t>)</w:t>
            </w:r>
            <w:r w:rsidRPr="00415608">
              <w:rPr>
                <w:rStyle w:val="Important"/>
              </w:rPr>
              <w:t xml:space="preserve"> of technical score available)</w:t>
            </w:r>
          </w:p>
          <w:p w14:paraId="6AB06F1B" w14:textId="624193B8" w:rsidR="0065427B" w:rsidRPr="009F2992" w:rsidRDefault="0065427B" w:rsidP="0065427B">
            <w:pPr>
              <w:rPr>
                <w:rStyle w:val="Important"/>
              </w:rPr>
            </w:pPr>
            <w:r>
              <w:rPr>
                <w:rStyle w:val="Important"/>
              </w:rPr>
              <w:t>Q2.2 Provide evidence of vehicle manuals, provision of spare parts and availability of technical support if required (20%)</w:t>
            </w:r>
          </w:p>
        </w:tc>
        <w:tc>
          <w:tcPr>
            <w:tcW w:w="4319" w:type="dxa"/>
          </w:tcPr>
          <w:p w14:paraId="7924EB02" w14:textId="6047F835" w:rsidR="0065427B" w:rsidRDefault="0065427B" w:rsidP="0065427B">
            <w:r>
              <w:t>Evidence of:</w:t>
            </w:r>
          </w:p>
          <w:p w14:paraId="3D0A48F4" w14:textId="77777777" w:rsidR="0065427B" w:rsidRDefault="0065427B" w:rsidP="0065427B">
            <w:r>
              <w:t>Technical specification</w:t>
            </w:r>
          </w:p>
          <w:p w14:paraId="0F56BB5B" w14:textId="77777777" w:rsidR="0065427B" w:rsidRDefault="0065427B" w:rsidP="0065427B"/>
          <w:p w14:paraId="0DA353A0" w14:textId="1B3D7D56" w:rsidR="0065427B" w:rsidRPr="007309B9" w:rsidRDefault="0065427B" w:rsidP="0065427B">
            <w:r>
              <w:t xml:space="preserve">Vehicle manuals, spare parts provision and availability </w:t>
            </w:r>
            <w:r w:rsidR="00640956">
              <w:t>of</w:t>
            </w:r>
            <w:r>
              <w:t xml:space="preserve"> technical support</w:t>
            </w:r>
          </w:p>
        </w:tc>
      </w:tr>
    </w:tbl>
    <w:p w14:paraId="51B36501" w14:textId="29173651" w:rsidR="00970DAB" w:rsidRDefault="00970DAB"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5C43FA74" w:rsidR="00EB23A0" w:rsidRPr="009F2992" w:rsidRDefault="00E93F90" w:rsidP="00A706D8">
            <w:pPr>
              <w:rPr>
                <w:rStyle w:val="Important"/>
              </w:rPr>
            </w:pPr>
            <w:r>
              <w:rPr>
                <w:rStyle w:val="Important"/>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970DAB" w14:paraId="00BC4F90" w14:textId="77777777" w:rsidTr="00A706D8">
        <w:tc>
          <w:tcPr>
            <w:tcW w:w="4318" w:type="dxa"/>
          </w:tcPr>
          <w:p w14:paraId="50544DD6" w14:textId="77777777" w:rsidR="00970DAB" w:rsidRPr="009F2992" w:rsidRDefault="00970DAB" w:rsidP="00970DAB">
            <w:pPr>
              <w:rPr>
                <w:rStyle w:val="Important"/>
              </w:rPr>
            </w:pPr>
            <w:r w:rsidRPr="00415608">
              <w:rPr>
                <w:rStyle w:val="Important"/>
              </w:rPr>
              <w:t xml:space="preserve">1 Question </w:t>
            </w:r>
          </w:p>
          <w:p w14:paraId="0F2D18E2" w14:textId="4D3AD8BE" w:rsidR="00970DAB" w:rsidRPr="009F2992" w:rsidRDefault="00970DAB" w:rsidP="00970DAB">
            <w:pPr>
              <w:rPr>
                <w:rStyle w:val="Important"/>
              </w:rPr>
            </w:pPr>
            <w:r w:rsidRPr="00415608">
              <w:rPr>
                <w:rStyle w:val="Important"/>
              </w:rPr>
              <w:t>Q</w:t>
            </w:r>
            <w:r>
              <w:rPr>
                <w:rStyle w:val="Important"/>
              </w:rPr>
              <w:t>3.1</w:t>
            </w:r>
            <w:r w:rsidRPr="00415608">
              <w:rPr>
                <w:rStyle w:val="Important"/>
              </w:rPr>
              <w:t xml:space="preserve"> </w:t>
            </w:r>
            <w:r>
              <w:rPr>
                <w:rStyle w:val="Important"/>
              </w:rPr>
              <w:t xml:space="preserve">Powered solely by rechargeable electric batteries </w:t>
            </w:r>
            <w:r w:rsidRPr="00415608">
              <w:rPr>
                <w:rStyle w:val="Important"/>
              </w:rPr>
              <w:t>(</w:t>
            </w:r>
            <w:r>
              <w:rPr>
                <w:rStyle w:val="Important"/>
              </w:rPr>
              <w:t>10</w:t>
            </w:r>
            <w:r w:rsidRPr="00415608">
              <w:rPr>
                <w:rStyle w:val="Important"/>
              </w:rPr>
              <w:t>% of technical score available)</w:t>
            </w:r>
          </w:p>
        </w:tc>
        <w:tc>
          <w:tcPr>
            <w:tcW w:w="4319" w:type="dxa"/>
          </w:tcPr>
          <w:p w14:paraId="50204322" w14:textId="44F0B560" w:rsidR="00970DAB" w:rsidRPr="007309B9" w:rsidRDefault="00970DAB" w:rsidP="00970DAB">
            <w:r>
              <w:t>Provide evidence</w:t>
            </w:r>
            <w:r w:rsidR="00D576AE">
              <w:t xml:space="preserve"> of </w:t>
            </w:r>
            <w:r w:rsidR="00105222">
              <w:t>rechargeable battery properties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t>Health &amp; Safety</w:t>
            </w:r>
          </w:p>
        </w:tc>
        <w:tc>
          <w:tcPr>
            <w:tcW w:w="4319" w:type="dxa"/>
          </w:tcPr>
          <w:p w14:paraId="22A2BA2F" w14:textId="77777777" w:rsidR="00EB23A0" w:rsidRPr="009F2992" w:rsidRDefault="00EB23A0" w:rsidP="00A706D8">
            <w:r w:rsidRPr="007309B9">
              <w:t>Detailed Evaluation Criteria</w:t>
            </w:r>
          </w:p>
        </w:tc>
      </w:tr>
      <w:tr w:rsidR="00105222" w14:paraId="432609F8" w14:textId="77777777" w:rsidTr="00A706D8">
        <w:tc>
          <w:tcPr>
            <w:tcW w:w="4318" w:type="dxa"/>
          </w:tcPr>
          <w:p w14:paraId="50AF47C5" w14:textId="77777777" w:rsidR="00105222" w:rsidRPr="009F2992" w:rsidRDefault="00105222" w:rsidP="00105222">
            <w:pPr>
              <w:rPr>
                <w:rStyle w:val="Important"/>
              </w:rPr>
            </w:pPr>
            <w:r>
              <w:rPr>
                <w:rStyle w:val="Important"/>
              </w:rPr>
              <w:t>1</w:t>
            </w:r>
            <w:r w:rsidRPr="00415608">
              <w:rPr>
                <w:rStyle w:val="Important"/>
              </w:rPr>
              <w:t xml:space="preserve"> Question</w:t>
            </w:r>
          </w:p>
          <w:p w14:paraId="6F613A36" w14:textId="77777777" w:rsidR="00105222" w:rsidRDefault="00105222" w:rsidP="00105222">
            <w:pPr>
              <w:rPr>
                <w:rStyle w:val="Important"/>
              </w:rPr>
            </w:pPr>
            <w:r w:rsidRPr="00415608">
              <w:rPr>
                <w:rStyle w:val="Important"/>
              </w:rPr>
              <w:t>Q</w:t>
            </w:r>
            <w:r>
              <w:rPr>
                <w:rStyle w:val="Important"/>
              </w:rPr>
              <w:t xml:space="preserve">4.1 Company complies with relevant H&amp;S standards. Road legal, road registered and conforms to UK government vehicle type approval scheme </w:t>
            </w:r>
            <w:r w:rsidRPr="00415608">
              <w:rPr>
                <w:rStyle w:val="Important"/>
              </w:rPr>
              <w:t>(</w:t>
            </w:r>
            <w:r>
              <w:rPr>
                <w:rStyle w:val="Important"/>
              </w:rPr>
              <w:t>20</w:t>
            </w:r>
            <w:r w:rsidRPr="00415608">
              <w:rPr>
                <w:rStyle w:val="Important"/>
              </w:rPr>
              <w:t>% of technical score available)</w:t>
            </w:r>
          </w:p>
          <w:p w14:paraId="7F384D9C" w14:textId="34FA44F8" w:rsidR="00105222" w:rsidRPr="009F2992" w:rsidRDefault="00105222" w:rsidP="00105222">
            <w:pPr>
              <w:rPr>
                <w:rStyle w:val="Important"/>
              </w:rPr>
            </w:pPr>
          </w:p>
        </w:tc>
        <w:tc>
          <w:tcPr>
            <w:tcW w:w="4319" w:type="dxa"/>
          </w:tcPr>
          <w:p w14:paraId="2E064F89" w14:textId="5774B9AE" w:rsidR="00105222" w:rsidRPr="007309B9" w:rsidRDefault="00105222" w:rsidP="00105222">
            <w:r>
              <w:t xml:space="preserve">Provide </w:t>
            </w:r>
            <w:r w:rsidR="00845C6E">
              <w:t>evidence of registration and vehicle type approval scheme</w:t>
            </w:r>
          </w:p>
        </w:tc>
      </w:tr>
    </w:tbl>
    <w:p w14:paraId="18FE6FD0" w14:textId="77777777" w:rsidR="00EB23A0" w:rsidRDefault="00EB23A0" w:rsidP="00EB23A0"/>
    <w:p w14:paraId="0A014FDD" w14:textId="6F61776C" w:rsidR="0077552A" w:rsidRDefault="0077552A">
      <w:pPr>
        <w:spacing w:before="0" w:after="0" w:line="240" w:lineRule="auto"/>
        <w:rPr>
          <w:b/>
          <w:sz w:val="26"/>
          <w:szCs w:val="26"/>
          <w:lang w:eastAsia="en-GB"/>
        </w:rPr>
      </w:pPr>
      <w:r>
        <w:br w:type="page"/>
      </w:r>
    </w:p>
    <w:p w14:paraId="092F5589" w14:textId="77777777" w:rsidR="0077552A" w:rsidRDefault="0077552A" w:rsidP="00EB23A0">
      <w:pPr>
        <w:pStyle w:val="Subheading"/>
      </w:pPr>
    </w:p>
    <w:p w14:paraId="74143C73" w14:textId="75C46270" w:rsidR="00EB23A0" w:rsidRDefault="00EB23A0" w:rsidP="00EB23A0">
      <w:pPr>
        <w:pStyle w:val="Subheading"/>
      </w:pPr>
      <w:r w:rsidRPr="007309B9">
        <w:t xml:space="preserve">Commercial </w:t>
      </w:r>
      <w:r w:rsidR="00166EEE">
        <w:rPr>
          <w:rStyle w:val="Important"/>
          <w:b/>
          <w:bCs/>
          <w:color w:val="auto"/>
        </w:rPr>
        <w:t>50</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7CE8BDA0"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166EEE">
        <w:rPr>
          <w:rStyle w:val="Important"/>
        </w:rPr>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9D2AC18"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85BF9">
        <w:rPr>
          <w:rStyle w:val="Important"/>
        </w:rPr>
        <w:t>5</w:t>
      </w:r>
      <w:r w:rsidR="00166EEE">
        <w:rPr>
          <w:rStyle w:val="Important"/>
        </w:rPr>
        <w:t>0</w:t>
      </w:r>
      <w:r w:rsidRPr="007309B9">
        <w:rPr>
          <w:rStyle w:val="Important"/>
        </w:rPr>
        <w:t>%</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682CF" w14:textId="77777777" w:rsidR="00842C8F" w:rsidRDefault="00842C8F" w:rsidP="002F321C">
      <w:r>
        <w:separator/>
      </w:r>
    </w:p>
    <w:p w14:paraId="37B51DAF" w14:textId="77777777" w:rsidR="00842C8F" w:rsidRDefault="00842C8F"/>
  </w:endnote>
  <w:endnote w:type="continuationSeparator" w:id="0">
    <w:p w14:paraId="5C053CF2" w14:textId="77777777" w:rsidR="00842C8F" w:rsidRDefault="00842C8F" w:rsidP="002F321C">
      <w:r>
        <w:continuationSeparator/>
      </w:r>
    </w:p>
    <w:p w14:paraId="4FFFF55E" w14:textId="77777777" w:rsidR="00842C8F" w:rsidRDefault="0084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CFF79" w14:textId="77777777" w:rsidR="00842C8F" w:rsidRDefault="00842C8F" w:rsidP="002F321C">
      <w:r>
        <w:separator/>
      </w:r>
    </w:p>
    <w:p w14:paraId="34918938" w14:textId="77777777" w:rsidR="00842C8F" w:rsidRDefault="00842C8F"/>
  </w:footnote>
  <w:footnote w:type="continuationSeparator" w:id="0">
    <w:p w14:paraId="0563B68A" w14:textId="77777777" w:rsidR="00842C8F" w:rsidRDefault="00842C8F" w:rsidP="002F321C">
      <w:r>
        <w:continuationSeparator/>
      </w:r>
    </w:p>
    <w:p w14:paraId="5D5E7B30" w14:textId="77777777" w:rsidR="00842C8F" w:rsidRDefault="00842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D0A99"/>
    <w:multiLevelType w:val="hybridMultilevel"/>
    <w:tmpl w:val="68F0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4"/>
  </w:num>
  <w:num w:numId="5" w16cid:durableId="1903370289">
    <w:abstractNumId w:val="14"/>
  </w:num>
  <w:num w:numId="6" w16cid:durableId="717319088">
    <w:abstractNumId w:val="15"/>
  </w:num>
  <w:num w:numId="7" w16cid:durableId="823743684">
    <w:abstractNumId w:val="1"/>
  </w:num>
  <w:num w:numId="8" w16cid:durableId="1126193826">
    <w:abstractNumId w:val="3"/>
  </w:num>
  <w:num w:numId="9" w16cid:durableId="656885718">
    <w:abstractNumId w:val="7"/>
  </w:num>
  <w:num w:numId="10" w16cid:durableId="150491779">
    <w:abstractNumId w:val="11"/>
  </w:num>
  <w:num w:numId="11" w16cid:durableId="1049958278">
    <w:abstractNumId w:val="16"/>
  </w:num>
  <w:num w:numId="12" w16cid:durableId="1341278562">
    <w:abstractNumId w:val="2"/>
  </w:num>
  <w:num w:numId="13" w16cid:durableId="980043198">
    <w:abstractNumId w:val="9"/>
  </w:num>
  <w:num w:numId="14" w16cid:durableId="344788094">
    <w:abstractNumId w:val="0"/>
  </w:num>
  <w:num w:numId="15" w16cid:durableId="874267851">
    <w:abstractNumId w:val="10"/>
  </w:num>
  <w:num w:numId="16" w16cid:durableId="1522695976">
    <w:abstractNumId w:val="13"/>
  </w:num>
  <w:num w:numId="17" w16cid:durableId="353582934">
    <w:abstractNumId w:val="10"/>
  </w:num>
  <w:num w:numId="18" w16cid:durableId="208498900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A20"/>
    <w:rsid w:val="00020AFD"/>
    <w:rsid w:val="00023358"/>
    <w:rsid w:val="00023883"/>
    <w:rsid w:val="000239B6"/>
    <w:rsid w:val="00025276"/>
    <w:rsid w:val="000276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6540"/>
    <w:rsid w:val="0007721B"/>
    <w:rsid w:val="000910A2"/>
    <w:rsid w:val="000953CE"/>
    <w:rsid w:val="000977B4"/>
    <w:rsid w:val="000A3D2F"/>
    <w:rsid w:val="000A57E8"/>
    <w:rsid w:val="000A7D0D"/>
    <w:rsid w:val="000B18C3"/>
    <w:rsid w:val="000B4EF1"/>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5222"/>
    <w:rsid w:val="00113634"/>
    <w:rsid w:val="00114C3A"/>
    <w:rsid w:val="00121143"/>
    <w:rsid w:val="00121659"/>
    <w:rsid w:val="00122DE0"/>
    <w:rsid w:val="00123C0E"/>
    <w:rsid w:val="00131D32"/>
    <w:rsid w:val="00137265"/>
    <w:rsid w:val="00137E49"/>
    <w:rsid w:val="00141011"/>
    <w:rsid w:val="0014735F"/>
    <w:rsid w:val="001537B0"/>
    <w:rsid w:val="001560C9"/>
    <w:rsid w:val="001564B7"/>
    <w:rsid w:val="00156E0F"/>
    <w:rsid w:val="001665CB"/>
    <w:rsid w:val="00166EEE"/>
    <w:rsid w:val="00171774"/>
    <w:rsid w:val="001728CC"/>
    <w:rsid w:val="001732DF"/>
    <w:rsid w:val="00174DA4"/>
    <w:rsid w:val="0017532D"/>
    <w:rsid w:val="00175CF2"/>
    <w:rsid w:val="00176F57"/>
    <w:rsid w:val="00180DAE"/>
    <w:rsid w:val="00185441"/>
    <w:rsid w:val="001957AF"/>
    <w:rsid w:val="001A56F5"/>
    <w:rsid w:val="001A7B8D"/>
    <w:rsid w:val="001B5CC3"/>
    <w:rsid w:val="001C0BD5"/>
    <w:rsid w:val="001C4430"/>
    <w:rsid w:val="001C4D0A"/>
    <w:rsid w:val="001C4F7D"/>
    <w:rsid w:val="001C4FC0"/>
    <w:rsid w:val="001C518B"/>
    <w:rsid w:val="001C6DB4"/>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51647"/>
    <w:rsid w:val="0025186D"/>
    <w:rsid w:val="00253B6D"/>
    <w:rsid w:val="00257719"/>
    <w:rsid w:val="00261CCA"/>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4AF3"/>
    <w:rsid w:val="002F7CAD"/>
    <w:rsid w:val="00302574"/>
    <w:rsid w:val="003028B8"/>
    <w:rsid w:val="00302D24"/>
    <w:rsid w:val="00306A7D"/>
    <w:rsid w:val="00310BD7"/>
    <w:rsid w:val="00311B07"/>
    <w:rsid w:val="003140D5"/>
    <w:rsid w:val="00315F62"/>
    <w:rsid w:val="00317CAA"/>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41990"/>
    <w:rsid w:val="00442BC1"/>
    <w:rsid w:val="00443F13"/>
    <w:rsid w:val="0045253F"/>
    <w:rsid w:val="004571EE"/>
    <w:rsid w:val="00462EF5"/>
    <w:rsid w:val="00463919"/>
    <w:rsid w:val="004647DE"/>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582E"/>
    <w:rsid w:val="004E4F0D"/>
    <w:rsid w:val="004F1654"/>
    <w:rsid w:val="004F2544"/>
    <w:rsid w:val="004F316B"/>
    <w:rsid w:val="004F6C6A"/>
    <w:rsid w:val="004F7D5C"/>
    <w:rsid w:val="004F7D76"/>
    <w:rsid w:val="004F7E71"/>
    <w:rsid w:val="005019EF"/>
    <w:rsid w:val="00502A30"/>
    <w:rsid w:val="0050452D"/>
    <w:rsid w:val="00506832"/>
    <w:rsid w:val="00510CC5"/>
    <w:rsid w:val="00511429"/>
    <w:rsid w:val="0051501B"/>
    <w:rsid w:val="005153E5"/>
    <w:rsid w:val="00525803"/>
    <w:rsid w:val="005341A0"/>
    <w:rsid w:val="0053569D"/>
    <w:rsid w:val="00535C27"/>
    <w:rsid w:val="00540537"/>
    <w:rsid w:val="005469F0"/>
    <w:rsid w:val="00551AA9"/>
    <w:rsid w:val="00551FC2"/>
    <w:rsid w:val="005540FA"/>
    <w:rsid w:val="00561F29"/>
    <w:rsid w:val="00564DFF"/>
    <w:rsid w:val="005663EE"/>
    <w:rsid w:val="00566F6F"/>
    <w:rsid w:val="00567F6B"/>
    <w:rsid w:val="005745C1"/>
    <w:rsid w:val="005753E5"/>
    <w:rsid w:val="005759CA"/>
    <w:rsid w:val="00576311"/>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25EE"/>
    <w:rsid w:val="005C3B50"/>
    <w:rsid w:val="005D6A28"/>
    <w:rsid w:val="005E791A"/>
    <w:rsid w:val="0060075F"/>
    <w:rsid w:val="00603AC6"/>
    <w:rsid w:val="00603D60"/>
    <w:rsid w:val="006204EE"/>
    <w:rsid w:val="00622573"/>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165A"/>
    <w:rsid w:val="00687B10"/>
    <w:rsid w:val="00693F29"/>
    <w:rsid w:val="00694855"/>
    <w:rsid w:val="006959E5"/>
    <w:rsid w:val="006975F4"/>
    <w:rsid w:val="006A0B36"/>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552A"/>
    <w:rsid w:val="00777F4B"/>
    <w:rsid w:val="00782343"/>
    <w:rsid w:val="00782A10"/>
    <w:rsid w:val="00783D75"/>
    <w:rsid w:val="007879C2"/>
    <w:rsid w:val="00795734"/>
    <w:rsid w:val="007B581E"/>
    <w:rsid w:val="007B5ECA"/>
    <w:rsid w:val="007B6CA7"/>
    <w:rsid w:val="007C4A23"/>
    <w:rsid w:val="007C4E84"/>
    <w:rsid w:val="007D1E79"/>
    <w:rsid w:val="007D2AC7"/>
    <w:rsid w:val="007D3787"/>
    <w:rsid w:val="007D4039"/>
    <w:rsid w:val="007E762F"/>
    <w:rsid w:val="007F239E"/>
    <w:rsid w:val="007F4495"/>
    <w:rsid w:val="007F6885"/>
    <w:rsid w:val="007F77B9"/>
    <w:rsid w:val="00803194"/>
    <w:rsid w:val="0080455F"/>
    <w:rsid w:val="00812F8F"/>
    <w:rsid w:val="008167AE"/>
    <w:rsid w:val="008203B7"/>
    <w:rsid w:val="00820468"/>
    <w:rsid w:val="00822133"/>
    <w:rsid w:val="008267C6"/>
    <w:rsid w:val="0083163B"/>
    <w:rsid w:val="00842172"/>
    <w:rsid w:val="008424C4"/>
    <w:rsid w:val="00842C8F"/>
    <w:rsid w:val="00843C07"/>
    <w:rsid w:val="0084537A"/>
    <w:rsid w:val="00845AB8"/>
    <w:rsid w:val="00845C6E"/>
    <w:rsid w:val="008473AE"/>
    <w:rsid w:val="008553B5"/>
    <w:rsid w:val="00857ECB"/>
    <w:rsid w:val="00865617"/>
    <w:rsid w:val="008704F3"/>
    <w:rsid w:val="00871730"/>
    <w:rsid w:val="00872ECB"/>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7496"/>
    <w:rsid w:val="009E3DB3"/>
    <w:rsid w:val="009E4191"/>
    <w:rsid w:val="009E55EA"/>
    <w:rsid w:val="009F2F0B"/>
    <w:rsid w:val="009F3327"/>
    <w:rsid w:val="009F429E"/>
    <w:rsid w:val="009F57BD"/>
    <w:rsid w:val="00A00B5A"/>
    <w:rsid w:val="00A036DA"/>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4E54"/>
    <w:rsid w:val="00A93C8E"/>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332F0"/>
    <w:rsid w:val="00B44D73"/>
    <w:rsid w:val="00B45503"/>
    <w:rsid w:val="00B542F4"/>
    <w:rsid w:val="00B54BBA"/>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593A"/>
    <w:rsid w:val="00BB0387"/>
    <w:rsid w:val="00BE1665"/>
    <w:rsid w:val="00BE1BEE"/>
    <w:rsid w:val="00BE33E4"/>
    <w:rsid w:val="00BE345D"/>
    <w:rsid w:val="00BE439D"/>
    <w:rsid w:val="00BE619B"/>
    <w:rsid w:val="00BF021E"/>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0CA9"/>
    <w:rsid w:val="00C4621D"/>
    <w:rsid w:val="00C47F69"/>
    <w:rsid w:val="00C511FB"/>
    <w:rsid w:val="00C55A2A"/>
    <w:rsid w:val="00C60D83"/>
    <w:rsid w:val="00C61C64"/>
    <w:rsid w:val="00C62236"/>
    <w:rsid w:val="00C62418"/>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E67"/>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76AE"/>
    <w:rsid w:val="00D57C7E"/>
    <w:rsid w:val="00D61486"/>
    <w:rsid w:val="00D61788"/>
    <w:rsid w:val="00D64F91"/>
    <w:rsid w:val="00D675D9"/>
    <w:rsid w:val="00D67BA3"/>
    <w:rsid w:val="00D70934"/>
    <w:rsid w:val="00D729CB"/>
    <w:rsid w:val="00D76F02"/>
    <w:rsid w:val="00D8289C"/>
    <w:rsid w:val="00D90912"/>
    <w:rsid w:val="00D909C3"/>
    <w:rsid w:val="00D966B3"/>
    <w:rsid w:val="00DA44C0"/>
    <w:rsid w:val="00DB0170"/>
    <w:rsid w:val="00DB5C31"/>
    <w:rsid w:val="00DB646E"/>
    <w:rsid w:val="00DC0B9F"/>
    <w:rsid w:val="00DC0C4C"/>
    <w:rsid w:val="00DC3D41"/>
    <w:rsid w:val="00DD09B2"/>
    <w:rsid w:val="00DD0EA0"/>
    <w:rsid w:val="00DD29A4"/>
    <w:rsid w:val="00DD3428"/>
    <w:rsid w:val="00DD5856"/>
    <w:rsid w:val="00DE113B"/>
    <w:rsid w:val="00DE7000"/>
    <w:rsid w:val="00DF0FC0"/>
    <w:rsid w:val="00DF58F0"/>
    <w:rsid w:val="00DF64B0"/>
    <w:rsid w:val="00DF6BAC"/>
    <w:rsid w:val="00E03B4E"/>
    <w:rsid w:val="00E05C12"/>
    <w:rsid w:val="00E11A99"/>
    <w:rsid w:val="00E22CE2"/>
    <w:rsid w:val="00E25244"/>
    <w:rsid w:val="00E27021"/>
    <w:rsid w:val="00E277F5"/>
    <w:rsid w:val="00E278EA"/>
    <w:rsid w:val="00E305F6"/>
    <w:rsid w:val="00E35245"/>
    <w:rsid w:val="00E427BE"/>
    <w:rsid w:val="00E42F2C"/>
    <w:rsid w:val="00E440DD"/>
    <w:rsid w:val="00E458B7"/>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263B"/>
    <w:rsid w:val="00E93EE0"/>
    <w:rsid w:val="00E93F90"/>
    <w:rsid w:val="00E95706"/>
    <w:rsid w:val="00EA0CCC"/>
    <w:rsid w:val="00EA363B"/>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3.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4.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14</TotalTime>
  <Pages>21</Pages>
  <Words>4447</Words>
  <Characters>25348</Characters>
  <Application>Microsoft Office Word</Application>
  <DocSecurity>0</DocSecurity>
  <Lines>211</Lines>
  <Paragraphs>59</Paragraphs>
  <ScaleCrop>false</ScaleCrop>
  <Manager/>
  <Company>Environment Agency</Company>
  <LinksUpToDate>false</LinksUpToDate>
  <CharactersWithSpaces>29736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Cross, Vicki</cp:lastModifiedBy>
  <cp:revision>10</cp:revision>
  <cp:lastPrinted>2018-08-21T14:39:00Z</cp:lastPrinted>
  <dcterms:created xsi:type="dcterms:W3CDTF">2024-11-27T11:46:00Z</dcterms:created>
  <dcterms:modified xsi:type="dcterms:W3CDTF">2024-11-27T12:00:00Z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