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242BF1" w14:paraId="526D1F41" w14:textId="77777777" w:rsidTr="000C0D8B">
        <w:trPr>
          <w:trHeight w:val="1984"/>
        </w:trPr>
        <w:tc>
          <w:tcPr>
            <w:tcW w:w="4968" w:type="dxa"/>
            <w:vMerge w:val="restart"/>
            <w:shd w:val="clear" w:color="auto" w:fill="auto"/>
          </w:tcPr>
          <w:p w14:paraId="06C44718" w14:textId="3DD6426F" w:rsidR="00E9695C" w:rsidRPr="00242BF1" w:rsidRDefault="00E9695C" w:rsidP="00E162A6">
            <w:pPr>
              <w:ind w:right="-3708"/>
            </w:pPr>
            <w:r w:rsidRPr="00030321">
              <w:t xml:space="preserve">  </w:t>
            </w:r>
            <w:r w:rsidRPr="00242BF1">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2E82642" w14:textId="5176DE07" w:rsidR="00E9695C" w:rsidRPr="00242BF1" w:rsidRDefault="003A01DD" w:rsidP="00E162A6">
            <w:pPr>
              <w:jc w:val="right"/>
              <w:rPr>
                <w:rFonts w:eastAsia="Arial"/>
                <w:color w:val="000000" w:themeColor="text1"/>
              </w:rPr>
            </w:pPr>
            <w:r w:rsidRPr="00242BF1">
              <w:rPr>
                <w:rStyle w:val="normaltextrun"/>
                <w:color w:val="000000"/>
              </w:rPr>
              <w:t>[REDACTED]</w:t>
            </w:r>
          </w:p>
          <w:p w14:paraId="0F1070D8" w14:textId="2614AFEE" w:rsidR="00E9695C" w:rsidRPr="00242BF1" w:rsidRDefault="006A5535" w:rsidP="00E162A6">
            <w:pPr>
              <w:jc w:val="right"/>
              <w:rPr>
                <w:rFonts w:eastAsia="Arial"/>
                <w:color w:val="000000" w:themeColor="text1"/>
              </w:rPr>
            </w:pPr>
            <w:r w:rsidRPr="00242BF1">
              <w:rPr>
                <w:rStyle w:val="normaltextrun"/>
                <w:rFonts w:eastAsia="Arial"/>
                <w:color w:val="000000" w:themeColor="text1"/>
              </w:rPr>
              <w:t>Deputy Director</w:t>
            </w:r>
          </w:p>
          <w:p w14:paraId="04C5D129" w14:textId="3FAD25BC" w:rsidR="00E9695C" w:rsidRPr="00242BF1" w:rsidRDefault="00E9695C" w:rsidP="00E162A6">
            <w:pPr>
              <w:jc w:val="right"/>
              <w:rPr>
                <w:rStyle w:val="normaltextrun"/>
                <w:rFonts w:eastAsia="Arial"/>
                <w:color w:val="000000" w:themeColor="text1"/>
              </w:rPr>
            </w:pPr>
            <w:r w:rsidRPr="00242BF1">
              <w:rPr>
                <w:rStyle w:val="normaltextrun"/>
                <w:rFonts w:eastAsia="Arial"/>
                <w:color w:val="000000" w:themeColor="text1"/>
              </w:rPr>
              <w:t>Employment Category</w:t>
            </w:r>
          </w:p>
          <w:p w14:paraId="1A7C4DC1" w14:textId="77777777" w:rsidR="00FD083F" w:rsidRPr="00242BF1" w:rsidRDefault="00FD083F" w:rsidP="00E162A6">
            <w:pPr>
              <w:jc w:val="right"/>
              <w:rPr>
                <w:rFonts w:eastAsia="Arial"/>
                <w:color w:val="000000" w:themeColor="text1"/>
              </w:rPr>
            </w:pPr>
          </w:p>
          <w:p w14:paraId="08BD33DB" w14:textId="2EC846C8" w:rsidR="00E9695C" w:rsidRPr="00242BF1" w:rsidRDefault="00A8076E" w:rsidP="00E162A6">
            <w:pPr>
              <w:jc w:val="right"/>
              <w:rPr>
                <w:color w:val="1F497D"/>
                <w:lang w:eastAsia="en-GB"/>
              </w:rPr>
            </w:pPr>
            <w:hyperlink r:id="rId12" w:history="1">
              <w:r w:rsidR="00E9695C" w:rsidRPr="00242BF1">
                <w:rPr>
                  <w:rStyle w:val="Hyperlink"/>
                  <w:lang w:eastAsia="en-GB"/>
                </w:rPr>
                <w:t>www.dwp.gov.uk</w:t>
              </w:r>
            </w:hyperlink>
          </w:p>
        </w:tc>
        <w:tc>
          <w:tcPr>
            <w:tcW w:w="350" w:type="dxa"/>
            <w:shd w:val="clear" w:color="auto" w:fill="auto"/>
          </w:tcPr>
          <w:p w14:paraId="5D7AFDF2" w14:textId="77777777" w:rsidR="00E9695C" w:rsidRPr="00242BF1" w:rsidRDefault="00E9695C" w:rsidP="00E162A6"/>
        </w:tc>
      </w:tr>
      <w:tr w:rsidR="000C0D8B" w:rsidRPr="00242BF1" w14:paraId="4909FFE0" w14:textId="77777777" w:rsidTr="003E0647">
        <w:trPr>
          <w:gridAfter w:val="1"/>
          <w:wAfter w:w="350" w:type="dxa"/>
          <w:trHeight w:val="459"/>
        </w:trPr>
        <w:tc>
          <w:tcPr>
            <w:tcW w:w="4968" w:type="dxa"/>
            <w:vMerge/>
          </w:tcPr>
          <w:p w14:paraId="3F54E17F" w14:textId="77777777" w:rsidR="000C0D8B" w:rsidRPr="00242BF1" w:rsidRDefault="000C0D8B" w:rsidP="00E162A6"/>
        </w:tc>
        <w:tc>
          <w:tcPr>
            <w:tcW w:w="4320" w:type="dxa"/>
            <w:shd w:val="clear" w:color="auto" w:fill="auto"/>
          </w:tcPr>
          <w:p w14:paraId="53C1B357" w14:textId="5D9CD605" w:rsidR="000C0D8B" w:rsidRPr="00242BF1" w:rsidRDefault="0001049C" w:rsidP="00E162A6">
            <w:pPr>
              <w:jc w:val="right"/>
            </w:pPr>
            <w:r w:rsidRPr="00242BF1">
              <w:t>2</w:t>
            </w:r>
            <w:r w:rsidR="00993072" w:rsidRPr="00242BF1">
              <w:t>1 May 2024</w:t>
            </w:r>
          </w:p>
        </w:tc>
      </w:tr>
    </w:tbl>
    <w:p w14:paraId="0F1E5D84" w14:textId="77777777" w:rsidR="000C0D8B" w:rsidRPr="00242BF1"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6999F255" w:rsidR="00E9695C" w:rsidRPr="00242BF1" w:rsidRDefault="00306F1B" w:rsidP="00E162A6">
      <w:pPr>
        <w:pStyle w:val="paragraph"/>
        <w:spacing w:before="0" w:beforeAutospacing="0" w:after="0" w:afterAutospacing="0"/>
        <w:textAlignment w:val="baseline"/>
        <w:rPr>
          <w:rFonts w:ascii="Segoe UI" w:hAnsi="Segoe UI" w:cs="Segoe UI"/>
        </w:rPr>
      </w:pPr>
      <w:r w:rsidRPr="00242BF1">
        <w:rPr>
          <w:rStyle w:val="normaltextrun"/>
          <w:rFonts w:ascii="Arial" w:hAnsi="Arial" w:cs="Arial"/>
          <w:color w:val="000000"/>
        </w:rPr>
        <w:t xml:space="preserve">FAO: </w:t>
      </w:r>
      <w:r w:rsidR="003A01DD" w:rsidRPr="00242BF1">
        <w:rPr>
          <w:rStyle w:val="normaltextrun"/>
          <w:rFonts w:ascii="Arial" w:hAnsi="Arial" w:cs="Arial"/>
          <w:color w:val="000000"/>
        </w:rPr>
        <w:t>[REDACTED]</w:t>
      </w:r>
    </w:p>
    <w:p w14:paraId="3D9CC6D7" w14:textId="0C190A5D" w:rsidR="00E9695C" w:rsidRPr="00242BF1" w:rsidRDefault="00E9695C" w:rsidP="00E162A6">
      <w:pPr>
        <w:pStyle w:val="paragraph"/>
        <w:spacing w:before="0" w:beforeAutospacing="0" w:after="0" w:afterAutospacing="0"/>
        <w:textAlignment w:val="baseline"/>
        <w:rPr>
          <w:rFonts w:ascii="Segoe UI" w:hAnsi="Segoe UI" w:cs="Segoe UI"/>
        </w:rPr>
      </w:pPr>
      <w:r w:rsidRPr="00242BF1">
        <w:rPr>
          <w:rStyle w:val="normaltextrun"/>
          <w:rFonts w:ascii="Arial" w:hAnsi="Arial" w:cs="Arial"/>
        </w:rPr>
        <w:t xml:space="preserve">(via </w:t>
      </w:r>
      <w:r w:rsidR="000F031E" w:rsidRPr="00242BF1">
        <w:rPr>
          <w:rStyle w:val="normaltextrun"/>
          <w:rFonts w:ascii="Arial" w:hAnsi="Arial" w:cs="Arial"/>
        </w:rPr>
        <w:t>the E</w:t>
      </w:r>
      <w:r w:rsidR="0057094B" w:rsidRPr="00242BF1">
        <w:rPr>
          <w:rStyle w:val="normaltextrun"/>
          <w:rFonts w:ascii="Arial" w:hAnsi="Arial" w:cs="Arial"/>
        </w:rPr>
        <w:t>-Procurement S</w:t>
      </w:r>
      <w:r w:rsidR="00832DE1" w:rsidRPr="00242BF1">
        <w:rPr>
          <w:rStyle w:val="normaltextrun"/>
          <w:rFonts w:ascii="Arial" w:hAnsi="Arial" w:cs="Arial"/>
        </w:rPr>
        <w:t>ystem</w:t>
      </w:r>
      <w:r w:rsidRPr="00242BF1">
        <w:rPr>
          <w:rStyle w:val="normaltextrun"/>
          <w:rFonts w:ascii="Arial" w:hAnsi="Arial" w:cs="Arial"/>
        </w:rPr>
        <w:t>)</w:t>
      </w:r>
      <w:r w:rsidRPr="00242BF1">
        <w:rPr>
          <w:rStyle w:val="eop"/>
          <w:rFonts w:ascii="Arial" w:hAnsi="Arial" w:cs="Arial"/>
        </w:rPr>
        <w:t> </w:t>
      </w:r>
    </w:p>
    <w:p w14:paraId="4285002C" w14:textId="77777777" w:rsidR="00E9695C" w:rsidRPr="00242BF1" w:rsidRDefault="00E9695C" w:rsidP="00E162A6">
      <w:pPr>
        <w:pStyle w:val="Body4"/>
        <w:widowControl w:val="0"/>
        <w:spacing w:after="240"/>
        <w:ind w:left="0"/>
        <w:jc w:val="left"/>
        <w:rPr>
          <w:rFonts w:ascii="Arial" w:hAnsi="Arial" w:cs="Arial"/>
          <w:bCs/>
          <w:iCs/>
          <w:sz w:val="24"/>
          <w:szCs w:val="24"/>
        </w:rPr>
      </w:pPr>
    </w:p>
    <w:p w14:paraId="03646F34" w14:textId="0069A5E4" w:rsidR="00E9695C" w:rsidRPr="00242BF1" w:rsidRDefault="00E9695C" w:rsidP="00E162A6">
      <w:pPr>
        <w:spacing w:before="240" w:after="240"/>
        <w:rPr>
          <w:b/>
          <w:u w:val="single"/>
        </w:rPr>
      </w:pPr>
      <w:r w:rsidRPr="00242BF1">
        <w:rPr>
          <w:b/>
          <w:u w:val="single"/>
        </w:rPr>
        <w:t xml:space="preserve">CHANGE AUTHORISATION LETTER: </w:t>
      </w:r>
      <w:r w:rsidR="0017303F" w:rsidRPr="00242BF1">
        <w:rPr>
          <w:b/>
          <w:u w:val="single"/>
        </w:rPr>
        <w:t>5a-116-A10</w:t>
      </w:r>
    </w:p>
    <w:p w14:paraId="71615B70" w14:textId="00D88A36" w:rsidR="001D3B50" w:rsidRPr="00242BF1" w:rsidRDefault="001D3B50" w:rsidP="001D3B50">
      <w:pPr>
        <w:autoSpaceDE w:val="0"/>
        <w:autoSpaceDN w:val="0"/>
        <w:adjustRightInd w:val="0"/>
        <w:rPr>
          <w:rFonts w:eastAsiaTheme="minorEastAsia"/>
          <w:lang w:eastAsia="en-GB"/>
        </w:rPr>
      </w:pPr>
      <w:r w:rsidRPr="00242BF1">
        <w:rPr>
          <w:b/>
          <w:color w:val="000000" w:themeColor="text1"/>
        </w:rPr>
        <w:t xml:space="preserve">The Restart CPA </w:t>
      </w:r>
      <w:r w:rsidR="0017303F" w:rsidRPr="00242BF1">
        <w:rPr>
          <w:b/>
          <w:color w:val="000000" w:themeColor="text1"/>
        </w:rPr>
        <w:t>5a</w:t>
      </w:r>
      <w:r w:rsidRPr="00242BF1">
        <w:rPr>
          <w:b/>
          <w:color w:val="000000" w:themeColor="text1"/>
        </w:rPr>
        <w:t xml:space="preserve"> (UI_DWP_22480_</w:t>
      </w:r>
      <w:r w:rsidR="0017303F" w:rsidRPr="00242BF1">
        <w:rPr>
          <w:b/>
          <w:color w:val="000000" w:themeColor="text1"/>
        </w:rPr>
        <w:t>5a</w:t>
      </w:r>
      <w:r w:rsidRPr="00242BF1">
        <w:rPr>
          <w:b/>
          <w:color w:val="000000" w:themeColor="text1"/>
        </w:rPr>
        <w:t>) (as varied) contract (the “Contract”) between (1) Secretary of State for Work and Pensions (the “Authority”) and (2) I</w:t>
      </w:r>
      <w:r w:rsidRPr="00242BF1">
        <w:rPr>
          <w:b/>
          <w:bCs/>
          <w:color w:val="000000" w:themeColor="text1"/>
        </w:rPr>
        <w:t>ngeus UK Limited</w:t>
      </w:r>
      <w:r w:rsidRPr="00242BF1">
        <w:rPr>
          <w:rStyle w:val="normaltextrun"/>
          <w:b/>
          <w:color w:val="000000"/>
          <w:shd w:val="clear" w:color="auto" w:fill="FFFFFF"/>
        </w:rPr>
        <w:t xml:space="preserve"> </w:t>
      </w:r>
      <w:r w:rsidRPr="00242BF1">
        <w:rPr>
          <w:b/>
          <w:color w:val="000000" w:themeColor="text1"/>
        </w:rPr>
        <w:t>(the “Supplier”)</w:t>
      </w:r>
    </w:p>
    <w:p w14:paraId="1F87385F" w14:textId="031720E2" w:rsidR="00E9695C" w:rsidRPr="00242BF1" w:rsidRDefault="00E9695C" w:rsidP="00E162A6">
      <w:pPr>
        <w:numPr>
          <w:ilvl w:val="0"/>
          <w:numId w:val="3"/>
        </w:numPr>
        <w:spacing w:before="240" w:after="240"/>
        <w:ind w:hanging="720"/>
        <w:rPr>
          <w:b/>
        </w:rPr>
      </w:pPr>
      <w:r w:rsidRPr="00242BF1">
        <w:t xml:space="preserve">The Authority wishes to amend the Contract in accordance with </w:t>
      </w:r>
      <w:r w:rsidR="00043DD2" w:rsidRPr="00242BF1">
        <w:t xml:space="preserve">this Change Authorisation Letter </w:t>
      </w:r>
      <w:r w:rsidR="00F46BA0" w:rsidRPr="00242BF1">
        <w:t>(</w:t>
      </w:r>
      <w:r w:rsidR="0017303F" w:rsidRPr="00242BF1">
        <w:t>5a-116-A10</w:t>
      </w:r>
      <w:r w:rsidR="00F46BA0" w:rsidRPr="00242BF1">
        <w:t>)</w:t>
      </w:r>
      <w:r w:rsidRPr="00242BF1">
        <w:t>.</w:t>
      </w:r>
    </w:p>
    <w:p w14:paraId="218A55A0" w14:textId="50F80CF0" w:rsidR="00E9695C" w:rsidRPr="00242BF1" w:rsidRDefault="00E9695C" w:rsidP="00E162A6">
      <w:pPr>
        <w:pStyle w:val="ListParagraph"/>
        <w:numPr>
          <w:ilvl w:val="0"/>
          <w:numId w:val="3"/>
        </w:numPr>
        <w:spacing w:before="240" w:after="240" w:line="240" w:lineRule="auto"/>
        <w:ind w:hanging="720"/>
        <w:rPr>
          <w:rFonts w:ascii="Arial" w:hAnsi="Arial" w:cs="Arial"/>
        </w:rPr>
      </w:pPr>
      <w:r w:rsidRPr="00242BF1">
        <w:rPr>
          <w:rFonts w:ascii="Arial" w:hAnsi="Arial" w:cs="Arial"/>
        </w:rPr>
        <w:t xml:space="preserve">Terms used but not otherwise defined in this </w:t>
      </w:r>
      <w:r w:rsidR="0017303F" w:rsidRPr="00242BF1">
        <w:rPr>
          <w:rFonts w:ascii="Arial" w:hAnsi="Arial" w:cs="Arial"/>
        </w:rPr>
        <w:t>5a-116-A10</w:t>
      </w:r>
      <w:r w:rsidRPr="00242BF1">
        <w:rPr>
          <w:rFonts w:ascii="Arial" w:hAnsi="Arial" w:cs="Arial"/>
        </w:rPr>
        <w:t xml:space="preserve"> have the same meaning as set out in the Contract.</w:t>
      </w:r>
      <w:r w:rsidR="009410A1" w:rsidRPr="00242BF1">
        <w:rPr>
          <w:rFonts w:ascii="Arial" w:hAnsi="Arial" w:cs="Arial"/>
        </w:rPr>
        <w:t xml:space="preserve">  The rules of interpretation set out in </w:t>
      </w:r>
      <w:r w:rsidR="0028353B" w:rsidRPr="00242BF1">
        <w:rPr>
          <w:rFonts w:ascii="Arial" w:hAnsi="Arial" w:cs="Arial"/>
        </w:rPr>
        <w:t xml:space="preserve">Clause </w:t>
      </w:r>
      <w:r w:rsidR="00654874" w:rsidRPr="00242BF1">
        <w:rPr>
          <w:rFonts w:ascii="Arial" w:hAnsi="Arial" w:cs="Arial"/>
        </w:rPr>
        <w:t xml:space="preserve">A1.2 of </w:t>
      </w:r>
      <w:r w:rsidR="009410A1" w:rsidRPr="00242BF1">
        <w:rPr>
          <w:rFonts w:ascii="Arial" w:hAnsi="Arial" w:cs="Arial"/>
        </w:rPr>
        <w:t>the</w:t>
      </w:r>
      <w:r w:rsidR="002B7BF5" w:rsidRPr="00242BF1">
        <w:rPr>
          <w:rFonts w:ascii="Arial" w:hAnsi="Arial" w:cs="Arial"/>
        </w:rPr>
        <w:t xml:space="preserve"> Contract apply</w:t>
      </w:r>
      <w:r w:rsidR="00882783" w:rsidRPr="00242BF1">
        <w:rPr>
          <w:rFonts w:ascii="Arial" w:hAnsi="Arial" w:cs="Arial"/>
        </w:rPr>
        <w:t>, mutatis mutandis,</w:t>
      </w:r>
      <w:r w:rsidR="002B7BF5" w:rsidRPr="00242BF1">
        <w:rPr>
          <w:rFonts w:ascii="Arial" w:hAnsi="Arial" w:cs="Arial"/>
        </w:rPr>
        <w:t xml:space="preserve"> to this </w:t>
      </w:r>
      <w:r w:rsidR="0017303F" w:rsidRPr="00242BF1">
        <w:rPr>
          <w:rFonts w:ascii="Arial" w:hAnsi="Arial" w:cs="Arial"/>
        </w:rPr>
        <w:t>5a-116-A10</w:t>
      </w:r>
      <w:r w:rsidR="002B7BF5" w:rsidRPr="00242BF1">
        <w:rPr>
          <w:rFonts w:ascii="Arial" w:hAnsi="Arial" w:cs="Arial"/>
        </w:rPr>
        <w:t>.</w:t>
      </w:r>
    </w:p>
    <w:p w14:paraId="5303AF0B" w14:textId="77777777" w:rsidR="00E9695C" w:rsidRPr="00242BF1" w:rsidRDefault="00E9695C" w:rsidP="00E162A6">
      <w:pPr>
        <w:spacing w:before="240" w:after="240"/>
        <w:rPr>
          <w:b/>
        </w:rPr>
      </w:pPr>
      <w:r w:rsidRPr="00242BF1">
        <w:rPr>
          <w:b/>
        </w:rPr>
        <w:t>Background</w:t>
      </w:r>
    </w:p>
    <w:p w14:paraId="4F5F239E" w14:textId="1BD5AC61" w:rsidR="00E9695C" w:rsidRPr="00242BF1" w:rsidRDefault="00E9695C" w:rsidP="00E162A6">
      <w:pPr>
        <w:numPr>
          <w:ilvl w:val="0"/>
          <w:numId w:val="3"/>
        </w:numPr>
        <w:spacing w:before="240" w:after="240"/>
        <w:ind w:hanging="720"/>
        <w:rPr>
          <w:color w:val="000000"/>
        </w:rPr>
      </w:pPr>
      <w:r w:rsidRPr="00242BF1">
        <w:rPr>
          <w:color w:val="000000"/>
        </w:rPr>
        <w:t xml:space="preserve">Schedule 8.2 (Change Control Procedure) </w:t>
      </w:r>
      <w:r w:rsidR="00AD78E3" w:rsidRPr="00242BF1">
        <w:rPr>
          <w:color w:val="000000"/>
        </w:rPr>
        <w:t xml:space="preserve">of </w:t>
      </w:r>
      <w:r w:rsidRPr="00242BF1">
        <w:rPr>
          <w:color w:val="000000"/>
        </w:rPr>
        <w:t xml:space="preserve">the Contract sets out the process for making </w:t>
      </w:r>
      <w:r w:rsidRPr="00242BF1">
        <w:rPr>
          <w:color w:val="000000"/>
          <w:lang w:bidi="ks-Deva"/>
        </w:rPr>
        <w:t>Contract Changes by way of a Change Authorisation Letter.</w:t>
      </w:r>
    </w:p>
    <w:p w14:paraId="0FE65073" w14:textId="22307BFD" w:rsidR="00E9695C" w:rsidRPr="00242BF1" w:rsidRDefault="00E9695C" w:rsidP="00E162A6">
      <w:pPr>
        <w:numPr>
          <w:ilvl w:val="0"/>
          <w:numId w:val="3"/>
        </w:numPr>
        <w:spacing w:before="240" w:after="240"/>
        <w:ind w:hanging="720"/>
        <w:rPr>
          <w:color w:val="000000"/>
        </w:rPr>
      </w:pPr>
      <w:r w:rsidRPr="00242BF1">
        <w:rPr>
          <w:color w:val="000000" w:themeColor="text1"/>
        </w:rPr>
        <w:t xml:space="preserve">This </w:t>
      </w:r>
      <w:r w:rsidR="0017303F" w:rsidRPr="00242BF1">
        <w:t>5a-116-A10</w:t>
      </w:r>
      <w:r w:rsidRPr="00242BF1">
        <w:t xml:space="preserve"> </w:t>
      </w:r>
      <w:r w:rsidRPr="00242BF1">
        <w:rPr>
          <w:color w:val="000000" w:themeColor="text1"/>
        </w:rPr>
        <w:t>has been set out in accordance with that Schedule 8.2 (Change Control Procedure).</w:t>
      </w:r>
    </w:p>
    <w:p w14:paraId="11A8FC69" w14:textId="6B4F99BC" w:rsidR="00E9695C" w:rsidRPr="00242BF1" w:rsidRDefault="00E9695C" w:rsidP="00E162A6">
      <w:pPr>
        <w:numPr>
          <w:ilvl w:val="0"/>
          <w:numId w:val="3"/>
        </w:numPr>
        <w:spacing w:before="240" w:after="240"/>
        <w:ind w:hanging="720"/>
        <w:rPr>
          <w:color w:val="000000"/>
        </w:rPr>
      </w:pPr>
      <w:r w:rsidRPr="00242BF1">
        <w:rPr>
          <w:color w:val="000000" w:themeColor="text1"/>
        </w:rPr>
        <w:t xml:space="preserve">The proposed amendments to the Contract are detailed in </w:t>
      </w:r>
      <w:r w:rsidR="00DD4425" w:rsidRPr="00242BF1">
        <w:rPr>
          <w:color w:val="000000" w:themeColor="text1"/>
        </w:rPr>
        <w:t>Appendices 1 and 2</w:t>
      </w:r>
      <w:r w:rsidRPr="00242BF1">
        <w:rPr>
          <w:color w:val="000000" w:themeColor="text1"/>
        </w:rPr>
        <w:t xml:space="preserve"> </w:t>
      </w:r>
      <w:r w:rsidR="00F63C45" w:rsidRPr="00242BF1">
        <w:rPr>
          <w:color w:val="000000" w:themeColor="text1"/>
        </w:rPr>
        <w:t>to</w:t>
      </w:r>
      <w:r w:rsidRPr="00242BF1">
        <w:rPr>
          <w:color w:val="000000" w:themeColor="text1"/>
        </w:rPr>
        <w:t xml:space="preserve"> </w:t>
      </w:r>
      <w:r w:rsidR="005752FC" w:rsidRPr="00242BF1">
        <w:rPr>
          <w:color w:val="000000" w:themeColor="text1"/>
        </w:rPr>
        <w:t xml:space="preserve">this </w:t>
      </w:r>
      <w:r w:rsidR="0017303F" w:rsidRPr="00242BF1">
        <w:t>5a-116-A10</w:t>
      </w:r>
      <w:r w:rsidR="00775027" w:rsidRPr="00242BF1">
        <w:t xml:space="preserve"> (</w:t>
      </w:r>
      <w:r w:rsidR="00775027" w:rsidRPr="00242BF1">
        <w:rPr>
          <w:b/>
        </w:rPr>
        <w:t>the “Amendments”</w:t>
      </w:r>
      <w:r w:rsidR="00775027" w:rsidRPr="00242BF1">
        <w:t>)</w:t>
      </w:r>
      <w:r w:rsidRPr="00242BF1">
        <w:rPr>
          <w:color w:val="000000" w:themeColor="text1"/>
        </w:rPr>
        <w:t>.</w:t>
      </w:r>
    </w:p>
    <w:p w14:paraId="1AE7F734" w14:textId="3D5F934E" w:rsidR="00E9695C" w:rsidRPr="00242BF1" w:rsidRDefault="00540900" w:rsidP="00E162A6">
      <w:pPr>
        <w:pStyle w:val="ListParagraph"/>
        <w:numPr>
          <w:ilvl w:val="0"/>
          <w:numId w:val="3"/>
        </w:numPr>
        <w:spacing w:before="240" w:after="240" w:line="240" w:lineRule="auto"/>
        <w:ind w:hanging="720"/>
        <w:rPr>
          <w:rFonts w:ascii="Arial" w:hAnsi="Arial" w:cs="Arial"/>
          <w:color w:val="auto"/>
        </w:rPr>
      </w:pPr>
      <w:r w:rsidRPr="00242BF1">
        <w:rPr>
          <w:rFonts w:ascii="Arial" w:hAnsi="Arial" w:cs="Arial"/>
        </w:rPr>
        <w:t>Subject to paragraph</w:t>
      </w:r>
      <w:r w:rsidR="00E040A0" w:rsidRPr="00242BF1">
        <w:rPr>
          <w:rFonts w:ascii="Arial" w:hAnsi="Arial" w:cs="Arial"/>
        </w:rPr>
        <w:t xml:space="preserve">s </w:t>
      </w:r>
      <w:r w:rsidR="00432929" w:rsidRPr="00242BF1">
        <w:rPr>
          <w:rFonts w:ascii="Arial" w:hAnsi="Arial" w:cs="Arial"/>
        </w:rPr>
        <w:fldChar w:fldCharType="begin"/>
      </w:r>
      <w:r w:rsidR="00432929" w:rsidRPr="00242BF1">
        <w:rPr>
          <w:rFonts w:ascii="Arial" w:hAnsi="Arial" w:cs="Arial"/>
        </w:rPr>
        <w:instrText xml:space="preserve"> REF _Ref161412620 \r \h </w:instrText>
      </w:r>
      <w:r w:rsidR="00030321" w:rsidRPr="00242BF1">
        <w:rPr>
          <w:rFonts w:ascii="Arial" w:hAnsi="Arial" w:cs="Arial"/>
        </w:rPr>
        <w:instrText xml:space="preserve"> \* MERGEFORMAT </w:instrText>
      </w:r>
      <w:r w:rsidR="00432929" w:rsidRPr="00242BF1">
        <w:rPr>
          <w:rFonts w:ascii="Arial" w:hAnsi="Arial" w:cs="Arial"/>
        </w:rPr>
      </w:r>
      <w:r w:rsidR="00432929" w:rsidRPr="00242BF1">
        <w:rPr>
          <w:rFonts w:ascii="Arial" w:hAnsi="Arial" w:cs="Arial"/>
        </w:rPr>
        <w:fldChar w:fldCharType="separate"/>
      </w:r>
      <w:r w:rsidR="00432929" w:rsidRPr="00242BF1">
        <w:rPr>
          <w:rFonts w:ascii="Arial" w:hAnsi="Arial" w:cs="Arial"/>
        </w:rPr>
        <w:t>9</w:t>
      </w:r>
      <w:r w:rsidR="00432929" w:rsidRPr="00242BF1">
        <w:rPr>
          <w:rFonts w:ascii="Arial" w:hAnsi="Arial" w:cs="Arial"/>
        </w:rPr>
        <w:fldChar w:fldCharType="end"/>
      </w:r>
      <w:r w:rsidR="00C252E9" w:rsidRPr="00242BF1">
        <w:rPr>
          <w:rFonts w:ascii="Arial" w:hAnsi="Arial" w:cs="Arial"/>
        </w:rPr>
        <w:t>,</w:t>
      </w:r>
      <w:r w:rsidRPr="00242BF1">
        <w:rPr>
          <w:rFonts w:ascii="Arial" w:hAnsi="Arial" w:cs="Arial"/>
        </w:rPr>
        <w:t xml:space="preserve"> </w:t>
      </w:r>
      <w:r w:rsidRPr="00242BF1">
        <w:rPr>
          <w:rFonts w:ascii="Arial" w:hAnsi="Arial" w:cs="Arial"/>
        </w:rPr>
        <w:fldChar w:fldCharType="begin"/>
      </w:r>
      <w:r w:rsidRPr="00242BF1">
        <w:rPr>
          <w:rFonts w:ascii="Arial" w:hAnsi="Arial" w:cs="Arial"/>
        </w:rPr>
        <w:instrText xml:space="preserve"> REF _Ref159952523 \r \h  \* MERGEFORMAT </w:instrText>
      </w:r>
      <w:r w:rsidRPr="00242BF1">
        <w:rPr>
          <w:rFonts w:ascii="Arial" w:hAnsi="Arial" w:cs="Arial"/>
        </w:rPr>
      </w:r>
      <w:r w:rsidRPr="00242BF1">
        <w:rPr>
          <w:rFonts w:ascii="Arial" w:hAnsi="Arial" w:cs="Arial"/>
        </w:rPr>
        <w:fldChar w:fldCharType="separate"/>
      </w:r>
      <w:r w:rsidRPr="00242BF1">
        <w:rPr>
          <w:rFonts w:ascii="Arial" w:hAnsi="Arial" w:cs="Arial"/>
        </w:rPr>
        <w:t>10</w:t>
      </w:r>
      <w:r w:rsidRPr="00242BF1">
        <w:rPr>
          <w:rFonts w:ascii="Arial" w:hAnsi="Arial" w:cs="Arial"/>
        </w:rPr>
        <w:fldChar w:fldCharType="end"/>
      </w:r>
      <w:r w:rsidR="009021EA" w:rsidRPr="00242BF1">
        <w:rPr>
          <w:rFonts w:ascii="Arial" w:hAnsi="Arial" w:cs="Arial"/>
        </w:rPr>
        <w:t xml:space="preserve"> and </w:t>
      </w:r>
      <w:r w:rsidR="009021EA" w:rsidRPr="00242BF1">
        <w:rPr>
          <w:rFonts w:ascii="Arial" w:hAnsi="Arial" w:cs="Arial"/>
        </w:rPr>
        <w:fldChar w:fldCharType="begin"/>
      </w:r>
      <w:r w:rsidR="009021EA" w:rsidRPr="00242BF1">
        <w:rPr>
          <w:rFonts w:ascii="Arial" w:hAnsi="Arial" w:cs="Arial"/>
        </w:rPr>
        <w:instrText xml:space="preserve"> REF _Ref161661631 \r \h </w:instrText>
      </w:r>
      <w:r w:rsidR="00030321" w:rsidRPr="00242BF1">
        <w:rPr>
          <w:rFonts w:ascii="Arial" w:hAnsi="Arial" w:cs="Arial"/>
        </w:rPr>
        <w:instrText xml:space="preserve"> \* MERGEFORMAT </w:instrText>
      </w:r>
      <w:r w:rsidR="009021EA" w:rsidRPr="00242BF1">
        <w:rPr>
          <w:rFonts w:ascii="Arial" w:hAnsi="Arial" w:cs="Arial"/>
        </w:rPr>
      </w:r>
      <w:r w:rsidR="009021EA" w:rsidRPr="00242BF1">
        <w:rPr>
          <w:rFonts w:ascii="Arial" w:hAnsi="Arial" w:cs="Arial"/>
        </w:rPr>
        <w:fldChar w:fldCharType="separate"/>
      </w:r>
      <w:r w:rsidR="009021EA" w:rsidRPr="00242BF1">
        <w:rPr>
          <w:rFonts w:ascii="Arial" w:hAnsi="Arial" w:cs="Arial"/>
        </w:rPr>
        <w:t>11</w:t>
      </w:r>
      <w:r w:rsidR="009021EA" w:rsidRPr="00242BF1">
        <w:rPr>
          <w:rFonts w:ascii="Arial" w:hAnsi="Arial" w:cs="Arial"/>
        </w:rPr>
        <w:fldChar w:fldCharType="end"/>
      </w:r>
      <w:r w:rsidRPr="00242BF1">
        <w:rPr>
          <w:rFonts w:ascii="Arial" w:hAnsi="Arial" w:cs="Arial"/>
        </w:rPr>
        <w:t xml:space="preserve"> below, </w:t>
      </w:r>
      <w:r w:rsidR="0017303F" w:rsidRPr="00242BF1">
        <w:rPr>
          <w:rFonts w:ascii="Arial" w:hAnsi="Arial" w:cs="Arial"/>
        </w:rPr>
        <w:t>5a-116-A10</w:t>
      </w:r>
      <w:r w:rsidR="00E9695C" w:rsidRPr="00242BF1">
        <w:rPr>
          <w:rFonts w:ascii="Arial" w:hAnsi="Arial" w:cs="Arial"/>
        </w:rPr>
        <w:t xml:space="preserve"> sh</w:t>
      </w:r>
      <w:r w:rsidR="00E9695C" w:rsidRPr="00242BF1">
        <w:rPr>
          <w:rFonts w:ascii="Arial" w:hAnsi="Arial" w:cs="Arial"/>
          <w:color w:val="auto"/>
        </w:rPr>
        <w:t>all be interpreted and construed so that it varies the Contract.</w:t>
      </w:r>
    </w:p>
    <w:p w14:paraId="50033C10" w14:textId="0475783D" w:rsidR="00E9695C" w:rsidRPr="00242BF1" w:rsidRDefault="00E9695C" w:rsidP="00E162A6">
      <w:pPr>
        <w:pStyle w:val="ListParagraph"/>
        <w:numPr>
          <w:ilvl w:val="0"/>
          <w:numId w:val="3"/>
        </w:numPr>
        <w:spacing w:before="240" w:after="240" w:line="240" w:lineRule="auto"/>
        <w:ind w:hanging="720"/>
        <w:rPr>
          <w:rFonts w:ascii="Arial" w:hAnsi="Arial" w:cs="Arial"/>
          <w:color w:val="auto"/>
        </w:rPr>
      </w:pPr>
      <w:r w:rsidRPr="00242BF1">
        <w:rPr>
          <w:rFonts w:ascii="Arial" w:hAnsi="Arial" w:cs="Arial"/>
          <w:color w:val="auto"/>
        </w:rPr>
        <w:t xml:space="preserve">The Contract, including any previous variations, will remain effective and unaltered except as amended by </w:t>
      </w:r>
      <w:r w:rsidR="0017303F" w:rsidRPr="00242BF1">
        <w:rPr>
          <w:rFonts w:ascii="Arial" w:hAnsi="Arial" w:cs="Arial"/>
        </w:rPr>
        <w:t>5a-116-A10</w:t>
      </w:r>
      <w:r w:rsidRPr="00242BF1">
        <w:rPr>
          <w:rFonts w:ascii="Arial" w:hAnsi="Arial" w:cs="Arial"/>
          <w:color w:val="auto"/>
        </w:rPr>
        <w:t>.</w:t>
      </w:r>
    </w:p>
    <w:p w14:paraId="58BE81A9" w14:textId="71E5B0FB" w:rsidR="00E9695C" w:rsidRPr="00242BF1" w:rsidRDefault="00DD4425" w:rsidP="00E162A6">
      <w:pPr>
        <w:spacing w:before="240" w:after="240"/>
        <w:rPr>
          <w:b/>
        </w:rPr>
      </w:pPr>
      <w:r w:rsidRPr="00242BF1">
        <w:rPr>
          <w:b/>
        </w:rPr>
        <w:t xml:space="preserve">Appendices </w:t>
      </w:r>
      <w:r w:rsidR="00E9695C" w:rsidRPr="00242BF1">
        <w:rPr>
          <w:b/>
        </w:rPr>
        <w:t xml:space="preserve">attached to </w:t>
      </w:r>
      <w:r w:rsidR="0017303F" w:rsidRPr="00242BF1">
        <w:rPr>
          <w:b/>
        </w:rPr>
        <w:t>5a-116-A10</w:t>
      </w:r>
    </w:p>
    <w:p w14:paraId="1F8107FD" w14:textId="4BAFF334" w:rsidR="00E9695C" w:rsidRPr="00242BF1" w:rsidRDefault="00E9695C" w:rsidP="00E162A6">
      <w:pPr>
        <w:pStyle w:val="ListParagraph"/>
        <w:numPr>
          <w:ilvl w:val="0"/>
          <w:numId w:val="3"/>
        </w:numPr>
        <w:spacing w:before="240" w:after="240" w:line="240" w:lineRule="auto"/>
        <w:ind w:hanging="720"/>
        <w:rPr>
          <w:rFonts w:ascii="Arial" w:hAnsi="Arial" w:cs="Arial"/>
        </w:rPr>
      </w:pPr>
      <w:r w:rsidRPr="00242BF1">
        <w:rPr>
          <w:rFonts w:ascii="Arial" w:hAnsi="Arial" w:cs="Arial"/>
        </w:rPr>
        <w:t xml:space="preserve">The following </w:t>
      </w:r>
      <w:r w:rsidR="00916F74" w:rsidRPr="00242BF1">
        <w:rPr>
          <w:rFonts w:ascii="Arial" w:hAnsi="Arial" w:cs="Arial"/>
        </w:rPr>
        <w:t>a</w:t>
      </w:r>
      <w:r w:rsidR="00C833E9" w:rsidRPr="00242BF1">
        <w:rPr>
          <w:rFonts w:ascii="Arial" w:hAnsi="Arial" w:cs="Arial"/>
        </w:rPr>
        <w:t>ppendices are</w:t>
      </w:r>
      <w:r w:rsidRPr="00242BF1">
        <w:rPr>
          <w:rFonts w:ascii="Arial" w:hAnsi="Arial" w:cs="Arial"/>
        </w:rPr>
        <w:t xml:space="preserve"> attached to this </w:t>
      </w:r>
      <w:r w:rsidR="0017303F" w:rsidRPr="00242BF1">
        <w:rPr>
          <w:rFonts w:ascii="Arial" w:hAnsi="Arial" w:cs="Arial"/>
        </w:rPr>
        <w:t>5a-116-A10</w:t>
      </w:r>
      <w:r w:rsidRPr="00242BF1">
        <w:rPr>
          <w:rFonts w:ascii="Arial" w:hAnsi="Arial" w:cs="Arial"/>
        </w:rPr>
        <w:t>:</w:t>
      </w:r>
    </w:p>
    <w:p w14:paraId="341C3559" w14:textId="227ED741" w:rsidR="00E9695C" w:rsidRPr="00242BF1" w:rsidRDefault="007960D1" w:rsidP="00E162A6">
      <w:pPr>
        <w:pStyle w:val="ListParagraph"/>
        <w:numPr>
          <w:ilvl w:val="1"/>
          <w:numId w:val="2"/>
        </w:numPr>
        <w:spacing w:before="240" w:after="240" w:line="240" w:lineRule="auto"/>
        <w:rPr>
          <w:rFonts w:ascii="Arial" w:hAnsi="Arial" w:cs="Arial"/>
        </w:rPr>
      </w:pPr>
      <w:r w:rsidRPr="00242BF1">
        <w:rPr>
          <w:rFonts w:ascii="Arial" w:hAnsi="Arial" w:cs="Arial"/>
        </w:rPr>
        <w:t xml:space="preserve">Appendix </w:t>
      </w:r>
      <w:r w:rsidR="00E9695C" w:rsidRPr="00242BF1">
        <w:rPr>
          <w:rFonts w:ascii="Arial" w:hAnsi="Arial" w:cs="Arial"/>
        </w:rPr>
        <w:t xml:space="preserve">1: Contract provisions modified by </w:t>
      </w:r>
      <w:r w:rsidR="0017303F" w:rsidRPr="00242BF1">
        <w:rPr>
          <w:rFonts w:ascii="Arial" w:hAnsi="Arial" w:cs="Arial"/>
        </w:rPr>
        <w:t>5a-116-A10</w:t>
      </w:r>
      <w:r w:rsidR="00E9695C" w:rsidRPr="00242BF1">
        <w:rPr>
          <w:rFonts w:ascii="Arial" w:hAnsi="Arial" w:cs="Arial"/>
        </w:rPr>
        <w:t>.</w:t>
      </w:r>
    </w:p>
    <w:p w14:paraId="7EC5CDEE" w14:textId="6D545D3C" w:rsidR="00316131" w:rsidRPr="00242BF1" w:rsidRDefault="00316131" w:rsidP="00E162A6">
      <w:pPr>
        <w:pStyle w:val="ListParagraph"/>
        <w:numPr>
          <w:ilvl w:val="1"/>
          <w:numId w:val="2"/>
        </w:numPr>
        <w:spacing w:before="240" w:after="240" w:line="240" w:lineRule="auto"/>
        <w:rPr>
          <w:rFonts w:ascii="Arial" w:hAnsi="Arial" w:cs="Arial"/>
        </w:rPr>
      </w:pPr>
      <w:r w:rsidRPr="00242BF1">
        <w:rPr>
          <w:rFonts w:ascii="Arial" w:hAnsi="Arial" w:cs="Arial"/>
        </w:rPr>
        <w:t>A</w:t>
      </w:r>
      <w:r w:rsidR="00E03642" w:rsidRPr="00242BF1">
        <w:rPr>
          <w:rFonts w:ascii="Arial" w:hAnsi="Arial" w:cs="Arial"/>
        </w:rPr>
        <w:t xml:space="preserve">ppendix 2: Specification </w:t>
      </w:r>
      <w:r w:rsidR="00981A89" w:rsidRPr="00242BF1">
        <w:rPr>
          <w:rFonts w:ascii="Arial" w:hAnsi="Arial" w:cs="Arial"/>
        </w:rPr>
        <w:t xml:space="preserve">provisions modified by </w:t>
      </w:r>
      <w:r w:rsidR="0017303F" w:rsidRPr="00242BF1">
        <w:rPr>
          <w:rFonts w:ascii="Arial" w:hAnsi="Arial" w:cs="Arial"/>
        </w:rPr>
        <w:t>5a-116-A10</w:t>
      </w:r>
      <w:r w:rsidR="00981A89" w:rsidRPr="00242BF1">
        <w:rPr>
          <w:rFonts w:ascii="Arial" w:hAnsi="Arial" w:cs="Arial"/>
        </w:rPr>
        <w:t>.</w:t>
      </w:r>
    </w:p>
    <w:p w14:paraId="2969C93A" w14:textId="78EE475E" w:rsidR="00754AB9" w:rsidRPr="00242BF1" w:rsidRDefault="00754AB9" w:rsidP="00E162A6">
      <w:pPr>
        <w:pStyle w:val="ListParagraph"/>
        <w:numPr>
          <w:ilvl w:val="1"/>
          <w:numId w:val="2"/>
        </w:numPr>
        <w:spacing w:before="240" w:after="240" w:line="240" w:lineRule="auto"/>
        <w:rPr>
          <w:rFonts w:ascii="Arial" w:hAnsi="Arial" w:cs="Arial"/>
        </w:rPr>
      </w:pPr>
      <w:r w:rsidRPr="00242BF1">
        <w:rPr>
          <w:rFonts w:ascii="Arial" w:hAnsi="Arial" w:cs="Arial"/>
        </w:rPr>
        <w:t xml:space="preserve">Appendix 3: </w:t>
      </w:r>
      <w:r w:rsidR="00374406" w:rsidRPr="00242BF1">
        <w:rPr>
          <w:rFonts w:ascii="Arial" w:hAnsi="Arial" w:cs="Arial"/>
        </w:rPr>
        <w:t xml:space="preserve">form of </w:t>
      </w:r>
      <w:r w:rsidR="006964B7" w:rsidRPr="00242BF1">
        <w:rPr>
          <w:rFonts w:ascii="Arial" w:hAnsi="Arial" w:cs="Arial"/>
        </w:rPr>
        <w:t>Replacement Guarantee (defined below)</w:t>
      </w:r>
    </w:p>
    <w:p w14:paraId="39377944" w14:textId="24893A8D" w:rsidR="00E9695C" w:rsidRPr="00242BF1" w:rsidRDefault="00D05622" w:rsidP="00E162A6">
      <w:pPr>
        <w:spacing w:before="240" w:after="240"/>
      </w:pPr>
      <w:r w:rsidRPr="00242BF1">
        <w:rPr>
          <w:b/>
        </w:rPr>
        <w:lastRenderedPageBreak/>
        <w:t xml:space="preserve">When </w:t>
      </w:r>
      <w:r w:rsidR="002C23F9" w:rsidRPr="00242BF1">
        <w:rPr>
          <w:b/>
        </w:rPr>
        <w:t xml:space="preserve">the </w:t>
      </w:r>
      <w:r w:rsidRPr="00242BF1">
        <w:rPr>
          <w:b/>
        </w:rPr>
        <w:t>Amendments take effect and c</w:t>
      </w:r>
      <w:r w:rsidR="00DF2052" w:rsidRPr="00242BF1">
        <w:rPr>
          <w:b/>
        </w:rPr>
        <w:t>ondition precedent</w:t>
      </w:r>
    </w:p>
    <w:p w14:paraId="2033E8B1" w14:textId="217B07E4" w:rsidR="00E9695C" w:rsidRPr="00242BF1"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242BF1">
        <w:rPr>
          <w:rFonts w:ascii="Arial" w:hAnsi="Arial" w:cs="Arial"/>
        </w:rPr>
        <w:t>Subject to paragraph</w:t>
      </w:r>
      <w:r w:rsidR="00032F9A" w:rsidRPr="00242BF1">
        <w:rPr>
          <w:rFonts w:ascii="Arial" w:hAnsi="Arial" w:cs="Arial"/>
        </w:rPr>
        <w:t>s</w:t>
      </w:r>
      <w:r w:rsidRPr="00242BF1">
        <w:rPr>
          <w:rFonts w:ascii="Arial" w:hAnsi="Arial" w:cs="Arial"/>
        </w:rPr>
        <w:t xml:space="preserve"> </w:t>
      </w:r>
      <w:r w:rsidR="004573C5" w:rsidRPr="00242BF1">
        <w:rPr>
          <w:rFonts w:ascii="Arial" w:hAnsi="Arial" w:cs="Arial"/>
        </w:rPr>
        <w:fldChar w:fldCharType="begin"/>
      </w:r>
      <w:r w:rsidR="004573C5" w:rsidRPr="00242BF1">
        <w:rPr>
          <w:rFonts w:ascii="Arial" w:hAnsi="Arial" w:cs="Arial"/>
        </w:rPr>
        <w:instrText xml:space="preserve"> REF _Ref159933405 \r \h </w:instrText>
      </w:r>
      <w:r w:rsidR="00030321" w:rsidRPr="00242BF1">
        <w:rPr>
          <w:rFonts w:ascii="Arial" w:hAnsi="Arial" w:cs="Arial"/>
        </w:rPr>
        <w:instrText xml:space="preserve"> \* MERGEFORMAT </w:instrText>
      </w:r>
      <w:r w:rsidR="004573C5" w:rsidRPr="00242BF1">
        <w:rPr>
          <w:rFonts w:ascii="Arial" w:hAnsi="Arial" w:cs="Arial"/>
        </w:rPr>
      </w:r>
      <w:r w:rsidR="004573C5" w:rsidRPr="00242BF1">
        <w:rPr>
          <w:rFonts w:ascii="Arial" w:hAnsi="Arial" w:cs="Arial"/>
        </w:rPr>
        <w:fldChar w:fldCharType="separate"/>
      </w:r>
      <w:r w:rsidR="004573C5" w:rsidRPr="00242BF1">
        <w:rPr>
          <w:rFonts w:ascii="Arial" w:hAnsi="Arial" w:cs="Arial"/>
        </w:rPr>
        <w:t>10</w:t>
      </w:r>
      <w:r w:rsidR="004573C5" w:rsidRPr="00242BF1">
        <w:rPr>
          <w:rFonts w:ascii="Arial" w:hAnsi="Arial" w:cs="Arial"/>
        </w:rPr>
        <w:fldChar w:fldCharType="end"/>
      </w:r>
      <w:r w:rsidRPr="00242BF1">
        <w:rPr>
          <w:rFonts w:ascii="Arial" w:hAnsi="Arial" w:cs="Arial"/>
        </w:rPr>
        <w:t xml:space="preserve"> </w:t>
      </w:r>
      <w:r w:rsidR="003E1951" w:rsidRPr="00242BF1">
        <w:rPr>
          <w:rFonts w:ascii="Arial" w:hAnsi="Arial" w:cs="Arial"/>
        </w:rPr>
        <w:t xml:space="preserve">and </w:t>
      </w:r>
      <w:r w:rsidR="003E1951" w:rsidRPr="00242BF1">
        <w:rPr>
          <w:rFonts w:ascii="Arial" w:hAnsi="Arial" w:cs="Arial"/>
        </w:rPr>
        <w:fldChar w:fldCharType="begin"/>
      </w:r>
      <w:r w:rsidR="003E1951" w:rsidRPr="00242BF1">
        <w:rPr>
          <w:rFonts w:ascii="Arial" w:hAnsi="Arial" w:cs="Arial"/>
        </w:rPr>
        <w:instrText xml:space="preserve"> REF _Ref161661631 \r \h </w:instrText>
      </w:r>
      <w:r w:rsidR="00030321" w:rsidRPr="00242BF1">
        <w:rPr>
          <w:rFonts w:ascii="Arial" w:hAnsi="Arial" w:cs="Arial"/>
        </w:rPr>
        <w:instrText xml:space="preserve"> \* MERGEFORMAT </w:instrText>
      </w:r>
      <w:r w:rsidR="003E1951" w:rsidRPr="00242BF1">
        <w:rPr>
          <w:rFonts w:ascii="Arial" w:hAnsi="Arial" w:cs="Arial"/>
        </w:rPr>
      </w:r>
      <w:r w:rsidR="003E1951" w:rsidRPr="00242BF1">
        <w:rPr>
          <w:rFonts w:ascii="Arial" w:hAnsi="Arial" w:cs="Arial"/>
        </w:rPr>
        <w:fldChar w:fldCharType="separate"/>
      </w:r>
      <w:r w:rsidR="003E1951" w:rsidRPr="00242BF1">
        <w:rPr>
          <w:rFonts w:ascii="Arial" w:hAnsi="Arial" w:cs="Arial"/>
        </w:rPr>
        <w:t>11</w:t>
      </w:r>
      <w:r w:rsidR="003E1951" w:rsidRPr="00242BF1">
        <w:rPr>
          <w:rFonts w:ascii="Arial" w:hAnsi="Arial" w:cs="Arial"/>
        </w:rPr>
        <w:fldChar w:fldCharType="end"/>
      </w:r>
      <w:r w:rsidR="003E1951" w:rsidRPr="00242BF1">
        <w:rPr>
          <w:rFonts w:ascii="Arial" w:hAnsi="Arial" w:cs="Arial"/>
        </w:rPr>
        <w:t xml:space="preserve"> </w:t>
      </w:r>
      <w:r w:rsidRPr="00242BF1">
        <w:rPr>
          <w:rFonts w:ascii="Arial" w:hAnsi="Arial" w:cs="Arial"/>
        </w:rPr>
        <w:t xml:space="preserve">below, </w:t>
      </w:r>
      <w:r w:rsidR="008270DD" w:rsidRPr="00242BF1">
        <w:rPr>
          <w:rFonts w:ascii="Arial" w:hAnsi="Arial" w:cs="Arial"/>
          <w:lang w:bidi="ks-Deva"/>
        </w:rPr>
        <w:t xml:space="preserve">the </w:t>
      </w:r>
      <w:r w:rsidR="00FF1FA7" w:rsidRPr="00242BF1">
        <w:rPr>
          <w:rFonts w:ascii="Arial" w:hAnsi="Arial" w:cs="Arial"/>
          <w:lang w:bidi="ks-Deva"/>
        </w:rPr>
        <w:t xml:space="preserve">Contract shall be varied by the </w:t>
      </w:r>
      <w:r w:rsidR="00F67302" w:rsidRPr="00242BF1">
        <w:rPr>
          <w:rFonts w:ascii="Arial" w:hAnsi="Arial" w:cs="Arial"/>
        </w:rPr>
        <w:t>Amendments</w:t>
      </w:r>
      <w:r w:rsidR="00FF1FA7" w:rsidRPr="00242BF1">
        <w:rPr>
          <w:rFonts w:ascii="Arial" w:hAnsi="Arial" w:cs="Arial"/>
        </w:rPr>
        <w:t>, which</w:t>
      </w:r>
      <w:r w:rsidR="00F67302" w:rsidRPr="00242BF1">
        <w:rPr>
          <w:rFonts w:ascii="Arial" w:hAnsi="Arial" w:cs="Arial"/>
        </w:rPr>
        <w:t xml:space="preserve"> </w:t>
      </w:r>
      <w:r w:rsidR="000179AE" w:rsidRPr="00242BF1">
        <w:rPr>
          <w:rFonts w:ascii="Arial" w:hAnsi="Arial" w:cs="Arial"/>
        </w:rPr>
        <w:t xml:space="preserve">shall </w:t>
      </w:r>
      <w:r w:rsidR="00F67302" w:rsidRPr="00242BF1">
        <w:rPr>
          <w:rFonts w:ascii="Arial" w:hAnsi="Arial" w:cs="Arial"/>
        </w:rPr>
        <w:t>take effect on 1 July 2024</w:t>
      </w:r>
      <w:r w:rsidR="00E9695C" w:rsidRPr="00242BF1">
        <w:rPr>
          <w:rFonts w:ascii="Arial" w:hAnsi="Arial" w:cs="Arial"/>
          <w:lang w:bidi="ks-Deva"/>
        </w:rPr>
        <w:t>.</w:t>
      </w:r>
      <w:bookmarkEnd w:id="0"/>
    </w:p>
    <w:p w14:paraId="631EA639" w14:textId="4364E7DB" w:rsidR="0033675C" w:rsidRPr="00242BF1"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242BF1">
        <w:rPr>
          <w:rFonts w:ascii="Arial" w:hAnsi="Arial" w:cs="Arial"/>
        </w:rPr>
        <w:t xml:space="preserve">The </w:t>
      </w:r>
      <w:r w:rsidR="00775027" w:rsidRPr="00242BF1">
        <w:rPr>
          <w:rFonts w:ascii="Arial" w:hAnsi="Arial" w:cs="Arial"/>
        </w:rPr>
        <w:t xml:space="preserve">Amendments </w:t>
      </w:r>
      <w:r w:rsidR="009539D0" w:rsidRPr="00242BF1">
        <w:rPr>
          <w:rFonts w:ascii="Arial" w:hAnsi="Arial" w:cs="Arial"/>
        </w:rPr>
        <w:t xml:space="preserve">are conditional upon the valid execution </w:t>
      </w:r>
      <w:r w:rsidR="00C26CB0" w:rsidRPr="00242BF1">
        <w:rPr>
          <w:rFonts w:ascii="Arial" w:hAnsi="Arial" w:cs="Arial"/>
        </w:rPr>
        <w:t>by</w:t>
      </w:r>
      <w:r w:rsidR="00261A87" w:rsidRPr="00242BF1">
        <w:rPr>
          <w:rFonts w:ascii="Arial" w:hAnsi="Arial" w:cs="Arial"/>
        </w:rPr>
        <w:t xml:space="preserve"> </w:t>
      </w:r>
      <w:r w:rsidR="00261A87" w:rsidRPr="00242BF1">
        <w:rPr>
          <w:rStyle w:val="normaltextrun"/>
          <w:rFonts w:ascii="Arial" w:hAnsi="Arial" w:cs="Arial"/>
          <w:color w:val="000000"/>
        </w:rPr>
        <w:t xml:space="preserve">[REDACTED] </w:t>
      </w:r>
      <w:r w:rsidR="00C601CB" w:rsidRPr="00242BF1">
        <w:rPr>
          <w:rFonts w:ascii="Arial" w:hAnsi="Arial" w:cs="Arial"/>
        </w:rPr>
        <w:t>(</w:t>
      </w:r>
      <w:r w:rsidR="00C601CB" w:rsidRPr="00242BF1">
        <w:rPr>
          <w:rFonts w:ascii="Arial" w:hAnsi="Arial" w:cs="Arial"/>
          <w:b/>
          <w:bCs/>
        </w:rPr>
        <w:t>the "Guarantor”</w:t>
      </w:r>
      <w:r w:rsidR="00C601CB" w:rsidRPr="00242BF1">
        <w:rPr>
          <w:rFonts w:ascii="Arial" w:hAnsi="Arial" w:cs="Arial"/>
        </w:rPr>
        <w:t xml:space="preserve">) </w:t>
      </w:r>
      <w:r w:rsidR="009539D0" w:rsidRPr="00242BF1">
        <w:rPr>
          <w:rFonts w:ascii="Arial" w:hAnsi="Arial" w:cs="Arial"/>
        </w:rPr>
        <w:t>and delivery to the Authority</w:t>
      </w:r>
      <w:r w:rsidR="00A34D80" w:rsidRPr="00242BF1">
        <w:rPr>
          <w:rFonts w:ascii="Arial" w:hAnsi="Arial" w:cs="Arial"/>
        </w:rPr>
        <w:t xml:space="preserve"> of </w:t>
      </w:r>
      <w:r w:rsidR="00DA7690" w:rsidRPr="00242BF1">
        <w:rPr>
          <w:rFonts w:ascii="Arial" w:hAnsi="Arial" w:cs="Arial"/>
        </w:rPr>
        <w:t>a</w:t>
      </w:r>
      <w:r w:rsidR="00A34D80" w:rsidRPr="00242BF1">
        <w:rPr>
          <w:rFonts w:ascii="Arial" w:hAnsi="Arial" w:cs="Arial"/>
        </w:rPr>
        <w:t xml:space="preserve"> guaran</w:t>
      </w:r>
      <w:r w:rsidR="00A64C14" w:rsidRPr="00242BF1">
        <w:rPr>
          <w:rFonts w:ascii="Arial" w:hAnsi="Arial" w:cs="Arial"/>
        </w:rPr>
        <w:t xml:space="preserve">tee in </w:t>
      </w:r>
      <w:r w:rsidR="00EE0385" w:rsidRPr="00242BF1">
        <w:rPr>
          <w:rFonts w:ascii="Arial" w:hAnsi="Arial" w:cs="Arial"/>
        </w:rPr>
        <w:t xml:space="preserve">the form </w:t>
      </w:r>
      <w:r w:rsidR="00C95178" w:rsidRPr="00242BF1">
        <w:rPr>
          <w:rFonts w:ascii="Arial" w:hAnsi="Arial" w:cs="Arial"/>
        </w:rPr>
        <w:t xml:space="preserve">set out in Appendix 3 to this </w:t>
      </w:r>
      <w:r w:rsidR="0017303F" w:rsidRPr="00242BF1">
        <w:rPr>
          <w:rFonts w:ascii="Arial" w:hAnsi="Arial" w:cs="Arial"/>
        </w:rPr>
        <w:t>5a-116-A10</w:t>
      </w:r>
      <w:r w:rsidR="00EC5409" w:rsidRPr="00242BF1">
        <w:rPr>
          <w:rFonts w:ascii="Arial" w:hAnsi="Arial" w:cs="Arial"/>
        </w:rPr>
        <w:t xml:space="preserve"> </w:t>
      </w:r>
      <w:r w:rsidR="005F5513" w:rsidRPr="00242BF1">
        <w:rPr>
          <w:rFonts w:ascii="Arial" w:hAnsi="Arial" w:cs="Arial"/>
        </w:rPr>
        <w:t>(</w:t>
      </w:r>
      <w:r w:rsidR="005F5513" w:rsidRPr="00242BF1">
        <w:rPr>
          <w:rFonts w:ascii="Arial" w:hAnsi="Arial" w:cs="Arial"/>
          <w:b/>
        </w:rPr>
        <w:t>the “Replacement Guarantee”</w:t>
      </w:r>
      <w:r w:rsidR="005F5513" w:rsidRPr="00242BF1">
        <w:rPr>
          <w:rFonts w:ascii="Arial" w:hAnsi="Arial" w:cs="Arial"/>
        </w:rPr>
        <w:t>)</w:t>
      </w:r>
      <w:r w:rsidR="002C6C7E" w:rsidRPr="00242BF1">
        <w:rPr>
          <w:rFonts w:ascii="Arial" w:hAnsi="Arial" w:cs="Arial"/>
        </w:rPr>
        <w:t xml:space="preserve"> (</w:t>
      </w:r>
      <w:r w:rsidR="002C6C7E" w:rsidRPr="00242BF1">
        <w:rPr>
          <w:rFonts w:ascii="Arial" w:hAnsi="Arial" w:cs="Arial"/>
          <w:b/>
        </w:rPr>
        <w:t>the “Extension Condition Precedent”</w:t>
      </w:r>
      <w:r w:rsidR="002C6C7E" w:rsidRPr="00242BF1">
        <w:rPr>
          <w:rFonts w:ascii="Arial" w:hAnsi="Arial" w:cs="Arial"/>
        </w:rPr>
        <w:t>).</w:t>
      </w:r>
      <w:r w:rsidR="00D27316" w:rsidRPr="00242BF1">
        <w:rPr>
          <w:rFonts w:ascii="Arial" w:hAnsi="Arial" w:cs="Arial"/>
        </w:rPr>
        <w:t xml:space="preserve">  The </w:t>
      </w:r>
      <w:r w:rsidR="008116AF" w:rsidRPr="00242BF1">
        <w:rPr>
          <w:rFonts w:ascii="Arial" w:hAnsi="Arial" w:cs="Arial"/>
        </w:rPr>
        <w:t>Authority may in its sole discretion at any time</w:t>
      </w:r>
      <w:r w:rsidR="004F152F" w:rsidRPr="00242BF1">
        <w:rPr>
          <w:rFonts w:ascii="Arial" w:hAnsi="Arial" w:cs="Arial"/>
        </w:rPr>
        <w:t xml:space="preserve"> </w:t>
      </w:r>
      <w:r w:rsidR="00BB7324" w:rsidRPr="00242BF1">
        <w:rPr>
          <w:rFonts w:ascii="Arial" w:hAnsi="Arial" w:cs="Arial"/>
        </w:rPr>
        <w:t xml:space="preserve">prior to </w:t>
      </w:r>
      <w:r w:rsidR="00723305" w:rsidRPr="00242BF1">
        <w:rPr>
          <w:rFonts w:ascii="Arial" w:hAnsi="Arial" w:cs="Arial"/>
        </w:rPr>
        <w:t>the</w:t>
      </w:r>
      <w:r w:rsidR="00BB7324" w:rsidRPr="00242BF1">
        <w:rPr>
          <w:rFonts w:ascii="Arial" w:hAnsi="Arial" w:cs="Arial"/>
        </w:rPr>
        <w:t xml:space="preserve"> deadline for compliance with the Extension Condition Precedent</w:t>
      </w:r>
      <w:r w:rsidR="0033675C" w:rsidRPr="00242BF1">
        <w:rPr>
          <w:rFonts w:ascii="Arial" w:hAnsi="Arial" w:cs="Arial"/>
        </w:rPr>
        <w:t>:</w:t>
      </w:r>
      <w:bookmarkEnd w:id="1"/>
    </w:p>
    <w:p w14:paraId="2D858D85" w14:textId="77777777" w:rsidR="000D1FA9" w:rsidRPr="00242BF1" w:rsidRDefault="008116AF" w:rsidP="00E162A6">
      <w:pPr>
        <w:pStyle w:val="ListParagraph"/>
        <w:numPr>
          <w:ilvl w:val="1"/>
          <w:numId w:val="2"/>
        </w:numPr>
        <w:spacing w:before="240" w:after="240" w:line="240" w:lineRule="auto"/>
        <w:rPr>
          <w:rFonts w:ascii="Arial" w:hAnsi="Arial" w:cs="Arial"/>
        </w:rPr>
      </w:pPr>
      <w:r w:rsidRPr="00242BF1">
        <w:rPr>
          <w:rFonts w:ascii="Arial" w:hAnsi="Arial" w:cs="Arial"/>
        </w:rPr>
        <w:t>agree to waive compliance with the Extension Condition Precedent</w:t>
      </w:r>
      <w:r w:rsidR="000D1FA9" w:rsidRPr="00242BF1">
        <w:rPr>
          <w:rFonts w:ascii="Arial" w:hAnsi="Arial" w:cs="Arial"/>
        </w:rPr>
        <w:t>;</w:t>
      </w:r>
      <w:r w:rsidRPr="00242BF1">
        <w:rPr>
          <w:rFonts w:ascii="Arial" w:hAnsi="Arial" w:cs="Arial"/>
        </w:rPr>
        <w:t xml:space="preserve"> </w:t>
      </w:r>
      <w:r w:rsidR="000D1FA9" w:rsidRPr="00242BF1">
        <w:rPr>
          <w:rFonts w:ascii="Arial" w:hAnsi="Arial" w:cs="Arial"/>
        </w:rPr>
        <w:t>or</w:t>
      </w:r>
    </w:p>
    <w:p w14:paraId="4F20D172" w14:textId="0AFCA608" w:rsidR="000D1FA9" w:rsidRPr="00242BF1" w:rsidRDefault="00396A48" w:rsidP="00E162A6">
      <w:pPr>
        <w:pStyle w:val="ListParagraph"/>
        <w:numPr>
          <w:ilvl w:val="1"/>
          <w:numId w:val="2"/>
        </w:numPr>
        <w:spacing w:before="240" w:after="240" w:line="240" w:lineRule="auto"/>
        <w:rPr>
          <w:rFonts w:ascii="Arial" w:hAnsi="Arial" w:cs="Arial"/>
        </w:rPr>
      </w:pPr>
      <w:r w:rsidRPr="00242BF1">
        <w:rPr>
          <w:rFonts w:ascii="Arial" w:hAnsi="Arial" w:cs="Arial"/>
        </w:rPr>
        <w:t>extend</w:t>
      </w:r>
      <w:r w:rsidR="009C3650" w:rsidRPr="00242BF1">
        <w:rPr>
          <w:rFonts w:ascii="Arial" w:hAnsi="Arial" w:cs="Arial"/>
        </w:rPr>
        <w:t xml:space="preserve"> the deadline for compliance </w:t>
      </w:r>
      <w:r w:rsidR="002A68A5" w:rsidRPr="00242BF1">
        <w:rPr>
          <w:rFonts w:ascii="Arial" w:hAnsi="Arial" w:cs="Arial"/>
        </w:rPr>
        <w:t>with the E</w:t>
      </w:r>
      <w:r w:rsidR="00FB33ED" w:rsidRPr="00242BF1">
        <w:rPr>
          <w:rFonts w:ascii="Arial" w:hAnsi="Arial" w:cs="Arial"/>
        </w:rPr>
        <w:t>xtension Condition Precedent</w:t>
      </w:r>
      <w:r w:rsidR="001374EF" w:rsidRPr="00242BF1">
        <w:rPr>
          <w:rFonts w:ascii="Arial" w:hAnsi="Arial" w:cs="Arial"/>
        </w:rPr>
        <w:t xml:space="preserve"> to a date no later than 30 June </w:t>
      </w:r>
      <w:proofErr w:type="gramStart"/>
      <w:r w:rsidR="001374EF" w:rsidRPr="00242BF1">
        <w:rPr>
          <w:rFonts w:ascii="Arial" w:hAnsi="Arial" w:cs="Arial"/>
        </w:rPr>
        <w:t>2024</w:t>
      </w:r>
      <w:r w:rsidR="00FB33ED" w:rsidRPr="00242BF1">
        <w:rPr>
          <w:rFonts w:ascii="Arial" w:hAnsi="Arial" w:cs="Arial"/>
        </w:rPr>
        <w:t>;</w:t>
      </w:r>
      <w:proofErr w:type="gramEnd"/>
    </w:p>
    <w:p w14:paraId="2EBE4B39" w14:textId="7A91B851" w:rsidR="00A871AB" w:rsidRPr="00242BF1" w:rsidRDefault="005F1C5E" w:rsidP="00E162A6">
      <w:pPr>
        <w:spacing w:before="240" w:after="240"/>
        <w:ind w:firstLine="720"/>
      </w:pPr>
      <w:r w:rsidRPr="00242BF1">
        <w:t>by giving the Supplier notice in writing.</w:t>
      </w:r>
      <w:bookmarkEnd w:id="2"/>
    </w:p>
    <w:p w14:paraId="078F0133" w14:textId="45EB9239" w:rsidR="002C6C7E" w:rsidRPr="00242BF1"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242BF1">
        <w:rPr>
          <w:rFonts w:ascii="Arial" w:hAnsi="Arial" w:cs="Arial"/>
        </w:rPr>
        <w:t>The Supplier shall satisfy, or procure the satisfaction of, the Extension Condition Precedent as soon as possible</w:t>
      </w:r>
      <w:r w:rsidR="00E34C03" w:rsidRPr="00242BF1">
        <w:rPr>
          <w:rFonts w:ascii="Arial" w:hAnsi="Arial" w:cs="Arial"/>
        </w:rPr>
        <w:t xml:space="preserve">.  In the event that the Extension Condition Precedent is not satisfied </w:t>
      </w:r>
      <w:r w:rsidR="004F6C91" w:rsidRPr="00242BF1">
        <w:rPr>
          <w:rFonts w:ascii="Arial" w:hAnsi="Arial" w:cs="Arial"/>
        </w:rPr>
        <w:t xml:space="preserve">or waived </w:t>
      </w:r>
      <w:r w:rsidR="00DC76A7" w:rsidRPr="00242BF1">
        <w:rPr>
          <w:rFonts w:ascii="Arial" w:hAnsi="Arial" w:cs="Arial"/>
        </w:rPr>
        <w:t xml:space="preserve">by </w:t>
      </w:r>
      <w:r w:rsidR="00E04DBF" w:rsidRPr="00242BF1">
        <w:rPr>
          <w:rFonts w:ascii="Arial" w:hAnsi="Arial" w:cs="Arial"/>
        </w:rPr>
        <w:t xml:space="preserve">11:59pm on </w:t>
      </w:r>
      <w:r w:rsidR="006E3C77" w:rsidRPr="00242BF1">
        <w:rPr>
          <w:rFonts w:ascii="Arial" w:hAnsi="Arial" w:cs="Arial"/>
        </w:rPr>
        <w:t>14</w:t>
      </w:r>
      <w:r w:rsidR="00426735" w:rsidRPr="00242BF1">
        <w:rPr>
          <w:rFonts w:ascii="Arial" w:hAnsi="Arial" w:cs="Arial"/>
        </w:rPr>
        <w:t xml:space="preserve"> June 2024</w:t>
      </w:r>
      <w:r w:rsidR="00E116A6" w:rsidRPr="00242BF1">
        <w:rPr>
          <w:rFonts w:ascii="Arial" w:hAnsi="Arial" w:cs="Arial"/>
        </w:rPr>
        <w:t xml:space="preserve"> (or </w:t>
      </w:r>
      <w:r w:rsidR="009F434B" w:rsidRPr="00242BF1">
        <w:rPr>
          <w:rFonts w:ascii="Arial" w:hAnsi="Arial" w:cs="Arial"/>
        </w:rPr>
        <w:t>such</w:t>
      </w:r>
      <w:r w:rsidR="00F06332" w:rsidRPr="00242BF1">
        <w:rPr>
          <w:rFonts w:ascii="Arial" w:hAnsi="Arial" w:cs="Arial"/>
        </w:rPr>
        <w:t xml:space="preserve"> </w:t>
      </w:r>
      <w:r w:rsidR="00761E8C" w:rsidRPr="00242BF1">
        <w:rPr>
          <w:rFonts w:ascii="Arial" w:hAnsi="Arial" w:cs="Arial"/>
        </w:rPr>
        <w:t>extended</w:t>
      </w:r>
      <w:r w:rsidR="000B124A" w:rsidRPr="00242BF1">
        <w:rPr>
          <w:rFonts w:ascii="Arial" w:hAnsi="Arial" w:cs="Arial"/>
        </w:rPr>
        <w:t xml:space="preserve"> </w:t>
      </w:r>
      <w:r w:rsidR="006F756E" w:rsidRPr="00242BF1">
        <w:rPr>
          <w:rFonts w:ascii="Arial" w:hAnsi="Arial" w:cs="Arial"/>
        </w:rPr>
        <w:t xml:space="preserve">deadline </w:t>
      </w:r>
      <w:r w:rsidR="00F06332" w:rsidRPr="00242BF1">
        <w:rPr>
          <w:rFonts w:ascii="Arial" w:hAnsi="Arial" w:cs="Arial"/>
        </w:rPr>
        <w:t>notified by the Authority</w:t>
      </w:r>
      <w:r w:rsidR="00701450" w:rsidRPr="00242BF1">
        <w:rPr>
          <w:rFonts w:ascii="Arial" w:hAnsi="Arial" w:cs="Arial"/>
        </w:rPr>
        <w:t xml:space="preserve"> pursuant to paragraph </w:t>
      </w:r>
      <w:r w:rsidR="00701450" w:rsidRPr="00242BF1">
        <w:rPr>
          <w:rFonts w:ascii="Arial" w:hAnsi="Arial" w:cs="Arial"/>
        </w:rPr>
        <w:fldChar w:fldCharType="begin"/>
      </w:r>
      <w:r w:rsidR="00701450" w:rsidRPr="00242BF1">
        <w:rPr>
          <w:rFonts w:ascii="Arial" w:hAnsi="Arial" w:cs="Arial"/>
        </w:rPr>
        <w:instrText xml:space="preserve"> REF _Ref159952523 \r \h </w:instrText>
      </w:r>
      <w:r w:rsidR="00030321" w:rsidRPr="00242BF1">
        <w:rPr>
          <w:rFonts w:ascii="Arial" w:hAnsi="Arial" w:cs="Arial"/>
        </w:rPr>
        <w:instrText xml:space="preserve"> \* MERGEFORMAT </w:instrText>
      </w:r>
      <w:r w:rsidR="00701450" w:rsidRPr="00242BF1">
        <w:rPr>
          <w:rFonts w:ascii="Arial" w:hAnsi="Arial" w:cs="Arial"/>
        </w:rPr>
      </w:r>
      <w:r w:rsidR="00701450" w:rsidRPr="00242BF1">
        <w:rPr>
          <w:rFonts w:ascii="Arial" w:hAnsi="Arial" w:cs="Arial"/>
        </w:rPr>
        <w:fldChar w:fldCharType="separate"/>
      </w:r>
      <w:r w:rsidR="00701450" w:rsidRPr="00242BF1">
        <w:rPr>
          <w:rFonts w:ascii="Arial" w:hAnsi="Arial" w:cs="Arial"/>
        </w:rPr>
        <w:t>10</w:t>
      </w:r>
      <w:r w:rsidR="00701450" w:rsidRPr="00242BF1">
        <w:rPr>
          <w:rFonts w:ascii="Arial" w:hAnsi="Arial" w:cs="Arial"/>
        </w:rPr>
        <w:fldChar w:fldCharType="end"/>
      </w:r>
      <w:r w:rsidR="00701450" w:rsidRPr="00242BF1">
        <w:rPr>
          <w:rFonts w:ascii="Arial" w:hAnsi="Arial" w:cs="Arial"/>
        </w:rPr>
        <w:t xml:space="preserve"> above</w:t>
      </w:r>
      <w:r w:rsidR="00F345C2" w:rsidRPr="00242BF1">
        <w:rPr>
          <w:rFonts w:ascii="Arial" w:hAnsi="Arial" w:cs="Arial"/>
        </w:rPr>
        <w:t>)</w:t>
      </w:r>
      <w:r w:rsidR="00C5312D" w:rsidRPr="00242BF1">
        <w:rPr>
          <w:rFonts w:ascii="Arial" w:hAnsi="Arial" w:cs="Arial"/>
        </w:rPr>
        <w:t xml:space="preserve"> (</w:t>
      </w:r>
      <w:r w:rsidR="00C5312D" w:rsidRPr="00242BF1">
        <w:rPr>
          <w:rFonts w:ascii="Arial" w:hAnsi="Arial" w:cs="Arial"/>
          <w:b/>
          <w:bCs/>
        </w:rPr>
        <w:t>the</w:t>
      </w:r>
      <w:r w:rsidR="00C5312D" w:rsidRPr="00242BF1">
        <w:rPr>
          <w:rFonts w:ascii="Arial" w:hAnsi="Arial" w:cs="Arial"/>
        </w:rPr>
        <w:t xml:space="preserve"> </w:t>
      </w:r>
      <w:r w:rsidR="00C5312D" w:rsidRPr="00242BF1">
        <w:rPr>
          <w:rFonts w:ascii="Arial" w:hAnsi="Arial" w:cs="Arial"/>
          <w:b/>
          <w:bCs/>
        </w:rPr>
        <w:t>“CP Deadline”</w:t>
      </w:r>
      <w:r w:rsidR="00C5312D" w:rsidRPr="00242BF1">
        <w:rPr>
          <w:rFonts w:ascii="Arial" w:hAnsi="Arial" w:cs="Arial"/>
        </w:rPr>
        <w:t>)</w:t>
      </w:r>
      <w:r w:rsidR="003146CE" w:rsidRPr="00242BF1">
        <w:rPr>
          <w:rFonts w:ascii="Arial" w:hAnsi="Arial" w:cs="Arial"/>
        </w:rPr>
        <w:t xml:space="preserve">, </w:t>
      </w:r>
      <w:r w:rsidR="00D249B3" w:rsidRPr="00242BF1">
        <w:rPr>
          <w:rFonts w:ascii="Arial" w:hAnsi="Arial" w:cs="Arial"/>
        </w:rPr>
        <w:t xml:space="preserve">the Amendments </w:t>
      </w:r>
      <w:r w:rsidR="002001EB" w:rsidRPr="00242BF1">
        <w:rPr>
          <w:rFonts w:ascii="Arial" w:hAnsi="Arial" w:cs="Arial"/>
        </w:rPr>
        <w:t>(including the extension</w:t>
      </w:r>
      <w:r w:rsidR="00761E8C" w:rsidRPr="00242BF1">
        <w:rPr>
          <w:rFonts w:ascii="Arial" w:hAnsi="Arial" w:cs="Arial"/>
        </w:rPr>
        <w:t xml:space="preserve"> of the Contract</w:t>
      </w:r>
      <w:r w:rsidR="002001EB" w:rsidRPr="00242BF1">
        <w:rPr>
          <w:rFonts w:ascii="Arial" w:hAnsi="Arial" w:cs="Arial"/>
        </w:rPr>
        <w:t xml:space="preserve">) </w:t>
      </w:r>
      <w:r w:rsidR="00D249B3" w:rsidRPr="00242BF1">
        <w:rPr>
          <w:rFonts w:ascii="Arial" w:hAnsi="Arial" w:cs="Arial"/>
        </w:rPr>
        <w:t xml:space="preserve">shall </w:t>
      </w:r>
      <w:r w:rsidR="00897DD1" w:rsidRPr="00242BF1">
        <w:rPr>
          <w:rFonts w:ascii="Arial" w:hAnsi="Arial" w:cs="Arial"/>
        </w:rPr>
        <w:t xml:space="preserve">not come into effect and this </w:t>
      </w:r>
      <w:r w:rsidR="0017303F" w:rsidRPr="00242BF1">
        <w:rPr>
          <w:rFonts w:ascii="Arial" w:hAnsi="Arial" w:cs="Arial"/>
        </w:rPr>
        <w:t>5a-116-A10</w:t>
      </w:r>
      <w:r w:rsidR="00897DD1" w:rsidRPr="00242BF1">
        <w:rPr>
          <w:rFonts w:ascii="Arial" w:hAnsi="Arial" w:cs="Arial"/>
        </w:rPr>
        <w:t xml:space="preserve"> shall</w:t>
      </w:r>
      <w:r w:rsidR="003A2C14" w:rsidRPr="00242BF1">
        <w:rPr>
          <w:rFonts w:ascii="Arial" w:hAnsi="Arial" w:cs="Arial"/>
        </w:rPr>
        <w:t xml:space="preserve"> automatically terminate.</w:t>
      </w:r>
      <w:bookmarkEnd w:id="4"/>
      <w:r w:rsidR="00153EEB" w:rsidRPr="00242BF1">
        <w:t xml:space="preserve"> </w:t>
      </w:r>
    </w:p>
    <w:p w14:paraId="19B81C1E" w14:textId="47C1EBDC" w:rsidR="006F3ECC" w:rsidRPr="00242BF1"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242BF1">
        <w:rPr>
          <w:rFonts w:ascii="Arial" w:hAnsi="Arial" w:cs="Arial"/>
        </w:rPr>
        <w:t xml:space="preserve">Subject to paragraph </w:t>
      </w:r>
      <w:r w:rsidRPr="00242BF1">
        <w:rPr>
          <w:rFonts w:ascii="Arial" w:hAnsi="Arial" w:cs="Arial"/>
        </w:rPr>
        <w:fldChar w:fldCharType="begin"/>
      </w:r>
      <w:r w:rsidRPr="00242BF1">
        <w:rPr>
          <w:rFonts w:ascii="Arial" w:hAnsi="Arial" w:cs="Arial"/>
        </w:rPr>
        <w:instrText xml:space="preserve"> REF _Ref167114817 \r \h </w:instrText>
      </w:r>
      <w:r w:rsidR="00D44A23" w:rsidRPr="00242BF1">
        <w:rPr>
          <w:rFonts w:ascii="Arial" w:hAnsi="Arial" w:cs="Arial"/>
        </w:rPr>
        <w:instrText xml:space="preserve"> \* MERGEFORMAT </w:instrText>
      </w:r>
      <w:r w:rsidRPr="00242BF1">
        <w:rPr>
          <w:rFonts w:ascii="Arial" w:hAnsi="Arial" w:cs="Arial"/>
        </w:rPr>
      </w:r>
      <w:r w:rsidRPr="00242BF1">
        <w:rPr>
          <w:rFonts w:ascii="Arial" w:hAnsi="Arial" w:cs="Arial"/>
        </w:rPr>
        <w:fldChar w:fldCharType="separate"/>
      </w:r>
      <w:r w:rsidRPr="00242BF1">
        <w:rPr>
          <w:rFonts w:ascii="Arial" w:hAnsi="Arial" w:cs="Arial"/>
        </w:rPr>
        <w:t>14</w:t>
      </w:r>
      <w:r w:rsidRPr="00242BF1">
        <w:rPr>
          <w:rFonts w:ascii="Arial" w:hAnsi="Arial" w:cs="Arial"/>
        </w:rPr>
        <w:fldChar w:fldCharType="end"/>
      </w:r>
      <w:r w:rsidRPr="00242BF1">
        <w:rPr>
          <w:rFonts w:ascii="Arial" w:hAnsi="Arial" w:cs="Arial"/>
        </w:rPr>
        <w:t>, i</w:t>
      </w:r>
      <w:r w:rsidR="001B098D" w:rsidRPr="00242BF1">
        <w:rPr>
          <w:rFonts w:ascii="Arial" w:hAnsi="Arial" w:cs="Arial"/>
        </w:rPr>
        <w:t xml:space="preserve">n the event </w:t>
      </w:r>
      <w:r w:rsidR="00A16B91" w:rsidRPr="00242BF1">
        <w:rPr>
          <w:rFonts w:ascii="Arial" w:hAnsi="Arial" w:cs="Arial"/>
        </w:rPr>
        <w:t xml:space="preserve">the Extension Condition Precedent is </w:t>
      </w:r>
      <w:r w:rsidR="00387960" w:rsidRPr="00242BF1">
        <w:rPr>
          <w:rFonts w:ascii="Arial" w:hAnsi="Arial" w:cs="Arial"/>
        </w:rPr>
        <w:t xml:space="preserve">satisfied </w:t>
      </w:r>
      <w:r w:rsidR="008E1DAD" w:rsidRPr="00242BF1">
        <w:rPr>
          <w:rFonts w:ascii="Arial" w:hAnsi="Arial" w:cs="Arial"/>
        </w:rPr>
        <w:t>before the CP Deadline</w:t>
      </w:r>
      <w:r w:rsidR="007A1631" w:rsidRPr="00242BF1">
        <w:rPr>
          <w:rFonts w:ascii="Arial" w:hAnsi="Arial" w:cs="Arial"/>
        </w:rPr>
        <w:t xml:space="preserve">, </w:t>
      </w:r>
      <w:r w:rsidR="00690FB6" w:rsidRPr="00242BF1">
        <w:rPr>
          <w:rFonts w:ascii="Arial" w:hAnsi="Arial" w:cs="Arial"/>
        </w:rPr>
        <w:t xml:space="preserve">and in consideration of the same, </w:t>
      </w:r>
      <w:r w:rsidR="007A1631" w:rsidRPr="00242BF1">
        <w:rPr>
          <w:rFonts w:ascii="Arial" w:hAnsi="Arial" w:cs="Arial"/>
        </w:rPr>
        <w:t>the Authority</w:t>
      </w:r>
      <w:r w:rsidR="0064016B" w:rsidRPr="00242BF1">
        <w:rPr>
          <w:rFonts w:ascii="Arial" w:hAnsi="Arial" w:cs="Arial"/>
        </w:rPr>
        <w:t xml:space="preserve"> agrees</w:t>
      </w:r>
      <w:r w:rsidR="00F30114" w:rsidRPr="00242BF1">
        <w:rPr>
          <w:rFonts w:ascii="Arial" w:hAnsi="Arial" w:cs="Arial"/>
        </w:rPr>
        <w:t xml:space="preserve"> that</w:t>
      </w:r>
      <w:r w:rsidR="00953244" w:rsidRPr="00242BF1">
        <w:rPr>
          <w:rFonts w:ascii="Arial" w:hAnsi="Arial" w:cs="Arial"/>
        </w:rPr>
        <w:t xml:space="preserve"> upon delivery of the validly executed Replacement Guarantee</w:t>
      </w:r>
      <w:r w:rsidR="007D77AF" w:rsidRPr="00242BF1">
        <w:rPr>
          <w:rFonts w:ascii="Arial" w:hAnsi="Arial" w:cs="Arial"/>
        </w:rPr>
        <w:t>:</w:t>
      </w:r>
      <w:bookmarkEnd w:id="5"/>
    </w:p>
    <w:p w14:paraId="66B385B9" w14:textId="71F45C80" w:rsidR="00A32BE9" w:rsidRPr="00242BF1" w:rsidRDefault="001B2E0A" w:rsidP="00E162A6">
      <w:pPr>
        <w:pStyle w:val="ListParagraph"/>
        <w:numPr>
          <w:ilvl w:val="1"/>
          <w:numId w:val="2"/>
        </w:numPr>
        <w:spacing w:before="240" w:after="240" w:line="240" w:lineRule="auto"/>
        <w:rPr>
          <w:rFonts w:ascii="Arial" w:hAnsi="Arial" w:cs="Arial"/>
        </w:rPr>
      </w:pPr>
      <w:r w:rsidRPr="00242BF1">
        <w:rPr>
          <w:rFonts w:ascii="Arial" w:hAnsi="Arial" w:cs="Arial"/>
        </w:rPr>
        <w:t xml:space="preserve">the </w:t>
      </w:r>
      <w:r w:rsidR="00B312FB" w:rsidRPr="00242BF1">
        <w:rPr>
          <w:rFonts w:ascii="Arial" w:hAnsi="Arial" w:cs="Arial"/>
        </w:rPr>
        <w:t xml:space="preserve">guarantee </w:t>
      </w:r>
      <w:r w:rsidR="00AE444F" w:rsidRPr="00242BF1">
        <w:rPr>
          <w:rFonts w:ascii="Arial" w:hAnsi="Arial" w:cs="Arial"/>
        </w:rPr>
        <w:t xml:space="preserve">in respect of the </w:t>
      </w:r>
      <w:r w:rsidR="00A87418" w:rsidRPr="00242BF1">
        <w:rPr>
          <w:rFonts w:ascii="Arial" w:hAnsi="Arial" w:cs="Arial"/>
        </w:rPr>
        <w:t>C</w:t>
      </w:r>
      <w:r w:rsidR="00AE444F" w:rsidRPr="00242BF1">
        <w:rPr>
          <w:rFonts w:ascii="Arial" w:hAnsi="Arial" w:cs="Arial"/>
        </w:rPr>
        <w:t xml:space="preserve">ontract </w:t>
      </w:r>
      <w:r w:rsidR="00564B76" w:rsidRPr="00242BF1">
        <w:rPr>
          <w:rFonts w:ascii="Arial" w:hAnsi="Arial" w:cs="Arial"/>
        </w:rPr>
        <w:t xml:space="preserve">executed by the Guarantor </w:t>
      </w:r>
      <w:r w:rsidR="00A57D9A" w:rsidRPr="00242BF1">
        <w:rPr>
          <w:rFonts w:ascii="Arial" w:hAnsi="Arial" w:cs="Arial"/>
        </w:rPr>
        <w:t xml:space="preserve">on </w:t>
      </w:r>
      <w:r w:rsidR="00772D56" w:rsidRPr="00242BF1">
        <w:rPr>
          <w:rFonts w:ascii="Arial" w:hAnsi="Arial" w:cs="Arial"/>
        </w:rPr>
        <w:t>26 April 2021</w:t>
      </w:r>
      <w:r w:rsidR="00283504" w:rsidRPr="00242BF1">
        <w:rPr>
          <w:rFonts w:ascii="Arial" w:hAnsi="Arial" w:cs="Arial"/>
        </w:rPr>
        <w:t xml:space="preserve"> </w:t>
      </w:r>
      <w:r w:rsidR="001628E5" w:rsidRPr="00242BF1">
        <w:rPr>
          <w:rFonts w:ascii="Arial" w:hAnsi="Arial" w:cs="Arial"/>
        </w:rPr>
        <w:t>(</w:t>
      </w:r>
      <w:r w:rsidR="001628E5" w:rsidRPr="00242BF1">
        <w:rPr>
          <w:rFonts w:ascii="Arial" w:hAnsi="Arial" w:cs="Arial"/>
          <w:b/>
          <w:bCs/>
        </w:rPr>
        <w:t>the “Original Guarantee”</w:t>
      </w:r>
      <w:r w:rsidR="001628E5" w:rsidRPr="00242BF1">
        <w:rPr>
          <w:rFonts w:ascii="Arial" w:hAnsi="Arial" w:cs="Arial"/>
        </w:rPr>
        <w:t xml:space="preserve">) </w:t>
      </w:r>
      <w:r w:rsidR="00283504" w:rsidRPr="00242BF1">
        <w:rPr>
          <w:rFonts w:ascii="Arial" w:hAnsi="Arial" w:cs="Arial"/>
        </w:rPr>
        <w:t xml:space="preserve">shall </w:t>
      </w:r>
      <w:r w:rsidR="00B1402D" w:rsidRPr="00242BF1">
        <w:rPr>
          <w:rFonts w:ascii="Arial" w:hAnsi="Arial" w:cs="Arial"/>
        </w:rPr>
        <w:t>terminate</w:t>
      </w:r>
      <w:r w:rsidR="008518D3" w:rsidRPr="00242BF1">
        <w:rPr>
          <w:rFonts w:ascii="Arial" w:hAnsi="Arial" w:cs="Arial"/>
        </w:rPr>
        <w:t>; and</w:t>
      </w:r>
      <w:r w:rsidR="00A32BE9" w:rsidRPr="00242BF1">
        <w:rPr>
          <w:rFonts w:ascii="Arial" w:hAnsi="Arial" w:cs="Arial"/>
        </w:rPr>
        <w:t xml:space="preserve"> </w:t>
      </w:r>
    </w:p>
    <w:p w14:paraId="74BDBE28" w14:textId="7582219F" w:rsidR="00070D91" w:rsidRPr="00242BF1" w:rsidRDefault="00441F20" w:rsidP="00E162A6">
      <w:pPr>
        <w:pStyle w:val="ListParagraph"/>
        <w:numPr>
          <w:ilvl w:val="1"/>
          <w:numId w:val="2"/>
        </w:numPr>
        <w:spacing w:before="240" w:after="240" w:line="240" w:lineRule="auto"/>
        <w:rPr>
          <w:rFonts w:ascii="Arial" w:hAnsi="Arial" w:cs="Arial"/>
        </w:rPr>
      </w:pPr>
      <w:r w:rsidRPr="00242BF1">
        <w:rPr>
          <w:rFonts w:ascii="Arial" w:hAnsi="Arial" w:cs="Arial"/>
        </w:rPr>
        <w:t>the Guarantor shall be released</w:t>
      </w:r>
      <w:r w:rsidR="00533EF6" w:rsidRPr="00242BF1">
        <w:rPr>
          <w:rFonts w:ascii="Arial" w:hAnsi="Arial" w:cs="Arial"/>
        </w:rPr>
        <w:t xml:space="preserve"> </w:t>
      </w:r>
      <w:r w:rsidR="00191DC9" w:rsidRPr="00242BF1">
        <w:rPr>
          <w:rFonts w:ascii="Arial" w:hAnsi="Arial" w:cs="Arial"/>
        </w:rPr>
        <w:t xml:space="preserve">from all liability </w:t>
      </w:r>
      <w:r w:rsidR="003E3D96" w:rsidRPr="00242BF1">
        <w:rPr>
          <w:rFonts w:ascii="Arial" w:hAnsi="Arial" w:cs="Arial"/>
        </w:rPr>
        <w:t>under the Original Guarantee (provided th</w:t>
      </w:r>
      <w:r w:rsidR="00FA0443" w:rsidRPr="00242BF1">
        <w:rPr>
          <w:rFonts w:ascii="Arial" w:hAnsi="Arial" w:cs="Arial"/>
        </w:rPr>
        <w:t xml:space="preserve">at </w:t>
      </w:r>
      <w:r w:rsidR="00B01D76" w:rsidRPr="00242BF1">
        <w:rPr>
          <w:rFonts w:ascii="Arial" w:hAnsi="Arial" w:cs="Arial"/>
        </w:rPr>
        <w:t xml:space="preserve">nothing in this paragraph </w:t>
      </w:r>
      <w:r w:rsidR="00B01D76" w:rsidRPr="00242BF1">
        <w:rPr>
          <w:rFonts w:ascii="Arial" w:hAnsi="Arial" w:cs="Arial"/>
        </w:rPr>
        <w:fldChar w:fldCharType="begin"/>
      </w:r>
      <w:r w:rsidR="00B01D76" w:rsidRPr="00242BF1">
        <w:rPr>
          <w:rFonts w:ascii="Arial" w:hAnsi="Arial" w:cs="Arial"/>
        </w:rPr>
        <w:instrText xml:space="preserve"> REF _Ref167092430 \r \h </w:instrText>
      </w:r>
      <w:r w:rsidR="00D44A23" w:rsidRPr="00242BF1">
        <w:rPr>
          <w:rFonts w:ascii="Arial" w:hAnsi="Arial" w:cs="Arial"/>
        </w:rPr>
        <w:instrText xml:space="preserve"> \* MERGEFORMAT </w:instrText>
      </w:r>
      <w:r w:rsidR="00B01D76" w:rsidRPr="00242BF1">
        <w:rPr>
          <w:rFonts w:ascii="Arial" w:hAnsi="Arial" w:cs="Arial"/>
        </w:rPr>
      </w:r>
      <w:r w:rsidR="00B01D76" w:rsidRPr="00242BF1">
        <w:rPr>
          <w:rFonts w:ascii="Arial" w:hAnsi="Arial" w:cs="Arial"/>
        </w:rPr>
        <w:fldChar w:fldCharType="separate"/>
      </w:r>
      <w:r w:rsidR="00B01D76" w:rsidRPr="00242BF1">
        <w:rPr>
          <w:rFonts w:ascii="Arial" w:hAnsi="Arial" w:cs="Arial"/>
        </w:rPr>
        <w:t>12</w:t>
      </w:r>
      <w:r w:rsidR="00B01D76" w:rsidRPr="00242BF1">
        <w:rPr>
          <w:rFonts w:ascii="Arial" w:hAnsi="Arial" w:cs="Arial"/>
        </w:rPr>
        <w:fldChar w:fldCharType="end"/>
      </w:r>
      <w:r w:rsidR="00FA0443" w:rsidRPr="00242BF1">
        <w:rPr>
          <w:rFonts w:ascii="Arial" w:hAnsi="Arial" w:cs="Arial"/>
        </w:rPr>
        <w:t xml:space="preserve"> </w:t>
      </w:r>
      <w:r w:rsidR="00EF3169" w:rsidRPr="00242BF1">
        <w:rPr>
          <w:rFonts w:ascii="Arial" w:hAnsi="Arial" w:cs="Arial"/>
        </w:rPr>
        <w:t>shall affect</w:t>
      </w:r>
      <w:r w:rsidR="00A57634" w:rsidRPr="00242BF1">
        <w:rPr>
          <w:rFonts w:ascii="Arial" w:hAnsi="Arial" w:cs="Arial"/>
        </w:rPr>
        <w:t xml:space="preserve"> or reduce</w:t>
      </w:r>
      <w:r w:rsidR="00EF3169" w:rsidRPr="00242BF1">
        <w:rPr>
          <w:rFonts w:ascii="Arial" w:hAnsi="Arial" w:cs="Arial"/>
        </w:rPr>
        <w:t xml:space="preserve"> the Guarantor’s liability </w:t>
      </w:r>
      <w:r w:rsidR="005A31CF" w:rsidRPr="00242BF1">
        <w:rPr>
          <w:rFonts w:ascii="Arial" w:hAnsi="Arial" w:cs="Arial"/>
        </w:rPr>
        <w:t>under the Replacement Guar</w:t>
      </w:r>
      <w:r w:rsidR="00B01D76" w:rsidRPr="00242BF1">
        <w:rPr>
          <w:rFonts w:ascii="Arial" w:hAnsi="Arial" w:cs="Arial"/>
        </w:rPr>
        <w:t>antee)</w:t>
      </w:r>
      <w:r w:rsidR="008518D3" w:rsidRPr="00242BF1">
        <w:rPr>
          <w:rFonts w:ascii="Arial" w:hAnsi="Arial" w:cs="Arial"/>
        </w:rPr>
        <w:t>.</w:t>
      </w:r>
    </w:p>
    <w:p w14:paraId="465E2931" w14:textId="1C50D4A3" w:rsidR="00E3252C" w:rsidRPr="00242BF1" w:rsidRDefault="00E34E31" w:rsidP="00E162A6">
      <w:pPr>
        <w:pStyle w:val="ListParagraph"/>
        <w:numPr>
          <w:ilvl w:val="0"/>
          <w:numId w:val="3"/>
        </w:numPr>
        <w:spacing w:before="240" w:after="240" w:line="240" w:lineRule="auto"/>
        <w:ind w:hanging="720"/>
        <w:rPr>
          <w:rFonts w:ascii="Arial" w:hAnsi="Arial" w:cs="Arial"/>
        </w:rPr>
      </w:pPr>
      <w:r w:rsidRPr="00242BF1">
        <w:rPr>
          <w:rFonts w:ascii="Arial" w:hAnsi="Arial" w:cs="Arial"/>
        </w:rPr>
        <w:t>T</w:t>
      </w:r>
      <w:r w:rsidR="00AC4883" w:rsidRPr="00242BF1">
        <w:rPr>
          <w:rFonts w:ascii="Arial" w:hAnsi="Arial" w:cs="Arial"/>
        </w:rPr>
        <w:t xml:space="preserve">he </w:t>
      </w:r>
      <w:r w:rsidR="00C702E9" w:rsidRPr="00242BF1">
        <w:rPr>
          <w:rFonts w:ascii="Arial" w:hAnsi="Arial" w:cs="Arial"/>
        </w:rPr>
        <w:t>p</w:t>
      </w:r>
      <w:r w:rsidR="00A63F25" w:rsidRPr="00242BF1">
        <w:rPr>
          <w:rFonts w:ascii="Arial" w:hAnsi="Arial" w:cs="Arial"/>
        </w:rPr>
        <w:t>arties agree that</w:t>
      </w:r>
      <w:r w:rsidR="00DC6F18" w:rsidRPr="00242BF1">
        <w:rPr>
          <w:rFonts w:ascii="Arial" w:hAnsi="Arial" w:cs="Arial"/>
        </w:rPr>
        <w:t xml:space="preserve"> paragraph </w:t>
      </w:r>
      <w:r w:rsidR="00965E95" w:rsidRPr="00242BF1">
        <w:rPr>
          <w:rFonts w:ascii="Arial" w:hAnsi="Arial" w:cs="Arial"/>
        </w:rPr>
        <w:fldChar w:fldCharType="begin"/>
      </w:r>
      <w:r w:rsidR="00965E95" w:rsidRPr="00242BF1">
        <w:rPr>
          <w:rFonts w:ascii="Arial" w:hAnsi="Arial" w:cs="Arial"/>
        </w:rPr>
        <w:instrText xml:space="preserve"> REF _Ref167092430 \r \h </w:instrText>
      </w:r>
      <w:r w:rsidR="00D44A23" w:rsidRPr="00242BF1">
        <w:rPr>
          <w:rFonts w:ascii="Arial" w:hAnsi="Arial" w:cs="Arial"/>
        </w:rPr>
        <w:instrText xml:space="preserve"> \* MERGEFORMAT </w:instrText>
      </w:r>
      <w:r w:rsidR="00965E95" w:rsidRPr="00242BF1">
        <w:rPr>
          <w:rFonts w:ascii="Arial" w:hAnsi="Arial" w:cs="Arial"/>
        </w:rPr>
      </w:r>
      <w:r w:rsidR="00965E95" w:rsidRPr="00242BF1">
        <w:rPr>
          <w:rFonts w:ascii="Arial" w:hAnsi="Arial" w:cs="Arial"/>
        </w:rPr>
        <w:fldChar w:fldCharType="separate"/>
      </w:r>
      <w:r w:rsidR="00965E95" w:rsidRPr="00242BF1">
        <w:rPr>
          <w:rFonts w:ascii="Arial" w:hAnsi="Arial" w:cs="Arial"/>
        </w:rPr>
        <w:t>12</w:t>
      </w:r>
      <w:r w:rsidR="00965E95" w:rsidRPr="00242BF1">
        <w:rPr>
          <w:rFonts w:ascii="Arial" w:hAnsi="Arial" w:cs="Arial"/>
        </w:rPr>
        <w:fldChar w:fldCharType="end"/>
      </w:r>
      <w:r w:rsidR="00965E95" w:rsidRPr="00242BF1">
        <w:rPr>
          <w:rFonts w:ascii="Arial" w:hAnsi="Arial" w:cs="Arial"/>
        </w:rPr>
        <w:t xml:space="preserve"> confers benefits on </w:t>
      </w:r>
      <w:r w:rsidR="005928F5" w:rsidRPr="00242BF1">
        <w:rPr>
          <w:rFonts w:ascii="Arial" w:hAnsi="Arial" w:cs="Arial"/>
        </w:rPr>
        <w:t xml:space="preserve">the Guarantor </w:t>
      </w:r>
      <w:r w:rsidR="00A513D1" w:rsidRPr="00242BF1">
        <w:rPr>
          <w:rFonts w:ascii="Arial" w:hAnsi="Arial" w:cs="Arial"/>
        </w:rPr>
        <w:t xml:space="preserve">and is </w:t>
      </w:r>
      <w:r w:rsidR="005928F5" w:rsidRPr="00242BF1">
        <w:rPr>
          <w:rFonts w:ascii="Arial" w:hAnsi="Arial" w:cs="Arial"/>
        </w:rPr>
        <w:t xml:space="preserve">intended to be enforceable </w:t>
      </w:r>
      <w:r w:rsidR="00D2756F" w:rsidRPr="00242BF1">
        <w:rPr>
          <w:rFonts w:ascii="Arial" w:hAnsi="Arial" w:cs="Arial"/>
        </w:rPr>
        <w:t>by the Guarantor by virtue of CRTPA</w:t>
      </w:r>
      <w:r w:rsidR="00810355" w:rsidRPr="00242BF1">
        <w:rPr>
          <w:rFonts w:ascii="Arial" w:hAnsi="Arial" w:cs="Arial"/>
        </w:rPr>
        <w:t>.</w:t>
      </w:r>
    </w:p>
    <w:p w14:paraId="71EBAA90" w14:textId="367A52CD" w:rsidR="00667081" w:rsidRPr="00242BF1"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242BF1">
        <w:rPr>
          <w:rFonts w:ascii="Arial" w:hAnsi="Arial" w:cs="Arial"/>
        </w:rPr>
        <w:t>The</w:t>
      </w:r>
      <w:r w:rsidR="002100D5" w:rsidRPr="00242BF1">
        <w:rPr>
          <w:rFonts w:ascii="Arial" w:hAnsi="Arial" w:cs="Arial"/>
        </w:rPr>
        <w:t xml:space="preserve"> </w:t>
      </w:r>
      <w:r w:rsidR="005E3A5B" w:rsidRPr="00242BF1">
        <w:rPr>
          <w:rFonts w:ascii="Arial" w:hAnsi="Arial" w:cs="Arial"/>
        </w:rPr>
        <w:t xml:space="preserve">termination and </w:t>
      </w:r>
      <w:r w:rsidR="002100D5" w:rsidRPr="00242BF1">
        <w:rPr>
          <w:rFonts w:ascii="Arial" w:hAnsi="Arial" w:cs="Arial"/>
        </w:rPr>
        <w:t xml:space="preserve">release </w:t>
      </w:r>
      <w:r w:rsidRPr="00242BF1">
        <w:rPr>
          <w:rFonts w:ascii="Arial" w:hAnsi="Arial" w:cs="Arial"/>
        </w:rPr>
        <w:t xml:space="preserve">of the Original Guarantee </w:t>
      </w:r>
      <w:r w:rsidR="002100D5" w:rsidRPr="00242BF1">
        <w:rPr>
          <w:rFonts w:ascii="Arial" w:hAnsi="Arial" w:cs="Arial"/>
        </w:rPr>
        <w:t xml:space="preserve">is conditional on </w:t>
      </w:r>
      <w:r w:rsidR="00DC6FF1" w:rsidRPr="00242BF1">
        <w:rPr>
          <w:rFonts w:ascii="Arial" w:hAnsi="Arial" w:cs="Arial"/>
        </w:rPr>
        <w:t>the grant</w:t>
      </w:r>
      <w:r w:rsidR="009773ED" w:rsidRPr="00242BF1">
        <w:rPr>
          <w:rFonts w:ascii="Arial" w:hAnsi="Arial" w:cs="Arial"/>
        </w:rPr>
        <w:t xml:space="preserve"> of the Replacement Guarantee</w:t>
      </w:r>
      <w:r w:rsidR="002100D5" w:rsidRPr="00242BF1">
        <w:rPr>
          <w:rFonts w:ascii="Arial" w:hAnsi="Arial" w:cs="Arial"/>
        </w:rPr>
        <w:t xml:space="preserve"> to the </w:t>
      </w:r>
      <w:r w:rsidR="009773ED" w:rsidRPr="00242BF1">
        <w:rPr>
          <w:rFonts w:ascii="Arial" w:hAnsi="Arial" w:cs="Arial"/>
        </w:rPr>
        <w:t>Authority</w:t>
      </w:r>
      <w:r w:rsidR="002100D5" w:rsidRPr="00242BF1">
        <w:rPr>
          <w:rFonts w:ascii="Arial" w:hAnsi="Arial" w:cs="Arial"/>
        </w:rPr>
        <w:t xml:space="preserve"> not being avoided or reduced by any provision or enactment relating to the insolvency or liquidation of the </w:t>
      </w:r>
      <w:r w:rsidR="009773ED" w:rsidRPr="00242BF1">
        <w:rPr>
          <w:rFonts w:ascii="Arial" w:hAnsi="Arial" w:cs="Arial"/>
        </w:rPr>
        <w:t>Guarantor</w:t>
      </w:r>
      <w:r w:rsidR="002100D5" w:rsidRPr="00242BF1">
        <w:rPr>
          <w:rFonts w:ascii="Arial" w:hAnsi="Arial" w:cs="Arial"/>
        </w:rPr>
        <w:t>.</w:t>
      </w:r>
      <w:r w:rsidR="00FF4395" w:rsidRPr="00242BF1">
        <w:rPr>
          <w:rFonts w:ascii="Arial" w:hAnsi="Arial" w:cs="Arial"/>
        </w:rPr>
        <w:t xml:space="preserve">  </w:t>
      </w:r>
      <w:r w:rsidR="002100D5" w:rsidRPr="00242BF1">
        <w:rPr>
          <w:rFonts w:ascii="Arial" w:hAnsi="Arial" w:cs="Arial"/>
        </w:rPr>
        <w:t xml:space="preserve">If any avoidance or reduction of the </w:t>
      </w:r>
      <w:r w:rsidR="0075751E" w:rsidRPr="00242BF1">
        <w:rPr>
          <w:rFonts w:ascii="Arial" w:hAnsi="Arial" w:cs="Arial"/>
        </w:rPr>
        <w:t>grant of the Replacement Guarantee</w:t>
      </w:r>
      <w:r w:rsidR="002100D5" w:rsidRPr="00242BF1">
        <w:rPr>
          <w:rFonts w:ascii="Arial" w:hAnsi="Arial" w:cs="Arial"/>
        </w:rPr>
        <w:t xml:space="preserve"> should occur, the </w:t>
      </w:r>
      <w:r w:rsidR="009773ED" w:rsidRPr="00242BF1">
        <w:rPr>
          <w:rFonts w:ascii="Arial" w:hAnsi="Arial" w:cs="Arial"/>
        </w:rPr>
        <w:t>Authority</w:t>
      </w:r>
      <w:r w:rsidR="002100D5" w:rsidRPr="00242BF1">
        <w:rPr>
          <w:rFonts w:ascii="Arial" w:hAnsi="Arial" w:cs="Arial"/>
        </w:rPr>
        <w:t xml:space="preserve"> may </w:t>
      </w:r>
      <w:r w:rsidRPr="00242BF1">
        <w:rPr>
          <w:rFonts w:ascii="Arial" w:hAnsi="Arial" w:cs="Arial"/>
        </w:rPr>
        <w:t>rely on the Original Guarantee</w:t>
      </w:r>
      <w:r w:rsidR="002100D5" w:rsidRPr="00242BF1">
        <w:rPr>
          <w:rFonts w:ascii="Arial" w:hAnsi="Arial" w:cs="Arial"/>
        </w:rPr>
        <w:t xml:space="preserve"> as if this</w:t>
      </w:r>
      <w:r w:rsidR="00DE3A3F" w:rsidRPr="00242BF1">
        <w:rPr>
          <w:rFonts w:ascii="Arial" w:hAnsi="Arial" w:cs="Arial"/>
        </w:rPr>
        <w:t xml:space="preserve"> termination and</w:t>
      </w:r>
      <w:r w:rsidR="002100D5" w:rsidRPr="00242BF1">
        <w:rPr>
          <w:rFonts w:ascii="Arial" w:hAnsi="Arial" w:cs="Arial"/>
        </w:rPr>
        <w:t xml:space="preserve"> release had not occurred.</w:t>
      </w:r>
      <w:bookmarkEnd w:id="6"/>
    </w:p>
    <w:p w14:paraId="3E9B37CB" w14:textId="717240ED" w:rsidR="00F8561A" w:rsidRPr="00242BF1" w:rsidRDefault="00F8561A" w:rsidP="00E162A6">
      <w:pPr>
        <w:spacing w:before="240" w:after="240"/>
      </w:pPr>
      <w:r w:rsidRPr="00242BF1">
        <w:rPr>
          <w:b/>
        </w:rPr>
        <w:t>Miscellaneous</w:t>
      </w:r>
    </w:p>
    <w:bookmarkEnd w:id="3"/>
    <w:p w14:paraId="0272909E" w14:textId="249AB646" w:rsidR="00E9695C" w:rsidRPr="00242BF1" w:rsidRDefault="0017303F" w:rsidP="00E162A6">
      <w:pPr>
        <w:pStyle w:val="ListParagraph"/>
        <w:numPr>
          <w:ilvl w:val="0"/>
          <w:numId w:val="3"/>
        </w:numPr>
        <w:spacing w:before="240" w:after="240" w:line="240" w:lineRule="auto"/>
        <w:ind w:hanging="720"/>
        <w:rPr>
          <w:rFonts w:ascii="Arial" w:hAnsi="Arial" w:cs="Arial"/>
        </w:rPr>
      </w:pPr>
      <w:r w:rsidRPr="00242BF1">
        <w:rPr>
          <w:rFonts w:ascii="Arial" w:hAnsi="Arial" w:cs="Arial"/>
        </w:rPr>
        <w:t>5a-116-A10</w:t>
      </w:r>
      <w:r w:rsidR="00247F61" w:rsidRPr="00242BF1">
        <w:rPr>
          <w:rFonts w:ascii="Arial" w:hAnsi="Arial" w:cs="Arial"/>
        </w:rPr>
        <w:t xml:space="preserve"> </w:t>
      </w:r>
      <w:r w:rsidR="00E9695C" w:rsidRPr="00242BF1">
        <w:rPr>
          <w:rFonts w:ascii="Arial" w:hAnsi="Arial" w:cs="Arial"/>
        </w:rPr>
        <w:t xml:space="preserve">shall not constitute a waiver of any right or remedy of the Authority or the Supplier arising before, during or after the </w:t>
      </w:r>
      <w:r w:rsidR="003515DE" w:rsidRPr="00242BF1">
        <w:rPr>
          <w:rFonts w:ascii="Arial" w:hAnsi="Arial" w:cs="Arial"/>
        </w:rPr>
        <w:t>Contract Change</w:t>
      </w:r>
      <w:r w:rsidR="00E9695C" w:rsidRPr="00242BF1">
        <w:rPr>
          <w:rFonts w:ascii="Arial" w:hAnsi="Arial" w:cs="Arial"/>
        </w:rPr>
        <w:t xml:space="preserve">, except to the extent set out in </w:t>
      </w:r>
      <w:r w:rsidRPr="00242BF1">
        <w:rPr>
          <w:rFonts w:ascii="Arial" w:hAnsi="Arial" w:cs="Arial"/>
        </w:rPr>
        <w:t>5a-116-A10</w:t>
      </w:r>
      <w:r w:rsidR="00E9695C" w:rsidRPr="00242BF1">
        <w:rPr>
          <w:rFonts w:ascii="Arial" w:hAnsi="Arial" w:cs="Arial"/>
        </w:rPr>
        <w:t>.</w:t>
      </w:r>
    </w:p>
    <w:p w14:paraId="2670FEEF" w14:textId="2838F66A" w:rsidR="00C26EEB" w:rsidRPr="00242BF1" w:rsidRDefault="00C26EEB" w:rsidP="00E162A6">
      <w:pPr>
        <w:pStyle w:val="ListParagraph"/>
        <w:numPr>
          <w:ilvl w:val="0"/>
          <w:numId w:val="3"/>
        </w:numPr>
        <w:spacing w:before="240" w:after="240" w:line="240" w:lineRule="auto"/>
        <w:ind w:hanging="720"/>
        <w:rPr>
          <w:rFonts w:ascii="Arial" w:hAnsi="Arial" w:cs="Arial"/>
        </w:rPr>
      </w:pPr>
      <w:r w:rsidRPr="00242BF1">
        <w:rPr>
          <w:rFonts w:ascii="Arial" w:hAnsi="Arial" w:cs="Arial"/>
        </w:rPr>
        <w:t xml:space="preserve">This </w:t>
      </w:r>
      <w:r w:rsidR="0017303F" w:rsidRPr="00242BF1">
        <w:rPr>
          <w:rFonts w:ascii="Arial" w:hAnsi="Arial" w:cs="Arial"/>
        </w:rPr>
        <w:t>5a-116-A10</w:t>
      </w:r>
      <w:r w:rsidRPr="00242BF1">
        <w:rPr>
          <w:rFonts w:ascii="Arial" w:hAnsi="Arial" w:cs="Arial"/>
        </w:rPr>
        <w:t xml:space="preserve"> and any issues, disputes or claims (whether contractual or non-contractual) arising out of or in connection with it or its subject matter or formation </w:t>
      </w:r>
      <w:r w:rsidRPr="00242BF1">
        <w:rPr>
          <w:rFonts w:ascii="Arial" w:hAnsi="Arial" w:cs="Arial"/>
        </w:rPr>
        <w:lastRenderedPageBreak/>
        <w:t>shall be governed by and construed in accordance with the laws of England and Wales.</w:t>
      </w:r>
    </w:p>
    <w:p w14:paraId="7D7AB5BD" w14:textId="6200BA13" w:rsidR="00E12D3D" w:rsidRPr="00242BF1" w:rsidRDefault="004868C3" w:rsidP="00E162A6">
      <w:pPr>
        <w:pStyle w:val="ListParagraph"/>
        <w:numPr>
          <w:ilvl w:val="0"/>
          <w:numId w:val="3"/>
        </w:numPr>
        <w:spacing w:before="240" w:after="240" w:line="240" w:lineRule="auto"/>
        <w:ind w:hanging="720"/>
        <w:rPr>
          <w:rFonts w:ascii="Arial" w:hAnsi="Arial" w:cs="Arial"/>
        </w:rPr>
      </w:pPr>
      <w:r w:rsidRPr="00242BF1">
        <w:rPr>
          <w:rFonts w:ascii="Arial" w:hAnsi="Arial" w:cs="Arial"/>
        </w:rPr>
        <w:t xml:space="preserve">Subject to </w:t>
      </w:r>
      <w:r w:rsidR="00024A42" w:rsidRPr="00242BF1">
        <w:rPr>
          <w:rFonts w:ascii="Arial" w:hAnsi="Arial" w:cs="Arial"/>
        </w:rPr>
        <w:t xml:space="preserve">paragraph </w:t>
      </w:r>
      <w:r w:rsidR="00DF4E98" w:rsidRPr="00242BF1">
        <w:rPr>
          <w:rFonts w:ascii="Arial" w:hAnsi="Arial" w:cs="Arial"/>
        </w:rPr>
        <w:fldChar w:fldCharType="begin"/>
      </w:r>
      <w:r w:rsidR="00DF4E98" w:rsidRPr="00242BF1">
        <w:rPr>
          <w:rFonts w:ascii="Arial" w:hAnsi="Arial" w:cs="Arial"/>
        </w:rPr>
        <w:instrText xml:space="preserve"> REF _Ref160103744 \r \h </w:instrText>
      </w:r>
      <w:r w:rsidR="00030321" w:rsidRPr="00242BF1">
        <w:rPr>
          <w:rFonts w:ascii="Arial" w:hAnsi="Arial" w:cs="Arial"/>
        </w:rPr>
        <w:instrText xml:space="preserve"> \* MERGEFORMAT </w:instrText>
      </w:r>
      <w:r w:rsidR="00DF4E98" w:rsidRPr="00242BF1">
        <w:rPr>
          <w:rFonts w:ascii="Arial" w:hAnsi="Arial" w:cs="Arial"/>
        </w:rPr>
      </w:r>
      <w:r w:rsidR="00DF4E98" w:rsidRPr="00242BF1">
        <w:rPr>
          <w:rFonts w:ascii="Arial" w:hAnsi="Arial" w:cs="Arial"/>
        </w:rPr>
        <w:fldChar w:fldCharType="separate"/>
      </w:r>
      <w:r w:rsidR="00E879DE" w:rsidRPr="00242BF1">
        <w:rPr>
          <w:rFonts w:ascii="Arial" w:hAnsi="Arial" w:cs="Arial"/>
        </w:rPr>
        <w:t>18</w:t>
      </w:r>
      <w:r w:rsidR="00DF4E98" w:rsidRPr="00242BF1">
        <w:rPr>
          <w:rFonts w:ascii="Arial" w:hAnsi="Arial" w:cs="Arial"/>
        </w:rPr>
        <w:fldChar w:fldCharType="end"/>
      </w:r>
      <w:r w:rsidR="00DF4E98" w:rsidRPr="00242BF1">
        <w:rPr>
          <w:rFonts w:ascii="Arial" w:hAnsi="Arial" w:cs="Arial"/>
        </w:rPr>
        <w:t xml:space="preserve"> below</w:t>
      </w:r>
      <w:r w:rsidR="00943EB4" w:rsidRPr="00242BF1">
        <w:rPr>
          <w:rFonts w:ascii="Arial" w:hAnsi="Arial" w:cs="Arial"/>
        </w:rPr>
        <w:t>,</w:t>
      </w:r>
      <w:r w:rsidR="001F19B3" w:rsidRPr="00242BF1">
        <w:rPr>
          <w:rFonts w:ascii="Arial" w:hAnsi="Arial" w:cs="Arial"/>
        </w:rPr>
        <w:t xml:space="preserve"> </w:t>
      </w:r>
      <w:r w:rsidRPr="00242BF1">
        <w:rPr>
          <w:rFonts w:ascii="Arial" w:hAnsi="Arial" w:cs="Arial"/>
        </w:rPr>
        <w:t xml:space="preserve">the </w:t>
      </w:r>
      <w:r w:rsidR="0099351D" w:rsidRPr="00242BF1">
        <w:rPr>
          <w:rFonts w:ascii="Arial" w:hAnsi="Arial" w:cs="Arial"/>
        </w:rPr>
        <w:t>p</w:t>
      </w:r>
      <w:r w:rsidRPr="00242BF1">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17303F" w:rsidRPr="00242BF1">
        <w:rPr>
          <w:rFonts w:ascii="Arial" w:hAnsi="Arial" w:cs="Arial"/>
        </w:rPr>
        <w:t>5a-116-A10</w:t>
      </w:r>
      <w:r w:rsidRPr="00242BF1">
        <w:rPr>
          <w:rFonts w:ascii="Arial" w:hAnsi="Arial" w:cs="Arial"/>
        </w:rPr>
        <w:t xml:space="preserve"> or its subject matter or formation.</w:t>
      </w:r>
    </w:p>
    <w:p w14:paraId="3BB70F3C" w14:textId="09CA950E" w:rsidR="001F19B3" w:rsidRPr="00242BF1"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242BF1">
        <w:rPr>
          <w:rFonts w:ascii="Arial" w:hAnsi="Arial" w:cs="Arial"/>
        </w:rPr>
        <w:t xml:space="preserve">The </w:t>
      </w:r>
      <w:r w:rsidR="007E5615" w:rsidRPr="00242BF1">
        <w:rPr>
          <w:rFonts w:ascii="Arial" w:hAnsi="Arial" w:cs="Arial"/>
        </w:rPr>
        <w:t>parties agree that Clause J11 (Disputes) and Schedule 8.3 (Dispute Resolution Procedure) of the Contract (includ</w:t>
      </w:r>
      <w:r w:rsidR="00BD5F23" w:rsidRPr="00242BF1">
        <w:rPr>
          <w:rFonts w:ascii="Arial" w:hAnsi="Arial" w:cs="Arial"/>
        </w:rPr>
        <w:t>ing</w:t>
      </w:r>
      <w:r w:rsidR="007E5615" w:rsidRPr="00242BF1">
        <w:rPr>
          <w:rFonts w:ascii="Arial" w:hAnsi="Arial" w:cs="Arial"/>
        </w:rPr>
        <w:t xml:space="preserve"> the Authority’s right to refer the dispute to arbitration) </w:t>
      </w:r>
      <w:r w:rsidR="00943EB4" w:rsidRPr="00242BF1">
        <w:rPr>
          <w:rFonts w:ascii="Arial" w:hAnsi="Arial" w:cs="Arial"/>
        </w:rPr>
        <w:t>apply</w:t>
      </w:r>
      <w:r w:rsidR="00217BBD" w:rsidRPr="00242BF1">
        <w:rPr>
          <w:rFonts w:ascii="Arial" w:hAnsi="Arial" w:cs="Arial"/>
        </w:rPr>
        <w:t>, mutatis mutandis,</w:t>
      </w:r>
      <w:bookmarkEnd w:id="7"/>
      <w:r w:rsidR="00943EB4" w:rsidRPr="00242BF1">
        <w:rPr>
          <w:rFonts w:ascii="Arial" w:hAnsi="Arial" w:cs="Arial"/>
        </w:rPr>
        <w:t xml:space="preserve"> </w:t>
      </w:r>
      <w:r w:rsidR="00B51E75" w:rsidRPr="00242BF1">
        <w:rPr>
          <w:rFonts w:ascii="Arial" w:hAnsi="Arial" w:cs="Arial"/>
        </w:rPr>
        <w:t xml:space="preserve">to this </w:t>
      </w:r>
      <w:r w:rsidR="0017303F" w:rsidRPr="00242BF1">
        <w:rPr>
          <w:rFonts w:ascii="Arial" w:hAnsi="Arial" w:cs="Arial"/>
        </w:rPr>
        <w:t>5a-116-A10</w:t>
      </w:r>
      <w:r w:rsidR="00B51E75" w:rsidRPr="00242BF1">
        <w:rPr>
          <w:rFonts w:ascii="Arial" w:hAnsi="Arial" w:cs="Arial"/>
        </w:rPr>
        <w:t>.</w:t>
      </w:r>
    </w:p>
    <w:p w14:paraId="0022A75D" w14:textId="0F24E49B" w:rsidR="00E9695C" w:rsidRPr="00242BF1" w:rsidRDefault="00E9695C" w:rsidP="00E162A6">
      <w:pPr>
        <w:spacing w:before="240" w:after="240"/>
        <w:rPr>
          <w:color w:val="1F4E79"/>
        </w:rPr>
      </w:pPr>
      <w:r w:rsidRPr="00242BF1">
        <w:t xml:space="preserve">Please confirm your acceptance of </w:t>
      </w:r>
      <w:r w:rsidR="0017303F" w:rsidRPr="00242BF1">
        <w:t>5a-116-A10</w:t>
      </w:r>
      <w:r w:rsidRPr="00242BF1">
        <w:t xml:space="preserve"> by countersigning this letter and returning it via the </w:t>
      </w:r>
      <w:r w:rsidR="00247F61" w:rsidRPr="00242BF1">
        <w:t>E-Procurement System</w:t>
      </w:r>
      <w:r w:rsidR="00E60122" w:rsidRPr="00242BF1">
        <w:t xml:space="preserve"> by 11:59pm on </w:t>
      </w:r>
      <w:r w:rsidR="00993072" w:rsidRPr="00242BF1">
        <w:t>31 May 2024</w:t>
      </w:r>
      <w:r w:rsidRPr="00242BF1">
        <w:t>, in accordance with the provisions of Clause J10 (Notices) of the Contract.</w:t>
      </w:r>
    </w:p>
    <w:p w14:paraId="4C7B4379" w14:textId="1B22F226" w:rsidR="00E9695C" w:rsidRPr="00242BF1" w:rsidRDefault="00E9695C" w:rsidP="00E162A6">
      <w:pPr>
        <w:spacing w:before="240" w:after="240"/>
        <w:rPr>
          <w:rFonts w:eastAsia="Calibri"/>
          <w:color w:val="000000"/>
        </w:rPr>
      </w:pPr>
      <w:r w:rsidRPr="00242BF1">
        <w:rPr>
          <w:rFonts w:eastAsia="Calibri"/>
          <w:color w:val="000000"/>
        </w:rPr>
        <w:t xml:space="preserve">If you have any queries, please contact the team </w:t>
      </w:r>
      <w:r w:rsidRPr="00242BF1">
        <w:rPr>
          <w:rFonts w:eastAsia="Calibri"/>
        </w:rPr>
        <w:t xml:space="preserve">through the messaging facility in </w:t>
      </w:r>
      <w:r w:rsidR="00E71934" w:rsidRPr="00242BF1">
        <w:rPr>
          <w:rFonts w:eastAsia="Calibri"/>
        </w:rPr>
        <w:t>the E-Procurement System</w:t>
      </w:r>
      <w:r w:rsidRPr="00242BF1">
        <w:rPr>
          <w:rFonts w:eastAsia="Calibri"/>
        </w:rPr>
        <w:t>.</w:t>
      </w:r>
    </w:p>
    <w:p w14:paraId="2FD85BA2" w14:textId="77777777" w:rsidR="00E9695C" w:rsidRPr="00242BF1" w:rsidRDefault="00E9695C" w:rsidP="00E162A6">
      <w:pPr>
        <w:spacing w:before="240" w:after="240"/>
        <w:rPr>
          <w:rFonts w:eastAsia="Calibri"/>
          <w:color w:val="000000"/>
        </w:rPr>
      </w:pPr>
      <w:r w:rsidRPr="00242BF1">
        <w:rPr>
          <w:rFonts w:eastAsia="Calibri"/>
          <w:color w:val="000000"/>
        </w:rPr>
        <w:t>Yours sincerely,</w:t>
      </w:r>
    </w:p>
    <w:p w14:paraId="54118598" w14:textId="065AA744" w:rsidR="00030321" w:rsidRPr="00242BF1" w:rsidRDefault="00787E43" w:rsidP="00E162A6">
      <w:pPr>
        <w:rPr>
          <w:rStyle w:val="normaltextrun"/>
          <w:color w:val="000000"/>
        </w:rPr>
      </w:pPr>
      <w:r w:rsidRPr="00242BF1">
        <w:rPr>
          <w:rStyle w:val="normaltextrun"/>
          <w:color w:val="000000"/>
        </w:rPr>
        <w:t>[REDACTED]</w:t>
      </w:r>
    </w:p>
    <w:p w14:paraId="369B89A3" w14:textId="77777777" w:rsidR="00787E43" w:rsidRPr="00242BF1" w:rsidRDefault="00787E43" w:rsidP="00E162A6">
      <w:pPr>
        <w:rPr>
          <w:rStyle w:val="normaltextrun"/>
          <w:color w:val="000000"/>
        </w:rPr>
      </w:pPr>
    </w:p>
    <w:p w14:paraId="4292DCF8" w14:textId="5A4218D6" w:rsidR="00E9695C" w:rsidRPr="00242BF1" w:rsidRDefault="00787E43" w:rsidP="00E162A6">
      <w:pPr>
        <w:rPr>
          <w:rFonts w:eastAsia="Calibri"/>
          <w:color w:val="000000"/>
        </w:rPr>
      </w:pPr>
      <w:r w:rsidRPr="00242BF1">
        <w:rPr>
          <w:rStyle w:val="normaltextrun"/>
          <w:color w:val="000000"/>
        </w:rPr>
        <w:t>[REDACTED]</w:t>
      </w:r>
      <w:r w:rsidR="00E9695C" w:rsidRPr="00242BF1">
        <w:rPr>
          <w:rFonts w:eastAsia="Calibri"/>
          <w:color w:val="000000"/>
        </w:rPr>
        <w:t xml:space="preserve"> </w:t>
      </w:r>
    </w:p>
    <w:p w14:paraId="1733F6D4" w14:textId="2DF759E2" w:rsidR="00E9695C" w:rsidRPr="00242BF1" w:rsidRDefault="006A5535" w:rsidP="00E162A6">
      <w:pPr>
        <w:rPr>
          <w:rFonts w:eastAsia="Calibri"/>
          <w:color w:val="000000"/>
        </w:rPr>
      </w:pPr>
      <w:r w:rsidRPr="00242BF1">
        <w:rPr>
          <w:rFonts w:eastAsia="Calibri"/>
          <w:color w:val="000000"/>
        </w:rPr>
        <w:t>Deputy Director</w:t>
      </w:r>
    </w:p>
    <w:p w14:paraId="02774B2C" w14:textId="2C6E8B8C" w:rsidR="006A5535" w:rsidRPr="00242BF1" w:rsidRDefault="006A5535" w:rsidP="00E162A6">
      <w:pPr>
        <w:rPr>
          <w:rFonts w:eastAsia="Calibri"/>
          <w:color w:val="000000"/>
        </w:rPr>
      </w:pPr>
      <w:r w:rsidRPr="00242BF1">
        <w:rPr>
          <w:rFonts w:eastAsia="Calibri"/>
          <w:color w:val="000000"/>
        </w:rPr>
        <w:t>Employment Category</w:t>
      </w:r>
    </w:p>
    <w:p w14:paraId="3F90E999" w14:textId="77777777" w:rsidR="00E9695C" w:rsidRPr="00242BF1" w:rsidRDefault="00E9695C" w:rsidP="00E162A6">
      <w:pPr>
        <w:rPr>
          <w:rFonts w:eastAsia="Calibri"/>
          <w:color w:val="000000"/>
        </w:rPr>
      </w:pPr>
      <w:r w:rsidRPr="00242BF1">
        <w:rPr>
          <w:rFonts w:eastAsia="Calibri"/>
          <w:color w:val="000000"/>
        </w:rPr>
        <w:t>For and on behalf of the Authority</w:t>
      </w:r>
    </w:p>
    <w:p w14:paraId="355E7078" w14:textId="77777777" w:rsidR="00E9695C" w:rsidRPr="00242BF1" w:rsidRDefault="00E9695C" w:rsidP="00E162A6">
      <w:pPr>
        <w:rPr>
          <w:rFonts w:eastAsia="Calibri"/>
          <w:color w:val="000000"/>
        </w:rPr>
      </w:pPr>
    </w:p>
    <w:p w14:paraId="030D75ED" w14:textId="77777777" w:rsidR="00E9695C" w:rsidRPr="00242BF1" w:rsidRDefault="00E9695C" w:rsidP="00E162A6">
      <w:pPr>
        <w:rPr>
          <w:rFonts w:eastAsia="Calibri"/>
          <w:color w:val="000000"/>
        </w:rPr>
      </w:pPr>
    </w:p>
    <w:p w14:paraId="44D6A4A9" w14:textId="091E48C8" w:rsidR="00E9695C" w:rsidRPr="00242BF1" w:rsidRDefault="00E9695C" w:rsidP="00E162A6">
      <w:pPr>
        <w:rPr>
          <w:rFonts w:eastAsia="Calibri"/>
          <w:color w:val="000000"/>
        </w:rPr>
      </w:pPr>
      <w:r w:rsidRPr="00242BF1">
        <w:rPr>
          <w:rFonts w:eastAsia="Calibri"/>
          <w:color w:val="000000"/>
        </w:rPr>
        <w:t>We hereby acknowledge receipt of this</w:t>
      </w:r>
      <w:r w:rsidR="0006641C" w:rsidRPr="00242BF1">
        <w:rPr>
          <w:rFonts w:eastAsia="Calibri"/>
          <w:color w:val="000000"/>
        </w:rPr>
        <w:t xml:space="preserve"> </w:t>
      </w:r>
      <w:r w:rsidR="0017303F" w:rsidRPr="00242BF1">
        <w:t>5a-116-A10</w:t>
      </w:r>
      <w:r w:rsidRPr="00242BF1">
        <w:rPr>
          <w:rFonts w:eastAsia="Calibri"/>
          <w:color w:val="000000"/>
        </w:rPr>
        <w:t xml:space="preserve"> and, in consideration of the mutual rights and obligations created by it, accept its terms.</w:t>
      </w:r>
    </w:p>
    <w:p w14:paraId="7977CBCC" w14:textId="77777777" w:rsidR="00E9695C" w:rsidRPr="00242BF1" w:rsidRDefault="00E9695C" w:rsidP="00E162A6">
      <w:pPr>
        <w:rPr>
          <w:rFonts w:eastAsia="Calibri"/>
          <w:color w:val="000000"/>
        </w:rPr>
      </w:pPr>
    </w:p>
    <w:p w14:paraId="4CA7D547" w14:textId="77777777" w:rsidR="00D44A23" w:rsidRPr="00242BF1" w:rsidRDefault="00D44A23" w:rsidP="00E162A6">
      <w:pPr>
        <w:rPr>
          <w:rFonts w:eastAsia="Calibri"/>
          <w:color w:val="000000"/>
        </w:rPr>
      </w:pPr>
    </w:p>
    <w:p w14:paraId="71AA6560" w14:textId="77777777" w:rsidR="00D44A23" w:rsidRPr="00242BF1" w:rsidRDefault="00D44A23" w:rsidP="00E162A6">
      <w:pPr>
        <w:rPr>
          <w:rFonts w:eastAsia="Calibri"/>
          <w:color w:val="000000"/>
        </w:rPr>
      </w:pPr>
    </w:p>
    <w:p w14:paraId="03D23A3D" w14:textId="34BFBCFC" w:rsidR="00E9695C" w:rsidRPr="00242BF1" w:rsidRDefault="00E9695C" w:rsidP="00E162A6">
      <w:pPr>
        <w:rPr>
          <w:rFonts w:eastAsia="Calibri"/>
          <w:color w:val="000000"/>
        </w:rPr>
      </w:pPr>
      <w:r w:rsidRPr="00242BF1">
        <w:rPr>
          <w:rFonts w:eastAsia="Calibri"/>
          <w:color w:val="000000"/>
        </w:rPr>
        <w:t>Signed: ___</w:t>
      </w:r>
      <w:r w:rsidR="00787E43" w:rsidRPr="00242BF1">
        <w:rPr>
          <w:rStyle w:val="normaltextrun"/>
          <w:color w:val="000000"/>
        </w:rPr>
        <w:t>[REDACTED]</w:t>
      </w:r>
      <w:r w:rsidRPr="00242BF1">
        <w:rPr>
          <w:rFonts w:eastAsia="Calibri"/>
          <w:color w:val="000000"/>
        </w:rPr>
        <w:t>________________</w:t>
      </w:r>
    </w:p>
    <w:p w14:paraId="3310E3A5" w14:textId="77777777" w:rsidR="00E9695C" w:rsidRPr="00242BF1" w:rsidRDefault="00E9695C" w:rsidP="00E162A6">
      <w:pPr>
        <w:rPr>
          <w:rFonts w:eastAsia="Calibri"/>
        </w:rPr>
      </w:pPr>
      <w:r w:rsidRPr="00242BF1">
        <w:t>For and on behalf of the Supplier</w:t>
      </w:r>
    </w:p>
    <w:p w14:paraId="29F9EE3C" w14:textId="77777777" w:rsidR="00E9695C" w:rsidRPr="00242BF1" w:rsidRDefault="00E9695C" w:rsidP="00E162A6"/>
    <w:p w14:paraId="74353D99" w14:textId="5A3D6AA5" w:rsidR="00E9695C" w:rsidRPr="00242BF1" w:rsidRDefault="00E9695C" w:rsidP="00E162A6">
      <w:r w:rsidRPr="00242BF1">
        <w:t>Name:</w:t>
      </w:r>
      <w:r w:rsidR="00787E43" w:rsidRPr="00242BF1">
        <w:t xml:space="preserve"> </w:t>
      </w:r>
      <w:r w:rsidR="00787E43" w:rsidRPr="00242BF1">
        <w:rPr>
          <w:rStyle w:val="normaltextrun"/>
          <w:color w:val="000000"/>
        </w:rPr>
        <w:t>[REDACTED]</w:t>
      </w:r>
    </w:p>
    <w:p w14:paraId="39891390" w14:textId="77777777" w:rsidR="00E9695C" w:rsidRPr="00242BF1" w:rsidRDefault="00E9695C" w:rsidP="00E162A6"/>
    <w:p w14:paraId="5AC05440" w14:textId="76773FB2" w:rsidR="00E9695C" w:rsidRPr="00242BF1" w:rsidRDefault="00E9695C" w:rsidP="00E162A6">
      <w:r w:rsidRPr="00242BF1">
        <w:t>Position:</w:t>
      </w:r>
      <w:r w:rsidR="00787E43" w:rsidRPr="00242BF1">
        <w:t xml:space="preserve"> </w:t>
      </w:r>
      <w:r w:rsidR="00EA2417" w:rsidRPr="00242BF1">
        <w:t>Chief Executive Officer</w:t>
      </w:r>
    </w:p>
    <w:p w14:paraId="1F6D0C65" w14:textId="77777777" w:rsidR="00E9695C" w:rsidRPr="00242BF1" w:rsidRDefault="00E9695C" w:rsidP="00E162A6"/>
    <w:p w14:paraId="455F315E" w14:textId="6E78A4B8" w:rsidR="008D6184" w:rsidRPr="00242BF1" w:rsidRDefault="00E9695C" w:rsidP="00E162A6">
      <w:r w:rsidRPr="00242BF1">
        <w:t>Date:</w:t>
      </w:r>
      <w:r w:rsidR="00787E43" w:rsidRPr="00242BF1">
        <w:t xml:space="preserve"> </w:t>
      </w:r>
      <w:r w:rsidR="00EA2417" w:rsidRPr="00242BF1">
        <w:t>29 May 2024</w:t>
      </w:r>
    </w:p>
    <w:p w14:paraId="1CB95345" w14:textId="0CBC44A7" w:rsidR="00E9695C" w:rsidRPr="00242BF1" w:rsidRDefault="00E9695C" w:rsidP="00E162A6"/>
    <w:p w14:paraId="3BB3BC40" w14:textId="77777777" w:rsidR="00E9695C" w:rsidRPr="00242BF1" w:rsidRDefault="00E9695C" w:rsidP="00E162A6">
      <w:pPr>
        <w:sectPr w:rsidR="00E9695C" w:rsidRPr="00242BF1" w:rsidSect="00D44A23">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0A7EF43C" w:rsidR="00E9695C" w:rsidRPr="00242BF1" w:rsidRDefault="008029EC" w:rsidP="00E162A6">
      <w:pPr>
        <w:rPr>
          <w:b/>
          <w:bCs/>
          <w:u w:val="single"/>
        </w:rPr>
      </w:pPr>
      <w:r w:rsidRPr="00242BF1">
        <w:rPr>
          <w:b/>
          <w:bCs/>
          <w:u w:val="single"/>
        </w:rPr>
        <w:lastRenderedPageBreak/>
        <w:t xml:space="preserve">Appendix </w:t>
      </w:r>
      <w:r w:rsidR="00E9695C" w:rsidRPr="00242BF1">
        <w:rPr>
          <w:b/>
          <w:bCs/>
          <w:u w:val="single"/>
        </w:rPr>
        <w:t xml:space="preserve">1: Contract provisions modified by </w:t>
      </w:r>
      <w:r w:rsidR="0017303F" w:rsidRPr="00242BF1">
        <w:rPr>
          <w:b/>
          <w:bCs/>
          <w:u w:val="single"/>
        </w:rPr>
        <w:t>5a-116-A10</w:t>
      </w:r>
    </w:p>
    <w:p w14:paraId="0B620508" w14:textId="77777777" w:rsidR="00537D88" w:rsidRPr="00242BF1"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242BF1"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242BF1" w:rsidRDefault="00DF115B" w:rsidP="00E162A6">
            <w:pPr>
              <w:rPr>
                <w:b/>
                <w:u w:val="single"/>
              </w:rPr>
            </w:pPr>
            <w:r w:rsidRPr="00242BF1">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242BF1" w:rsidRDefault="00DF115B" w:rsidP="00E162A6">
            <w:pPr>
              <w:rPr>
                <w:b/>
              </w:rPr>
            </w:pPr>
            <w:r w:rsidRPr="00242BF1">
              <w:rPr>
                <w:b/>
              </w:rPr>
              <w:t>Modification</w:t>
            </w:r>
          </w:p>
        </w:tc>
      </w:tr>
      <w:tr w:rsidR="00BB1E9C" w:rsidRPr="00242BF1"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242BF1" w:rsidRDefault="00762CA1" w:rsidP="00E162A6">
            <w:pPr>
              <w:rPr>
                <w:bCs/>
              </w:rPr>
            </w:pPr>
            <w:r w:rsidRPr="00242BF1">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242BF1" w:rsidRDefault="00BB1E9C" w:rsidP="00E162A6">
            <w:pPr>
              <w:pStyle w:val="SchdLevel2"/>
              <w:spacing w:after="0" w:line="240" w:lineRule="auto"/>
              <w:ind w:left="0" w:firstLine="0"/>
              <w:jc w:val="left"/>
              <w:rPr>
                <w:rFonts w:cs="Arial"/>
                <w:i/>
                <w:sz w:val="24"/>
                <w:szCs w:val="24"/>
              </w:rPr>
            </w:pPr>
            <w:r w:rsidRPr="00242BF1">
              <w:rPr>
                <w:rFonts w:cs="Arial"/>
                <w:i/>
                <w:sz w:val="24"/>
                <w:szCs w:val="24"/>
              </w:rPr>
              <w:t>Existing Clause B4.6 shall be replaced with the following:</w:t>
            </w:r>
          </w:p>
          <w:p w14:paraId="5E0AA587" w14:textId="77777777" w:rsidR="00BB1E9C" w:rsidRPr="00242BF1" w:rsidRDefault="00BB1E9C" w:rsidP="00E162A6">
            <w:pPr>
              <w:pStyle w:val="SchdLevel2"/>
              <w:spacing w:after="0" w:line="240" w:lineRule="auto"/>
              <w:ind w:left="0" w:firstLine="0"/>
              <w:jc w:val="left"/>
              <w:rPr>
                <w:rFonts w:cs="Arial"/>
                <w:i/>
                <w:sz w:val="24"/>
                <w:szCs w:val="24"/>
              </w:rPr>
            </w:pPr>
          </w:p>
          <w:p w14:paraId="7CF3D965" w14:textId="597D11DF" w:rsidR="00BB1E9C" w:rsidRPr="00242BF1" w:rsidRDefault="00BB1E9C" w:rsidP="00E162A6">
            <w:pPr>
              <w:pStyle w:val="SchdLevel2"/>
              <w:spacing w:after="0" w:line="240" w:lineRule="auto"/>
              <w:ind w:left="0" w:firstLine="0"/>
              <w:jc w:val="left"/>
              <w:rPr>
                <w:rFonts w:cs="Arial"/>
                <w:iCs/>
                <w:sz w:val="24"/>
                <w:szCs w:val="24"/>
              </w:rPr>
            </w:pPr>
            <w:r w:rsidRPr="00242BF1">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242BF1"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242BF1" w:rsidRDefault="007D5754" w:rsidP="00E162A6">
            <w:pPr>
              <w:rPr>
                <w:bCs/>
              </w:rPr>
            </w:pPr>
            <w:r w:rsidRPr="00242BF1">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242BF1" w:rsidRDefault="00BA4F4B" w:rsidP="00E162A6">
            <w:pPr>
              <w:pStyle w:val="SchdLevel2"/>
              <w:spacing w:after="0" w:line="240" w:lineRule="auto"/>
              <w:ind w:left="0" w:firstLine="0"/>
              <w:jc w:val="left"/>
              <w:rPr>
                <w:rFonts w:cs="Arial"/>
                <w:i/>
                <w:sz w:val="24"/>
                <w:szCs w:val="24"/>
              </w:rPr>
            </w:pPr>
            <w:r w:rsidRPr="00242BF1">
              <w:rPr>
                <w:rFonts w:cs="Arial"/>
                <w:i/>
                <w:sz w:val="24"/>
                <w:szCs w:val="24"/>
              </w:rPr>
              <w:t>Existing Clause B8.2 shall be replaced with the following:</w:t>
            </w:r>
          </w:p>
          <w:p w14:paraId="7D667E49" w14:textId="77777777" w:rsidR="00BA4F4B" w:rsidRPr="00242BF1" w:rsidRDefault="00BA4F4B" w:rsidP="00E162A6">
            <w:pPr>
              <w:pStyle w:val="SchdLevel2"/>
              <w:spacing w:after="0" w:line="240" w:lineRule="auto"/>
              <w:ind w:left="0" w:firstLine="0"/>
              <w:jc w:val="left"/>
              <w:rPr>
                <w:rFonts w:cs="Arial"/>
                <w:i/>
                <w:sz w:val="24"/>
                <w:szCs w:val="24"/>
              </w:rPr>
            </w:pPr>
          </w:p>
          <w:p w14:paraId="604D2998" w14:textId="6007B898" w:rsidR="009A0FFE" w:rsidRPr="00242BF1" w:rsidRDefault="00BA4F4B" w:rsidP="00E162A6">
            <w:pPr>
              <w:pStyle w:val="SchdLevel2"/>
              <w:spacing w:after="0" w:line="240" w:lineRule="auto"/>
              <w:ind w:left="0" w:firstLine="0"/>
              <w:jc w:val="left"/>
              <w:rPr>
                <w:rFonts w:cs="Arial"/>
                <w:i/>
                <w:sz w:val="24"/>
                <w:szCs w:val="24"/>
              </w:rPr>
            </w:pPr>
            <w:r w:rsidRPr="00242BF1">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242BF1"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242BF1" w:rsidRDefault="00AF6C02" w:rsidP="00E162A6">
            <w:pPr>
              <w:rPr>
                <w:bCs/>
              </w:rPr>
            </w:pPr>
            <w:r w:rsidRPr="00242BF1">
              <w:rPr>
                <w:bCs/>
              </w:rPr>
              <w:t xml:space="preserve">Clause </w:t>
            </w:r>
            <w:r w:rsidR="00F36398" w:rsidRPr="00242BF1">
              <w:rPr>
                <w:bCs/>
              </w:rPr>
              <w:t>C6</w:t>
            </w:r>
            <w:r w:rsidR="00DE6963" w:rsidRPr="00242BF1">
              <w:rPr>
                <w:bCs/>
              </w:rPr>
              <w:t xml:space="preserve"> (Deferral </w:t>
            </w:r>
            <w:r w:rsidR="002B3AE7" w:rsidRPr="00242BF1">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242BF1" w:rsidRDefault="009A2A3B" w:rsidP="00E162A6">
            <w:pPr>
              <w:pStyle w:val="SchdLevel2"/>
              <w:spacing w:after="0" w:line="240" w:lineRule="auto"/>
              <w:ind w:left="0" w:firstLine="0"/>
              <w:jc w:val="left"/>
              <w:rPr>
                <w:rFonts w:cs="Arial"/>
                <w:i/>
                <w:sz w:val="24"/>
                <w:szCs w:val="24"/>
              </w:rPr>
            </w:pPr>
            <w:r w:rsidRPr="00242BF1">
              <w:rPr>
                <w:rFonts w:cs="Arial"/>
                <w:i/>
                <w:sz w:val="24"/>
                <w:szCs w:val="24"/>
              </w:rPr>
              <w:t>Existing Clause C6.12 shall be replaced with the following:</w:t>
            </w:r>
          </w:p>
          <w:p w14:paraId="029A27D8" w14:textId="77777777" w:rsidR="009A2A3B" w:rsidRPr="00242BF1" w:rsidRDefault="009A2A3B" w:rsidP="00E162A6">
            <w:pPr>
              <w:pStyle w:val="SchdLevel2"/>
              <w:spacing w:after="0" w:line="240" w:lineRule="auto"/>
              <w:ind w:left="0" w:firstLine="0"/>
              <w:jc w:val="left"/>
              <w:rPr>
                <w:rFonts w:cs="Arial"/>
                <w:iCs/>
                <w:sz w:val="24"/>
                <w:szCs w:val="24"/>
              </w:rPr>
            </w:pPr>
          </w:p>
          <w:p w14:paraId="45010687" w14:textId="6EF72CAF" w:rsidR="00AF6C02" w:rsidRPr="00242BF1" w:rsidRDefault="009A2A3B" w:rsidP="00E162A6">
            <w:pPr>
              <w:pStyle w:val="SchdLevel2"/>
              <w:spacing w:after="0" w:line="240" w:lineRule="auto"/>
              <w:ind w:left="0" w:firstLine="0"/>
              <w:jc w:val="left"/>
              <w:rPr>
                <w:rFonts w:cs="Arial"/>
                <w:i/>
                <w:sz w:val="24"/>
                <w:szCs w:val="24"/>
              </w:rPr>
            </w:pPr>
            <w:r w:rsidRPr="00242BF1">
              <w:rPr>
                <w:rFonts w:cs="Arial"/>
                <w:iCs/>
                <w:sz w:val="24"/>
                <w:szCs w:val="24"/>
              </w:rPr>
              <w:t>If deferral of Delivery Fee Periodic Payments is ongoing on the last day of Delivery Fee Month 72 all Delivery Fee Periodic Payments which have been deferred are forfeited.</w:t>
            </w:r>
          </w:p>
        </w:tc>
      </w:tr>
      <w:tr w:rsidR="00B256E1" w:rsidRPr="00242BF1"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242BF1" w:rsidRDefault="00B256E1" w:rsidP="00E162A6">
            <w:pPr>
              <w:rPr>
                <w:bCs/>
              </w:rPr>
            </w:pPr>
            <w:r w:rsidRPr="00242BF1">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242BF1" w:rsidRDefault="00B256E1" w:rsidP="00E162A6">
            <w:pPr>
              <w:pStyle w:val="SchdLevel2"/>
              <w:spacing w:after="0" w:line="240" w:lineRule="auto"/>
              <w:ind w:left="0" w:firstLine="0"/>
              <w:jc w:val="left"/>
              <w:rPr>
                <w:rFonts w:cs="Arial"/>
                <w:i/>
                <w:sz w:val="24"/>
                <w:szCs w:val="24"/>
              </w:rPr>
            </w:pPr>
            <w:r w:rsidRPr="00242BF1">
              <w:rPr>
                <w:rFonts w:cs="Arial"/>
                <w:i/>
                <w:sz w:val="24"/>
                <w:szCs w:val="24"/>
              </w:rPr>
              <w:t>Existing Clause D3.5 shall be replaced with the following:</w:t>
            </w:r>
          </w:p>
          <w:p w14:paraId="13278FEB" w14:textId="77777777" w:rsidR="00B256E1" w:rsidRPr="00242BF1" w:rsidRDefault="00B256E1" w:rsidP="00E162A6">
            <w:pPr>
              <w:pStyle w:val="SchdLevel2"/>
              <w:spacing w:after="0" w:line="240" w:lineRule="auto"/>
              <w:ind w:left="0" w:firstLine="0"/>
              <w:jc w:val="left"/>
              <w:rPr>
                <w:rFonts w:cs="Arial"/>
                <w:i/>
                <w:sz w:val="24"/>
                <w:szCs w:val="24"/>
              </w:rPr>
            </w:pPr>
          </w:p>
          <w:p w14:paraId="6FC8EF14" w14:textId="77777777" w:rsidR="00B256E1" w:rsidRPr="00242BF1" w:rsidRDefault="00B256E1" w:rsidP="00E162A6">
            <w:pPr>
              <w:pStyle w:val="SchdLevel2"/>
              <w:spacing w:after="0" w:line="240" w:lineRule="auto"/>
              <w:ind w:left="0" w:firstLine="0"/>
              <w:jc w:val="left"/>
              <w:rPr>
                <w:rFonts w:cs="Arial"/>
                <w:iCs/>
                <w:sz w:val="24"/>
                <w:szCs w:val="24"/>
              </w:rPr>
            </w:pPr>
            <w:r w:rsidRPr="00242BF1">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242BF1" w:rsidRDefault="00B256E1" w:rsidP="00E162A6">
            <w:pPr>
              <w:pStyle w:val="SchdLevel2"/>
              <w:spacing w:after="0" w:line="240" w:lineRule="auto"/>
              <w:ind w:left="0" w:firstLine="0"/>
              <w:rPr>
                <w:rFonts w:cs="Arial"/>
                <w:iCs/>
                <w:sz w:val="24"/>
                <w:szCs w:val="24"/>
              </w:rPr>
            </w:pPr>
          </w:p>
          <w:p w14:paraId="3B7E141B" w14:textId="77777777" w:rsidR="00B256E1" w:rsidRPr="00242BF1" w:rsidRDefault="00B256E1" w:rsidP="00E162A6">
            <w:pPr>
              <w:pStyle w:val="SchdLevel2"/>
              <w:numPr>
                <w:ilvl w:val="0"/>
                <w:numId w:val="8"/>
              </w:numPr>
              <w:spacing w:after="0" w:line="240" w:lineRule="auto"/>
              <w:ind w:left="360"/>
              <w:jc w:val="left"/>
              <w:rPr>
                <w:rFonts w:cs="Arial"/>
                <w:iCs/>
                <w:sz w:val="24"/>
                <w:szCs w:val="24"/>
              </w:rPr>
            </w:pPr>
            <w:r w:rsidRPr="00242BF1">
              <w:rPr>
                <w:rFonts w:cs="Arial"/>
                <w:iCs/>
                <w:sz w:val="24"/>
                <w:szCs w:val="24"/>
              </w:rPr>
              <w:t xml:space="preserve">rendering this Agreement materially different in character from this Agreement as at the Effective </w:t>
            </w:r>
            <w:proofErr w:type="gramStart"/>
            <w:r w:rsidRPr="00242BF1">
              <w:rPr>
                <w:rFonts w:cs="Arial"/>
                <w:iCs/>
                <w:sz w:val="24"/>
                <w:szCs w:val="24"/>
              </w:rPr>
              <w:t>Date;</w:t>
            </w:r>
            <w:proofErr w:type="gramEnd"/>
          </w:p>
          <w:p w14:paraId="6ED62779" w14:textId="77777777" w:rsidR="00B256E1" w:rsidRPr="00242BF1" w:rsidRDefault="00B256E1" w:rsidP="00E162A6">
            <w:pPr>
              <w:pStyle w:val="SchdLevel2"/>
              <w:spacing w:after="0" w:line="240" w:lineRule="auto"/>
              <w:ind w:left="360" w:firstLine="0"/>
              <w:jc w:val="left"/>
              <w:rPr>
                <w:rFonts w:cs="Arial"/>
                <w:iCs/>
                <w:sz w:val="24"/>
                <w:szCs w:val="24"/>
              </w:rPr>
            </w:pPr>
          </w:p>
          <w:p w14:paraId="28B53ABB" w14:textId="77777777" w:rsidR="00B256E1" w:rsidRPr="00242BF1" w:rsidRDefault="00B256E1" w:rsidP="00E162A6">
            <w:pPr>
              <w:pStyle w:val="SchdLevel2"/>
              <w:numPr>
                <w:ilvl w:val="0"/>
                <w:numId w:val="8"/>
              </w:numPr>
              <w:spacing w:after="0" w:line="240" w:lineRule="auto"/>
              <w:ind w:left="360"/>
              <w:jc w:val="left"/>
              <w:rPr>
                <w:rFonts w:cs="Arial"/>
                <w:iCs/>
                <w:sz w:val="24"/>
                <w:szCs w:val="24"/>
              </w:rPr>
            </w:pPr>
            <w:r w:rsidRPr="00242BF1">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242BF1" w:rsidRDefault="00B256E1" w:rsidP="00E162A6">
            <w:pPr>
              <w:pStyle w:val="SchdLevel2"/>
              <w:spacing w:after="0" w:line="240" w:lineRule="auto"/>
              <w:ind w:left="360" w:firstLine="0"/>
              <w:jc w:val="left"/>
              <w:rPr>
                <w:rFonts w:cs="Arial"/>
                <w:iCs/>
                <w:sz w:val="24"/>
                <w:szCs w:val="24"/>
              </w:rPr>
            </w:pPr>
          </w:p>
          <w:p w14:paraId="0D1585D6" w14:textId="77777777" w:rsidR="00B256E1" w:rsidRPr="00242BF1" w:rsidRDefault="00B256E1" w:rsidP="00E162A6">
            <w:pPr>
              <w:pStyle w:val="SchdLevel2"/>
              <w:numPr>
                <w:ilvl w:val="0"/>
                <w:numId w:val="8"/>
              </w:numPr>
              <w:spacing w:after="0" w:line="240" w:lineRule="auto"/>
              <w:ind w:left="360"/>
              <w:jc w:val="left"/>
              <w:rPr>
                <w:rFonts w:cs="Arial"/>
                <w:iCs/>
                <w:sz w:val="24"/>
                <w:szCs w:val="24"/>
              </w:rPr>
            </w:pPr>
            <w:r w:rsidRPr="00242BF1">
              <w:rPr>
                <w:rFonts w:cs="Arial"/>
                <w:iCs/>
                <w:sz w:val="24"/>
                <w:szCs w:val="24"/>
              </w:rPr>
              <w:t xml:space="preserve">extending the scope of this Agreement </w:t>
            </w:r>
            <w:proofErr w:type="gramStart"/>
            <w:r w:rsidRPr="00242BF1">
              <w:rPr>
                <w:rFonts w:cs="Arial"/>
                <w:iCs/>
                <w:sz w:val="24"/>
                <w:szCs w:val="24"/>
              </w:rPr>
              <w:t>considerably;</w:t>
            </w:r>
            <w:proofErr w:type="gramEnd"/>
          </w:p>
          <w:p w14:paraId="0DBC1D6A" w14:textId="77777777" w:rsidR="00B256E1" w:rsidRPr="00242BF1" w:rsidRDefault="00B256E1" w:rsidP="00E162A6">
            <w:pPr>
              <w:pStyle w:val="SchdLevel2"/>
              <w:spacing w:after="0" w:line="240" w:lineRule="auto"/>
              <w:ind w:left="0" w:firstLine="0"/>
              <w:jc w:val="left"/>
              <w:rPr>
                <w:rFonts w:cs="Arial"/>
                <w:iCs/>
                <w:sz w:val="24"/>
                <w:szCs w:val="24"/>
              </w:rPr>
            </w:pPr>
          </w:p>
          <w:p w14:paraId="2939F487" w14:textId="04C1279B" w:rsidR="00B256E1" w:rsidRPr="00242BF1" w:rsidRDefault="00B256E1" w:rsidP="00E162A6">
            <w:pPr>
              <w:pStyle w:val="SchdLevel2"/>
              <w:spacing w:after="0" w:line="240" w:lineRule="auto"/>
              <w:ind w:left="0" w:firstLine="0"/>
              <w:jc w:val="left"/>
              <w:rPr>
                <w:rFonts w:cs="Arial"/>
                <w:i/>
                <w:sz w:val="24"/>
                <w:szCs w:val="24"/>
              </w:rPr>
            </w:pPr>
            <w:r w:rsidRPr="00242BF1">
              <w:rPr>
                <w:rFonts w:cs="Arial"/>
                <w:iCs/>
                <w:sz w:val="24"/>
                <w:szCs w:val="24"/>
              </w:rPr>
              <w:t>unless such Contract Change or Operational Change is otherwise permitted under regulation 72 of the Public Contracts Regulations 2015.</w:t>
            </w:r>
          </w:p>
        </w:tc>
      </w:tr>
      <w:tr w:rsidR="00B256E1" w:rsidRPr="00242BF1"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242BF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242BF1" w:rsidRDefault="000225A2" w:rsidP="00E162A6">
            <w:pPr>
              <w:pStyle w:val="SchdLevel2"/>
              <w:spacing w:after="0" w:line="240" w:lineRule="auto"/>
              <w:ind w:left="0" w:firstLine="0"/>
              <w:jc w:val="left"/>
              <w:rPr>
                <w:rFonts w:cs="Arial"/>
                <w:i/>
                <w:sz w:val="24"/>
                <w:szCs w:val="24"/>
              </w:rPr>
            </w:pPr>
            <w:r w:rsidRPr="00242BF1">
              <w:rPr>
                <w:rFonts w:cs="Arial"/>
                <w:i/>
                <w:sz w:val="24"/>
                <w:szCs w:val="24"/>
              </w:rPr>
              <w:t>Existing limb (q) of Clause D3.6 shall be replaced with the following:</w:t>
            </w:r>
          </w:p>
          <w:p w14:paraId="43C385EB" w14:textId="77777777" w:rsidR="000225A2" w:rsidRPr="00242BF1" w:rsidRDefault="000225A2" w:rsidP="00E162A6">
            <w:pPr>
              <w:pStyle w:val="SchdLevel2"/>
              <w:spacing w:after="0" w:line="240" w:lineRule="auto"/>
              <w:ind w:left="0" w:firstLine="0"/>
              <w:jc w:val="left"/>
              <w:rPr>
                <w:rFonts w:cs="Arial"/>
                <w:i/>
                <w:sz w:val="24"/>
                <w:szCs w:val="24"/>
              </w:rPr>
            </w:pPr>
          </w:p>
          <w:p w14:paraId="519A0425" w14:textId="3EF563B6" w:rsidR="00B256E1" w:rsidRPr="00242BF1" w:rsidRDefault="000225A2" w:rsidP="00E162A6">
            <w:pPr>
              <w:pStyle w:val="SchdLevel2"/>
              <w:spacing w:after="0" w:line="240" w:lineRule="auto"/>
              <w:ind w:left="0" w:firstLine="0"/>
              <w:jc w:val="left"/>
              <w:rPr>
                <w:rFonts w:cs="Arial"/>
                <w:i/>
                <w:sz w:val="24"/>
                <w:szCs w:val="24"/>
              </w:rPr>
            </w:pPr>
            <w:r w:rsidRPr="00242BF1">
              <w:rPr>
                <w:rFonts w:cs="Arial"/>
                <w:iCs/>
                <w:sz w:val="24"/>
                <w:szCs w:val="24"/>
              </w:rPr>
              <w:t>not used; and</w:t>
            </w:r>
          </w:p>
        </w:tc>
      </w:tr>
      <w:tr w:rsidR="00B256E1" w:rsidRPr="00242BF1"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242BF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242BF1" w:rsidRDefault="00E56495" w:rsidP="00E162A6">
            <w:pPr>
              <w:pStyle w:val="SchdLevel2"/>
              <w:spacing w:after="0" w:line="240" w:lineRule="auto"/>
              <w:ind w:left="0" w:firstLine="0"/>
              <w:jc w:val="left"/>
              <w:rPr>
                <w:rFonts w:cs="Arial"/>
                <w:i/>
                <w:sz w:val="24"/>
                <w:szCs w:val="24"/>
              </w:rPr>
            </w:pPr>
            <w:r w:rsidRPr="00242BF1">
              <w:rPr>
                <w:rFonts w:cs="Arial"/>
                <w:i/>
                <w:sz w:val="24"/>
                <w:szCs w:val="24"/>
              </w:rPr>
              <w:t>Existing Clause D3.7 shall be replaced with the following:</w:t>
            </w:r>
          </w:p>
          <w:p w14:paraId="7D205DE4" w14:textId="77777777" w:rsidR="00E56495" w:rsidRPr="00242BF1" w:rsidRDefault="00E56495" w:rsidP="00E162A6">
            <w:pPr>
              <w:pStyle w:val="SchdLevel2"/>
              <w:spacing w:after="0" w:line="240" w:lineRule="auto"/>
              <w:ind w:left="0" w:firstLine="0"/>
              <w:jc w:val="left"/>
              <w:rPr>
                <w:rFonts w:cs="Arial"/>
                <w:i/>
                <w:sz w:val="24"/>
                <w:szCs w:val="24"/>
              </w:rPr>
            </w:pPr>
          </w:p>
          <w:p w14:paraId="47FC464A" w14:textId="5DBEEB7D" w:rsidR="00B256E1" w:rsidRPr="00242BF1" w:rsidRDefault="00E56495" w:rsidP="00E162A6">
            <w:pPr>
              <w:pStyle w:val="SchdLevel2"/>
              <w:spacing w:after="0" w:line="240" w:lineRule="auto"/>
              <w:ind w:left="0" w:firstLine="0"/>
              <w:jc w:val="left"/>
              <w:rPr>
                <w:rFonts w:cs="Arial"/>
                <w:i/>
                <w:sz w:val="24"/>
                <w:szCs w:val="24"/>
              </w:rPr>
            </w:pPr>
            <w:r w:rsidRPr="00242BF1">
              <w:rPr>
                <w:rFonts w:cs="Arial"/>
                <w:iCs/>
                <w:sz w:val="24"/>
                <w:szCs w:val="24"/>
              </w:rPr>
              <w:t>Not used.</w:t>
            </w:r>
          </w:p>
        </w:tc>
      </w:tr>
      <w:tr w:rsidR="00F7542A" w:rsidRPr="00242BF1"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242BF1" w:rsidRDefault="00F7542A" w:rsidP="00E162A6">
            <w:pPr>
              <w:rPr>
                <w:bCs/>
              </w:rPr>
            </w:pPr>
            <w:r w:rsidRPr="00242BF1">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242BF1" w:rsidRDefault="00C7445A"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“Anticipated Contract Value” shall be replaced with the following:</w:t>
            </w:r>
          </w:p>
          <w:p w14:paraId="087A4551" w14:textId="77777777" w:rsidR="00C7445A" w:rsidRPr="00242BF1"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242BF1" w14:paraId="1906105E" w14:textId="77777777" w:rsidTr="004F366C">
              <w:tc>
                <w:tcPr>
                  <w:tcW w:w="2410" w:type="dxa"/>
                </w:tcPr>
                <w:p w14:paraId="55C1DA1D" w14:textId="77777777" w:rsidR="00C7445A" w:rsidRPr="00242BF1" w:rsidRDefault="00C7445A" w:rsidP="00E162A6">
                  <w:pPr>
                    <w:pStyle w:val="SchdLevel2"/>
                    <w:spacing w:after="0" w:line="240" w:lineRule="auto"/>
                    <w:ind w:left="0" w:firstLine="0"/>
                    <w:jc w:val="left"/>
                    <w:rPr>
                      <w:rFonts w:cs="Arial"/>
                      <w:i/>
                      <w:sz w:val="24"/>
                      <w:szCs w:val="24"/>
                    </w:rPr>
                  </w:pPr>
                  <w:r w:rsidRPr="00242BF1">
                    <w:rPr>
                      <w:rFonts w:cs="Arial"/>
                      <w:b/>
                      <w:sz w:val="24"/>
                      <w:szCs w:val="24"/>
                    </w:rPr>
                    <w:t>“Anticipated Contract Value”</w:t>
                  </w:r>
                </w:p>
              </w:tc>
              <w:tc>
                <w:tcPr>
                  <w:tcW w:w="9674" w:type="dxa"/>
                </w:tcPr>
                <w:p w14:paraId="08D97264" w14:textId="7A7E0CE4" w:rsidR="00C7445A" w:rsidRPr="00242BF1" w:rsidRDefault="00C7445A" w:rsidP="00004E0A">
                  <w:pPr>
                    <w:pStyle w:val="SchdLevel2"/>
                    <w:spacing w:after="0" w:line="240" w:lineRule="auto"/>
                    <w:ind w:left="0" w:firstLine="0"/>
                    <w:jc w:val="left"/>
                    <w:rPr>
                      <w:rFonts w:cs="Arial"/>
                      <w:iCs/>
                      <w:sz w:val="24"/>
                      <w:szCs w:val="24"/>
                    </w:rPr>
                  </w:pPr>
                  <w:r w:rsidRPr="00242BF1">
                    <w:rPr>
                      <w:rFonts w:cs="Arial"/>
                      <w:iCs/>
                      <w:sz w:val="24"/>
                      <w:szCs w:val="24"/>
                    </w:rPr>
                    <w:t xml:space="preserve">the sum of </w:t>
                  </w:r>
                  <w:r w:rsidR="00004E0A" w:rsidRPr="00242BF1">
                    <w:rPr>
                      <w:rFonts w:cs="Arial"/>
                      <w:color w:val="000000"/>
                      <w:sz w:val="24"/>
                      <w:szCs w:val="24"/>
                    </w:rPr>
                    <w:t>£394,940,305.69</w:t>
                  </w:r>
                  <w:r w:rsidRPr="00242BF1">
                    <w:rPr>
                      <w:rFonts w:cs="Arial"/>
                      <w:iCs/>
                      <w:sz w:val="24"/>
                      <w:szCs w:val="24"/>
                    </w:rPr>
                    <w:t>;</w:t>
                  </w:r>
                </w:p>
              </w:tc>
            </w:tr>
          </w:tbl>
          <w:p w14:paraId="1A9F7877" w14:textId="77777777" w:rsidR="00F7542A" w:rsidRPr="00242BF1" w:rsidRDefault="00F7542A" w:rsidP="00E162A6">
            <w:pPr>
              <w:pStyle w:val="SchdLevel2"/>
              <w:spacing w:after="0" w:line="240" w:lineRule="auto"/>
              <w:ind w:left="0" w:firstLine="0"/>
              <w:jc w:val="left"/>
              <w:rPr>
                <w:rFonts w:cs="Arial"/>
                <w:i/>
                <w:sz w:val="24"/>
                <w:szCs w:val="24"/>
              </w:rPr>
            </w:pPr>
          </w:p>
        </w:tc>
      </w:tr>
      <w:tr w:rsidR="00F7542A" w:rsidRPr="00242BF1"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242BF1"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242BF1" w:rsidRDefault="004570FA" w:rsidP="00E162A6">
            <w:pPr>
              <w:pStyle w:val="SchdLevel2"/>
              <w:spacing w:after="0" w:line="240" w:lineRule="auto"/>
              <w:ind w:left="0" w:firstLine="0"/>
              <w:jc w:val="left"/>
              <w:rPr>
                <w:rFonts w:cs="Arial"/>
                <w:i/>
                <w:sz w:val="24"/>
                <w:szCs w:val="24"/>
              </w:rPr>
            </w:pPr>
            <w:r w:rsidRPr="00242BF1">
              <w:rPr>
                <w:rFonts w:cs="Arial"/>
                <w:i/>
                <w:sz w:val="24"/>
                <w:szCs w:val="24"/>
              </w:rPr>
              <w:t>The following definition</w:t>
            </w:r>
            <w:r w:rsidR="00C949D4" w:rsidRPr="00242BF1">
              <w:rPr>
                <w:rFonts w:cs="Arial"/>
                <w:i/>
                <w:sz w:val="24"/>
                <w:szCs w:val="24"/>
              </w:rPr>
              <w:t>s</w:t>
            </w:r>
            <w:r w:rsidRPr="00242BF1">
              <w:rPr>
                <w:rFonts w:cs="Arial"/>
                <w:i/>
                <w:sz w:val="24"/>
                <w:szCs w:val="24"/>
              </w:rPr>
              <w:t xml:space="preserve"> shall be added:</w:t>
            </w:r>
          </w:p>
          <w:p w14:paraId="658A11EA" w14:textId="77777777" w:rsidR="004570FA" w:rsidRPr="00242BF1"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242BF1" w14:paraId="0C6EE1BB" w14:textId="77777777" w:rsidTr="004F366C">
              <w:tc>
                <w:tcPr>
                  <w:tcW w:w="2410" w:type="dxa"/>
                </w:tcPr>
                <w:p w14:paraId="21C328CD" w14:textId="77777777" w:rsidR="004570FA" w:rsidRPr="00242BF1" w:rsidRDefault="004570FA" w:rsidP="00E162A6">
                  <w:pPr>
                    <w:pStyle w:val="SchdLevel2"/>
                    <w:spacing w:after="0" w:line="240" w:lineRule="auto"/>
                    <w:ind w:left="0" w:firstLine="0"/>
                    <w:jc w:val="left"/>
                    <w:rPr>
                      <w:rFonts w:cs="Arial"/>
                      <w:b/>
                      <w:sz w:val="24"/>
                      <w:szCs w:val="24"/>
                    </w:rPr>
                  </w:pPr>
                  <w:r w:rsidRPr="00242BF1">
                    <w:rPr>
                      <w:rFonts w:cs="Arial"/>
                      <w:b/>
                      <w:sz w:val="24"/>
                      <w:szCs w:val="24"/>
                    </w:rPr>
                    <w:t>“Extension Contract Cost Register Documentation”</w:t>
                  </w:r>
                </w:p>
                <w:p w14:paraId="7CDE2EEC" w14:textId="77777777" w:rsidR="00C03B10" w:rsidRPr="00242BF1"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242BF1" w:rsidRDefault="004570FA" w:rsidP="00E162A6">
                  <w:pPr>
                    <w:pStyle w:val="SchdLevel2"/>
                    <w:spacing w:after="0" w:line="240" w:lineRule="auto"/>
                    <w:ind w:left="0" w:firstLine="0"/>
                    <w:jc w:val="left"/>
                    <w:rPr>
                      <w:rFonts w:cs="Arial"/>
                      <w:iCs/>
                      <w:sz w:val="24"/>
                      <w:szCs w:val="24"/>
                    </w:rPr>
                  </w:pPr>
                  <w:r w:rsidRPr="00242BF1">
                    <w:rPr>
                      <w:rFonts w:cs="Arial"/>
                      <w:iCs/>
                      <w:sz w:val="24"/>
                      <w:szCs w:val="24"/>
                    </w:rPr>
                    <w:t>the extension contract cost register documentation referred to in Schedule 4.1 (Supplier Solution (Tender));</w:t>
                  </w:r>
                </w:p>
              </w:tc>
            </w:tr>
            <w:tr w:rsidR="00C949D4" w:rsidRPr="00242BF1" w14:paraId="28384B64" w14:textId="77777777" w:rsidTr="004F366C">
              <w:tc>
                <w:tcPr>
                  <w:tcW w:w="2410" w:type="dxa"/>
                </w:tcPr>
                <w:p w14:paraId="094BCC54" w14:textId="0E7299A4" w:rsidR="00C949D4" w:rsidRPr="00242BF1" w:rsidRDefault="007077A4" w:rsidP="00E162A6">
                  <w:pPr>
                    <w:pStyle w:val="SchdLevel2"/>
                    <w:spacing w:after="0" w:line="240" w:lineRule="auto"/>
                    <w:ind w:left="0" w:firstLine="0"/>
                    <w:jc w:val="left"/>
                    <w:rPr>
                      <w:rFonts w:cs="Arial"/>
                      <w:b/>
                      <w:sz w:val="24"/>
                      <w:szCs w:val="24"/>
                    </w:rPr>
                  </w:pPr>
                  <w:r w:rsidRPr="00242BF1">
                    <w:rPr>
                      <w:rFonts w:cs="Arial"/>
                      <w:b/>
                      <w:sz w:val="24"/>
                      <w:szCs w:val="24"/>
                    </w:rPr>
                    <w:t>“Extension Start Cohort”</w:t>
                  </w:r>
                </w:p>
              </w:tc>
              <w:tc>
                <w:tcPr>
                  <w:tcW w:w="9674" w:type="dxa"/>
                </w:tcPr>
                <w:p w14:paraId="58765226" w14:textId="77777777" w:rsidR="00C03B10" w:rsidRPr="00242BF1" w:rsidRDefault="00C03B10" w:rsidP="00E162A6">
                  <w:pPr>
                    <w:pStyle w:val="SchdLevel2"/>
                    <w:spacing w:after="0" w:line="240" w:lineRule="auto"/>
                    <w:ind w:left="0" w:firstLine="0"/>
                    <w:jc w:val="left"/>
                    <w:rPr>
                      <w:rFonts w:cs="Arial"/>
                      <w:iCs/>
                      <w:sz w:val="24"/>
                      <w:szCs w:val="24"/>
                    </w:rPr>
                  </w:pPr>
                  <w:r w:rsidRPr="00242BF1">
                    <w:rPr>
                      <w:rFonts w:cs="Arial"/>
                      <w:iCs/>
                      <w:sz w:val="24"/>
                      <w:szCs w:val="24"/>
                    </w:rPr>
                    <w:t>the Participant Starts which:</w:t>
                  </w:r>
                </w:p>
                <w:p w14:paraId="4E3A6EF8" w14:textId="77777777" w:rsidR="00C03B10" w:rsidRPr="00242BF1" w:rsidRDefault="00C03B10" w:rsidP="00E162A6">
                  <w:pPr>
                    <w:pStyle w:val="SchdLevel2"/>
                    <w:numPr>
                      <w:ilvl w:val="0"/>
                      <w:numId w:val="9"/>
                    </w:numPr>
                    <w:spacing w:after="0" w:line="240" w:lineRule="auto"/>
                    <w:jc w:val="left"/>
                    <w:rPr>
                      <w:rFonts w:cs="Arial"/>
                      <w:iCs/>
                      <w:sz w:val="24"/>
                      <w:szCs w:val="24"/>
                    </w:rPr>
                  </w:pPr>
                  <w:r w:rsidRPr="00242BF1">
                    <w:rPr>
                      <w:rFonts w:cs="Arial"/>
                      <w:iCs/>
                      <w:sz w:val="24"/>
                      <w:szCs w:val="24"/>
                    </w:rPr>
                    <w:t xml:space="preserve">are recorded on the </w:t>
                  </w:r>
                  <w:proofErr w:type="spellStart"/>
                  <w:r w:rsidRPr="00242BF1">
                    <w:rPr>
                      <w:rFonts w:cs="Arial"/>
                      <w:iCs/>
                      <w:sz w:val="24"/>
                      <w:szCs w:val="24"/>
                    </w:rPr>
                    <w:t>PRaP</w:t>
                  </w:r>
                  <w:proofErr w:type="spellEnd"/>
                  <w:r w:rsidRPr="00242BF1">
                    <w:rPr>
                      <w:rFonts w:cs="Arial"/>
                      <w:iCs/>
                      <w:sz w:val="24"/>
                      <w:szCs w:val="24"/>
                    </w:rPr>
                    <w:t xml:space="preserve"> system in each Cohort Period; and  </w:t>
                  </w:r>
                </w:p>
                <w:p w14:paraId="32C000E7" w14:textId="77777777" w:rsidR="00C03B10" w:rsidRPr="00242BF1" w:rsidRDefault="00C03B10" w:rsidP="00E162A6">
                  <w:pPr>
                    <w:pStyle w:val="SchdLevel2"/>
                    <w:numPr>
                      <w:ilvl w:val="0"/>
                      <w:numId w:val="9"/>
                    </w:numPr>
                    <w:spacing w:after="0" w:line="240" w:lineRule="auto"/>
                    <w:jc w:val="left"/>
                    <w:rPr>
                      <w:rFonts w:cs="Arial"/>
                      <w:iCs/>
                      <w:sz w:val="24"/>
                      <w:szCs w:val="24"/>
                    </w:rPr>
                  </w:pPr>
                  <w:r w:rsidRPr="00242BF1">
                    <w:rPr>
                      <w:rFonts w:cs="Arial"/>
                      <w:iCs/>
                      <w:sz w:val="24"/>
                      <w:szCs w:val="24"/>
                    </w:rPr>
                    <w:t xml:space="preserve">relate to individuals Referred on or after 1 July </w:t>
                  </w:r>
                  <w:proofErr w:type="gramStart"/>
                  <w:r w:rsidRPr="00242BF1">
                    <w:rPr>
                      <w:rFonts w:cs="Arial"/>
                      <w:iCs/>
                      <w:sz w:val="24"/>
                      <w:szCs w:val="24"/>
                    </w:rPr>
                    <w:t>2024;</w:t>
                  </w:r>
                  <w:proofErr w:type="gramEnd"/>
                </w:p>
                <w:p w14:paraId="3BEA57D5" w14:textId="77777777" w:rsidR="00C949D4" w:rsidRPr="00242BF1" w:rsidRDefault="00C949D4" w:rsidP="00E162A6">
                  <w:pPr>
                    <w:pStyle w:val="SchdLevel2"/>
                    <w:spacing w:after="0" w:line="240" w:lineRule="auto"/>
                    <w:ind w:left="0" w:firstLine="0"/>
                    <w:jc w:val="left"/>
                    <w:rPr>
                      <w:rFonts w:cs="Arial"/>
                      <w:iCs/>
                      <w:sz w:val="24"/>
                      <w:szCs w:val="24"/>
                    </w:rPr>
                  </w:pPr>
                </w:p>
              </w:tc>
            </w:tr>
            <w:tr w:rsidR="00F868CD" w:rsidRPr="00242BF1" w14:paraId="2F9EDF9C" w14:textId="77777777" w:rsidTr="004F366C">
              <w:tc>
                <w:tcPr>
                  <w:tcW w:w="2410" w:type="dxa"/>
                </w:tcPr>
                <w:p w14:paraId="61E1D61A" w14:textId="780247DE" w:rsidR="00F868CD" w:rsidRPr="00242BF1" w:rsidRDefault="00F868CD" w:rsidP="00E162A6">
                  <w:pPr>
                    <w:pStyle w:val="SchdLevel2"/>
                    <w:spacing w:after="0" w:line="240" w:lineRule="auto"/>
                    <w:ind w:left="0" w:firstLine="0"/>
                    <w:jc w:val="left"/>
                    <w:rPr>
                      <w:rFonts w:cs="Arial"/>
                      <w:b/>
                      <w:sz w:val="24"/>
                      <w:szCs w:val="24"/>
                    </w:rPr>
                  </w:pPr>
                  <w:r w:rsidRPr="00242BF1">
                    <w:rPr>
                      <w:rFonts w:cs="Arial"/>
                      <w:b/>
                      <w:sz w:val="24"/>
                      <w:szCs w:val="24"/>
                    </w:rPr>
                    <w:lastRenderedPageBreak/>
                    <w:t>“Initial Start Cohort”</w:t>
                  </w:r>
                </w:p>
              </w:tc>
              <w:tc>
                <w:tcPr>
                  <w:tcW w:w="9674" w:type="dxa"/>
                </w:tcPr>
                <w:p w14:paraId="12AE5E5B" w14:textId="77777777" w:rsidR="00107796" w:rsidRPr="00242BF1" w:rsidRDefault="00107796" w:rsidP="00E162A6">
                  <w:pPr>
                    <w:pStyle w:val="SchdLevel2"/>
                    <w:spacing w:after="0" w:line="240" w:lineRule="auto"/>
                    <w:ind w:left="0" w:firstLine="0"/>
                    <w:jc w:val="left"/>
                    <w:rPr>
                      <w:rFonts w:cs="Arial"/>
                      <w:iCs/>
                      <w:sz w:val="24"/>
                      <w:szCs w:val="24"/>
                    </w:rPr>
                  </w:pPr>
                  <w:r w:rsidRPr="00242BF1">
                    <w:rPr>
                      <w:rFonts w:cs="Arial"/>
                      <w:iCs/>
                      <w:sz w:val="24"/>
                      <w:szCs w:val="24"/>
                    </w:rPr>
                    <w:t>the Participant Starts which:</w:t>
                  </w:r>
                </w:p>
                <w:p w14:paraId="1C68A1F8" w14:textId="77777777" w:rsidR="00107796" w:rsidRPr="00242BF1" w:rsidRDefault="00107796" w:rsidP="00E162A6">
                  <w:pPr>
                    <w:pStyle w:val="SchdLevel2"/>
                    <w:numPr>
                      <w:ilvl w:val="0"/>
                      <w:numId w:val="10"/>
                    </w:numPr>
                    <w:spacing w:after="0" w:line="240" w:lineRule="auto"/>
                    <w:jc w:val="left"/>
                    <w:rPr>
                      <w:rFonts w:cs="Arial"/>
                      <w:iCs/>
                      <w:sz w:val="24"/>
                      <w:szCs w:val="24"/>
                    </w:rPr>
                  </w:pPr>
                  <w:r w:rsidRPr="00242BF1">
                    <w:rPr>
                      <w:rFonts w:cs="Arial"/>
                      <w:iCs/>
                      <w:sz w:val="24"/>
                      <w:szCs w:val="24"/>
                    </w:rPr>
                    <w:t xml:space="preserve">are recorded on the </w:t>
                  </w:r>
                  <w:proofErr w:type="spellStart"/>
                  <w:r w:rsidRPr="00242BF1">
                    <w:rPr>
                      <w:rFonts w:cs="Arial"/>
                      <w:iCs/>
                      <w:sz w:val="24"/>
                      <w:szCs w:val="24"/>
                    </w:rPr>
                    <w:t>PRaP</w:t>
                  </w:r>
                  <w:proofErr w:type="spellEnd"/>
                  <w:r w:rsidRPr="00242BF1">
                    <w:rPr>
                      <w:rFonts w:cs="Arial"/>
                      <w:iCs/>
                      <w:sz w:val="24"/>
                      <w:szCs w:val="24"/>
                    </w:rPr>
                    <w:t xml:space="preserve"> system in each Cohort Period; and </w:t>
                  </w:r>
                </w:p>
                <w:p w14:paraId="2FDF9689" w14:textId="7127BC1D" w:rsidR="00F868CD" w:rsidRPr="00242BF1" w:rsidRDefault="00107796" w:rsidP="00E162A6">
                  <w:pPr>
                    <w:pStyle w:val="SchdLevel2"/>
                    <w:numPr>
                      <w:ilvl w:val="0"/>
                      <w:numId w:val="10"/>
                    </w:numPr>
                    <w:spacing w:after="0" w:line="240" w:lineRule="auto"/>
                    <w:jc w:val="left"/>
                    <w:rPr>
                      <w:rFonts w:cs="Arial"/>
                      <w:iCs/>
                      <w:sz w:val="24"/>
                      <w:szCs w:val="24"/>
                    </w:rPr>
                  </w:pPr>
                  <w:r w:rsidRPr="00242BF1">
                    <w:rPr>
                      <w:rFonts w:cs="Arial"/>
                      <w:iCs/>
                      <w:sz w:val="24"/>
                      <w:szCs w:val="24"/>
                    </w:rPr>
                    <w:t>relate to individuals Referred on or before 30 June 2024;</w:t>
                  </w:r>
                </w:p>
              </w:tc>
            </w:tr>
          </w:tbl>
          <w:p w14:paraId="20A6B1A0" w14:textId="77777777" w:rsidR="00F7542A" w:rsidRPr="00242BF1" w:rsidRDefault="00F7542A" w:rsidP="00E162A6">
            <w:pPr>
              <w:pStyle w:val="SchdLevel2"/>
              <w:spacing w:after="0" w:line="240" w:lineRule="auto"/>
              <w:ind w:left="0" w:firstLine="0"/>
              <w:jc w:val="left"/>
              <w:rPr>
                <w:rFonts w:cs="Arial"/>
                <w:i/>
                <w:sz w:val="24"/>
                <w:szCs w:val="24"/>
              </w:rPr>
            </w:pPr>
          </w:p>
        </w:tc>
      </w:tr>
      <w:tr w:rsidR="001D51B4" w:rsidRPr="00242BF1"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242BF1"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242BF1" w:rsidRDefault="001D51B4"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“Referral Period End Date” shall be replaced with the following:</w:t>
            </w:r>
          </w:p>
          <w:p w14:paraId="3FAE850C" w14:textId="77777777" w:rsidR="001D51B4" w:rsidRPr="00242BF1"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242BF1" w14:paraId="1B2E11E0" w14:textId="77777777" w:rsidTr="004F366C">
              <w:tc>
                <w:tcPr>
                  <w:tcW w:w="2410" w:type="dxa"/>
                </w:tcPr>
                <w:p w14:paraId="2532FEC5" w14:textId="77777777" w:rsidR="001D51B4" w:rsidRPr="00242BF1" w:rsidRDefault="001D51B4" w:rsidP="00E162A6">
                  <w:pPr>
                    <w:pStyle w:val="SchdLevel2"/>
                    <w:spacing w:after="0" w:line="240" w:lineRule="auto"/>
                    <w:ind w:left="0" w:firstLine="0"/>
                    <w:jc w:val="left"/>
                    <w:rPr>
                      <w:rFonts w:cs="Arial"/>
                      <w:i/>
                      <w:sz w:val="24"/>
                      <w:szCs w:val="24"/>
                    </w:rPr>
                  </w:pPr>
                  <w:r w:rsidRPr="00242BF1">
                    <w:rPr>
                      <w:rFonts w:cs="Arial"/>
                      <w:b/>
                      <w:sz w:val="24"/>
                      <w:szCs w:val="24"/>
                    </w:rPr>
                    <w:t>“Referral Period End Date”</w:t>
                  </w:r>
                </w:p>
              </w:tc>
              <w:tc>
                <w:tcPr>
                  <w:tcW w:w="9674" w:type="dxa"/>
                </w:tcPr>
                <w:p w14:paraId="30648423" w14:textId="77777777" w:rsidR="001D51B4" w:rsidRPr="00242BF1" w:rsidRDefault="001D51B4" w:rsidP="00E162A6">
                  <w:pPr>
                    <w:pStyle w:val="SchdLevel2"/>
                    <w:spacing w:after="0" w:line="240" w:lineRule="auto"/>
                    <w:ind w:left="0" w:firstLine="0"/>
                    <w:jc w:val="left"/>
                    <w:rPr>
                      <w:rFonts w:cs="Arial"/>
                      <w:iCs/>
                      <w:sz w:val="24"/>
                      <w:szCs w:val="24"/>
                    </w:rPr>
                  </w:pPr>
                  <w:r w:rsidRPr="00242BF1">
                    <w:rPr>
                      <w:rFonts w:cs="Arial"/>
                      <w:iCs/>
                      <w:sz w:val="24"/>
                      <w:szCs w:val="24"/>
                    </w:rPr>
                    <w:t>30 June 2026;</w:t>
                  </w:r>
                </w:p>
              </w:tc>
            </w:tr>
          </w:tbl>
          <w:p w14:paraId="3125BD3F" w14:textId="77777777" w:rsidR="001D51B4" w:rsidRPr="00242BF1" w:rsidRDefault="001D51B4" w:rsidP="00E162A6">
            <w:pPr>
              <w:pStyle w:val="SchdLevel2"/>
              <w:spacing w:after="0" w:line="240" w:lineRule="auto"/>
              <w:ind w:left="0" w:firstLine="0"/>
              <w:jc w:val="left"/>
              <w:rPr>
                <w:rFonts w:cs="Arial"/>
                <w:i/>
                <w:sz w:val="24"/>
                <w:szCs w:val="24"/>
              </w:rPr>
            </w:pPr>
          </w:p>
        </w:tc>
      </w:tr>
      <w:tr w:rsidR="001D51B4" w:rsidRPr="00242BF1"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242BF1"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242BF1" w:rsidRDefault="005A2DB6"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“Start Cohort” shall be replaced with the following:</w:t>
            </w:r>
          </w:p>
          <w:p w14:paraId="533C1284" w14:textId="77777777" w:rsidR="005A2DB6" w:rsidRPr="00242BF1"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242BF1" w14:paraId="4991CD17" w14:textId="77777777" w:rsidTr="004F366C">
              <w:tc>
                <w:tcPr>
                  <w:tcW w:w="2410" w:type="dxa"/>
                </w:tcPr>
                <w:p w14:paraId="429F2DF7" w14:textId="77777777" w:rsidR="005A2DB6" w:rsidRPr="00242BF1" w:rsidRDefault="005A2DB6" w:rsidP="00E162A6">
                  <w:pPr>
                    <w:pStyle w:val="SchdLevel2"/>
                    <w:spacing w:after="0" w:line="240" w:lineRule="auto"/>
                    <w:ind w:left="0" w:firstLine="0"/>
                    <w:jc w:val="left"/>
                    <w:rPr>
                      <w:rFonts w:cs="Arial"/>
                      <w:i/>
                      <w:sz w:val="24"/>
                      <w:szCs w:val="24"/>
                    </w:rPr>
                  </w:pPr>
                  <w:r w:rsidRPr="00242BF1">
                    <w:rPr>
                      <w:rFonts w:cs="Arial"/>
                      <w:b/>
                      <w:sz w:val="24"/>
                      <w:szCs w:val="24"/>
                    </w:rPr>
                    <w:t>“Start Cohort”</w:t>
                  </w:r>
                </w:p>
              </w:tc>
              <w:tc>
                <w:tcPr>
                  <w:tcW w:w="9674" w:type="dxa"/>
                </w:tcPr>
                <w:p w14:paraId="6FB338AA" w14:textId="77777777" w:rsidR="005A2DB6" w:rsidRPr="00242BF1" w:rsidRDefault="005A2DB6" w:rsidP="00E162A6">
                  <w:pPr>
                    <w:pStyle w:val="SchdLevel2"/>
                    <w:spacing w:after="0" w:line="240" w:lineRule="auto"/>
                    <w:ind w:left="0" w:firstLine="0"/>
                    <w:jc w:val="left"/>
                    <w:rPr>
                      <w:rFonts w:cs="Arial"/>
                      <w:iCs/>
                      <w:sz w:val="24"/>
                      <w:szCs w:val="24"/>
                    </w:rPr>
                  </w:pPr>
                  <w:r w:rsidRPr="00242BF1">
                    <w:rPr>
                      <w:rFonts w:cs="Arial"/>
                      <w:iCs/>
                      <w:sz w:val="24"/>
                      <w:szCs w:val="24"/>
                    </w:rPr>
                    <w:t>an Initial Start Cohort or Extension Start Cohort, as the context requires;</w:t>
                  </w:r>
                </w:p>
              </w:tc>
            </w:tr>
          </w:tbl>
          <w:p w14:paraId="1C594B6F" w14:textId="77777777" w:rsidR="001D51B4" w:rsidRPr="00242BF1" w:rsidRDefault="001D51B4" w:rsidP="00E162A6">
            <w:pPr>
              <w:pStyle w:val="SchdLevel2"/>
              <w:spacing w:after="0" w:line="240" w:lineRule="auto"/>
              <w:ind w:left="0" w:firstLine="0"/>
              <w:jc w:val="left"/>
              <w:rPr>
                <w:rFonts w:cs="Arial"/>
                <w:i/>
                <w:sz w:val="24"/>
                <w:szCs w:val="24"/>
              </w:rPr>
            </w:pPr>
          </w:p>
        </w:tc>
      </w:tr>
      <w:tr w:rsidR="001D51B4" w:rsidRPr="00242BF1"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242BF1" w:rsidRDefault="007E39A8" w:rsidP="00E162A6">
            <w:pPr>
              <w:rPr>
                <w:bCs/>
              </w:rPr>
            </w:pPr>
            <w:r w:rsidRPr="00242BF1">
              <w:rPr>
                <w:bCs/>
              </w:rPr>
              <w:t>Schedule 2.1</w:t>
            </w:r>
          </w:p>
          <w:p w14:paraId="5AAF0548" w14:textId="7A4406E9" w:rsidR="001D51B4" w:rsidRPr="00242BF1" w:rsidRDefault="007E39A8" w:rsidP="00E162A6">
            <w:pPr>
              <w:rPr>
                <w:bCs/>
              </w:rPr>
            </w:pPr>
            <w:r w:rsidRPr="00242BF1">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2EE4E688" w:rsidR="001D51B4" w:rsidRPr="00242BF1" w:rsidRDefault="00EF1167" w:rsidP="00E162A6">
            <w:pPr>
              <w:pStyle w:val="SchdLevel2"/>
              <w:spacing w:after="0" w:line="240" w:lineRule="auto"/>
              <w:ind w:left="0" w:firstLine="0"/>
              <w:jc w:val="left"/>
              <w:rPr>
                <w:rFonts w:cs="Arial"/>
                <w:i/>
                <w:sz w:val="24"/>
                <w:szCs w:val="24"/>
              </w:rPr>
            </w:pPr>
            <w:r w:rsidRPr="00242BF1">
              <w:rPr>
                <w:rFonts w:cs="Arial"/>
                <w:i/>
                <w:sz w:val="24"/>
                <w:szCs w:val="24"/>
              </w:rPr>
              <w:t xml:space="preserve">The existing Specification at Annex A shall be modified in accordance with Appendix 2 to </w:t>
            </w:r>
            <w:r w:rsidR="0017303F" w:rsidRPr="00242BF1">
              <w:rPr>
                <w:rFonts w:cs="Arial"/>
                <w:i/>
                <w:sz w:val="24"/>
                <w:szCs w:val="24"/>
              </w:rPr>
              <w:t>5a-116-A10</w:t>
            </w:r>
            <w:r w:rsidRPr="00242BF1">
              <w:rPr>
                <w:rFonts w:cs="Arial"/>
                <w:i/>
                <w:sz w:val="24"/>
                <w:szCs w:val="24"/>
              </w:rPr>
              <w:t xml:space="preserve"> below.</w:t>
            </w:r>
          </w:p>
        </w:tc>
      </w:tr>
      <w:tr w:rsidR="00FE556C" w:rsidRPr="00242BF1"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242BF1" w:rsidRDefault="00127867" w:rsidP="00E162A6">
            <w:pPr>
              <w:rPr>
                <w:bCs/>
              </w:rPr>
            </w:pPr>
            <w:r w:rsidRPr="00242BF1">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242BF1" w:rsidRDefault="00E31391" w:rsidP="00E162A6">
            <w:pPr>
              <w:pStyle w:val="SchdLevel2"/>
              <w:spacing w:after="0" w:line="240" w:lineRule="auto"/>
              <w:ind w:left="0" w:firstLine="0"/>
              <w:jc w:val="left"/>
              <w:rPr>
                <w:rFonts w:cs="Arial"/>
                <w:i/>
                <w:sz w:val="24"/>
                <w:szCs w:val="24"/>
              </w:rPr>
            </w:pPr>
            <w:r w:rsidRPr="00242BF1">
              <w:rPr>
                <w:rFonts w:cs="Arial"/>
                <w:i/>
                <w:sz w:val="24"/>
                <w:szCs w:val="24"/>
              </w:rPr>
              <w:t>The existing box in paragraph 1 (including its text) shall be replaced with the following:</w:t>
            </w:r>
          </w:p>
          <w:p w14:paraId="5B22725D" w14:textId="77777777" w:rsidR="00E31391" w:rsidRPr="00242BF1"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242BF1" w14:paraId="0D8E7610" w14:textId="77777777" w:rsidTr="004F366C">
              <w:trPr>
                <w:trHeight w:val="85"/>
              </w:trPr>
              <w:tc>
                <w:tcPr>
                  <w:tcW w:w="10393" w:type="dxa"/>
                </w:tcPr>
                <w:p w14:paraId="538A5258" w14:textId="77777777" w:rsidR="00E31391" w:rsidRPr="00242BF1" w:rsidRDefault="00E31391" w:rsidP="00E162A6">
                  <w:pPr>
                    <w:widowControl w:val="0"/>
                  </w:pPr>
                  <w:r w:rsidRPr="00242BF1">
                    <w:rPr>
                      <w:b/>
                    </w:rPr>
                    <w:t>Minimum Performance Expectation:</w:t>
                  </w:r>
                  <w:r w:rsidRPr="00242BF1">
                    <w:t xml:space="preserve"> </w:t>
                  </w:r>
                </w:p>
                <w:tbl>
                  <w:tblPr>
                    <w:tblStyle w:val="TableGrid"/>
                    <w:tblW w:w="0" w:type="auto"/>
                    <w:tblLook w:val="04A0" w:firstRow="1" w:lastRow="0" w:firstColumn="1" w:lastColumn="0" w:noHBand="0" w:noVBand="1"/>
                  </w:tblPr>
                  <w:tblGrid>
                    <w:gridCol w:w="6020"/>
                    <w:gridCol w:w="3686"/>
                  </w:tblGrid>
                  <w:tr w:rsidR="00E31391" w:rsidRPr="00242BF1"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242BF1"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242BF1" w:rsidRDefault="00E31391" w:rsidP="00E162A6">
                        <w:pPr>
                          <w:widowControl w:val="0"/>
                          <w:jc w:val="center"/>
                          <w:rPr>
                            <w:bCs/>
                          </w:rPr>
                        </w:pPr>
                        <w:r w:rsidRPr="00242BF1">
                          <w:rPr>
                            <w:bCs/>
                          </w:rPr>
                          <w:t>Relevant percentage</w:t>
                        </w:r>
                      </w:p>
                    </w:tc>
                  </w:tr>
                  <w:tr w:rsidR="00E31391" w:rsidRPr="00242BF1" w14:paraId="12EC2267" w14:textId="77777777" w:rsidTr="004F366C">
                    <w:tc>
                      <w:tcPr>
                        <w:tcW w:w="6020" w:type="dxa"/>
                        <w:tcMar>
                          <w:top w:w="57" w:type="dxa"/>
                          <w:bottom w:w="57" w:type="dxa"/>
                        </w:tcMar>
                        <w:vAlign w:val="center"/>
                      </w:tcPr>
                      <w:p w14:paraId="5089A17B" w14:textId="77777777" w:rsidR="00E31391" w:rsidRPr="00242BF1" w:rsidRDefault="00E31391" w:rsidP="00E162A6">
                        <w:pPr>
                          <w:widowControl w:val="0"/>
                        </w:pPr>
                        <w:r w:rsidRPr="00242BF1">
                          <w:t>For each Initial Start Cohort starting before July 2022</w:t>
                        </w:r>
                      </w:p>
                    </w:tc>
                    <w:tc>
                      <w:tcPr>
                        <w:tcW w:w="3686" w:type="dxa"/>
                        <w:tcMar>
                          <w:top w:w="57" w:type="dxa"/>
                          <w:bottom w:w="57" w:type="dxa"/>
                        </w:tcMar>
                        <w:vAlign w:val="center"/>
                      </w:tcPr>
                      <w:p w14:paraId="4B04D1A9" w14:textId="77777777" w:rsidR="00E31391" w:rsidRPr="00242BF1" w:rsidRDefault="00E31391" w:rsidP="00E162A6">
                        <w:pPr>
                          <w:widowControl w:val="0"/>
                          <w:jc w:val="center"/>
                          <w:rPr>
                            <w:bCs/>
                          </w:rPr>
                        </w:pPr>
                        <w:r w:rsidRPr="00242BF1">
                          <w:rPr>
                            <w:bCs/>
                          </w:rPr>
                          <w:t>25%</w:t>
                        </w:r>
                      </w:p>
                    </w:tc>
                  </w:tr>
                  <w:tr w:rsidR="00E31391" w:rsidRPr="00242BF1" w14:paraId="003AC4E1" w14:textId="77777777" w:rsidTr="004F366C">
                    <w:tc>
                      <w:tcPr>
                        <w:tcW w:w="6020" w:type="dxa"/>
                        <w:tcMar>
                          <w:top w:w="57" w:type="dxa"/>
                          <w:bottom w:w="57" w:type="dxa"/>
                        </w:tcMar>
                        <w:vAlign w:val="center"/>
                      </w:tcPr>
                      <w:p w14:paraId="07F09360" w14:textId="77777777" w:rsidR="00E31391" w:rsidRPr="00242BF1" w:rsidRDefault="00E31391" w:rsidP="00E162A6">
                        <w:pPr>
                          <w:widowControl w:val="0"/>
                        </w:pPr>
                        <w:r w:rsidRPr="00242BF1">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242BF1" w:rsidRDefault="00E31391" w:rsidP="00E162A6">
                        <w:pPr>
                          <w:widowControl w:val="0"/>
                          <w:jc w:val="center"/>
                          <w:rPr>
                            <w:bCs/>
                          </w:rPr>
                        </w:pPr>
                        <w:r w:rsidRPr="00242BF1">
                          <w:rPr>
                            <w:bCs/>
                          </w:rPr>
                          <w:t>27%</w:t>
                        </w:r>
                      </w:p>
                    </w:tc>
                  </w:tr>
                  <w:tr w:rsidR="00E31391" w:rsidRPr="00242BF1" w14:paraId="33343754" w14:textId="77777777" w:rsidTr="004F366C">
                    <w:tc>
                      <w:tcPr>
                        <w:tcW w:w="6020" w:type="dxa"/>
                        <w:tcMar>
                          <w:top w:w="57" w:type="dxa"/>
                          <w:bottom w:w="57" w:type="dxa"/>
                        </w:tcMar>
                        <w:vAlign w:val="center"/>
                      </w:tcPr>
                      <w:p w14:paraId="699F90E7" w14:textId="77777777" w:rsidR="00E31391" w:rsidRPr="00242BF1" w:rsidRDefault="00E31391" w:rsidP="00E162A6">
                        <w:pPr>
                          <w:widowControl w:val="0"/>
                        </w:pPr>
                        <w:r w:rsidRPr="00242BF1">
                          <w:t>For each Extension Start Cohort</w:t>
                        </w:r>
                      </w:p>
                    </w:tc>
                    <w:tc>
                      <w:tcPr>
                        <w:tcW w:w="3686" w:type="dxa"/>
                        <w:tcMar>
                          <w:top w:w="57" w:type="dxa"/>
                          <w:bottom w:w="57" w:type="dxa"/>
                        </w:tcMar>
                        <w:vAlign w:val="center"/>
                      </w:tcPr>
                      <w:p w14:paraId="2986CB5B" w14:textId="77777777" w:rsidR="00E31391" w:rsidRPr="00242BF1" w:rsidRDefault="00E31391" w:rsidP="00E162A6">
                        <w:pPr>
                          <w:widowControl w:val="0"/>
                          <w:jc w:val="center"/>
                          <w:rPr>
                            <w:bCs/>
                          </w:rPr>
                        </w:pPr>
                        <w:r w:rsidRPr="00242BF1">
                          <w:rPr>
                            <w:bCs/>
                          </w:rPr>
                          <w:t>28%</w:t>
                        </w:r>
                      </w:p>
                    </w:tc>
                  </w:tr>
                </w:tbl>
                <w:p w14:paraId="753B601D" w14:textId="77777777" w:rsidR="00E31391" w:rsidRPr="00242BF1" w:rsidRDefault="00E31391" w:rsidP="00E162A6">
                  <w:pPr>
                    <w:widowControl w:val="0"/>
                    <w:rPr>
                      <w:b/>
                      <w:bCs/>
                    </w:rPr>
                  </w:pPr>
                </w:p>
                <w:p w14:paraId="160D1590" w14:textId="77777777" w:rsidR="00601F6B" w:rsidRPr="00242BF1" w:rsidRDefault="00601F6B" w:rsidP="00E162A6">
                  <w:pPr>
                    <w:widowControl w:val="0"/>
                    <w:rPr>
                      <w:b/>
                      <w:bCs/>
                    </w:rPr>
                  </w:pPr>
                </w:p>
                <w:p w14:paraId="5EDB11EC" w14:textId="77777777" w:rsidR="00601F6B" w:rsidRPr="00242BF1" w:rsidRDefault="00601F6B" w:rsidP="00E162A6">
                  <w:pPr>
                    <w:widowControl w:val="0"/>
                    <w:rPr>
                      <w:b/>
                      <w:bCs/>
                    </w:rPr>
                  </w:pPr>
                </w:p>
                <w:p w14:paraId="01E32722" w14:textId="77777777" w:rsidR="00E31391" w:rsidRPr="00242BF1" w:rsidRDefault="00E31391" w:rsidP="00E162A6">
                  <w:pPr>
                    <w:widowControl w:val="0"/>
                  </w:pPr>
                  <w:r w:rsidRPr="00242BF1">
                    <w:rPr>
                      <w:b/>
                    </w:rPr>
                    <w:lastRenderedPageBreak/>
                    <w:t>Tender Performance Expectation:</w:t>
                  </w:r>
                  <w:r w:rsidRPr="00242BF1">
                    <w:t xml:space="preserve"> </w:t>
                  </w:r>
                </w:p>
                <w:tbl>
                  <w:tblPr>
                    <w:tblStyle w:val="TableGrid"/>
                    <w:tblW w:w="0" w:type="auto"/>
                    <w:tblLook w:val="04A0" w:firstRow="1" w:lastRow="0" w:firstColumn="1" w:lastColumn="0" w:noHBand="0" w:noVBand="1"/>
                  </w:tblPr>
                  <w:tblGrid>
                    <w:gridCol w:w="6020"/>
                    <w:gridCol w:w="3686"/>
                  </w:tblGrid>
                  <w:tr w:rsidR="00E31391" w:rsidRPr="00242BF1"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242BF1"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242BF1" w:rsidRDefault="00E31391" w:rsidP="00E162A6">
                        <w:pPr>
                          <w:widowControl w:val="0"/>
                          <w:jc w:val="center"/>
                          <w:rPr>
                            <w:bCs/>
                          </w:rPr>
                        </w:pPr>
                        <w:r w:rsidRPr="00242BF1">
                          <w:rPr>
                            <w:bCs/>
                          </w:rPr>
                          <w:t>Relevant percentage</w:t>
                        </w:r>
                      </w:p>
                    </w:tc>
                  </w:tr>
                  <w:tr w:rsidR="00F237A2" w:rsidRPr="00242BF1" w14:paraId="0AE6D3A9" w14:textId="77777777" w:rsidTr="00851CBA">
                    <w:tc>
                      <w:tcPr>
                        <w:tcW w:w="6020" w:type="dxa"/>
                        <w:tcMar>
                          <w:top w:w="57" w:type="dxa"/>
                          <w:bottom w:w="57" w:type="dxa"/>
                        </w:tcMar>
                        <w:vAlign w:val="center"/>
                      </w:tcPr>
                      <w:p w14:paraId="32964294" w14:textId="77777777" w:rsidR="00F237A2" w:rsidRPr="00242BF1" w:rsidRDefault="00F237A2" w:rsidP="00F237A2">
                        <w:pPr>
                          <w:widowControl w:val="0"/>
                        </w:pPr>
                        <w:r w:rsidRPr="00242BF1">
                          <w:t>For each Initial Start Cohort starting before July 2022</w:t>
                        </w:r>
                      </w:p>
                    </w:tc>
                    <w:tc>
                      <w:tcPr>
                        <w:tcW w:w="3686" w:type="dxa"/>
                        <w:tcMar>
                          <w:top w:w="57" w:type="dxa"/>
                          <w:bottom w:w="57" w:type="dxa"/>
                        </w:tcMar>
                      </w:tcPr>
                      <w:p w14:paraId="4984E8E1" w14:textId="60FA1979" w:rsidR="00F237A2" w:rsidRPr="00242BF1" w:rsidRDefault="00F237A2" w:rsidP="00F237A2">
                        <w:pPr>
                          <w:widowControl w:val="0"/>
                          <w:jc w:val="center"/>
                          <w:rPr>
                            <w:bCs/>
                          </w:rPr>
                        </w:pPr>
                        <w:r w:rsidRPr="00242BF1">
                          <w:rPr>
                            <w:rStyle w:val="normaltextrun"/>
                            <w:color w:val="000000"/>
                          </w:rPr>
                          <w:t>[REDACTED]</w:t>
                        </w:r>
                      </w:p>
                    </w:tc>
                  </w:tr>
                  <w:tr w:rsidR="00F237A2" w:rsidRPr="00242BF1" w14:paraId="271A5B79" w14:textId="77777777" w:rsidTr="00851CBA">
                    <w:tc>
                      <w:tcPr>
                        <w:tcW w:w="6020" w:type="dxa"/>
                        <w:tcMar>
                          <w:top w:w="57" w:type="dxa"/>
                          <w:bottom w:w="57" w:type="dxa"/>
                        </w:tcMar>
                        <w:vAlign w:val="center"/>
                      </w:tcPr>
                      <w:p w14:paraId="5452BEA7" w14:textId="77777777" w:rsidR="00F237A2" w:rsidRPr="00242BF1" w:rsidRDefault="00F237A2" w:rsidP="00F237A2">
                        <w:pPr>
                          <w:widowControl w:val="0"/>
                        </w:pPr>
                        <w:r w:rsidRPr="00242BF1">
                          <w:t>For the Initial Start Cohort starting in July 2022 and each Initial Start Cohort starting after July 2022</w:t>
                        </w:r>
                      </w:p>
                    </w:tc>
                    <w:tc>
                      <w:tcPr>
                        <w:tcW w:w="3686" w:type="dxa"/>
                        <w:tcMar>
                          <w:top w:w="57" w:type="dxa"/>
                          <w:bottom w:w="57" w:type="dxa"/>
                        </w:tcMar>
                      </w:tcPr>
                      <w:p w14:paraId="0568F8B8" w14:textId="0230095E" w:rsidR="00F237A2" w:rsidRPr="00242BF1" w:rsidRDefault="00F237A2" w:rsidP="00F237A2">
                        <w:pPr>
                          <w:widowControl w:val="0"/>
                          <w:jc w:val="center"/>
                          <w:rPr>
                            <w:bCs/>
                          </w:rPr>
                        </w:pPr>
                        <w:r w:rsidRPr="00242BF1">
                          <w:rPr>
                            <w:rStyle w:val="normaltextrun"/>
                            <w:color w:val="000000"/>
                          </w:rPr>
                          <w:t>[REDACTED]</w:t>
                        </w:r>
                      </w:p>
                    </w:tc>
                  </w:tr>
                  <w:tr w:rsidR="00F237A2" w:rsidRPr="00242BF1" w14:paraId="4BA33B7F" w14:textId="77777777" w:rsidTr="00851CBA">
                    <w:tc>
                      <w:tcPr>
                        <w:tcW w:w="6020" w:type="dxa"/>
                        <w:tcMar>
                          <w:top w:w="57" w:type="dxa"/>
                          <w:bottom w:w="57" w:type="dxa"/>
                        </w:tcMar>
                        <w:vAlign w:val="center"/>
                      </w:tcPr>
                      <w:p w14:paraId="39340660" w14:textId="77777777" w:rsidR="00F237A2" w:rsidRPr="00242BF1" w:rsidRDefault="00F237A2" w:rsidP="00F237A2">
                        <w:pPr>
                          <w:widowControl w:val="0"/>
                        </w:pPr>
                        <w:r w:rsidRPr="00242BF1">
                          <w:t>For each Extension Start Cohort</w:t>
                        </w:r>
                      </w:p>
                    </w:tc>
                    <w:tc>
                      <w:tcPr>
                        <w:tcW w:w="3686" w:type="dxa"/>
                        <w:tcMar>
                          <w:top w:w="57" w:type="dxa"/>
                          <w:bottom w:w="57" w:type="dxa"/>
                        </w:tcMar>
                      </w:tcPr>
                      <w:p w14:paraId="1BE56D6A" w14:textId="51AD71D6" w:rsidR="00F237A2" w:rsidRPr="00242BF1" w:rsidRDefault="00F237A2" w:rsidP="00F237A2">
                        <w:pPr>
                          <w:widowControl w:val="0"/>
                          <w:jc w:val="center"/>
                          <w:rPr>
                            <w:bCs/>
                          </w:rPr>
                        </w:pPr>
                        <w:r w:rsidRPr="00242BF1">
                          <w:rPr>
                            <w:rStyle w:val="normaltextrun"/>
                            <w:color w:val="000000"/>
                          </w:rPr>
                          <w:t>[REDACTED]</w:t>
                        </w:r>
                      </w:p>
                    </w:tc>
                  </w:tr>
                </w:tbl>
                <w:p w14:paraId="502E559F" w14:textId="77777777" w:rsidR="00E31391" w:rsidRPr="00242BF1" w:rsidRDefault="00E31391" w:rsidP="00E162A6">
                  <w:pPr>
                    <w:widowControl w:val="0"/>
                    <w:rPr>
                      <w:b/>
                    </w:rPr>
                  </w:pPr>
                </w:p>
                <w:p w14:paraId="1C97907A" w14:textId="77777777" w:rsidR="00E31391" w:rsidRPr="00242BF1" w:rsidRDefault="00E31391" w:rsidP="00E162A6">
                  <w:pPr>
                    <w:widowControl w:val="0"/>
                    <w:rPr>
                      <w:b/>
                    </w:rPr>
                  </w:pPr>
                  <w:r w:rsidRPr="00242BF1">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242BF1" w14:paraId="286A7864" w14:textId="77777777" w:rsidTr="004F366C">
                    <w:tc>
                      <w:tcPr>
                        <w:tcW w:w="3389" w:type="dxa"/>
                        <w:vMerge w:val="restart"/>
                        <w:shd w:val="clear" w:color="auto" w:fill="DEEAF6" w:themeFill="accent5" w:themeFillTint="33"/>
                      </w:tcPr>
                      <w:p w14:paraId="7D8E5861" w14:textId="77777777" w:rsidR="00E31391" w:rsidRPr="00242BF1" w:rsidRDefault="00E31391" w:rsidP="00E162A6">
                        <w:pPr>
                          <w:widowControl w:val="0"/>
                        </w:pPr>
                        <w:r w:rsidRPr="00242BF1">
                          <w:t>Month for which RNOs are being calculated</w:t>
                        </w:r>
                      </w:p>
                      <w:p w14:paraId="58E18D0E" w14:textId="77777777" w:rsidR="00E31391" w:rsidRPr="00242BF1" w:rsidRDefault="00E31391" w:rsidP="00E162A6">
                        <w:pPr>
                          <w:widowControl w:val="0"/>
                          <w:rPr>
                            <w:b/>
                          </w:rPr>
                        </w:pPr>
                        <w:r w:rsidRPr="00242BF1">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242BF1" w:rsidRDefault="00E31391" w:rsidP="00E162A6">
                        <w:pPr>
                          <w:widowControl w:val="0"/>
                          <w:jc w:val="center"/>
                          <w:rPr>
                            <w:bCs/>
                          </w:rPr>
                        </w:pPr>
                        <w:r w:rsidRPr="00242BF1">
                          <w:rPr>
                            <w:bCs/>
                          </w:rPr>
                          <w:t>Performance Curve Percentage</w:t>
                        </w:r>
                      </w:p>
                    </w:tc>
                  </w:tr>
                  <w:tr w:rsidR="00E31391" w:rsidRPr="00242BF1" w14:paraId="75165A1B" w14:textId="77777777" w:rsidTr="004F366C">
                    <w:tc>
                      <w:tcPr>
                        <w:tcW w:w="3389" w:type="dxa"/>
                        <w:vMerge/>
                        <w:shd w:val="clear" w:color="auto" w:fill="DEEAF6" w:themeFill="accent5" w:themeFillTint="33"/>
                      </w:tcPr>
                      <w:p w14:paraId="17996E05" w14:textId="77777777" w:rsidR="00E31391" w:rsidRPr="00242BF1"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242BF1" w:rsidRDefault="00E31391" w:rsidP="00E162A6">
                        <w:pPr>
                          <w:widowControl w:val="0"/>
                          <w:jc w:val="center"/>
                          <w:rPr>
                            <w:bCs/>
                          </w:rPr>
                        </w:pPr>
                        <w:r w:rsidRPr="00242BF1">
                          <w:rPr>
                            <w:bCs/>
                          </w:rPr>
                          <w:t>For each Initial Start Cohort</w:t>
                        </w:r>
                      </w:p>
                    </w:tc>
                    <w:tc>
                      <w:tcPr>
                        <w:tcW w:w="3389" w:type="dxa"/>
                        <w:shd w:val="clear" w:color="auto" w:fill="DEEAF6" w:themeFill="accent5" w:themeFillTint="33"/>
                        <w:vAlign w:val="center"/>
                      </w:tcPr>
                      <w:p w14:paraId="5029F7DB" w14:textId="77777777" w:rsidR="00E31391" w:rsidRPr="00242BF1" w:rsidRDefault="00E31391" w:rsidP="00E162A6">
                        <w:pPr>
                          <w:widowControl w:val="0"/>
                          <w:jc w:val="center"/>
                          <w:rPr>
                            <w:bCs/>
                          </w:rPr>
                        </w:pPr>
                        <w:r w:rsidRPr="00242BF1">
                          <w:rPr>
                            <w:bCs/>
                          </w:rPr>
                          <w:t>For each Extension Start Cohort</w:t>
                        </w:r>
                      </w:p>
                    </w:tc>
                  </w:tr>
                  <w:tr w:rsidR="00E31391" w:rsidRPr="00242BF1" w14:paraId="6816AD1B" w14:textId="77777777" w:rsidTr="004F366C">
                    <w:tc>
                      <w:tcPr>
                        <w:tcW w:w="3389" w:type="dxa"/>
                      </w:tcPr>
                      <w:p w14:paraId="758BBDEF" w14:textId="77777777" w:rsidR="00E31391" w:rsidRPr="00242BF1" w:rsidRDefault="00E31391" w:rsidP="00E162A6">
                        <w:pPr>
                          <w:widowControl w:val="0"/>
                          <w:jc w:val="center"/>
                          <w:rPr>
                            <w:b/>
                          </w:rPr>
                        </w:pPr>
                        <w:r w:rsidRPr="00242BF1">
                          <w:t>1</w:t>
                        </w:r>
                      </w:p>
                    </w:tc>
                    <w:tc>
                      <w:tcPr>
                        <w:tcW w:w="3389" w:type="dxa"/>
                      </w:tcPr>
                      <w:p w14:paraId="0D026B0B" w14:textId="77777777" w:rsidR="00E31391" w:rsidRPr="00242BF1" w:rsidRDefault="00E31391" w:rsidP="00E162A6">
                        <w:pPr>
                          <w:widowControl w:val="0"/>
                          <w:jc w:val="center"/>
                          <w:rPr>
                            <w:b/>
                          </w:rPr>
                        </w:pPr>
                        <w:r w:rsidRPr="00242BF1">
                          <w:t>0.05%</w:t>
                        </w:r>
                      </w:p>
                    </w:tc>
                    <w:tc>
                      <w:tcPr>
                        <w:tcW w:w="3389" w:type="dxa"/>
                        <w:vAlign w:val="bottom"/>
                      </w:tcPr>
                      <w:p w14:paraId="30D14A28" w14:textId="77777777" w:rsidR="00E31391" w:rsidRPr="00242BF1" w:rsidRDefault="00E31391" w:rsidP="00E162A6">
                        <w:pPr>
                          <w:widowControl w:val="0"/>
                          <w:jc w:val="center"/>
                          <w:rPr>
                            <w:b/>
                          </w:rPr>
                        </w:pPr>
                        <w:r w:rsidRPr="00242BF1">
                          <w:rPr>
                            <w:color w:val="000000"/>
                          </w:rPr>
                          <w:t>0.01%</w:t>
                        </w:r>
                      </w:p>
                    </w:tc>
                  </w:tr>
                  <w:tr w:rsidR="00E31391" w:rsidRPr="00242BF1" w14:paraId="0E09C6F3" w14:textId="77777777" w:rsidTr="004F366C">
                    <w:tc>
                      <w:tcPr>
                        <w:tcW w:w="3389" w:type="dxa"/>
                      </w:tcPr>
                      <w:p w14:paraId="48FBD713" w14:textId="77777777" w:rsidR="00E31391" w:rsidRPr="00242BF1" w:rsidRDefault="00E31391" w:rsidP="00E162A6">
                        <w:pPr>
                          <w:widowControl w:val="0"/>
                          <w:jc w:val="center"/>
                          <w:rPr>
                            <w:b/>
                          </w:rPr>
                        </w:pPr>
                        <w:r w:rsidRPr="00242BF1">
                          <w:t>2</w:t>
                        </w:r>
                      </w:p>
                    </w:tc>
                    <w:tc>
                      <w:tcPr>
                        <w:tcW w:w="3389" w:type="dxa"/>
                      </w:tcPr>
                      <w:p w14:paraId="0076CDD2" w14:textId="77777777" w:rsidR="00E31391" w:rsidRPr="00242BF1" w:rsidRDefault="00E31391" w:rsidP="00E162A6">
                        <w:pPr>
                          <w:widowControl w:val="0"/>
                          <w:jc w:val="center"/>
                          <w:rPr>
                            <w:b/>
                          </w:rPr>
                        </w:pPr>
                        <w:r w:rsidRPr="00242BF1">
                          <w:t>0.26%</w:t>
                        </w:r>
                      </w:p>
                    </w:tc>
                    <w:tc>
                      <w:tcPr>
                        <w:tcW w:w="3389" w:type="dxa"/>
                        <w:vAlign w:val="bottom"/>
                      </w:tcPr>
                      <w:p w14:paraId="68C2A390" w14:textId="77777777" w:rsidR="00E31391" w:rsidRPr="00242BF1" w:rsidRDefault="00E31391" w:rsidP="00E162A6">
                        <w:pPr>
                          <w:widowControl w:val="0"/>
                          <w:jc w:val="center"/>
                          <w:rPr>
                            <w:b/>
                          </w:rPr>
                        </w:pPr>
                        <w:r w:rsidRPr="00242BF1">
                          <w:rPr>
                            <w:color w:val="000000"/>
                          </w:rPr>
                          <w:t>0.16%</w:t>
                        </w:r>
                      </w:p>
                    </w:tc>
                  </w:tr>
                  <w:tr w:rsidR="00E31391" w:rsidRPr="00242BF1" w14:paraId="7DFE2EF9" w14:textId="77777777" w:rsidTr="004F366C">
                    <w:tc>
                      <w:tcPr>
                        <w:tcW w:w="3389" w:type="dxa"/>
                      </w:tcPr>
                      <w:p w14:paraId="28220BFB" w14:textId="77777777" w:rsidR="00E31391" w:rsidRPr="00242BF1" w:rsidRDefault="00E31391" w:rsidP="00E162A6">
                        <w:pPr>
                          <w:widowControl w:val="0"/>
                          <w:jc w:val="center"/>
                          <w:rPr>
                            <w:b/>
                          </w:rPr>
                        </w:pPr>
                        <w:r w:rsidRPr="00242BF1">
                          <w:t>3</w:t>
                        </w:r>
                      </w:p>
                    </w:tc>
                    <w:tc>
                      <w:tcPr>
                        <w:tcW w:w="3389" w:type="dxa"/>
                      </w:tcPr>
                      <w:p w14:paraId="3D325C66" w14:textId="77777777" w:rsidR="00E31391" w:rsidRPr="00242BF1" w:rsidRDefault="00E31391" w:rsidP="00E162A6">
                        <w:pPr>
                          <w:widowControl w:val="0"/>
                          <w:jc w:val="center"/>
                          <w:rPr>
                            <w:b/>
                          </w:rPr>
                        </w:pPr>
                        <w:r w:rsidRPr="00242BF1">
                          <w:t>1.50%</w:t>
                        </w:r>
                      </w:p>
                    </w:tc>
                    <w:tc>
                      <w:tcPr>
                        <w:tcW w:w="3389" w:type="dxa"/>
                        <w:vAlign w:val="bottom"/>
                      </w:tcPr>
                      <w:p w14:paraId="500F8215" w14:textId="77777777" w:rsidR="00E31391" w:rsidRPr="00242BF1" w:rsidRDefault="00E31391" w:rsidP="00E162A6">
                        <w:pPr>
                          <w:widowControl w:val="0"/>
                          <w:jc w:val="center"/>
                          <w:rPr>
                            <w:b/>
                          </w:rPr>
                        </w:pPr>
                        <w:r w:rsidRPr="00242BF1">
                          <w:rPr>
                            <w:color w:val="000000"/>
                          </w:rPr>
                          <w:t>1.46%</w:t>
                        </w:r>
                      </w:p>
                    </w:tc>
                  </w:tr>
                  <w:tr w:rsidR="00E31391" w:rsidRPr="00242BF1" w14:paraId="2D978DCA" w14:textId="77777777" w:rsidTr="004F366C">
                    <w:tc>
                      <w:tcPr>
                        <w:tcW w:w="3389" w:type="dxa"/>
                      </w:tcPr>
                      <w:p w14:paraId="1B5D1460" w14:textId="77777777" w:rsidR="00E31391" w:rsidRPr="00242BF1" w:rsidRDefault="00E31391" w:rsidP="00E162A6">
                        <w:pPr>
                          <w:widowControl w:val="0"/>
                          <w:jc w:val="center"/>
                          <w:rPr>
                            <w:b/>
                          </w:rPr>
                        </w:pPr>
                        <w:r w:rsidRPr="00242BF1">
                          <w:t>4</w:t>
                        </w:r>
                      </w:p>
                    </w:tc>
                    <w:tc>
                      <w:tcPr>
                        <w:tcW w:w="3389" w:type="dxa"/>
                      </w:tcPr>
                      <w:p w14:paraId="5CE35B8C" w14:textId="77777777" w:rsidR="00E31391" w:rsidRPr="00242BF1" w:rsidRDefault="00E31391" w:rsidP="00E162A6">
                        <w:pPr>
                          <w:widowControl w:val="0"/>
                          <w:jc w:val="center"/>
                          <w:rPr>
                            <w:b/>
                          </w:rPr>
                        </w:pPr>
                        <w:r w:rsidRPr="00242BF1">
                          <w:t>3.44%</w:t>
                        </w:r>
                      </w:p>
                    </w:tc>
                    <w:tc>
                      <w:tcPr>
                        <w:tcW w:w="3389" w:type="dxa"/>
                        <w:vAlign w:val="bottom"/>
                      </w:tcPr>
                      <w:p w14:paraId="193BFE4D" w14:textId="77777777" w:rsidR="00E31391" w:rsidRPr="00242BF1" w:rsidRDefault="00E31391" w:rsidP="00E162A6">
                        <w:pPr>
                          <w:widowControl w:val="0"/>
                          <w:jc w:val="center"/>
                          <w:rPr>
                            <w:b/>
                          </w:rPr>
                        </w:pPr>
                        <w:r w:rsidRPr="00242BF1">
                          <w:rPr>
                            <w:color w:val="000000"/>
                          </w:rPr>
                          <w:t>4.97%</w:t>
                        </w:r>
                      </w:p>
                    </w:tc>
                  </w:tr>
                  <w:tr w:rsidR="00E31391" w:rsidRPr="00242BF1" w14:paraId="517DFD81" w14:textId="77777777" w:rsidTr="004F366C">
                    <w:tc>
                      <w:tcPr>
                        <w:tcW w:w="3389" w:type="dxa"/>
                      </w:tcPr>
                      <w:p w14:paraId="2A27529B" w14:textId="77777777" w:rsidR="00E31391" w:rsidRPr="00242BF1" w:rsidRDefault="00E31391" w:rsidP="00E162A6">
                        <w:pPr>
                          <w:widowControl w:val="0"/>
                          <w:jc w:val="center"/>
                          <w:rPr>
                            <w:b/>
                          </w:rPr>
                        </w:pPr>
                        <w:r w:rsidRPr="00242BF1">
                          <w:t>5</w:t>
                        </w:r>
                      </w:p>
                    </w:tc>
                    <w:tc>
                      <w:tcPr>
                        <w:tcW w:w="3389" w:type="dxa"/>
                      </w:tcPr>
                      <w:p w14:paraId="4198BE14" w14:textId="77777777" w:rsidR="00E31391" w:rsidRPr="00242BF1" w:rsidRDefault="00E31391" w:rsidP="00E162A6">
                        <w:pPr>
                          <w:widowControl w:val="0"/>
                          <w:jc w:val="center"/>
                          <w:rPr>
                            <w:b/>
                          </w:rPr>
                        </w:pPr>
                        <w:r w:rsidRPr="00242BF1">
                          <w:t>5.15%</w:t>
                        </w:r>
                      </w:p>
                    </w:tc>
                    <w:tc>
                      <w:tcPr>
                        <w:tcW w:w="3389" w:type="dxa"/>
                        <w:vAlign w:val="bottom"/>
                      </w:tcPr>
                      <w:p w14:paraId="1BC0E0D5" w14:textId="77777777" w:rsidR="00E31391" w:rsidRPr="00242BF1" w:rsidRDefault="00E31391" w:rsidP="00E162A6">
                        <w:pPr>
                          <w:widowControl w:val="0"/>
                          <w:jc w:val="center"/>
                          <w:rPr>
                            <w:b/>
                          </w:rPr>
                        </w:pPr>
                        <w:r w:rsidRPr="00242BF1">
                          <w:rPr>
                            <w:color w:val="000000"/>
                          </w:rPr>
                          <w:t>7.56%</w:t>
                        </w:r>
                      </w:p>
                    </w:tc>
                  </w:tr>
                  <w:tr w:rsidR="00E31391" w:rsidRPr="00242BF1" w14:paraId="334C57DA" w14:textId="77777777" w:rsidTr="004F366C">
                    <w:tc>
                      <w:tcPr>
                        <w:tcW w:w="3389" w:type="dxa"/>
                      </w:tcPr>
                      <w:p w14:paraId="69732B8E" w14:textId="77777777" w:rsidR="00E31391" w:rsidRPr="00242BF1" w:rsidRDefault="00E31391" w:rsidP="00E162A6">
                        <w:pPr>
                          <w:widowControl w:val="0"/>
                          <w:jc w:val="center"/>
                          <w:rPr>
                            <w:b/>
                          </w:rPr>
                        </w:pPr>
                        <w:r w:rsidRPr="00242BF1">
                          <w:t>6</w:t>
                        </w:r>
                      </w:p>
                    </w:tc>
                    <w:tc>
                      <w:tcPr>
                        <w:tcW w:w="3389" w:type="dxa"/>
                      </w:tcPr>
                      <w:p w14:paraId="025AE3CC" w14:textId="77777777" w:rsidR="00E31391" w:rsidRPr="00242BF1" w:rsidRDefault="00E31391" w:rsidP="00E162A6">
                        <w:pPr>
                          <w:widowControl w:val="0"/>
                          <w:jc w:val="center"/>
                          <w:rPr>
                            <w:b/>
                          </w:rPr>
                        </w:pPr>
                        <w:r w:rsidRPr="00242BF1">
                          <w:t>6.91%</w:t>
                        </w:r>
                      </w:p>
                    </w:tc>
                    <w:tc>
                      <w:tcPr>
                        <w:tcW w:w="3389" w:type="dxa"/>
                        <w:vAlign w:val="bottom"/>
                      </w:tcPr>
                      <w:p w14:paraId="73E1AA3A" w14:textId="77777777" w:rsidR="00E31391" w:rsidRPr="00242BF1" w:rsidRDefault="00E31391" w:rsidP="00E162A6">
                        <w:pPr>
                          <w:widowControl w:val="0"/>
                          <w:jc w:val="center"/>
                          <w:rPr>
                            <w:b/>
                          </w:rPr>
                        </w:pPr>
                        <w:r w:rsidRPr="00242BF1">
                          <w:rPr>
                            <w:color w:val="000000"/>
                          </w:rPr>
                          <w:t>8.60%</w:t>
                        </w:r>
                      </w:p>
                    </w:tc>
                  </w:tr>
                  <w:tr w:rsidR="00E31391" w:rsidRPr="00242BF1" w14:paraId="5A6FDA0B" w14:textId="77777777" w:rsidTr="004F366C">
                    <w:tc>
                      <w:tcPr>
                        <w:tcW w:w="3389" w:type="dxa"/>
                      </w:tcPr>
                      <w:p w14:paraId="12D31C71" w14:textId="77777777" w:rsidR="00E31391" w:rsidRPr="00242BF1" w:rsidRDefault="00E31391" w:rsidP="00E162A6">
                        <w:pPr>
                          <w:widowControl w:val="0"/>
                          <w:jc w:val="center"/>
                          <w:rPr>
                            <w:b/>
                          </w:rPr>
                        </w:pPr>
                        <w:r w:rsidRPr="00242BF1">
                          <w:t>7</w:t>
                        </w:r>
                      </w:p>
                    </w:tc>
                    <w:tc>
                      <w:tcPr>
                        <w:tcW w:w="3389" w:type="dxa"/>
                      </w:tcPr>
                      <w:p w14:paraId="47F6D126" w14:textId="77777777" w:rsidR="00E31391" w:rsidRPr="00242BF1" w:rsidRDefault="00E31391" w:rsidP="00E162A6">
                        <w:pPr>
                          <w:widowControl w:val="0"/>
                          <w:jc w:val="center"/>
                          <w:rPr>
                            <w:b/>
                          </w:rPr>
                        </w:pPr>
                        <w:r w:rsidRPr="00242BF1">
                          <w:t>8.07%</w:t>
                        </w:r>
                      </w:p>
                    </w:tc>
                    <w:tc>
                      <w:tcPr>
                        <w:tcW w:w="3389" w:type="dxa"/>
                        <w:vAlign w:val="bottom"/>
                      </w:tcPr>
                      <w:p w14:paraId="62C27E30" w14:textId="77777777" w:rsidR="00E31391" w:rsidRPr="00242BF1" w:rsidRDefault="00E31391" w:rsidP="00E162A6">
                        <w:pPr>
                          <w:widowControl w:val="0"/>
                          <w:jc w:val="center"/>
                          <w:rPr>
                            <w:b/>
                          </w:rPr>
                        </w:pPr>
                        <w:r w:rsidRPr="00242BF1">
                          <w:rPr>
                            <w:color w:val="000000"/>
                          </w:rPr>
                          <w:t>8.59%</w:t>
                        </w:r>
                      </w:p>
                    </w:tc>
                  </w:tr>
                  <w:tr w:rsidR="00E31391" w:rsidRPr="00242BF1" w14:paraId="6EB428D5" w14:textId="77777777" w:rsidTr="004F366C">
                    <w:tc>
                      <w:tcPr>
                        <w:tcW w:w="3389" w:type="dxa"/>
                      </w:tcPr>
                      <w:p w14:paraId="100CB356" w14:textId="77777777" w:rsidR="00E31391" w:rsidRPr="00242BF1" w:rsidRDefault="00E31391" w:rsidP="00E162A6">
                        <w:pPr>
                          <w:widowControl w:val="0"/>
                          <w:jc w:val="center"/>
                          <w:rPr>
                            <w:b/>
                          </w:rPr>
                        </w:pPr>
                        <w:r w:rsidRPr="00242BF1">
                          <w:t>8</w:t>
                        </w:r>
                      </w:p>
                    </w:tc>
                    <w:tc>
                      <w:tcPr>
                        <w:tcW w:w="3389" w:type="dxa"/>
                      </w:tcPr>
                      <w:p w14:paraId="5248ADD4" w14:textId="77777777" w:rsidR="00E31391" w:rsidRPr="00242BF1" w:rsidRDefault="00E31391" w:rsidP="00E162A6">
                        <w:pPr>
                          <w:widowControl w:val="0"/>
                          <w:jc w:val="center"/>
                          <w:rPr>
                            <w:b/>
                          </w:rPr>
                        </w:pPr>
                        <w:r w:rsidRPr="00242BF1">
                          <w:t>8.87%</w:t>
                        </w:r>
                      </w:p>
                    </w:tc>
                    <w:tc>
                      <w:tcPr>
                        <w:tcW w:w="3389" w:type="dxa"/>
                        <w:vAlign w:val="bottom"/>
                      </w:tcPr>
                      <w:p w14:paraId="494171B6" w14:textId="77777777" w:rsidR="00E31391" w:rsidRPr="00242BF1" w:rsidRDefault="00E31391" w:rsidP="00E162A6">
                        <w:pPr>
                          <w:widowControl w:val="0"/>
                          <w:jc w:val="center"/>
                          <w:rPr>
                            <w:b/>
                          </w:rPr>
                        </w:pPr>
                        <w:r w:rsidRPr="00242BF1">
                          <w:rPr>
                            <w:color w:val="000000"/>
                          </w:rPr>
                          <w:t>8.88%</w:t>
                        </w:r>
                      </w:p>
                    </w:tc>
                  </w:tr>
                  <w:tr w:rsidR="00E31391" w:rsidRPr="00242BF1" w14:paraId="125BBA51" w14:textId="77777777" w:rsidTr="004F366C">
                    <w:tc>
                      <w:tcPr>
                        <w:tcW w:w="3389" w:type="dxa"/>
                      </w:tcPr>
                      <w:p w14:paraId="108F6BCB" w14:textId="77777777" w:rsidR="00E31391" w:rsidRPr="00242BF1" w:rsidRDefault="00E31391" w:rsidP="00E162A6">
                        <w:pPr>
                          <w:widowControl w:val="0"/>
                          <w:jc w:val="center"/>
                          <w:rPr>
                            <w:b/>
                          </w:rPr>
                        </w:pPr>
                        <w:r w:rsidRPr="00242BF1">
                          <w:t>9</w:t>
                        </w:r>
                      </w:p>
                    </w:tc>
                    <w:tc>
                      <w:tcPr>
                        <w:tcW w:w="3389" w:type="dxa"/>
                      </w:tcPr>
                      <w:p w14:paraId="6926FA53" w14:textId="77777777" w:rsidR="00E31391" w:rsidRPr="00242BF1" w:rsidRDefault="00E31391" w:rsidP="00E162A6">
                        <w:pPr>
                          <w:widowControl w:val="0"/>
                          <w:jc w:val="center"/>
                          <w:rPr>
                            <w:b/>
                          </w:rPr>
                        </w:pPr>
                        <w:r w:rsidRPr="00242BF1">
                          <w:t>8.62%</w:t>
                        </w:r>
                      </w:p>
                    </w:tc>
                    <w:tc>
                      <w:tcPr>
                        <w:tcW w:w="3389" w:type="dxa"/>
                        <w:vAlign w:val="bottom"/>
                      </w:tcPr>
                      <w:p w14:paraId="175E291B" w14:textId="77777777" w:rsidR="00E31391" w:rsidRPr="00242BF1" w:rsidRDefault="00E31391" w:rsidP="00E162A6">
                        <w:pPr>
                          <w:widowControl w:val="0"/>
                          <w:jc w:val="center"/>
                          <w:rPr>
                            <w:b/>
                          </w:rPr>
                        </w:pPr>
                        <w:r w:rsidRPr="00242BF1">
                          <w:rPr>
                            <w:color w:val="000000"/>
                          </w:rPr>
                          <w:t>8.36%</w:t>
                        </w:r>
                      </w:p>
                    </w:tc>
                  </w:tr>
                  <w:tr w:rsidR="00E31391" w:rsidRPr="00242BF1" w14:paraId="1E9623C8" w14:textId="77777777" w:rsidTr="004F366C">
                    <w:tc>
                      <w:tcPr>
                        <w:tcW w:w="3389" w:type="dxa"/>
                      </w:tcPr>
                      <w:p w14:paraId="6407702B" w14:textId="77777777" w:rsidR="00E31391" w:rsidRPr="00242BF1" w:rsidRDefault="00E31391" w:rsidP="00E162A6">
                        <w:pPr>
                          <w:widowControl w:val="0"/>
                          <w:jc w:val="center"/>
                          <w:rPr>
                            <w:b/>
                          </w:rPr>
                        </w:pPr>
                        <w:r w:rsidRPr="00242BF1">
                          <w:t>10</w:t>
                        </w:r>
                      </w:p>
                    </w:tc>
                    <w:tc>
                      <w:tcPr>
                        <w:tcW w:w="3389" w:type="dxa"/>
                      </w:tcPr>
                      <w:p w14:paraId="0C670B0C" w14:textId="77777777" w:rsidR="00E31391" w:rsidRPr="00242BF1" w:rsidRDefault="00E31391" w:rsidP="00E162A6">
                        <w:pPr>
                          <w:widowControl w:val="0"/>
                          <w:jc w:val="center"/>
                          <w:rPr>
                            <w:b/>
                          </w:rPr>
                        </w:pPr>
                        <w:r w:rsidRPr="00242BF1">
                          <w:t>8.27%</w:t>
                        </w:r>
                      </w:p>
                    </w:tc>
                    <w:tc>
                      <w:tcPr>
                        <w:tcW w:w="3389" w:type="dxa"/>
                        <w:vAlign w:val="bottom"/>
                      </w:tcPr>
                      <w:p w14:paraId="681F94A3" w14:textId="77777777" w:rsidR="00E31391" w:rsidRPr="00242BF1" w:rsidRDefault="00E31391" w:rsidP="00E162A6">
                        <w:pPr>
                          <w:widowControl w:val="0"/>
                          <w:jc w:val="center"/>
                          <w:rPr>
                            <w:b/>
                          </w:rPr>
                        </w:pPr>
                        <w:r w:rsidRPr="00242BF1">
                          <w:rPr>
                            <w:color w:val="000000"/>
                          </w:rPr>
                          <w:t>7.63%</w:t>
                        </w:r>
                      </w:p>
                    </w:tc>
                  </w:tr>
                  <w:tr w:rsidR="00E31391" w:rsidRPr="00242BF1" w14:paraId="3B5BA25C" w14:textId="77777777" w:rsidTr="004F366C">
                    <w:tc>
                      <w:tcPr>
                        <w:tcW w:w="3389" w:type="dxa"/>
                      </w:tcPr>
                      <w:p w14:paraId="00E77F16" w14:textId="77777777" w:rsidR="00E31391" w:rsidRPr="00242BF1" w:rsidRDefault="00E31391" w:rsidP="00E162A6">
                        <w:pPr>
                          <w:widowControl w:val="0"/>
                          <w:jc w:val="center"/>
                          <w:rPr>
                            <w:b/>
                          </w:rPr>
                        </w:pPr>
                        <w:r w:rsidRPr="00242BF1">
                          <w:t>11</w:t>
                        </w:r>
                      </w:p>
                    </w:tc>
                    <w:tc>
                      <w:tcPr>
                        <w:tcW w:w="3389" w:type="dxa"/>
                      </w:tcPr>
                      <w:p w14:paraId="4C0310C9" w14:textId="77777777" w:rsidR="00E31391" w:rsidRPr="00242BF1" w:rsidRDefault="00E31391" w:rsidP="00E162A6">
                        <w:pPr>
                          <w:widowControl w:val="0"/>
                          <w:jc w:val="center"/>
                          <w:rPr>
                            <w:b/>
                          </w:rPr>
                        </w:pPr>
                        <w:r w:rsidRPr="00242BF1">
                          <w:t>7.79%</w:t>
                        </w:r>
                      </w:p>
                    </w:tc>
                    <w:tc>
                      <w:tcPr>
                        <w:tcW w:w="3389" w:type="dxa"/>
                        <w:vAlign w:val="bottom"/>
                      </w:tcPr>
                      <w:p w14:paraId="2CA7C5CA" w14:textId="77777777" w:rsidR="00E31391" w:rsidRPr="00242BF1" w:rsidRDefault="00E31391" w:rsidP="00E162A6">
                        <w:pPr>
                          <w:widowControl w:val="0"/>
                          <w:jc w:val="center"/>
                          <w:rPr>
                            <w:b/>
                          </w:rPr>
                        </w:pPr>
                        <w:r w:rsidRPr="00242BF1">
                          <w:rPr>
                            <w:color w:val="000000"/>
                          </w:rPr>
                          <w:t>7.35%</w:t>
                        </w:r>
                      </w:p>
                    </w:tc>
                  </w:tr>
                  <w:tr w:rsidR="00E31391" w:rsidRPr="00242BF1" w14:paraId="2B7A78F8" w14:textId="77777777" w:rsidTr="004F366C">
                    <w:tc>
                      <w:tcPr>
                        <w:tcW w:w="3389" w:type="dxa"/>
                      </w:tcPr>
                      <w:p w14:paraId="4570844E" w14:textId="77777777" w:rsidR="00E31391" w:rsidRPr="00242BF1" w:rsidRDefault="00E31391" w:rsidP="00E162A6">
                        <w:pPr>
                          <w:widowControl w:val="0"/>
                          <w:jc w:val="center"/>
                          <w:rPr>
                            <w:b/>
                          </w:rPr>
                        </w:pPr>
                        <w:r w:rsidRPr="00242BF1">
                          <w:t>12</w:t>
                        </w:r>
                      </w:p>
                    </w:tc>
                    <w:tc>
                      <w:tcPr>
                        <w:tcW w:w="3389" w:type="dxa"/>
                      </w:tcPr>
                      <w:p w14:paraId="089078DC" w14:textId="77777777" w:rsidR="00E31391" w:rsidRPr="00242BF1" w:rsidRDefault="00E31391" w:rsidP="00E162A6">
                        <w:pPr>
                          <w:widowControl w:val="0"/>
                          <w:jc w:val="center"/>
                          <w:rPr>
                            <w:b/>
                          </w:rPr>
                        </w:pPr>
                        <w:r w:rsidRPr="00242BF1">
                          <w:t>7.21%</w:t>
                        </w:r>
                      </w:p>
                    </w:tc>
                    <w:tc>
                      <w:tcPr>
                        <w:tcW w:w="3389" w:type="dxa"/>
                        <w:vAlign w:val="bottom"/>
                      </w:tcPr>
                      <w:p w14:paraId="29793F34" w14:textId="77777777" w:rsidR="00E31391" w:rsidRPr="00242BF1" w:rsidRDefault="00E31391" w:rsidP="00E162A6">
                        <w:pPr>
                          <w:widowControl w:val="0"/>
                          <w:jc w:val="center"/>
                          <w:rPr>
                            <w:b/>
                          </w:rPr>
                        </w:pPr>
                        <w:r w:rsidRPr="00242BF1">
                          <w:rPr>
                            <w:color w:val="000000"/>
                          </w:rPr>
                          <w:t>6.55%</w:t>
                        </w:r>
                      </w:p>
                    </w:tc>
                  </w:tr>
                  <w:tr w:rsidR="00E31391" w:rsidRPr="00242BF1" w14:paraId="2F139FC0" w14:textId="77777777" w:rsidTr="004F366C">
                    <w:tc>
                      <w:tcPr>
                        <w:tcW w:w="3389" w:type="dxa"/>
                      </w:tcPr>
                      <w:p w14:paraId="147F9C16" w14:textId="77777777" w:rsidR="00E31391" w:rsidRPr="00242BF1" w:rsidRDefault="00E31391" w:rsidP="00E162A6">
                        <w:pPr>
                          <w:widowControl w:val="0"/>
                          <w:jc w:val="center"/>
                          <w:rPr>
                            <w:b/>
                          </w:rPr>
                        </w:pPr>
                        <w:r w:rsidRPr="00242BF1">
                          <w:t>13</w:t>
                        </w:r>
                      </w:p>
                    </w:tc>
                    <w:tc>
                      <w:tcPr>
                        <w:tcW w:w="3389" w:type="dxa"/>
                      </w:tcPr>
                      <w:p w14:paraId="7E93B13C" w14:textId="77777777" w:rsidR="00E31391" w:rsidRPr="00242BF1" w:rsidRDefault="00E31391" w:rsidP="00E162A6">
                        <w:pPr>
                          <w:widowControl w:val="0"/>
                          <w:jc w:val="center"/>
                          <w:rPr>
                            <w:b/>
                          </w:rPr>
                        </w:pPr>
                        <w:r w:rsidRPr="00242BF1">
                          <w:t>6.90%</w:t>
                        </w:r>
                      </w:p>
                    </w:tc>
                    <w:tc>
                      <w:tcPr>
                        <w:tcW w:w="3389" w:type="dxa"/>
                        <w:vAlign w:val="bottom"/>
                      </w:tcPr>
                      <w:p w14:paraId="03034250" w14:textId="77777777" w:rsidR="00E31391" w:rsidRPr="00242BF1" w:rsidRDefault="00E31391" w:rsidP="00E162A6">
                        <w:pPr>
                          <w:widowControl w:val="0"/>
                          <w:jc w:val="center"/>
                          <w:rPr>
                            <w:b/>
                          </w:rPr>
                        </w:pPr>
                        <w:r w:rsidRPr="00242BF1">
                          <w:rPr>
                            <w:color w:val="000000"/>
                          </w:rPr>
                          <w:t>6.23%</w:t>
                        </w:r>
                      </w:p>
                    </w:tc>
                  </w:tr>
                  <w:tr w:rsidR="00E31391" w:rsidRPr="00242BF1" w14:paraId="0337E6AA" w14:textId="77777777" w:rsidTr="004F366C">
                    <w:tc>
                      <w:tcPr>
                        <w:tcW w:w="3389" w:type="dxa"/>
                      </w:tcPr>
                      <w:p w14:paraId="1EE4546F" w14:textId="77777777" w:rsidR="00E31391" w:rsidRPr="00242BF1" w:rsidRDefault="00E31391" w:rsidP="00E162A6">
                        <w:pPr>
                          <w:widowControl w:val="0"/>
                          <w:jc w:val="center"/>
                          <w:rPr>
                            <w:b/>
                          </w:rPr>
                        </w:pPr>
                        <w:r w:rsidRPr="00242BF1">
                          <w:t>14</w:t>
                        </w:r>
                      </w:p>
                    </w:tc>
                    <w:tc>
                      <w:tcPr>
                        <w:tcW w:w="3389" w:type="dxa"/>
                      </w:tcPr>
                      <w:p w14:paraId="3887DBF9" w14:textId="77777777" w:rsidR="00E31391" w:rsidRPr="00242BF1" w:rsidRDefault="00E31391" w:rsidP="00E162A6">
                        <w:pPr>
                          <w:widowControl w:val="0"/>
                          <w:jc w:val="center"/>
                          <w:rPr>
                            <w:b/>
                          </w:rPr>
                        </w:pPr>
                        <w:r w:rsidRPr="00242BF1">
                          <w:t>6.32%</w:t>
                        </w:r>
                      </w:p>
                    </w:tc>
                    <w:tc>
                      <w:tcPr>
                        <w:tcW w:w="3389" w:type="dxa"/>
                        <w:vAlign w:val="bottom"/>
                      </w:tcPr>
                      <w:p w14:paraId="4F0EBB65" w14:textId="77777777" w:rsidR="00E31391" w:rsidRPr="00242BF1" w:rsidRDefault="00E31391" w:rsidP="00E162A6">
                        <w:pPr>
                          <w:widowControl w:val="0"/>
                          <w:jc w:val="center"/>
                          <w:rPr>
                            <w:b/>
                          </w:rPr>
                        </w:pPr>
                        <w:r w:rsidRPr="00242BF1">
                          <w:rPr>
                            <w:color w:val="000000"/>
                          </w:rPr>
                          <w:t>5.28%</w:t>
                        </w:r>
                      </w:p>
                    </w:tc>
                  </w:tr>
                  <w:tr w:rsidR="00E31391" w:rsidRPr="00242BF1" w14:paraId="0A5B1A0B" w14:textId="77777777" w:rsidTr="004F366C">
                    <w:tc>
                      <w:tcPr>
                        <w:tcW w:w="3389" w:type="dxa"/>
                      </w:tcPr>
                      <w:p w14:paraId="1298BA7D" w14:textId="77777777" w:rsidR="00E31391" w:rsidRPr="00242BF1" w:rsidRDefault="00E31391" w:rsidP="00E162A6">
                        <w:pPr>
                          <w:widowControl w:val="0"/>
                          <w:jc w:val="center"/>
                          <w:rPr>
                            <w:b/>
                          </w:rPr>
                        </w:pPr>
                        <w:r w:rsidRPr="00242BF1">
                          <w:lastRenderedPageBreak/>
                          <w:t>15</w:t>
                        </w:r>
                      </w:p>
                    </w:tc>
                    <w:tc>
                      <w:tcPr>
                        <w:tcW w:w="3389" w:type="dxa"/>
                      </w:tcPr>
                      <w:p w14:paraId="0836FFC5" w14:textId="77777777" w:rsidR="00E31391" w:rsidRPr="00242BF1" w:rsidRDefault="00E31391" w:rsidP="00E162A6">
                        <w:pPr>
                          <w:widowControl w:val="0"/>
                          <w:jc w:val="center"/>
                          <w:rPr>
                            <w:b/>
                          </w:rPr>
                        </w:pPr>
                        <w:r w:rsidRPr="00242BF1">
                          <w:t>5.86%</w:t>
                        </w:r>
                      </w:p>
                    </w:tc>
                    <w:tc>
                      <w:tcPr>
                        <w:tcW w:w="3389" w:type="dxa"/>
                        <w:vAlign w:val="bottom"/>
                      </w:tcPr>
                      <w:p w14:paraId="40FECF14" w14:textId="77777777" w:rsidR="00E31391" w:rsidRPr="00242BF1" w:rsidRDefault="00E31391" w:rsidP="00E162A6">
                        <w:pPr>
                          <w:widowControl w:val="0"/>
                          <w:jc w:val="center"/>
                          <w:rPr>
                            <w:b/>
                          </w:rPr>
                        </w:pPr>
                        <w:r w:rsidRPr="00242BF1">
                          <w:rPr>
                            <w:color w:val="000000"/>
                          </w:rPr>
                          <w:t>4.46%</w:t>
                        </w:r>
                      </w:p>
                    </w:tc>
                  </w:tr>
                  <w:tr w:rsidR="00E31391" w:rsidRPr="00242BF1" w14:paraId="20448860" w14:textId="77777777" w:rsidTr="004F366C">
                    <w:tc>
                      <w:tcPr>
                        <w:tcW w:w="3389" w:type="dxa"/>
                      </w:tcPr>
                      <w:p w14:paraId="6402E16D" w14:textId="77777777" w:rsidR="00E31391" w:rsidRPr="00242BF1" w:rsidRDefault="00E31391" w:rsidP="00E162A6">
                        <w:pPr>
                          <w:widowControl w:val="0"/>
                          <w:jc w:val="center"/>
                          <w:rPr>
                            <w:b/>
                          </w:rPr>
                        </w:pPr>
                        <w:r w:rsidRPr="00242BF1">
                          <w:t>16</w:t>
                        </w:r>
                      </w:p>
                    </w:tc>
                    <w:tc>
                      <w:tcPr>
                        <w:tcW w:w="3389" w:type="dxa"/>
                      </w:tcPr>
                      <w:p w14:paraId="5D8EECBC" w14:textId="77777777" w:rsidR="00E31391" w:rsidRPr="00242BF1" w:rsidRDefault="00E31391" w:rsidP="00E162A6">
                        <w:pPr>
                          <w:widowControl w:val="0"/>
                          <w:jc w:val="center"/>
                          <w:rPr>
                            <w:b/>
                          </w:rPr>
                        </w:pPr>
                        <w:r w:rsidRPr="00242BF1">
                          <w:t>5.29%</w:t>
                        </w:r>
                      </w:p>
                    </w:tc>
                    <w:tc>
                      <w:tcPr>
                        <w:tcW w:w="3389" w:type="dxa"/>
                        <w:vAlign w:val="bottom"/>
                      </w:tcPr>
                      <w:p w14:paraId="4F1CD5D7" w14:textId="77777777" w:rsidR="00E31391" w:rsidRPr="00242BF1" w:rsidRDefault="00E31391" w:rsidP="00E162A6">
                        <w:pPr>
                          <w:widowControl w:val="0"/>
                          <w:jc w:val="center"/>
                          <w:rPr>
                            <w:b/>
                          </w:rPr>
                        </w:pPr>
                        <w:r w:rsidRPr="00242BF1">
                          <w:rPr>
                            <w:color w:val="000000"/>
                          </w:rPr>
                          <w:t>4.19%</w:t>
                        </w:r>
                      </w:p>
                    </w:tc>
                  </w:tr>
                  <w:tr w:rsidR="00E31391" w:rsidRPr="00242BF1" w14:paraId="71662E2F" w14:textId="77777777" w:rsidTr="004F366C">
                    <w:tc>
                      <w:tcPr>
                        <w:tcW w:w="3389" w:type="dxa"/>
                      </w:tcPr>
                      <w:p w14:paraId="00309A9A" w14:textId="77777777" w:rsidR="00E31391" w:rsidRPr="00242BF1" w:rsidRDefault="00E31391" w:rsidP="00E162A6">
                        <w:pPr>
                          <w:widowControl w:val="0"/>
                          <w:jc w:val="center"/>
                          <w:rPr>
                            <w:b/>
                          </w:rPr>
                        </w:pPr>
                        <w:r w:rsidRPr="00242BF1">
                          <w:t>17</w:t>
                        </w:r>
                      </w:p>
                    </w:tc>
                    <w:tc>
                      <w:tcPr>
                        <w:tcW w:w="3389" w:type="dxa"/>
                      </w:tcPr>
                      <w:p w14:paraId="63A7C39C" w14:textId="77777777" w:rsidR="00E31391" w:rsidRPr="00242BF1" w:rsidRDefault="00E31391" w:rsidP="00E162A6">
                        <w:pPr>
                          <w:widowControl w:val="0"/>
                          <w:jc w:val="center"/>
                          <w:rPr>
                            <w:b/>
                          </w:rPr>
                        </w:pPr>
                        <w:r w:rsidRPr="00242BF1">
                          <w:t>4.59%</w:t>
                        </w:r>
                      </w:p>
                    </w:tc>
                    <w:tc>
                      <w:tcPr>
                        <w:tcW w:w="3389" w:type="dxa"/>
                        <w:vAlign w:val="bottom"/>
                      </w:tcPr>
                      <w:p w14:paraId="36082452" w14:textId="77777777" w:rsidR="00E31391" w:rsidRPr="00242BF1" w:rsidRDefault="00E31391" w:rsidP="00E162A6">
                        <w:pPr>
                          <w:widowControl w:val="0"/>
                          <w:jc w:val="center"/>
                          <w:rPr>
                            <w:b/>
                          </w:rPr>
                        </w:pPr>
                        <w:r w:rsidRPr="00242BF1">
                          <w:rPr>
                            <w:color w:val="000000"/>
                          </w:rPr>
                          <w:t>3.87%</w:t>
                        </w:r>
                      </w:p>
                    </w:tc>
                  </w:tr>
                  <w:tr w:rsidR="00E31391" w:rsidRPr="00242BF1" w14:paraId="6EA25F84" w14:textId="77777777" w:rsidTr="004F366C">
                    <w:tc>
                      <w:tcPr>
                        <w:tcW w:w="3389" w:type="dxa"/>
                      </w:tcPr>
                      <w:p w14:paraId="7806BD74" w14:textId="77777777" w:rsidR="00E31391" w:rsidRPr="00242BF1" w:rsidRDefault="00E31391" w:rsidP="00E162A6">
                        <w:pPr>
                          <w:widowControl w:val="0"/>
                          <w:jc w:val="center"/>
                          <w:rPr>
                            <w:b/>
                          </w:rPr>
                        </w:pPr>
                        <w:r w:rsidRPr="00242BF1">
                          <w:t>18</w:t>
                        </w:r>
                      </w:p>
                    </w:tc>
                    <w:tc>
                      <w:tcPr>
                        <w:tcW w:w="3389" w:type="dxa"/>
                      </w:tcPr>
                      <w:p w14:paraId="359EF910" w14:textId="77777777" w:rsidR="00E31391" w:rsidRPr="00242BF1" w:rsidRDefault="00E31391" w:rsidP="00E162A6">
                        <w:pPr>
                          <w:widowControl w:val="0"/>
                          <w:jc w:val="center"/>
                          <w:rPr>
                            <w:b/>
                          </w:rPr>
                        </w:pPr>
                        <w:r w:rsidRPr="00242BF1">
                          <w:t>4.31%</w:t>
                        </w:r>
                      </w:p>
                    </w:tc>
                    <w:tc>
                      <w:tcPr>
                        <w:tcW w:w="3389" w:type="dxa"/>
                        <w:vAlign w:val="bottom"/>
                      </w:tcPr>
                      <w:p w14:paraId="2EC5A046" w14:textId="77777777" w:rsidR="00E31391" w:rsidRPr="00242BF1" w:rsidRDefault="00E31391" w:rsidP="00E162A6">
                        <w:pPr>
                          <w:widowControl w:val="0"/>
                          <w:jc w:val="center"/>
                          <w:rPr>
                            <w:b/>
                          </w:rPr>
                        </w:pPr>
                        <w:r w:rsidRPr="00242BF1">
                          <w:rPr>
                            <w:color w:val="000000"/>
                          </w:rPr>
                          <w:t>3.51%</w:t>
                        </w:r>
                      </w:p>
                    </w:tc>
                  </w:tr>
                  <w:tr w:rsidR="00E31391" w:rsidRPr="00242BF1" w14:paraId="0D302AF4" w14:textId="77777777" w:rsidTr="004F366C">
                    <w:tc>
                      <w:tcPr>
                        <w:tcW w:w="3389" w:type="dxa"/>
                      </w:tcPr>
                      <w:p w14:paraId="66372CBC" w14:textId="77777777" w:rsidR="00E31391" w:rsidRPr="00242BF1" w:rsidRDefault="00E31391" w:rsidP="00E162A6">
                        <w:pPr>
                          <w:widowControl w:val="0"/>
                          <w:jc w:val="center"/>
                          <w:rPr>
                            <w:b/>
                          </w:rPr>
                        </w:pPr>
                        <w:r w:rsidRPr="00242BF1">
                          <w:t>19</w:t>
                        </w:r>
                      </w:p>
                    </w:tc>
                    <w:tc>
                      <w:tcPr>
                        <w:tcW w:w="3389" w:type="dxa"/>
                      </w:tcPr>
                      <w:p w14:paraId="6DBC03C8" w14:textId="77777777" w:rsidR="00E31391" w:rsidRPr="00242BF1" w:rsidRDefault="00E31391" w:rsidP="00E162A6">
                        <w:pPr>
                          <w:widowControl w:val="0"/>
                          <w:jc w:val="center"/>
                          <w:rPr>
                            <w:b/>
                          </w:rPr>
                        </w:pPr>
                        <w:r w:rsidRPr="00242BF1">
                          <w:t>0.56%</w:t>
                        </w:r>
                      </w:p>
                    </w:tc>
                    <w:tc>
                      <w:tcPr>
                        <w:tcW w:w="3389" w:type="dxa"/>
                        <w:vAlign w:val="bottom"/>
                      </w:tcPr>
                      <w:p w14:paraId="60EA078A" w14:textId="77777777" w:rsidR="00E31391" w:rsidRPr="00242BF1" w:rsidRDefault="00E31391" w:rsidP="00E162A6">
                        <w:pPr>
                          <w:widowControl w:val="0"/>
                          <w:jc w:val="center"/>
                          <w:rPr>
                            <w:b/>
                          </w:rPr>
                        </w:pPr>
                        <w:r w:rsidRPr="00242BF1">
                          <w:rPr>
                            <w:color w:val="000000"/>
                          </w:rPr>
                          <w:t>2.34%</w:t>
                        </w:r>
                      </w:p>
                    </w:tc>
                  </w:tr>
                  <w:tr w:rsidR="00E31391" w:rsidRPr="00242BF1" w14:paraId="38E33110" w14:textId="77777777" w:rsidTr="004F366C">
                    <w:tc>
                      <w:tcPr>
                        <w:tcW w:w="3389" w:type="dxa"/>
                      </w:tcPr>
                      <w:p w14:paraId="0BEC82C0" w14:textId="77777777" w:rsidR="00E31391" w:rsidRPr="00242BF1" w:rsidRDefault="00E31391" w:rsidP="00E162A6">
                        <w:pPr>
                          <w:widowControl w:val="0"/>
                          <w:jc w:val="center"/>
                          <w:rPr>
                            <w:b/>
                          </w:rPr>
                        </w:pPr>
                        <w:r w:rsidRPr="00242BF1">
                          <w:t>20</w:t>
                        </w:r>
                      </w:p>
                    </w:tc>
                    <w:tc>
                      <w:tcPr>
                        <w:tcW w:w="3389" w:type="dxa"/>
                      </w:tcPr>
                      <w:p w14:paraId="0B60A465" w14:textId="77777777" w:rsidR="00E31391" w:rsidRPr="00242BF1" w:rsidRDefault="00E31391" w:rsidP="00E162A6">
                        <w:pPr>
                          <w:widowControl w:val="0"/>
                          <w:jc w:val="center"/>
                          <w:rPr>
                            <w:b/>
                          </w:rPr>
                        </w:pPr>
                        <w:r w:rsidRPr="00242BF1">
                          <w:t>0.03%</w:t>
                        </w:r>
                      </w:p>
                    </w:tc>
                    <w:tc>
                      <w:tcPr>
                        <w:tcW w:w="3389" w:type="dxa"/>
                      </w:tcPr>
                      <w:p w14:paraId="158F635A" w14:textId="77777777" w:rsidR="00E31391" w:rsidRPr="00242BF1" w:rsidRDefault="00E31391" w:rsidP="00E162A6">
                        <w:pPr>
                          <w:widowControl w:val="0"/>
                          <w:jc w:val="center"/>
                          <w:rPr>
                            <w:bCs/>
                          </w:rPr>
                        </w:pPr>
                        <w:r w:rsidRPr="00242BF1">
                          <w:rPr>
                            <w:bCs/>
                          </w:rPr>
                          <w:t>0.00%</w:t>
                        </w:r>
                      </w:p>
                    </w:tc>
                  </w:tr>
                  <w:tr w:rsidR="00E31391" w:rsidRPr="00242BF1" w14:paraId="7CFBEA32" w14:textId="77777777" w:rsidTr="004F366C">
                    <w:tc>
                      <w:tcPr>
                        <w:tcW w:w="3389" w:type="dxa"/>
                      </w:tcPr>
                      <w:p w14:paraId="7EDE0395" w14:textId="77777777" w:rsidR="00E31391" w:rsidRPr="00242BF1" w:rsidRDefault="00E31391" w:rsidP="00E162A6">
                        <w:pPr>
                          <w:widowControl w:val="0"/>
                          <w:jc w:val="center"/>
                          <w:rPr>
                            <w:b/>
                          </w:rPr>
                        </w:pPr>
                        <w:r w:rsidRPr="00242BF1">
                          <w:t>21</w:t>
                        </w:r>
                      </w:p>
                    </w:tc>
                    <w:tc>
                      <w:tcPr>
                        <w:tcW w:w="3389" w:type="dxa"/>
                      </w:tcPr>
                      <w:p w14:paraId="263C63FD" w14:textId="77777777" w:rsidR="00E31391" w:rsidRPr="00242BF1" w:rsidRDefault="00E31391" w:rsidP="00E162A6">
                        <w:pPr>
                          <w:widowControl w:val="0"/>
                          <w:jc w:val="center"/>
                          <w:rPr>
                            <w:b/>
                          </w:rPr>
                        </w:pPr>
                        <w:r w:rsidRPr="00242BF1">
                          <w:t>0.01%</w:t>
                        </w:r>
                      </w:p>
                    </w:tc>
                    <w:tc>
                      <w:tcPr>
                        <w:tcW w:w="3389" w:type="dxa"/>
                      </w:tcPr>
                      <w:p w14:paraId="75D4BA4C" w14:textId="77777777" w:rsidR="00E31391" w:rsidRPr="00242BF1" w:rsidRDefault="00E31391" w:rsidP="00E162A6">
                        <w:pPr>
                          <w:widowControl w:val="0"/>
                          <w:jc w:val="center"/>
                          <w:rPr>
                            <w:b/>
                          </w:rPr>
                        </w:pPr>
                        <w:r w:rsidRPr="00242BF1">
                          <w:rPr>
                            <w:bCs/>
                          </w:rPr>
                          <w:t>0.00%</w:t>
                        </w:r>
                      </w:p>
                    </w:tc>
                  </w:tr>
                </w:tbl>
                <w:p w14:paraId="67547247" w14:textId="77777777" w:rsidR="00E31391" w:rsidRPr="00242BF1" w:rsidRDefault="00E31391" w:rsidP="00E162A6">
                  <w:pPr>
                    <w:widowControl w:val="0"/>
                    <w:rPr>
                      <w:b/>
                    </w:rPr>
                  </w:pPr>
                </w:p>
                <w:p w14:paraId="2DB10036" w14:textId="77777777" w:rsidR="00E31391" w:rsidRPr="00242BF1" w:rsidRDefault="00E31391" w:rsidP="00E162A6">
                  <w:pPr>
                    <w:widowControl w:val="0"/>
                    <w:rPr>
                      <w:b/>
                    </w:rPr>
                  </w:pPr>
                  <w:r w:rsidRPr="00242BF1">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242BF1" w14:paraId="57A5812F" w14:textId="77777777" w:rsidTr="004F366C">
                    <w:tc>
                      <w:tcPr>
                        <w:tcW w:w="3389" w:type="dxa"/>
                        <w:shd w:val="clear" w:color="auto" w:fill="DEEAF6" w:themeFill="accent5" w:themeFillTint="33"/>
                        <w:vAlign w:val="center"/>
                      </w:tcPr>
                      <w:p w14:paraId="7A61D91A" w14:textId="77777777" w:rsidR="00E31391" w:rsidRPr="00242BF1" w:rsidRDefault="00E31391" w:rsidP="00E162A6">
                        <w:pPr>
                          <w:widowControl w:val="0"/>
                          <w:jc w:val="center"/>
                        </w:pPr>
                        <w:r w:rsidRPr="00242BF1">
                          <w:t>Month for which RNOs are being calculated</w:t>
                        </w:r>
                      </w:p>
                      <w:p w14:paraId="16D2B136" w14:textId="77777777" w:rsidR="00E31391" w:rsidRPr="00242BF1" w:rsidRDefault="00E31391" w:rsidP="00E162A6">
                        <w:pPr>
                          <w:widowControl w:val="0"/>
                          <w:jc w:val="center"/>
                        </w:pPr>
                        <w:r w:rsidRPr="00242BF1">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242BF1" w:rsidRDefault="00E31391" w:rsidP="00E162A6">
                        <w:pPr>
                          <w:widowControl w:val="0"/>
                          <w:jc w:val="center"/>
                        </w:pPr>
                        <w:r w:rsidRPr="00242BF1">
                          <w:t>For each Initial Start Cohort</w:t>
                        </w:r>
                      </w:p>
                    </w:tc>
                    <w:tc>
                      <w:tcPr>
                        <w:tcW w:w="3389" w:type="dxa"/>
                        <w:shd w:val="clear" w:color="auto" w:fill="DEEAF6" w:themeFill="accent5" w:themeFillTint="33"/>
                        <w:vAlign w:val="center"/>
                      </w:tcPr>
                      <w:p w14:paraId="0E4A68DC" w14:textId="77777777" w:rsidR="00E31391" w:rsidRPr="00242BF1" w:rsidRDefault="00E31391" w:rsidP="00E162A6">
                        <w:pPr>
                          <w:widowControl w:val="0"/>
                          <w:jc w:val="center"/>
                        </w:pPr>
                        <w:r w:rsidRPr="00242BF1">
                          <w:t>For each Extension Start Cohort</w:t>
                        </w:r>
                      </w:p>
                    </w:tc>
                  </w:tr>
                  <w:tr w:rsidR="00E31391" w:rsidRPr="00242BF1" w14:paraId="33305ADE" w14:textId="77777777" w:rsidTr="004F366C">
                    <w:tc>
                      <w:tcPr>
                        <w:tcW w:w="3389" w:type="dxa"/>
                        <w:vAlign w:val="center"/>
                      </w:tcPr>
                      <w:p w14:paraId="0359C9EF" w14:textId="77777777" w:rsidR="00E31391" w:rsidRPr="00242BF1" w:rsidRDefault="00E31391" w:rsidP="00E162A6">
                        <w:pPr>
                          <w:widowControl w:val="0"/>
                          <w:jc w:val="center"/>
                        </w:pPr>
                        <w:r w:rsidRPr="00242BF1">
                          <w:t>1 – 12</w:t>
                        </w:r>
                      </w:p>
                    </w:tc>
                    <w:tc>
                      <w:tcPr>
                        <w:tcW w:w="3389" w:type="dxa"/>
                        <w:vAlign w:val="center"/>
                      </w:tcPr>
                      <w:p w14:paraId="26A491D8" w14:textId="77777777" w:rsidR="00E31391" w:rsidRPr="00242BF1" w:rsidRDefault="00E31391" w:rsidP="00E162A6">
                        <w:pPr>
                          <w:widowControl w:val="0"/>
                          <w:jc w:val="center"/>
                        </w:pPr>
                        <w:r w:rsidRPr="00242BF1">
                          <w:t>85%</w:t>
                        </w:r>
                      </w:p>
                    </w:tc>
                    <w:tc>
                      <w:tcPr>
                        <w:tcW w:w="3389" w:type="dxa"/>
                        <w:vAlign w:val="center"/>
                      </w:tcPr>
                      <w:p w14:paraId="127BD1E8" w14:textId="77777777" w:rsidR="00E31391" w:rsidRPr="00242BF1" w:rsidRDefault="00E31391" w:rsidP="00E162A6">
                        <w:pPr>
                          <w:widowControl w:val="0"/>
                          <w:jc w:val="center"/>
                        </w:pPr>
                        <w:r w:rsidRPr="00242BF1">
                          <w:t>N/A</w:t>
                        </w:r>
                      </w:p>
                    </w:tc>
                  </w:tr>
                  <w:tr w:rsidR="00E31391" w:rsidRPr="00242BF1" w14:paraId="21B19260" w14:textId="77777777" w:rsidTr="004F366C">
                    <w:tc>
                      <w:tcPr>
                        <w:tcW w:w="3389" w:type="dxa"/>
                        <w:vAlign w:val="center"/>
                      </w:tcPr>
                      <w:p w14:paraId="611AC938" w14:textId="77777777" w:rsidR="00E31391" w:rsidRPr="00242BF1" w:rsidRDefault="00E31391" w:rsidP="00E162A6">
                        <w:pPr>
                          <w:widowControl w:val="0"/>
                          <w:jc w:val="center"/>
                        </w:pPr>
                        <w:r w:rsidRPr="00242BF1">
                          <w:t>13 – 24</w:t>
                        </w:r>
                      </w:p>
                    </w:tc>
                    <w:tc>
                      <w:tcPr>
                        <w:tcW w:w="3389" w:type="dxa"/>
                        <w:vAlign w:val="center"/>
                      </w:tcPr>
                      <w:p w14:paraId="5BA649A0" w14:textId="77777777" w:rsidR="00E31391" w:rsidRPr="00242BF1" w:rsidRDefault="00E31391" w:rsidP="00E162A6">
                        <w:pPr>
                          <w:widowControl w:val="0"/>
                          <w:jc w:val="center"/>
                        </w:pPr>
                        <w:r w:rsidRPr="00242BF1">
                          <w:t>90%</w:t>
                        </w:r>
                      </w:p>
                    </w:tc>
                    <w:tc>
                      <w:tcPr>
                        <w:tcW w:w="3389" w:type="dxa"/>
                        <w:vAlign w:val="center"/>
                      </w:tcPr>
                      <w:p w14:paraId="156368A1" w14:textId="77777777" w:rsidR="00E31391" w:rsidRPr="00242BF1" w:rsidRDefault="00E31391" w:rsidP="00E162A6">
                        <w:pPr>
                          <w:widowControl w:val="0"/>
                          <w:jc w:val="center"/>
                        </w:pPr>
                        <w:r w:rsidRPr="00242BF1">
                          <w:t>N/A</w:t>
                        </w:r>
                      </w:p>
                    </w:tc>
                  </w:tr>
                  <w:tr w:rsidR="00E31391" w:rsidRPr="00242BF1" w14:paraId="6A09551E" w14:textId="77777777" w:rsidTr="004F366C">
                    <w:tc>
                      <w:tcPr>
                        <w:tcW w:w="3389" w:type="dxa"/>
                        <w:vAlign w:val="center"/>
                      </w:tcPr>
                      <w:p w14:paraId="344934F5" w14:textId="77777777" w:rsidR="00E31391" w:rsidRPr="00242BF1" w:rsidRDefault="00E31391" w:rsidP="00E162A6">
                        <w:pPr>
                          <w:widowControl w:val="0"/>
                          <w:jc w:val="center"/>
                        </w:pPr>
                        <w:r w:rsidRPr="00242BF1">
                          <w:t>25 – 36</w:t>
                        </w:r>
                      </w:p>
                    </w:tc>
                    <w:tc>
                      <w:tcPr>
                        <w:tcW w:w="3389" w:type="dxa"/>
                        <w:vAlign w:val="center"/>
                      </w:tcPr>
                      <w:p w14:paraId="77816ACD" w14:textId="77777777" w:rsidR="00E31391" w:rsidRPr="00242BF1" w:rsidRDefault="00E31391" w:rsidP="00E162A6">
                        <w:pPr>
                          <w:widowControl w:val="0"/>
                          <w:jc w:val="center"/>
                        </w:pPr>
                        <w:r w:rsidRPr="00242BF1">
                          <w:t>100%</w:t>
                        </w:r>
                      </w:p>
                    </w:tc>
                    <w:tc>
                      <w:tcPr>
                        <w:tcW w:w="3389" w:type="dxa"/>
                        <w:vAlign w:val="center"/>
                      </w:tcPr>
                      <w:p w14:paraId="3AEB2579" w14:textId="77777777" w:rsidR="00E31391" w:rsidRPr="00242BF1" w:rsidRDefault="00E31391" w:rsidP="00E162A6">
                        <w:pPr>
                          <w:widowControl w:val="0"/>
                          <w:jc w:val="center"/>
                        </w:pPr>
                        <w:r w:rsidRPr="00242BF1">
                          <w:t>N/A</w:t>
                        </w:r>
                      </w:p>
                    </w:tc>
                  </w:tr>
                  <w:tr w:rsidR="00E31391" w:rsidRPr="00242BF1" w14:paraId="6DC273A5" w14:textId="77777777" w:rsidTr="004F366C">
                    <w:tc>
                      <w:tcPr>
                        <w:tcW w:w="3389" w:type="dxa"/>
                        <w:vAlign w:val="center"/>
                      </w:tcPr>
                      <w:p w14:paraId="031348A7" w14:textId="77777777" w:rsidR="00E31391" w:rsidRPr="00242BF1" w:rsidRDefault="00E31391" w:rsidP="00E162A6">
                        <w:pPr>
                          <w:widowControl w:val="0"/>
                          <w:jc w:val="center"/>
                        </w:pPr>
                        <w:r w:rsidRPr="00242BF1">
                          <w:t>37 – 48</w:t>
                        </w:r>
                      </w:p>
                    </w:tc>
                    <w:tc>
                      <w:tcPr>
                        <w:tcW w:w="3389" w:type="dxa"/>
                        <w:vAlign w:val="center"/>
                      </w:tcPr>
                      <w:p w14:paraId="15D6DF99" w14:textId="77777777" w:rsidR="00E31391" w:rsidRPr="00242BF1" w:rsidRDefault="00E31391" w:rsidP="00E162A6">
                        <w:pPr>
                          <w:widowControl w:val="0"/>
                          <w:jc w:val="center"/>
                        </w:pPr>
                        <w:r w:rsidRPr="00242BF1">
                          <w:t>115%</w:t>
                        </w:r>
                      </w:p>
                    </w:tc>
                    <w:tc>
                      <w:tcPr>
                        <w:tcW w:w="3389" w:type="dxa"/>
                        <w:vAlign w:val="center"/>
                      </w:tcPr>
                      <w:p w14:paraId="6F4CBB83" w14:textId="77777777" w:rsidR="00E31391" w:rsidRPr="00242BF1" w:rsidRDefault="00E31391" w:rsidP="00E162A6">
                        <w:pPr>
                          <w:widowControl w:val="0"/>
                          <w:jc w:val="center"/>
                        </w:pPr>
                        <w:r w:rsidRPr="00242BF1">
                          <w:t>100%</w:t>
                        </w:r>
                      </w:p>
                    </w:tc>
                  </w:tr>
                  <w:tr w:rsidR="00E31391" w:rsidRPr="00242BF1" w14:paraId="6DC5F92F" w14:textId="77777777" w:rsidTr="004F366C">
                    <w:tc>
                      <w:tcPr>
                        <w:tcW w:w="3389" w:type="dxa"/>
                        <w:vAlign w:val="center"/>
                      </w:tcPr>
                      <w:p w14:paraId="57DB5FE0" w14:textId="77777777" w:rsidR="00E31391" w:rsidRPr="00242BF1" w:rsidRDefault="00E31391" w:rsidP="00E162A6">
                        <w:pPr>
                          <w:widowControl w:val="0"/>
                          <w:jc w:val="center"/>
                        </w:pPr>
                        <w:r w:rsidRPr="00242BF1">
                          <w:t>49 – 60</w:t>
                        </w:r>
                      </w:p>
                    </w:tc>
                    <w:tc>
                      <w:tcPr>
                        <w:tcW w:w="3389" w:type="dxa"/>
                        <w:vAlign w:val="center"/>
                      </w:tcPr>
                      <w:p w14:paraId="15F9F39D" w14:textId="77777777" w:rsidR="00E31391" w:rsidRPr="00242BF1" w:rsidRDefault="00E31391" w:rsidP="00E162A6">
                        <w:pPr>
                          <w:widowControl w:val="0"/>
                          <w:jc w:val="center"/>
                        </w:pPr>
                        <w:r w:rsidRPr="00242BF1">
                          <w:t>115%</w:t>
                        </w:r>
                      </w:p>
                    </w:tc>
                    <w:tc>
                      <w:tcPr>
                        <w:tcW w:w="3389" w:type="dxa"/>
                        <w:vAlign w:val="center"/>
                      </w:tcPr>
                      <w:p w14:paraId="31037C58" w14:textId="77777777" w:rsidR="00E31391" w:rsidRPr="00242BF1" w:rsidRDefault="00E31391" w:rsidP="00E162A6">
                        <w:pPr>
                          <w:widowControl w:val="0"/>
                          <w:jc w:val="center"/>
                        </w:pPr>
                        <w:r w:rsidRPr="00242BF1">
                          <w:t>100%</w:t>
                        </w:r>
                      </w:p>
                    </w:tc>
                  </w:tr>
                  <w:tr w:rsidR="00E31391" w:rsidRPr="00242BF1" w14:paraId="173106BE" w14:textId="77777777" w:rsidTr="004F366C">
                    <w:tc>
                      <w:tcPr>
                        <w:tcW w:w="3389" w:type="dxa"/>
                        <w:vAlign w:val="center"/>
                      </w:tcPr>
                      <w:p w14:paraId="5EF56946" w14:textId="77777777" w:rsidR="00E31391" w:rsidRPr="00242BF1" w:rsidRDefault="00E31391" w:rsidP="00E162A6">
                        <w:pPr>
                          <w:widowControl w:val="0"/>
                          <w:jc w:val="center"/>
                        </w:pPr>
                        <w:r w:rsidRPr="00242BF1">
                          <w:t>61 – 72</w:t>
                        </w:r>
                      </w:p>
                    </w:tc>
                    <w:tc>
                      <w:tcPr>
                        <w:tcW w:w="3389" w:type="dxa"/>
                        <w:vAlign w:val="center"/>
                      </w:tcPr>
                      <w:p w14:paraId="07D47D2C" w14:textId="77777777" w:rsidR="00E31391" w:rsidRPr="00242BF1" w:rsidRDefault="00E31391" w:rsidP="00E162A6">
                        <w:pPr>
                          <w:widowControl w:val="0"/>
                          <w:jc w:val="center"/>
                        </w:pPr>
                        <w:r w:rsidRPr="00242BF1">
                          <w:t>N/A</w:t>
                        </w:r>
                      </w:p>
                    </w:tc>
                    <w:tc>
                      <w:tcPr>
                        <w:tcW w:w="3389" w:type="dxa"/>
                        <w:vAlign w:val="center"/>
                      </w:tcPr>
                      <w:p w14:paraId="7DD2B32F" w14:textId="77777777" w:rsidR="00E31391" w:rsidRPr="00242BF1" w:rsidRDefault="00E31391" w:rsidP="00E162A6">
                        <w:pPr>
                          <w:widowControl w:val="0"/>
                          <w:jc w:val="center"/>
                        </w:pPr>
                        <w:r w:rsidRPr="00242BF1">
                          <w:t>100%</w:t>
                        </w:r>
                      </w:p>
                    </w:tc>
                  </w:tr>
                  <w:tr w:rsidR="00E31391" w:rsidRPr="00242BF1" w14:paraId="68A98D1D" w14:textId="77777777" w:rsidTr="004F366C">
                    <w:tc>
                      <w:tcPr>
                        <w:tcW w:w="3389" w:type="dxa"/>
                        <w:vAlign w:val="center"/>
                      </w:tcPr>
                      <w:p w14:paraId="4EDC5375" w14:textId="77777777" w:rsidR="00E31391" w:rsidRPr="00242BF1" w:rsidRDefault="00E31391" w:rsidP="00E162A6">
                        <w:pPr>
                          <w:widowControl w:val="0"/>
                          <w:jc w:val="center"/>
                        </w:pPr>
                        <w:r w:rsidRPr="00242BF1">
                          <w:t>73 and beyond</w:t>
                        </w:r>
                      </w:p>
                    </w:tc>
                    <w:tc>
                      <w:tcPr>
                        <w:tcW w:w="3389" w:type="dxa"/>
                        <w:vAlign w:val="center"/>
                      </w:tcPr>
                      <w:p w14:paraId="757A7E53" w14:textId="77777777" w:rsidR="00E31391" w:rsidRPr="00242BF1" w:rsidRDefault="00E31391" w:rsidP="00E162A6">
                        <w:pPr>
                          <w:widowControl w:val="0"/>
                          <w:jc w:val="center"/>
                        </w:pPr>
                        <w:r w:rsidRPr="00242BF1">
                          <w:t>N/A</w:t>
                        </w:r>
                      </w:p>
                    </w:tc>
                    <w:tc>
                      <w:tcPr>
                        <w:tcW w:w="3389" w:type="dxa"/>
                        <w:vAlign w:val="center"/>
                      </w:tcPr>
                      <w:p w14:paraId="774D39A6" w14:textId="77777777" w:rsidR="00E31391" w:rsidRPr="00242BF1" w:rsidRDefault="00E31391" w:rsidP="00E162A6">
                        <w:pPr>
                          <w:widowControl w:val="0"/>
                          <w:jc w:val="center"/>
                        </w:pPr>
                        <w:r w:rsidRPr="00242BF1">
                          <w:t>100%</w:t>
                        </w:r>
                      </w:p>
                    </w:tc>
                  </w:tr>
                </w:tbl>
                <w:p w14:paraId="4B977C75" w14:textId="77777777" w:rsidR="00E31391" w:rsidRPr="00242BF1"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242BF1" w:rsidRDefault="00FE556C" w:rsidP="00E162A6">
            <w:pPr>
              <w:pStyle w:val="SchdLevel2"/>
              <w:spacing w:after="0" w:line="240" w:lineRule="auto"/>
              <w:ind w:left="0" w:firstLine="0"/>
              <w:jc w:val="left"/>
              <w:rPr>
                <w:rFonts w:cs="Arial"/>
                <w:i/>
                <w:sz w:val="24"/>
                <w:szCs w:val="24"/>
              </w:rPr>
            </w:pPr>
          </w:p>
        </w:tc>
      </w:tr>
      <w:tr w:rsidR="00FD1904" w:rsidRPr="00242BF1"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242BF1" w:rsidRDefault="00FD1904" w:rsidP="00E162A6">
            <w:pPr>
              <w:rPr>
                <w:bCs/>
              </w:rPr>
            </w:pPr>
            <w:r w:rsidRPr="00242BF1">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242BF1" w:rsidRDefault="006630DE" w:rsidP="00E162A6">
            <w:pPr>
              <w:pStyle w:val="SchdLevel2"/>
              <w:spacing w:after="0" w:line="240" w:lineRule="auto"/>
              <w:ind w:left="0" w:firstLine="0"/>
              <w:jc w:val="left"/>
              <w:rPr>
                <w:rFonts w:cs="Arial"/>
                <w:i/>
                <w:sz w:val="24"/>
                <w:szCs w:val="24"/>
              </w:rPr>
            </w:pPr>
            <w:r w:rsidRPr="00242BF1">
              <w:rPr>
                <w:rFonts w:cs="Arial"/>
                <w:i/>
                <w:sz w:val="24"/>
                <w:szCs w:val="24"/>
              </w:rPr>
              <w:t>The existing text and table on the first page of Schedule 4.1 shall be replaced with the following:</w:t>
            </w:r>
          </w:p>
          <w:p w14:paraId="1FB53115" w14:textId="77777777" w:rsidR="006630DE" w:rsidRPr="00242BF1" w:rsidRDefault="006630DE" w:rsidP="00E162A6">
            <w:pPr>
              <w:pStyle w:val="SchdLevel2"/>
              <w:spacing w:after="0" w:line="240" w:lineRule="auto"/>
              <w:ind w:left="0" w:firstLine="0"/>
              <w:jc w:val="left"/>
              <w:rPr>
                <w:rFonts w:cs="Arial"/>
                <w:i/>
                <w:iCs/>
                <w:sz w:val="24"/>
                <w:szCs w:val="24"/>
              </w:rPr>
            </w:pPr>
          </w:p>
          <w:p w14:paraId="0528A882" w14:textId="77777777" w:rsidR="006630DE" w:rsidRPr="00242BF1" w:rsidRDefault="006630DE" w:rsidP="00E162A6">
            <w:pPr>
              <w:pStyle w:val="SchdLevel2"/>
              <w:numPr>
                <w:ilvl w:val="0"/>
                <w:numId w:val="12"/>
              </w:numPr>
              <w:spacing w:after="0" w:line="240" w:lineRule="auto"/>
              <w:jc w:val="left"/>
              <w:rPr>
                <w:rFonts w:cs="Arial"/>
                <w:sz w:val="24"/>
                <w:szCs w:val="24"/>
              </w:rPr>
            </w:pPr>
            <w:r w:rsidRPr="00242BF1">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242BF1">
              <w:rPr>
                <w:rFonts w:cs="Arial"/>
                <w:sz w:val="24"/>
                <w:szCs w:val="24"/>
              </w:rPr>
              <w:t>Agreement;</w:t>
            </w:r>
            <w:proofErr w:type="gramEnd"/>
          </w:p>
          <w:p w14:paraId="03D52759" w14:textId="77777777" w:rsidR="006630DE" w:rsidRPr="00242BF1" w:rsidRDefault="006630DE" w:rsidP="00E162A6">
            <w:pPr>
              <w:pStyle w:val="SchdLevel2"/>
              <w:spacing w:after="0" w:line="240" w:lineRule="auto"/>
              <w:ind w:left="720" w:firstLine="0"/>
              <w:jc w:val="left"/>
              <w:rPr>
                <w:rFonts w:cs="Arial"/>
                <w:sz w:val="24"/>
                <w:szCs w:val="24"/>
              </w:rPr>
            </w:pPr>
          </w:p>
          <w:p w14:paraId="304C6D0B" w14:textId="77777777" w:rsidR="00EF09AE" w:rsidRPr="00242BF1" w:rsidRDefault="00EF09AE"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242BF1"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242BF1" w:rsidRDefault="006630DE" w:rsidP="00E162A6">
                  <w:pPr>
                    <w:pStyle w:val="NormalBold"/>
                    <w:spacing w:after="0"/>
                    <w:jc w:val="left"/>
                    <w:rPr>
                      <w:rFonts w:cs="Arial"/>
                      <w:szCs w:val="24"/>
                      <w:lang w:eastAsia="en-US"/>
                    </w:rPr>
                  </w:pPr>
                  <w:r w:rsidRPr="00242BF1">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242BF1" w:rsidRDefault="006630DE" w:rsidP="00E162A6">
                  <w:pPr>
                    <w:pStyle w:val="NormalBold"/>
                    <w:spacing w:after="0"/>
                    <w:jc w:val="left"/>
                    <w:rPr>
                      <w:rFonts w:cs="Arial"/>
                      <w:szCs w:val="24"/>
                      <w:lang w:eastAsia="en-US"/>
                    </w:rPr>
                  </w:pPr>
                  <w:r w:rsidRPr="00242BF1">
                    <w:rPr>
                      <w:rFonts w:cs="Arial"/>
                      <w:szCs w:val="24"/>
                      <w:lang w:eastAsia="en-US"/>
                    </w:rPr>
                    <w:t>Description</w:t>
                  </w:r>
                </w:p>
              </w:tc>
            </w:tr>
            <w:tr w:rsidR="006630DE" w:rsidRPr="00242BF1"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242BF1" w:rsidRDefault="006630DE" w:rsidP="00E162A6">
                  <w:pPr>
                    <w:ind w:left="23"/>
                  </w:pPr>
                  <w:r w:rsidRPr="00242BF1">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589747BB" w:rsidR="006630DE" w:rsidRPr="00242BF1" w:rsidRDefault="006630DE" w:rsidP="00E162A6">
                  <w:pPr>
                    <w:ind w:left="25"/>
                  </w:pPr>
                  <w:r w:rsidRPr="00242BF1">
                    <w:t xml:space="preserve">the tender received through the E-Procurement System </w:t>
                  </w:r>
                  <w:r w:rsidR="005223B9" w:rsidRPr="00242BF1">
                    <w:t xml:space="preserve">15/03/2021 at 00:48:03 </w:t>
                  </w:r>
                  <w:r w:rsidRPr="00242BF1">
                    <w:t>and attached to Annex A to this Schedule 4.1, as subsequently varied</w:t>
                  </w:r>
                </w:p>
              </w:tc>
            </w:tr>
            <w:tr w:rsidR="005A4590" w:rsidRPr="00242BF1" w14:paraId="636E2D1B" w14:textId="77777777" w:rsidTr="00260F04">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5A4590" w:rsidRPr="00242BF1" w:rsidRDefault="005A4590" w:rsidP="005A4590">
                  <w:pPr>
                    <w:ind w:left="23"/>
                  </w:pPr>
                  <w:r w:rsidRPr="00242BF1">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hideMark/>
                </w:tcPr>
                <w:p w14:paraId="0B7A0713" w14:textId="7526A04E" w:rsidR="005A4590" w:rsidRPr="00242BF1" w:rsidRDefault="005A4590" w:rsidP="005A4590">
                  <w:r w:rsidRPr="00242BF1">
                    <w:rPr>
                      <w:color w:val="000000"/>
                    </w:rPr>
                    <w:t>Financial clarification information received through the E-Procurement System at 22:54 on 24/03/2021. Further financial clarification information received through the E-Procurement System at 17:41 on 01/04/2021</w:t>
                  </w:r>
                </w:p>
              </w:tc>
            </w:tr>
            <w:tr w:rsidR="005A4590" w:rsidRPr="00242BF1" w14:paraId="56FD534C" w14:textId="77777777" w:rsidTr="00260F04">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5A4590" w:rsidRPr="00242BF1" w:rsidRDefault="005A4590" w:rsidP="005A4590">
                  <w:pPr>
                    <w:ind w:left="23"/>
                  </w:pPr>
                  <w:r w:rsidRPr="00242BF1">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hideMark/>
                </w:tcPr>
                <w:p w14:paraId="70AA7953" w14:textId="7B683E91" w:rsidR="005A4590" w:rsidRPr="00242BF1" w:rsidRDefault="005A4590" w:rsidP="005A4590">
                  <w:r w:rsidRPr="00242BF1">
                    <w:rPr>
                      <w:color w:val="000000"/>
                    </w:rPr>
                    <w:t>the updated contract cost register documentation received through the E-Procurement System on 20/05/2022 at 17:00 and attached to Annex B to this Schedule 4.1</w:t>
                  </w:r>
                </w:p>
              </w:tc>
            </w:tr>
            <w:tr w:rsidR="005A4590" w:rsidRPr="00242BF1" w14:paraId="1005A14C" w14:textId="77777777" w:rsidTr="00260F04">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5A4590" w:rsidRPr="00242BF1" w:rsidRDefault="005A4590" w:rsidP="005A4590">
                  <w:pPr>
                    <w:ind w:left="23"/>
                  </w:pPr>
                  <w:r w:rsidRPr="00242BF1">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tcPr>
                <w:p w14:paraId="4C3E606A" w14:textId="38188B51" w:rsidR="005A4590" w:rsidRPr="00242BF1" w:rsidRDefault="005A4590" w:rsidP="005A4590">
                  <w:r w:rsidRPr="00242BF1">
                    <w:rPr>
                      <w:color w:val="000000"/>
                    </w:rPr>
                    <w:t>the updated contract cost register documentation received through the E-Procurement System on 19/05/2023 at 17:00 and attached to Annex C to this Schedule 4.1</w:t>
                  </w:r>
                </w:p>
              </w:tc>
            </w:tr>
            <w:tr w:rsidR="006630DE" w:rsidRPr="00242BF1"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242BF1" w:rsidRDefault="006630DE" w:rsidP="00E162A6">
                  <w:pPr>
                    <w:ind w:left="23"/>
                  </w:pPr>
                  <w:r w:rsidRPr="00242BF1">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43725ACC" w:rsidR="006630DE" w:rsidRPr="00242BF1" w:rsidRDefault="006630DE" w:rsidP="00E162A6">
                  <w:r w:rsidRPr="00242BF1">
                    <w:t xml:space="preserve">the extension contract cost register documentation received through the E-Procurement System </w:t>
                  </w:r>
                  <w:r w:rsidR="005A4590" w:rsidRPr="00242BF1">
                    <w:t>19/03/2024 at 17:16</w:t>
                  </w:r>
                  <w:r w:rsidRPr="00242BF1">
                    <w:t xml:space="preserve"> and attached to Annex C to this Schedule 4.1</w:t>
                  </w:r>
                  <w:r w:rsidRPr="00242BF1">
                    <w:fldChar w:fldCharType="begin"/>
                  </w:r>
                  <w:r w:rsidRPr="00242BF1">
                    <w:instrText xml:space="preserve"> REF _Ref464809654 \w \h  \* MERGEFORMAT </w:instrText>
                  </w:r>
                  <w:r w:rsidR="00A8076E">
                    <w:fldChar w:fldCharType="separate"/>
                  </w:r>
                  <w:r w:rsidRPr="00242BF1">
                    <w:fldChar w:fldCharType="end"/>
                  </w:r>
                </w:p>
              </w:tc>
            </w:tr>
          </w:tbl>
          <w:p w14:paraId="3BE848B6" w14:textId="77777777" w:rsidR="006630DE" w:rsidRPr="00242BF1" w:rsidRDefault="006630DE" w:rsidP="00E162A6">
            <w:pPr>
              <w:pStyle w:val="SchdLevel2"/>
              <w:spacing w:after="0" w:line="240" w:lineRule="auto"/>
              <w:ind w:left="0" w:firstLine="0"/>
              <w:jc w:val="left"/>
              <w:rPr>
                <w:rFonts w:cs="Arial"/>
                <w:i/>
                <w:sz w:val="24"/>
                <w:szCs w:val="24"/>
              </w:rPr>
            </w:pPr>
          </w:p>
          <w:p w14:paraId="0B14CE53" w14:textId="17FDBEB1" w:rsidR="00FD1904" w:rsidRPr="00242BF1" w:rsidRDefault="006630DE" w:rsidP="00E162A6">
            <w:pPr>
              <w:pStyle w:val="SchdLevel2"/>
              <w:numPr>
                <w:ilvl w:val="0"/>
                <w:numId w:val="12"/>
              </w:numPr>
              <w:spacing w:after="0" w:line="240" w:lineRule="auto"/>
              <w:jc w:val="left"/>
              <w:rPr>
                <w:rFonts w:cs="Arial"/>
                <w:i/>
                <w:sz w:val="24"/>
                <w:szCs w:val="24"/>
              </w:rPr>
            </w:pPr>
            <w:r w:rsidRPr="00242BF1">
              <w:rPr>
                <w:rFonts w:cs="Arial"/>
                <w:iCs/>
                <w:sz w:val="24"/>
                <w:szCs w:val="24"/>
              </w:rPr>
              <w:t xml:space="preserve">If there is any conflict </w:t>
            </w:r>
            <w:r w:rsidRPr="00242BF1">
              <w:rPr>
                <w:rFonts w:cs="Arial"/>
                <w:sz w:val="24"/>
                <w:szCs w:val="24"/>
              </w:rPr>
              <w:t>between</w:t>
            </w:r>
            <w:r w:rsidRPr="00242BF1">
              <w:rPr>
                <w:rFonts w:cs="Arial"/>
                <w:iCs/>
                <w:sz w:val="24"/>
                <w:szCs w:val="24"/>
              </w:rPr>
              <w:t xml:space="preserve"> the Tender Clarification and any provision or detail introduced to this Agreement by the</w:t>
            </w:r>
            <w:r w:rsidR="00DF0881" w:rsidRPr="00242BF1">
              <w:rPr>
                <w:rFonts w:cs="Arial"/>
                <w:iCs/>
                <w:sz w:val="24"/>
                <w:szCs w:val="24"/>
              </w:rPr>
              <w:t xml:space="preserve"> variation to this Agreement referred to as </w:t>
            </w:r>
            <w:r w:rsidR="00BE1D00" w:rsidRPr="00242BF1">
              <w:rPr>
                <w:rFonts w:cs="Arial"/>
                <w:bCs/>
                <w:sz w:val="24"/>
                <w:szCs w:val="24"/>
              </w:rPr>
              <w:t>RCV-5a-009-A04</w:t>
            </w:r>
            <w:r w:rsidR="00DF0881" w:rsidRPr="00242BF1">
              <w:rPr>
                <w:rFonts w:cs="Arial"/>
                <w:bCs/>
                <w:sz w:val="24"/>
                <w:szCs w:val="24"/>
              </w:rPr>
              <w:t>, the latter shall take precedence.</w:t>
            </w:r>
          </w:p>
        </w:tc>
      </w:tr>
      <w:tr w:rsidR="00FD1904" w:rsidRPr="00242BF1"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242BF1"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10DA3B1" w14:textId="77777777" w:rsidR="00EF09AE" w:rsidRPr="00242BF1" w:rsidRDefault="00EF09AE" w:rsidP="00E162A6">
            <w:pPr>
              <w:pStyle w:val="SchdLevel2"/>
              <w:spacing w:after="0" w:line="240" w:lineRule="auto"/>
              <w:ind w:left="0" w:firstLine="0"/>
              <w:jc w:val="left"/>
              <w:rPr>
                <w:rFonts w:cs="Arial"/>
                <w:i/>
                <w:sz w:val="24"/>
                <w:szCs w:val="24"/>
              </w:rPr>
            </w:pPr>
          </w:p>
          <w:p w14:paraId="11E89A8C" w14:textId="77777777" w:rsidR="00EF09AE" w:rsidRPr="00242BF1" w:rsidRDefault="00EF09AE" w:rsidP="00E162A6">
            <w:pPr>
              <w:pStyle w:val="SchdLevel2"/>
              <w:spacing w:after="0" w:line="240" w:lineRule="auto"/>
              <w:ind w:left="0" w:firstLine="0"/>
              <w:jc w:val="left"/>
              <w:rPr>
                <w:i/>
              </w:rPr>
            </w:pPr>
          </w:p>
          <w:p w14:paraId="272C0184" w14:textId="77777777" w:rsidR="00EF09AE" w:rsidRPr="00242BF1" w:rsidRDefault="00EF09AE" w:rsidP="00E162A6">
            <w:pPr>
              <w:pStyle w:val="SchdLevel2"/>
              <w:spacing w:after="0" w:line="240" w:lineRule="auto"/>
              <w:ind w:left="0" w:firstLine="0"/>
              <w:jc w:val="left"/>
              <w:rPr>
                <w:i/>
              </w:rPr>
            </w:pPr>
          </w:p>
          <w:p w14:paraId="4A7D8BB2" w14:textId="77777777" w:rsidR="00EF09AE" w:rsidRPr="00242BF1" w:rsidRDefault="00EF09AE" w:rsidP="00E162A6">
            <w:pPr>
              <w:pStyle w:val="SchdLevel2"/>
              <w:spacing w:after="0" w:line="240" w:lineRule="auto"/>
              <w:ind w:left="0" w:firstLine="0"/>
              <w:jc w:val="left"/>
              <w:rPr>
                <w:i/>
              </w:rPr>
            </w:pPr>
          </w:p>
          <w:p w14:paraId="36C7C097" w14:textId="77777777" w:rsidR="00EF09AE" w:rsidRPr="00242BF1" w:rsidRDefault="00EF09AE" w:rsidP="00E162A6">
            <w:pPr>
              <w:pStyle w:val="SchdLevel2"/>
              <w:spacing w:after="0" w:line="240" w:lineRule="auto"/>
              <w:ind w:left="0" w:firstLine="0"/>
              <w:jc w:val="left"/>
              <w:rPr>
                <w:i/>
              </w:rPr>
            </w:pPr>
          </w:p>
          <w:p w14:paraId="73E830EC" w14:textId="77777777" w:rsidR="00EF09AE" w:rsidRPr="00242BF1" w:rsidRDefault="00EF09AE" w:rsidP="00E162A6">
            <w:pPr>
              <w:pStyle w:val="SchdLevel2"/>
              <w:spacing w:after="0" w:line="240" w:lineRule="auto"/>
              <w:ind w:left="0" w:firstLine="0"/>
              <w:jc w:val="left"/>
              <w:rPr>
                <w:i/>
              </w:rPr>
            </w:pPr>
          </w:p>
          <w:p w14:paraId="66A47E0D" w14:textId="77777777" w:rsidR="00EF09AE" w:rsidRPr="00242BF1" w:rsidRDefault="00EF09AE" w:rsidP="00E162A6">
            <w:pPr>
              <w:pStyle w:val="SchdLevel2"/>
              <w:spacing w:after="0" w:line="240" w:lineRule="auto"/>
              <w:ind w:left="0" w:firstLine="0"/>
              <w:jc w:val="left"/>
              <w:rPr>
                <w:i/>
              </w:rPr>
            </w:pPr>
          </w:p>
          <w:p w14:paraId="0B964906" w14:textId="2DA9D030" w:rsidR="00FD1904" w:rsidRPr="00242BF1" w:rsidRDefault="00FD1904" w:rsidP="00E162A6">
            <w:pPr>
              <w:pStyle w:val="SchdLevel2"/>
              <w:spacing w:after="0" w:line="240" w:lineRule="auto"/>
              <w:ind w:left="0" w:firstLine="0"/>
              <w:jc w:val="left"/>
              <w:rPr>
                <w:rFonts w:cs="Arial"/>
                <w:i/>
                <w:sz w:val="24"/>
                <w:szCs w:val="24"/>
              </w:rPr>
            </w:pPr>
            <w:r w:rsidRPr="00242BF1">
              <w:rPr>
                <w:rFonts w:cs="Arial"/>
                <w:i/>
                <w:sz w:val="24"/>
                <w:szCs w:val="24"/>
              </w:rPr>
              <w:lastRenderedPageBreak/>
              <w:t>A new Annex D shall be added to Schedule 4.1 as follows:</w:t>
            </w:r>
          </w:p>
          <w:p w14:paraId="1F7C3570" w14:textId="77777777" w:rsidR="00FD1904" w:rsidRPr="00242BF1" w:rsidRDefault="00FD1904" w:rsidP="00E162A6">
            <w:pPr>
              <w:pStyle w:val="SchdLevel2"/>
              <w:spacing w:after="0" w:line="240" w:lineRule="auto"/>
              <w:ind w:left="0" w:firstLine="0"/>
              <w:jc w:val="left"/>
              <w:rPr>
                <w:rFonts w:cs="Arial"/>
                <w:i/>
                <w:sz w:val="24"/>
                <w:szCs w:val="24"/>
              </w:rPr>
            </w:pPr>
          </w:p>
          <w:p w14:paraId="7B1ABD62" w14:textId="77777777" w:rsidR="00FD1904" w:rsidRPr="00242BF1" w:rsidRDefault="00FD1904" w:rsidP="00E162A6">
            <w:pPr>
              <w:spacing w:after="200"/>
              <w:rPr>
                <w:color w:val="365F91"/>
                <w:sz w:val="32"/>
                <w:szCs w:val="22"/>
              </w:rPr>
            </w:pPr>
            <w:r w:rsidRPr="00242BF1">
              <w:rPr>
                <w:color w:val="365F91"/>
                <w:sz w:val="32"/>
              </w:rPr>
              <w:t>Annex D: Extension Contract Cost Register Documentation</w:t>
            </w:r>
          </w:p>
          <w:p w14:paraId="2EEAA8EA" w14:textId="5AD4E01F" w:rsidR="00FD1904" w:rsidRPr="00242BF1" w:rsidRDefault="00935857" w:rsidP="00E162A6">
            <w:pPr>
              <w:pStyle w:val="SchdLevel2"/>
              <w:spacing w:after="0" w:line="240" w:lineRule="auto"/>
              <w:ind w:left="0" w:firstLine="0"/>
              <w:jc w:val="left"/>
              <w:rPr>
                <w:rFonts w:cs="Arial"/>
                <w:iCs/>
                <w:sz w:val="24"/>
                <w:szCs w:val="24"/>
              </w:rPr>
            </w:pPr>
            <w:r w:rsidRPr="00242BF1">
              <w:rPr>
                <w:rStyle w:val="normaltextrun"/>
                <w:rFonts w:cs="Arial"/>
                <w:color w:val="000000"/>
              </w:rPr>
              <w:t>[REDACTED]</w:t>
            </w:r>
          </w:p>
        </w:tc>
      </w:tr>
      <w:tr w:rsidR="007850F8" w:rsidRPr="00242BF1"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242BF1" w:rsidRDefault="00A24250" w:rsidP="00E162A6">
            <w:pPr>
              <w:rPr>
                <w:bCs/>
              </w:rPr>
            </w:pPr>
            <w:r w:rsidRPr="00242BF1">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242BF1" w:rsidRDefault="009D7C44" w:rsidP="00E162A6">
            <w:pPr>
              <w:pStyle w:val="SchdLevel2"/>
              <w:spacing w:after="0" w:line="240" w:lineRule="auto"/>
              <w:ind w:left="0" w:firstLine="0"/>
              <w:jc w:val="left"/>
              <w:rPr>
                <w:rFonts w:cs="Arial"/>
                <w:i/>
                <w:sz w:val="24"/>
                <w:szCs w:val="24"/>
              </w:rPr>
            </w:pPr>
            <w:r w:rsidRPr="00242BF1">
              <w:rPr>
                <w:rFonts w:cs="Arial"/>
                <w:i/>
                <w:sz w:val="24"/>
                <w:szCs w:val="24"/>
              </w:rPr>
              <w:t>An additional row shall be added to the table as follows:</w:t>
            </w:r>
          </w:p>
          <w:p w14:paraId="569836F9" w14:textId="77777777" w:rsidR="009D7C44" w:rsidRPr="00242BF1"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49"/>
              <w:gridCol w:w="6256"/>
              <w:gridCol w:w="1917"/>
            </w:tblGrid>
            <w:tr w:rsidR="009D7C44" w:rsidRPr="00242BF1" w14:paraId="677875F2" w14:textId="77777777" w:rsidTr="00935857">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242BF1" w:rsidRDefault="009D7C44" w:rsidP="00E162A6">
                  <w:pPr>
                    <w:pStyle w:val="TableNormal1"/>
                    <w:spacing w:before="0" w:after="0"/>
                    <w:rPr>
                      <w:rFonts w:ascii="Arial" w:hAnsi="Arial" w:cs="Arial"/>
                      <w:b/>
                      <w:sz w:val="24"/>
                      <w:szCs w:val="24"/>
                    </w:rPr>
                  </w:pPr>
                  <w:r w:rsidRPr="00242BF1">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242BF1" w:rsidRDefault="009D7C44" w:rsidP="00E162A6">
                  <w:pPr>
                    <w:pStyle w:val="TableNormal1"/>
                    <w:spacing w:before="0" w:after="0"/>
                    <w:rPr>
                      <w:rFonts w:ascii="Arial" w:hAnsi="Arial" w:cs="Arial"/>
                      <w:b/>
                      <w:sz w:val="24"/>
                      <w:szCs w:val="24"/>
                    </w:rPr>
                  </w:pPr>
                  <w:r w:rsidRPr="00242BF1">
                    <w:rPr>
                      <w:rFonts w:ascii="Arial" w:hAnsi="Arial" w:cs="Arial"/>
                      <w:b/>
                      <w:sz w:val="24"/>
                      <w:szCs w:val="24"/>
                    </w:rPr>
                    <w:t>Date</w:t>
                  </w:r>
                </w:p>
              </w:tc>
              <w:tc>
                <w:tcPr>
                  <w:tcW w:w="6256"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242BF1" w:rsidRDefault="009D7C44" w:rsidP="00E162A6">
                  <w:pPr>
                    <w:pStyle w:val="TableNormal1"/>
                    <w:spacing w:before="0" w:after="0"/>
                    <w:rPr>
                      <w:rFonts w:ascii="Arial" w:hAnsi="Arial" w:cs="Arial"/>
                      <w:b/>
                      <w:sz w:val="24"/>
                      <w:szCs w:val="24"/>
                    </w:rPr>
                  </w:pPr>
                  <w:r w:rsidRPr="00242BF1">
                    <w:rPr>
                      <w:rFonts w:ascii="Arial" w:hAnsi="Arial" w:cs="Arial"/>
                      <w:b/>
                      <w:sz w:val="24"/>
                      <w:szCs w:val="24"/>
                    </w:rPr>
                    <w:t>Item(s)</w:t>
                  </w:r>
                </w:p>
              </w:tc>
              <w:tc>
                <w:tcPr>
                  <w:tcW w:w="1917"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242BF1" w:rsidRDefault="009D7C44" w:rsidP="00E162A6">
                  <w:pPr>
                    <w:pStyle w:val="TableNormal1"/>
                    <w:spacing w:before="0" w:after="0"/>
                    <w:rPr>
                      <w:rFonts w:ascii="Arial" w:hAnsi="Arial" w:cs="Arial"/>
                      <w:b/>
                      <w:sz w:val="24"/>
                      <w:szCs w:val="24"/>
                    </w:rPr>
                  </w:pPr>
                  <w:r w:rsidRPr="00242BF1">
                    <w:rPr>
                      <w:rFonts w:ascii="Arial" w:hAnsi="Arial" w:cs="Arial"/>
                      <w:b/>
                      <w:sz w:val="24"/>
                      <w:szCs w:val="24"/>
                    </w:rPr>
                    <w:t>Duration of Confidentiality</w:t>
                  </w:r>
                </w:p>
              </w:tc>
            </w:tr>
            <w:tr w:rsidR="00935857" w:rsidRPr="00242BF1" w14:paraId="6ED32BCF" w14:textId="77777777" w:rsidTr="00935857">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3C1B4385" w:rsidR="00935857" w:rsidRPr="00242BF1" w:rsidRDefault="00935857" w:rsidP="00935857">
                  <w:pPr>
                    <w:pStyle w:val="Heading2"/>
                    <w:numPr>
                      <w:ilvl w:val="0"/>
                      <w:numId w:val="0"/>
                    </w:numPr>
                    <w:tabs>
                      <w:tab w:val="left" w:pos="720"/>
                    </w:tabs>
                    <w:spacing w:after="0"/>
                    <w:jc w:val="left"/>
                    <w:rPr>
                      <w:rFonts w:ascii="Arial" w:hAnsi="Arial" w:cs="Arial"/>
                      <w:b w:val="0"/>
                      <w:sz w:val="24"/>
                      <w:szCs w:val="24"/>
                    </w:rPr>
                  </w:pPr>
                  <w:r w:rsidRPr="00242BF1">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32FCA706" w:rsidR="00935857" w:rsidRPr="00242BF1" w:rsidRDefault="00935857" w:rsidP="00935857">
                  <w:pPr>
                    <w:pStyle w:val="Heading2"/>
                    <w:numPr>
                      <w:ilvl w:val="0"/>
                      <w:numId w:val="0"/>
                    </w:numPr>
                    <w:tabs>
                      <w:tab w:val="left" w:pos="720"/>
                    </w:tabs>
                    <w:spacing w:after="0"/>
                    <w:jc w:val="left"/>
                    <w:rPr>
                      <w:rFonts w:ascii="Arial" w:hAnsi="Arial" w:cs="Arial"/>
                      <w:b w:val="0"/>
                      <w:bCs w:val="0"/>
                      <w:sz w:val="24"/>
                      <w:szCs w:val="24"/>
                    </w:rPr>
                  </w:pPr>
                  <w:r w:rsidRPr="00242BF1">
                    <w:rPr>
                      <w:rStyle w:val="normaltextrun"/>
                      <w:rFonts w:ascii="Arial" w:hAnsi="Arial" w:cs="Arial"/>
                      <w:b w:val="0"/>
                      <w:bCs w:val="0"/>
                      <w:color w:val="000000"/>
                    </w:rPr>
                    <w:t>[REDACTED]</w:t>
                  </w:r>
                </w:p>
              </w:tc>
              <w:tc>
                <w:tcPr>
                  <w:tcW w:w="6256"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22532F32" w:rsidR="00935857" w:rsidRPr="00242BF1" w:rsidRDefault="00935857" w:rsidP="00935857">
                  <w:pPr>
                    <w:pStyle w:val="Heading2"/>
                    <w:numPr>
                      <w:ilvl w:val="0"/>
                      <w:numId w:val="0"/>
                    </w:numPr>
                    <w:tabs>
                      <w:tab w:val="left" w:pos="720"/>
                    </w:tabs>
                    <w:spacing w:after="0"/>
                    <w:jc w:val="left"/>
                    <w:rPr>
                      <w:rFonts w:ascii="Arial" w:hAnsi="Arial" w:cs="Arial"/>
                      <w:b w:val="0"/>
                      <w:bCs w:val="0"/>
                      <w:sz w:val="24"/>
                      <w:szCs w:val="24"/>
                    </w:rPr>
                  </w:pPr>
                  <w:r w:rsidRPr="00242BF1">
                    <w:rPr>
                      <w:rStyle w:val="normaltextrun"/>
                      <w:rFonts w:ascii="Arial" w:hAnsi="Arial" w:cs="Arial"/>
                      <w:b w:val="0"/>
                      <w:bCs w:val="0"/>
                      <w:color w:val="000000"/>
                    </w:rPr>
                    <w:t>[REDACTED]</w:t>
                  </w:r>
                </w:p>
              </w:tc>
              <w:tc>
                <w:tcPr>
                  <w:tcW w:w="1917"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64055CB9" w:rsidR="00935857" w:rsidRPr="00242BF1" w:rsidRDefault="00935857" w:rsidP="00935857">
                  <w:pPr>
                    <w:pStyle w:val="Heading2"/>
                    <w:numPr>
                      <w:ilvl w:val="0"/>
                      <w:numId w:val="0"/>
                    </w:numPr>
                    <w:tabs>
                      <w:tab w:val="left" w:pos="720"/>
                    </w:tabs>
                    <w:spacing w:after="0"/>
                    <w:jc w:val="left"/>
                    <w:rPr>
                      <w:rFonts w:ascii="Arial" w:hAnsi="Arial" w:cs="Arial"/>
                      <w:b w:val="0"/>
                      <w:bCs w:val="0"/>
                      <w:sz w:val="24"/>
                      <w:szCs w:val="24"/>
                    </w:rPr>
                  </w:pPr>
                  <w:r w:rsidRPr="00242BF1">
                    <w:rPr>
                      <w:rStyle w:val="normaltextrun"/>
                      <w:rFonts w:ascii="Arial" w:hAnsi="Arial" w:cs="Arial"/>
                      <w:b w:val="0"/>
                      <w:bCs w:val="0"/>
                      <w:color w:val="000000"/>
                    </w:rPr>
                    <w:t>[REDACTED]</w:t>
                  </w:r>
                </w:p>
              </w:tc>
            </w:tr>
          </w:tbl>
          <w:p w14:paraId="4B0CFE96" w14:textId="77777777" w:rsidR="007850F8" w:rsidRPr="00242BF1" w:rsidRDefault="007850F8" w:rsidP="00E162A6">
            <w:pPr>
              <w:pStyle w:val="SchdLevel2"/>
              <w:spacing w:after="0" w:line="240" w:lineRule="auto"/>
              <w:ind w:left="0" w:firstLine="0"/>
              <w:jc w:val="left"/>
              <w:rPr>
                <w:rFonts w:cs="Arial"/>
                <w:i/>
                <w:sz w:val="24"/>
                <w:szCs w:val="24"/>
              </w:rPr>
            </w:pPr>
          </w:p>
        </w:tc>
      </w:tr>
      <w:tr w:rsidR="001C42F9" w:rsidRPr="00242BF1"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242BF1" w:rsidRDefault="001C42F9" w:rsidP="00E162A6">
            <w:pPr>
              <w:rPr>
                <w:bCs/>
              </w:rPr>
            </w:pPr>
            <w:r w:rsidRPr="00242BF1">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242BF1" w:rsidRDefault="001C42F9" w:rsidP="00E162A6">
            <w:pPr>
              <w:pStyle w:val="SchdLevel2"/>
              <w:spacing w:after="0" w:line="240" w:lineRule="auto"/>
              <w:ind w:left="0" w:firstLine="0"/>
              <w:jc w:val="left"/>
              <w:rPr>
                <w:rFonts w:cs="Arial"/>
                <w:i/>
                <w:sz w:val="24"/>
                <w:szCs w:val="24"/>
              </w:rPr>
            </w:pPr>
            <w:r w:rsidRPr="00242BF1">
              <w:rPr>
                <w:rFonts w:cs="Arial"/>
                <w:i/>
                <w:sz w:val="24"/>
                <w:szCs w:val="24"/>
              </w:rPr>
              <w:t>Existing paragraph 4.1 shall be replaced with the following:</w:t>
            </w:r>
          </w:p>
          <w:p w14:paraId="55B4A2AD" w14:textId="77777777" w:rsidR="001C42F9" w:rsidRPr="00242BF1" w:rsidRDefault="001C42F9" w:rsidP="00E162A6">
            <w:pPr>
              <w:pStyle w:val="SchdLevel2"/>
              <w:spacing w:after="0" w:line="240" w:lineRule="auto"/>
              <w:ind w:left="0" w:firstLine="0"/>
              <w:jc w:val="left"/>
              <w:rPr>
                <w:rFonts w:cs="Arial"/>
                <w:i/>
                <w:sz w:val="24"/>
                <w:szCs w:val="24"/>
              </w:rPr>
            </w:pPr>
          </w:p>
          <w:p w14:paraId="0DD19A52" w14:textId="77777777" w:rsidR="001C42F9" w:rsidRPr="00242BF1" w:rsidRDefault="001C42F9" w:rsidP="00E162A6">
            <w:pPr>
              <w:pStyle w:val="SchdLevel2"/>
              <w:numPr>
                <w:ilvl w:val="0"/>
                <w:numId w:val="14"/>
              </w:numPr>
              <w:spacing w:after="0" w:line="240" w:lineRule="auto"/>
              <w:ind w:left="360"/>
              <w:jc w:val="left"/>
              <w:rPr>
                <w:rFonts w:cs="Arial"/>
                <w:iCs/>
                <w:sz w:val="24"/>
                <w:szCs w:val="24"/>
              </w:rPr>
            </w:pPr>
            <w:r w:rsidRPr="00242BF1">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242BF1"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242BF1"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242BF1"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242BF1" w:rsidRDefault="001C42F9" w:rsidP="00E162A6">
                  <w:pPr>
                    <w:pStyle w:val="SchdLevel2"/>
                    <w:spacing w:after="0" w:line="240" w:lineRule="auto"/>
                    <w:ind w:left="0" w:firstLine="0"/>
                    <w:jc w:val="center"/>
                    <w:rPr>
                      <w:rFonts w:cs="Arial"/>
                      <w:b/>
                      <w:bCs/>
                      <w:iCs/>
                      <w:sz w:val="24"/>
                      <w:szCs w:val="24"/>
                    </w:rPr>
                  </w:pPr>
                  <w:r w:rsidRPr="00242BF1">
                    <w:rPr>
                      <w:rFonts w:cs="Arial"/>
                      <w:b/>
                      <w:bCs/>
                      <w:iCs/>
                      <w:sz w:val="24"/>
                      <w:szCs w:val="24"/>
                    </w:rPr>
                    <w:t>Amount per Outcome exc. VAT</w:t>
                  </w:r>
                </w:p>
              </w:tc>
            </w:tr>
            <w:tr w:rsidR="001C42F9" w:rsidRPr="00242BF1"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242BF1" w:rsidRDefault="001C42F9" w:rsidP="00E162A6">
                  <w:pPr>
                    <w:pStyle w:val="SchdLevel2"/>
                    <w:spacing w:after="0" w:line="240" w:lineRule="auto"/>
                    <w:ind w:left="0" w:firstLine="0"/>
                    <w:jc w:val="left"/>
                    <w:rPr>
                      <w:rFonts w:cs="Arial"/>
                      <w:b/>
                      <w:bCs/>
                      <w:iCs/>
                      <w:sz w:val="24"/>
                      <w:szCs w:val="24"/>
                    </w:rPr>
                  </w:pPr>
                  <w:r w:rsidRPr="00242BF1">
                    <w:rPr>
                      <w:rFonts w:cs="Arial"/>
                      <w:b/>
                      <w:bCs/>
                      <w:iCs/>
                      <w:sz w:val="24"/>
                      <w:szCs w:val="24"/>
                    </w:rPr>
                    <w:t xml:space="preserve">For Initial Start Cohorts </w:t>
                  </w:r>
                </w:p>
              </w:tc>
            </w:tr>
            <w:tr w:rsidR="00935857" w:rsidRPr="00242BF1" w14:paraId="174BCF0A" w14:textId="77777777" w:rsidTr="00330F4D">
              <w:tc>
                <w:tcPr>
                  <w:tcW w:w="7796" w:type="dxa"/>
                  <w:tcMar>
                    <w:top w:w="85" w:type="dxa"/>
                    <w:bottom w:w="85" w:type="dxa"/>
                  </w:tcMar>
                  <w:vAlign w:val="center"/>
                </w:tcPr>
                <w:p w14:paraId="2513F51C" w14:textId="77777777" w:rsidR="00935857" w:rsidRPr="00242BF1" w:rsidRDefault="00935857" w:rsidP="00935857">
                  <w:pPr>
                    <w:pStyle w:val="SchdLevel2"/>
                    <w:spacing w:after="0" w:line="240" w:lineRule="auto"/>
                    <w:ind w:left="0" w:firstLine="0"/>
                    <w:jc w:val="left"/>
                    <w:rPr>
                      <w:rFonts w:cs="Arial"/>
                      <w:iCs/>
                      <w:sz w:val="24"/>
                      <w:szCs w:val="24"/>
                    </w:rPr>
                  </w:pPr>
                  <w:r w:rsidRPr="00242BF1">
                    <w:rPr>
                      <w:rFonts w:cs="Arial"/>
                      <w:iCs/>
                      <w:sz w:val="24"/>
                      <w:szCs w:val="24"/>
                    </w:rPr>
                    <w:t>Standard Outcome Payment rate for an Outcome Payment paid before the Outcome Payment Adjustment Date</w:t>
                  </w:r>
                </w:p>
              </w:tc>
              <w:tc>
                <w:tcPr>
                  <w:tcW w:w="3863" w:type="dxa"/>
                  <w:tcMar>
                    <w:top w:w="85" w:type="dxa"/>
                    <w:bottom w:w="85" w:type="dxa"/>
                  </w:tcMar>
                </w:tcPr>
                <w:p w14:paraId="09AEF078" w14:textId="7229DE12" w:rsidR="00935857" w:rsidRPr="00242BF1" w:rsidRDefault="00935857" w:rsidP="00935857">
                  <w:pPr>
                    <w:pStyle w:val="SchdLevel2"/>
                    <w:spacing w:after="0" w:line="240" w:lineRule="auto"/>
                    <w:ind w:left="0" w:firstLine="0"/>
                    <w:jc w:val="center"/>
                    <w:rPr>
                      <w:rFonts w:cs="Arial"/>
                      <w:iCs/>
                      <w:sz w:val="24"/>
                      <w:szCs w:val="24"/>
                    </w:rPr>
                  </w:pPr>
                  <w:r w:rsidRPr="00242BF1">
                    <w:rPr>
                      <w:rStyle w:val="normaltextrun"/>
                      <w:rFonts w:cs="Arial"/>
                      <w:color w:val="000000"/>
                    </w:rPr>
                    <w:t>[REDACTED]</w:t>
                  </w:r>
                </w:p>
              </w:tc>
            </w:tr>
            <w:tr w:rsidR="00935857" w:rsidRPr="00242BF1" w14:paraId="02F99B90" w14:textId="77777777" w:rsidTr="00330F4D">
              <w:tc>
                <w:tcPr>
                  <w:tcW w:w="7796" w:type="dxa"/>
                  <w:tcBorders>
                    <w:bottom w:val="single" w:sz="12" w:space="0" w:color="auto"/>
                  </w:tcBorders>
                  <w:tcMar>
                    <w:top w:w="85" w:type="dxa"/>
                    <w:bottom w:w="85" w:type="dxa"/>
                  </w:tcMar>
                  <w:vAlign w:val="center"/>
                </w:tcPr>
                <w:p w14:paraId="525262E3" w14:textId="77777777" w:rsidR="00935857" w:rsidRPr="00242BF1" w:rsidRDefault="00935857" w:rsidP="00935857">
                  <w:pPr>
                    <w:pStyle w:val="SchdLevel2"/>
                    <w:spacing w:after="0" w:line="240" w:lineRule="auto"/>
                    <w:ind w:left="0" w:firstLine="0"/>
                    <w:jc w:val="left"/>
                    <w:rPr>
                      <w:rFonts w:cs="Arial"/>
                      <w:iCs/>
                      <w:sz w:val="24"/>
                      <w:szCs w:val="24"/>
                    </w:rPr>
                  </w:pPr>
                  <w:r w:rsidRPr="00242BF1">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tcPr>
                <w:p w14:paraId="3DA87768" w14:textId="72647EE3" w:rsidR="00935857" w:rsidRPr="00242BF1" w:rsidRDefault="00935857" w:rsidP="00935857">
                  <w:pPr>
                    <w:pStyle w:val="SchdLevel2"/>
                    <w:spacing w:after="0" w:line="240" w:lineRule="auto"/>
                    <w:ind w:left="0" w:firstLine="0"/>
                    <w:jc w:val="center"/>
                    <w:rPr>
                      <w:rFonts w:cs="Arial"/>
                      <w:iCs/>
                      <w:sz w:val="24"/>
                      <w:szCs w:val="24"/>
                    </w:rPr>
                  </w:pPr>
                  <w:r w:rsidRPr="00242BF1">
                    <w:rPr>
                      <w:rStyle w:val="normaltextrun"/>
                      <w:rFonts w:cs="Arial"/>
                      <w:color w:val="000000"/>
                    </w:rPr>
                    <w:t>[REDACTED]</w:t>
                  </w:r>
                </w:p>
              </w:tc>
            </w:tr>
            <w:tr w:rsidR="00935857" w:rsidRPr="00242BF1" w14:paraId="707BE6F3" w14:textId="77777777" w:rsidTr="00330F4D">
              <w:tc>
                <w:tcPr>
                  <w:tcW w:w="7796" w:type="dxa"/>
                  <w:tcBorders>
                    <w:top w:val="single" w:sz="12" w:space="0" w:color="auto"/>
                    <w:bottom w:val="single" w:sz="4" w:space="0" w:color="auto"/>
                  </w:tcBorders>
                  <w:tcMar>
                    <w:top w:w="85" w:type="dxa"/>
                    <w:bottom w:w="85" w:type="dxa"/>
                  </w:tcMar>
                  <w:vAlign w:val="center"/>
                </w:tcPr>
                <w:p w14:paraId="3CD1A16E" w14:textId="77777777" w:rsidR="00935857" w:rsidRPr="00242BF1" w:rsidRDefault="00935857" w:rsidP="00935857">
                  <w:pPr>
                    <w:pStyle w:val="SchdLevel2"/>
                    <w:spacing w:after="0" w:line="240" w:lineRule="auto"/>
                    <w:ind w:left="0" w:firstLine="0"/>
                    <w:jc w:val="left"/>
                    <w:rPr>
                      <w:rFonts w:cs="Arial"/>
                      <w:iCs/>
                      <w:sz w:val="24"/>
                      <w:szCs w:val="24"/>
                    </w:rPr>
                  </w:pPr>
                  <w:r w:rsidRPr="00242BF1">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tcPr>
                <w:p w14:paraId="512AC2B1" w14:textId="79723748" w:rsidR="00935857" w:rsidRPr="00242BF1" w:rsidRDefault="00935857" w:rsidP="00935857">
                  <w:pPr>
                    <w:pStyle w:val="SchdLevel2"/>
                    <w:spacing w:after="0" w:line="240" w:lineRule="auto"/>
                    <w:ind w:left="0" w:firstLine="0"/>
                    <w:jc w:val="center"/>
                    <w:rPr>
                      <w:rFonts w:cs="Arial"/>
                      <w:iCs/>
                      <w:sz w:val="24"/>
                      <w:szCs w:val="24"/>
                    </w:rPr>
                  </w:pPr>
                  <w:r w:rsidRPr="00242BF1">
                    <w:rPr>
                      <w:rStyle w:val="normaltextrun"/>
                      <w:rFonts w:cs="Arial"/>
                      <w:color w:val="000000"/>
                    </w:rPr>
                    <w:t>[REDACTED]</w:t>
                  </w:r>
                </w:p>
              </w:tc>
            </w:tr>
            <w:tr w:rsidR="00813DD5" w:rsidRPr="00242BF1" w14:paraId="7AAD10D8" w14:textId="77777777" w:rsidTr="004F366C">
              <w:tc>
                <w:tcPr>
                  <w:tcW w:w="7796" w:type="dxa"/>
                  <w:tcBorders>
                    <w:bottom w:val="single" w:sz="12" w:space="0" w:color="auto"/>
                  </w:tcBorders>
                  <w:tcMar>
                    <w:top w:w="85" w:type="dxa"/>
                    <w:bottom w:w="85" w:type="dxa"/>
                  </w:tcMar>
                  <w:vAlign w:val="center"/>
                </w:tcPr>
                <w:p w14:paraId="5C57F2A2" w14:textId="77777777" w:rsidR="00813DD5" w:rsidRPr="00242BF1" w:rsidRDefault="00813DD5" w:rsidP="00813DD5">
                  <w:pPr>
                    <w:pStyle w:val="SchdLevel2"/>
                    <w:spacing w:after="0" w:line="240" w:lineRule="auto"/>
                    <w:ind w:left="0" w:firstLine="0"/>
                    <w:jc w:val="left"/>
                    <w:rPr>
                      <w:rFonts w:cs="Arial"/>
                      <w:iCs/>
                      <w:sz w:val="24"/>
                      <w:szCs w:val="24"/>
                    </w:rPr>
                  </w:pPr>
                  <w:r w:rsidRPr="00242BF1">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25963793" w:rsidR="00813DD5" w:rsidRPr="00242BF1" w:rsidRDefault="00935857" w:rsidP="00EF09AE">
                  <w:pPr>
                    <w:pStyle w:val="SchdLevel2"/>
                    <w:spacing w:after="0" w:line="240" w:lineRule="auto"/>
                    <w:ind w:left="0" w:firstLine="0"/>
                    <w:jc w:val="center"/>
                    <w:rPr>
                      <w:rFonts w:cs="Arial"/>
                      <w:iCs/>
                      <w:sz w:val="24"/>
                      <w:szCs w:val="24"/>
                    </w:rPr>
                  </w:pPr>
                  <w:r w:rsidRPr="00242BF1">
                    <w:rPr>
                      <w:rStyle w:val="normaltextrun"/>
                      <w:rFonts w:cs="Arial"/>
                      <w:color w:val="000000"/>
                    </w:rPr>
                    <w:t>[REDACTED]</w:t>
                  </w:r>
                </w:p>
              </w:tc>
            </w:tr>
            <w:tr w:rsidR="001C42F9" w:rsidRPr="00242BF1"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242BF1" w:rsidRDefault="001C42F9" w:rsidP="00E162A6">
                  <w:pPr>
                    <w:pStyle w:val="SchdLevel2"/>
                    <w:spacing w:after="0" w:line="240" w:lineRule="auto"/>
                    <w:ind w:left="0" w:firstLine="0"/>
                    <w:jc w:val="left"/>
                    <w:rPr>
                      <w:rFonts w:cs="Arial"/>
                      <w:b/>
                      <w:bCs/>
                      <w:iCs/>
                      <w:sz w:val="24"/>
                      <w:szCs w:val="24"/>
                    </w:rPr>
                  </w:pPr>
                  <w:r w:rsidRPr="00242BF1">
                    <w:rPr>
                      <w:rFonts w:cs="Arial"/>
                      <w:b/>
                      <w:bCs/>
                      <w:iCs/>
                      <w:sz w:val="24"/>
                      <w:szCs w:val="24"/>
                    </w:rPr>
                    <w:t>For Extension Start Cohorts</w:t>
                  </w:r>
                </w:p>
              </w:tc>
            </w:tr>
            <w:tr w:rsidR="00935857" w:rsidRPr="00242BF1" w14:paraId="22EFE4DA" w14:textId="77777777" w:rsidTr="002B19B9">
              <w:tc>
                <w:tcPr>
                  <w:tcW w:w="7796" w:type="dxa"/>
                  <w:tcMar>
                    <w:top w:w="85" w:type="dxa"/>
                    <w:bottom w:w="85" w:type="dxa"/>
                  </w:tcMar>
                  <w:vAlign w:val="center"/>
                </w:tcPr>
                <w:p w14:paraId="0B5CA76B" w14:textId="77777777" w:rsidR="00935857" w:rsidRPr="00242BF1" w:rsidRDefault="00935857" w:rsidP="00935857">
                  <w:pPr>
                    <w:pStyle w:val="SchdLevel2"/>
                    <w:spacing w:after="0" w:line="240" w:lineRule="auto"/>
                    <w:ind w:left="0" w:firstLine="0"/>
                    <w:jc w:val="left"/>
                    <w:rPr>
                      <w:rFonts w:cs="Arial"/>
                      <w:iCs/>
                      <w:sz w:val="24"/>
                      <w:szCs w:val="24"/>
                    </w:rPr>
                  </w:pPr>
                  <w:r w:rsidRPr="00242BF1">
                    <w:rPr>
                      <w:rFonts w:cs="Arial"/>
                      <w:iCs/>
                      <w:sz w:val="24"/>
                      <w:szCs w:val="24"/>
                    </w:rPr>
                    <w:t>Standard Outcome Payment rate</w:t>
                  </w:r>
                </w:p>
              </w:tc>
              <w:tc>
                <w:tcPr>
                  <w:tcW w:w="3863" w:type="dxa"/>
                  <w:tcMar>
                    <w:top w:w="85" w:type="dxa"/>
                    <w:bottom w:w="85" w:type="dxa"/>
                  </w:tcMar>
                </w:tcPr>
                <w:p w14:paraId="7C8F5D01" w14:textId="2D670621" w:rsidR="00935857" w:rsidRPr="00242BF1" w:rsidRDefault="00935857" w:rsidP="00935857">
                  <w:pPr>
                    <w:pStyle w:val="SchdLevel2"/>
                    <w:spacing w:after="0" w:line="240" w:lineRule="auto"/>
                    <w:ind w:left="0" w:firstLine="0"/>
                    <w:jc w:val="center"/>
                    <w:rPr>
                      <w:rFonts w:cs="Arial"/>
                      <w:iCs/>
                      <w:sz w:val="24"/>
                      <w:szCs w:val="24"/>
                    </w:rPr>
                  </w:pPr>
                  <w:r w:rsidRPr="00242BF1">
                    <w:rPr>
                      <w:rStyle w:val="normaltextrun"/>
                      <w:rFonts w:cs="Arial"/>
                      <w:color w:val="000000"/>
                    </w:rPr>
                    <w:t>[REDACTED]</w:t>
                  </w:r>
                </w:p>
              </w:tc>
            </w:tr>
            <w:tr w:rsidR="00935857" w:rsidRPr="00242BF1" w14:paraId="60E8646F" w14:textId="77777777" w:rsidTr="002B19B9">
              <w:tc>
                <w:tcPr>
                  <w:tcW w:w="7796" w:type="dxa"/>
                  <w:tcMar>
                    <w:top w:w="85" w:type="dxa"/>
                    <w:bottom w:w="85" w:type="dxa"/>
                  </w:tcMar>
                  <w:vAlign w:val="center"/>
                </w:tcPr>
                <w:p w14:paraId="682B51D7" w14:textId="77777777" w:rsidR="00935857" w:rsidRPr="00242BF1" w:rsidRDefault="00935857" w:rsidP="00935857">
                  <w:pPr>
                    <w:pStyle w:val="SchdLevel2"/>
                    <w:spacing w:after="0" w:line="240" w:lineRule="auto"/>
                    <w:ind w:left="0" w:firstLine="0"/>
                    <w:jc w:val="left"/>
                    <w:rPr>
                      <w:rFonts w:cs="Arial"/>
                      <w:iCs/>
                      <w:sz w:val="24"/>
                      <w:szCs w:val="24"/>
                    </w:rPr>
                  </w:pPr>
                  <w:r w:rsidRPr="00242BF1">
                    <w:rPr>
                      <w:rFonts w:cs="Arial"/>
                      <w:iCs/>
                      <w:sz w:val="24"/>
                      <w:szCs w:val="24"/>
                    </w:rPr>
                    <w:t>Higher Outcome Payment rate</w:t>
                  </w:r>
                </w:p>
              </w:tc>
              <w:tc>
                <w:tcPr>
                  <w:tcW w:w="3863" w:type="dxa"/>
                  <w:tcMar>
                    <w:top w:w="85" w:type="dxa"/>
                    <w:bottom w:w="85" w:type="dxa"/>
                  </w:tcMar>
                </w:tcPr>
                <w:p w14:paraId="60EF8C5B" w14:textId="437612EE" w:rsidR="00935857" w:rsidRPr="00242BF1" w:rsidRDefault="00935857" w:rsidP="00935857">
                  <w:pPr>
                    <w:pStyle w:val="SchdLevel2"/>
                    <w:spacing w:after="0" w:line="240" w:lineRule="auto"/>
                    <w:ind w:left="0" w:firstLine="0"/>
                    <w:jc w:val="center"/>
                    <w:rPr>
                      <w:rFonts w:cs="Arial"/>
                      <w:iCs/>
                      <w:sz w:val="24"/>
                      <w:szCs w:val="24"/>
                    </w:rPr>
                  </w:pPr>
                  <w:r w:rsidRPr="00242BF1">
                    <w:rPr>
                      <w:rStyle w:val="normaltextrun"/>
                      <w:rFonts w:cs="Arial"/>
                      <w:color w:val="000000"/>
                    </w:rPr>
                    <w:t>[REDACTED]</w:t>
                  </w:r>
                </w:p>
              </w:tc>
            </w:tr>
          </w:tbl>
          <w:p w14:paraId="4E61ED4F" w14:textId="77777777" w:rsidR="001C42F9" w:rsidRPr="00242BF1" w:rsidRDefault="001C42F9" w:rsidP="00E162A6">
            <w:pPr>
              <w:pStyle w:val="SchdLevel2"/>
              <w:spacing w:after="0" w:line="240" w:lineRule="auto"/>
              <w:ind w:left="0" w:firstLine="0"/>
              <w:jc w:val="left"/>
              <w:rPr>
                <w:rFonts w:cs="Arial"/>
                <w:iCs/>
                <w:sz w:val="24"/>
                <w:szCs w:val="24"/>
              </w:rPr>
            </w:pPr>
          </w:p>
          <w:p w14:paraId="011E207F" w14:textId="1DD9DAA0" w:rsidR="001C42F9" w:rsidRPr="00242BF1" w:rsidRDefault="001C42F9" w:rsidP="00E162A6">
            <w:pPr>
              <w:pStyle w:val="SchdLevel2"/>
              <w:numPr>
                <w:ilvl w:val="0"/>
                <w:numId w:val="14"/>
              </w:numPr>
              <w:spacing w:after="0" w:line="240" w:lineRule="auto"/>
              <w:ind w:left="360"/>
              <w:jc w:val="left"/>
              <w:rPr>
                <w:rFonts w:cs="Arial"/>
                <w:i/>
                <w:sz w:val="24"/>
                <w:szCs w:val="24"/>
              </w:rPr>
            </w:pPr>
            <w:r w:rsidRPr="00242BF1">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242BF1" w14:paraId="4AD08E90" w14:textId="77777777" w:rsidTr="009209DB">
        <w:trPr>
          <w:trHeight w:val="20"/>
        </w:trPr>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242BF1"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242BF1" w:rsidRDefault="007C7E50" w:rsidP="00E162A6">
            <w:pPr>
              <w:pStyle w:val="SchdLevel2"/>
              <w:spacing w:after="0" w:line="240" w:lineRule="auto"/>
              <w:ind w:left="0" w:firstLine="0"/>
              <w:jc w:val="left"/>
              <w:rPr>
                <w:rFonts w:cs="Arial"/>
                <w:i/>
                <w:sz w:val="24"/>
                <w:szCs w:val="24"/>
              </w:rPr>
            </w:pPr>
            <w:r w:rsidRPr="00242BF1">
              <w:rPr>
                <w:rFonts w:cs="Arial"/>
                <w:i/>
                <w:sz w:val="24"/>
                <w:szCs w:val="24"/>
              </w:rPr>
              <w:t>Existing paragraph 4.2(a) shall be replaced with the following:</w:t>
            </w:r>
          </w:p>
          <w:p w14:paraId="2002DD02" w14:textId="77777777" w:rsidR="007C7E50" w:rsidRPr="00242BF1" w:rsidRDefault="007C7E50" w:rsidP="00E162A6">
            <w:pPr>
              <w:pStyle w:val="SchdLevel2"/>
              <w:spacing w:after="0" w:line="240" w:lineRule="auto"/>
              <w:ind w:left="0" w:firstLine="0"/>
              <w:jc w:val="left"/>
              <w:rPr>
                <w:rFonts w:cs="Arial"/>
                <w:i/>
                <w:sz w:val="24"/>
                <w:szCs w:val="24"/>
              </w:rPr>
            </w:pPr>
          </w:p>
          <w:p w14:paraId="28E54F6C" w14:textId="100EA274" w:rsidR="007C7E50" w:rsidRPr="00242BF1" w:rsidRDefault="007C7E50" w:rsidP="001740A8">
            <w:pPr>
              <w:pStyle w:val="SchdLevel2"/>
              <w:spacing w:after="0" w:line="240" w:lineRule="auto"/>
              <w:ind w:left="0" w:firstLine="0"/>
              <w:jc w:val="left"/>
              <w:rPr>
                <w:rFonts w:cs="Arial"/>
                <w:b/>
                <w:bCs/>
                <w:color w:val="000000"/>
                <w:sz w:val="24"/>
                <w:szCs w:val="24"/>
              </w:rPr>
            </w:pPr>
            <w:r w:rsidRPr="00242BF1">
              <w:rPr>
                <w:rFonts w:cs="Arial"/>
                <w:iCs/>
                <w:sz w:val="24"/>
                <w:szCs w:val="24"/>
              </w:rPr>
              <w:t xml:space="preserve">Subject to paragraph 4.2(b) below, a revised total Delivery Fee of </w:t>
            </w:r>
            <w:r w:rsidR="00090AD2" w:rsidRPr="00242BF1">
              <w:rPr>
                <w:rStyle w:val="normaltextrun"/>
                <w:rFonts w:cs="Arial"/>
                <w:color w:val="000000"/>
              </w:rPr>
              <w:t>[REDACTED]</w:t>
            </w:r>
            <w:r w:rsidR="001740A8" w:rsidRPr="00242BF1">
              <w:rPr>
                <w:b/>
                <w:bCs/>
                <w:color w:val="000000"/>
                <w:sz w:val="24"/>
                <w:szCs w:val="24"/>
              </w:rPr>
              <w:t xml:space="preserve"> </w:t>
            </w:r>
            <w:r w:rsidRPr="00242BF1">
              <w:rPr>
                <w:rFonts w:cs="Arial"/>
                <w:iCs/>
                <w:sz w:val="24"/>
                <w:szCs w:val="24"/>
              </w:rPr>
              <w:t>where due, will be payable in 72 Delivery Fee Periodic Payments as set out in the table below.</w:t>
            </w:r>
          </w:p>
          <w:p w14:paraId="0024B6D5" w14:textId="77777777" w:rsidR="007C7E50" w:rsidRPr="00242BF1" w:rsidRDefault="007C7E50" w:rsidP="00E162A6">
            <w:pPr>
              <w:pStyle w:val="SchdLevel2"/>
              <w:spacing w:after="0" w:line="240" w:lineRule="auto"/>
              <w:ind w:left="0" w:firstLine="0"/>
              <w:jc w:val="left"/>
              <w:rPr>
                <w:rFonts w:cs="Arial"/>
                <w:iCs/>
                <w:sz w:val="24"/>
                <w:szCs w:val="24"/>
              </w:rPr>
            </w:pPr>
          </w:p>
          <w:p w14:paraId="58EB02A0" w14:textId="0AB5E3FB" w:rsidR="007C7E50" w:rsidRPr="00242BF1" w:rsidRDefault="00090AD2" w:rsidP="00E162A6">
            <w:pPr>
              <w:pStyle w:val="SchdLevel2"/>
              <w:spacing w:after="0" w:line="240" w:lineRule="auto"/>
              <w:ind w:left="0" w:firstLine="0"/>
              <w:jc w:val="left"/>
              <w:rPr>
                <w:rFonts w:cs="Arial"/>
                <w:iCs/>
                <w:sz w:val="24"/>
                <w:szCs w:val="24"/>
              </w:rPr>
            </w:pPr>
            <w:r w:rsidRPr="00242BF1">
              <w:rPr>
                <w:rStyle w:val="normaltextrun"/>
                <w:rFonts w:cs="Arial"/>
                <w:color w:val="000000"/>
              </w:rPr>
              <w:t>[REDACTED]</w:t>
            </w:r>
          </w:p>
        </w:tc>
      </w:tr>
      <w:tr w:rsidR="007C7E50" w:rsidRPr="00242BF1"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242BF1" w:rsidRDefault="00D479E5" w:rsidP="00E162A6">
            <w:pPr>
              <w:rPr>
                <w:bCs/>
              </w:rPr>
            </w:pPr>
            <w:r w:rsidRPr="00242BF1">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242BF1" w:rsidRDefault="00E73A14"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“Financial Model” in paragraph 1 shall be replaced with the following:</w:t>
            </w:r>
          </w:p>
          <w:p w14:paraId="6B726B85" w14:textId="77777777" w:rsidR="00E73A14" w:rsidRPr="00242BF1"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242BF1" w14:paraId="2FB0E70D" w14:textId="77777777" w:rsidTr="004F366C">
              <w:tc>
                <w:tcPr>
                  <w:tcW w:w="2239" w:type="dxa"/>
                </w:tcPr>
                <w:p w14:paraId="1F93AB6E" w14:textId="77777777" w:rsidR="00E73A14" w:rsidRPr="00242BF1" w:rsidRDefault="00E73A14" w:rsidP="00E162A6">
                  <w:pPr>
                    <w:pStyle w:val="SchdLevel2"/>
                    <w:spacing w:after="0" w:line="240" w:lineRule="auto"/>
                    <w:ind w:left="0" w:firstLine="0"/>
                    <w:jc w:val="left"/>
                    <w:rPr>
                      <w:rFonts w:cs="Arial"/>
                      <w:b/>
                      <w:bCs/>
                      <w:iCs/>
                      <w:sz w:val="24"/>
                      <w:szCs w:val="24"/>
                    </w:rPr>
                  </w:pPr>
                  <w:r w:rsidRPr="00242BF1">
                    <w:rPr>
                      <w:rFonts w:cs="Arial"/>
                      <w:b/>
                      <w:bCs/>
                      <w:iCs/>
                      <w:sz w:val="24"/>
                      <w:szCs w:val="24"/>
                    </w:rPr>
                    <w:t>“Financial Model”</w:t>
                  </w:r>
                </w:p>
              </w:tc>
              <w:tc>
                <w:tcPr>
                  <w:tcW w:w="9887" w:type="dxa"/>
                </w:tcPr>
                <w:p w14:paraId="7F2453D4" w14:textId="77777777" w:rsidR="00E73A14" w:rsidRPr="00242BF1" w:rsidRDefault="00E73A14" w:rsidP="00E162A6">
                  <w:pPr>
                    <w:pStyle w:val="SchdLevel2"/>
                    <w:spacing w:after="0" w:line="240" w:lineRule="auto"/>
                    <w:ind w:left="0" w:firstLine="0"/>
                    <w:jc w:val="left"/>
                    <w:rPr>
                      <w:rFonts w:cs="Arial"/>
                      <w:iCs/>
                      <w:sz w:val="24"/>
                      <w:szCs w:val="24"/>
                    </w:rPr>
                  </w:pPr>
                  <w:r w:rsidRPr="00242BF1">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242BF1" w:rsidRDefault="007C7E50" w:rsidP="00E162A6">
            <w:pPr>
              <w:pStyle w:val="SchdLevel2"/>
              <w:spacing w:after="0" w:line="240" w:lineRule="auto"/>
              <w:ind w:left="0" w:firstLine="0"/>
              <w:jc w:val="left"/>
              <w:rPr>
                <w:rFonts w:cs="Arial"/>
                <w:i/>
                <w:sz w:val="24"/>
                <w:szCs w:val="24"/>
              </w:rPr>
            </w:pPr>
          </w:p>
        </w:tc>
      </w:tr>
      <w:tr w:rsidR="00B35643" w:rsidRPr="00242BF1"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242BF1" w:rsidRDefault="00884BA5" w:rsidP="00E162A6">
            <w:pPr>
              <w:rPr>
                <w:bCs/>
              </w:rPr>
            </w:pPr>
            <w:r w:rsidRPr="00242BF1">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242BF1" w:rsidRDefault="00075836" w:rsidP="00E162A6">
            <w:pPr>
              <w:pStyle w:val="SchdLevel2"/>
              <w:spacing w:after="0" w:line="240" w:lineRule="auto"/>
              <w:ind w:left="0" w:firstLine="0"/>
              <w:jc w:val="left"/>
              <w:rPr>
                <w:rFonts w:cs="Arial"/>
                <w:i/>
                <w:sz w:val="24"/>
                <w:szCs w:val="24"/>
              </w:rPr>
            </w:pPr>
            <w:r w:rsidRPr="00242BF1">
              <w:rPr>
                <w:rFonts w:cs="Arial"/>
                <w:i/>
                <w:sz w:val="24"/>
                <w:szCs w:val="24"/>
              </w:rPr>
              <w:t>The following definitions shall be added in paragraph 1:</w:t>
            </w:r>
          </w:p>
          <w:p w14:paraId="1B500C17" w14:textId="77777777" w:rsidR="00075836" w:rsidRPr="00242BF1"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242BF1" w14:paraId="08EA0881" w14:textId="77777777" w:rsidTr="004F366C">
              <w:tc>
                <w:tcPr>
                  <w:tcW w:w="2239" w:type="dxa"/>
                </w:tcPr>
                <w:p w14:paraId="68EC9B9B" w14:textId="77777777" w:rsidR="00075836" w:rsidRPr="00242BF1" w:rsidRDefault="00075836" w:rsidP="00E162A6">
                  <w:pPr>
                    <w:pStyle w:val="SchdLevel2"/>
                    <w:spacing w:after="0" w:line="240" w:lineRule="auto"/>
                    <w:ind w:left="0" w:firstLine="0"/>
                    <w:jc w:val="left"/>
                    <w:rPr>
                      <w:rFonts w:cs="Arial"/>
                      <w:b/>
                      <w:bCs/>
                      <w:iCs/>
                      <w:sz w:val="24"/>
                      <w:szCs w:val="24"/>
                    </w:rPr>
                  </w:pPr>
                  <w:r w:rsidRPr="00242BF1">
                    <w:rPr>
                      <w:rFonts w:cs="Arial"/>
                      <w:b/>
                      <w:bCs/>
                      <w:iCs/>
                      <w:sz w:val="24"/>
                      <w:szCs w:val="24"/>
                    </w:rPr>
                    <w:t>“Extension Risk Premiums”</w:t>
                  </w:r>
                </w:p>
              </w:tc>
              <w:tc>
                <w:tcPr>
                  <w:tcW w:w="9887" w:type="dxa"/>
                </w:tcPr>
                <w:p w14:paraId="581A6D90" w14:textId="77777777" w:rsidR="00075836" w:rsidRPr="00242BF1" w:rsidRDefault="00075836" w:rsidP="00E162A6">
                  <w:pPr>
                    <w:pStyle w:val="SchdLevel2"/>
                    <w:spacing w:after="0" w:line="240" w:lineRule="auto"/>
                    <w:ind w:left="0" w:firstLine="0"/>
                    <w:jc w:val="left"/>
                    <w:rPr>
                      <w:rFonts w:cs="Arial"/>
                      <w:iCs/>
                      <w:sz w:val="24"/>
                      <w:szCs w:val="24"/>
                    </w:rPr>
                  </w:pPr>
                  <w:r w:rsidRPr="00242BF1">
                    <w:rPr>
                      <w:rFonts w:cs="Arial"/>
                      <w:iCs/>
                      <w:sz w:val="24"/>
                      <w:szCs w:val="24"/>
                    </w:rPr>
                    <w:t>have the meaning given in Paragraph 2 of this Schedule 7.7;</w:t>
                  </w:r>
                </w:p>
              </w:tc>
            </w:tr>
            <w:tr w:rsidR="00075836" w:rsidRPr="00242BF1" w14:paraId="4CD87B03" w14:textId="77777777" w:rsidTr="004F366C">
              <w:tc>
                <w:tcPr>
                  <w:tcW w:w="2239" w:type="dxa"/>
                </w:tcPr>
                <w:p w14:paraId="1554F284" w14:textId="77777777" w:rsidR="00075836" w:rsidRPr="00242BF1"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242BF1" w:rsidRDefault="00075836" w:rsidP="00E162A6">
                  <w:pPr>
                    <w:pStyle w:val="SchdLevel2"/>
                    <w:spacing w:after="0" w:line="240" w:lineRule="auto"/>
                    <w:ind w:left="0" w:firstLine="0"/>
                    <w:jc w:val="left"/>
                    <w:rPr>
                      <w:rFonts w:cs="Arial"/>
                      <w:iCs/>
                      <w:sz w:val="24"/>
                      <w:szCs w:val="24"/>
                    </w:rPr>
                  </w:pPr>
                </w:p>
              </w:tc>
            </w:tr>
            <w:tr w:rsidR="00075836" w:rsidRPr="00242BF1" w14:paraId="7FC2C19D" w14:textId="77777777" w:rsidTr="004F366C">
              <w:tc>
                <w:tcPr>
                  <w:tcW w:w="2239" w:type="dxa"/>
                </w:tcPr>
                <w:p w14:paraId="27F3FB55" w14:textId="77777777" w:rsidR="00075836" w:rsidRPr="00242BF1" w:rsidRDefault="00075836" w:rsidP="00E162A6">
                  <w:pPr>
                    <w:pStyle w:val="SchdLevel2"/>
                    <w:spacing w:after="0" w:line="240" w:lineRule="auto"/>
                    <w:ind w:left="0" w:firstLine="0"/>
                    <w:jc w:val="left"/>
                    <w:rPr>
                      <w:rFonts w:cs="Arial"/>
                      <w:b/>
                      <w:bCs/>
                      <w:iCs/>
                      <w:sz w:val="24"/>
                      <w:szCs w:val="24"/>
                    </w:rPr>
                  </w:pPr>
                  <w:r w:rsidRPr="00242BF1">
                    <w:rPr>
                      <w:rFonts w:cs="Arial"/>
                      <w:b/>
                      <w:bCs/>
                      <w:iCs/>
                      <w:sz w:val="24"/>
                      <w:szCs w:val="24"/>
                    </w:rPr>
                    <w:lastRenderedPageBreak/>
                    <w:t>“Initial Risk Premiums”</w:t>
                  </w:r>
                </w:p>
              </w:tc>
              <w:tc>
                <w:tcPr>
                  <w:tcW w:w="9887" w:type="dxa"/>
                </w:tcPr>
                <w:p w14:paraId="55FDAC2B" w14:textId="77777777" w:rsidR="00075836" w:rsidRPr="00242BF1" w:rsidRDefault="00075836" w:rsidP="00E162A6">
                  <w:pPr>
                    <w:pStyle w:val="SchdLevel2"/>
                    <w:spacing w:after="0" w:line="240" w:lineRule="auto"/>
                    <w:ind w:left="0" w:firstLine="0"/>
                    <w:jc w:val="left"/>
                    <w:rPr>
                      <w:rFonts w:cs="Arial"/>
                      <w:iCs/>
                      <w:sz w:val="24"/>
                      <w:szCs w:val="24"/>
                    </w:rPr>
                  </w:pPr>
                  <w:r w:rsidRPr="00242BF1">
                    <w:rPr>
                      <w:rFonts w:cs="Arial"/>
                      <w:iCs/>
                      <w:sz w:val="24"/>
                      <w:szCs w:val="24"/>
                    </w:rPr>
                    <w:t>have the meaning given in Paragraph 2 of this Schedule 7.7;</w:t>
                  </w:r>
                </w:p>
              </w:tc>
            </w:tr>
          </w:tbl>
          <w:p w14:paraId="05DB8BAE" w14:textId="77777777" w:rsidR="00B35643" w:rsidRPr="00242BF1" w:rsidRDefault="00B35643" w:rsidP="00E162A6">
            <w:pPr>
              <w:pStyle w:val="SchdLevel2"/>
              <w:spacing w:after="0" w:line="240" w:lineRule="auto"/>
              <w:ind w:left="0" w:firstLine="0"/>
              <w:jc w:val="left"/>
              <w:rPr>
                <w:rFonts w:cs="Arial"/>
                <w:iCs/>
                <w:sz w:val="24"/>
                <w:szCs w:val="24"/>
              </w:rPr>
            </w:pPr>
          </w:p>
        </w:tc>
      </w:tr>
      <w:tr w:rsidR="00B35643" w:rsidRPr="00242BF1"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242BF1"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242BF1" w:rsidRDefault="00B70663"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“Participant Costs” in paragraph 1 shall be replaced with the following.:</w:t>
            </w:r>
          </w:p>
          <w:p w14:paraId="26DA670A" w14:textId="77777777" w:rsidR="00B70663" w:rsidRPr="00242BF1"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242BF1" w14:paraId="35FAA86B" w14:textId="77777777" w:rsidTr="004F366C">
              <w:tc>
                <w:tcPr>
                  <w:tcW w:w="2246" w:type="dxa"/>
                </w:tcPr>
                <w:p w14:paraId="23AFB5B7" w14:textId="77777777" w:rsidR="00B70663" w:rsidRPr="00242BF1" w:rsidRDefault="00B70663" w:rsidP="00E162A6">
                  <w:pPr>
                    <w:pStyle w:val="SchdLevel2"/>
                    <w:spacing w:after="0" w:line="240" w:lineRule="auto"/>
                    <w:ind w:left="0" w:firstLine="0"/>
                    <w:jc w:val="left"/>
                    <w:rPr>
                      <w:rFonts w:cs="Arial"/>
                      <w:b/>
                      <w:bCs/>
                      <w:iCs/>
                      <w:sz w:val="24"/>
                      <w:szCs w:val="24"/>
                    </w:rPr>
                  </w:pPr>
                  <w:r w:rsidRPr="00242BF1">
                    <w:rPr>
                      <w:rFonts w:cs="Arial"/>
                      <w:b/>
                      <w:bCs/>
                      <w:iCs/>
                      <w:sz w:val="24"/>
                      <w:szCs w:val="24"/>
                    </w:rPr>
                    <w:t>“Participant Costs”</w:t>
                  </w:r>
                </w:p>
              </w:tc>
              <w:tc>
                <w:tcPr>
                  <w:tcW w:w="9961" w:type="dxa"/>
                </w:tcPr>
                <w:p w14:paraId="26DAE11C" w14:textId="77777777" w:rsidR="00B70663" w:rsidRPr="00242BF1" w:rsidRDefault="00B70663" w:rsidP="00E162A6">
                  <w:pPr>
                    <w:pStyle w:val="SchdLevel2"/>
                    <w:spacing w:after="0" w:line="240" w:lineRule="auto"/>
                    <w:ind w:left="0" w:firstLine="0"/>
                    <w:jc w:val="left"/>
                    <w:rPr>
                      <w:rFonts w:cs="Arial"/>
                      <w:iCs/>
                      <w:sz w:val="24"/>
                      <w:szCs w:val="24"/>
                    </w:rPr>
                  </w:pPr>
                  <w:r w:rsidRPr="00242BF1">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242BF1" w:rsidRDefault="00B35643" w:rsidP="00E162A6">
            <w:pPr>
              <w:pStyle w:val="SchdLevel2"/>
              <w:spacing w:after="0" w:line="240" w:lineRule="auto"/>
              <w:ind w:left="0" w:firstLine="0"/>
              <w:jc w:val="left"/>
              <w:rPr>
                <w:rFonts w:cs="Arial"/>
                <w:i/>
                <w:sz w:val="24"/>
                <w:szCs w:val="24"/>
              </w:rPr>
            </w:pPr>
          </w:p>
        </w:tc>
      </w:tr>
      <w:tr w:rsidR="00B35643" w:rsidRPr="00242BF1"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242BF1"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242BF1" w:rsidRDefault="00EF01F3"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“Relevant Premiums” in paragraph 1 shall be deleted.</w:t>
            </w:r>
          </w:p>
        </w:tc>
      </w:tr>
      <w:tr w:rsidR="00B35643" w:rsidRPr="00242BF1"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242BF1"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242BF1" w:rsidRDefault="00BE6776"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“Relevant Sum” in paragraph 1 shall be replaced with the following:</w:t>
            </w:r>
          </w:p>
          <w:p w14:paraId="3DD7B8CD" w14:textId="77777777" w:rsidR="00BE6776" w:rsidRPr="00242BF1"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242BF1" w14:paraId="00E0CA25" w14:textId="77777777" w:rsidTr="004F366C">
              <w:tc>
                <w:tcPr>
                  <w:tcW w:w="2246" w:type="dxa"/>
                  <w:hideMark/>
                </w:tcPr>
                <w:p w14:paraId="17D96B70" w14:textId="77777777" w:rsidR="00BE6776" w:rsidRPr="00242BF1" w:rsidRDefault="00BE6776" w:rsidP="00E162A6">
                  <w:pPr>
                    <w:pStyle w:val="SchdLevel2"/>
                    <w:spacing w:after="0" w:line="240" w:lineRule="auto"/>
                    <w:ind w:left="0" w:firstLine="0"/>
                    <w:jc w:val="left"/>
                    <w:rPr>
                      <w:rFonts w:cs="Arial"/>
                      <w:b/>
                      <w:bCs/>
                      <w:iCs/>
                      <w:sz w:val="24"/>
                      <w:szCs w:val="24"/>
                    </w:rPr>
                  </w:pPr>
                  <w:r w:rsidRPr="00242BF1">
                    <w:rPr>
                      <w:rFonts w:cs="Arial"/>
                      <w:b/>
                      <w:bCs/>
                      <w:iCs/>
                      <w:sz w:val="24"/>
                      <w:szCs w:val="24"/>
                    </w:rPr>
                    <w:t>“Relevant Sum”</w:t>
                  </w:r>
                </w:p>
              </w:tc>
              <w:tc>
                <w:tcPr>
                  <w:tcW w:w="9961" w:type="dxa"/>
                  <w:hideMark/>
                </w:tcPr>
                <w:p w14:paraId="0AFB6ECC" w14:textId="77777777" w:rsidR="00BE6776" w:rsidRPr="00242BF1" w:rsidRDefault="00BE6776" w:rsidP="00E162A6">
                  <w:pPr>
                    <w:pStyle w:val="text0"/>
                    <w:widowControl w:val="0"/>
                    <w:spacing w:before="0" w:after="120" w:line="240" w:lineRule="auto"/>
                    <w:ind w:left="0"/>
                    <w:jc w:val="left"/>
                    <w:rPr>
                      <w:rFonts w:cs="Arial"/>
                      <w:sz w:val="24"/>
                      <w:szCs w:val="24"/>
                    </w:rPr>
                  </w:pPr>
                  <w:r w:rsidRPr="00242BF1">
                    <w:rPr>
                      <w:rFonts w:cs="Arial"/>
                      <w:sz w:val="24"/>
                      <w:szCs w:val="24"/>
                    </w:rPr>
                    <w:t>(a) in the case of Paragraph 4 of this Schedule 7.7:</w:t>
                  </w:r>
                </w:p>
                <w:p w14:paraId="6AD64A0B"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 xml:space="preserve">the sum of: </w:t>
                  </w:r>
                </w:p>
                <w:p w14:paraId="39E38234"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 xml:space="preserve">the amount specified for the Initial Risk Premium or Extension Risk Premium (as appropriate) for the corresponding Relevant Period </w:t>
                  </w:r>
                </w:p>
                <w:p w14:paraId="6806E89E"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less</w:t>
                  </w:r>
                </w:p>
                <w:p w14:paraId="6C16EC88"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 xml:space="preserve">the costs (if any) actually incurred by the Supplier in that Relevant Period resulting from the risk for which the Supplier included that Initial Risk Premium or Extension Risk </w:t>
                  </w:r>
                  <w:proofErr w:type="gramStart"/>
                  <w:r w:rsidRPr="00242BF1">
                    <w:rPr>
                      <w:rFonts w:cs="Arial"/>
                      <w:sz w:val="24"/>
                      <w:szCs w:val="24"/>
                    </w:rPr>
                    <w:t>Premium;</w:t>
                  </w:r>
                  <w:proofErr w:type="gramEnd"/>
                </w:p>
                <w:p w14:paraId="467D1644" w14:textId="77777777" w:rsidR="00BE6776" w:rsidRPr="00242BF1" w:rsidRDefault="00BE6776" w:rsidP="00E162A6">
                  <w:pPr>
                    <w:pStyle w:val="text0"/>
                    <w:widowControl w:val="0"/>
                    <w:spacing w:before="0" w:after="120" w:line="240" w:lineRule="auto"/>
                    <w:ind w:left="0"/>
                    <w:jc w:val="left"/>
                    <w:rPr>
                      <w:rFonts w:cs="Arial"/>
                      <w:sz w:val="24"/>
                      <w:szCs w:val="24"/>
                    </w:rPr>
                  </w:pPr>
                  <w:r w:rsidRPr="00242BF1">
                    <w:rPr>
                      <w:rFonts w:cs="Arial"/>
                      <w:sz w:val="24"/>
                      <w:szCs w:val="24"/>
                    </w:rPr>
                    <w:t>(b) in the case of Paragraph 5 of this Schedule 7.7:</w:t>
                  </w:r>
                </w:p>
                <w:p w14:paraId="47CC0818"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the sum of:</w:t>
                  </w:r>
                </w:p>
                <w:p w14:paraId="795F4EF1"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the Total Specified Participant Costs for a Relevant Period</w:t>
                  </w:r>
                </w:p>
                <w:p w14:paraId="586465AA" w14:textId="77777777" w:rsidR="00BE6776" w:rsidRPr="00242BF1" w:rsidRDefault="00BE6776" w:rsidP="00E162A6">
                  <w:pPr>
                    <w:pStyle w:val="text0"/>
                    <w:widowControl w:val="0"/>
                    <w:spacing w:before="0" w:after="120" w:line="240" w:lineRule="auto"/>
                    <w:ind w:left="720"/>
                    <w:jc w:val="left"/>
                    <w:rPr>
                      <w:rFonts w:cs="Arial"/>
                      <w:sz w:val="24"/>
                      <w:szCs w:val="24"/>
                    </w:rPr>
                  </w:pPr>
                  <w:r w:rsidRPr="00242BF1">
                    <w:rPr>
                      <w:rFonts w:cs="Arial"/>
                      <w:sz w:val="24"/>
                      <w:szCs w:val="24"/>
                    </w:rPr>
                    <w:t>less</w:t>
                  </w:r>
                </w:p>
                <w:p w14:paraId="0C7508D7" w14:textId="102F2CA2" w:rsidR="00BE6776" w:rsidRPr="00242BF1" w:rsidRDefault="00BE6776" w:rsidP="00601F6B">
                  <w:pPr>
                    <w:pStyle w:val="text0"/>
                    <w:widowControl w:val="0"/>
                    <w:spacing w:before="0" w:after="120" w:line="240" w:lineRule="auto"/>
                    <w:ind w:left="720"/>
                    <w:jc w:val="left"/>
                    <w:rPr>
                      <w:rFonts w:cs="Arial"/>
                      <w:sz w:val="24"/>
                      <w:szCs w:val="24"/>
                    </w:rPr>
                  </w:pPr>
                  <w:r w:rsidRPr="00242BF1">
                    <w:rPr>
                      <w:rFonts w:cs="Arial"/>
                      <w:sz w:val="24"/>
                      <w:szCs w:val="24"/>
                    </w:rPr>
                    <w:t>the Participant Costs (if any) actually incurred by the Supplier and its Sub-</w:t>
                  </w:r>
                  <w:r w:rsidRPr="00242BF1">
                    <w:rPr>
                      <w:rFonts w:cs="Arial"/>
                      <w:sz w:val="24"/>
                      <w:szCs w:val="24"/>
                    </w:rPr>
                    <w:lastRenderedPageBreak/>
                    <w:t>contractor(s) in that Relevant Period;</w:t>
                  </w:r>
                </w:p>
              </w:tc>
            </w:tr>
          </w:tbl>
          <w:p w14:paraId="2F6F7289" w14:textId="77777777" w:rsidR="00B35643" w:rsidRPr="00242BF1" w:rsidRDefault="00B35643" w:rsidP="00E162A6">
            <w:pPr>
              <w:pStyle w:val="SchdLevel2"/>
              <w:spacing w:after="0" w:line="240" w:lineRule="auto"/>
              <w:ind w:left="0" w:firstLine="0"/>
              <w:jc w:val="left"/>
              <w:rPr>
                <w:rFonts w:cs="Arial"/>
                <w:i/>
                <w:sz w:val="24"/>
                <w:szCs w:val="24"/>
              </w:rPr>
            </w:pPr>
          </w:p>
        </w:tc>
      </w:tr>
      <w:tr w:rsidR="00B35643" w:rsidRPr="00242BF1"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242BF1"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242BF1" w:rsidRDefault="006130CD" w:rsidP="00E162A6">
            <w:pPr>
              <w:pStyle w:val="SchdLevel2"/>
              <w:spacing w:after="0" w:line="240" w:lineRule="auto"/>
              <w:ind w:left="0" w:firstLine="0"/>
              <w:jc w:val="left"/>
              <w:rPr>
                <w:rFonts w:cs="Arial"/>
                <w:i/>
                <w:sz w:val="24"/>
                <w:szCs w:val="24"/>
              </w:rPr>
            </w:pPr>
            <w:r w:rsidRPr="00242BF1">
              <w:rPr>
                <w:rFonts w:cs="Arial"/>
                <w:i/>
                <w:sz w:val="24"/>
                <w:szCs w:val="24"/>
              </w:rPr>
              <w:t>The following definitions shall be added in paragraph 1:</w:t>
            </w:r>
          </w:p>
          <w:p w14:paraId="06F3CDF7" w14:textId="77777777" w:rsidR="006130CD" w:rsidRPr="00242BF1"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242BF1" w14:paraId="00402E52" w14:textId="77777777" w:rsidTr="004F366C">
              <w:tc>
                <w:tcPr>
                  <w:tcW w:w="2202" w:type="dxa"/>
                  <w:hideMark/>
                </w:tcPr>
                <w:p w14:paraId="45C25F87" w14:textId="0D3E0E49" w:rsidR="006130CD" w:rsidRPr="00242BF1" w:rsidRDefault="006130CD" w:rsidP="00E162A6">
                  <w:pPr>
                    <w:pStyle w:val="SchdLevel2"/>
                    <w:spacing w:after="0" w:line="240" w:lineRule="auto"/>
                    <w:ind w:left="0" w:firstLine="0"/>
                    <w:jc w:val="left"/>
                    <w:rPr>
                      <w:rFonts w:cs="Arial"/>
                      <w:b/>
                      <w:bCs/>
                      <w:iCs/>
                      <w:sz w:val="24"/>
                      <w:szCs w:val="24"/>
                    </w:rPr>
                  </w:pPr>
                  <w:r w:rsidRPr="00242BF1">
                    <w:rPr>
                      <w:rFonts w:cs="Arial"/>
                      <w:b/>
                      <w:bCs/>
                      <w:iCs/>
                      <w:sz w:val="24"/>
                      <w:szCs w:val="24"/>
                    </w:rPr>
                    <w:t>“Specified Extension Participant Costs”</w:t>
                  </w:r>
                </w:p>
                <w:p w14:paraId="4CD79316" w14:textId="77777777" w:rsidR="006130CD" w:rsidRPr="00242BF1"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242BF1" w:rsidRDefault="006130CD" w:rsidP="00E162A6">
                  <w:pPr>
                    <w:pStyle w:val="SchdLevel2"/>
                    <w:spacing w:after="0" w:line="240" w:lineRule="auto"/>
                    <w:ind w:left="0" w:firstLine="0"/>
                    <w:jc w:val="left"/>
                    <w:rPr>
                      <w:rFonts w:cs="Arial"/>
                      <w:iCs/>
                      <w:sz w:val="24"/>
                      <w:szCs w:val="24"/>
                    </w:rPr>
                  </w:pPr>
                  <w:r w:rsidRPr="00242BF1">
                    <w:rPr>
                      <w:rFonts w:cs="Arial"/>
                      <w:iCs/>
                      <w:sz w:val="24"/>
                      <w:szCs w:val="24"/>
                    </w:rPr>
                    <w:t>have the meaning given in Paragraph 3 of this Schedule 7.7;</w:t>
                  </w:r>
                </w:p>
              </w:tc>
            </w:tr>
            <w:tr w:rsidR="006130CD" w:rsidRPr="00242BF1" w14:paraId="15AA5A9A" w14:textId="77777777" w:rsidTr="004F366C">
              <w:tc>
                <w:tcPr>
                  <w:tcW w:w="2202" w:type="dxa"/>
                </w:tcPr>
                <w:p w14:paraId="0F7D6498" w14:textId="6E0314AE" w:rsidR="006130CD" w:rsidRPr="00242BF1" w:rsidRDefault="006130CD" w:rsidP="00E162A6">
                  <w:pPr>
                    <w:pStyle w:val="SchdLevel2"/>
                    <w:spacing w:after="0" w:line="240" w:lineRule="auto"/>
                    <w:ind w:left="0" w:firstLine="0"/>
                    <w:jc w:val="left"/>
                    <w:rPr>
                      <w:rFonts w:cs="Arial"/>
                      <w:b/>
                      <w:bCs/>
                      <w:iCs/>
                      <w:sz w:val="24"/>
                      <w:szCs w:val="24"/>
                    </w:rPr>
                  </w:pPr>
                  <w:r w:rsidRPr="00242BF1">
                    <w:rPr>
                      <w:rFonts w:cs="Arial"/>
                      <w:b/>
                      <w:bCs/>
                      <w:iCs/>
                      <w:sz w:val="24"/>
                      <w:szCs w:val="24"/>
                    </w:rPr>
                    <w:t>“Specified Initial Participant Costs”</w:t>
                  </w:r>
                </w:p>
              </w:tc>
              <w:tc>
                <w:tcPr>
                  <w:tcW w:w="9480" w:type="dxa"/>
                </w:tcPr>
                <w:p w14:paraId="5888DD9B" w14:textId="77777777" w:rsidR="006130CD" w:rsidRPr="00242BF1" w:rsidRDefault="006130CD" w:rsidP="00E162A6">
                  <w:pPr>
                    <w:pStyle w:val="SchdLevel2"/>
                    <w:spacing w:after="0" w:line="240" w:lineRule="auto"/>
                    <w:ind w:left="0" w:firstLine="0"/>
                    <w:jc w:val="left"/>
                    <w:rPr>
                      <w:rFonts w:cs="Arial"/>
                      <w:iCs/>
                      <w:sz w:val="24"/>
                      <w:szCs w:val="24"/>
                    </w:rPr>
                  </w:pPr>
                  <w:r w:rsidRPr="00242BF1">
                    <w:rPr>
                      <w:rFonts w:cs="Arial"/>
                      <w:iCs/>
                      <w:sz w:val="24"/>
                      <w:szCs w:val="24"/>
                    </w:rPr>
                    <w:t>have the meaning given in Paragraph 3 of this Schedule 7.7;</w:t>
                  </w:r>
                </w:p>
              </w:tc>
            </w:tr>
          </w:tbl>
          <w:p w14:paraId="12542F95" w14:textId="77777777" w:rsidR="00B35643" w:rsidRPr="00242BF1" w:rsidRDefault="00B35643" w:rsidP="00E162A6">
            <w:pPr>
              <w:pStyle w:val="SchdLevel2"/>
              <w:spacing w:after="0" w:line="240" w:lineRule="auto"/>
              <w:ind w:left="0" w:firstLine="0"/>
              <w:jc w:val="left"/>
              <w:rPr>
                <w:rFonts w:cs="Arial"/>
                <w:i/>
                <w:sz w:val="24"/>
                <w:szCs w:val="24"/>
              </w:rPr>
            </w:pPr>
          </w:p>
        </w:tc>
      </w:tr>
      <w:tr w:rsidR="00712DBE" w:rsidRPr="00242BF1"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242BF1"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242BF1" w:rsidRDefault="00DC6F98"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“Specified Participant Costs” in paragraph 1 shall be deleted.</w:t>
            </w:r>
          </w:p>
        </w:tc>
      </w:tr>
      <w:tr w:rsidR="00712DBE" w:rsidRPr="00242BF1"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242BF1"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242BF1" w:rsidRDefault="00467FDD" w:rsidP="00E162A6">
            <w:pPr>
              <w:pStyle w:val="SchdLevel2"/>
              <w:spacing w:after="0" w:line="240" w:lineRule="auto"/>
              <w:ind w:left="0" w:firstLine="0"/>
              <w:jc w:val="left"/>
              <w:rPr>
                <w:rFonts w:cs="Arial"/>
                <w:i/>
                <w:sz w:val="24"/>
                <w:szCs w:val="24"/>
              </w:rPr>
            </w:pPr>
            <w:r w:rsidRPr="00242BF1">
              <w:rPr>
                <w:rFonts w:cs="Arial"/>
                <w:i/>
                <w:sz w:val="24"/>
                <w:szCs w:val="24"/>
              </w:rPr>
              <w:t>The following definition shall be added in paragraph 1:</w:t>
            </w:r>
          </w:p>
          <w:p w14:paraId="2F16F7B7" w14:textId="77777777" w:rsidR="00467FDD" w:rsidRPr="00242BF1"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242BF1" w14:paraId="31E97B09" w14:textId="77777777" w:rsidTr="004F366C">
              <w:tc>
                <w:tcPr>
                  <w:tcW w:w="2239" w:type="dxa"/>
                </w:tcPr>
                <w:p w14:paraId="1F29FCAD" w14:textId="77777777" w:rsidR="00467FDD" w:rsidRPr="00242BF1" w:rsidRDefault="00467FDD" w:rsidP="00E162A6">
                  <w:pPr>
                    <w:pStyle w:val="SchdLevel2"/>
                    <w:spacing w:after="0" w:line="240" w:lineRule="auto"/>
                    <w:ind w:left="0" w:firstLine="0"/>
                    <w:jc w:val="left"/>
                    <w:rPr>
                      <w:rFonts w:cs="Arial"/>
                      <w:b/>
                      <w:bCs/>
                      <w:iCs/>
                      <w:sz w:val="24"/>
                      <w:szCs w:val="24"/>
                    </w:rPr>
                  </w:pPr>
                  <w:r w:rsidRPr="00242BF1">
                    <w:rPr>
                      <w:rFonts w:cs="Arial"/>
                      <w:b/>
                      <w:bCs/>
                      <w:iCs/>
                      <w:sz w:val="24"/>
                      <w:szCs w:val="24"/>
                    </w:rPr>
                    <w:t>“Total Specified Participant Costs”</w:t>
                  </w:r>
                </w:p>
              </w:tc>
              <w:tc>
                <w:tcPr>
                  <w:tcW w:w="9887" w:type="dxa"/>
                </w:tcPr>
                <w:p w14:paraId="28CF407B" w14:textId="77777777" w:rsidR="00467FDD" w:rsidRPr="00242BF1" w:rsidRDefault="00467FDD" w:rsidP="00E162A6">
                  <w:pPr>
                    <w:pStyle w:val="SchdLevel2"/>
                    <w:spacing w:after="0" w:line="240" w:lineRule="auto"/>
                    <w:ind w:left="0" w:firstLine="0"/>
                    <w:jc w:val="left"/>
                    <w:rPr>
                      <w:rFonts w:cs="Arial"/>
                      <w:iCs/>
                      <w:sz w:val="24"/>
                      <w:szCs w:val="24"/>
                    </w:rPr>
                  </w:pPr>
                  <w:r w:rsidRPr="00242BF1">
                    <w:rPr>
                      <w:rFonts w:cs="Arial"/>
                      <w:iCs/>
                      <w:sz w:val="24"/>
                      <w:szCs w:val="24"/>
                    </w:rPr>
                    <w:t>the sum of the Specified Initial Participant Costs and Specified Extension Participant Costs for a Relevant Period.</w:t>
                  </w:r>
                </w:p>
              </w:tc>
            </w:tr>
          </w:tbl>
          <w:p w14:paraId="16008B5E" w14:textId="77777777" w:rsidR="00712DBE" w:rsidRPr="00242BF1" w:rsidRDefault="00712DBE" w:rsidP="00E162A6">
            <w:pPr>
              <w:pStyle w:val="SchdLevel2"/>
              <w:spacing w:after="0" w:line="240" w:lineRule="auto"/>
              <w:ind w:left="0" w:firstLine="0"/>
              <w:jc w:val="left"/>
              <w:rPr>
                <w:rFonts w:cs="Arial"/>
                <w:i/>
                <w:sz w:val="24"/>
                <w:szCs w:val="24"/>
              </w:rPr>
            </w:pPr>
          </w:p>
        </w:tc>
      </w:tr>
      <w:tr w:rsidR="00712DBE" w:rsidRPr="00242BF1"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242BF1"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242BF1" w:rsidRDefault="007871B4" w:rsidP="00E162A6">
            <w:pPr>
              <w:pStyle w:val="SchdLevel2"/>
              <w:spacing w:after="0" w:line="240" w:lineRule="auto"/>
              <w:ind w:left="0" w:firstLine="0"/>
              <w:jc w:val="left"/>
              <w:rPr>
                <w:rFonts w:cs="Arial"/>
                <w:i/>
                <w:sz w:val="24"/>
                <w:szCs w:val="24"/>
              </w:rPr>
            </w:pPr>
            <w:r w:rsidRPr="00242BF1">
              <w:rPr>
                <w:rFonts w:cs="Arial"/>
                <w:i/>
                <w:sz w:val="24"/>
                <w:szCs w:val="24"/>
              </w:rPr>
              <w:t>Existing paragraph 2 shall be replaced with the following:</w:t>
            </w:r>
          </w:p>
          <w:p w14:paraId="5D744F63" w14:textId="77777777" w:rsidR="007871B4" w:rsidRPr="00242BF1" w:rsidRDefault="007871B4" w:rsidP="00E162A6">
            <w:pPr>
              <w:pStyle w:val="SchdLevel2"/>
              <w:spacing w:after="0" w:line="240" w:lineRule="auto"/>
              <w:ind w:left="0" w:firstLine="0"/>
              <w:jc w:val="left"/>
              <w:rPr>
                <w:rFonts w:cs="Arial"/>
                <w:iCs/>
                <w:sz w:val="24"/>
                <w:szCs w:val="24"/>
              </w:rPr>
            </w:pPr>
          </w:p>
          <w:p w14:paraId="52166C9E" w14:textId="77777777" w:rsidR="007871B4" w:rsidRPr="00242BF1" w:rsidRDefault="007871B4" w:rsidP="00E162A6">
            <w:pPr>
              <w:pStyle w:val="SchdLevel2"/>
              <w:spacing w:after="0" w:line="240" w:lineRule="auto"/>
              <w:ind w:left="851" w:hanging="851"/>
              <w:jc w:val="left"/>
              <w:rPr>
                <w:rFonts w:cs="Arial"/>
                <w:iCs/>
                <w:color w:val="5B9BD5" w:themeColor="accent5"/>
                <w:sz w:val="32"/>
                <w:szCs w:val="32"/>
              </w:rPr>
            </w:pPr>
            <w:r w:rsidRPr="00242BF1">
              <w:rPr>
                <w:rFonts w:cs="Arial"/>
                <w:color w:val="365F91"/>
                <w:sz w:val="32"/>
                <w:szCs w:val="32"/>
              </w:rPr>
              <w:t xml:space="preserve">2 </w:t>
            </w:r>
            <w:r w:rsidRPr="00242BF1">
              <w:rPr>
                <w:rFonts w:cs="Arial"/>
                <w:iCs/>
                <w:color w:val="5B9BD5" w:themeColor="accent5"/>
                <w:sz w:val="32"/>
                <w:szCs w:val="32"/>
              </w:rPr>
              <w:tab/>
            </w:r>
            <w:r w:rsidRPr="00242BF1">
              <w:rPr>
                <w:rFonts w:cs="Arial"/>
                <w:color w:val="365F91"/>
                <w:sz w:val="32"/>
                <w:szCs w:val="32"/>
              </w:rPr>
              <w:t>Risk</w:t>
            </w:r>
            <w:r w:rsidRPr="00242BF1">
              <w:rPr>
                <w:rFonts w:cs="Arial"/>
                <w:iCs/>
                <w:color w:val="5B9BD5" w:themeColor="accent5"/>
                <w:sz w:val="32"/>
                <w:szCs w:val="32"/>
              </w:rPr>
              <w:t xml:space="preserve"> </w:t>
            </w:r>
            <w:r w:rsidRPr="00242BF1">
              <w:rPr>
                <w:rFonts w:cs="Arial"/>
                <w:color w:val="365F91"/>
                <w:sz w:val="32"/>
                <w:szCs w:val="32"/>
              </w:rPr>
              <w:t>premiums</w:t>
            </w:r>
          </w:p>
          <w:p w14:paraId="4151D991" w14:textId="77777777" w:rsidR="007871B4" w:rsidRPr="00242BF1" w:rsidRDefault="007871B4" w:rsidP="00E162A6">
            <w:pPr>
              <w:pStyle w:val="SchdLevel2"/>
              <w:spacing w:after="0" w:line="240" w:lineRule="auto"/>
              <w:ind w:left="0" w:firstLine="0"/>
              <w:jc w:val="left"/>
              <w:rPr>
                <w:rFonts w:cs="Arial"/>
                <w:iCs/>
                <w:sz w:val="24"/>
                <w:szCs w:val="24"/>
              </w:rPr>
            </w:pPr>
          </w:p>
          <w:p w14:paraId="7C14664A" w14:textId="77777777" w:rsidR="007871B4" w:rsidRPr="00242BF1" w:rsidRDefault="007871B4" w:rsidP="00E162A6">
            <w:pPr>
              <w:pStyle w:val="SchdLevel2"/>
              <w:spacing w:after="0" w:line="240" w:lineRule="auto"/>
              <w:ind w:left="851" w:hanging="851"/>
              <w:jc w:val="left"/>
              <w:rPr>
                <w:rFonts w:cs="Arial"/>
                <w:iCs/>
                <w:sz w:val="24"/>
                <w:szCs w:val="24"/>
              </w:rPr>
            </w:pPr>
            <w:r w:rsidRPr="00242BF1">
              <w:rPr>
                <w:rFonts w:cs="Arial"/>
                <w:iCs/>
                <w:sz w:val="24"/>
                <w:szCs w:val="24"/>
              </w:rPr>
              <w:t xml:space="preserve">2.1 </w:t>
            </w:r>
            <w:r w:rsidRPr="00242BF1">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242BF1" w:rsidRDefault="007871B4" w:rsidP="00E162A6">
            <w:pPr>
              <w:pStyle w:val="SchdLevel2"/>
              <w:spacing w:after="0" w:line="240" w:lineRule="auto"/>
              <w:ind w:left="0" w:firstLine="0"/>
              <w:jc w:val="left"/>
              <w:rPr>
                <w:rFonts w:cs="Arial"/>
                <w:iCs/>
                <w:sz w:val="24"/>
                <w:szCs w:val="24"/>
              </w:rPr>
            </w:pPr>
          </w:p>
          <w:p w14:paraId="2DF8B860" w14:textId="22B9B5AF" w:rsidR="00712DBE" w:rsidRPr="00242BF1" w:rsidRDefault="00402CD4" w:rsidP="00E162A6">
            <w:pPr>
              <w:pStyle w:val="SchdLevel2"/>
              <w:spacing w:after="0" w:line="240" w:lineRule="auto"/>
              <w:ind w:left="0" w:firstLine="0"/>
              <w:jc w:val="left"/>
              <w:rPr>
                <w:rFonts w:cs="Arial"/>
                <w:i/>
                <w:sz w:val="24"/>
                <w:szCs w:val="24"/>
              </w:rPr>
            </w:pPr>
            <w:r w:rsidRPr="00242BF1">
              <w:rPr>
                <w:rStyle w:val="normaltextrun"/>
                <w:rFonts w:cs="Arial"/>
                <w:color w:val="000000"/>
              </w:rPr>
              <w:t>[REDACTED]</w:t>
            </w:r>
          </w:p>
        </w:tc>
      </w:tr>
      <w:tr w:rsidR="005601CC" w:rsidRPr="00242BF1"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242BF1"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242BF1" w:rsidRDefault="005601CC" w:rsidP="00E162A6">
            <w:pPr>
              <w:pStyle w:val="SchdLevel2"/>
              <w:spacing w:after="0" w:line="240" w:lineRule="auto"/>
              <w:ind w:left="0" w:firstLine="0"/>
              <w:jc w:val="left"/>
              <w:rPr>
                <w:rFonts w:cs="Arial"/>
                <w:i/>
                <w:sz w:val="24"/>
                <w:szCs w:val="24"/>
              </w:rPr>
            </w:pPr>
            <w:r w:rsidRPr="00242BF1">
              <w:rPr>
                <w:rFonts w:cs="Arial"/>
                <w:i/>
                <w:sz w:val="24"/>
                <w:szCs w:val="24"/>
              </w:rPr>
              <w:t>Existing paragraph 3.1 shall be replaced with the following:</w:t>
            </w:r>
          </w:p>
          <w:p w14:paraId="4631A9B9" w14:textId="77777777" w:rsidR="005601CC" w:rsidRPr="00242BF1" w:rsidRDefault="005601CC" w:rsidP="00E162A6">
            <w:pPr>
              <w:pStyle w:val="SchdLevel2"/>
              <w:spacing w:after="0" w:line="240" w:lineRule="auto"/>
              <w:ind w:left="0" w:firstLine="0"/>
              <w:jc w:val="left"/>
              <w:rPr>
                <w:rFonts w:cs="Arial"/>
                <w:i/>
                <w:sz w:val="24"/>
                <w:szCs w:val="24"/>
              </w:rPr>
            </w:pPr>
          </w:p>
          <w:p w14:paraId="7A48FB31" w14:textId="77777777" w:rsidR="005601CC" w:rsidRPr="00242BF1" w:rsidRDefault="005601CC" w:rsidP="00E162A6">
            <w:pPr>
              <w:pStyle w:val="SchdLevel2"/>
              <w:spacing w:after="0" w:line="240" w:lineRule="auto"/>
              <w:ind w:left="0" w:firstLine="0"/>
              <w:jc w:val="left"/>
              <w:rPr>
                <w:rFonts w:cs="Arial"/>
                <w:iCs/>
                <w:sz w:val="24"/>
                <w:szCs w:val="24"/>
              </w:rPr>
            </w:pPr>
            <w:r w:rsidRPr="00242BF1">
              <w:rPr>
                <w:rFonts w:cs="Arial"/>
                <w:iCs/>
                <w:sz w:val="24"/>
                <w:szCs w:val="24"/>
              </w:rPr>
              <w:lastRenderedPageBreak/>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242BF1" w:rsidRDefault="005601CC" w:rsidP="00E162A6">
            <w:pPr>
              <w:pStyle w:val="SchdLevel2"/>
              <w:spacing w:after="0" w:line="240" w:lineRule="auto"/>
              <w:ind w:left="0" w:firstLine="0"/>
              <w:jc w:val="left"/>
              <w:rPr>
                <w:rFonts w:cs="Arial"/>
                <w:iCs/>
                <w:sz w:val="24"/>
                <w:szCs w:val="24"/>
              </w:rPr>
            </w:pPr>
          </w:p>
          <w:p w14:paraId="4236D6E3" w14:textId="66C59BB6" w:rsidR="005601CC" w:rsidRPr="00242BF1" w:rsidRDefault="00402CD4" w:rsidP="00E162A6">
            <w:pPr>
              <w:pStyle w:val="SchdLevel2"/>
              <w:spacing w:after="0" w:line="240" w:lineRule="auto"/>
              <w:ind w:left="0" w:firstLine="0"/>
              <w:jc w:val="left"/>
              <w:rPr>
                <w:rFonts w:cs="Arial"/>
                <w:i/>
                <w:sz w:val="24"/>
                <w:szCs w:val="24"/>
              </w:rPr>
            </w:pPr>
            <w:r w:rsidRPr="00242BF1">
              <w:rPr>
                <w:rStyle w:val="normaltextrun"/>
                <w:rFonts w:cs="Arial"/>
                <w:color w:val="000000"/>
              </w:rPr>
              <w:t>[REDACTED]</w:t>
            </w:r>
          </w:p>
        </w:tc>
      </w:tr>
      <w:tr w:rsidR="005601CC" w:rsidRPr="00242BF1"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242BF1"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242BF1" w:rsidRDefault="000165A6" w:rsidP="00E162A6">
            <w:pPr>
              <w:pStyle w:val="SchdLevel2"/>
              <w:keepNext/>
              <w:pageBreakBefore/>
              <w:spacing w:after="0" w:line="240" w:lineRule="auto"/>
              <w:ind w:left="0" w:firstLine="0"/>
              <w:jc w:val="left"/>
              <w:rPr>
                <w:rFonts w:cs="Arial"/>
                <w:i/>
                <w:sz w:val="24"/>
                <w:szCs w:val="24"/>
              </w:rPr>
            </w:pPr>
            <w:r w:rsidRPr="00242BF1">
              <w:rPr>
                <w:rFonts w:cs="Arial"/>
                <w:i/>
                <w:sz w:val="24"/>
                <w:szCs w:val="24"/>
              </w:rPr>
              <w:t>Existing paragraph 4 shall be replaced with the following:</w:t>
            </w:r>
          </w:p>
          <w:p w14:paraId="16D77958" w14:textId="04465DE4" w:rsidR="00E741F1" w:rsidRPr="00242BF1" w:rsidRDefault="000165A6" w:rsidP="00E162A6">
            <w:pPr>
              <w:pStyle w:val="SchdLevel2"/>
              <w:keepNext/>
              <w:pageBreakBefore/>
              <w:spacing w:before="120" w:after="120" w:line="240" w:lineRule="auto"/>
              <w:ind w:left="851" w:hanging="851"/>
              <w:jc w:val="left"/>
              <w:rPr>
                <w:rFonts w:cs="Arial"/>
                <w:color w:val="365F91"/>
                <w:sz w:val="32"/>
                <w:szCs w:val="32"/>
              </w:rPr>
            </w:pPr>
            <w:r w:rsidRPr="00242BF1">
              <w:rPr>
                <w:rFonts w:cs="Arial"/>
                <w:color w:val="365F91"/>
                <w:sz w:val="32"/>
                <w:szCs w:val="32"/>
              </w:rPr>
              <w:t>4</w:t>
            </w:r>
            <w:r w:rsidR="004C75AD" w:rsidRPr="00242BF1">
              <w:rPr>
                <w:rFonts w:cs="Arial"/>
                <w:color w:val="365F91"/>
                <w:sz w:val="32"/>
                <w:szCs w:val="32"/>
              </w:rPr>
              <w:tab/>
            </w:r>
            <w:r w:rsidRPr="00242BF1">
              <w:rPr>
                <w:rFonts w:cs="Arial"/>
                <w:color w:val="365F91"/>
                <w:sz w:val="32"/>
                <w:szCs w:val="32"/>
              </w:rPr>
              <w:t>Consequences of risk not resulting in costs meeting or exceeding amount of risk premium</w:t>
            </w:r>
          </w:p>
          <w:p w14:paraId="20CE80F1" w14:textId="500E1640" w:rsidR="000165A6" w:rsidRPr="00242BF1" w:rsidRDefault="000165A6" w:rsidP="00E162A6">
            <w:pPr>
              <w:pStyle w:val="SchdLevel2"/>
              <w:spacing w:before="120" w:after="120" w:line="240" w:lineRule="auto"/>
              <w:ind w:left="851" w:hanging="851"/>
              <w:jc w:val="left"/>
              <w:rPr>
                <w:rFonts w:cs="Arial"/>
                <w:sz w:val="24"/>
                <w:szCs w:val="24"/>
              </w:rPr>
            </w:pPr>
            <w:r w:rsidRPr="00242BF1">
              <w:rPr>
                <w:rFonts w:cs="Arial"/>
                <w:sz w:val="24"/>
                <w:szCs w:val="24"/>
              </w:rPr>
              <w:t>4.1</w:t>
            </w:r>
            <w:r w:rsidR="004C75AD" w:rsidRPr="00242BF1">
              <w:rPr>
                <w:rFonts w:cs="Arial"/>
                <w:sz w:val="24"/>
                <w:szCs w:val="24"/>
              </w:rPr>
              <w:tab/>
            </w:r>
            <w:r w:rsidRPr="00242BF1">
              <w:rPr>
                <w:rFonts w:cs="Arial"/>
                <w:sz w:val="24"/>
                <w:szCs w:val="24"/>
              </w:rPr>
              <w:t xml:space="preserve">If the risk for which the </w:t>
            </w:r>
            <w:r w:rsidRPr="00242BF1">
              <w:rPr>
                <w:rFonts w:cs="Arial"/>
                <w:iCs/>
                <w:sz w:val="24"/>
                <w:szCs w:val="24"/>
              </w:rPr>
              <w:t>Supplier</w:t>
            </w:r>
            <w:r w:rsidRPr="00242BF1">
              <w:rPr>
                <w:rFonts w:cs="Arial"/>
                <w:sz w:val="24"/>
                <w:szCs w:val="24"/>
              </w:rPr>
              <w:t xml:space="preserve"> included an Initial Risk </w:t>
            </w:r>
            <w:proofErr w:type="gramStart"/>
            <w:r w:rsidRPr="00242BF1">
              <w:rPr>
                <w:rFonts w:cs="Arial"/>
                <w:sz w:val="24"/>
                <w:szCs w:val="24"/>
              </w:rPr>
              <w:t>Premium</w:t>
            </w:r>
            <w:proofErr w:type="gramEnd"/>
            <w:r w:rsidRPr="00242BF1">
              <w:rPr>
                <w:rFonts w:cs="Arial"/>
                <w:sz w:val="24"/>
                <w:szCs w:val="24"/>
              </w:rPr>
              <w:t xml:space="preserve">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242BF1" w:rsidRDefault="004C75AD" w:rsidP="00E162A6">
            <w:pPr>
              <w:pStyle w:val="SchdLevel2"/>
              <w:spacing w:before="120" w:after="120" w:line="240" w:lineRule="auto"/>
              <w:ind w:left="1702" w:hanging="851"/>
              <w:jc w:val="left"/>
              <w:rPr>
                <w:rFonts w:cs="Arial"/>
                <w:iCs/>
                <w:sz w:val="24"/>
                <w:szCs w:val="24"/>
              </w:rPr>
            </w:pPr>
            <w:r w:rsidRPr="00242BF1">
              <w:rPr>
                <w:rFonts w:cs="Arial"/>
                <w:iCs/>
                <w:sz w:val="24"/>
                <w:szCs w:val="24"/>
              </w:rPr>
              <w:t>(a)</w:t>
            </w:r>
            <w:r w:rsidRPr="00242BF1">
              <w:rPr>
                <w:rFonts w:cs="Arial"/>
                <w:iCs/>
                <w:sz w:val="24"/>
                <w:szCs w:val="24"/>
              </w:rPr>
              <w:tab/>
            </w:r>
            <w:r w:rsidR="000165A6" w:rsidRPr="00242BF1">
              <w:rPr>
                <w:rFonts w:cs="Arial"/>
                <w:iCs/>
                <w:sz w:val="24"/>
                <w:szCs w:val="24"/>
              </w:rPr>
              <w:t>the Supplier shall notify the Authority as soon as reasonably practicable after it becomes aware of this; and</w:t>
            </w:r>
          </w:p>
          <w:p w14:paraId="682C0FE5" w14:textId="3882CDD1" w:rsidR="005601CC" w:rsidRPr="00242BF1" w:rsidRDefault="004C75AD" w:rsidP="00E162A6">
            <w:pPr>
              <w:pStyle w:val="SchdLevel2"/>
              <w:spacing w:before="120" w:after="120" w:line="240" w:lineRule="auto"/>
              <w:ind w:left="1702" w:hanging="851"/>
              <w:jc w:val="left"/>
              <w:rPr>
                <w:rFonts w:cs="Arial"/>
                <w:i/>
                <w:sz w:val="24"/>
                <w:szCs w:val="24"/>
              </w:rPr>
            </w:pPr>
            <w:r w:rsidRPr="00242BF1">
              <w:rPr>
                <w:rFonts w:cs="Arial"/>
                <w:iCs/>
                <w:sz w:val="24"/>
                <w:szCs w:val="24"/>
              </w:rPr>
              <w:t>(b)</w:t>
            </w:r>
            <w:r w:rsidRPr="00242BF1">
              <w:rPr>
                <w:rFonts w:cs="Arial"/>
                <w:iCs/>
                <w:sz w:val="24"/>
                <w:szCs w:val="24"/>
              </w:rPr>
              <w:tab/>
            </w:r>
            <w:r w:rsidR="000165A6" w:rsidRPr="00242BF1">
              <w:rPr>
                <w:rFonts w:cs="Arial"/>
                <w:iCs/>
                <w:sz w:val="24"/>
                <w:szCs w:val="24"/>
              </w:rPr>
              <w:t>the Authority may, in its absolute discretion, require the Supplier: (</w:t>
            </w:r>
            <w:proofErr w:type="spellStart"/>
            <w:r w:rsidR="000165A6" w:rsidRPr="00242BF1">
              <w:rPr>
                <w:rFonts w:cs="Arial"/>
                <w:iCs/>
                <w:sz w:val="24"/>
                <w:szCs w:val="24"/>
              </w:rPr>
              <w:t>i</w:t>
            </w:r>
            <w:proofErr w:type="spellEnd"/>
            <w:r w:rsidR="000165A6" w:rsidRPr="00242BF1">
              <w:rPr>
                <w:rFonts w:cs="Arial"/>
                <w:iCs/>
                <w:sz w:val="24"/>
                <w:szCs w:val="24"/>
              </w:rPr>
              <w:t>) to pay the Relevant Sum to the Authority; or (ii) to invest the Relevant Sum in such investment connected to the provision of the Services of the Authority’s election.</w:t>
            </w:r>
          </w:p>
        </w:tc>
      </w:tr>
      <w:tr w:rsidR="005601CC" w:rsidRPr="00242BF1"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242BF1"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242BF1" w:rsidRDefault="00943BD1" w:rsidP="00E162A6">
            <w:pPr>
              <w:pStyle w:val="SchdLevel2"/>
              <w:keepNext/>
              <w:pageBreakBefore/>
              <w:spacing w:after="0" w:line="240" w:lineRule="auto"/>
              <w:ind w:left="0" w:firstLine="0"/>
              <w:jc w:val="left"/>
              <w:rPr>
                <w:rFonts w:cs="Arial"/>
                <w:i/>
                <w:sz w:val="24"/>
                <w:szCs w:val="24"/>
              </w:rPr>
            </w:pPr>
            <w:r w:rsidRPr="00242BF1">
              <w:rPr>
                <w:rFonts w:cs="Arial"/>
                <w:i/>
                <w:sz w:val="24"/>
                <w:szCs w:val="24"/>
              </w:rPr>
              <w:t>Existing paragraph 5 shall be replaced with the following:</w:t>
            </w:r>
          </w:p>
          <w:p w14:paraId="76CE7412" w14:textId="1E09968D" w:rsidR="00943BD1" w:rsidRPr="00242BF1" w:rsidRDefault="00943BD1" w:rsidP="00E162A6">
            <w:pPr>
              <w:pStyle w:val="SchdLevel2"/>
              <w:keepNext/>
              <w:pageBreakBefore/>
              <w:spacing w:before="120" w:after="120" w:line="240" w:lineRule="auto"/>
              <w:ind w:left="851" w:hanging="851"/>
              <w:jc w:val="left"/>
              <w:rPr>
                <w:rFonts w:cs="Arial"/>
                <w:color w:val="365F91"/>
                <w:sz w:val="32"/>
                <w:szCs w:val="32"/>
              </w:rPr>
            </w:pPr>
            <w:r w:rsidRPr="00242BF1">
              <w:rPr>
                <w:rFonts w:cs="Arial"/>
                <w:color w:val="365F91"/>
                <w:sz w:val="32"/>
                <w:szCs w:val="32"/>
              </w:rPr>
              <w:t>5</w:t>
            </w:r>
            <w:r w:rsidR="00E741F1" w:rsidRPr="00242BF1">
              <w:rPr>
                <w:rFonts w:cs="Arial"/>
                <w:color w:val="365F91"/>
                <w:sz w:val="32"/>
                <w:szCs w:val="32"/>
              </w:rPr>
              <w:tab/>
            </w:r>
            <w:r w:rsidRPr="00242BF1">
              <w:rPr>
                <w:rFonts w:cs="Arial"/>
                <w:color w:val="365F91"/>
                <w:sz w:val="32"/>
                <w:szCs w:val="32"/>
              </w:rPr>
              <w:t>Consequences of Supplier and its Sub-contractor(s) not incurring Participant Costs meeting or exceeding Total Specified Participant Costs</w:t>
            </w:r>
          </w:p>
          <w:p w14:paraId="046AA453" w14:textId="5AD5909F" w:rsidR="00943BD1" w:rsidRPr="00242BF1" w:rsidRDefault="00943BD1" w:rsidP="00E162A6">
            <w:pPr>
              <w:pStyle w:val="SchdLevel2"/>
              <w:spacing w:before="120" w:after="120" w:line="240" w:lineRule="auto"/>
              <w:ind w:left="851" w:hanging="851"/>
              <w:jc w:val="left"/>
              <w:rPr>
                <w:rFonts w:cs="Arial"/>
                <w:iCs/>
                <w:sz w:val="24"/>
                <w:szCs w:val="24"/>
              </w:rPr>
            </w:pPr>
            <w:r w:rsidRPr="00242BF1">
              <w:rPr>
                <w:rFonts w:cs="Arial"/>
                <w:iCs/>
                <w:sz w:val="24"/>
                <w:szCs w:val="24"/>
              </w:rPr>
              <w:t>5.1</w:t>
            </w:r>
            <w:r w:rsidR="00175EAD" w:rsidRPr="00242BF1">
              <w:rPr>
                <w:rFonts w:cs="Arial"/>
                <w:iCs/>
                <w:sz w:val="24"/>
                <w:szCs w:val="24"/>
              </w:rPr>
              <w:tab/>
            </w:r>
            <w:r w:rsidRPr="00242BF1">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242BF1" w:rsidRDefault="00943BD1" w:rsidP="00E162A6">
            <w:pPr>
              <w:pStyle w:val="SchdLevel2"/>
              <w:spacing w:before="120" w:after="120" w:line="240" w:lineRule="auto"/>
              <w:ind w:left="1702" w:hanging="851"/>
              <w:jc w:val="left"/>
              <w:rPr>
                <w:rFonts w:cs="Arial"/>
                <w:iCs/>
                <w:sz w:val="24"/>
                <w:szCs w:val="24"/>
              </w:rPr>
            </w:pPr>
            <w:r w:rsidRPr="00242BF1">
              <w:rPr>
                <w:rFonts w:cs="Arial"/>
                <w:iCs/>
                <w:sz w:val="24"/>
                <w:szCs w:val="24"/>
              </w:rPr>
              <w:t>(a)</w:t>
            </w:r>
            <w:r w:rsidR="00175EAD" w:rsidRPr="00242BF1">
              <w:rPr>
                <w:rFonts w:cs="Arial"/>
                <w:iCs/>
                <w:sz w:val="24"/>
                <w:szCs w:val="24"/>
              </w:rPr>
              <w:tab/>
            </w:r>
            <w:r w:rsidRPr="00242BF1">
              <w:rPr>
                <w:rFonts w:cs="Arial"/>
                <w:iCs/>
                <w:sz w:val="24"/>
                <w:szCs w:val="24"/>
              </w:rPr>
              <w:t>the Supplier shall notify the Authority as soon as reasonably practicable after it becomes aware of this; and</w:t>
            </w:r>
          </w:p>
          <w:p w14:paraId="7972E5D4" w14:textId="61FE16F8" w:rsidR="005601CC" w:rsidRPr="00242BF1" w:rsidRDefault="00943BD1" w:rsidP="00E162A6">
            <w:pPr>
              <w:pStyle w:val="SchdLevel2"/>
              <w:spacing w:before="120" w:after="120" w:line="240" w:lineRule="auto"/>
              <w:ind w:left="1702" w:hanging="851"/>
              <w:jc w:val="left"/>
              <w:rPr>
                <w:rFonts w:cs="Arial"/>
                <w:i/>
                <w:sz w:val="24"/>
                <w:szCs w:val="24"/>
              </w:rPr>
            </w:pPr>
            <w:r w:rsidRPr="00242BF1">
              <w:rPr>
                <w:rFonts w:cs="Arial"/>
                <w:iCs/>
                <w:sz w:val="24"/>
                <w:szCs w:val="24"/>
              </w:rPr>
              <w:lastRenderedPageBreak/>
              <w:t>(b)</w:t>
            </w:r>
            <w:r w:rsidR="00175EAD" w:rsidRPr="00242BF1">
              <w:rPr>
                <w:rFonts w:cs="Arial"/>
                <w:iCs/>
                <w:sz w:val="24"/>
                <w:szCs w:val="24"/>
              </w:rPr>
              <w:tab/>
            </w:r>
            <w:r w:rsidRPr="00242BF1">
              <w:rPr>
                <w:rFonts w:cs="Arial"/>
                <w:iCs/>
                <w:sz w:val="24"/>
                <w:szCs w:val="24"/>
              </w:rPr>
              <w:t>the Authority may, in its absolute discretion, require the Supplier: (</w:t>
            </w:r>
            <w:proofErr w:type="spellStart"/>
            <w:r w:rsidRPr="00242BF1">
              <w:rPr>
                <w:rFonts w:cs="Arial"/>
                <w:iCs/>
                <w:sz w:val="24"/>
                <w:szCs w:val="24"/>
              </w:rPr>
              <w:t>i</w:t>
            </w:r>
            <w:proofErr w:type="spellEnd"/>
            <w:r w:rsidRPr="00242BF1">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242BF1" w:rsidRDefault="00DF115B" w:rsidP="00E162A6">
      <w:pPr>
        <w:rPr>
          <w:b/>
          <w:bCs/>
          <w:u w:val="single"/>
        </w:rPr>
      </w:pPr>
    </w:p>
    <w:p w14:paraId="7F6E8EBD" w14:textId="6111B48D" w:rsidR="00E80FFE" w:rsidRPr="00242BF1" w:rsidRDefault="00E80FFE" w:rsidP="00E162A6">
      <w:pPr>
        <w:spacing w:after="160"/>
        <w:rPr>
          <w:b/>
          <w:u w:val="single"/>
        </w:rPr>
      </w:pPr>
      <w:r w:rsidRPr="00242BF1">
        <w:rPr>
          <w:b/>
          <w:u w:val="single"/>
        </w:rPr>
        <w:br w:type="page"/>
      </w:r>
    </w:p>
    <w:p w14:paraId="6AF2CD65" w14:textId="4EAAC4F9" w:rsidR="00E80FFE" w:rsidRPr="00242BF1" w:rsidRDefault="00E80FFE" w:rsidP="00E162A6">
      <w:pPr>
        <w:rPr>
          <w:b/>
          <w:bCs/>
          <w:u w:val="single"/>
        </w:rPr>
      </w:pPr>
      <w:r w:rsidRPr="00242BF1">
        <w:rPr>
          <w:b/>
          <w:bCs/>
          <w:u w:val="single"/>
        </w:rPr>
        <w:lastRenderedPageBreak/>
        <w:t xml:space="preserve">Appendix </w:t>
      </w:r>
      <w:r w:rsidR="00F46BE2" w:rsidRPr="00242BF1">
        <w:rPr>
          <w:b/>
          <w:bCs/>
          <w:u w:val="single"/>
        </w:rPr>
        <w:t>2</w:t>
      </w:r>
      <w:r w:rsidRPr="00242BF1">
        <w:rPr>
          <w:b/>
          <w:bCs/>
          <w:u w:val="single"/>
        </w:rPr>
        <w:t xml:space="preserve">: </w:t>
      </w:r>
      <w:r w:rsidR="00F46BE2" w:rsidRPr="00242BF1">
        <w:rPr>
          <w:b/>
          <w:bCs/>
          <w:u w:val="single"/>
        </w:rPr>
        <w:t>Specification</w:t>
      </w:r>
      <w:r w:rsidRPr="00242BF1">
        <w:rPr>
          <w:b/>
          <w:bCs/>
          <w:u w:val="single"/>
        </w:rPr>
        <w:t xml:space="preserve"> provisions modified by </w:t>
      </w:r>
      <w:r w:rsidR="0017303F" w:rsidRPr="00242BF1">
        <w:rPr>
          <w:b/>
          <w:bCs/>
          <w:u w:val="single"/>
        </w:rPr>
        <w:t>5a-116-A10</w:t>
      </w:r>
    </w:p>
    <w:p w14:paraId="7FBE851D" w14:textId="77777777" w:rsidR="00E80FFE" w:rsidRPr="00242BF1"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242BF1"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242BF1" w:rsidRDefault="00F46BE2" w:rsidP="00E162A6">
            <w:pPr>
              <w:rPr>
                <w:b/>
                <w:u w:val="single"/>
              </w:rPr>
            </w:pPr>
            <w:r w:rsidRPr="00242BF1">
              <w:rPr>
                <w:b/>
              </w:rPr>
              <w:t xml:space="preserve">Specification </w:t>
            </w:r>
            <w:r w:rsidR="00E80FFE" w:rsidRPr="00242BF1">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242BF1" w:rsidRDefault="00E80FFE" w:rsidP="00E162A6">
            <w:pPr>
              <w:rPr>
                <w:b/>
              </w:rPr>
            </w:pPr>
            <w:r w:rsidRPr="00242BF1">
              <w:rPr>
                <w:b/>
              </w:rPr>
              <w:t>Modification</w:t>
            </w:r>
          </w:p>
        </w:tc>
      </w:tr>
      <w:tr w:rsidR="00E80FFE" w:rsidRPr="00242BF1" w14:paraId="24791CCD" w14:textId="77777777" w:rsidTr="00631EC2">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Pr="00242BF1" w:rsidRDefault="000668D0" w:rsidP="00E162A6">
            <w:pPr>
              <w:rPr>
                <w:bCs/>
              </w:rPr>
            </w:pPr>
            <w:r w:rsidRPr="00242BF1">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242BF1" w:rsidRDefault="00E6698E" w:rsidP="00E162A6">
            <w:pPr>
              <w:pStyle w:val="paragraph"/>
              <w:spacing w:before="0" w:beforeAutospacing="0" w:after="0" w:afterAutospacing="0"/>
              <w:textAlignment w:val="baseline"/>
              <w:rPr>
                <w:rFonts w:ascii="Arial" w:hAnsi="Arial" w:cs="Arial"/>
              </w:rPr>
            </w:pPr>
            <w:r w:rsidRPr="00242BF1">
              <w:rPr>
                <w:rStyle w:val="normaltextrun"/>
                <w:rFonts w:ascii="Arial" w:hAnsi="Arial" w:cs="Arial"/>
                <w:i/>
                <w:iCs/>
              </w:rPr>
              <w:t>Existing paragraph 1.25 shall be replaced with the following:</w:t>
            </w:r>
            <w:r w:rsidRPr="00242BF1">
              <w:rPr>
                <w:rStyle w:val="eop"/>
                <w:rFonts w:ascii="Arial" w:hAnsi="Arial" w:cs="Arial"/>
              </w:rPr>
              <w:t> </w:t>
            </w:r>
          </w:p>
          <w:p w14:paraId="6C711D25" w14:textId="77777777" w:rsidR="00E6698E" w:rsidRPr="00242BF1" w:rsidRDefault="00E6698E" w:rsidP="00E162A6">
            <w:pPr>
              <w:pStyle w:val="paragraph"/>
              <w:spacing w:before="0" w:beforeAutospacing="0" w:after="0" w:afterAutospacing="0"/>
              <w:textAlignment w:val="baseline"/>
              <w:rPr>
                <w:rFonts w:ascii="Arial" w:hAnsi="Arial" w:cs="Arial"/>
              </w:rPr>
            </w:pPr>
            <w:r w:rsidRPr="00242BF1">
              <w:rPr>
                <w:rStyle w:val="eop"/>
                <w:rFonts w:ascii="Arial" w:hAnsi="Arial" w:cs="Arial"/>
              </w:rPr>
              <w:t> </w:t>
            </w:r>
          </w:p>
          <w:p w14:paraId="4A77F732" w14:textId="77777777" w:rsidR="00E6698E" w:rsidRPr="00242BF1" w:rsidRDefault="00E6698E" w:rsidP="00E162A6">
            <w:pPr>
              <w:pStyle w:val="paragraph"/>
              <w:spacing w:before="0" w:beforeAutospacing="0" w:after="0" w:afterAutospacing="0"/>
              <w:textAlignment w:val="baseline"/>
              <w:rPr>
                <w:rStyle w:val="eop"/>
                <w:rFonts w:ascii="Arial" w:hAnsi="Arial" w:cs="Arial"/>
              </w:rPr>
            </w:pPr>
            <w:r w:rsidRPr="00242BF1">
              <w:rPr>
                <w:rStyle w:val="normaltextrun"/>
                <w:rFonts w:ascii="Arial" w:hAnsi="Arial" w:cs="Arial"/>
              </w:rPr>
              <w:t>There will be two distinct elements to the Restart payment model:</w:t>
            </w:r>
            <w:r w:rsidRPr="00242BF1">
              <w:rPr>
                <w:rStyle w:val="eop"/>
                <w:rFonts w:ascii="Arial" w:hAnsi="Arial" w:cs="Arial"/>
              </w:rPr>
              <w:t> </w:t>
            </w:r>
          </w:p>
          <w:p w14:paraId="77532296" w14:textId="77777777" w:rsidR="00E6698E" w:rsidRPr="00242BF1" w:rsidRDefault="00E6698E" w:rsidP="00E162A6">
            <w:pPr>
              <w:pStyle w:val="paragraph"/>
              <w:numPr>
                <w:ilvl w:val="0"/>
                <w:numId w:val="16"/>
              </w:numPr>
              <w:spacing w:before="0" w:beforeAutospacing="0" w:after="0" w:afterAutospacing="0"/>
              <w:textAlignment w:val="baseline"/>
              <w:rPr>
                <w:rFonts w:ascii="Arial" w:hAnsi="Arial" w:cs="Arial"/>
              </w:rPr>
            </w:pPr>
            <w:r w:rsidRPr="00242BF1">
              <w:rPr>
                <w:rFonts w:ascii="Arial" w:hAnsi="Arial" w:cs="Arial"/>
              </w:rPr>
              <w:t>Delivery Fee:</w:t>
            </w:r>
          </w:p>
          <w:p w14:paraId="46722819" w14:textId="4B62C423" w:rsidR="00E80FFE" w:rsidRPr="00242BF1" w:rsidRDefault="00E6698E" w:rsidP="00E162A6">
            <w:pPr>
              <w:pStyle w:val="paragraph"/>
              <w:numPr>
                <w:ilvl w:val="0"/>
                <w:numId w:val="16"/>
              </w:numPr>
              <w:spacing w:before="0" w:beforeAutospacing="0" w:after="0" w:afterAutospacing="0"/>
              <w:textAlignment w:val="baseline"/>
              <w:rPr>
                <w:rFonts w:cs="Arial"/>
                <w:iCs/>
              </w:rPr>
            </w:pPr>
            <w:r w:rsidRPr="00242BF1">
              <w:rPr>
                <w:rFonts w:ascii="Arial" w:hAnsi="Arial" w:cs="Arial"/>
              </w:rPr>
              <w:t>Outcome Payment</w:t>
            </w:r>
          </w:p>
        </w:tc>
      </w:tr>
      <w:tr w:rsidR="00440C93" w:rsidRPr="00242BF1"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242BF1" w:rsidRDefault="0093382B" w:rsidP="00E162A6">
            <w:pPr>
              <w:rPr>
                <w:bCs/>
              </w:rPr>
            </w:pPr>
            <w:r w:rsidRPr="00242BF1">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242BF1" w:rsidRDefault="00851E13" w:rsidP="00E162A6">
            <w:pPr>
              <w:rPr>
                <w:bCs/>
                <w:i/>
                <w:iCs/>
              </w:rPr>
            </w:pPr>
            <w:r w:rsidRPr="00242BF1">
              <w:rPr>
                <w:bCs/>
                <w:i/>
                <w:iCs/>
              </w:rPr>
              <w:t>Existing paragraph 2.2 shall be replaced with the following:</w:t>
            </w:r>
          </w:p>
          <w:p w14:paraId="1CC7E2D0" w14:textId="77777777" w:rsidR="00851E13" w:rsidRPr="00242BF1" w:rsidRDefault="00851E13" w:rsidP="00E162A6">
            <w:pPr>
              <w:rPr>
                <w:bCs/>
                <w:i/>
                <w:iCs/>
              </w:rPr>
            </w:pPr>
          </w:p>
          <w:p w14:paraId="6872EDB6" w14:textId="3B54FE35" w:rsidR="00440C93" w:rsidRPr="00242BF1" w:rsidRDefault="00851E13" w:rsidP="00E162A6">
            <w:pPr>
              <w:pStyle w:val="SchdLevel2"/>
              <w:spacing w:after="0" w:line="240" w:lineRule="auto"/>
              <w:ind w:left="0" w:firstLine="0"/>
              <w:jc w:val="left"/>
              <w:rPr>
                <w:rFonts w:cs="Arial"/>
                <w:iCs/>
                <w:sz w:val="24"/>
                <w:szCs w:val="24"/>
              </w:rPr>
            </w:pPr>
            <w:r w:rsidRPr="00242BF1">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242BF1"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242BF1"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242BF1" w:rsidRDefault="00C141C1" w:rsidP="00E162A6">
            <w:pPr>
              <w:rPr>
                <w:bCs/>
              </w:rPr>
            </w:pPr>
            <w:r w:rsidRPr="00242BF1">
              <w:rPr>
                <w:bCs/>
                <w:i/>
                <w:iCs/>
              </w:rPr>
              <w:t>Existing paragraph 2.3 shall be replaced with the following:</w:t>
            </w:r>
          </w:p>
          <w:p w14:paraId="4366E839" w14:textId="77777777" w:rsidR="00C141C1" w:rsidRPr="00242BF1" w:rsidRDefault="00C141C1" w:rsidP="00E162A6">
            <w:pPr>
              <w:rPr>
                <w:bCs/>
              </w:rPr>
            </w:pPr>
          </w:p>
          <w:p w14:paraId="5DE7B589" w14:textId="77777777" w:rsidR="00C141C1" w:rsidRPr="00242BF1" w:rsidRDefault="00C141C1" w:rsidP="00E162A6">
            <w:pPr>
              <w:pageBreakBefore/>
              <w:rPr>
                <w:bCs/>
              </w:rPr>
            </w:pPr>
            <w:r w:rsidRPr="00242BF1">
              <w:rPr>
                <w:bCs/>
              </w:rPr>
              <w:t>To be eligible to be referred to Restart the claimant must:</w:t>
            </w:r>
          </w:p>
          <w:p w14:paraId="1D2C3904"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have zero PAYE earnings in the most recent Assessment Period,</w:t>
            </w:r>
          </w:p>
          <w:p w14:paraId="7DAA92AA"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not be deemed Gainfully Self-Employed,</w:t>
            </w:r>
          </w:p>
          <w:p w14:paraId="13C97547"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have the right to work in the UK,</w:t>
            </w:r>
          </w:p>
          <w:p w14:paraId="32A4DF77"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reside in England or Wales,</w:t>
            </w:r>
          </w:p>
          <w:p w14:paraId="7A1D9452"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be of working age (16* to State Pension age),</w:t>
            </w:r>
          </w:p>
          <w:p w14:paraId="5BD0018D"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not be currently participating in another DWP Contracted Employment Provision,</w:t>
            </w:r>
          </w:p>
          <w:p w14:paraId="55D8707D" w14:textId="77777777" w:rsidR="00C141C1" w:rsidRPr="00242BF1" w:rsidRDefault="00C141C1" w:rsidP="00E162A6">
            <w:pPr>
              <w:pStyle w:val="ListParagraph"/>
              <w:numPr>
                <w:ilvl w:val="0"/>
                <w:numId w:val="17"/>
              </w:numPr>
              <w:spacing w:before="0" w:after="0" w:line="240" w:lineRule="auto"/>
              <w:ind w:left="1135" w:hanging="851"/>
              <w:contextualSpacing/>
              <w:rPr>
                <w:rFonts w:ascii="Arial" w:hAnsi="Arial" w:cs="Arial"/>
                <w:bCs/>
              </w:rPr>
            </w:pPr>
            <w:r w:rsidRPr="00242BF1">
              <w:rPr>
                <w:rFonts w:ascii="Arial" w:hAnsi="Arial" w:cs="Arial"/>
                <w:bCs/>
              </w:rPr>
              <w:t>not have previously exited early from or completed Restart, and</w:t>
            </w:r>
          </w:p>
          <w:p w14:paraId="6B604552" w14:textId="77777777" w:rsidR="00C141C1" w:rsidRPr="00242BF1" w:rsidRDefault="00C141C1" w:rsidP="00E162A6">
            <w:pPr>
              <w:pStyle w:val="ListParagraph"/>
              <w:numPr>
                <w:ilvl w:val="0"/>
                <w:numId w:val="17"/>
              </w:numPr>
              <w:spacing w:before="0" w:after="0" w:line="240" w:lineRule="auto"/>
              <w:contextualSpacing/>
              <w:rPr>
                <w:rFonts w:ascii="Arial" w:hAnsi="Arial" w:cs="Arial"/>
                <w:bCs/>
              </w:rPr>
            </w:pPr>
            <w:r w:rsidRPr="00242BF1">
              <w:rPr>
                <w:rFonts w:ascii="Arial" w:hAnsi="Arial" w:cs="Arial"/>
                <w:bCs/>
              </w:rPr>
              <w:t>not currently participating in Universal Support.</w:t>
            </w:r>
          </w:p>
          <w:p w14:paraId="675059CA" w14:textId="77777777" w:rsidR="00C141C1" w:rsidRPr="00242BF1" w:rsidRDefault="00C141C1" w:rsidP="00E162A6">
            <w:pPr>
              <w:rPr>
                <w:bCs/>
              </w:rPr>
            </w:pPr>
          </w:p>
          <w:p w14:paraId="275E8D26" w14:textId="10919618" w:rsidR="00440C93" w:rsidRPr="00242BF1" w:rsidRDefault="00C141C1" w:rsidP="00E162A6">
            <w:pPr>
              <w:pStyle w:val="SchdLevel2"/>
              <w:spacing w:after="0" w:line="240" w:lineRule="auto"/>
              <w:ind w:left="0" w:firstLine="0"/>
              <w:jc w:val="left"/>
              <w:rPr>
                <w:rFonts w:cs="Arial"/>
                <w:iCs/>
                <w:sz w:val="24"/>
                <w:szCs w:val="24"/>
              </w:rPr>
            </w:pPr>
            <w:r w:rsidRPr="00242BF1">
              <w:rPr>
                <w:rFonts w:cs="Arial"/>
                <w:b/>
                <w:sz w:val="24"/>
                <w:szCs w:val="24"/>
              </w:rPr>
              <w:t>*Note:</w:t>
            </w:r>
            <w:r w:rsidRPr="00242BF1">
              <w:rPr>
                <w:rFonts w:cs="Arial"/>
                <w:bCs/>
                <w:sz w:val="24"/>
                <w:szCs w:val="24"/>
              </w:rPr>
              <w:t xml:space="preserve"> For Restart in England and Wales, “working age” is defined as starting from 16 years of age. However, in England </w:t>
            </w:r>
            <w:proofErr w:type="gramStart"/>
            <w:r w:rsidRPr="00242BF1">
              <w:rPr>
                <w:rFonts w:cs="Arial"/>
                <w:bCs/>
                <w:sz w:val="24"/>
                <w:szCs w:val="24"/>
              </w:rPr>
              <w:t>16 to 17 year olds</w:t>
            </w:r>
            <w:proofErr w:type="gramEnd"/>
            <w:r w:rsidRPr="00242BF1">
              <w:rPr>
                <w:rFonts w:cs="Arial"/>
                <w:bCs/>
                <w:sz w:val="24"/>
                <w:szCs w:val="24"/>
              </w:rPr>
              <w:t xml:space="preserve"> who are not in work are required to stay in education or training, so whilst 16-17 year olds can access Restart in Wales, in England they cannot. </w:t>
            </w:r>
            <w:proofErr w:type="gramStart"/>
            <w:r w:rsidRPr="00242BF1">
              <w:rPr>
                <w:rFonts w:cs="Arial"/>
                <w:bCs/>
                <w:sz w:val="24"/>
                <w:szCs w:val="24"/>
              </w:rPr>
              <w:t>18 year olds</w:t>
            </w:r>
            <w:proofErr w:type="gramEnd"/>
            <w:r w:rsidRPr="00242BF1">
              <w:rPr>
                <w:rFonts w:cs="Arial"/>
                <w:bCs/>
                <w:sz w:val="24"/>
                <w:szCs w:val="24"/>
              </w:rPr>
              <w:t xml:space="preserve"> can apply if they are both eligible and </w:t>
            </w:r>
            <w:r w:rsidRPr="00242BF1">
              <w:rPr>
                <w:rFonts w:cs="Arial"/>
                <w:bCs/>
                <w:sz w:val="24"/>
                <w:szCs w:val="24"/>
              </w:rPr>
              <w:lastRenderedPageBreak/>
              <w:t>suitable for Restart. The programme will not operate in Scotland or Northern Ireland which will receive consequential funding.</w:t>
            </w:r>
          </w:p>
        </w:tc>
      </w:tr>
      <w:tr w:rsidR="00440C93" w:rsidRPr="00242BF1"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242BF1"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242BF1" w:rsidRDefault="00C769EB" w:rsidP="00E162A6">
            <w:pPr>
              <w:pStyle w:val="SchdLevel2"/>
              <w:spacing w:after="0" w:line="240" w:lineRule="auto"/>
              <w:ind w:left="0" w:firstLine="0"/>
              <w:jc w:val="left"/>
              <w:rPr>
                <w:rFonts w:cs="Arial"/>
                <w:i/>
                <w:sz w:val="24"/>
                <w:szCs w:val="24"/>
              </w:rPr>
            </w:pPr>
            <w:r w:rsidRPr="00242BF1">
              <w:rPr>
                <w:rFonts w:cs="Arial"/>
                <w:i/>
                <w:sz w:val="24"/>
                <w:szCs w:val="24"/>
              </w:rPr>
              <w:t>Existing paragraph 2.80 and the preceding heading “Engaging with Jobcentre Plus” shall be replaced with the following:</w:t>
            </w:r>
          </w:p>
          <w:p w14:paraId="495BD729" w14:textId="77777777" w:rsidR="00C769EB" w:rsidRPr="00242BF1" w:rsidRDefault="00C769EB" w:rsidP="00E162A6">
            <w:pPr>
              <w:pStyle w:val="SchdLevel2"/>
              <w:spacing w:after="0" w:line="240" w:lineRule="auto"/>
              <w:ind w:left="0" w:firstLine="0"/>
              <w:jc w:val="left"/>
              <w:rPr>
                <w:rFonts w:cs="Arial"/>
                <w:i/>
                <w:sz w:val="24"/>
                <w:szCs w:val="24"/>
              </w:rPr>
            </w:pPr>
          </w:p>
          <w:p w14:paraId="635A1E74" w14:textId="77777777" w:rsidR="00C769EB" w:rsidRPr="00242BF1" w:rsidRDefault="00C769EB" w:rsidP="00601F6B">
            <w:pPr>
              <w:pStyle w:val="SchdLevel2"/>
              <w:spacing w:before="240" w:line="240" w:lineRule="auto"/>
              <w:ind w:left="0" w:firstLine="0"/>
              <w:jc w:val="left"/>
              <w:rPr>
                <w:rFonts w:cs="Arial"/>
                <w:b/>
                <w:bCs/>
                <w:iCs/>
                <w:sz w:val="28"/>
                <w:szCs w:val="28"/>
              </w:rPr>
            </w:pPr>
            <w:r w:rsidRPr="00242BF1">
              <w:rPr>
                <w:rFonts w:cs="Arial"/>
                <w:b/>
                <w:bCs/>
                <w:iCs/>
                <w:sz w:val="28"/>
                <w:szCs w:val="28"/>
              </w:rPr>
              <w:t>Local engagement</w:t>
            </w:r>
          </w:p>
          <w:p w14:paraId="134F2AD3" w14:textId="77777777" w:rsidR="00C769EB" w:rsidRPr="00242BF1" w:rsidRDefault="00C769EB" w:rsidP="00601F6B">
            <w:pPr>
              <w:pStyle w:val="SchdLevel2"/>
              <w:spacing w:before="240" w:line="240" w:lineRule="auto"/>
              <w:ind w:left="0" w:firstLine="0"/>
              <w:jc w:val="left"/>
              <w:rPr>
                <w:rFonts w:cs="Arial"/>
                <w:iCs/>
                <w:sz w:val="24"/>
                <w:szCs w:val="24"/>
              </w:rPr>
            </w:pPr>
            <w:r w:rsidRPr="00242BF1">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242BF1" w:rsidRDefault="00C769EB" w:rsidP="00601F6B">
            <w:pPr>
              <w:pStyle w:val="ListParagraph"/>
              <w:numPr>
                <w:ilvl w:val="0"/>
                <w:numId w:val="18"/>
              </w:numPr>
              <w:spacing w:before="240" w:after="240" w:line="240" w:lineRule="auto"/>
              <w:rPr>
                <w:rFonts w:ascii="Arial" w:hAnsi="Arial" w:cs="Arial"/>
                <w:bCs/>
              </w:rPr>
            </w:pPr>
            <w:r w:rsidRPr="00242BF1">
              <w:rPr>
                <w:rFonts w:ascii="Arial" w:hAnsi="Arial" w:cs="Arial"/>
                <w:bCs/>
              </w:rPr>
              <w:t xml:space="preserve">host or contribute to forums and meetings that facilitate collaboration and partnerships; and </w:t>
            </w:r>
          </w:p>
          <w:p w14:paraId="00C6590D" w14:textId="5FA97A20" w:rsidR="00C769EB" w:rsidRPr="00242BF1" w:rsidRDefault="00C769EB" w:rsidP="00601F6B">
            <w:pPr>
              <w:pStyle w:val="ListParagraph"/>
              <w:numPr>
                <w:ilvl w:val="0"/>
                <w:numId w:val="18"/>
              </w:numPr>
              <w:spacing w:before="240" w:after="240" w:line="240" w:lineRule="auto"/>
              <w:rPr>
                <w:rFonts w:ascii="Arial" w:hAnsi="Arial" w:cs="Arial"/>
                <w:iCs/>
              </w:rPr>
            </w:pPr>
            <w:r w:rsidRPr="00242BF1">
              <w:rPr>
                <w:rFonts w:ascii="Arial" w:hAnsi="Arial" w:cs="Arial"/>
                <w:bCs/>
              </w:rPr>
              <w:t>have a joined-up approach to engaging with, and managing the accounts of, national and large employers whose vacancies span multiple CPAs.</w:t>
            </w:r>
          </w:p>
          <w:p w14:paraId="17E926A8" w14:textId="5452F56E" w:rsidR="00440C93" w:rsidRPr="00242BF1" w:rsidRDefault="00C769EB" w:rsidP="00601F6B">
            <w:pPr>
              <w:pStyle w:val="SchdLevel2"/>
              <w:spacing w:before="240" w:line="240" w:lineRule="auto"/>
              <w:ind w:left="0" w:firstLine="0"/>
              <w:jc w:val="left"/>
              <w:rPr>
                <w:rFonts w:cs="Arial"/>
                <w:iCs/>
                <w:sz w:val="24"/>
                <w:szCs w:val="24"/>
              </w:rPr>
            </w:pPr>
            <w:r w:rsidRPr="00242BF1">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242BF1"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242BF1"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242BF1" w:rsidRDefault="00547571" w:rsidP="00E162A6">
            <w:pPr>
              <w:pStyle w:val="SchdLevel2"/>
              <w:spacing w:after="0" w:line="240" w:lineRule="auto"/>
              <w:ind w:left="0" w:firstLine="0"/>
              <w:jc w:val="left"/>
              <w:rPr>
                <w:rFonts w:cs="Arial"/>
                <w:i/>
                <w:sz w:val="24"/>
                <w:szCs w:val="24"/>
              </w:rPr>
            </w:pPr>
            <w:r w:rsidRPr="00242BF1">
              <w:rPr>
                <w:rFonts w:cs="Arial"/>
                <w:i/>
                <w:sz w:val="24"/>
                <w:szCs w:val="24"/>
              </w:rPr>
              <w:t>New paragraphs 2.139A to 2.139J, with preceding heading “Completer Summary” shall be added as follows:</w:t>
            </w:r>
          </w:p>
          <w:p w14:paraId="427BE9A2" w14:textId="77777777" w:rsidR="00547571" w:rsidRPr="00242BF1" w:rsidRDefault="00547571" w:rsidP="00E162A6">
            <w:pPr>
              <w:pStyle w:val="SchdLevel2"/>
              <w:spacing w:after="0" w:line="240" w:lineRule="auto"/>
              <w:ind w:left="0" w:firstLine="0"/>
              <w:jc w:val="left"/>
              <w:rPr>
                <w:rFonts w:cs="Arial"/>
                <w:i/>
                <w:sz w:val="24"/>
                <w:szCs w:val="24"/>
              </w:rPr>
            </w:pPr>
          </w:p>
          <w:p w14:paraId="26BEBE33" w14:textId="77777777" w:rsidR="00547571" w:rsidRPr="00242BF1" w:rsidRDefault="00547571" w:rsidP="00E162A6">
            <w:pPr>
              <w:pStyle w:val="SchdLevel2"/>
              <w:spacing w:after="0" w:line="240" w:lineRule="auto"/>
              <w:ind w:left="0" w:firstLine="0"/>
              <w:jc w:val="left"/>
              <w:rPr>
                <w:rFonts w:cs="Arial"/>
                <w:b/>
                <w:bCs/>
                <w:iCs/>
                <w:sz w:val="28"/>
                <w:szCs w:val="28"/>
              </w:rPr>
            </w:pPr>
            <w:r w:rsidRPr="00242BF1">
              <w:rPr>
                <w:rFonts w:cs="Arial"/>
                <w:b/>
                <w:bCs/>
                <w:iCs/>
                <w:sz w:val="28"/>
                <w:szCs w:val="28"/>
              </w:rPr>
              <w:t>Completer Summary</w:t>
            </w:r>
          </w:p>
          <w:p w14:paraId="7E9375E7" w14:textId="77777777" w:rsidR="00547571" w:rsidRPr="00242BF1" w:rsidRDefault="00547571" w:rsidP="00E162A6">
            <w:pPr>
              <w:pStyle w:val="SchdLevel2"/>
              <w:spacing w:after="0" w:line="240" w:lineRule="auto"/>
              <w:ind w:left="0" w:firstLine="0"/>
              <w:jc w:val="left"/>
              <w:rPr>
                <w:rFonts w:cs="Arial"/>
                <w:iCs/>
                <w:sz w:val="24"/>
                <w:szCs w:val="24"/>
              </w:rPr>
            </w:pPr>
          </w:p>
          <w:p w14:paraId="7A1F14C7" w14:textId="77777777" w:rsidR="00547571" w:rsidRPr="00242BF1" w:rsidRDefault="00547571" w:rsidP="00E162A6">
            <w:pPr>
              <w:ind w:left="1134" w:hanging="1134"/>
            </w:pPr>
            <w:r w:rsidRPr="00242BF1">
              <w:t>2.139A</w:t>
            </w:r>
            <w:r w:rsidRPr="00242BF1">
              <w:tab/>
              <w:t xml:space="preserve">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w:t>
            </w:r>
            <w:r w:rsidRPr="00242BF1">
              <w:lastRenderedPageBreak/>
              <w:t>used by Jobcentre Plus work coaches to decide the individual’s next steps as they move back to Jobcentre Plus following their time on provision.</w:t>
            </w:r>
          </w:p>
          <w:p w14:paraId="156D0BDC" w14:textId="77777777" w:rsidR="00547571" w:rsidRPr="00242BF1" w:rsidRDefault="00547571" w:rsidP="00E162A6">
            <w:pPr>
              <w:ind w:left="1134" w:hanging="1134"/>
            </w:pPr>
          </w:p>
          <w:p w14:paraId="136CAA40" w14:textId="77777777" w:rsidR="00547571" w:rsidRPr="00242BF1" w:rsidRDefault="00547571" w:rsidP="00E162A6">
            <w:pPr>
              <w:ind w:left="1134" w:hanging="1134"/>
              <w:rPr>
                <w:rFonts w:eastAsia="Arial"/>
              </w:rPr>
            </w:pPr>
            <w:r w:rsidRPr="00242BF1">
              <w:rPr>
                <w:rFonts w:eastAsia="Arial"/>
              </w:rPr>
              <w:t>2.139B</w:t>
            </w:r>
            <w:r w:rsidRPr="00242BF1">
              <w:rPr>
                <w:rFonts w:eastAsia="Arial"/>
              </w:rPr>
              <w:tab/>
              <w:t>The Completer Summary will be issued by the Provider to all Completers who complete Restart on or after 1 July 2024, excluding Participants who:</w:t>
            </w:r>
          </w:p>
          <w:p w14:paraId="4ACC1CFC" w14:textId="77777777" w:rsidR="00547571" w:rsidRPr="00242BF1" w:rsidRDefault="00547571" w:rsidP="00E162A6">
            <w:pPr>
              <w:pStyle w:val="ListParagraph"/>
              <w:numPr>
                <w:ilvl w:val="0"/>
                <w:numId w:val="19"/>
              </w:numPr>
              <w:spacing w:before="0" w:after="0" w:line="240" w:lineRule="auto"/>
              <w:ind w:left="1701"/>
              <w:contextualSpacing/>
              <w:rPr>
                <w:rFonts w:ascii="Arial" w:hAnsi="Arial" w:cs="Arial"/>
              </w:rPr>
            </w:pPr>
            <w:r w:rsidRPr="00242BF1">
              <w:rPr>
                <w:rFonts w:ascii="Arial" w:hAnsi="Arial" w:cs="Arial"/>
              </w:rPr>
              <w:t xml:space="preserve">have achieved an Employed Outcome or Self-Employed </w:t>
            </w:r>
            <w:proofErr w:type="gramStart"/>
            <w:r w:rsidRPr="00242BF1">
              <w:rPr>
                <w:rFonts w:ascii="Arial" w:hAnsi="Arial" w:cs="Arial"/>
              </w:rPr>
              <w:t>Outcome;</w:t>
            </w:r>
            <w:proofErr w:type="gramEnd"/>
          </w:p>
          <w:p w14:paraId="1380D12E" w14:textId="77777777" w:rsidR="00547571" w:rsidRPr="00242BF1" w:rsidRDefault="00547571" w:rsidP="00E162A6">
            <w:pPr>
              <w:pStyle w:val="ListParagraph"/>
              <w:numPr>
                <w:ilvl w:val="0"/>
                <w:numId w:val="19"/>
              </w:numPr>
              <w:spacing w:before="0" w:after="0" w:line="240" w:lineRule="auto"/>
              <w:ind w:left="1701"/>
              <w:contextualSpacing/>
              <w:rPr>
                <w:rFonts w:ascii="Arial" w:hAnsi="Arial" w:cs="Arial"/>
              </w:rPr>
            </w:pPr>
            <w:r w:rsidRPr="00242BF1">
              <w:rPr>
                <w:rFonts w:ascii="Arial" w:hAnsi="Arial" w:cs="Arial"/>
              </w:rPr>
              <w:t xml:space="preserve">are in PAYE employment (confirmed via </w:t>
            </w:r>
            <w:proofErr w:type="spellStart"/>
            <w:r w:rsidRPr="00242BF1">
              <w:rPr>
                <w:rFonts w:ascii="Arial" w:hAnsi="Arial" w:cs="Arial"/>
              </w:rPr>
              <w:t>PRaP</w:t>
            </w:r>
            <w:proofErr w:type="spellEnd"/>
            <w:r w:rsidRPr="00242BF1">
              <w:rPr>
                <w:rFonts w:ascii="Arial" w:hAnsi="Arial" w:cs="Arial"/>
              </w:rPr>
              <w:t xml:space="preserve"> ping notifications</w:t>
            </w:r>
            <w:proofErr w:type="gramStart"/>
            <w:r w:rsidRPr="00242BF1">
              <w:rPr>
                <w:rFonts w:ascii="Arial" w:hAnsi="Arial" w:cs="Arial"/>
              </w:rPr>
              <w:t>);</w:t>
            </w:r>
            <w:proofErr w:type="gramEnd"/>
          </w:p>
          <w:p w14:paraId="4FE59F30" w14:textId="77777777" w:rsidR="00547571" w:rsidRPr="00242BF1" w:rsidRDefault="00547571" w:rsidP="00E162A6">
            <w:pPr>
              <w:pStyle w:val="ListParagraph"/>
              <w:numPr>
                <w:ilvl w:val="0"/>
                <w:numId w:val="19"/>
              </w:numPr>
              <w:spacing w:before="0" w:after="0" w:line="240" w:lineRule="auto"/>
              <w:ind w:left="1701"/>
              <w:contextualSpacing/>
              <w:rPr>
                <w:rFonts w:ascii="Arial" w:hAnsi="Arial" w:cs="Arial"/>
              </w:rPr>
            </w:pPr>
            <w:r w:rsidRPr="00242BF1">
              <w:rPr>
                <w:rFonts w:ascii="Arial" w:hAnsi="Arial" w:cs="Arial"/>
              </w:rPr>
              <w:t>are in self-employment and declaring income on Universal Credit; or</w:t>
            </w:r>
          </w:p>
          <w:p w14:paraId="3718C73C" w14:textId="77777777" w:rsidR="00547571" w:rsidRPr="00242BF1" w:rsidRDefault="00547571" w:rsidP="00E162A6">
            <w:pPr>
              <w:pStyle w:val="ListParagraph"/>
              <w:numPr>
                <w:ilvl w:val="0"/>
                <w:numId w:val="19"/>
              </w:numPr>
              <w:spacing w:before="0" w:after="0" w:line="240" w:lineRule="auto"/>
              <w:ind w:left="1701"/>
              <w:contextualSpacing/>
              <w:rPr>
                <w:rFonts w:ascii="Arial" w:hAnsi="Arial" w:cs="Arial"/>
              </w:rPr>
            </w:pPr>
            <w:r w:rsidRPr="00242BF1">
              <w:rPr>
                <w:rFonts w:ascii="Arial" w:hAnsi="Arial" w:cs="Arial"/>
              </w:rPr>
              <w:t>are an Early Completer.</w:t>
            </w:r>
          </w:p>
          <w:p w14:paraId="4CA0179F" w14:textId="77777777" w:rsidR="00547571" w:rsidRPr="00242BF1" w:rsidRDefault="00547571" w:rsidP="00E162A6">
            <w:pPr>
              <w:ind w:left="1341"/>
            </w:pPr>
          </w:p>
          <w:p w14:paraId="34B70BE6" w14:textId="458F7E3E" w:rsidR="00547571" w:rsidRPr="00242BF1" w:rsidRDefault="00547571" w:rsidP="00E162A6">
            <w:pPr>
              <w:ind w:left="1134" w:hanging="1134"/>
            </w:pPr>
            <w:r w:rsidRPr="00242BF1">
              <w:t>2.139C</w:t>
            </w:r>
            <w:r w:rsidRPr="00242BF1">
              <w:tab/>
              <w:t>The Completer Summary should form part of the final Action Plan review with eligible Participants.  It must be issued prior to them ending their time on provision.</w:t>
            </w:r>
          </w:p>
          <w:p w14:paraId="6D5047ED" w14:textId="77777777" w:rsidR="00547571" w:rsidRPr="00242BF1" w:rsidRDefault="00547571" w:rsidP="00E162A6">
            <w:pPr>
              <w:ind w:left="1134" w:hanging="1134"/>
            </w:pPr>
          </w:p>
          <w:p w14:paraId="3BE432FA" w14:textId="77777777" w:rsidR="00547571" w:rsidRPr="00242BF1" w:rsidRDefault="00547571" w:rsidP="00E162A6">
            <w:pPr>
              <w:ind w:left="1134" w:hanging="1134"/>
            </w:pPr>
            <w:r w:rsidRPr="00242BF1">
              <w:t>2.139D</w:t>
            </w:r>
            <w:r w:rsidRPr="00242BF1">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242BF1" w:rsidRDefault="00361055" w:rsidP="00E162A6"/>
          <w:p w14:paraId="3545BE83" w14:textId="77777777" w:rsidR="00361055" w:rsidRPr="00242BF1" w:rsidRDefault="00361055" w:rsidP="00E162A6">
            <w:pPr>
              <w:ind w:left="1134" w:hanging="1134"/>
            </w:pPr>
            <w:r w:rsidRPr="00242BF1">
              <w:t>2.139E</w:t>
            </w:r>
            <w:r w:rsidRPr="00242BF1">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242BF1" w:rsidRDefault="00361055" w:rsidP="00E162A6">
            <w:pPr>
              <w:ind w:left="1134" w:hanging="1134"/>
            </w:pPr>
          </w:p>
          <w:p w14:paraId="583A6CE7" w14:textId="77777777" w:rsidR="00361055" w:rsidRPr="00242BF1" w:rsidRDefault="00361055" w:rsidP="00E162A6">
            <w:pPr>
              <w:ind w:left="1134" w:hanging="1134"/>
            </w:pPr>
            <w:r w:rsidRPr="00242BF1">
              <w:t>2.139F</w:t>
            </w:r>
            <w:r w:rsidRPr="00242BF1">
              <w:tab/>
              <w:t xml:space="preserve">As this will be an action carried out during the final Action Plan review, the same principles will apply whereby the overall discussion </w:t>
            </w:r>
            <w:r w:rsidRPr="00242BF1">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242BF1">
              <w:t>he Provider must inform the Participant that the Completer Summary will be requested by Jobcentre Plus and that it must be retained, even after leaving the Restart scheme.</w:t>
            </w:r>
          </w:p>
          <w:p w14:paraId="5470C537" w14:textId="77777777" w:rsidR="00361055" w:rsidRPr="00242BF1" w:rsidRDefault="00361055" w:rsidP="00E162A6">
            <w:pPr>
              <w:ind w:left="1134" w:hanging="1134"/>
              <w:rPr>
                <w:rFonts w:eastAsia="Arial"/>
              </w:rPr>
            </w:pPr>
          </w:p>
          <w:p w14:paraId="054AAD05" w14:textId="77777777" w:rsidR="00361055" w:rsidRPr="00242BF1" w:rsidRDefault="00361055" w:rsidP="00E162A6">
            <w:pPr>
              <w:ind w:left="1134" w:hanging="1134"/>
            </w:pPr>
            <w:r w:rsidRPr="00242BF1">
              <w:lastRenderedPageBreak/>
              <w:t>2.139G</w:t>
            </w:r>
            <w:r w:rsidRPr="00242BF1">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242BF1" w:rsidRDefault="00361055" w:rsidP="00E162A6">
            <w:pPr>
              <w:ind w:left="1134" w:hanging="1134"/>
            </w:pPr>
          </w:p>
          <w:p w14:paraId="4A2B4DA2" w14:textId="77777777" w:rsidR="00361055" w:rsidRPr="00242BF1" w:rsidRDefault="00361055" w:rsidP="00E162A6">
            <w:pPr>
              <w:ind w:left="1134" w:hanging="1134"/>
            </w:pPr>
            <w:r w:rsidRPr="00242BF1">
              <w:t>2.139H</w:t>
            </w:r>
            <w:r w:rsidRPr="00242BF1">
              <w:tab/>
              <w:t>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242BF1" w:rsidRDefault="00A27D45" w:rsidP="00E162A6"/>
          <w:p w14:paraId="6509359C" w14:textId="77777777" w:rsidR="00A27D45" w:rsidRPr="00242BF1" w:rsidRDefault="00A27D45" w:rsidP="00E162A6">
            <w:pPr>
              <w:ind w:left="1134" w:hanging="1134"/>
            </w:pPr>
            <w:r w:rsidRPr="00242BF1">
              <w:t>2.139I</w:t>
            </w:r>
            <w:r w:rsidRPr="00242BF1">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242BF1" w:rsidRDefault="00A27D45" w:rsidP="00E162A6">
            <w:pPr>
              <w:ind w:left="1134" w:hanging="1134"/>
            </w:pPr>
          </w:p>
          <w:p w14:paraId="03947E84" w14:textId="77777777" w:rsidR="00A27D45" w:rsidRPr="00242BF1" w:rsidRDefault="00A27D45" w:rsidP="00E162A6">
            <w:pPr>
              <w:ind w:left="1134" w:hanging="1134"/>
            </w:pPr>
            <w:r w:rsidRPr="00242BF1">
              <w:t>2.139J</w:t>
            </w:r>
            <w:r w:rsidRPr="00242BF1">
              <w:tab/>
              <w:t>The table below is the approved Completer Summary to be used by the Provider in complying with the requirements above:</w:t>
            </w:r>
          </w:p>
          <w:p w14:paraId="3E294F6F" w14:textId="77777777" w:rsidR="00D629AF" w:rsidRPr="00242BF1"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242BF1"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b/>
                      <w:bCs/>
                      <w:color w:val="000000"/>
                      <w:lang w:eastAsia="en-GB"/>
                    </w:rPr>
                    <w:t>Provider Response</w:t>
                  </w:r>
                </w:p>
              </w:tc>
            </w:tr>
            <w:tr w:rsidR="00D629AF" w:rsidRPr="00242BF1"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YES/NO</w:t>
                  </w:r>
                </w:p>
              </w:tc>
            </w:tr>
            <w:tr w:rsidR="00D629AF" w:rsidRPr="00242BF1"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YES/NO</w:t>
                  </w:r>
                </w:p>
              </w:tc>
            </w:tr>
            <w:tr w:rsidR="00D629AF" w:rsidRPr="00242BF1"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Please specify.</w:t>
                  </w:r>
                </w:p>
                <w:p w14:paraId="357605E0" w14:textId="77777777" w:rsidR="00D629AF" w:rsidRPr="00242BF1" w:rsidRDefault="00D629AF" w:rsidP="00E162A6">
                  <w:pPr>
                    <w:spacing w:before="40" w:after="40"/>
                    <w:ind w:left="120"/>
                    <w:textAlignment w:val="baseline"/>
                    <w:rPr>
                      <w:rFonts w:ascii="Segoe UI" w:hAnsi="Segoe UI" w:cs="Segoe UI"/>
                      <w:sz w:val="18"/>
                      <w:szCs w:val="18"/>
                      <w:lang w:eastAsia="en-GB"/>
                    </w:rPr>
                  </w:pPr>
                </w:p>
              </w:tc>
            </w:tr>
            <w:tr w:rsidR="00D629AF" w:rsidRPr="00242BF1"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lastRenderedPageBreak/>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4a: Add job application type(s)</w:t>
                  </w:r>
                </w:p>
                <w:p w14:paraId="0341C446" w14:textId="77777777" w:rsidR="00D629AF" w:rsidRPr="00242BF1"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4b: Add sector(s)</w:t>
                  </w:r>
                </w:p>
              </w:tc>
            </w:tr>
            <w:tr w:rsidR="00D629AF" w:rsidRPr="00242BF1"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Please specify.</w:t>
                  </w:r>
                </w:p>
              </w:tc>
            </w:tr>
            <w:tr w:rsidR="00D629AF" w:rsidRPr="00242BF1"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1.</w:t>
                  </w:r>
                </w:p>
              </w:tc>
            </w:tr>
            <w:tr w:rsidR="00D629AF" w:rsidRPr="00242BF1"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242BF1"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2.</w:t>
                  </w:r>
                </w:p>
              </w:tc>
            </w:tr>
            <w:tr w:rsidR="00D629AF" w:rsidRPr="00242BF1"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242BF1"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val="en-US" w:eastAsia="en-GB"/>
                    </w:rPr>
                    <w:t>3.</w:t>
                  </w:r>
                </w:p>
              </w:tc>
            </w:tr>
            <w:tr w:rsidR="00D629AF" w:rsidRPr="00242BF1"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lang w:eastAsia="en-GB"/>
                    </w:rPr>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Please specify.</w:t>
                  </w:r>
                </w:p>
              </w:tc>
            </w:tr>
            <w:tr w:rsidR="00D629AF" w:rsidRPr="00242BF1"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242BF1" w:rsidRDefault="00D629AF" w:rsidP="00E162A6">
                  <w:pPr>
                    <w:spacing w:before="40" w:after="40"/>
                    <w:ind w:left="120"/>
                    <w:textAlignment w:val="baseline"/>
                    <w:rPr>
                      <w:rFonts w:ascii="Segoe UI" w:hAnsi="Segoe UI" w:cs="Segoe UI"/>
                      <w:sz w:val="18"/>
                      <w:szCs w:val="18"/>
                      <w:lang w:eastAsia="en-GB"/>
                    </w:rPr>
                  </w:pPr>
                  <w:r w:rsidRPr="00242BF1">
                    <w:rPr>
                      <w:color w:val="000000"/>
                      <w:lang w:eastAsia="en-GB"/>
                    </w:rPr>
                    <w:t>Please specify.</w:t>
                  </w:r>
                </w:p>
              </w:tc>
            </w:tr>
          </w:tbl>
          <w:p w14:paraId="74DBDFBC" w14:textId="77777777" w:rsidR="00440C93" w:rsidRPr="00242BF1" w:rsidRDefault="00440C93" w:rsidP="00E162A6">
            <w:pPr>
              <w:pStyle w:val="SchdLevel2"/>
              <w:spacing w:after="0" w:line="240" w:lineRule="auto"/>
              <w:ind w:left="0" w:firstLine="0"/>
              <w:jc w:val="left"/>
              <w:rPr>
                <w:rFonts w:cs="Arial"/>
                <w:iCs/>
                <w:sz w:val="24"/>
                <w:szCs w:val="24"/>
              </w:rPr>
            </w:pPr>
          </w:p>
        </w:tc>
      </w:tr>
      <w:tr w:rsidR="00440C93" w:rsidRPr="00242BF1"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242BF1"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Pr="00242BF1" w:rsidRDefault="00357CCF" w:rsidP="00E162A6">
            <w:pPr>
              <w:rPr>
                <w:bCs/>
                <w:i/>
                <w:iCs/>
              </w:rPr>
            </w:pPr>
            <w:r w:rsidRPr="00242BF1">
              <w:rPr>
                <w:bCs/>
                <w:i/>
                <w:iCs/>
              </w:rPr>
              <w:t>The second bullet point in existing paragraph 2.168 shall be replaced with the following:</w:t>
            </w:r>
          </w:p>
          <w:p w14:paraId="6328C74C" w14:textId="77777777" w:rsidR="00357CCF" w:rsidRPr="00242BF1" w:rsidRDefault="00357CCF" w:rsidP="00E162A6">
            <w:pPr>
              <w:rPr>
                <w:bCs/>
                <w:i/>
                <w:iCs/>
              </w:rPr>
            </w:pPr>
          </w:p>
          <w:p w14:paraId="4CFC8435" w14:textId="2E72A0CD" w:rsidR="00440C93" w:rsidRPr="00242BF1" w:rsidRDefault="00357CCF" w:rsidP="00E162A6">
            <w:pPr>
              <w:pStyle w:val="SchdLevel2"/>
              <w:numPr>
                <w:ilvl w:val="0"/>
                <w:numId w:val="20"/>
              </w:numPr>
              <w:spacing w:after="0" w:line="240" w:lineRule="auto"/>
              <w:jc w:val="left"/>
              <w:rPr>
                <w:rFonts w:cs="Arial"/>
                <w:iCs/>
                <w:sz w:val="24"/>
                <w:szCs w:val="24"/>
              </w:rPr>
            </w:pPr>
            <w:r w:rsidRPr="00242BF1">
              <w:rPr>
                <w:rFonts w:cs="Arial"/>
                <w:iCs/>
                <w:sz w:val="24"/>
                <w:szCs w:val="24"/>
              </w:rPr>
              <w:t>Referrals will take place between the Referral Period Start Date and the Referral Period End Date;</w:t>
            </w:r>
          </w:p>
        </w:tc>
      </w:tr>
      <w:tr w:rsidR="006B0062" w:rsidRPr="00242BF1" w14:paraId="5FEE54CD" w14:textId="77777777" w:rsidTr="00631EC2">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Pr="00242BF1" w:rsidRDefault="00C84C17" w:rsidP="00E162A6">
            <w:pPr>
              <w:rPr>
                <w:bCs/>
              </w:rPr>
            </w:pPr>
            <w:r w:rsidRPr="00242BF1">
              <w:rPr>
                <w:bCs/>
              </w:rPr>
              <w:t>Section 4:</w:t>
            </w:r>
          </w:p>
          <w:p w14:paraId="3C8E52BD" w14:textId="524D1E91" w:rsidR="00C84C17" w:rsidRPr="00242BF1" w:rsidRDefault="00C84C17" w:rsidP="00E162A6">
            <w:pPr>
              <w:rPr>
                <w:bCs/>
              </w:rPr>
            </w:pPr>
            <w:r w:rsidRPr="00242BF1">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Pr="00242BF1" w:rsidRDefault="00AD312D" w:rsidP="00E162A6">
            <w:pPr>
              <w:pStyle w:val="paragraph"/>
              <w:textAlignment w:val="baseline"/>
              <w:rPr>
                <w:rStyle w:val="normaltextrun"/>
                <w:rFonts w:ascii="Arial" w:hAnsi="Arial" w:cs="Arial"/>
                <w:i/>
                <w:iCs/>
              </w:rPr>
            </w:pPr>
            <w:r w:rsidRPr="00242BF1">
              <w:rPr>
                <w:rStyle w:val="normaltextrun"/>
                <w:rFonts w:ascii="Arial" w:hAnsi="Arial" w:cs="Arial"/>
                <w:i/>
                <w:iCs/>
              </w:rPr>
              <w:t xml:space="preserve">Existing paragraph 4.7 shall be replaced with the following: </w:t>
            </w:r>
          </w:p>
          <w:p w14:paraId="3B08E963" w14:textId="665CDEC6" w:rsidR="006B0062" w:rsidRPr="00242BF1" w:rsidRDefault="00AD312D" w:rsidP="00E162A6">
            <w:pPr>
              <w:pStyle w:val="SchdLevel2"/>
              <w:spacing w:after="0" w:line="240" w:lineRule="auto"/>
              <w:ind w:left="0" w:firstLine="0"/>
              <w:jc w:val="left"/>
              <w:rPr>
                <w:rFonts w:cs="Arial"/>
                <w:iCs/>
                <w:sz w:val="24"/>
                <w:szCs w:val="24"/>
              </w:rPr>
            </w:pPr>
            <w:r w:rsidRPr="00242BF1">
              <w:rPr>
                <w:rStyle w:val="normaltextrun"/>
                <w:rFonts w:cs="Arial"/>
                <w:sz w:val="24"/>
                <w:szCs w:val="24"/>
              </w:rPr>
              <w:t>Not used.</w:t>
            </w:r>
          </w:p>
        </w:tc>
      </w:tr>
      <w:tr w:rsidR="00AA2358" w:rsidRPr="00242BF1" w14:paraId="254BBFCB" w14:textId="77777777" w:rsidTr="00631EC2">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242BF1" w:rsidRDefault="00AA2358" w:rsidP="00E162A6">
            <w:pPr>
              <w:rPr>
                <w:bCs/>
              </w:rPr>
            </w:pPr>
            <w:r w:rsidRPr="00242BF1">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Pr="00242BF1" w:rsidRDefault="00AA2358" w:rsidP="00E162A6">
            <w:pPr>
              <w:pStyle w:val="paragraph"/>
              <w:textAlignment w:val="baseline"/>
              <w:rPr>
                <w:rStyle w:val="normaltextrun"/>
                <w:rFonts w:ascii="Arial" w:hAnsi="Arial" w:cs="Arial"/>
                <w:i/>
                <w:iCs/>
              </w:rPr>
            </w:pPr>
            <w:r w:rsidRPr="00242BF1">
              <w:rPr>
                <w:rStyle w:val="normaltextrun"/>
                <w:rFonts w:ascii="Arial" w:hAnsi="Arial" w:cs="Arial"/>
                <w:i/>
                <w:iCs/>
              </w:rPr>
              <w:t xml:space="preserve">Existing paragraph 5.3 shall be replaced with the following: </w:t>
            </w:r>
          </w:p>
          <w:p w14:paraId="4168BA3B" w14:textId="77777777" w:rsidR="00AA2358" w:rsidRPr="00242BF1" w:rsidRDefault="00AA2358" w:rsidP="00E162A6">
            <w:pPr>
              <w:pStyle w:val="paragraph"/>
              <w:spacing w:before="0" w:beforeAutospacing="0" w:after="0" w:afterAutospacing="0"/>
              <w:textAlignment w:val="baseline"/>
              <w:rPr>
                <w:rStyle w:val="normaltextrun"/>
                <w:rFonts w:ascii="Arial" w:hAnsi="Arial" w:cs="Arial"/>
              </w:rPr>
            </w:pPr>
            <w:r w:rsidRPr="00242BF1">
              <w:rPr>
                <w:rStyle w:val="normaltextrun"/>
                <w:rFonts w:ascii="Arial" w:hAnsi="Arial" w:cs="Arial"/>
              </w:rPr>
              <w:t xml:space="preserve">There will be two elements to the Restart Payment Model: </w:t>
            </w:r>
          </w:p>
          <w:p w14:paraId="69BD496A" w14:textId="77777777" w:rsidR="00AA2358" w:rsidRPr="00242BF1"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242BF1">
              <w:rPr>
                <w:rStyle w:val="normaltextrun"/>
                <w:rFonts w:ascii="Arial" w:hAnsi="Arial" w:cs="Arial"/>
              </w:rPr>
              <w:t xml:space="preserve">a Delivery </w:t>
            </w:r>
            <w:proofErr w:type="gramStart"/>
            <w:r w:rsidRPr="00242BF1">
              <w:rPr>
                <w:rStyle w:val="normaltextrun"/>
                <w:rFonts w:ascii="Arial" w:hAnsi="Arial" w:cs="Arial"/>
              </w:rPr>
              <w:t>Fee;</w:t>
            </w:r>
            <w:proofErr w:type="gramEnd"/>
            <w:r w:rsidRPr="00242BF1">
              <w:rPr>
                <w:rStyle w:val="normaltextrun"/>
                <w:rFonts w:ascii="Arial" w:hAnsi="Arial" w:cs="Arial"/>
              </w:rPr>
              <w:t xml:space="preserve"> </w:t>
            </w:r>
          </w:p>
          <w:p w14:paraId="26C66CE1" w14:textId="1DB65B80" w:rsidR="00AA2358" w:rsidRPr="00242BF1" w:rsidRDefault="00AA2358" w:rsidP="00E162A6">
            <w:pPr>
              <w:pStyle w:val="paragraph"/>
              <w:numPr>
                <w:ilvl w:val="0"/>
                <w:numId w:val="21"/>
              </w:numPr>
              <w:spacing w:before="0" w:beforeAutospacing="0" w:after="0" w:afterAutospacing="0"/>
              <w:textAlignment w:val="baseline"/>
              <w:rPr>
                <w:rFonts w:cs="Arial"/>
                <w:iCs/>
              </w:rPr>
            </w:pPr>
            <w:r w:rsidRPr="00242BF1">
              <w:rPr>
                <w:rStyle w:val="normaltextrun"/>
                <w:rFonts w:ascii="Arial" w:hAnsi="Arial" w:cs="Arial"/>
              </w:rPr>
              <w:t>An Outcome Payment – subject to the conditions set out at paragraphs 5.10 to 5.13 (Self-Employed Outcomes are covered in paragraphs 5.14 - 5.17)</w:t>
            </w:r>
          </w:p>
        </w:tc>
      </w:tr>
      <w:tr w:rsidR="00AA2358" w:rsidRPr="00242BF1"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242BF1"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242BF1" w:rsidRDefault="000A3375" w:rsidP="00E162A6">
            <w:pPr>
              <w:rPr>
                <w:bCs/>
                <w:i/>
                <w:iCs/>
              </w:rPr>
            </w:pPr>
            <w:r w:rsidRPr="00242BF1">
              <w:rPr>
                <w:bCs/>
                <w:i/>
                <w:iCs/>
              </w:rPr>
              <w:t>Existing paragraph 5.31 shall be replaced with the following:</w:t>
            </w:r>
          </w:p>
          <w:p w14:paraId="33541528" w14:textId="77777777" w:rsidR="000A3375" w:rsidRPr="00242BF1" w:rsidRDefault="000A3375" w:rsidP="00E162A6">
            <w:pPr>
              <w:rPr>
                <w:bCs/>
                <w:i/>
                <w:iCs/>
              </w:rPr>
            </w:pPr>
          </w:p>
          <w:p w14:paraId="3BBC6EF5" w14:textId="77777777" w:rsidR="000A3375" w:rsidRPr="00242BF1" w:rsidRDefault="000A3375" w:rsidP="00E162A6">
            <w:pPr>
              <w:rPr>
                <w:bCs/>
              </w:rPr>
            </w:pPr>
            <w:r w:rsidRPr="00242BF1">
              <w:rPr>
                <w:bCs/>
              </w:rPr>
              <w:lastRenderedPageBreak/>
              <w:t xml:space="preserve">For each Initial Start Cohort, a Standard Outcome Payment will be paid for each Outcome up to </w:t>
            </w:r>
            <w:r w:rsidRPr="00242BF1">
              <w:rPr>
                <w:b/>
              </w:rPr>
              <w:t>21%</w:t>
            </w:r>
            <w:r w:rsidRPr="00242BF1">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242BF1" w:rsidRDefault="000A3375" w:rsidP="00E162A6">
            <w:pPr>
              <w:rPr>
                <w:bCs/>
              </w:rPr>
            </w:pPr>
          </w:p>
          <w:p w14:paraId="49D7C11E" w14:textId="6CC9B8D8" w:rsidR="00AA2358" w:rsidRPr="00242BF1" w:rsidRDefault="000A3375" w:rsidP="00E162A6">
            <w:pPr>
              <w:rPr>
                <w:rStyle w:val="normaltextrun"/>
                <w:i/>
                <w:iCs/>
              </w:rPr>
            </w:pPr>
            <w:r w:rsidRPr="00242BF1">
              <w:rPr>
                <w:bCs/>
              </w:rPr>
              <w:t xml:space="preserve">For each Extension Start Cohort, a Standard Outcome Payment will be paid for each Outcome up to </w:t>
            </w:r>
            <w:r w:rsidRPr="00242BF1">
              <w:rPr>
                <w:b/>
              </w:rPr>
              <w:t>22%</w:t>
            </w:r>
            <w:r w:rsidRPr="00242BF1">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242BF1"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242BF1" w:rsidRDefault="00F04306" w:rsidP="00E162A6">
            <w:pPr>
              <w:rPr>
                <w:bCs/>
              </w:rPr>
            </w:pPr>
            <w:r w:rsidRPr="00242BF1">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242BF1" w:rsidRDefault="00F04306" w:rsidP="00E162A6">
            <w:pPr>
              <w:pStyle w:val="SchdLevel2"/>
              <w:spacing w:after="0" w:line="240" w:lineRule="auto"/>
              <w:ind w:left="0" w:firstLine="0"/>
              <w:jc w:val="left"/>
              <w:rPr>
                <w:rFonts w:cs="Arial"/>
                <w:iCs/>
                <w:sz w:val="24"/>
                <w:szCs w:val="24"/>
              </w:rPr>
            </w:pPr>
            <w:r w:rsidRPr="00242BF1">
              <w:rPr>
                <w:rFonts w:cs="Arial"/>
                <w:i/>
                <w:sz w:val="24"/>
                <w:szCs w:val="24"/>
              </w:rPr>
              <w:t>The entry for LEM shall be deleted.</w:t>
            </w:r>
          </w:p>
        </w:tc>
      </w:tr>
      <w:tr w:rsidR="001C002A" w:rsidRPr="00242BF1" w14:paraId="7B08B4C6" w14:textId="77777777" w:rsidTr="00631EC2">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242BF1" w:rsidRDefault="00F04306" w:rsidP="00E162A6">
            <w:pPr>
              <w:rPr>
                <w:bCs/>
              </w:rPr>
            </w:pPr>
            <w:r w:rsidRPr="00242BF1">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Pr="00242BF1" w:rsidRDefault="00E60C8D" w:rsidP="00E162A6">
            <w:pPr>
              <w:pStyle w:val="paragraph"/>
              <w:spacing w:after="0" w:afterAutospacing="0"/>
              <w:textAlignment w:val="baseline"/>
              <w:rPr>
                <w:rStyle w:val="normaltextrun"/>
                <w:rFonts w:ascii="Arial" w:hAnsi="Arial" w:cs="Arial"/>
                <w:i/>
                <w:iCs/>
              </w:rPr>
            </w:pPr>
            <w:r w:rsidRPr="00242BF1">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242BF1" w14:paraId="261C9457" w14:textId="77777777" w:rsidTr="004F366C">
              <w:tc>
                <w:tcPr>
                  <w:tcW w:w="946" w:type="pct"/>
                </w:tcPr>
                <w:p w14:paraId="3F03D1CC" w14:textId="77777777" w:rsidR="00E60C8D" w:rsidRPr="00242BF1" w:rsidRDefault="00E60C8D" w:rsidP="00E162A6">
                  <w:pPr>
                    <w:spacing w:before="120" w:after="120"/>
                    <w:rPr>
                      <w:b/>
                      <w:bCs/>
                    </w:rPr>
                  </w:pPr>
                  <w:r w:rsidRPr="00242BF1">
                    <w:rPr>
                      <w:b/>
                      <w:bCs/>
                    </w:rPr>
                    <w:t>Delivery Fee</w:t>
                  </w:r>
                </w:p>
              </w:tc>
              <w:tc>
                <w:tcPr>
                  <w:tcW w:w="4054" w:type="pct"/>
                </w:tcPr>
                <w:p w14:paraId="109458BA" w14:textId="77777777" w:rsidR="00E60C8D" w:rsidRPr="00242BF1" w:rsidRDefault="00E60C8D" w:rsidP="00E162A6">
                  <w:pPr>
                    <w:spacing w:before="120" w:after="120"/>
                  </w:pPr>
                  <w:r w:rsidRPr="00242BF1">
                    <w:t>In the case of each CPA, as defined in Schedule 1 of the corresponding contract.</w:t>
                  </w:r>
                </w:p>
              </w:tc>
            </w:tr>
          </w:tbl>
          <w:p w14:paraId="03875D08" w14:textId="4E51EEA9" w:rsidR="001C002A" w:rsidRPr="00242BF1" w:rsidRDefault="001C002A" w:rsidP="00E162A6">
            <w:pPr>
              <w:pStyle w:val="SchdLevel2"/>
              <w:spacing w:after="0" w:line="240" w:lineRule="auto"/>
              <w:ind w:left="0" w:firstLine="0"/>
              <w:jc w:val="left"/>
              <w:rPr>
                <w:rFonts w:cs="Arial"/>
                <w:iCs/>
                <w:sz w:val="24"/>
                <w:szCs w:val="24"/>
              </w:rPr>
            </w:pPr>
          </w:p>
        </w:tc>
      </w:tr>
      <w:tr w:rsidR="00F645D0" w:rsidRPr="00242BF1"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242BF1"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242BF1" w:rsidRDefault="005B0A8B" w:rsidP="00E162A6">
            <w:pPr>
              <w:rPr>
                <w:bCs/>
                <w:i/>
                <w:iCs/>
              </w:rPr>
            </w:pPr>
            <w:r w:rsidRPr="00242BF1">
              <w:rPr>
                <w:bCs/>
                <w:i/>
                <w:iCs/>
              </w:rPr>
              <w:t>The following definition</w:t>
            </w:r>
            <w:r w:rsidR="00D41E1B" w:rsidRPr="00242BF1">
              <w:rPr>
                <w:bCs/>
                <w:i/>
                <w:iCs/>
              </w:rPr>
              <w:t>s</w:t>
            </w:r>
            <w:r w:rsidRPr="00242BF1">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242BF1" w14:paraId="2FDDCE7D" w14:textId="77777777" w:rsidTr="004F366C">
              <w:tc>
                <w:tcPr>
                  <w:tcW w:w="946" w:type="pct"/>
                  <w:shd w:val="clear" w:color="auto" w:fill="FFFFFF" w:themeFill="background1"/>
                </w:tcPr>
                <w:p w14:paraId="75DE72F5" w14:textId="77777777" w:rsidR="00BE1388" w:rsidRPr="00242BF1" w:rsidRDefault="00BE1388" w:rsidP="00E162A6">
                  <w:pPr>
                    <w:spacing w:before="120" w:after="120"/>
                    <w:rPr>
                      <w:b/>
                      <w:bCs/>
                    </w:rPr>
                  </w:pPr>
                  <w:r w:rsidRPr="00242BF1">
                    <w:rPr>
                      <w:b/>
                      <w:bCs/>
                    </w:rPr>
                    <w:t>Extension Start Cohort</w:t>
                  </w:r>
                </w:p>
              </w:tc>
              <w:tc>
                <w:tcPr>
                  <w:tcW w:w="4054" w:type="pct"/>
                </w:tcPr>
                <w:p w14:paraId="71ED18D0" w14:textId="77777777" w:rsidR="00BE1388" w:rsidRPr="00242BF1" w:rsidRDefault="00BE1388" w:rsidP="00E162A6">
                  <w:pPr>
                    <w:spacing w:before="120" w:after="120"/>
                  </w:pPr>
                  <w:r w:rsidRPr="00242BF1">
                    <w:t>In the case of each CPA, as defined in Schedule 1 of the corresponding contract.</w:t>
                  </w:r>
                </w:p>
              </w:tc>
            </w:tr>
            <w:tr w:rsidR="00B43106" w:rsidRPr="00242BF1" w14:paraId="26D6F393" w14:textId="77777777" w:rsidTr="004F366C">
              <w:tc>
                <w:tcPr>
                  <w:tcW w:w="946" w:type="pct"/>
                  <w:shd w:val="clear" w:color="auto" w:fill="FFFFFF" w:themeFill="background1"/>
                </w:tcPr>
                <w:p w14:paraId="30C54DC5" w14:textId="68B40FBF" w:rsidR="00B43106" w:rsidRPr="00242BF1" w:rsidRDefault="00B43106" w:rsidP="00E162A6">
                  <w:pPr>
                    <w:spacing w:before="120" w:after="120"/>
                    <w:rPr>
                      <w:b/>
                      <w:bCs/>
                    </w:rPr>
                  </w:pPr>
                  <w:r w:rsidRPr="00242BF1">
                    <w:rPr>
                      <w:b/>
                      <w:bCs/>
                    </w:rPr>
                    <w:t>Gainfully Self-Employed</w:t>
                  </w:r>
                </w:p>
              </w:tc>
              <w:tc>
                <w:tcPr>
                  <w:tcW w:w="4054" w:type="pct"/>
                </w:tcPr>
                <w:p w14:paraId="69567974" w14:textId="77777777" w:rsidR="00B43106" w:rsidRPr="00242BF1" w:rsidRDefault="00B43106" w:rsidP="00E162A6">
                  <w:pPr>
                    <w:spacing w:before="120" w:after="120"/>
                  </w:pPr>
                  <w:r w:rsidRPr="00242BF1">
                    <w:t>Where, in respect of a claimant, DWP deems all of the following apply:</w:t>
                  </w:r>
                </w:p>
                <w:p w14:paraId="357E56AB" w14:textId="77777777" w:rsidR="00B43106" w:rsidRPr="00242BF1" w:rsidRDefault="00B43106" w:rsidP="00E162A6">
                  <w:pPr>
                    <w:pStyle w:val="ListParagraph"/>
                    <w:numPr>
                      <w:ilvl w:val="0"/>
                      <w:numId w:val="22"/>
                    </w:numPr>
                    <w:spacing w:before="0" w:after="0" w:line="240" w:lineRule="auto"/>
                    <w:contextualSpacing/>
                    <w:rPr>
                      <w:rFonts w:ascii="Arial" w:hAnsi="Arial" w:cs="Arial"/>
                      <w:bCs/>
                    </w:rPr>
                  </w:pPr>
                  <w:r w:rsidRPr="00242BF1">
                    <w:rPr>
                      <w:rFonts w:ascii="Arial" w:hAnsi="Arial" w:cs="Arial"/>
                      <w:bCs/>
                    </w:rPr>
                    <w:t xml:space="preserve">the claimant is carrying on a trade, profession or vocation as their main </w:t>
                  </w:r>
                  <w:proofErr w:type="gramStart"/>
                  <w:r w:rsidRPr="00242BF1">
                    <w:rPr>
                      <w:rFonts w:ascii="Arial" w:hAnsi="Arial" w:cs="Arial"/>
                      <w:bCs/>
                    </w:rPr>
                    <w:t>employment;</w:t>
                  </w:r>
                  <w:proofErr w:type="gramEnd"/>
                </w:p>
                <w:p w14:paraId="3F9FAF8D" w14:textId="77777777" w:rsidR="00B43106" w:rsidRPr="00242BF1" w:rsidRDefault="00B43106" w:rsidP="00E162A6">
                  <w:pPr>
                    <w:pStyle w:val="ListParagraph"/>
                    <w:numPr>
                      <w:ilvl w:val="0"/>
                      <w:numId w:val="22"/>
                    </w:numPr>
                    <w:spacing w:before="0" w:after="0" w:line="240" w:lineRule="auto"/>
                    <w:contextualSpacing/>
                    <w:rPr>
                      <w:rFonts w:ascii="Arial" w:hAnsi="Arial" w:cs="Arial"/>
                      <w:bCs/>
                    </w:rPr>
                  </w:pPr>
                  <w:r w:rsidRPr="00242BF1">
                    <w:rPr>
                      <w:rFonts w:ascii="Arial" w:hAnsi="Arial" w:cs="Arial"/>
                      <w:bCs/>
                    </w:rPr>
                    <w:t>their earnings from that trade, profession or vocation are self-employed earnings; and</w:t>
                  </w:r>
                </w:p>
                <w:p w14:paraId="1C453A36" w14:textId="5A851C68" w:rsidR="00B43106" w:rsidRPr="00242BF1" w:rsidRDefault="00B43106" w:rsidP="00E162A6">
                  <w:pPr>
                    <w:pStyle w:val="ListParagraph"/>
                    <w:numPr>
                      <w:ilvl w:val="0"/>
                      <w:numId w:val="22"/>
                    </w:numPr>
                    <w:spacing w:before="0" w:after="0" w:line="240" w:lineRule="auto"/>
                    <w:contextualSpacing/>
                    <w:rPr>
                      <w:rFonts w:ascii="Arial" w:hAnsi="Arial" w:cs="Arial"/>
                      <w:bCs/>
                    </w:rPr>
                  </w:pPr>
                  <w:r w:rsidRPr="00242BF1">
                    <w:rPr>
                      <w:rFonts w:ascii="Arial" w:hAnsi="Arial" w:cs="Arial"/>
                      <w:bCs/>
                    </w:rPr>
                    <w:t>the trade, profession or vocation is organised, developed, regular and carried out in expectation of profit.</w:t>
                  </w:r>
                </w:p>
              </w:tc>
            </w:tr>
            <w:tr w:rsidR="00DC5682" w:rsidRPr="00242BF1" w14:paraId="367951E7" w14:textId="77777777" w:rsidTr="004F366C">
              <w:tc>
                <w:tcPr>
                  <w:tcW w:w="946" w:type="pct"/>
                  <w:shd w:val="clear" w:color="auto" w:fill="FFFFFF" w:themeFill="background1"/>
                </w:tcPr>
                <w:p w14:paraId="64639874" w14:textId="2DD87AD1" w:rsidR="00DC5682" w:rsidRPr="00242BF1" w:rsidRDefault="00DC5682" w:rsidP="00E162A6">
                  <w:pPr>
                    <w:spacing w:before="120" w:after="120"/>
                    <w:rPr>
                      <w:b/>
                      <w:bCs/>
                    </w:rPr>
                  </w:pPr>
                  <w:r w:rsidRPr="00242BF1">
                    <w:rPr>
                      <w:b/>
                      <w:bCs/>
                    </w:rPr>
                    <w:lastRenderedPageBreak/>
                    <w:t>Higher Outcome Payment</w:t>
                  </w:r>
                </w:p>
              </w:tc>
              <w:tc>
                <w:tcPr>
                  <w:tcW w:w="4054" w:type="pct"/>
                </w:tcPr>
                <w:p w14:paraId="5BDC88CF" w14:textId="3441B46F" w:rsidR="00DC5682" w:rsidRPr="00242BF1" w:rsidRDefault="00DC5682" w:rsidP="00E162A6">
                  <w:pPr>
                    <w:spacing w:before="120" w:after="120"/>
                  </w:pPr>
                  <w:r w:rsidRPr="00242BF1">
                    <w:t>In the case of each CPA, as defined in Schedule 1 of the corresponding contract.</w:t>
                  </w:r>
                </w:p>
              </w:tc>
            </w:tr>
            <w:tr w:rsidR="00DC5682" w:rsidRPr="00242BF1" w14:paraId="1C3FFABB" w14:textId="77777777" w:rsidTr="004F366C">
              <w:tc>
                <w:tcPr>
                  <w:tcW w:w="946" w:type="pct"/>
                  <w:shd w:val="clear" w:color="auto" w:fill="FFFFFF" w:themeFill="background1"/>
                </w:tcPr>
                <w:p w14:paraId="4212744D" w14:textId="22B63A47" w:rsidR="00DC5682" w:rsidRPr="00242BF1" w:rsidRDefault="00DC5682" w:rsidP="00E162A6">
                  <w:pPr>
                    <w:spacing w:before="120" w:after="120"/>
                    <w:rPr>
                      <w:b/>
                      <w:bCs/>
                    </w:rPr>
                  </w:pPr>
                  <w:r w:rsidRPr="00242BF1">
                    <w:rPr>
                      <w:b/>
                      <w:bCs/>
                    </w:rPr>
                    <w:t>Initial Start Cohort</w:t>
                  </w:r>
                </w:p>
              </w:tc>
              <w:tc>
                <w:tcPr>
                  <w:tcW w:w="4054" w:type="pct"/>
                </w:tcPr>
                <w:p w14:paraId="59047D19" w14:textId="2B1FFEBE" w:rsidR="00DC5682" w:rsidRPr="00242BF1" w:rsidRDefault="00DC5682" w:rsidP="00E162A6">
                  <w:pPr>
                    <w:spacing w:before="120" w:after="120"/>
                  </w:pPr>
                  <w:r w:rsidRPr="00242BF1">
                    <w:t>In the case of each CPA, as defined in Schedule 1 of the corresponding contract.</w:t>
                  </w:r>
                </w:p>
              </w:tc>
            </w:tr>
          </w:tbl>
          <w:p w14:paraId="013B4CCA" w14:textId="77777777" w:rsidR="00F645D0" w:rsidRPr="00242BF1" w:rsidRDefault="00F645D0" w:rsidP="00E162A6">
            <w:pPr>
              <w:pStyle w:val="SchdLevel2"/>
              <w:spacing w:after="0" w:line="240" w:lineRule="auto"/>
              <w:ind w:left="0" w:firstLine="0"/>
              <w:jc w:val="left"/>
              <w:rPr>
                <w:rFonts w:cs="Arial"/>
                <w:iCs/>
                <w:sz w:val="24"/>
                <w:szCs w:val="24"/>
              </w:rPr>
            </w:pPr>
          </w:p>
        </w:tc>
      </w:tr>
      <w:tr w:rsidR="00FA3FC6" w:rsidRPr="00242BF1"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242BF1"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242BF1" w:rsidRDefault="00FA3FC6" w:rsidP="00E162A6">
            <w:pPr>
              <w:pStyle w:val="SchdLevel2"/>
              <w:spacing w:after="0" w:line="240" w:lineRule="auto"/>
              <w:ind w:left="0" w:firstLine="0"/>
              <w:jc w:val="left"/>
              <w:rPr>
                <w:rFonts w:cs="Arial"/>
                <w:i/>
                <w:sz w:val="24"/>
                <w:szCs w:val="24"/>
              </w:rPr>
            </w:pPr>
            <w:r w:rsidRPr="00242BF1">
              <w:rPr>
                <w:rFonts w:cs="Arial"/>
                <w:i/>
                <w:sz w:val="24"/>
                <w:szCs w:val="24"/>
              </w:rPr>
              <w:t>The existing definition of “Local Engagement Meeting” shall be deleted without replacement.</w:t>
            </w:r>
          </w:p>
        </w:tc>
      </w:tr>
      <w:tr w:rsidR="00E359FB" w:rsidRPr="00242BF1"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242BF1"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242BF1" w:rsidRDefault="00E359FB" w:rsidP="00E162A6">
            <w:pPr>
              <w:rPr>
                <w:bCs/>
                <w:i/>
                <w:iCs/>
              </w:rPr>
            </w:pPr>
            <w:r w:rsidRPr="00242BF1">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242BF1" w14:paraId="244FAB90" w14:textId="77777777" w:rsidTr="004F366C">
              <w:tc>
                <w:tcPr>
                  <w:tcW w:w="946" w:type="pct"/>
                </w:tcPr>
                <w:p w14:paraId="0C14C87C" w14:textId="77777777" w:rsidR="00E359FB" w:rsidRPr="00242BF1" w:rsidRDefault="00E359FB" w:rsidP="00E162A6">
                  <w:pPr>
                    <w:spacing w:before="120" w:after="120"/>
                    <w:rPr>
                      <w:b/>
                      <w:bCs/>
                    </w:rPr>
                  </w:pPr>
                  <w:r w:rsidRPr="00242BF1">
                    <w:rPr>
                      <w:b/>
                      <w:bCs/>
                    </w:rPr>
                    <w:t>Referral Period End Date</w:t>
                  </w:r>
                </w:p>
              </w:tc>
              <w:tc>
                <w:tcPr>
                  <w:tcW w:w="4054" w:type="pct"/>
                </w:tcPr>
                <w:p w14:paraId="145BE43D" w14:textId="77777777" w:rsidR="00E359FB" w:rsidRPr="00242BF1" w:rsidRDefault="00E359FB" w:rsidP="00E162A6">
                  <w:pPr>
                    <w:spacing w:before="120" w:after="120"/>
                  </w:pPr>
                  <w:r w:rsidRPr="00242BF1">
                    <w:t>In the case of each CPA, as defined in Schedule 1 of the corresponding contract.</w:t>
                  </w:r>
                </w:p>
              </w:tc>
            </w:tr>
            <w:tr w:rsidR="00E359FB" w:rsidRPr="00242BF1" w14:paraId="61DF9D94" w14:textId="77777777" w:rsidTr="004F366C">
              <w:tc>
                <w:tcPr>
                  <w:tcW w:w="946" w:type="pct"/>
                </w:tcPr>
                <w:p w14:paraId="1F757E05" w14:textId="77777777" w:rsidR="00E359FB" w:rsidRPr="00242BF1" w:rsidRDefault="00E359FB" w:rsidP="00E162A6">
                  <w:pPr>
                    <w:spacing w:before="120" w:after="120"/>
                    <w:rPr>
                      <w:b/>
                      <w:bCs/>
                    </w:rPr>
                  </w:pPr>
                  <w:r w:rsidRPr="00242BF1">
                    <w:rPr>
                      <w:b/>
                      <w:bCs/>
                    </w:rPr>
                    <w:t>Referral Period Start Date</w:t>
                  </w:r>
                </w:p>
              </w:tc>
              <w:tc>
                <w:tcPr>
                  <w:tcW w:w="4054" w:type="pct"/>
                </w:tcPr>
                <w:p w14:paraId="79703CF6" w14:textId="77777777" w:rsidR="00E359FB" w:rsidRPr="00242BF1" w:rsidRDefault="00E359FB" w:rsidP="00E162A6">
                  <w:pPr>
                    <w:spacing w:before="120" w:after="120"/>
                  </w:pPr>
                  <w:r w:rsidRPr="00242BF1">
                    <w:t>In the case of each CPA, as defined in Schedule 1 of the corresponding contract.</w:t>
                  </w:r>
                </w:p>
              </w:tc>
            </w:tr>
          </w:tbl>
          <w:p w14:paraId="5401B098" w14:textId="77777777" w:rsidR="00E359FB" w:rsidRPr="00242BF1" w:rsidRDefault="00E359FB" w:rsidP="00E162A6">
            <w:pPr>
              <w:pStyle w:val="SchdLevel2"/>
              <w:spacing w:after="0" w:line="240" w:lineRule="auto"/>
              <w:ind w:left="0" w:firstLine="0"/>
              <w:jc w:val="left"/>
              <w:rPr>
                <w:rFonts w:cs="Arial"/>
                <w:iCs/>
                <w:sz w:val="24"/>
                <w:szCs w:val="24"/>
              </w:rPr>
            </w:pPr>
          </w:p>
        </w:tc>
      </w:tr>
      <w:tr w:rsidR="00E359FB" w:rsidRPr="00242BF1"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242BF1"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242BF1" w:rsidRDefault="00167920" w:rsidP="00E162A6">
            <w:pPr>
              <w:pStyle w:val="SchdLevel2"/>
              <w:spacing w:after="0" w:line="240" w:lineRule="auto"/>
              <w:ind w:left="0" w:firstLine="0"/>
              <w:jc w:val="left"/>
              <w:rPr>
                <w:rFonts w:cs="Arial"/>
                <w:iCs/>
                <w:sz w:val="24"/>
                <w:szCs w:val="24"/>
              </w:rPr>
            </w:pPr>
            <w:r w:rsidRPr="00242BF1">
              <w:rPr>
                <w:rFonts w:cs="Arial"/>
                <w:bCs/>
                <w:i/>
                <w:iCs/>
                <w:sz w:val="24"/>
                <w:szCs w:val="24"/>
              </w:rPr>
              <w:t>The existing definition of “Relevant Date” shall be deleted.</w:t>
            </w:r>
          </w:p>
        </w:tc>
      </w:tr>
      <w:tr w:rsidR="00E359FB" w:rsidRPr="00242BF1"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242BF1"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242BF1" w:rsidRDefault="00B101E6" w:rsidP="00E162A6">
            <w:pPr>
              <w:pStyle w:val="SchdLevel2"/>
              <w:spacing w:after="0" w:line="240" w:lineRule="auto"/>
              <w:ind w:left="0" w:firstLine="0"/>
              <w:jc w:val="left"/>
              <w:rPr>
                <w:rFonts w:cs="Arial"/>
                <w:i/>
                <w:sz w:val="24"/>
                <w:szCs w:val="24"/>
              </w:rPr>
            </w:pPr>
            <w:r w:rsidRPr="00242BF1">
              <w:rPr>
                <w:rFonts w:cs="Arial"/>
                <w:i/>
                <w:sz w:val="24"/>
                <w:szCs w:val="24"/>
              </w:rPr>
              <w:t>The following definition</w:t>
            </w:r>
            <w:r w:rsidR="0042195D" w:rsidRPr="00242BF1">
              <w:rPr>
                <w:rFonts w:cs="Arial"/>
                <w:i/>
                <w:sz w:val="24"/>
                <w:szCs w:val="24"/>
              </w:rPr>
              <w:t>s</w:t>
            </w:r>
            <w:r w:rsidRPr="00242BF1">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242BF1" w14:paraId="1E802F63" w14:textId="77777777" w:rsidTr="004F366C">
              <w:tc>
                <w:tcPr>
                  <w:tcW w:w="946" w:type="pct"/>
                  <w:shd w:val="clear" w:color="auto" w:fill="FFFFFF" w:themeFill="background1"/>
                </w:tcPr>
                <w:p w14:paraId="18B0D940" w14:textId="77777777" w:rsidR="00482264" w:rsidRPr="00242BF1" w:rsidRDefault="00482264" w:rsidP="00E162A6">
                  <w:pPr>
                    <w:spacing w:before="120" w:after="120"/>
                    <w:rPr>
                      <w:b/>
                      <w:bCs/>
                    </w:rPr>
                  </w:pPr>
                  <w:r w:rsidRPr="00242BF1">
                    <w:rPr>
                      <w:b/>
                      <w:bCs/>
                    </w:rPr>
                    <w:t>Staging Percentage</w:t>
                  </w:r>
                </w:p>
              </w:tc>
              <w:tc>
                <w:tcPr>
                  <w:tcW w:w="4054" w:type="pct"/>
                </w:tcPr>
                <w:p w14:paraId="538B3514" w14:textId="77777777" w:rsidR="00482264" w:rsidRPr="00242BF1" w:rsidRDefault="00482264" w:rsidP="00E162A6">
                  <w:pPr>
                    <w:spacing w:before="120" w:after="120"/>
                  </w:pPr>
                  <w:r w:rsidRPr="00242BF1">
                    <w:t>In the case of each CPA, as defined in Schedule 1 of the corresponding contract.</w:t>
                  </w:r>
                </w:p>
              </w:tc>
            </w:tr>
            <w:tr w:rsidR="0042195D" w:rsidRPr="00242BF1" w14:paraId="548703A6" w14:textId="77777777" w:rsidTr="004F366C">
              <w:tc>
                <w:tcPr>
                  <w:tcW w:w="946" w:type="pct"/>
                  <w:shd w:val="clear" w:color="auto" w:fill="FFFFFF" w:themeFill="background1"/>
                </w:tcPr>
                <w:p w14:paraId="52C8D618" w14:textId="67E9C26F" w:rsidR="0042195D" w:rsidRPr="00242BF1" w:rsidRDefault="009A5586" w:rsidP="00E162A6">
                  <w:pPr>
                    <w:spacing w:before="120" w:after="120"/>
                    <w:rPr>
                      <w:b/>
                      <w:bCs/>
                    </w:rPr>
                  </w:pPr>
                  <w:r w:rsidRPr="00242BF1">
                    <w:rPr>
                      <w:b/>
                      <w:bCs/>
                    </w:rPr>
                    <w:t>Standard Outcome Payment</w:t>
                  </w:r>
                </w:p>
              </w:tc>
              <w:tc>
                <w:tcPr>
                  <w:tcW w:w="4054" w:type="pct"/>
                </w:tcPr>
                <w:p w14:paraId="036FB8CD" w14:textId="77777777" w:rsidR="00F13A37" w:rsidRPr="00242BF1" w:rsidRDefault="00F13A37" w:rsidP="00E162A6">
                  <w:pPr>
                    <w:spacing w:before="120" w:after="120"/>
                  </w:pPr>
                  <w:r w:rsidRPr="00242BF1">
                    <w:t>In the case of each CPA, as defined in Schedule 1 of the corresponding contract.</w:t>
                  </w:r>
                </w:p>
                <w:p w14:paraId="7DCA4A08" w14:textId="77777777" w:rsidR="0042195D" w:rsidRPr="00242BF1" w:rsidRDefault="0042195D" w:rsidP="00E162A6">
                  <w:pPr>
                    <w:spacing w:before="120" w:after="120"/>
                  </w:pPr>
                </w:p>
              </w:tc>
            </w:tr>
          </w:tbl>
          <w:p w14:paraId="1EB4DB6E" w14:textId="352FCA42" w:rsidR="00B101E6" w:rsidRPr="00242BF1" w:rsidRDefault="00B101E6" w:rsidP="00E162A6">
            <w:pPr>
              <w:pStyle w:val="SchdLevel2"/>
              <w:spacing w:after="0" w:line="240" w:lineRule="auto"/>
              <w:ind w:left="0" w:firstLine="0"/>
              <w:jc w:val="left"/>
              <w:rPr>
                <w:rFonts w:cs="Arial"/>
                <w:i/>
                <w:sz w:val="24"/>
                <w:szCs w:val="24"/>
              </w:rPr>
            </w:pPr>
          </w:p>
        </w:tc>
      </w:tr>
      <w:tr w:rsidR="000A2CA6" w:rsidRPr="00242BF1"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242BF1" w:rsidRDefault="00725B64" w:rsidP="00E162A6">
            <w:pPr>
              <w:tabs>
                <w:tab w:val="left" w:pos="1418"/>
              </w:tabs>
              <w:rPr>
                <w:bCs/>
              </w:rPr>
            </w:pPr>
            <w:r w:rsidRPr="00242BF1">
              <w:rPr>
                <w:bCs/>
              </w:rPr>
              <w:t>Annex 8:</w:t>
            </w:r>
          </w:p>
          <w:p w14:paraId="39DAC3B4" w14:textId="078B4C6F" w:rsidR="000A2CA6" w:rsidRPr="00242BF1" w:rsidRDefault="00725B64" w:rsidP="00E162A6">
            <w:pPr>
              <w:rPr>
                <w:bCs/>
              </w:rPr>
            </w:pPr>
            <w:r w:rsidRPr="00242BF1">
              <w:rPr>
                <w:bCs/>
              </w:rPr>
              <w:lastRenderedPageBreak/>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242BF1" w:rsidRDefault="003D10F7" w:rsidP="00E162A6">
            <w:pPr>
              <w:pStyle w:val="SchdLevel2"/>
              <w:spacing w:after="0" w:line="240" w:lineRule="auto"/>
              <w:ind w:left="0" w:firstLine="0"/>
              <w:jc w:val="left"/>
              <w:rPr>
                <w:rFonts w:cs="Arial"/>
                <w:i/>
                <w:sz w:val="24"/>
                <w:szCs w:val="24"/>
              </w:rPr>
            </w:pPr>
            <w:r w:rsidRPr="00242BF1">
              <w:rPr>
                <w:rFonts w:cs="Arial"/>
                <w:i/>
                <w:sz w:val="24"/>
                <w:szCs w:val="24"/>
              </w:rPr>
              <w:lastRenderedPageBreak/>
              <w:t>Existing A8.6 shall be replaced with the following:</w:t>
            </w:r>
          </w:p>
          <w:p w14:paraId="26371F26" w14:textId="77777777" w:rsidR="003D10F7" w:rsidRPr="00242BF1" w:rsidRDefault="003D10F7" w:rsidP="00E162A6">
            <w:pPr>
              <w:pStyle w:val="SchdLevel2"/>
              <w:spacing w:after="0" w:line="240" w:lineRule="auto"/>
              <w:ind w:left="0" w:firstLine="0"/>
              <w:jc w:val="left"/>
              <w:rPr>
                <w:rFonts w:cs="Arial"/>
                <w:i/>
                <w:sz w:val="24"/>
                <w:szCs w:val="24"/>
              </w:rPr>
            </w:pPr>
          </w:p>
          <w:p w14:paraId="18929E78" w14:textId="2BB2B612" w:rsidR="000A2CA6" w:rsidRPr="00242BF1" w:rsidRDefault="003D10F7" w:rsidP="00E162A6">
            <w:pPr>
              <w:pStyle w:val="SchdLevel2"/>
              <w:spacing w:after="0" w:line="240" w:lineRule="auto"/>
              <w:ind w:left="0" w:firstLine="0"/>
              <w:jc w:val="left"/>
              <w:rPr>
                <w:rFonts w:cs="Arial"/>
                <w:iCs/>
                <w:sz w:val="24"/>
                <w:szCs w:val="24"/>
              </w:rPr>
            </w:pPr>
            <w:r w:rsidRPr="00242BF1">
              <w:rPr>
                <w:rFonts w:cs="Arial"/>
                <w:iCs/>
                <w:sz w:val="24"/>
                <w:szCs w:val="24"/>
              </w:rPr>
              <w:lastRenderedPageBreak/>
              <w:t xml:space="preserve">The finalised </w:t>
            </w:r>
            <w:r w:rsidRPr="00242BF1">
              <w:rPr>
                <w:rFonts w:cs="Arial"/>
                <w:b/>
                <w:bCs/>
                <w:iCs/>
                <w:sz w:val="24"/>
                <w:szCs w:val="24"/>
              </w:rPr>
              <w:t>Minimum Required Number of Outcomes (MRNOs)</w:t>
            </w:r>
            <w:r w:rsidRPr="00242BF1">
              <w:rPr>
                <w:rFonts w:cs="Arial"/>
                <w:iCs/>
                <w:sz w:val="24"/>
                <w:szCs w:val="24"/>
              </w:rPr>
              <w:t xml:space="preserve"> are then produced by applying the relevant Staging Percentage(s) to the relevant MPL.  </w:t>
            </w:r>
          </w:p>
        </w:tc>
      </w:tr>
      <w:tr w:rsidR="000A2CA6" w:rsidRPr="00242BF1"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242BF1"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242BF1" w:rsidRDefault="00B70F40" w:rsidP="00E162A6">
            <w:pPr>
              <w:pStyle w:val="SchdLevel2"/>
              <w:spacing w:after="0" w:line="240" w:lineRule="auto"/>
              <w:ind w:left="0" w:firstLine="0"/>
              <w:jc w:val="left"/>
              <w:rPr>
                <w:rFonts w:cs="Arial"/>
                <w:i/>
                <w:sz w:val="24"/>
                <w:szCs w:val="24"/>
              </w:rPr>
            </w:pPr>
            <w:r w:rsidRPr="00242BF1">
              <w:rPr>
                <w:rFonts w:cs="Arial"/>
                <w:i/>
                <w:sz w:val="24"/>
                <w:szCs w:val="24"/>
              </w:rPr>
              <w:t>Existing A8.7 (including Figure 3) shall be replaced with the following:</w:t>
            </w:r>
          </w:p>
          <w:p w14:paraId="2C5CF940" w14:textId="77777777" w:rsidR="00B70F40" w:rsidRPr="00242BF1" w:rsidRDefault="00B70F40" w:rsidP="00E162A6">
            <w:pPr>
              <w:pStyle w:val="SchdLevel2"/>
              <w:spacing w:after="0" w:line="240" w:lineRule="auto"/>
              <w:ind w:left="0" w:firstLine="0"/>
              <w:jc w:val="left"/>
              <w:rPr>
                <w:rFonts w:cs="Arial"/>
                <w:i/>
                <w:sz w:val="24"/>
                <w:szCs w:val="24"/>
              </w:rPr>
            </w:pPr>
          </w:p>
          <w:p w14:paraId="29935E1E" w14:textId="05D2DB14" w:rsidR="000A2CA6" w:rsidRPr="00242BF1" w:rsidRDefault="00B70F40" w:rsidP="00E162A6">
            <w:pPr>
              <w:pStyle w:val="SchdLevel2"/>
              <w:spacing w:after="0" w:line="240" w:lineRule="auto"/>
              <w:ind w:left="0" w:firstLine="0"/>
              <w:jc w:val="left"/>
              <w:rPr>
                <w:rFonts w:cs="Arial"/>
                <w:iCs/>
                <w:sz w:val="24"/>
                <w:szCs w:val="24"/>
              </w:rPr>
            </w:pPr>
            <w:r w:rsidRPr="00242BF1">
              <w:rPr>
                <w:rFonts w:cs="Arial"/>
                <w:iCs/>
                <w:sz w:val="24"/>
                <w:szCs w:val="24"/>
              </w:rPr>
              <w:t>Not used.</w:t>
            </w:r>
          </w:p>
        </w:tc>
      </w:tr>
      <w:tr w:rsidR="000A2CA6" w:rsidRPr="00242BF1"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242BF1"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242BF1" w:rsidRDefault="009A37B2" w:rsidP="00E162A6">
            <w:pPr>
              <w:pStyle w:val="SchdLevel2"/>
              <w:spacing w:after="0" w:line="240" w:lineRule="auto"/>
              <w:ind w:left="0" w:firstLine="0"/>
              <w:jc w:val="left"/>
              <w:rPr>
                <w:rFonts w:cs="Arial"/>
                <w:i/>
                <w:sz w:val="24"/>
                <w:szCs w:val="24"/>
              </w:rPr>
            </w:pPr>
            <w:r w:rsidRPr="00242BF1">
              <w:rPr>
                <w:rFonts w:cs="Arial"/>
                <w:i/>
                <w:sz w:val="24"/>
                <w:szCs w:val="24"/>
              </w:rPr>
              <w:t>Existing A8.9 shall be replaced with the following:</w:t>
            </w:r>
          </w:p>
          <w:p w14:paraId="266027E3" w14:textId="77777777" w:rsidR="009A37B2" w:rsidRPr="00242BF1" w:rsidRDefault="009A37B2" w:rsidP="00E162A6">
            <w:pPr>
              <w:pStyle w:val="SchdLevel2"/>
              <w:spacing w:after="0" w:line="240" w:lineRule="auto"/>
              <w:ind w:left="0" w:firstLine="0"/>
              <w:jc w:val="left"/>
              <w:rPr>
                <w:rFonts w:cs="Arial"/>
                <w:i/>
                <w:sz w:val="24"/>
                <w:szCs w:val="24"/>
              </w:rPr>
            </w:pPr>
          </w:p>
          <w:p w14:paraId="31DFE2E0" w14:textId="51E6F17A" w:rsidR="000A2CA6" w:rsidRPr="00242BF1" w:rsidRDefault="009A37B2" w:rsidP="00E162A6">
            <w:pPr>
              <w:pStyle w:val="SchdLevel2"/>
              <w:spacing w:after="0" w:line="240" w:lineRule="auto"/>
              <w:ind w:left="0" w:firstLine="0"/>
              <w:jc w:val="left"/>
              <w:rPr>
                <w:rFonts w:cs="Arial"/>
                <w:iCs/>
                <w:sz w:val="24"/>
                <w:szCs w:val="24"/>
              </w:rPr>
            </w:pPr>
            <w:r w:rsidRPr="00242BF1">
              <w:rPr>
                <w:rFonts w:cs="Arial"/>
                <w:iCs/>
                <w:sz w:val="24"/>
                <w:szCs w:val="24"/>
              </w:rPr>
              <w:t xml:space="preserve">The finalised </w:t>
            </w:r>
            <w:r w:rsidRPr="00242BF1">
              <w:rPr>
                <w:rFonts w:cs="Arial"/>
                <w:b/>
                <w:bCs/>
                <w:iCs/>
                <w:sz w:val="24"/>
                <w:szCs w:val="24"/>
              </w:rPr>
              <w:t>Tender Required Number of Outcomes (TRNOs)</w:t>
            </w:r>
            <w:r w:rsidRPr="00242BF1">
              <w:rPr>
                <w:rFonts w:cs="Arial"/>
                <w:iCs/>
                <w:sz w:val="24"/>
                <w:szCs w:val="24"/>
              </w:rPr>
              <w:t xml:space="preserve"> are then produced by applying the relevant Staging Percentage(s) to the relevant TPL.</w:t>
            </w:r>
          </w:p>
        </w:tc>
      </w:tr>
    </w:tbl>
    <w:p w14:paraId="3A08B793" w14:textId="77777777" w:rsidR="0015252F" w:rsidRPr="00242BF1" w:rsidRDefault="0015252F" w:rsidP="00E162A6">
      <w:pPr>
        <w:rPr>
          <w:b/>
          <w:u w:val="single"/>
        </w:rPr>
        <w:sectPr w:rsidR="0015252F" w:rsidRPr="00242BF1" w:rsidSect="00E162A6">
          <w:pgSz w:w="16840" w:h="11907" w:orient="landscape" w:code="9"/>
          <w:pgMar w:top="1134" w:right="1134" w:bottom="1134" w:left="1134" w:header="454" w:footer="454" w:gutter="0"/>
          <w:cols w:space="708"/>
          <w:docGrid w:linePitch="360"/>
        </w:sectPr>
      </w:pPr>
    </w:p>
    <w:p w14:paraId="5B112BCE" w14:textId="2C530E7D" w:rsidR="00A34622" w:rsidRPr="00242BF1" w:rsidRDefault="0015252F" w:rsidP="00E162A6">
      <w:pPr>
        <w:rPr>
          <w:b/>
          <w:u w:val="single"/>
        </w:rPr>
      </w:pPr>
      <w:r w:rsidRPr="00242BF1">
        <w:rPr>
          <w:b/>
          <w:u w:val="single"/>
        </w:rPr>
        <w:lastRenderedPageBreak/>
        <w:t>Appendix 3: form of Replacement Guarantee</w:t>
      </w:r>
    </w:p>
    <w:p w14:paraId="65D28DEF" w14:textId="77777777" w:rsidR="0070795B" w:rsidRPr="00242BF1" w:rsidRDefault="0070795B" w:rsidP="00E162A6">
      <w:pPr>
        <w:rPr>
          <w:b/>
          <w:u w:val="single"/>
        </w:rPr>
        <w:sectPr w:rsidR="0070795B" w:rsidRPr="00242BF1" w:rsidSect="007373CF">
          <w:pgSz w:w="11907" w:h="16840" w:orient="landscape" w:code="9"/>
          <w:pgMar w:top="1134" w:right="1134" w:bottom="1134" w:left="1134" w:header="454" w:footer="454" w:gutter="0"/>
          <w:cols w:space="708"/>
          <w:docGrid w:linePitch="360"/>
        </w:sectPr>
      </w:pPr>
    </w:p>
    <w:p w14:paraId="56A54294" w14:textId="27D3BB11" w:rsidR="00732F9D" w:rsidRPr="00242BF1" w:rsidRDefault="00635D48" w:rsidP="00732F9D">
      <w:pPr>
        <w:pStyle w:val="PartDes"/>
        <w:widowControl w:val="0"/>
        <w:spacing w:before="200" w:after="200"/>
        <w:jc w:val="left"/>
        <w:rPr>
          <w:rFonts w:ascii="Arial" w:hAnsi="Arial"/>
          <w:i/>
          <w:sz w:val="24"/>
          <w:szCs w:val="24"/>
        </w:rPr>
      </w:pPr>
      <w:r w:rsidRPr="00242BF1">
        <w:rPr>
          <w:rStyle w:val="normaltextrun"/>
          <w:rFonts w:ascii="Arial" w:hAnsi="Arial" w:cs="Arial"/>
          <w:color w:val="000000"/>
        </w:rPr>
        <w:lastRenderedPageBreak/>
        <w:t>[REDACTED]</w:t>
      </w:r>
    </w:p>
    <w:p w14:paraId="06E12D97" w14:textId="77777777" w:rsidR="00A5142B" w:rsidRPr="00242BF1"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242BF1">
        <w:rPr>
          <w:b/>
        </w:rPr>
        <w:t>- in favour of -</w:t>
      </w:r>
    </w:p>
    <w:p w14:paraId="079EB32E" w14:textId="77777777" w:rsidR="00A5142B" w:rsidRPr="00242BF1"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242BF1">
        <w:rPr>
          <w:b/>
          <w:i/>
          <w:iCs/>
        </w:rPr>
        <w:t>The Secretary of State for Work and Pensions</w:t>
      </w:r>
    </w:p>
    <w:p w14:paraId="6E4C9D76" w14:textId="77777777" w:rsidR="00A5142B" w:rsidRPr="00242BF1"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242BF1"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242BF1">
        <w:rPr>
          <w:b/>
        </w:rPr>
        <w:t>DEED OF GUARANTEE</w:t>
      </w:r>
    </w:p>
    <w:p w14:paraId="4E007627" w14:textId="77777777" w:rsidR="00A5142B" w:rsidRPr="00242BF1"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242BF1"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54C1A54A" w14:textId="77777777" w:rsidR="00A5142B" w:rsidRPr="00242BF1"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242BF1" w:rsidRDefault="00A5142B" w:rsidP="00E162A6">
      <w:pPr>
        <w:widowControl w:val="0"/>
        <w:spacing w:before="200" w:after="200"/>
        <w:ind w:firstLine="11"/>
      </w:pPr>
      <w:r w:rsidRPr="00242BF1">
        <w:br w:type="page"/>
      </w:r>
    </w:p>
    <w:p w14:paraId="1E593EC1" w14:textId="77777777" w:rsidR="00A5142B" w:rsidRPr="00242BF1" w:rsidRDefault="00A5142B" w:rsidP="00E162A6">
      <w:pPr>
        <w:pStyle w:val="MarginText"/>
        <w:widowControl w:val="0"/>
        <w:spacing w:before="200" w:after="200"/>
        <w:ind w:left="851"/>
        <w:jc w:val="left"/>
        <w:rPr>
          <w:rFonts w:ascii="Arial" w:hAnsi="Arial" w:cs="Arial"/>
          <w:color w:val="365F91"/>
          <w:sz w:val="32"/>
        </w:rPr>
      </w:pPr>
      <w:r w:rsidRPr="00242BF1">
        <w:rPr>
          <w:rFonts w:ascii="Arial" w:hAnsi="Arial" w:cs="Arial"/>
          <w:color w:val="365F91"/>
          <w:sz w:val="32"/>
        </w:rPr>
        <w:lastRenderedPageBreak/>
        <w:t>DEED OF GUARANTEE</w:t>
      </w:r>
    </w:p>
    <w:p w14:paraId="60C93E50" w14:textId="606DC675" w:rsidR="00A5142B" w:rsidRPr="00242BF1"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242BF1">
        <w:rPr>
          <w:b/>
          <w:sz w:val="22"/>
          <w:szCs w:val="22"/>
        </w:rPr>
        <w:t>THIS DEED OF GUARANTEE</w:t>
      </w:r>
      <w:r w:rsidRPr="00242BF1">
        <w:rPr>
          <w:sz w:val="22"/>
          <w:szCs w:val="22"/>
        </w:rPr>
        <w:t xml:space="preserve"> is made the</w:t>
      </w:r>
      <w:r w:rsidRPr="00242BF1">
        <w:rPr>
          <w:sz w:val="22"/>
          <w:szCs w:val="22"/>
        </w:rPr>
        <w:tab/>
        <w:t>day of</w:t>
      </w:r>
      <w:r w:rsidRPr="00242BF1">
        <w:rPr>
          <w:sz w:val="22"/>
          <w:szCs w:val="22"/>
        </w:rPr>
        <w:tab/>
        <w:t>[ ]</w:t>
      </w:r>
    </w:p>
    <w:p w14:paraId="236878DA" w14:textId="77777777" w:rsidR="00A5142B" w:rsidRPr="00242BF1" w:rsidRDefault="00A5142B" w:rsidP="00E162A6">
      <w:pPr>
        <w:widowControl w:val="0"/>
        <w:suppressAutoHyphens/>
        <w:spacing w:before="200" w:after="200"/>
        <w:ind w:left="851"/>
        <w:rPr>
          <w:sz w:val="22"/>
          <w:szCs w:val="22"/>
        </w:rPr>
      </w:pPr>
      <w:r w:rsidRPr="00242BF1">
        <w:rPr>
          <w:b/>
          <w:sz w:val="22"/>
          <w:szCs w:val="22"/>
        </w:rPr>
        <w:t>BY</w:t>
      </w:r>
      <w:r w:rsidRPr="00242BF1">
        <w:rPr>
          <w:sz w:val="22"/>
          <w:szCs w:val="22"/>
        </w:rPr>
        <w:t>:</w:t>
      </w:r>
    </w:p>
    <w:p w14:paraId="79F10B59" w14:textId="5166E81F" w:rsidR="00A5142B" w:rsidRPr="00242BF1" w:rsidRDefault="00A5142B" w:rsidP="00E162A6">
      <w:pPr>
        <w:pStyle w:val="BodyText"/>
        <w:widowControl w:val="0"/>
        <w:spacing w:before="200" w:after="200"/>
        <w:ind w:left="851" w:hanging="851"/>
        <w:jc w:val="left"/>
        <w:rPr>
          <w:rFonts w:ascii="Arial" w:hAnsi="Arial" w:cs="Arial"/>
        </w:rPr>
      </w:pPr>
      <w:r w:rsidRPr="00242BF1">
        <w:rPr>
          <w:rFonts w:ascii="Arial" w:hAnsi="Arial" w:cs="Arial"/>
        </w:rPr>
        <w:t>(1)</w:t>
      </w:r>
      <w:r w:rsidRPr="00242BF1">
        <w:rPr>
          <w:rFonts w:ascii="Arial" w:hAnsi="Arial" w:cs="Arial"/>
        </w:rPr>
        <w:tab/>
      </w:r>
      <w:r w:rsidR="006C5330" w:rsidRPr="00242BF1">
        <w:rPr>
          <w:rStyle w:val="normaltextrun"/>
          <w:rFonts w:ascii="Arial" w:hAnsi="Arial" w:cs="Arial"/>
          <w:color w:val="000000"/>
        </w:rPr>
        <w:t xml:space="preserve">[REDACTED] </w:t>
      </w:r>
      <w:r w:rsidR="00582EE0" w:rsidRPr="00242BF1">
        <w:rPr>
          <w:rFonts w:ascii="Arial" w:hAnsi="Arial" w:cs="Arial"/>
        </w:rPr>
        <w:t xml:space="preserve">a company incorporated under the laws of </w:t>
      </w:r>
      <w:r w:rsidR="00A8076E" w:rsidRPr="00242BF1">
        <w:rPr>
          <w:rStyle w:val="normaltextrun"/>
          <w:rFonts w:ascii="Arial" w:hAnsi="Arial" w:cs="Arial"/>
          <w:color w:val="000000"/>
        </w:rPr>
        <w:t>[REDACTED]</w:t>
      </w:r>
      <w:r w:rsidR="00582EE0" w:rsidRPr="00242BF1">
        <w:rPr>
          <w:rFonts w:ascii="Arial" w:hAnsi="Arial" w:cs="Arial"/>
        </w:rPr>
        <w:t xml:space="preserve">, with number </w:t>
      </w:r>
      <w:r w:rsidR="006C5330" w:rsidRPr="00242BF1">
        <w:rPr>
          <w:rStyle w:val="normaltextrun"/>
          <w:rFonts w:ascii="Arial" w:hAnsi="Arial" w:cs="Arial"/>
          <w:color w:val="000000"/>
        </w:rPr>
        <w:t>[REDACTED]</w:t>
      </w:r>
      <w:r w:rsidR="00582EE0" w:rsidRPr="00242BF1">
        <w:rPr>
          <w:rFonts w:ascii="Arial" w:hAnsi="Arial" w:cs="Arial"/>
        </w:rPr>
        <w:t xml:space="preserve"> whose registered office is at </w:t>
      </w:r>
      <w:r w:rsidR="006C5330" w:rsidRPr="00242BF1">
        <w:rPr>
          <w:rStyle w:val="normaltextrun"/>
          <w:rFonts w:ascii="Arial" w:hAnsi="Arial" w:cs="Arial"/>
          <w:color w:val="000000"/>
        </w:rPr>
        <w:t xml:space="preserve">[REDACTED] </w:t>
      </w:r>
      <w:r w:rsidR="00582EE0" w:rsidRPr="00242BF1">
        <w:rPr>
          <w:rFonts w:ascii="Arial" w:hAnsi="Arial" w:cs="Arial"/>
        </w:rPr>
        <w:t>(</w:t>
      </w:r>
      <w:r w:rsidR="00582EE0" w:rsidRPr="00242BF1">
        <w:rPr>
          <w:rFonts w:ascii="Arial" w:hAnsi="Arial" w:cs="Arial"/>
          <w:b/>
          <w:bCs/>
        </w:rPr>
        <w:t>“Guarantor”</w:t>
      </w:r>
      <w:proofErr w:type="gramStart"/>
      <w:r w:rsidR="00582EE0" w:rsidRPr="00242BF1">
        <w:rPr>
          <w:rFonts w:ascii="Arial" w:hAnsi="Arial" w:cs="Arial"/>
        </w:rPr>
        <w:t>);</w:t>
      </w:r>
      <w:proofErr w:type="gramEnd"/>
    </w:p>
    <w:p w14:paraId="2F4D5277" w14:textId="77777777" w:rsidR="00A5142B" w:rsidRPr="00242BF1" w:rsidRDefault="00A5142B" w:rsidP="00E162A6">
      <w:pPr>
        <w:pStyle w:val="BodyText"/>
        <w:widowControl w:val="0"/>
        <w:spacing w:before="200" w:after="200"/>
        <w:ind w:left="851"/>
        <w:jc w:val="left"/>
        <w:rPr>
          <w:rFonts w:ascii="Arial" w:hAnsi="Arial" w:cs="Arial"/>
          <w:b/>
          <w:bCs/>
        </w:rPr>
      </w:pPr>
      <w:r w:rsidRPr="00242BF1">
        <w:rPr>
          <w:rFonts w:ascii="Arial" w:hAnsi="Arial" w:cs="Arial"/>
          <w:b/>
          <w:bCs/>
        </w:rPr>
        <w:t>IN FAVOUR OF:</w:t>
      </w:r>
    </w:p>
    <w:p w14:paraId="44615FE5" w14:textId="77777777" w:rsidR="00A5142B" w:rsidRPr="00242BF1"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242BF1">
        <w:rPr>
          <w:sz w:val="22"/>
          <w:szCs w:val="22"/>
        </w:rPr>
        <w:t>(2)</w:t>
      </w:r>
      <w:r w:rsidRPr="00242BF1">
        <w:rPr>
          <w:sz w:val="22"/>
          <w:szCs w:val="22"/>
        </w:rPr>
        <w:tab/>
        <w:t>The Secretary of State for Work and Pensions whose principal office is at Caxton House, Tothill Street, London, SW1H 9NA (</w:t>
      </w:r>
      <w:r w:rsidRPr="00242BF1">
        <w:rPr>
          <w:b/>
          <w:sz w:val="22"/>
          <w:szCs w:val="22"/>
        </w:rPr>
        <w:t>“Beneficiary”</w:t>
      </w:r>
      <w:r w:rsidRPr="00242BF1">
        <w:rPr>
          <w:sz w:val="22"/>
          <w:szCs w:val="22"/>
        </w:rPr>
        <w:t>).</w:t>
      </w:r>
    </w:p>
    <w:p w14:paraId="66A8A4AA" w14:textId="77777777" w:rsidR="00A5142B" w:rsidRPr="00242BF1"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242BF1">
        <w:rPr>
          <w:b/>
          <w:sz w:val="22"/>
          <w:szCs w:val="22"/>
        </w:rPr>
        <w:t>WHEREAS</w:t>
      </w:r>
      <w:r w:rsidRPr="00242BF1">
        <w:rPr>
          <w:sz w:val="22"/>
          <w:szCs w:val="22"/>
        </w:rPr>
        <w:t>:</w:t>
      </w:r>
    </w:p>
    <w:p w14:paraId="6EC1EABE" w14:textId="77777777" w:rsidR="00A5142B" w:rsidRPr="00242BF1"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242BF1">
        <w:rPr>
          <w:sz w:val="22"/>
          <w:szCs w:val="22"/>
        </w:rPr>
        <w:t xml:space="preserve">(A) </w:t>
      </w:r>
      <w:r w:rsidRPr="00242BF1">
        <w:rPr>
          <w:sz w:val="22"/>
          <w:szCs w:val="22"/>
        </w:rPr>
        <w:tab/>
        <w:t>The Amendments contained in the Extension CAL are conditional upon the valid execution by the Guarantor and delivery to the Beneficiary of a guarantee in the form of this Deed of Guarantee.</w:t>
      </w:r>
      <w:r w:rsidRPr="00242BF1" w:rsidDel="00715009">
        <w:rPr>
          <w:sz w:val="22"/>
          <w:szCs w:val="22"/>
        </w:rPr>
        <w:t xml:space="preserve"> </w:t>
      </w:r>
    </w:p>
    <w:p w14:paraId="205764D3" w14:textId="77777777" w:rsidR="00A5142B" w:rsidRPr="00242BF1"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242BF1">
        <w:rPr>
          <w:sz w:val="22"/>
          <w:szCs w:val="22"/>
        </w:rPr>
        <w:t>(B)</w:t>
      </w:r>
      <w:r w:rsidRPr="00242BF1">
        <w:rPr>
          <w:sz w:val="22"/>
          <w:szCs w:val="22"/>
        </w:rPr>
        <w:tab/>
        <w:t>The Guarantor has agreed, in consideration of the Beneficiary entering into the Extension CAL with the Supplier, to enter into this Deed of Guarantee.</w:t>
      </w:r>
    </w:p>
    <w:p w14:paraId="53C3B869" w14:textId="77777777" w:rsidR="00A5142B" w:rsidRPr="00242BF1"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242BF1">
        <w:rPr>
          <w:sz w:val="22"/>
          <w:szCs w:val="22"/>
        </w:rPr>
        <w:t>(C)</w:t>
      </w:r>
      <w:r w:rsidRPr="00242BF1">
        <w:rPr>
          <w:sz w:val="22"/>
          <w:szCs w:val="22"/>
        </w:rPr>
        <w:tab/>
        <w:t>It is the intention of the Guarantor that this document be executed and take effect as a deed.</w:t>
      </w:r>
    </w:p>
    <w:p w14:paraId="1686721C" w14:textId="77777777" w:rsidR="00A5142B" w:rsidRPr="00242BF1"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242BF1">
        <w:rPr>
          <w:sz w:val="22"/>
          <w:szCs w:val="22"/>
        </w:rPr>
        <w:t>Now in consideration of the Beneficiary entering into the Extension CAL, the Guarantor hereby agrees with the Beneficiary as follows:</w:t>
      </w:r>
    </w:p>
    <w:p w14:paraId="3ED4471B"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Definitions and Interpretation</w:t>
      </w:r>
    </w:p>
    <w:p w14:paraId="70B8B3B8"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In this Deed of Guarantee:</w:t>
      </w:r>
    </w:p>
    <w:p w14:paraId="78D37CAC"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unless defined elsewhere in this Deed of Guarantee or the context requires otherwise, defined terms shall have the same meaning as they have for the purposes of the Guaranteed </w:t>
      </w:r>
      <w:proofErr w:type="gramStart"/>
      <w:r w:rsidRPr="00242BF1">
        <w:rPr>
          <w:rFonts w:cs="Arial"/>
          <w:sz w:val="22"/>
        </w:rPr>
        <w:t>Agreement;</w:t>
      </w:r>
      <w:proofErr w:type="gramEnd"/>
    </w:p>
    <w:p w14:paraId="6462C2CD"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words and phrases below shall have the following meanings:</w:t>
      </w:r>
    </w:p>
    <w:p w14:paraId="3BD8171A" w14:textId="77777777" w:rsidR="00A5142B" w:rsidRPr="00242BF1" w:rsidRDefault="00A5142B" w:rsidP="00E162A6">
      <w:pPr>
        <w:widowControl w:val="0"/>
        <w:numPr>
          <w:ilvl w:val="2"/>
          <w:numId w:val="23"/>
        </w:numPr>
        <w:spacing w:before="200" w:after="200"/>
        <w:ind w:hanging="567"/>
        <w:rPr>
          <w:sz w:val="22"/>
          <w:szCs w:val="22"/>
        </w:rPr>
      </w:pPr>
      <w:r w:rsidRPr="00242BF1">
        <w:rPr>
          <w:sz w:val="22"/>
          <w:szCs w:val="22"/>
        </w:rPr>
        <w:t>“</w:t>
      </w:r>
      <w:r w:rsidRPr="00242BF1">
        <w:rPr>
          <w:b/>
          <w:sz w:val="22"/>
          <w:szCs w:val="22"/>
        </w:rPr>
        <w:t>Amendments”</w:t>
      </w:r>
      <w:r w:rsidRPr="00242BF1">
        <w:rPr>
          <w:sz w:val="22"/>
          <w:szCs w:val="22"/>
        </w:rPr>
        <w:t xml:space="preserve"> shall have the same meaning as they have for the purposes of the Extension </w:t>
      </w:r>
      <w:proofErr w:type="gramStart"/>
      <w:r w:rsidRPr="00242BF1">
        <w:rPr>
          <w:sz w:val="22"/>
          <w:szCs w:val="22"/>
        </w:rPr>
        <w:t>CAL;</w:t>
      </w:r>
      <w:proofErr w:type="gramEnd"/>
      <w:r w:rsidRPr="00242BF1">
        <w:rPr>
          <w:sz w:val="22"/>
          <w:szCs w:val="22"/>
        </w:rPr>
        <w:t xml:space="preserve"> </w:t>
      </w:r>
    </w:p>
    <w:p w14:paraId="6BFB181C" w14:textId="6C8D7C75" w:rsidR="00A5142B" w:rsidRPr="00242BF1" w:rsidRDefault="00A5142B" w:rsidP="00E162A6">
      <w:pPr>
        <w:widowControl w:val="0"/>
        <w:numPr>
          <w:ilvl w:val="2"/>
          <w:numId w:val="23"/>
        </w:numPr>
        <w:spacing w:before="200" w:after="200"/>
        <w:ind w:hanging="567"/>
        <w:rPr>
          <w:sz w:val="22"/>
          <w:szCs w:val="22"/>
        </w:rPr>
      </w:pPr>
      <w:r w:rsidRPr="00242BF1">
        <w:rPr>
          <w:sz w:val="22"/>
          <w:szCs w:val="22"/>
        </w:rPr>
        <w:t>“</w:t>
      </w:r>
      <w:r w:rsidRPr="00242BF1">
        <w:rPr>
          <w:b/>
          <w:sz w:val="22"/>
          <w:szCs w:val="22"/>
        </w:rPr>
        <w:t>Extension CAL</w:t>
      </w:r>
      <w:r w:rsidRPr="00242BF1">
        <w:rPr>
          <w:sz w:val="22"/>
          <w:szCs w:val="22"/>
        </w:rPr>
        <w:t xml:space="preserve">” means the change authorisation letter between the Beneficiary and Supplier relating to the extension of the Guaranteed Agreement (amongst other things) referenced </w:t>
      </w:r>
      <w:r w:rsidR="00582EE0" w:rsidRPr="00242BF1">
        <w:rPr>
          <w:sz w:val="22"/>
          <w:szCs w:val="22"/>
        </w:rPr>
        <w:t>5a-116-A10</w:t>
      </w:r>
      <w:r w:rsidRPr="00242BF1">
        <w:rPr>
          <w:sz w:val="22"/>
          <w:szCs w:val="22"/>
        </w:rPr>
        <w:t xml:space="preserve"> and counter-signed by the Supplier on [date</w:t>
      </w:r>
      <w:proofErr w:type="gramStart"/>
      <w:r w:rsidRPr="00242BF1">
        <w:rPr>
          <w:sz w:val="22"/>
          <w:szCs w:val="22"/>
        </w:rPr>
        <w:t>];</w:t>
      </w:r>
      <w:proofErr w:type="gramEnd"/>
    </w:p>
    <w:p w14:paraId="1AD8D7F2" w14:textId="3C195FEB" w:rsidR="00A5142B" w:rsidRPr="00242BF1" w:rsidRDefault="00A5142B" w:rsidP="00E162A6">
      <w:pPr>
        <w:widowControl w:val="0"/>
        <w:numPr>
          <w:ilvl w:val="2"/>
          <w:numId w:val="23"/>
        </w:numPr>
        <w:spacing w:before="200" w:after="200"/>
        <w:ind w:hanging="567"/>
        <w:rPr>
          <w:sz w:val="22"/>
          <w:szCs w:val="22"/>
        </w:rPr>
      </w:pPr>
      <w:r w:rsidRPr="00242BF1">
        <w:rPr>
          <w:sz w:val="22"/>
          <w:szCs w:val="22"/>
        </w:rPr>
        <w:t>“</w:t>
      </w:r>
      <w:r w:rsidRPr="00242BF1">
        <w:rPr>
          <w:b/>
          <w:sz w:val="22"/>
          <w:szCs w:val="22"/>
        </w:rPr>
        <w:t>Guaranteed Agreement</w:t>
      </w:r>
      <w:r w:rsidRPr="00242BF1">
        <w:rPr>
          <w:sz w:val="22"/>
          <w:szCs w:val="22"/>
        </w:rPr>
        <w:t xml:space="preserve">” means the agreement relating to the provision of services on the Restart programme between the Beneficiary and the Supplier </w:t>
      </w:r>
      <w:r w:rsidR="00A74AA7" w:rsidRPr="00242BF1">
        <w:rPr>
          <w:sz w:val="22"/>
          <w:szCs w:val="22"/>
        </w:rPr>
        <w:t xml:space="preserve">for CPA </w:t>
      </w:r>
      <w:r w:rsidR="00582EE0" w:rsidRPr="00242BF1">
        <w:rPr>
          <w:sz w:val="22"/>
          <w:szCs w:val="22"/>
        </w:rPr>
        <w:t xml:space="preserve">5a </w:t>
      </w:r>
      <w:r w:rsidRPr="00242BF1">
        <w:rPr>
          <w:sz w:val="22"/>
          <w:szCs w:val="22"/>
        </w:rPr>
        <w:t xml:space="preserve">dated </w:t>
      </w:r>
      <w:r w:rsidR="00582EE0" w:rsidRPr="00242BF1">
        <w:rPr>
          <w:sz w:val="22"/>
          <w:szCs w:val="22"/>
        </w:rPr>
        <w:t>26 April 2021</w:t>
      </w:r>
      <w:r w:rsidRPr="00242BF1">
        <w:rPr>
          <w:sz w:val="22"/>
          <w:szCs w:val="22"/>
        </w:rPr>
        <w:t>, as amended</w:t>
      </w:r>
      <w:r w:rsidR="00A56A6D" w:rsidRPr="00242BF1">
        <w:rPr>
          <w:sz w:val="22"/>
          <w:szCs w:val="22"/>
        </w:rPr>
        <w:t xml:space="preserve"> before the date </w:t>
      </w:r>
      <w:r w:rsidR="005003AE" w:rsidRPr="00242BF1">
        <w:rPr>
          <w:sz w:val="22"/>
          <w:szCs w:val="22"/>
        </w:rPr>
        <w:t>of this Deed of Guarantee</w:t>
      </w:r>
      <w:r w:rsidRPr="00242BF1">
        <w:rPr>
          <w:sz w:val="22"/>
          <w:szCs w:val="22"/>
        </w:rPr>
        <w:t xml:space="preserve">, together with any further amendments (including the Amendments) from time to </w:t>
      </w:r>
      <w:proofErr w:type="gramStart"/>
      <w:r w:rsidRPr="00242BF1">
        <w:rPr>
          <w:sz w:val="22"/>
          <w:szCs w:val="22"/>
        </w:rPr>
        <w:t>time;</w:t>
      </w:r>
      <w:proofErr w:type="gramEnd"/>
      <w:r w:rsidRPr="00242BF1">
        <w:rPr>
          <w:sz w:val="22"/>
          <w:szCs w:val="22"/>
        </w:rPr>
        <w:t xml:space="preserve"> </w:t>
      </w:r>
    </w:p>
    <w:p w14:paraId="0BE11670" w14:textId="1EAB803A" w:rsidR="00A5142B" w:rsidRPr="00242BF1" w:rsidRDefault="00A5142B" w:rsidP="00E162A6">
      <w:pPr>
        <w:widowControl w:val="0"/>
        <w:numPr>
          <w:ilvl w:val="2"/>
          <w:numId w:val="23"/>
        </w:numPr>
        <w:spacing w:before="200" w:after="200"/>
        <w:ind w:hanging="567"/>
        <w:rPr>
          <w:sz w:val="22"/>
          <w:szCs w:val="22"/>
        </w:rPr>
      </w:pPr>
      <w:r w:rsidRPr="00242BF1">
        <w:rPr>
          <w:sz w:val="22"/>
          <w:szCs w:val="22"/>
        </w:rPr>
        <w:t>“</w:t>
      </w:r>
      <w:r w:rsidRPr="00242BF1">
        <w:rPr>
          <w:b/>
          <w:sz w:val="22"/>
          <w:szCs w:val="22"/>
        </w:rPr>
        <w:t>Guaranteed Obligations</w:t>
      </w:r>
      <w:r w:rsidRPr="00242BF1">
        <w:rPr>
          <w:sz w:val="22"/>
          <w:szCs w:val="22"/>
        </w:rPr>
        <w:t xml:space="preserve">” means all obligations and liabilities of the Supplier to the Beneficiary under the Guaranteed Agreement </w:t>
      </w:r>
      <w:r w:rsidR="005A42F2" w:rsidRPr="00242BF1">
        <w:rPr>
          <w:sz w:val="22"/>
          <w:szCs w:val="22"/>
        </w:rPr>
        <w:t>(</w:t>
      </w:r>
      <w:r w:rsidR="00D43E64" w:rsidRPr="00242BF1">
        <w:rPr>
          <w:sz w:val="22"/>
          <w:szCs w:val="22"/>
        </w:rPr>
        <w:t>whether arising</w:t>
      </w:r>
      <w:r w:rsidR="005A42F2" w:rsidRPr="00242BF1">
        <w:rPr>
          <w:sz w:val="22"/>
          <w:szCs w:val="22"/>
        </w:rPr>
        <w:t xml:space="preserve"> before</w:t>
      </w:r>
      <w:r w:rsidR="00D43E64" w:rsidRPr="00242BF1">
        <w:rPr>
          <w:sz w:val="22"/>
          <w:szCs w:val="22"/>
        </w:rPr>
        <w:t xml:space="preserve"> or after</w:t>
      </w:r>
      <w:r w:rsidR="005A42F2" w:rsidRPr="00242BF1">
        <w:rPr>
          <w:sz w:val="22"/>
          <w:szCs w:val="22"/>
        </w:rPr>
        <w:t xml:space="preserve"> the date of this Deed of Guarantee) </w:t>
      </w:r>
      <w:r w:rsidRPr="00242BF1">
        <w:rPr>
          <w:sz w:val="22"/>
          <w:szCs w:val="22"/>
        </w:rPr>
        <w:t xml:space="preserve">together with all obligations owed by the Supplier to the Beneficiary </w:t>
      </w:r>
      <w:r w:rsidR="00576D66" w:rsidRPr="00242BF1">
        <w:rPr>
          <w:sz w:val="22"/>
          <w:szCs w:val="22"/>
        </w:rPr>
        <w:t>(</w:t>
      </w:r>
      <w:r w:rsidR="00652417" w:rsidRPr="00242BF1">
        <w:rPr>
          <w:sz w:val="22"/>
          <w:szCs w:val="22"/>
        </w:rPr>
        <w:t>whether arising</w:t>
      </w:r>
      <w:r w:rsidR="00576D66" w:rsidRPr="00242BF1">
        <w:rPr>
          <w:sz w:val="22"/>
          <w:szCs w:val="22"/>
        </w:rPr>
        <w:t xml:space="preserve"> before </w:t>
      </w:r>
      <w:r w:rsidR="00652417" w:rsidRPr="00242BF1">
        <w:rPr>
          <w:sz w:val="22"/>
          <w:szCs w:val="22"/>
        </w:rPr>
        <w:t>or after</w:t>
      </w:r>
      <w:r w:rsidR="00576D66" w:rsidRPr="00242BF1">
        <w:rPr>
          <w:sz w:val="22"/>
          <w:szCs w:val="22"/>
        </w:rPr>
        <w:t xml:space="preserve"> the date of this Deed of Guarantee) </w:t>
      </w:r>
      <w:r w:rsidRPr="00242BF1">
        <w:rPr>
          <w:sz w:val="22"/>
          <w:szCs w:val="22"/>
        </w:rPr>
        <w:t>that are supplemental to, incurred under, ancillary to or calculated by reference to the Guaranteed Agreement; and</w:t>
      </w:r>
    </w:p>
    <w:p w14:paraId="55269104" w14:textId="57310E86" w:rsidR="00A5142B" w:rsidRPr="00242BF1" w:rsidRDefault="00A5142B" w:rsidP="00E162A6">
      <w:pPr>
        <w:widowControl w:val="0"/>
        <w:numPr>
          <w:ilvl w:val="2"/>
          <w:numId w:val="23"/>
        </w:numPr>
        <w:spacing w:before="200" w:after="200"/>
        <w:ind w:hanging="567"/>
        <w:rPr>
          <w:sz w:val="22"/>
          <w:szCs w:val="22"/>
        </w:rPr>
      </w:pPr>
      <w:r w:rsidRPr="00242BF1">
        <w:rPr>
          <w:sz w:val="22"/>
          <w:szCs w:val="22"/>
        </w:rPr>
        <w:t>“</w:t>
      </w:r>
      <w:r w:rsidRPr="00242BF1">
        <w:rPr>
          <w:b/>
          <w:sz w:val="22"/>
          <w:szCs w:val="22"/>
        </w:rPr>
        <w:t>Supplier</w:t>
      </w:r>
      <w:r w:rsidRPr="00242BF1">
        <w:rPr>
          <w:sz w:val="22"/>
          <w:szCs w:val="22"/>
        </w:rPr>
        <w:t xml:space="preserve">” means </w:t>
      </w:r>
      <w:r w:rsidR="00582EE0" w:rsidRPr="00242BF1">
        <w:rPr>
          <w:sz w:val="22"/>
          <w:szCs w:val="22"/>
        </w:rPr>
        <w:t>Ingeus UK L</w:t>
      </w:r>
      <w:r w:rsidR="00762982" w:rsidRPr="00242BF1">
        <w:rPr>
          <w:sz w:val="22"/>
          <w:szCs w:val="22"/>
        </w:rPr>
        <w:t>imited</w:t>
      </w:r>
      <w:r w:rsidR="00582EE0" w:rsidRPr="00242BF1">
        <w:rPr>
          <w:sz w:val="22"/>
          <w:szCs w:val="22"/>
        </w:rPr>
        <w:t>,</w:t>
      </w:r>
      <w:r w:rsidRPr="00242BF1">
        <w:rPr>
          <w:sz w:val="22"/>
          <w:szCs w:val="22"/>
        </w:rPr>
        <w:t xml:space="preserve"> a company incorporated in England and </w:t>
      </w:r>
      <w:r w:rsidRPr="00242BF1">
        <w:rPr>
          <w:sz w:val="22"/>
          <w:szCs w:val="22"/>
        </w:rPr>
        <w:lastRenderedPageBreak/>
        <w:t xml:space="preserve">Wales with number </w:t>
      </w:r>
      <w:r w:rsidR="00542A2C" w:rsidRPr="00242BF1">
        <w:rPr>
          <w:rStyle w:val="normaltextrun"/>
          <w:color w:val="000000"/>
        </w:rPr>
        <w:t>[REDACTED]</w:t>
      </w:r>
      <w:r w:rsidR="006D4791" w:rsidRPr="00242BF1">
        <w:rPr>
          <w:sz w:val="22"/>
          <w:szCs w:val="22"/>
        </w:rPr>
        <w:t xml:space="preserve"> whose registered office is at </w:t>
      </w:r>
      <w:r w:rsidR="00542A2C" w:rsidRPr="00242BF1">
        <w:rPr>
          <w:rStyle w:val="normaltextrun"/>
          <w:color w:val="000000"/>
        </w:rPr>
        <w:t>[REDACTED]</w:t>
      </w:r>
      <w:r w:rsidR="006D4791" w:rsidRPr="00242BF1">
        <w:rPr>
          <w:sz w:val="22"/>
          <w:szCs w:val="22"/>
        </w:rPr>
        <w:t>.</w:t>
      </w:r>
    </w:p>
    <w:p w14:paraId="4396277C"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w:t>
      </w:r>
      <w:proofErr w:type="gramStart"/>
      <w:r w:rsidRPr="00242BF1">
        <w:rPr>
          <w:rFonts w:cs="Arial"/>
          <w:sz w:val="22"/>
        </w:rPr>
        <w:t>time;</w:t>
      </w:r>
      <w:proofErr w:type="gramEnd"/>
    </w:p>
    <w:p w14:paraId="7275A280"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unless the context otherwise requires, words importing the singular are to include the plural and </w:t>
      </w:r>
      <w:proofErr w:type="gramStart"/>
      <w:r w:rsidRPr="00242BF1">
        <w:rPr>
          <w:rFonts w:cs="Arial"/>
          <w:sz w:val="22"/>
        </w:rPr>
        <w:t>vice versa;</w:t>
      </w:r>
      <w:proofErr w:type="gramEnd"/>
    </w:p>
    <w:p w14:paraId="25E7FC44"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references to a person are to be construed to include that person's assignees or transferees or successors in title, whether direct or </w:t>
      </w:r>
      <w:proofErr w:type="gramStart"/>
      <w:r w:rsidRPr="00242BF1">
        <w:rPr>
          <w:rFonts w:cs="Arial"/>
          <w:sz w:val="22"/>
        </w:rPr>
        <w:t>indirect;</w:t>
      </w:r>
      <w:proofErr w:type="gramEnd"/>
    </w:p>
    <w:p w14:paraId="4FC5889B"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the words “other” and “otherwise” are not to be construed as confining the meaning of any following words to the class of thing previously stated where a wider construction is </w:t>
      </w:r>
      <w:proofErr w:type="gramStart"/>
      <w:r w:rsidRPr="00242BF1">
        <w:rPr>
          <w:rFonts w:cs="Arial"/>
          <w:sz w:val="22"/>
        </w:rPr>
        <w:t>possible;</w:t>
      </w:r>
      <w:proofErr w:type="gramEnd"/>
    </w:p>
    <w:p w14:paraId="68167C38"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unless the context otherwise requires, reference to a gender includes the other gender and the </w:t>
      </w:r>
      <w:proofErr w:type="gramStart"/>
      <w:r w:rsidRPr="00242BF1">
        <w:rPr>
          <w:rFonts w:cs="Arial"/>
          <w:sz w:val="22"/>
        </w:rPr>
        <w:t>neuter;</w:t>
      </w:r>
      <w:proofErr w:type="gramEnd"/>
    </w:p>
    <w:p w14:paraId="41A86F59"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242BF1">
        <w:rPr>
          <w:rFonts w:cs="Arial"/>
          <w:sz w:val="22"/>
        </w:rPr>
        <w:t>it;</w:t>
      </w:r>
      <w:proofErr w:type="gramEnd"/>
    </w:p>
    <w:p w14:paraId="75C47E99"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242BF1">
        <w:rPr>
          <w:rFonts w:cs="Arial"/>
          <w:sz w:val="22"/>
        </w:rPr>
        <w:t>words;</w:t>
      </w:r>
      <w:proofErr w:type="gramEnd"/>
    </w:p>
    <w:p w14:paraId="0E39A88C"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references to Clauses and Schedules are, unless otherwise provided, references to Clauses of and Schedules to this Deed of Guarantee; and</w:t>
      </w:r>
    </w:p>
    <w:p w14:paraId="5503CB2A"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references to liability are to include any liability whether actual, contingent, present or future.</w:t>
      </w:r>
    </w:p>
    <w:p w14:paraId="0D95EEF7"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Guarantee and indemnity</w:t>
      </w:r>
    </w:p>
    <w:p w14:paraId="4BFD3200"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242BF1">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242BF1">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as a separate and independent obligation and liability, indemnify and keep the </w:t>
      </w:r>
      <w:r w:rsidRPr="00242BF1">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72732E62"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As a separate and independent obligation and liability from its obligations and liabilities under Clauses </w:t>
      </w:r>
      <w:r w:rsidRPr="00242BF1">
        <w:rPr>
          <w:rFonts w:cs="Arial"/>
          <w:sz w:val="22"/>
        </w:rPr>
        <w:fldChar w:fldCharType="begin"/>
      </w:r>
      <w:r w:rsidRPr="00242BF1">
        <w:rPr>
          <w:rFonts w:cs="Arial"/>
          <w:sz w:val="22"/>
        </w:rPr>
        <w:instrText xml:space="preserve"> REF _Ref162515485 \w \h </w:instrText>
      </w:r>
      <w:r w:rsidR="00242BF1">
        <w:rPr>
          <w:rFonts w:cs="Arial"/>
          <w:sz w:val="22"/>
        </w:rPr>
        <w:instrText xml:space="preserve"> \* MERGEFORMAT </w:instrText>
      </w:r>
      <w:r w:rsidRPr="00242BF1">
        <w:rPr>
          <w:rFonts w:cs="Arial"/>
          <w:sz w:val="22"/>
        </w:rPr>
      </w:r>
      <w:r w:rsidRPr="00242BF1">
        <w:rPr>
          <w:rFonts w:cs="Arial"/>
          <w:sz w:val="22"/>
        </w:rPr>
        <w:fldChar w:fldCharType="separate"/>
      </w:r>
      <w:r w:rsidR="00FE27D8" w:rsidRPr="00242BF1">
        <w:rPr>
          <w:rFonts w:cs="Arial"/>
          <w:sz w:val="22"/>
        </w:rPr>
        <w:t>2.1</w:t>
      </w:r>
      <w:r w:rsidRPr="00242BF1">
        <w:rPr>
          <w:rFonts w:cs="Arial"/>
          <w:sz w:val="22"/>
        </w:rPr>
        <w:fldChar w:fldCharType="end"/>
      </w:r>
      <w:r w:rsidRPr="00242BF1">
        <w:rPr>
          <w:rFonts w:cs="Arial"/>
          <w:sz w:val="22"/>
        </w:rPr>
        <w:t xml:space="preserve"> to </w:t>
      </w:r>
      <w:r w:rsidRPr="00242BF1">
        <w:rPr>
          <w:rFonts w:cs="Arial"/>
          <w:sz w:val="22"/>
        </w:rPr>
        <w:fldChar w:fldCharType="begin"/>
      </w:r>
      <w:r w:rsidRPr="00242BF1">
        <w:rPr>
          <w:rFonts w:cs="Arial"/>
          <w:sz w:val="22"/>
        </w:rPr>
        <w:instrText xml:space="preserve"> REF _Ref162515490 \w \h </w:instrText>
      </w:r>
      <w:r w:rsidR="00242BF1">
        <w:rPr>
          <w:rFonts w:cs="Arial"/>
          <w:sz w:val="22"/>
        </w:rPr>
        <w:instrText xml:space="preserve"> \* MERGEFORMAT </w:instrText>
      </w:r>
      <w:r w:rsidRPr="00242BF1">
        <w:rPr>
          <w:rFonts w:cs="Arial"/>
          <w:sz w:val="22"/>
        </w:rPr>
      </w:r>
      <w:r w:rsidRPr="00242BF1">
        <w:rPr>
          <w:rFonts w:cs="Arial"/>
          <w:sz w:val="22"/>
        </w:rPr>
        <w:fldChar w:fldCharType="separate"/>
      </w:r>
      <w:r w:rsidR="00FE27D8" w:rsidRPr="00242BF1">
        <w:rPr>
          <w:rFonts w:cs="Arial"/>
          <w:sz w:val="22"/>
        </w:rPr>
        <w:t>2.3</w:t>
      </w:r>
      <w:r w:rsidRPr="00242BF1">
        <w:rPr>
          <w:rFonts w:cs="Arial"/>
          <w:sz w:val="22"/>
        </w:rPr>
        <w:fldChar w:fldCharType="end"/>
      </w:r>
      <w:r w:rsidRPr="00242BF1">
        <w:rPr>
          <w:rFonts w:cs="Arial"/>
          <w:sz w:val="22"/>
        </w:rPr>
        <w:t xml:space="preserve"> </w:t>
      </w:r>
      <w:r w:rsidRPr="00242BF1">
        <w:rPr>
          <w:rFonts w:cs="Arial"/>
          <w:sz w:val="22"/>
        </w:rPr>
        <w:fldChar w:fldCharType="begin"/>
      </w:r>
      <w:r w:rsidRPr="00242BF1">
        <w:rPr>
          <w:rFonts w:cs="Arial"/>
          <w:sz w:val="22"/>
        </w:rPr>
        <w:instrText xml:space="preserve"> REF _Ref162515490 \p \h </w:instrText>
      </w:r>
      <w:r w:rsidR="00242BF1">
        <w:rPr>
          <w:rFonts w:cs="Arial"/>
          <w:sz w:val="22"/>
        </w:rPr>
        <w:instrText xml:space="preserve"> \* MERGEFORMAT </w:instrText>
      </w:r>
      <w:r w:rsidRPr="00242BF1">
        <w:rPr>
          <w:rFonts w:cs="Arial"/>
          <w:sz w:val="22"/>
        </w:rPr>
      </w:r>
      <w:r w:rsidRPr="00242BF1">
        <w:rPr>
          <w:rFonts w:cs="Arial"/>
          <w:sz w:val="22"/>
        </w:rPr>
        <w:fldChar w:fldCharType="separate"/>
      </w:r>
      <w:r w:rsidR="00FE27D8" w:rsidRPr="00242BF1">
        <w:rPr>
          <w:rFonts w:cs="Arial"/>
          <w:sz w:val="22"/>
        </w:rPr>
        <w:t>above</w:t>
      </w:r>
      <w:r w:rsidRPr="00242BF1">
        <w:rPr>
          <w:rFonts w:cs="Arial"/>
          <w:sz w:val="22"/>
        </w:rPr>
        <w:fldChar w:fldCharType="end"/>
      </w:r>
      <w:r w:rsidRPr="00242BF1">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242BF1">
        <w:rPr>
          <w:rFonts w:ascii="Arial" w:hAnsi="Arial" w:cs="Arial"/>
          <w:b w:val="0"/>
          <w:color w:val="365F91"/>
          <w:sz w:val="32"/>
        </w:rPr>
        <w:t>Obligation to enter into a new contract</w:t>
      </w:r>
      <w:bookmarkEnd w:id="10"/>
    </w:p>
    <w:p w14:paraId="121378E9" w14:textId="3982A1F0" w:rsidR="00A5142B" w:rsidRPr="00242BF1" w:rsidRDefault="00A5142B" w:rsidP="00E162A6">
      <w:pPr>
        <w:widowControl w:val="0"/>
        <w:numPr>
          <w:ilvl w:val="12"/>
          <w:numId w:val="0"/>
        </w:numPr>
        <w:spacing w:before="200" w:after="200"/>
        <w:ind w:left="851"/>
        <w:rPr>
          <w:sz w:val="22"/>
          <w:szCs w:val="22"/>
        </w:rPr>
      </w:pPr>
      <w:r w:rsidRPr="00242BF1">
        <w:rPr>
          <w:sz w:val="22"/>
          <w:szCs w:val="22"/>
        </w:rPr>
        <w:t xml:space="preserve">If the Guaranteed Agreement is </w:t>
      </w:r>
      <w:r w:rsidR="008B1BFB" w:rsidRPr="00242BF1">
        <w:rPr>
          <w:sz w:val="22"/>
          <w:szCs w:val="22"/>
        </w:rPr>
        <w:t xml:space="preserve">lawfully </w:t>
      </w:r>
      <w:r w:rsidRPr="00242BF1">
        <w:rPr>
          <w:sz w:val="22"/>
          <w:szCs w:val="22"/>
        </w:rPr>
        <w:t xml:space="preserve">terminated by the Beneficiary </w:t>
      </w:r>
      <w:r w:rsidR="001B12EA" w:rsidRPr="00242BF1">
        <w:rPr>
          <w:sz w:val="22"/>
          <w:szCs w:val="22"/>
        </w:rPr>
        <w:t xml:space="preserve">for any reason </w:t>
      </w:r>
      <w:r w:rsidRPr="00242BF1">
        <w:rPr>
          <w:sz w:val="22"/>
          <w:szCs w:val="22"/>
        </w:rPr>
        <w:t xml:space="preserve">or </w:t>
      </w:r>
      <w:r w:rsidR="00A7166A" w:rsidRPr="00242BF1">
        <w:rPr>
          <w:sz w:val="22"/>
          <w:szCs w:val="22"/>
        </w:rPr>
        <w:t xml:space="preserve">unlawfully terminated by </w:t>
      </w:r>
      <w:r w:rsidRPr="00242BF1">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Demands and Notices</w:t>
      </w:r>
    </w:p>
    <w:p w14:paraId="26D567E0"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Any demand or notice served by the Beneficiary on the Guarantor under this Deed of Guarantee shall be in writing, addressed to:</w:t>
      </w:r>
    </w:p>
    <w:p w14:paraId="357F38D1" w14:textId="49C1EDEC" w:rsidR="006D4791" w:rsidRPr="00242BF1" w:rsidRDefault="006F5591" w:rsidP="00E162A6">
      <w:pPr>
        <w:pStyle w:val="Heading4"/>
        <w:keepLines w:val="0"/>
        <w:widowControl w:val="0"/>
        <w:spacing w:before="200" w:after="200"/>
        <w:ind w:hanging="567"/>
        <w:jc w:val="left"/>
        <w:rPr>
          <w:rFonts w:ascii="Arial" w:hAnsi="Arial" w:cs="Arial"/>
          <w:sz w:val="22"/>
        </w:rPr>
      </w:pPr>
      <w:r w:rsidRPr="00242BF1">
        <w:rPr>
          <w:rStyle w:val="normaltextrun"/>
          <w:rFonts w:ascii="Arial" w:hAnsi="Arial" w:cs="Arial"/>
          <w:color w:val="000000"/>
        </w:rPr>
        <w:t>[REDACTED]</w:t>
      </w:r>
      <w:r w:rsidR="006D4791" w:rsidRPr="00242BF1">
        <w:rPr>
          <w:rFonts w:ascii="Arial" w:hAnsi="Arial" w:cs="Arial"/>
          <w:sz w:val="22"/>
        </w:rPr>
        <w:t xml:space="preserve"> </w:t>
      </w:r>
    </w:p>
    <w:p w14:paraId="3D7926AF" w14:textId="32EE3ED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For the attention of</w:t>
      </w:r>
      <w:r w:rsidR="006F5591" w:rsidRPr="00242BF1">
        <w:rPr>
          <w:rFonts w:ascii="Arial" w:hAnsi="Arial" w:cs="Arial"/>
          <w:sz w:val="22"/>
        </w:rPr>
        <w:t xml:space="preserve"> </w:t>
      </w:r>
      <w:r w:rsidR="006F5591" w:rsidRPr="00242BF1">
        <w:rPr>
          <w:rStyle w:val="normaltextrun"/>
          <w:rFonts w:ascii="Arial" w:hAnsi="Arial" w:cs="Arial"/>
          <w:color w:val="000000"/>
        </w:rPr>
        <w:t>[REDACTED]</w:t>
      </w:r>
    </w:p>
    <w:p w14:paraId="6BCDEF46"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Any notice served by the Guarantor to the Beneficiary under this Deed of Guarantee shall be in writing, addressed to:</w:t>
      </w:r>
    </w:p>
    <w:p w14:paraId="40941D28" w14:textId="77777777" w:rsidR="00906772" w:rsidRPr="00242BF1" w:rsidRDefault="00906772" w:rsidP="00906772">
      <w:pPr>
        <w:pStyle w:val="Heading4"/>
        <w:keepLines w:val="0"/>
        <w:widowControl w:val="0"/>
        <w:spacing w:before="200" w:after="200"/>
        <w:ind w:hanging="567"/>
        <w:jc w:val="left"/>
        <w:rPr>
          <w:rFonts w:ascii="Arial" w:hAnsi="Arial" w:cs="Arial"/>
          <w:sz w:val="22"/>
        </w:rPr>
      </w:pPr>
      <w:r w:rsidRPr="00242BF1">
        <w:rPr>
          <w:rFonts w:ascii="Arial" w:hAnsi="Arial" w:cs="Arial"/>
          <w:sz w:val="22"/>
        </w:rPr>
        <w:t>Department for Work and Pensions, Quarry House, Quarry Hill, Leeds, LS2 7UE</w:t>
      </w:r>
    </w:p>
    <w:p w14:paraId="6DD4480D" w14:textId="17154974"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For the attention of </w:t>
      </w:r>
      <w:r w:rsidR="006F5591" w:rsidRPr="00242BF1">
        <w:rPr>
          <w:rStyle w:val="normaltextrun"/>
          <w:rFonts w:ascii="Arial" w:hAnsi="Arial" w:cs="Arial"/>
          <w:color w:val="000000"/>
        </w:rPr>
        <w:t>[REDACTED]</w:t>
      </w:r>
    </w:p>
    <w:p w14:paraId="03DD098C"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Any notice or demand served on the </w:t>
      </w:r>
      <w:proofErr w:type="gramStart"/>
      <w:r w:rsidRPr="00242BF1">
        <w:rPr>
          <w:rFonts w:cs="Arial"/>
          <w:sz w:val="22"/>
        </w:rPr>
        <w:t>Guarantor</w:t>
      </w:r>
      <w:proofErr w:type="gramEnd"/>
      <w:r w:rsidRPr="00242BF1">
        <w:rPr>
          <w:rFonts w:cs="Arial"/>
          <w:sz w:val="22"/>
        </w:rPr>
        <w:t xml:space="preserve"> or the Beneficiary under this Deed of Guarantee shall be deemed to have been served:</w:t>
      </w:r>
    </w:p>
    <w:p w14:paraId="63559331"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lastRenderedPageBreak/>
        <w:t>if delivered by hand, at the time of delivery; or</w:t>
      </w:r>
    </w:p>
    <w:p w14:paraId="64FCA513"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if posted, at 10.00am on the second Working Day after it was put into the post.</w:t>
      </w:r>
    </w:p>
    <w:p w14:paraId="4B55C7C8"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242BF1">
        <w:rPr>
          <w:rFonts w:ascii="Arial" w:hAnsi="Arial" w:cs="Arial"/>
          <w:b w:val="0"/>
          <w:color w:val="365F91"/>
          <w:sz w:val="32"/>
        </w:rPr>
        <w:t>Beneficiary's protections</w:t>
      </w:r>
      <w:bookmarkEnd w:id="11"/>
    </w:p>
    <w:p w14:paraId="49045876"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This Deed of Guarantee shall be a continuing security for the Guaranteed Obligations and accordingly:</w:t>
      </w:r>
    </w:p>
    <w:p w14:paraId="3115174E"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w:t>
      </w:r>
      <w:proofErr w:type="gramStart"/>
      <w:r w:rsidRPr="00242BF1">
        <w:rPr>
          <w:rFonts w:ascii="Arial" w:hAnsi="Arial" w:cs="Arial"/>
          <w:sz w:val="22"/>
        </w:rPr>
        <w:t>Guarantee;</w:t>
      </w:r>
      <w:proofErr w:type="gramEnd"/>
    </w:p>
    <w:p w14:paraId="112BC9E7"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rsidRPr="00242BF1">
        <w:rPr>
          <w:rFonts w:ascii="Arial" w:hAnsi="Arial" w:cs="Arial"/>
          <w:sz w:val="22"/>
        </w:rPr>
        <w:t>person;</w:t>
      </w:r>
      <w:proofErr w:type="gramEnd"/>
    </w:p>
    <w:p w14:paraId="57ED7018"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242BF1">
        <w:rPr>
          <w:rFonts w:cs="Arial"/>
          <w:sz w:val="22"/>
        </w:rPr>
        <w:lastRenderedPageBreak/>
        <w:t>hereunder.</w:t>
      </w:r>
    </w:p>
    <w:p w14:paraId="3F7B09B9"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242BF1">
        <w:rPr>
          <w:rFonts w:ascii="Arial" w:hAnsi="Arial" w:cs="Arial"/>
          <w:b w:val="0"/>
          <w:color w:val="365F91"/>
          <w:sz w:val="32"/>
        </w:rPr>
        <w:t>Guarantor intent</w:t>
      </w:r>
      <w:bookmarkEnd w:id="12"/>
    </w:p>
    <w:p w14:paraId="63C83699" w14:textId="4720A704" w:rsidR="00A5142B" w:rsidRPr="00242BF1" w:rsidRDefault="00A5142B" w:rsidP="00E162A6">
      <w:pPr>
        <w:widowControl w:val="0"/>
        <w:spacing w:before="200" w:after="200"/>
        <w:ind w:left="851"/>
        <w:rPr>
          <w:sz w:val="22"/>
          <w:szCs w:val="22"/>
        </w:rPr>
      </w:pPr>
      <w:bookmarkStart w:id="13" w:name="_Toc350434248"/>
      <w:bookmarkStart w:id="14" w:name="_Toc350760606"/>
      <w:r w:rsidRPr="00242BF1">
        <w:rPr>
          <w:sz w:val="22"/>
          <w:szCs w:val="22"/>
        </w:rPr>
        <w:t xml:space="preserve">Without prejudice to the generality of Clause </w:t>
      </w:r>
      <w:r w:rsidRPr="00242BF1">
        <w:rPr>
          <w:sz w:val="22"/>
          <w:szCs w:val="22"/>
        </w:rPr>
        <w:fldChar w:fldCharType="begin"/>
      </w:r>
      <w:r w:rsidRPr="00242BF1">
        <w:rPr>
          <w:sz w:val="22"/>
          <w:szCs w:val="22"/>
        </w:rPr>
        <w:instrText xml:space="preserve"> REF _Ref162515547 \w \h </w:instrText>
      </w:r>
      <w:r w:rsidR="00242BF1">
        <w:rPr>
          <w:sz w:val="22"/>
          <w:szCs w:val="22"/>
        </w:rPr>
        <w:instrText xml:space="preserve"> \* MERGEFORMAT </w:instrText>
      </w:r>
      <w:r w:rsidRPr="00242BF1">
        <w:rPr>
          <w:sz w:val="22"/>
          <w:szCs w:val="22"/>
        </w:rPr>
      </w:r>
      <w:r w:rsidRPr="00242BF1">
        <w:rPr>
          <w:sz w:val="22"/>
          <w:szCs w:val="22"/>
        </w:rPr>
        <w:fldChar w:fldCharType="separate"/>
      </w:r>
      <w:r w:rsidRPr="00242BF1">
        <w:rPr>
          <w:sz w:val="22"/>
          <w:szCs w:val="22"/>
        </w:rPr>
        <w:t>5</w:t>
      </w:r>
      <w:r w:rsidRPr="00242BF1">
        <w:rPr>
          <w:sz w:val="22"/>
          <w:szCs w:val="22"/>
        </w:rPr>
        <w:fldChar w:fldCharType="end"/>
      </w:r>
      <w:r w:rsidRPr="00242BF1">
        <w:rPr>
          <w:sz w:val="22"/>
          <w:szCs w:val="22"/>
        </w:rPr>
        <w:t xml:space="preserve"> (</w:t>
      </w:r>
      <w:r w:rsidRPr="00242BF1">
        <w:rPr>
          <w:sz w:val="22"/>
          <w:szCs w:val="22"/>
        </w:rPr>
        <w:fldChar w:fldCharType="begin"/>
      </w:r>
      <w:r w:rsidRPr="00242BF1">
        <w:rPr>
          <w:sz w:val="22"/>
          <w:szCs w:val="22"/>
        </w:rPr>
        <w:instrText xml:space="preserve"> REF _Ref162515547 \h \*CHARFORMAT </w:instrText>
      </w:r>
      <w:r w:rsidR="00242BF1">
        <w:rPr>
          <w:sz w:val="22"/>
          <w:szCs w:val="22"/>
        </w:rPr>
        <w:instrText xml:space="preserve"> \* MERGEFORMAT </w:instrText>
      </w:r>
      <w:r w:rsidRPr="00242BF1">
        <w:rPr>
          <w:sz w:val="22"/>
          <w:szCs w:val="22"/>
        </w:rPr>
      </w:r>
      <w:r w:rsidRPr="00242BF1">
        <w:rPr>
          <w:sz w:val="22"/>
          <w:szCs w:val="22"/>
        </w:rPr>
        <w:fldChar w:fldCharType="separate"/>
      </w:r>
      <w:r w:rsidRPr="00242BF1">
        <w:rPr>
          <w:sz w:val="22"/>
          <w:szCs w:val="22"/>
        </w:rPr>
        <w:t>Beneficiary's protections</w:t>
      </w:r>
      <w:r w:rsidRPr="00242BF1">
        <w:rPr>
          <w:sz w:val="22"/>
          <w:szCs w:val="22"/>
        </w:rPr>
        <w:fldChar w:fldCharType="end"/>
      </w:r>
      <w:r w:rsidRPr="00242BF1">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Rights of subrogation</w:t>
      </w:r>
    </w:p>
    <w:p w14:paraId="3AC1DA5F"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of subrogation and </w:t>
      </w:r>
      <w:proofErr w:type="gramStart"/>
      <w:r w:rsidRPr="00242BF1">
        <w:rPr>
          <w:rFonts w:ascii="Arial" w:hAnsi="Arial" w:cs="Arial"/>
          <w:sz w:val="22"/>
        </w:rPr>
        <w:t>indemnity;</w:t>
      </w:r>
      <w:proofErr w:type="gramEnd"/>
    </w:p>
    <w:p w14:paraId="5C1F9B9D" w14:textId="77777777" w:rsidR="00A5142B" w:rsidRPr="00242BF1" w:rsidRDefault="00A5142B" w:rsidP="00E162A6">
      <w:pPr>
        <w:pStyle w:val="Heading4"/>
        <w:keepLines w:val="0"/>
        <w:widowControl w:val="0"/>
        <w:tabs>
          <w:tab w:val="clear" w:pos="1418"/>
        </w:tabs>
        <w:spacing w:before="200" w:after="200"/>
        <w:ind w:hanging="567"/>
        <w:jc w:val="left"/>
        <w:rPr>
          <w:rFonts w:ascii="Arial" w:hAnsi="Arial" w:cs="Arial"/>
          <w:sz w:val="22"/>
        </w:rPr>
      </w:pPr>
      <w:r w:rsidRPr="00242BF1">
        <w:rPr>
          <w:rFonts w:ascii="Arial" w:hAnsi="Arial" w:cs="Arial"/>
          <w:sz w:val="22"/>
        </w:rPr>
        <w:t>to take the benefit of, share in or enforce any security or other guarantee or indemnity for the Supplier’s obligations; and</w:t>
      </w:r>
    </w:p>
    <w:p w14:paraId="43A1AD07" w14:textId="77777777" w:rsidR="00A5142B" w:rsidRPr="00242BF1" w:rsidRDefault="00A5142B" w:rsidP="00E162A6">
      <w:pPr>
        <w:pStyle w:val="Heading4"/>
        <w:keepLines w:val="0"/>
        <w:widowControl w:val="0"/>
        <w:tabs>
          <w:tab w:val="clear" w:pos="1418"/>
        </w:tabs>
        <w:spacing w:before="200" w:after="200"/>
        <w:ind w:hanging="567"/>
        <w:jc w:val="left"/>
        <w:rPr>
          <w:rFonts w:ascii="Arial" w:hAnsi="Arial" w:cs="Arial"/>
          <w:sz w:val="22"/>
        </w:rPr>
      </w:pPr>
      <w:r w:rsidRPr="00242BF1">
        <w:rPr>
          <w:rFonts w:ascii="Arial" w:hAnsi="Arial" w:cs="Arial"/>
          <w:sz w:val="22"/>
        </w:rPr>
        <w:t>to prove in the liquidation or insolvency of the Supplier,</w:t>
      </w:r>
    </w:p>
    <w:p w14:paraId="2C77BAF6" w14:textId="60325EAF" w:rsidR="00A5142B" w:rsidRPr="00242BF1" w:rsidRDefault="00A5142B" w:rsidP="00E162A6">
      <w:pPr>
        <w:widowControl w:val="0"/>
        <w:numPr>
          <w:ilvl w:val="12"/>
          <w:numId w:val="0"/>
        </w:numPr>
        <w:spacing w:before="200" w:after="200"/>
        <w:ind w:left="851"/>
        <w:rPr>
          <w:sz w:val="22"/>
          <w:szCs w:val="22"/>
        </w:rPr>
      </w:pPr>
      <w:r w:rsidRPr="00242BF1">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242BF1">
        <w:rPr>
          <w:b/>
          <w:sz w:val="22"/>
          <w:szCs w:val="22"/>
        </w:rPr>
        <w:t>Guarantee Estimate Amount</w:t>
      </w:r>
      <w:r w:rsidRPr="00242BF1">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762982" w:rsidRPr="00242BF1">
        <w:rPr>
          <w:sz w:val="22"/>
          <w:szCs w:val="22"/>
        </w:rPr>
        <w:br/>
      </w:r>
    </w:p>
    <w:p w14:paraId="1E2F27E4" w14:textId="77777777" w:rsidR="00762982" w:rsidRPr="00242BF1" w:rsidRDefault="00762982" w:rsidP="00E162A6">
      <w:pPr>
        <w:widowControl w:val="0"/>
        <w:numPr>
          <w:ilvl w:val="12"/>
          <w:numId w:val="0"/>
        </w:numPr>
        <w:spacing w:before="200" w:after="200"/>
        <w:ind w:left="851"/>
        <w:rPr>
          <w:sz w:val="22"/>
          <w:szCs w:val="22"/>
        </w:rPr>
      </w:pPr>
    </w:p>
    <w:p w14:paraId="084C4BE8"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242BF1">
        <w:rPr>
          <w:rFonts w:ascii="Arial" w:hAnsi="Arial" w:cs="Arial"/>
          <w:b w:val="0"/>
          <w:color w:val="365F91"/>
          <w:sz w:val="32"/>
        </w:rPr>
        <w:lastRenderedPageBreak/>
        <w:t>Deferral of rights</w:t>
      </w:r>
      <w:bookmarkEnd w:id="15"/>
      <w:bookmarkEnd w:id="16"/>
    </w:p>
    <w:p w14:paraId="7208C344"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claim any contribution from any other guarantor of the Supplier’s obligations under the Guaranteed Agreement; or</w:t>
      </w:r>
    </w:p>
    <w:p w14:paraId="62465902"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exercise any rights it may have to be indemnified by the </w:t>
      </w:r>
      <w:proofErr w:type="gramStart"/>
      <w:r w:rsidRPr="00242BF1">
        <w:rPr>
          <w:rFonts w:ascii="Arial" w:hAnsi="Arial" w:cs="Arial"/>
          <w:sz w:val="22"/>
        </w:rPr>
        <w:t>Supplier;</w:t>
      </w:r>
      <w:proofErr w:type="gramEnd"/>
    </w:p>
    <w:p w14:paraId="0D819430"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demand or accept repayment in whole or in part of any indebtedness now or hereafter due from the Supplier; or</w:t>
      </w:r>
    </w:p>
    <w:p w14:paraId="3F1EB25B"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claim any set</w:t>
      </w:r>
      <w:r w:rsidRPr="00242BF1">
        <w:rPr>
          <w:rFonts w:ascii="Arial" w:hAnsi="Arial" w:cs="Arial"/>
          <w:sz w:val="22"/>
        </w:rPr>
        <w:noBreakHyphen/>
        <w:t>off or counterclaim against the Supplier.</w:t>
      </w:r>
    </w:p>
    <w:p w14:paraId="17AD1A63" w14:textId="4AB41214"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If the Guarantor receives any payment or other benefit or exercises any set off or counterclaim or otherwise acts in breach of this Clause </w:t>
      </w:r>
      <w:r w:rsidRPr="00242BF1">
        <w:rPr>
          <w:rFonts w:cs="Arial"/>
          <w:sz w:val="22"/>
        </w:rPr>
        <w:fldChar w:fldCharType="begin"/>
      </w:r>
      <w:r w:rsidRPr="00242BF1">
        <w:rPr>
          <w:rFonts w:cs="Arial"/>
          <w:sz w:val="22"/>
        </w:rPr>
        <w:instrText xml:space="preserve"> REF _Ref162515607 \w \h </w:instrText>
      </w:r>
      <w:r w:rsidR="00242BF1">
        <w:rPr>
          <w:rFonts w:cs="Arial"/>
          <w:sz w:val="22"/>
        </w:rPr>
        <w:instrText xml:space="preserve"> \* MERGEFORMAT </w:instrText>
      </w:r>
      <w:r w:rsidRPr="00242BF1">
        <w:rPr>
          <w:rFonts w:cs="Arial"/>
          <w:sz w:val="22"/>
        </w:rPr>
      </w:r>
      <w:r w:rsidRPr="00242BF1">
        <w:rPr>
          <w:rFonts w:cs="Arial"/>
          <w:sz w:val="22"/>
        </w:rPr>
        <w:fldChar w:fldCharType="separate"/>
      </w:r>
      <w:r w:rsidRPr="00242BF1">
        <w:rPr>
          <w:rFonts w:cs="Arial"/>
          <w:sz w:val="22"/>
        </w:rPr>
        <w:t>8</w:t>
      </w:r>
      <w:r w:rsidRPr="00242BF1">
        <w:rPr>
          <w:rFonts w:cs="Arial"/>
          <w:sz w:val="22"/>
        </w:rPr>
        <w:fldChar w:fldCharType="end"/>
      </w:r>
      <w:r w:rsidRPr="00242BF1">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Representations and warranties</w:t>
      </w:r>
    </w:p>
    <w:p w14:paraId="562AD1B8"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The Guarantor hereby represents and warrants to the Beneficiary that:</w:t>
      </w:r>
    </w:p>
    <w:p w14:paraId="43BC5C3B"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sidRPr="00242BF1">
        <w:rPr>
          <w:rFonts w:cs="Arial"/>
          <w:sz w:val="22"/>
        </w:rPr>
        <w:t>assets;</w:t>
      </w:r>
      <w:proofErr w:type="gramEnd"/>
    </w:p>
    <w:p w14:paraId="2C2B1BDA"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242BF1">
        <w:rPr>
          <w:rFonts w:cs="Arial"/>
          <w:sz w:val="22"/>
        </w:rPr>
        <w:t>Guarantee;</w:t>
      </w:r>
      <w:proofErr w:type="gramEnd"/>
    </w:p>
    <w:p w14:paraId="0CD83A90" w14:textId="792669FF"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242BF1">
        <w:rPr>
          <w:rFonts w:cs="Arial"/>
          <w:sz w:val="22"/>
        </w:rPr>
        <w:fldChar w:fldCharType="begin"/>
      </w:r>
      <w:r w:rsidRPr="00242BF1">
        <w:rPr>
          <w:rFonts w:cs="Arial"/>
          <w:sz w:val="22"/>
        </w:rPr>
        <w:instrText xml:space="preserve"> REF _Ref162515616 \w \h </w:instrText>
      </w:r>
      <w:r w:rsidR="00242BF1">
        <w:rPr>
          <w:rFonts w:cs="Arial"/>
          <w:sz w:val="22"/>
        </w:rPr>
        <w:instrText xml:space="preserve"> \* MERGEFORMAT </w:instrText>
      </w:r>
      <w:r w:rsidRPr="00242BF1">
        <w:rPr>
          <w:rFonts w:cs="Arial"/>
          <w:sz w:val="22"/>
        </w:rPr>
      </w:r>
      <w:r w:rsidRPr="00242BF1">
        <w:rPr>
          <w:rFonts w:cs="Arial"/>
          <w:sz w:val="22"/>
        </w:rPr>
        <w:fldChar w:fldCharType="separate"/>
      </w:r>
      <w:r w:rsidRPr="00242BF1">
        <w:rPr>
          <w:rFonts w:cs="Arial"/>
          <w:sz w:val="22"/>
        </w:rPr>
        <w:t>3</w:t>
      </w:r>
      <w:r w:rsidRPr="00242BF1">
        <w:rPr>
          <w:rFonts w:cs="Arial"/>
          <w:sz w:val="22"/>
        </w:rPr>
        <w:fldChar w:fldCharType="end"/>
      </w:r>
      <w:r w:rsidRPr="00242BF1">
        <w:rPr>
          <w:rFonts w:cs="Arial"/>
          <w:sz w:val="22"/>
        </w:rPr>
        <w:t>) have been duly authorised by all necessary corporate action and do not contravene or conflict with:</w:t>
      </w:r>
    </w:p>
    <w:p w14:paraId="5E4B5AE9"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the Guarantor's memorandum and articles of association or other equivalent constitutional </w:t>
      </w:r>
      <w:proofErr w:type="gramStart"/>
      <w:r w:rsidRPr="00242BF1">
        <w:rPr>
          <w:rFonts w:ascii="Arial" w:hAnsi="Arial" w:cs="Arial"/>
          <w:sz w:val="22"/>
        </w:rPr>
        <w:t>documents;</w:t>
      </w:r>
      <w:proofErr w:type="gramEnd"/>
    </w:p>
    <w:p w14:paraId="0BEB8A1E"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any existing law, statute, rule or regulation or any judgment, decree or permit to which the Guarantor is subject; or</w:t>
      </w:r>
    </w:p>
    <w:p w14:paraId="661E62D5" w14:textId="77777777" w:rsidR="00A5142B" w:rsidRPr="00242BF1" w:rsidRDefault="00A5142B" w:rsidP="00E162A6">
      <w:pPr>
        <w:pStyle w:val="Heading4"/>
        <w:keepLines w:val="0"/>
        <w:widowControl w:val="0"/>
        <w:spacing w:before="200" w:after="200"/>
        <w:ind w:hanging="567"/>
        <w:jc w:val="left"/>
        <w:rPr>
          <w:rFonts w:ascii="Arial" w:hAnsi="Arial" w:cs="Arial"/>
          <w:sz w:val="22"/>
        </w:rPr>
      </w:pPr>
      <w:r w:rsidRPr="00242BF1">
        <w:rPr>
          <w:rFonts w:ascii="Arial" w:hAnsi="Arial" w:cs="Arial"/>
          <w:sz w:val="22"/>
        </w:rPr>
        <w:t xml:space="preserve">the terms of any agreement or other document to which the Guarantor is a party or which is binding upon it or any of its </w:t>
      </w:r>
      <w:proofErr w:type="gramStart"/>
      <w:r w:rsidRPr="00242BF1">
        <w:rPr>
          <w:rFonts w:ascii="Arial" w:hAnsi="Arial" w:cs="Arial"/>
          <w:sz w:val="22"/>
        </w:rPr>
        <w:t>assets;</w:t>
      </w:r>
      <w:proofErr w:type="gramEnd"/>
    </w:p>
    <w:p w14:paraId="36C27F96"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 xml:space="preserve">all governmental and other authorisations, approvals, licences and consents, required or </w:t>
      </w:r>
      <w:r w:rsidRPr="00242BF1">
        <w:rPr>
          <w:rFonts w:cs="Arial"/>
          <w:sz w:val="22"/>
        </w:rPr>
        <w:lastRenderedPageBreak/>
        <w:t>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this Deed of Guarantee is the legal valid and binding obligation of the Guarantor and is enforceable against the Guarantor in accordance with its terms.</w:t>
      </w:r>
    </w:p>
    <w:p w14:paraId="0E58589D"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Payments and set-off</w:t>
      </w:r>
    </w:p>
    <w:p w14:paraId="6E4C2F49"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Guarantor's acknowledgement</w:t>
      </w:r>
    </w:p>
    <w:p w14:paraId="00015D8C"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Assignment</w:t>
      </w:r>
    </w:p>
    <w:p w14:paraId="59CE47F8"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may not assign or transfer any of its rights and/or obligations under this Deed of Guarantee.</w:t>
      </w:r>
    </w:p>
    <w:p w14:paraId="311442A4"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Severance</w:t>
      </w:r>
    </w:p>
    <w:p w14:paraId="714D610C"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t>Third party rights</w:t>
      </w:r>
    </w:p>
    <w:p w14:paraId="13689642" w14:textId="77777777" w:rsidR="00A5142B" w:rsidRPr="00242BF1" w:rsidRDefault="00A5142B" w:rsidP="00E162A6">
      <w:pPr>
        <w:widowControl w:val="0"/>
        <w:numPr>
          <w:ilvl w:val="12"/>
          <w:numId w:val="0"/>
        </w:numPr>
        <w:spacing w:before="200" w:after="200"/>
        <w:ind w:left="851"/>
        <w:rPr>
          <w:sz w:val="22"/>
          <w:szCs w:val="22"/>
        </w:rPr>
      </w:pPr>
      <w:r w:rsidRPr="00242BF1">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242BF1"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42BF1">
        <w:rPr>
          <w:rFonts w:ascii="Arial" w:hAnsi="Arial" w:cs="Arial"/>
          <w:b w:val="0"/>
          <w:color w:val="365F91"/>
          <w:sz w:val="32"/>
        </w:rPr>
        <w:lastRenderedPageBreak/>
        <w:t>Governing law</w:t>
      </w:r>
    </w:p>
    <w:p w14:paraId="2AE0B195"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613C7702" w:rsidR="00A5142B" w:rsidRPr="00242BF1" w:rsidRDefault="00A5142B" w:rsidP="00E162A6">
      <w:pPr>
        <w:pStyle w:val="Heading3"/>
        <w:keepLines w:val="0"/>
        <w:widowControl w:val="0"/>
        <w:tabs>
          <w:tab w:val="clear" w:pos="709"/>
        </w:tabs>
        <w:spacing w:before="200" w:after="200"/>
        <w:ind w:left="851" w:hanging="851"/>
        <w:jc w:val="left"/>
        <w:rPr>
          <w:rFonts w:cs="Arial"/>
          <w:sz w:val="22"/>
        </w:rPr>
      </w:pPr>
      <w:r w:rsidRPr="00242BF1">
        <w:rPr>
          <w:rFonts w:cs="Arial"/>
          <w:sz w:val="22"/>
        </w:rPr>
        <w:t>The Guarantor hereby irrevocably designates, appoints and empowers the Supplier at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If for any reason the Supplier ceases to be able to act as agent or no longer has a registered office in England or Wales, the Guarantor shall appoint a substitute acceptable to the Beneficiary and deliver to the Beneficiary the new agent’s name and address within England and Wales.</w:t>
      </w:r>
    </w:p>
    <w:p w14:paraId="2E3F2470" w14:textId="77777777" w:rsidR="00A5142B" w:rsidRPr="00242BF1"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242BF1"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242BF1">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142B" w:rsidRPr="00242BF1" w14:paraId="0BCDA635" w14:textId="77777777" w:rsidTr="004F366C">
        <w:trPr>
          <w:cantSplit/>
          <w:jc w:val="center"/>
        </w:trPr>
        <w:tc>
          <w:tcPr>
            <w:tcW w:w="9072" w:type="dxa"/>
          </w:tcPr>
          <w:p w14:paraId="20919353" w14:textId="77777777" w:rsidR="00A5142B" w:rsidRPr="00242BF1"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bl>
    <w:p w14:paraId="44E182B0" w14:textId="77777777" w:rsidR="00A5142B" w:rsidRPr="00242BF1" w:rsidRDefault="00A5142B" w:rsidP="00E162A6">
      <w:pPr>
        <w:keepNext/>
        <w:widowControl w:val="0"/>
        <w:tabs>
          <w:tab w:val="left" w:pos="6804"/>
        </w:tabs>
        <w:suppressAutoHyphens/>
        <w:spacing w:before="720" w:after="120"/>
        <w:rPr>
          <w:b/>
          <w:sz w:val="22"/>
          <w:szCs w:val="22"/>
        </w:rPr>
      </w:pPr>
    </w:p>
    <w:tbl>
      <w:tblPr>
        <w:tblW w:w="9072" w:type="dxa"/>
        <w:jc w:val="center"/>
        <w:tblCellMar>
          <w:left w:w="0" w:type="dxa"/>
          <w:right w:w="0" w:type="dxa"/>
        </w:tblCellMar>
        <w:tblLook w:val="04A0" w:firstRow="1" w:lastRow="0" w:firstColumn="1" w:lastColumn="0" w:noHBand="0" w:noVBand="1"/>
      </w:tblPr>
      <w:tblGrid>
        <w:gridCol w:w="4536"/>
        <w:gridCol w:w="4536"/>
      </w:tblGrid>
      <w:tr w:rsidR="00A5142B" w:rsidRPr="00242BF1" w14:paraId="030476A4" w14:textId="77777777" w:rsidTr="004F366C">
        <w:trPr>
          <w:cantSplit/>
          <w:jc w:val="center"/>
        </w:trPr>
        <w:tc>
          <w:tcPr>
            <w:tcW w:w="4508" w:type="dxa"/>
            <w:vMerge w:val="restart"/>
            <w:tcMar>
              <w:top w:w="0" w:type="dxa"/>
              <w:left w:w="108" w:type="dxa"/>
              <w:bottom w:w="0" w:type="dxa"/>
              <w:right w:w="108" w:type="dxa"/>
            </w:tcMar>
            <w:vAlign w:val="center"/>
            <w:hideMark/>
          </w:tcPr>
          <w:p w14:paraId="5AF7CA51" w14:textId="77777777" w:rsidR="00A5142B" w:rsidRPr="00242BF1" w:rsidRDefault="00A5142B" w:rsidP="00E162A6">
            <w:pPr>
              <w:ind w:left="425" w:right="425"/>
              <w:rPr>
                <w:sz w:val="22"/>
                <w:szCs w:val="22"/>
              </w:rPr>
            </w:pPr>
            <w:r w:rsidRPr="00242BF1">
              <w:rPr>
                <w:sz w:val="22"/>
                <w:szCs w:val="22"/>
              </w:rPr>
              <w:t>Executed as a deed by [Guarantor’s legal name], a company incorporated in [TERRITORY], acting by [full name of authorised signatory] [and [full name of authorised signatory]] who, in accordance with the laws of that territory, [is OR are] acting under the authority of the company</w:t>
            </w:r>
          </w:p>
        </w:tc>
        <w:tc>
          <w:tcPr>
            <w:tcW w:w="4508" w:type="dxa"/>
            <w:tcMar>
              <w:top w:w="0" w:type="dxa"/>
              <w:left w:w="108" w:type="dxa"/>
              <w:bottom w:w="0" w:type="dxa"/>
              <w:right w:w="108" w:type="dxa"/>
            </w:tcMar>
          </w:tcPr>
          <w:p w14:paraId="6F197092" w14:textId="77777777" w:rsidR="00A5142B" w:rsidRPr="00242BF1" w:rsidRDefault="00A5142B" w:rsidP="00E162A6">
            <w:pPr>
              <w:rPr>
                <w:sz w:val="22"/>
                <w:szCs w:val="22"/>
              </w:rPr>
            </w:pPr>
          </w:p>
          <w:p w14:paraId="3E008780" w14:textId="77777777" w:rsidR="00A5142B" w:rsidRPr="00242BF1" w:rsidRDefault="00A5142B" w:rsidP="00E162A6">
            <w:pPr>
              <w:rPr>
                <w:sz w:val="22"/>
                <w:szCs w:val="22"/>
              </w:rPr>
            </w:pPr>
            <w:r w:rsidRPr="00242BF1">
              <w:rPr>
                <w:sz w:val="22"/>
                <w:szCs w:val="22"/>
              </w:rPr>
              <w:t>……………………………………</w:t>
            </w:r>
          </w:p>
          <w:p w14:paraId="355B1A15" w14:textId="77777777" w:rsidR="00A5142B" w:rsidRPr="00242BF1" w:rsidRDefault="00A5142B" w:rsidP="00E162A6">
            <w:pPr>
              <w:rPr>
                <w:sz w:val="22"/>
                <w:szCs w:val="22"/>
              </w:rPr>
            </w:pPr>
            <w:r w:rsidRPr="00242BF1">
              <w:rPr>
                <w:sz w:val="22"/>
                <w:szCs w:val="22"/>
              </w:rPr>
              <w:t>Authorised signatory</w:t>
            </w:r>
          </w:p>
        </w:tc>
      </w:tr>
      <w:tr w:rsidR="00A5142B" w:rsidRPr="00EA2417" w14:paraId="455E2614" w14:textId="77777777" w:rsidTr="004F366C">
        <w:trPr>
          <w:cantSplit/>
          <w:jc w:val="center"/>
        </w:trPr>
        <w:tc>
          <w:tcPr>
            <w:tcW w:w="0" w:type="auto"/>
            <w:vMerge/>
            <w:vAlign w:val="center"/>
            <w:hideMark/>
          </w:tcPr>
          <w:p w14:paraId="5D483157" w14:textId="77777777" w:rsidR="00A5142B" w:rsidRPr="00242BF1" w:rsidRDefault="00A5142B" w:rsidP="00E162A6">
            <w:pPr>
              <w:rPr>
                <w:sz w:val="22"/>
                <w:szCs w:val="22"/>
              </w:rPr>
            </w:pPr>
          </w:p>
        </w:tc>
        <w:tc>
          <w:tcPr>
            <w:tcW w:w="4508" w:type="dxa"/>
            <w:tcMar>
              <w:top w:w="0" w:type="dxa"/>
              <w:left w:w="108" w:type="dxa"/>
              <w:bottom w:w="0" w:type="dxa"/>
              <w:right w:w="108" w:type="dxa"/>
            </w:tcMar>
          </w:tcPr>
          <w:p w14:paraId="3599C68D" w14:textId="77777777" w:rsidR="00A5142B" w:rsidRPr="00242BF1" w:rsidRDefault="00A5142B" w:rsidP="00E162A6">
            <w:pPr>
              <w:rPr>
                <w:sz w:val="22"/>
                <w:szCs w:val="22"/>
              </w:rPr>
            </w:pPr>
          </w:p>
          <w:p w14:paraId="6762E7F0" w14:textId="77777777" w:rsidR="00A5142B" w:rsidRPr="00242BF1" w:rsidRDefault="00A5142B" w:rsidP="00E162A6">
            <w:pPr>
              <w:rPr>
                <w:sz w:val="22"/>
                <w:szCs w:val="22"/>
              </w:rPr>
            </w:pPr>
            <w:r w:rsidRPr="00242BF1">
              <w:rPr>
                <w:sz w:val="22"/>
                <w:szCs w:val="22"/>
              </w:rPr>
              <w:t xml:space="preserve">[……………………………………] </w:t>
            </w:r>
          </w:p>
          <w:p w14:paraId="5868BE6C" w14:textId="77777777" w:rsidR="00A5142B" w:rsidRPr="00EA2417" w:rsidRDefault="00A5142B" w:rsidP="00E162A6">
            <w:pPr>
              <w:rPr>
                <w:sz w:val="22"/>
                <w:szCs w:val="22"/>
              </w:rPr>
            </w:pPr>
            <w:r w:rsidRPr="00242BF1">
              <w:rPr>
                <w:sz w:val="22"/>
                <w:szCs w:val="22"/>
              </w:rPr>
              <w:t>[Authorised signatory]}]</w:t>
            </w:r>
          </w:p>
        </w:tc>
      </w:tr>
    </w:tbl>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8A18B" w14:textId="77777777" w:rsidR="00FD5DAF" w:rsidRDefault="00FD5DAF" w:rsidP="008B37D2">
      <w:r>
        <w:separator/>
      </w:r>
    </w:p>
  </w:endnote>
  <w:endnote w:type="continuationSeparator" w:id="0">
    <w:p w14:paraId="294970E2" w14:textId="77777777" w:rsidR="00FD5DAF" w:rsidRDefault="00FD5DAF" w:rsidP="008B37D2">
      <w:r>
        <w:continuationSeparator/>
      </w:r>
    </w:p>
  </w:endnote>
  <w:endnote w:type="continuationNotice" w:id="1">
    <w:p w14:paraId="1CF716DD" w14:textId="77777777" w:rsidR="00FD5DAF" w:rsidRDefault="00FD5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0FA1" w14:textId="77777777" w:rsidR="00FD5DAF" w:rsidRDefault="00FD5DAF" w:rsidP="008B37D2">
      <w:r>
        <w:separator/>
      </w:r>
    </w:p>
  </w:footnote>
  <w:footnote w:type="continuationSeparator" w:id="0">
    <w:p w14:paraId="694AE532" w14:textId="77777777" w:rsidR="00FD5DAF" w:rsidRDefault="00FD5DAF" w:rsidP="008B37D2">
      <w:r>
        <w:continuationSeparator/>
      </w:r>
    </w:p>
  </w:footnote>
  <w:footnote w:type="continuationNotice" w:id="1">
    <w:p w14:paraId="4A3447F4" w14:textId="77777777" w:rsidR="00FD5DAF" w:rsidRDefault="00FD5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4E0A"/>
    <w:rsid w:val="0000525E"/>
    <w:rsid w:val="0001049C"/>
    <w:rsid w:val="00011021"/>
    <w:rsid w:val="000165A6"/>
    <w:rsid w:val="000179AE"/>
    <w:rsid w:val="000225A2"/>
    <w:rsid w:val="00024A42"/>
    <w:rsid w:val="00025D3D"/>
    <w:rsid w:val="00030321"/>
    <w:rsid w:val="00032F9A"/>
    <w:rsid w:val="00034C0B"/>
    <w:rsid w:val="00034FCA"/>
    <w:rsid w:val="00043DD2"/>
    <w:rsid w:val="0005099C"/>
    <w:rsid w:val="00051397"/>
    <w:rsid w:val="0006641C"/>
    <w:rsid w:val="000668D0"/>
    <w:rsid w:val="00067A83"/>
    <w:rsid w:val="00070D91"/>
    <w:rsid w:val="00071979"/>
    <w:rsid w:val="00075836"/>
    <w:rsid w:val="000759B4"/>
    <w:rsid w:val="00084669"/>
    <w:rsid w:val="00085700"/>
    <w:rsid w:val="00086F50"/>
    <w:rsid w:val="00090AD2"/>
    <w:rsid w:val="000A2CA6"/>
    <w:rsid w:val="000A3375"/>
    <w:rsid w:val="000A545D"/>
    <w:rsid w:val="000B124A"/>
    <w:rsid w:val="000B21C7"/>
    <w:rsid w:val="000C0CE2"/>
    <w:rsid w:val="000C0D8B"/>
    <w:rsid w:val="000C4233"/>
    <w:rsid w:val="000C4D15"/>
    <w:rsid w:val="000C6C33"/>
    <w:rsid w:val="000D1FA9"/>
    <w:rsid w:val="000D4836"/>
    <w:rsid w:val="000E1CC5"/>
    <w:rsid w:val="000E6651"/>
    <w:rsid w:val="000F031E"/>
    <w:rsid w:val="000F636A"/>
    <w:rsid w:val="000F656C"/>
    <w:rsid w:val="00103DB5"/>
    <w:rsid w:val="001052BB"/>
    <w:rsid w:val="00107796"/>
    <w:rsid w:val="00114B6C"/>
    <w:rsid w:val="00121DA5"/>
    <w:rsid w:val="00127867"/>
    <w:rsid w:val="001331B4"/>
    <w:rsid w:val="001374EF"/>
    <w:rsid w:val="001472A3"/>
    <w:rsid w:val="00150A21"/>
    <w:rsid w:val="001512B4"/>
    <w:rsid w:val="001521C4"/>
    <w:rsid w:val="0015252F"/>
    <w:rsid w:val="00153EEB"/>
    <w:rsid w:val="00154237"/>
    <w:rsid w:val="001603DE"/>
    <w:rsid w:val="0016133A"/>
    <w:rsid w:val="001628E5"/>
    <w:rsid w:val="00167920"/>
    <w:rsid w:val="0017303F"/>
    <w:rsid w:val="001740A8"/>
    <w:rsid w:val="00175EAD"/>
    <w:rsid w:val="00176535"/>
    <w:rsid w:val="0017680B"/>
    <w:rsid w:val="00187F3F"/>
    <w:rsid w:val="00191DC9"/>
    <w:rsid w:val="001B098D"/>
    <w:rsid w:val="001B12EA"/>
    <w:rsid w:val="001B2237"/>
    <w:rsid w:val="001B2E0A"/>
    <w:rsid w:val="001B6FE2"/>
    <w:rsid w:val="001C002A"/>
    <w:rsid w:val="001C2E0C"/>
    <w:rsid w:val="001C42F9"/>
    <w:rsid w:val="001D3B50"/>
    <w:rsid w:val="001D4C85"/>
    <w:rsid w:val="001D51B4"/>
    <w:rsid w:val="001E0C32"/>
    <w:rsid w:val="001F19B3"/>
    <w:rsid w:val="001F7C1F"/>
    <w:rsid w:val="002001EB"/>
    <w:rsid w:val="002079D8"/>
    <w:rsid w:val="002100D5"/>
    <w:rsid w:val="002117FD"/>
    <w:rsid w:val="00217BBD"/>
    <w:rsid w:val="0022191E"/>
    <w:rsid w:val="002251CC"/>
    <w:rsid w:val="002311F1"/>
    <w:rsid w:val="00232058"/>
    <w:rsid w:val="00235552"/>
    <w:rsid w:val="00242BF1"/>
    <w:rsid w:val="0024300B"/>
    <w:rsid w:val="0024475C"/>
    <w:rsid w:val="00247F61"/>
    <w:rsid w:val="00251EDE"/>
    <w:rsid w:val="002532D9"/>
    <w:rsid w:val="002544FF"/>
    <w:rsid w:val="00257DA9"/>
    <w:rsid w:val="002610E2"/>
    <w:rsid w:val="00261A87"/>
    <w:rsid w:val="00262266"/>
    <w:rsid w:val="0027054A"/>
    <w:rsid w:val="00272034"/>
    <w:rsid w:val="00272CB0"/>
    <w:rsid w:val="00274B49"/>
    <w:rsid w:val="00275686"/>
    <w:rsid w:val="00283504"/>
    <w:rsid w:val="0028353B"/>
    <w:rsid w:val="00285BC6"/>
    <w:rsid w:val="00287BBA"/>
    <w:rsid w:val="00293368"/>
    <w:rsid w:val="002945F1"/>
    <w:rsid w:val="00296B8E"/>
    <w:rsid w:val="0029794D"/>
    <w:rsid w:val="002A04C4"/>
    <w:rsid w:val="002A3EB2"/>
    <w:rsid w:val="002A474F"/>
    <w:rsid w:val="002A68A5"/>
    <w:rsid w:val="002B15F1"/>
    <w:rsid w:val="002B3AE7"/>
    <w:rsid w:val="002B73CC"/>
    <w:rsid w:val="002B7BF5"/>
    <w:rsid w:val="002C23F9"/>
    <w:rsid w:val="002C6C7E"/>
    <w:rsid w:val="002C6F70"/>
    <w:rsid w:val="002C7A28"/>
    <w:rsid w:val="002D7242"/>
    <w:rsid w:val="002E348F"/>
    <w:rsid w:val="002F54FC"/>
    <w:rsid w:val="00303057"/>
    <w:rsid w:val="00306F1B"/>
    <w:rsid w:val="00313B0B"/>
    <w:rsid w:val="003146CE"/>
    <w:rsid w:val="00315A92"/>
    <w:rsid w:val="00316131"/>
    <w:rsid w:val="0031697C"/>
    <w:rsid w:val="0033675C"/>
    <w:rsid w:val="00337DB9"/>
    <w:rsid w:val="00341A25"/>
    <w:rsid w:val="003515DE"/>
    <w:rsid w:val="00357CCF"/>
    <w:rsid w:val="00361055"/>
    <w:rsid w:val="00374406"/>
    <w:rsid w:val="00384C4E"/>
    <w:rsid w:val="00387960"/>
    <w:rsid w:val="003968A8"/>
    <w:rsid w:val="00396A48"/>
    <w:rsid w:val="003A01DD"/>
    <w:rsid w:val="003A1B5D"/>
    <w:rsid w:val="003A2C14"/>
    <w:rsid w:val="003A43FD"/>
    <w:rsid w:val="003C607A"/>
    <w:rsid w:val="003D10F7"/>
    <w:rsid w:val="003D2A7F"/>
    <w:rsid w:val="003D3A0C"/>
    <w:rsid w:val="003D403A"/>
    <w:rsid w:val="003D4B26"/>
    <w:rsid w:val="003E0647"/>
    <w:rsid w:val="003E1951"/>
    <w:rsid w:val="003E3182"/>
    <w:rsid w:val="003E3D96"/>
    <w:rsid w:val="003E6C12"/>
    <w:rsid w:val="00402CD4"/>
    <w:rsid w:val="00410F6A"/>
    <w:rsid w:val="00411F47"/>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31C"/>
    <w:rsid w:val="004C2BF1"/>
    <w:rsid w:val="004C3BC1"/>
    <w:rsid w:val="004C75AD"/>
    <w:rsid w:val="004F152F"/>
    <w:rsid w:val="004F366C"/>
    <w:rsid w:val="004F6C91"/>
    <w:rsid w:val="004F6E42"/>
    <w:rsid w:val="005003AE"/>
    <w:rsid w:val="00514582"/>
    <w:rsid w:val="0052045D"/>
    <w:rsid w:val="00521D97"/>
    <w:rsid w:val="00522311"/>
    <w:rsid w:val="005223B9"/>
    <w:rsid w:val="005232E9"/>
    <w:rsid w:val="00533EF6"/>
    <w:rsid w:val="00537D88"/>
    <w:rsid w:val="00540900"/>
    <w:rsid w:val="00540E56"/>
    <w:rsid w:val="00542A2C"/>
    <w:rsid w:val="00547571"/>
    <w:rsid w:val="0055030E"/>
    <w:rsid w:val="00552850"/>
    <w:rsid w:val="005601CC"/>
    <w:rsid w:val="0056187B"/>
    <w:rsid w:val="00562F1B"/>
    <w:rsid w:val="00564B76"/>
    <w:rsid w:val="0057094B"/>
    <w:rsid w:val="005752FC"/>
    <w:rsid w:val="00576D66"/>
    <w:rsid w:val="00582EE0"/>
    <w:rsid w:val="00583609"/>
    <w:rsid w:val="005928F5"/>
    <w:rsid w:val="005A2DB6"/>
    <w:rsid w:val="005A31CF"/>
    <w:rsid w:val="005A42F2"/>
    <w:rsid w:val="005A4590"/>
    <w:rsid w:val="005B0A8B"/>
    <w:rsid w:val="005B222E"/>
    <w:rsid w:val="005B23C2"/>
    <w:rsid w:val="005B5CB5"/>
    <w:rsid w:val="005B7AA4"/>
    <w:rsid w:val="005C01BD"/>
    <w:rsid w:val="005C6655"/>
    <w:rsid w:val="005E3667"/>
    <w:rsid w:val="005E3A5B"/>
    <w:rsid w:val="005F1C5E"/>
    <w:rsid w:val="005F4C9B"/>
    <w:rsid w:val="005F5513"/>
    <w:rsid w:val="005F5542"/>
    <w:rsid w:val="00601F6B"/>
    <w:rsid w:val="00603473"/>
    <w:rsid w:val="0061228A"/>
    <w:rsid w:val="006130CD"/>
    <w:rsid w:val="00617266"/>
    <w:rsid w:val="00617E30"/>
    <w:rsid w:val="00621DCB"/>
    <w:rsid w:val="0062480A"/>
    <w:rsid w:val="0063190B"/>
    <w:rsid w:val="00631EC2"/>
    <w:rsid w:val="00635D48"/>
    <w:rsid w:val="0064016B"/>
    <w:rsid w:val="00641F0F"/>
    <w:rsid w:val="00643115"/>
    <w:rsid w:val="00652417"/>
    <w:rsid w:val="00654874"/>
    <w:rsid w:val="00655C11"/>
    <w:rsid w:val="0066004C"/>
    <w:rsid w:val="006630DE"/>
    <w:rsid w:val="00667081"/>
    <w:rsid w:val="00670D53"/>
    <w:rsid w:val="00673740"/>
    <w:rsid w:val="00682E54"/>
    <w:rsid w:val="00686482"/>
    <w:rsid w:val="00690FB6"/>
    <w:rsid w:val="00693F8E"/>
    <w:rsid w:val="006964B7"/>
    <w:rsid w:val="006A5535"/>
    <w:rsid w:val="006A769B"/>
    <w:rsid w:val="006B0062"/>
    <w:rsid w:val="006C428B"/>
    <w:rsid w:val="006C5330"/>
    <w:rsid w:val="006C7A6B"/>
    <w:rsid w:val="006D2B0B"/>
    <w:rsid w:val="006D2F84"/>
    <w:rsid w:val="006D4791"/>
    <w:rsid w:val="006D7615"/>
    <w:rsid w:val="006E0E88"/>
    <w:rsid w:val="006E39DC"/>
    <w:rsid w:val="006E3C77"/>
    <w:rsid w:val="006F3ECC"/>
    <w:rsid w:val="006F5591"/>
    <w:rsid w:val="006F756E"/>
    <w:rsid w:val="00701450"/>
    <w:rsid w:val="00706670"/>
    <w:rsid w:val="007077A4"/>
    <w:rsid w:val="0070795B"/>
    <w:rsid w:val="00712DBE"/>
    <w:rsid w:val="00723305"/>
    <w:rsid w:val="00725B64"/>
    <w:rsid w:val="00732F9D"/>
    <w:rsid w:val="007373CF"/>
    <w:rsid w:val="007476AA"/>
    <w:rsid w:val="00747E9E"/>
    <w:rsid w:val="00754AB9"/>
    <w:rsid w:val="00755CAD"/>
    <w:rsid w:val="00756203"/>
    <w:rsid w:val="0075751E"/>
    <w:rsid w:val="00761E8C"/>
    <w:rsid w:val="007624F7"/>
    <w:rsid w:val="00762982"/>
    <w:rsid w:val="00762CA1"/>
    <w:rsid w:val="00763218"/>
    <w:rsid w:val="00767AA8"/>
    <w:rsid w:val="007706F3"/>
    <w:rsid w:val="00772D56"/>
    <w:rsid w:val="00775027"/>
    <w:rsid w:val="007850F8"/>
    <w:rsid w:val="0078665E"/>
    <w:rsid w:val="007871B4"/>
    <w:rsid w:val="0078772A"/>
    <w:rsid w:val="00787E43"/>
    <w:rsid w:val="00790DEA"/>
    <w:rsid w:val="007937D0"/>
    <w:rsid w:val="007960D1"/>
    <w:rsid w:val="007A1631"/>
    <w:rsid w:val="007A5354"/>
    <w:rsid w:val="007B5B59"/>
    <w:rsid w:val="007C7C37"/>
    <w:rsid w:val="007C7E50"/>
    <w:rsid w:val="007D25D9"/>
    <w:rsid w:val="007D5754"/>
    <w:rsid w:val="007D77AF"/>
    <w:rsid w:val="007E380E"/>
    <w:rsid w:val="007E39A8"/>
    <w:rsid w:val="007E5615"/>
    <w:rsid w:val="007F72B9"/>
    <w:rsid w:val="008029EC"/>
    <w:rsid w:val="00810355"/>
    <w:rsid w:val="008116AF"/>
    <w:rsid w:val="00813082"/>
    <w:rsid w:val="00813DD5"/>
    <w:rsid w:val="008270DD"/>
    <w:rsid w:val="008315A4"/>
    <w:rsid w:val="00832DE1"/>
    <w:rsid w:val="00844900"/>
    <w:rsid w:val="008518D3"/>
    <w:rsid w:val="00851C86"/>
    <w:rsid w:val="00851E13"/>
    <w:rsid w:val="00862744"/>
    <w:rsid w:val="00863A3B"/>
    <w:rsid w:val="008709B7"/>
    <w:rsid w:val="00870FAE"/>
    <w:rsid w:val="0088151E"/>
    <w:rsid w:val="008819C6"/>
    <w:rsid w:val="00882783"/>
    <w:rsid w:val="00884BA5"/>
    <w:rsid w:val="00887DD6"/>
    <w:rsid w:val="00892DDD"/>
    <w:rsid w:val="00897DD1"/>
    <w:rsid w:val="008B1BFB"/>
    <w:rsid w:val="008B2F6C"/>
    <w:rsid w:val="008B37D2"/>
    <w:rsid w:val="008C255A"/>
    <w:rsid w:val="008D1E62"/>
    <w:rsid w:val="008D2B11"/>
    <w:rsid w:val="008D5ABA"/>
    <w:rsid w:val="008D6184"/>
    <w:rsid w:val="008E0E97"/>
    <w:rsid w:val="008E1DAD"/>
    <w:rsid w:val="008E4528"/>
    <w:rsid w:val="008F0FCC"/>
    <w:rsid w:val="008F2D8F"/>
    <w:rsid w:val="008F5E84"/>
    <w:rsid w:val="008F6D6E"/>
    <w:rsid w:val="009021EA"/>
    <w:rsid w:val="00902DE4"/>
    <w:rsid w:val="009050CC"/>
    <w:rsid w:val="00905407"/>
    <w:rsid w:val="00906772"/>
    <w:rsid w:val="00916F74"/>
    <w:rsid w:val="0092056D"/>
    <w:rsid w:val="009209DB"/>
    <w:rsid w:val="00921875"/>
    <w:rsid w:val="00922AAE"/>
    <w:rsid w:val="0093059D"/>
    <w:rsid w:val="00932A5D"/>
    <w:rsid w:val="0093382B"/>
    <w:rsid w:val="00935857"/>
    <w:rsid w:val="009410A1"/>
    <w:rsid w:val="00941E44"/>
    <w:rsid w:val="00942727"/>
    <w:rsid w:val="00943BD1"/>
    <w:rsid w:val="00943EB4"/>
    <w:rsid w:val="00952F72"/>
    <w:rsid w:val="00953244"/>
    <w:rsid w:val="009539D0"/>
    <w:rsid w:val="00964483"/>
    <w:rsid w:val="00965E95"/>
    <w:rsid w:val="00966D72"/>
    <w:rsid w:val="00974F81"/>
    <w:rsid w:val="009773ED"/>
    <w:rsid w:val="00977832"/>
    <w:rsid w:val="00981A89"/>
    <w:rsid w:val="009874FF"/>
    <w:rsid w:val="00993072"/>
    <w:rsid w:val="0099351D"/>
    <w:rsid w:val="009A0FFE"/>
    <w:rsid w:val="009A2A3B"/>
    <w:rsid w:val="009A37B2"/>
    <w:rsid w:val="009A5586"/>
    <w:rsid w:val="009A7B10"/>
    <w:rsid w:val="009B2FC0"/>
    <w:rsid w:val="009B4F8C"/>
    <w:rsid w:val="009B7693"/>
    <w:rsid w:val="009C0204"/>
    <w:rsid w:val="009C3650"/>
    <w:rsid w:val="009C59D6"/>
    <w:rsid w:val="009D6567"/>
    <w:rsid w:val="009D68AC"/>
    <w:rsid w:val="009D7C44"/>
    <w:rsid w:val="009E0E46"/>
    <w:rsid w:val="009F10D8"/>
    <w:rsid w:val="009F434B"/>
    <w:rsid w:val="00A04029"/>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4C14"/>
    <w:rsid w:val="00A7079A"/>
    <w:rsid w:val="00A70AB8"/>
    <w:rsid w:val="00A7166A"/>
    <w:rsid w:val="00A72802"/>
    <w:rsid w:val="00A72C3C"/>
    <w:rsid w:val="00A74AA7"/>
    <w:rsid w:val="00A8076E"/>
    <w:rsid w:val="00A871AB"/>
    <w:rsid w:val="00A87418"/>
    <w:rsid w:val="00A9450F"/>
    <w:rsid w:val="00A95C50"/>
    <w:rsid w:val="00A972BA"/>
    <w:rsid w:val="00AA2358"/>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073F3"/>
    <w:rsid w:val="00B101E6"/>
    <w:rsid w:val="00B1402D"/>
    <w:rsid w:val="00B256E1"/>
    <w:rsid w:val="00B312FB"/>
    <w:rsid w:val="00B34E7C"/>
    <w:rsid w:val="00B35643"/>
    <w:rsid w:val="00B43106"/>
    <w:rsid w:val="00B50F7B"/>
    <w:rsid w:val="00B51E75"/>
    <w:rsid w:val="00B55A30"/>
    <w:rsid w:val="00B70663"/>
    <w:rsid w:val="00B70F40"/>
    <w:rsid w:val="00B74F16"/>
    <w:rsid w:val="00B75E54"/>
    <w:rsid w:val="00B8144C"/>
    <w:rsid w:val="00B82771"/>
    <w:rsid w:val="00B83021"/>
    <w:rsid w:val="00BA047F"/>
    <w:rsid w:val="00BA16E6"/>
    <w:rsid w:val="00BA4F4B"/>
    <w:rsid w:val="00BA62D0"/>
    <w:rsid w:val="00BB1E9C"/>
    <w:rsid w:val="00BB63BA"/>
    <w:rsid w:val="00BB7324"/>
    <w:rsid w:val="00BC56E9"/>
    <w:rsid w:val="00BD10C4"/>
    <w:rsid w:val="00BD5F23"/>
    <w:rsid w:val="00BD6109"/>
    <w:rsid w:val="00BD6AF5"/>
    <w:rsid w:val="00BE1388"/>
    <w:rsid w:val="00BE1D00"/>
    <w:rsid w:val="00BE6776"/>
    <w:rsid w:val="00BE7345"/>
    <w:rsid w:val="00C03B10"/>
    <w:rsid w:val="00C123EB"/>
    <w:rsid w:val="00C141C1"/>
    <w:rsid w:val="00C1731B"/>
    <w:rsid w:val="00C22151"/>
    <w:rsid w:val="00C24402"/>
    <w:rsid w:val="00C2465E"/>
    <w:rsid w:val="00C252E9"/>
    <w:rsid w:val="00C26CB0"/>
    <w:rsid w:val="00C26EEB"/>
    <w:rsid w:val="00C31AAB"/>
    <w:rsid w:val="00C37B4F"/>
    <w:rsid w:val="00C5312D"/>
    <w:rsid w:val="00C57830"/>
    <w:rsid w:val="00C601CB"/>
    <w:rsid w:val="00C702E9"/>
    <w:rsid w:val="00C7445A"/>
    <w:rsid w:val="00C769EB"/>
    <w:rsid w:val="00C83157"/>
    <w:rsid w:val="00C833E9"/>
    <w:rsid w:val="00C84C17"/>
    <w:rsid w:val="00C949D4"/>
    <w:rsid w:val="00C95178"/>
    <w:rsid w:val="00CA04BA"/>
    <w:rsid w:val="00CA6CA1"/>
    <w:rsid w:val="00CB72D8"/>
    <w:rsid w:val="00CC1529"/>
    <w:rsid w:val="00CC4621"/>
    <w:rsid w:val="00CC71D5"/>
    <w:rsid w:val="00CC77C0"/>
    <w:rsid w:val="00CD0E67"/>
    <w:rsid w:val="00CD51F1"/>
    <w:rsid w:val="00CE6DE3"/>
    <w:rsid w:val="00CF2B96"/>
    <w:rsid w:val="00CF313D"/>
    <w:rsid w:val="00CF7653"/>
    <w:rsid w:val="00D05622"/>
    <w:rsid w:val="00D07762"/>
    <w:rsid w:val="00D249B3"/>
    <w:rsid w:val="00D27316"/>
    <w:rsid w:val="00D2756F"/>
    <w:rsid w:val="00D301DA"/>
    <w:rsid w:val="00D33883"/>
    <w:rsid w:val="00D4069B"/>
    <w:rsid w:val="00D41E1B"/>
    <w:rsid w:val="00D43E64"/>
    <w:rsid w:val="00D44A23"/>
    <w:rsid w:val="00D479E5"/>
    <w:rsid w:val="00D50158"/>
    <w:rsid w:val="00D514A6"/>
    <w:rsid w:val="00D629AF"/>
    <w:rsid w:val="00D75E56"/>
    <w:rsid w:val="00D83DF6"/>
    <w:rsid w:val="00D878CF"/>
    <w:rsid w:val="00DA7690"/>
    <w:rsid w:val="00DB159D"/>
    <w:rsid w:val="00DC5682"/>
    <w:rsid w:val="00DC6F18"/>
    <w:rsid w:val="00DC6F98"/>
    <w:rsid w:val="00DC6FF1"/>
    <w:rsid w:val="00DC76A7"/>
    <w:rsid w:val="00DD4234"/>
    <w:rsid w:val="00DD4425"/>
    <w:rsid w:val="00DE3A3F"/>
    <w:rsid w:val="00DE6963"/>
    <w:rsid w:val="00DF0881"/>
    <w:rsid w:val="00DF115B"/>
    <w:rsid w:val="00DF2052"/>
    <w:rsid w:val="00DF3461"/>
    <w:rsid w:val="00DF4E98"/>
    <w:rsid w:val="00E03642"/>
    <w:rsid w:val="00E040A0"/>
    <w:rsid w:val="00E04DBF"/>
    <w:rsid w:val="00E05F26"/>
    <w:rsid w:val="00E116A6"/>
    <w:rsid w:val="00E11F4F"/>
    <w:rsid w:val="00E12D3D"/>
    <w:rsid w:val="00E162A6"/>
    <w:rsid w:val="00E31391"/>
    <w:rsid w:val="00E3252C"/>
    <w:rsid w:val="00E34C03"/>
    <w:rsid w:val="00E34E31"/>
    <w:rsid w:val="00E359FB"/>
    <w:rsid w:val="00E4002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2417"/>
    <w:rsid w:val="00EA352D"/>
    <w:rsid w:val="00EA3AA1"/>
    <w:rsid w:val="00EB442C"/>
    <w:rsid w:val="00EB7AF2"/>
    <w:rsid w:val="00EC5409"/>
    <w:rsid w:val="00ED1956"/>
    <w:rsid w:val="00EE0385"/>
    <w:rsid w:val="00EE105C"/>
    <w:rsid w:val="00EE551D"/>
    <w:rsid w:val="00EF01F3"/>
    <w:rsid w:val="00EF09AE"/>
    <w:rsid w:val="00EF1167"/>
    <w:rsid w:val="00EF3169"/>
    <w:rsid w:val="00F02770"/>
    <w:rsid w:val="00F04306"/>
    <w:rsid w:val="00F04945"/>
    <w:rsid w:val="00F06332"/>
    <w:rsid w:val="00F13219"/>
    <w:rsid w:val="00F13A37"/>
    <w:rsid w:val="00F237A2"/>
    <w:rsid w:val="00F30114"/>
    <w:rsid w:val="00F345C2"/>
    <w:rsid w:val="00F35EA2"/>
    <w:rsid w:val="00F36398"/>
    <w:rsid w:val="00F46BA0"/>
    <w:rsid w:val="00F46BE2"/>
    <w:rsid w:val="00F51AE1"/>
    <w:rsid w:val="00F542C7"/>
    <w:rsid w:val="00F543F4"/>
    <w:rsid w:val="00F614E1"/>
    <w:rsid w:val="00F63C45"/>
    <w:rsid w:val="00F645D0"/>
    <w:rsid w:val="00F67302"/>
    <w:rsid w:val="00F700C3"/>
    <w:rsid w:val="00F74414"/>
    <w:rsid w:val="00F7542A"/>
    <w:rsid w:val="00F84BA4"/>
    <w:rsid w:val="00F8561A"/>
    <w:rsid w:val="00F868CD"/>
    <w:rsid w:val="00F95826"/>
    <w:rsid w:val="00F97BD9"/>
    <w:rsid w:val="00FA0443"/>
    <w:rsid w:val="00FA3CF8"/>
    <w:rsid w:val="00FA3FC6"/>
    <w:rsid w:val="00FB33ED"/>
    <w:rsid w:val="00FC0A4A"/>
    <w:rsid w:val="00FC55EA"/>
    <w:rsid w:val="00FD083F"/>
    <w:rsid w:val="00FD1904"/>
    <w:rsid w:val="00FD35CB"/>
    <w:rsid w:val="00FD5DAF"/>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80038">
      <w:bodyDiv w:val="1"/>
      <w:marLeft w:val="0"/>
      <w:marRight w:val="0"/>
      <w:marTop w:val="0"/>
      <w:marBottom w:val="0"/>
      <w:divBdr>
        <w:top w:val="none" w:sz="0" w:space="0" w:color="auto"/>
        <w:left w:val="none" w:sz="0" w:space="0" w:color="auto"/>
        <w:bottom w:val="none" w:sz="0" w:space="0" w:color="auto"/>
        <w:right w:val="none" w:sz="0" w:space="0" w:color="auto"/>
      </w:divBdr>
    </w:div>
    <w:div w:id="425616974">
      <w:bodyDiv w:val="1"/>
      <w:marLeft w:val="0"/>
      <w:marRight w:val="0"/>
      <w:marTop w:val="0"/>
      <w:marBottom w:val="0"/>
      <w:divBdr>
        <w:top w:val="none" w:sz="0" w:space="0" w:color="auto"/>
        <w:left w:val="none" w:sz="0" w:space="0" w:color="auto"/>
        <w:bottom w:val="none" w:sz="0" w:space="0" w:color="auto"/>
        <w:right w:val="none" w:sz="0" w:space="0" w:color="auto"/>
      </w:divBdr>
    </w:div>
    <w:div w:id="1370178997">
      <w:bodyDiv w:val="1"/>
      <w:marLeft w:val="0"/>
      <w:marRight w:val="0"/>
      <w:marTop w:val="0"/>
      <w:marBottom w:val="0"/>
      <w:divBdr>
        <w:top w:val="none" w:sz="0" w:space="0" w:color="auto"/>
        <w:left w:val="none" w:sz="0" w:space="0" w:color="auto"/>
        <w:bottom w:val="none" w:sz="0" w:space="0" w:color="auto"/>
        <w:right w:val="none" w:sz="0" w:space="0" w:color="auto"/>
      </w:divBdr>
    </w:div>
    <w:div w:id="17367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2.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3.xml><?xml version="1.0" encoding="utf-8"?>
<ds:datastoreItem xmlns:ds="http://schemas.openxmlformats.org/officeDocument/2006/customXml" ds:itemID="{9441E3AE-3198-4E3B-A2A7-F92D26BA744D}">
  <ds:schemaRef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sharepoint/v3/fields"/>
    <ds:schemaRef ds:uri="a04dbe3e-63b4-48d2-9d03-f0eb0c7bc09d"/>
    <ds:schemaRef ds:uri="http://schemas.microsoft.com/office/2006/documentManagement/types"/>
    <ds:schemaRef ds:uri="http://schemas.microsoft.com/office/2006/metadata/properties"/>
    <ds:schemaRef ds:uri="dfa5e046-464b-4815-a238-47a5c4a1b287"/>
    <ds:schemaRef ds:uri="9c9ed395-ffea-41d8-b39e-ee29138ac03c"/>
    <ds:schemaRef ds:uri="http://schemas.microsoft.com/sharepoint/v3"/>
  </ds:schemaRefs>
</ds:datastoreItem>
</file>

<file path=customXml/itemProps4.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126</TotalTime>
  <Pages>33</Pages>
  <Words>8377</Words>
  <Characters>47754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64</cp:revision>
  <dcterms:created xsi:type="dcterms:W3CDTF">2024-05-20T22:54:00Z</dcterms:created>
  <dcterms:modified xsi:type="dcterms:W3CDTF">2024-08-19T08:47:00Z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