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1363"/>
        <w:gridCol w:w="958"/>
        <w:gridCol w:w="89"/>
        <w:gridCol w:w="145"/>
        <w:gridCol w:w="489"/>
        <w:gridCol w:w="683"/>
        <w:gridCol w:w="918"/>
        <w:gridCol w:w="5616"/>
      </w:tblGrid>
      <w:tr w:rsidR="00387D9B" w:rsidRPr="00AA3128" w14:paraId="4BD28BC6" w14:textId="77777777" w:rsidTr="00301FB4">
        <w:tc>
          <w:tcPr>
            <w:tcW w:w="4645" w:type="dxa"/>
            <w:gridSpan w:val="7"/>
            <w:shd w:val="clear" w:color="auto" w:fill="B6BFC8"/>
          </w:tcPr>
          <w:p w14:paraId="1600F135" w14:textId="26A26DB1" w:rsidR="002E4B2E" w:rsidRPr="0019444F" w:rsidRDefault="006E7554" w:rsidP="006E7554">
            <w:pPr>
              <w:pStyle w:val="NoSpacing"/>
              <w:rPr>
                <w:b/>
              </w:rPr>
            </w:pPr>
            <w:bookmarkStart w:id="0" w:name="_GoBack"/>
            <w:bookmarkEnd w:id="0"/>
            <w:r>
              <w:rPr>
                <w:b/>
              </w:rPr>
              <w:t>S</w:t>
            </w:r>
            <w:r w:rsidR="002E4B2E" w:rsidRPr="0019444F">
              <w:rPr>
                <w:b/>
              </w:rPr>
              <w:t>ervice</w:t>
            </w:r>
          </w:p>
        </w:tc>
        <w:tc>
          <w:tcPr>
            <w:tcW w:w="5616" w:type="dxa"/>
            <w:shd w:val="clear" w:color="auto" w:fill="FFFFE5"/>
          </w:tcPr>
          <w:p w14:paraId="3D32401E" w14:textId="77777777" w:rsidR="002E4B2E" w:rsidRPr="00AA3128" w:rsidRDefault="002F2CCB" w:rsidP="00D0640B">
            <w:pPr>
              <w:pStyle w:val="NoSpacing"/>
            </w:pPr>
            <w:r>
              <w:t>Adult Community Services</w:t>
            </w:r>
          </w:p>
        </w:tc>
      </w:tr>
      <w:tr w:rsidR="00387D9B" w:rsidRPr="00AA3128" w14:paraId="5DD2AC36" w14:textId="77777777" w:rsidTr="00301FB4">
        <w:tc>
          <w:tcPr>
            <w:tcW w:w="4645" w:type="dxa"/>
            <w:gridSpan w:val="7"/>
            <w:shd w:val="clear" w:color="auto" w:fill="F2F2F2" w:themeFill="background1" w:themeFillShade="F2"/>
          </w:tcPr>
          <w:p w14:paraId="674912B4" w14:textId="77777777" w:rsidR="002E4B2E" w:rsidRPr="0019444F" w:rsidRDefault="002E4B2E" w:rsidP="00D0640B">
            <w:pPr>
              <w:pStyle w:val="NoSpacing"/>
            </w:pPr>
            <w:r w:rsidRPr="0019444F">
              <w:t>Specification Reference</w:t>
            </w:r>
          </w:p>
        </w:tc>
        <w:tc>
          <w:tcPr>
            <w:tcW w:w="5616" w:type="dxa"/>
          </w:tcPr>
          <w:p w14:paraId="795F732E" w14:textId="583569FC" w:rsidR="002E4B2E" w:rsidRPr="00AA3128" w:rsidRDefault="00177A47" w:rsidP="000362D2">
            <w:pPr>
              <w:pStyle w:val="NoSpacing"/>
            </w:pPr>
            <w:r>
              <w:t>Generic</w:t>
            </w:r>
            <w:r w:rsidR="00C032AC">
              <w:t xml:space="preserve"> Service Specification </w:t>
            </w:r>
          </w:p>
        </w:tc>
      </w:tr>
      <w:tr w:rsidR="00387D9B" w:rsidRPr="00AA3128" w14:paraId="66EF1205" w14:textId="77777777" w:rsidTr="00301FB4">
        <w:tc>
          <w:tcPr>
            <w:tcW w:w="4645" w:type="dxa"/>
            <w:gridSpan w:val="7"/>
            <w:shd w:val="clear" w:color="auto" w:fill="F2F2F2" w:themeFill="background1" w:themeFillShade="F2"/>
          </w:tcPr>
          <w:p w14:paraId="7625813C" w14:textId="77777777" w:rsidR="002E4B2E" w:rsidRPr="0019444F" w:rsidRDefault="002E4B2E" w:rsidP="002E4B2E">
            <w:pPr>
              <w:pStyle w:val="NoSpacing"/>
            </w:pPr>
            <w:r w:rsidRPr="0019444F">
              <w:t>Period</w:t>
            </w:r>
          </w:p>
        </w:tc>
        <w:tc>
          <w:tcPr>
            <w:tcW w:w="5616" w:type="dxa"/>
          </w:tcPr>
          <w:p w14:paraId="17DBD109" w14:textId="77777777" w:rsidR="002E4B2E" w:rsidRPr="00AA3128" w:rsidRDefault="002E4B2E" w:rsidP="00AE4061">
            <w:pPr>
              <w:pStyle w:val="NoSpacing"/>
            </w:pPr>
          </w:p>
        </w:tc>
      </w:tr>
      <w:tr w:rsidR="00387D9B" w:rsidRPr="00AA3128" w14:paraId="04F7D61B" w14:textId="77777777" w:rsidTr="00301FB4">
        <w:tc>
          <w:tcPr>
            <w:tcW w:w="4645" w:type="dxa"/>
            <w:gridSpan w:val="7"/>
            <w:shd w:val="clear" w:color="auto" w:fill="F2F2F2" w:themeFill="background1" w:themeFillShade="F2"/>
          </w:tcPr>
          <w:p w14:paraId="7C933C27" w14:textId="77777777" w:rsidR="002E4B2E" w:rsidRPr="0019444F" w:rsidRDefault="002E4B2E" w:rsidP="00D0640B">
            <w:pPr>
              <w:pStyle w:val="NoSpacing"/>
            </w:pPr>
            <w:r w:rsidRPr="0019444F">
              <w:t>Last Updated</w:t>
            </w:r>
          </w:p>
        </w:tc>
        <w:tc>
          <w:tcPr>
            <w:tcW w:w="5616" w:type="dxa"/>
          </w:tcPr>
          <w:p w14:paraId="3777AB6A" w14:textId="44B1FB8A" w:rsidR="002E4B2E" w:rsidRPr="00AA3128" w:rsidRDefault="002E4B2E" w:rsidP="008234A0">
            <w:pPr>
              <w:pStyle w:val="NoSpacing"/>
            </w:pPr>
          </w:p>
        </w:tc>
      </w:tr>
      <w:tr w:rsidR="00A84962" w:rsidRPr="00AA3128" w14:paraId="21DF1E26" w14:textId="77777777" w:rsidTr="00A22B5B">
        <w:trPr>
          <w:trHeight w:val="284"/>
        </w:trPr>
        <w:tc>
          <w:tcPr>
            <w:tcW w:w="4645" w:type="dxa"/>
            <w:gridSpan w:val="7"/>
            <w:tcBorders>
              <w:bottom w:val="single" w:sz="4" w:space="0" w:color="808080" w:themeColor="background1" w:themeShade="80"/>
            </w:tcBorders>
            <w:shd w:val="clear" w:color="auto" w:fill="B6BFC8"/>
          </w:tcPr>
          <w:p w14:paraId="32DD800F" w14:textId="77777777" w:rsidR="00EC29B7" w:rsidRPr="0019444F" w:rsidRDefault="00EC29B7" w:rsidP="006D238B">
            <w:pPr>
              <w:pStyle w:val="NoSpacing"/>
              <w:rPr>
                <w:b/>
                <w:sz w:val="20"/>
                <w:szCs w:val="20"/>
              </w:rPr>
            </w:pPr>
            <w:r w:rsidRPr="0019444F">
              <w:rPr>
                <w:b/>
                <w:sz w:val="20"/>
                <w:szCs w:val="20"/>
              </w:rPr>
              <w:t>1</w:t>
            </w:r>
            <w:r w:rsidR="001D4893">
              <w:rPr>
                <w:b/>
                <w:sz w:val="20"/>
                <w:szCs w:val="20"/>
              </w:rPr>
              <w:t>.</w:t>
            </w:r>
          </w:p>
        </w:tc>
        <w:tc>
          <w:tcPr>
            <w:tcW w:w="5616" w:type="dxa"/>
            <w:tcBorders>
              <w:bottom w:val="single" w:sz="4" w:space="0" w:color="808080" w:themeColor="background1" w:themeShade="80"/>
            </w:tcBorders>
            <w:shd w:val="clear" w:color="auto" w:fill="B6BFC8"/>
          </w:tcPr>
          <w:p w14:paraId="76868667" w14:textId="77777777" w:rsidR="00EC29B7" w:rsidRPr="0019444F" w:rsidRDefault="00EC29B7" w:rsidP="000A08A3">
            <w:pPr>
              <w:pStyle w:val="NoSpacing"/>
              <w:rPr>
                <w:b/>
              </w:rPr>
            </w:pPr>
            <w:r w:rsidRPr="0019444F">
              <w:rPr>
                <w:b/>
              </w:rPr>
              <w:t>Introduction and Context</w:t>
            </w:r>
          </w:p>
        </w:tc>
      </w:tr>
      <w:tr w:rsidR="00387D9B" w:rsidRPr="00AA3128" w14:paraId="205D0CE9" w14:textId="77777777" w:rsidTr="00301FB4">
        <w:trPr>
          <w:trHeight w:val="284"/>
        </w:trPr>
        <w:tc>
          <w:tcPr>
            <w:tcW w:w="4645" w:type="dxa"/>
            <w:gridSpan w:val="7"/>
            <w:shd w:val="clear" w:color="auto" w:fill="F2F2F2" w:themeFill="background1" w:themeFillShade="F2"/>
          </w:tcPr>
          <w:p w14:paraId="07944DAF" w14:textId="77777777" w:rsidR="00AA3128" w:rsidRPr="0019444F" w:rsidRDefault="00AA3128" w:rsidP="006D238B">
            <w:pPr>
              <w:pStyle w:val="NoSpacing"/>
              <w:rPr>
                <w:sz w:val="20"/>
                <w:szCs w:val="20"/>
              </w:rPr>
            </w:pPr>
            <w:r w:rsidRPr="0019444F">
              <w:rPr>
                <w:sz w:val="20"/>
                <w:szCs w:val="20"/>
              </w:rPr>
              <w:t>1.1</w:t>
            </w:r>
          </w:p>
        </w:tc>
        <w:tc>
          <w:tcPr>
            <w:tcW w:w="5616" w:type="dxa"/>
            <w:shd w:val="clear" w:color="auto" w:fill="F2F2F2" w:themeFill="background1" w:themeFillShade="F2"/>
          </w:tcPr>
          <w:p w14:paraId="5F74D6B0" w14:textId="77777777" w:rsidR="00AA3128" w:rsidRPr="00AA3128" w:rsidRDefault="00805BA1" w:rsidP="000A08A3">
            <w:pPr>
              <w:pStyle w:val="NoSpacing"/>
            </w:pPr>
            <w:r>
              <w:t>Summary/ Introduction</w:t>
            </w:r>
          </w:p>
        </w:tc>
      </w:tr>
      <w:tr w:rsidR="006D238B" w:rsidRPr="00AA3128" w14:paraId="22420BA9" w14:textId="77777777" w:rsidTr="00931F94">
        <w:trPr>
          <w:trHeight w:val="284"/>
        </w:trPr>
        <w:tc>
          <w:tcPr>
            <w:tcW w:w="10261" w:type="dxa"/>
            <w:gridSpan w:val="8"/>
            <w:shd w:val="clear" w:color="auto" w:fill="FFFFFF" w:themeFill="background1"/>
          </w:tcPr>
          <w:p w14:paraId="2CC4FA7F" w14:textId="788CC414" w:rsidR="00D073A2" w:rsidRPr="006E03C9" w:rsidRDefault="00BF0DB7" w:rsidP="00D073A2">
            <w:pPr>
              <w:pStyle w:val="NoSpacing"/>
              <w:jc w:val="both"/>
            </w:pPr>
            <w:r>
              <w:t>Adult c</w:t>
            </w:r>
            <w:r w:rsidR="008475B1">
              <w:t xml:space="preserve">ommunity </w:t>
            </w:r>
            <w:r w:rsidR="00E15F3E">
              <w:t>s</w:t>
            </w:r>
            <w:r w:rsidR="00D073A2">
              <w:t xml:space="preserve">ervices </w:t>
            </w:r>
            <w:r w:rsidR="00D073A2" w:rsidRPr="006E03C9">
              <w:t xml:space="preserve">are an important </w:t>
            </w:r>
            <w:r w:rsidR="00F2605D">
              <w:t>component</w:t>
            </w:r>
            <w:r w:rsidR="00D073A2" w:rsidRPr="006E03C9">
              <w:t xml:space="preserve"> of the health and social care system. </w:t>
            </w:r>
            <w:r w:rsidR="000E5129">
              <w:t xml:space="preserve"> They </w:t>
            </w:r>
            <w:r w:rsidR="000E5129" w:rsidRPr="006E03C9">
              <w:t xml:space="preserve">support and are supported by GPs and primary care, secondary health services (including urgent care), mental health, social care, and the community </w:t>
            </w:r>
            <w:r w:rsidR="00CA0930">
              <w:t xml:space="preserve">and voluntary </w:t>
            </w:r>
            <w:r w:rsidR="000E5129" w:rsidRPr="006E03C9">
              <w:t>sector (</w:t>
            </w:r>
            <w:r w:rsidR="00CA0930">
              <w:t>CVS</w:t>
            </w:r>
            <w:r w:rsidR="000E5129" w:rsidRPr="006E03C9">
              <w:t>).</w:t>
            </w:r>
            <w:r w:rsidR="00CA2199">
              <w:t xml:space="preserve">  Adult c</w:t>
            </w:r>
            <w:r w:rsidR="000E5129">
              <w:t xml:space="preserve">ommunity </w:t>
            </w:r>
            <w:r w:rsidR="00E15F3E">
              <w:t>s</w:t>
            </w:r>
            <w:r w:rsidR="000E5129">
              <w:t xml:space="preserve">ervices </w:t>
            </w:r>
            <w:r w:rsidR="00D073A2" w:rsidRPr="006E03C9">
              <w:t xml:space="preserve">are defined as those services that help people optimise and maintain their health either in their own home or other out-of-hospital settings. They provide a wide range of care, from phlebotomy, to supporting patients to manage long-term conditions, to treating those who are seriously ill with complex conditions. </w:t>
            </w:r>
          </w:p>
          <w:p w14:paraId="1BCAA84A" w14:textId="77777777" w:rsidR="006D238B" w:rsidRDefault="006D238B" w:rsidP="006D238B">
            <w:pPr>
              <w:pStyle w:val="NoSpacing"/>
            </w:pPr>
          </w:p>
          <w:p w14:paraId="22F33A34" w14:textId="378125B9" w:rsidR="00267746" w:rsidRDefault="005E745E" w:rsidP="00267746">
            <w:pPr>
              <w:pStyle w:val="NoSpacing"/>
              <w:jc w:val="both"/>
            </w:pPr>
            <w:r>
              <w:t xml:space="preserve">This service specification </w:t>
            </w:r>
            <w:r w:rsidR="009A408F">
              <w:t>s</w:t>
            </w:r>
            <w:r w:rsidR="00FF5531">
              <w:t xml:space="preserve">ets out </w:t>
            </w:r>
            <w:r w:rsidR="009A408F">
              <w:t>the high</w:t>
            </w:r>
            <w:r w:rsidR="00B357A7">
              <w:t>-</w:t>
            </w:r>
            <w:r w:rsidR="009A408F">
              <w:t xml:space="preserve">level </w:t>
            </w:r>
            <w:r w:rsidR="00023C6F">
              <w:t xml:space="preserve">requirements of the </w:t>
            </w:r>
            <w:r w:rsidR="00791F3D">
              <w:t>P</w:t>
            </w:r>
            <w:r w:rsidR="00023C6F">
              <w:t>rovider in relation to adult community services</w:t>
            </w:r>
            <w:r w:rsidR="00267746">
              <w:t xml:space="preserve"> for Medway residents</w:t>
            </w:r>
            <w:r w:rsidR="00A411E8">
              <w:t xml:space="preserve"> registered with a Medway GP</w:t>
            </w:r>
            <w:r w:rsidR="00267746">
              <w:t xml:space="preserve">.  </w:t>
            </w:r>
            <w:r w:rsidR="00A411E8">
              <w:t xml:space="preserve">Within this specification a number of care areas are specifically for Swale residents registered with a Swale GP. These are:  </w:t>
            </w:r>
          </w:p>
          <w:p w14:paraId="31C4803E" w14:textId="77777777" w:rsidR="00A411E8" w:rsidRDefault="00A411E8" w:rsidP="00267746">
            <w:pPr>
              <w:pStyle w:val="NoSpacing"/>
              <w:jc w:val="both"/>
            </w:pPr>
          </w:p>
          <w:p w14:paraId="680CB3A8" w14:textId="77777777" w:rsidR="00267746" w:rsidRDefault="00267746" w:rsidP="00267746">
            <w:pPr>
              <w:pStyle w:val="NoSpacing"/>
              <w:jc w:val="both"/>
            </w:pPr>
            <w:r>
              <w:t>-</w:t>
            </w:r>
            <w:r>
              <w:tab/>
              <w:t>Specialist palliative care, including hospice care</w:t>
            </w:r>
          </w:p>
          <w:p w14:paraId="4A551AE8" w14:textId="77777777" w:rsidR="00267746" w:rsidRDefault="00267746" w:rsidP="00267746">
            <w:pPr>
              <w:pStyle w:val="NoSpacing"/>
              <w:jc w:val="both"/>
            </w:pPr>
            <w:r>
              <w:t>-</w:t>
            </w:r>
            <w:r>
              <w:tab/>
              <w:t>Hand therapy</w:t>
            </w:r>
          </w:p>
          <w:p w14:paraId="3DF61F2E" w14:textId="77777777" w:rsidR="00267746" w:rsidRDefault="00267746" w:rsidP="00267746">
            <w:pPr>
              <w:pStyle w:val="NoSpacing"/>
              <w:jc w:val="both"/>
            </w:pPr>
            <w:r>
              <w:t>-</w:t>
            </w:r>
            <w:r>
              <w:tab/>
              <w:t>CAS, MSK and triage</w:t>
            </w:r>
          </w:p>
          <w:p w14:paraId="7090EC97" w14:textId="77AF3082" w:rsidR="00A411E8" w:rsidRDefault="00267746" w:rsidP="00267746">
            <w:pPr>
              <w:pStyle w:val="NoSpacing"/>
              <w:jc w:val="both"/>
            </w:pPr>
            <w:r>
              <w:t>-</w:t>
            </w:r>
            <w:r>
              <w:tab/>
              <w:t>Nutrition and dietetics</w:t>
            </w:r>
          </w:p>
          <w:p w14:paraId="348A1E98" w14:textId="77777777" w:rsidR="00A411E8" w:rsidRDefault="00A411E8" w:rsidP="00267746">
            <w:pPr>
              <w:pStyle w:val="NoSpacing"/>
              <w:jc w:val="both"/>
            </w:pPr>
          </w:p>
          <w:p w14:paraId="48A6E3AB" w14:textId="02D15A84" w:rsidR="000B6DFB" w:rsidRDefault="00023C6F" w:rsidP="00267746">
            <w:pPr>
              <w:pStyle w:val="NoSpacing"/>
              <w:jc w:val="both"/>
            </w:pPr>
            <w:r>
              <w:t xml:space="preserve">It </w:t>
            </w:r>
            <w:r w:rsidR="00DB73F0">
              <w:t>references</w:t>
            </w:r>
            <w:r>
              <w:t xml:space="preserve"> </w:t>
            </w:r>
            <w:r w:rsidR="008F6B0B">
              <w:t xml:space="preserve">generic </w:t>
            </w:r>
            <w:r w:rsidR="002E79E4" w:rsidRPr="006E03C9">
              <w:t xml:space="preserve">principles </w:t>
            </w:r>
            <w:r w:rsidR="00B357A7">
              <w:t xml:space="preserve">that </w:t>
            </w:r>
            <w:r w:rsidR="002E79E4" w:rsidRPr="006E03C9">
              <w:t xml:space="preserve">the </w:t>
            </w:r>
            <w:r w:rsidR="00377978">
              <w:t>P</w:t>
            </w:r>
            <w:r w:rsidR="002E79E4" w:rsidRPr="006E03C9">
              <w:t>rovider will follow across all pa</w:t>
            </w:r>
            <w:r w:rsidR="002E79E4">
              <w:t>rts of the service</w:t>
            </w:r>
            <w:r w:rsidR="005C1B48">
              <w:t xml:space="preserve"> model</w:t>
            </w:r>
            <w:r w:rsidR="00926C13">
              <w:t xml:space="preserve">, which are in line with </w:t>
            </w:r>
            <w:r w:rsidR="00333B8D" w:rsidRPr="006E03C9">
              <w:t>national policy</w:t>
            </w:r>
            <w:r w:rsidR="00D168DF">
              <w:t xml:space="preserve">, </w:t>
            </w:r>
            <w:r w:rsidR="00333B8D" w:rsidRPr="006E03C9">
              <w:t>best practice</w:t>
            </w:r>
            <w:r w:rsidR="00DB73F0">
              <w:t xml:space="preserve"> and details </w:t>
            </w:r>
            <w:r w:rsidR="00A96BB7">
              <w:t xml:space="preserve">the </w:t>
            </w:r>
            <w:r w:rsidR="007E143B">
              <w:t xml:space="preserve">links with the </w:t>
            </w:r>
            <w:r w:rsidR="00A96BB7">
              <w:t>core and specialist functions</w:t>
            </w:r>
            <w:r w:rsidR="00CE0EAE">
              <w:t>.</w:t>
            </w:r>
            <w:r w:rsidR="00926C13">
              <w:t xml:space="preserve"> </w:t>
            </w:r>
            <w:r w:rsidR="00B15ECA">
              <w:t>T</w:t>
            </w:r>
            <w:r w:rsidR="004D34B1">
              <w:t>h</w:t>
            </w:r>
            <w:r w:rsidR="00D9177B">
              <w:t>is</w:t>
            </w:r>
            <w:r w:rsidR="004D34B1">
              <w:t xml:space="preserve"> </w:t>
            </w:r>
            <w:r w:rsidR="00D9177B">
              <w:t xml:space="preserve">specification </w:t>
            </w:r>
            <w:r w:rsidR="004D34B1">
              <w:t xml:space="preserve">puts </w:t>
            </w:r>
            <w:r w:rsidR="008F199F">
              <w:t xml:space="preserve">the model </w:t>
            </w:r>
            <w:r w:rsidR="00554753">
              <w:t>in</w:t>
            </w:r>
            <w:r w:rsidR="00B357A7">
              <w:t xml:space="preserve"> the</w:t>
            </w:r>
            <w:r w:rsidR="00554753">
              <w:t xml:space="preserve"> context of </w:t>
            </w:r>
            <w:r w:rsidR="00A6517E">
              <w:t>national and local policy/</w:t>
            </w:r>
            <w:r w:rsidR="008F60A4">
              <w:t xml:space="preserve"> strategy</w:t>
            </w:r>
            <w:r w:rsidR="00A10459">
              <w:t xml:space="preserve">, whilst also recognising some of the </w:t>
            </w:r>
            <w:r w:rsidR="00BF3AA2">
              <w:t xml:space="preserve">local </w:t>
            </w:r>
            <w:r w:rsidR="00A10459">
              <w:t>wider determinants of health that will i</w:t>
            </w:r>
            <w:r w:rsidR="00EB13F0">
              <w:t>nfluence and i</w:t>
            </w:r>
            <w:r w:rsidR="00A10459">
              <w:t xml:space="preserve">mpact </w:t>
            </w:r>
            <w:r w:rsidR="00EB13F0">
              <w:t>future service uptake.</w:t>
            </w:r>
            <w:r w:rsidR="008F60A4">
              <w:t xml:space="preserve"> </w:t>
            </w:r>
          </w:p>
          <w:p w14:paraId="4578E738" w14:textId="77777777" w:rsidR="000B6DFB" w:rsidRDefault="000B6DFB" w:rsidP="00D04F46">
            <w:pPr>
              <w:pStyle w:val="NoSpacing"/>
              <w:jc w:val="both"/>
            </w:pPr>
          </w:p>
          <w:p w14:paraId="4A4B2FDA" w14:textId="1AF71ABD" w:rsidR="00FE093E" w:rsidRDefault="006B0105" w:rsidP="00D04F46">
            <w:pPr>
              <w:pStyle w:val="NoSpacing"/>
              <w:jc w:val="both"/>
            </w:pPr>
            <w:r>
              <w:t xml:space="preserve">The </w:t>
            </w:r>
            <w:r w:rsidR="00933F34">
              <w:t xml:space="preserve">new </w:t>
            </w:r>
            <w:r w:rsidR="008B464D">
              <w:t xml:space="preserve">service </w:t>
            </w:r>
            <w:r w:rsidR="00933F34">
              <w:t xml:space="preserve">model for </w:t>
            </w:r>
            <w:r w:rsidR="00815572">
              <w:t xml:space="preserve">adult </w:t>
            </w:r>
            <w:r>
              <w:t xml:space="preserve">community services has been designed to reflect a simpler service </w:t>
            </w:r>
            <w:r w:rsidR="005E13B3">
              <w:t>c</w:t>
            </w:r>
            <w:r>
              <w:t>onfiguration</w:t>
            </w:r>
            <w:r w:rsidR="00554753">
              <w:t xml:space="preserve">, one which is </w:t>
            </w:r>
            <w:r w:rsidR="00EB4DD3">
              <w:t xml:space="preserve">based on larger </w:t>
            </w:r>
            <w:r w:rsidR="0097058F">
              <w:t>core team</w:t>
            </w:r>
            <w:r w:rsidR="008C6C2D">
              <w:t>s</w:t>
            </w:r>
            <w:r w:rsidR="0097058F">
              <w:t xml:space="preserve"> with a shared set of skills </w:t>
            </w:r>
            <w:r w:rsidR="00554753">
              <w:t xml:space="preserve">that </w:t>
            </w:r>
            <w:r w:rsidR="00B11EDA">
              <w:t>are</w:t>
            </w:r>
            <w:r w:rsidR="005E13B3">
              <w:t xml:space="preserve"> </w:t>
            </w:r>
            <w:r w:rsidR="0097058F">
              <w:t>supported by smaller s</w:t>
            </w:r>
            <w:r w:rsidR="00377978">
              <w:t>pecialist</w:t>
            </w:r>
            <w:r w:rsidR="0097058F">
              <w:t xml:space="preserve"> functions.  </w:t>
            </w:r>
            <w:r>
              <w:t xml:space="preserve">This </w:t>
            </w:r>
            <w:r w:rsidR="00B15ECA" w:rsidRPr="008B6266">
              <w:t>draft</w:t>
            </w:r>
            <w:r w:rsidR="00381AD2">
              <w:t xml:space="preserve"> </w:t>
            </w:r>
            <w:r>
              <w:t xml:space="preserve">service specification </w:t>
            </w:r>
            <w:r w:rsidR="00A12970">
              <w:t xml:space="preserve">therefore, </w:t>
            </w:r>
            <w:r w:rsidR="008C3AD1">
              <w:t xml:space="preserve">sets out </w:t>
            </w:r>
            <w:r w:rsidR="00010C29">
              <w:t xml:space="preserve">the overarching principles and service delivery mechanisms </w:t>
            </w:r>
            <w:r w:rsidR="008C3AD1">
              <w:t xml:space="preserve">that will apply across all </w:t>
            </w:r>
            <w:r w:rsidR="00FE093E">
              <w:t xml:space="preserve">adult </w:t>
            </w:r>
            <w:r w:rsidR="00A37481">
              <w:t>community services</w:t>
            </w:r>
            <w:r w:rsidR="007F588A">
              <w:t xml:space="preserve">. </w:t>
            </w:r>
            <w:r w:rsidR="00490FA0">
              <w:t xml:space="preserve">It </w:t>
            </w:r>
            <w:r w:rsidR="006575A5">
              <w:t>references</w:t>
            </w:r>
            <w:r w:rsidR="00490FA0">
              <w:t xml:space="preserve"> </w:t>
            </w:r>
            <w:r w:rsidR="008706FD">
              <w:t xml:space="preserve">the role </w:t>
            </w:r>
            <w:r w:rsidR="00490FA0">
              <w:t xml:space="preserve">adult community services </w:t>
            </w:r>
            <w:r w:rsidR="00DB1386">
              <w:t xml:space="preserve">will play </w:t>
            </w:r>
            <w:r w:rsidR="008706FD">
              <w:t xml:space="preserve">in </w:t>
            </w:r>
            <w:r w:rsidR="0075726D">
              <w:t xml:space="preserve">moving </w:t>
            </w:r>
            <w:r w:rsidR="00DB1386">
              <w:t>activity</w:t>
            </w:r>
            <w:r w:rsidR="000626E2">
              <w:t xml:space="preserve"> </w:t>
            </w:r>
            <w:r w:rsidR="0075726D">
              <w:t xml:space="preserve">out of </w:t>
            </w:r>
            <w:r w:rsidR="00DB1386">
              <w:t>the hospital into the community</w:t>
            </w:r>
            <w:r w:rsidR="008F3B8E">
              <w:t xml:space="preserve"> and the close collaboration required </w:t>
            </w:r>
            <w:r w:rsidR="00AD0228">
              <w:t xml:space="preserve">across all partner organisations </w:t>
            </w:r>
            <w:r w:rsidR="008F3B8E">
              <w:t xml:space="preserve">to deliver an integrated and seamless system–wide </w:t>
            </w:r>
            <w:r w:rsidR="00C75360">
              <w:t xml:space="preserve">service that puts the patient and their </w:t>
            </w:r>
            <w:proofErr w:type="spellStart"/>
            <w:r w:rsidR="00C75360">
              <w:t>carers</w:t>
            </w:r>
            <w:proofErr w:type="spellEnd"/>
            <w:r w:rsidR="00C75360">
              <w:t xml:space="preserve"> at the centre</w:t>
            </w:r>
            <w:r w:rsidR="006575A5">
              <w:t xml:space="preserve"> of the care planning </w:t>
            </w:r>
            <w:r w:rsidR="00950688">
              <w:t>process</w:t>
            </w:r>
            <w:r w:rsidR="00B465BA">
              <w:t xml:space="preserve">. </w:t>
            </w:r>
          </w:p>
          <w:p w14:paraId="4177963C" w14:textId="77777777" w:rsidR="00B465BA" w:rsidRDefault="00B465BA" w:rsidP="00D04F46">
            <w:pPr>
              <w:pStyle w:val="NoSpacing"/>
              <w:jc w:val="both"/>
            </w:pPr>
          </w:p>
          <w:p w14:paraId="23CB660C" w14:textId="4BBB4B4F" w:rsidR="00F94B4C" w:rsidRPr="00F030CF" w:rsidRDefault="00C80C0B" w:rsidP="00F94B4C">
            <w:pPr>
              <w:pStyle w:val="NoSpacing"/>
              <w:jc w:val="both"/>
              <w:rPr>
                <w:rFonts w:cs="Arial"/>
              </w:rPr>
            </w:pPr>
            <w:r>
              <w:t>Whilst n</w:t>
            </w:r>
            <w:r w:rsidR="0016793F">
              <w:t xml:space="preserve">ot all services </w:t>
            </w:r>
            <w:r w:rsidR="006E23D4">
              <w:t xml:space="preserve">provided within the community </w:t>
            </w:r>
            <w:r w:rsidR="0016793F">
              <w:t>are within the</w:t>
            </w:r>
            <w:r w:rsidR="005B69D5">
              <w:t xml:space="preserve"> scope of this </w:t>
            </w:r>
            <w:r w:rsidR="007756FE">
              <w:t>specification</w:t>
            </w:r>
            <w:r w:rsidR="005B69D5">
              <w:t xml:space="preserve">, </w:t>
            </w:r>
            <w:r w:rsidR="00791F3D">
              <w:t>the P</w:t>
            </w:r>
            <w:r w:rsidR="005B69D5">
              <w:t>rovider will be required to liaise with the</w:t>
            </w:r>
            <w:r w:rsidR="006F7914">
              <w:t xml:space="preserve"> Provider/s of the</w:t>
            </w:r>
            <w:r w:rsidR="005B69D5">
              <w:t xml:space="preserve">se services </w:t>
            </w:r>
            <w:r w:rsidR="00C23B09">
              <w:t xml:space="preserve">to ensure </w:t>
            </w:r>
            <w:r w:rsidR="00B37F01">
              <w:t>th</w:t>
            </w:r>
            <w:r w:rsidR="00E73533">
              <w:t xml:space="preserve">e development of </w:t>
            </w:r>
            <w:r w:rsidR="00B37F01">
              <w:t xml:space="preserve">pathways within the remit </w:t>
            </w:r>
            <w:r w:rsidR="00BA61E1">
              <w:t>of this specification</w:t>
            </w:r>
            <w:r w:rsidR="00E73533">
              <w:t>,</w:t>
            </w:r>
            <w:r w:rsidR="00BA61E1">
              <w:t xml:space="preserve"> are </w:t>
            </w:r>
            <w:r w:rsidR="00C23B09">
              <w:t>co-ordinated</w:t>
            </w:r>
            <w:r w:rsidR="00BA61E1">
              <w:t xml:space="preserve"> and </w:t>
            </w:r>
            <w:r w:rsidR="00C23B09">
              <w:t>holistic</w:t>
            </w:r>
            <w:r w:rsidR="00BA61E1">
              <w:t>.</w:t>
            </w:r>
            <w:r w:rsidR="007D51FD">
              <w:t xml:space="preserve">  </w:t>
            </w:r>
            <w:proofErr w:type="gramStart"/>
            <w:r w:rsidR="00792170">
              <w:t>A full list</w:t>
            </w:r>
            <w:proofErr w:type="gramEnd"/>
            <w:r w:rsidR="00792170">
              <w:t xml:space="preserve"> of services </w:t>
            </w:r>
            <w:r w:rsidR="002C3B6F">
              <w:t xml:space="preserve">that are </w:t>
            </w:r>
            <w:r w:rsidR="00792170">
              <w:t>in scope</w:t>
            </w:r>
            <w:r w:rsidR="002C3B6F">
              <w:t xml:space="preserve"> </w:t>
            </w:r>
            <w:r w:rsidR="00891C91">
              <w:t xml:space="preserve">and out of scope of this procurement </w:t>
            </w:r>
            <w:r w:rsidR="002C3B6F">
              <w:t>are listed in Appendix 1.</w:t>
            </w:r>
            <w:r w:rsidR="00792170">
              <w:t xml:space="preserve"> </w:t>
            </w:r>
          </w:p>
          <w:p w14:paraId="4D16A390" w14:textId="77777777" w:rsidR="004354AE" w:rsidRDefault="004354AE" w:rsidP="00D04F46">
            <w:pPr>
              <w:pStyle w:val="NoSpacing"/>
              <w:jc w:val="both"/>
            </w:pPr>
          </w:p>
          <w:p w14:paraId="788DB6E8" w14:textId="17C03546" w:rsidR="00161AA7" w:rsidRPr="006E03C9" w:rsidRDefault="00161AA7" w:rsidP="00161AA7">
            <w:pPr>
              <w:pStyle w:val="NoSpacing"/>
              <w:jc w:val="both"/>
            </w:pPr>
            <w:r w:rsidRPr="006E03C9">
              <w:t xml:space="preserve">This </w:t>
            </w:r>
            <w:r>
              <w:t xml:space="preserve">document </w:t>
            </w:r>
            <w:r w:rsidR="0061278A">
              <w:t xml:space="preserve">should be </w:t>
            </w:r>
            <w:r w:rsidR="00D6388D">
              <w:t xml:space="preserve">read </w:t>
            </w:r>
            <w:r w:rsidR="0061278A">
              <w:t xml:space="preserve">in conjunction with </w:t>
            </w:r>
            <w:r w:rsidR="00D6388D">
              <w:t xml:space="preserve">the </w:t>
            </w:r>
            <w:r w:rsidR="00F27FEA">
              <w:t xml:space="preserve">Key Requirements document as </w:t>
            </w:r>
            <w:r w:rsidR="001A176C">
              <w:t>this provides</w:t>
            </w:r>
            <w:r w:rsidR="00F27FEA">
              <w:t xml:space="preserve"> more detail </w:t>
            </w:r>
            <w:r w:rsidR="001A176C">
              <w:t xml:space="preserve">on </w:t>
            </w:r>
            <w:r w:rsidR="00F27FEA">
              <w:t xml:space="preserve">the </w:t>
            </w:r>
            <w:r w:rsidR="00D6388D">
              <w:t>core</w:t>
            </w:r>
            <w:r w:rsidR="0029657E">
              <w:t xml:space="preserve"> </w:t>
            </w:r>
            <w:r w:rsidR="00D6388D">
              <w:t xml:space="preserve">and specialist </w:t>
            </w:r>
            <w:r w:rsidR="00C06780">
              <w:t>functions</w:t>
            </w:r>
            <w:r w:rsidR="00AA4459">
              <w:t>. These</w:t>
            </w:r>
            <w:r w:rsidR="00AF58C2">
              <w:t xml:space="preserve"> documents </w:t>
            </w:r>
            <w:r w:rsidR="00F9497B">
              <w:t>p</w:t>
            </w:r>
            <w:r w:rsidR="009B1B96">
              <w:t>rovide the</w:t>
            </w:r>
            <w:r w:rsidR="00C43F30">
              <w:t xml:space="preserve"> </w:t>
            </w:r>
            <w:r w:rsidR="00AA0C29">
              <w:t xml:space="preserve">context </w:t>
            </w:r>
            <w:r w:rsidR="0029657E">
              <w:t>t</w:t>
            </w:r>
            <w:r w:rsidR="009B1B96">
              <w:t>o</w:t>
            </w:r>
            <w:r w:rsidR="00231900">
              <w:t xml:space="preserve"> </w:t>
            </w:r>
            <w:r w:rsidR="00944BAB">
              <w:t xml:space="preserve">the </w:t>
            </w:r>
            <w:r w:rsidR="00E00534">
              <w:t xml:space="preserve">complete </w:t>
            </w:r>
            <w:r w:rsidR="00231900">
              <w:t>service model</w:t>
            </w:r>
            <w:r w:rsidR="00AF58C2">
              <w:t xml:space="preserve"> and</w:t>
            </w:r>
            <w:r w:rsidR="00A13150">
              <w:t xml:space="preserve"> </w:t>
            </w:r>
            <w:r w:rsidR="00F9497B">
              <w:t xml:space="preserve">the </w:t>
            </w:r>
            <w:r w:rsidR="00A13150">
              <w:t>require</w:t>
            </w:r>
            <w:r w:rsidR="00AF58C2">
              <w:t xml:space="preserve">d </w:t>
            </w:r>
            <w:r w:rsidR="00CE2D8A">
              <w:t xml:space="preserve">service </w:t>
            </w:r>
            <w:r w:rsidR="00AF58C2">
              <w:t xml:space="preserve">functions </w:t>
            </w:r>
            <w:r w:rsidR="00920123">
              <w:t xml:space="preserve">to be </w:t>
            </w:r>
            <w:r w:rsidR="00D9177B">
              <w:t xml:space="preserve">provided </w:t>
            </w:r>
            <w:r w:rsidR="00920123">
              <w:t xml:space="preserve">by </w:t>
            </w:r>
            <w:r w:rsidR="00A13150">
              <w:t>the Provider</w:t>
            </w:r>
            <w:r w:rsidR="0029657E">
              <w:t xml:space="preserve">. </w:t>
            </w:r>
            <w:r w:rsidR="00B357A7">
              <w:t xml:space="preserve"> </w:t>
            </w:r>
            <w:r>
              <w:t xml:space="preserve">This document must be considered alongside the NHS Standard Contract which contains requirements laid out in </w:t>
            </w:r>
            <w:r w:rsidRPr="006E03C9">
              <w:t xml:space="preserve">General Conditions and Service Conditions. </w:t>
            </w:r>
          </w:p>
          <w:p w14:paraId="6FAEDC30" w14:textId="77777777" w:rsidR="008475B1" w:rsidRPr="0019444F" w:rsidRDefault="008475B1" w:rsidP="006D238B">
            <w:pPr>
              <w:pStyle w:val="NoSpacing"/>
            </w:pPr>
          </w:p>
        </w:tc>
      </w:tr>
      <w:tr w:rsidR="00387D9B" w:rsidRPr="00963D0B" w14:paraId="1D872908" w14:textId="77777777" w:rsidTr="00301FB4">
        <w:trPr>
          <w:trHeight w:val="284"/>
        </w:trPr>
        <w:tc>
          <w:tcPr>
            <w:tcW w:w="1363" w:type="dxa"/>
            <w:shd w:val="clear" w:color="auto" w:fill="F2F2F2" w:themeFill="background1" w:themeFillShade="F2"/>
          </w:tcPr>
          <w:p w14:paraId="5AC60D5D" w14:textId="77777777" w:rsidR="00EC29B7" w:rsidRPr="00963D0B" w:rsidRDefault="00AA3128" w:rsidP="006D238B">
            <w:pPr>
              <w:pStyle w:val="NoSpacing"/>
              <w:rPr>
                <w:b/>
                <w:sz w:val="20"/>
                <w:szCs w:val="20"/>
              </w:rPr>
            </w:pPr>
            <w:r w:rsidRPr="00963D0B">
              <w:rPr>
                <w:b/>
                <w:sz w:val="20"/>
                <w:szCs w:val="20"/>
              </w:rPr>
              <w:t>1.2</w:t>
            </w:r>
          </w:p>
        </w:tc>
        <w:tc>
          <w:tcPr>
            <w:tcW w:w="8898" w:type="dxa"/>
            <w:gridSpan w:val="7"/>
            <w:shd w:val="clear" w:color="auto" w:fill="F2F2F2" w:themeFill="background1" w:themeFillShade="F2"/>
          </w:tcPr>
          <w:p w14:paraId="7AFB80BF" w14:textId="77777777" w:rsidR="00EC29B7" w:rsidRPr="00963D0B" w:rsidRDefault="00763905" w:rsidP="00763905">
            <w:pPr>
              <w:pStyle w:val="NoSpacing"/>
              <w:rPr>
                <w:b/>
              </w:rPr>
            </w:pPr>
            <w:r w:rsidRPr="00963D0B">
              <w:rPr>
                <w:b/>
              </w:rPr>
              <w:t>Strategic Context -</w:t>
            </w:r>
            <w:r w:rsidR="00EC29B7" w:rsidRPr="00963D0B">
              <w:rPr>
                <w:b/>
              </w:rPr>
              <w:t xml:space="preserve"> national </w:t>
            </w:r>
            <w:r w:rsidR="00070234" w:rsidRPr="00963D0B">
              <w:rPr>
                <w:b/>
              </w:rPr>
              <w:t xml:space="preserve">and local </w:t>
            </w:r>
            <w:r w:rsidR="00EC29B7" w:rsidRPr="00963D0B">
              <w:rPr>
                <w:b/>
              </w:rPr>
              <w:t>policy</w:t>
            </w:r>
          </w:p>
        </w:tc>
      </w:tr>
      <w:tr w:rsidR="006D238B" w:rsidRPr="00AA3128" w14:paraId="5B6ED8EC" w14:textId="77777777" w:rsidTr="00931F94">
        <w:trPr>
          <w:trHeight w:val="284"/>
        </w:trPr>
        <w:tc>
          <w:tcPr>
            <w:tcW w:w="10261" w:type="dxa"/>
            <w:gridSpan w:val="8"/>
            <w:shd w:val="clear" w:color="auto" w:fill="auto"/>
          </w:tcPr>
          <w:p w14:paraId="653DE54E" w14:textId="77777777" w:rsidR="00231900" w:rsidRDefault="00231900" w:rsidP="00231900">
            <w:pPr>
              <w:jc w:val="both"/>
              <w:rPr>
                <w:rFonts w:asciiTheme="minorHAnsi" w:eastAsiaTheme="minorHAnsi" w:hAnsiTheme="minorHAnsi" w:cstheme="minorBidi"/>
                <w:sz w:val="22"/>
                <w:szCs w:val="22"/>
                <w:lang w:val="en"/>
              </w:rPr>
            </w:pPr>
            <w:r w:rsidRPr="00231900">
              <w:rPr>
                <w:rFonts w:asciiTheme="minorHAnsi" w:eastAsiaTheme="minorHAnsi" w:hAnsiTheme="minorHAnsi" w:cstheme="minorBidi"/>
                <w:sz w:val="22"/>
                <w:szCs w:val="22"/>
                <w:lang w:val="en"/>
              </w:rPr>
              <w:t xml:space="preserve">The Provider will ensure that </w:t>
            </w:r>
            <w:r w:rsidR="005E4270">
              <w:rPr>
                <w:rFonts w:asciiTheme="minorHAnsi" w:eastAsiaTheme="minorHAnsi" w:hAnsiTheme="minorHAnsi" w:cstheme="minorBidi"/>
                <w:sz w:val="22"/>
                <w:szCs w:val="22"/>
                <w:lang w:val="en"/>
              </w:rPr>
              <w:t xml:space="preserve">adult </w:t>
            </w:r>
            <w:r w:rsidRPr="00231900">
              <w:rPr>
                <w:rFonts w:asciiTheme="minorHAnsi" w:eastAsiaTheme="minorHAnsi" w:hAnsiTheme="minorHAnsi" w:cstheme="minorBidi"/>
                <w:sz w:val="22"/>
                <w:szCs w:val="22"/>
                <w:lang w:val="en"/>
              </w:rPr>
              <w:t>community services operate in line with national and local policy and strategy, including, but</w:t>
            </w:r>
            <w:r w:rsidR="00EA4B2E">
              <w:rPr>
                <w:rFonts w:asciiTheme="minorHAnsi" w:eastAsiaTheme="minorHAnsi" w:hAnsiTheme="minorHAnsi" w:cstheme="minorBidi"/>
                <w:sz w:val="22"/>
                <w:szCs w:val="22"/>
                <w:lang w:val="en"/>
              </w:rPr>
              <w:t xml:space="preserve"> not limited those that follow:</w:t>
            </w:r>
          </w:p>
          <w:p w14:paraId="25C9B4FE" w14:textId="77777777" w:rsidR="00231900" w:rsidRPr="00227FEE" w:rsidRDefault="006F5142" w:rsidP="00365BD0">
            <w:pPr>
              <w:tabs>
                <w:tab w:val="left" w:pos="1878"/>
                <w:tab w:val="left" w:pos="2211"/>
              </w:tabs>
              <w:jc w:val="both"/>
              <w:rPr>
                <w:rFonts w:asciiTheme="minorHAnsi" w:eastAsiaTheme="minorHAnsi" w:hAnsiTheme="minorHAnsi" w:cstheme="minorBidi"/>
                <w:b/>
                <w:sz w:val="22"/>
                <w:szCs w:val="22"/>
                <w:lang w:val="en"/>
              </w:rPr>
            </w:pPr>
            <w:r w:rsidRPr="00227FEE">
              <w:rPr>
                <w:rFonts w:asciiTheme="minorHAnsi" w:eastAsiaTheme="minorHAnsi" w:hAnsiTheme="minorHAnsi" w:cstheme="minorBidi"/>
                <w:b/>
                <w:sz w:val="22"/>
                <w:szCs w:val="22"/>
                <w:lang w:val="en"/>
              </w:rPr>
              <w:t xml:space="preserve">National </w:t>
            </w:r>
          </w:p>
          <w:p w14:paraId="46312AAC" w14:textId="00AB27E0" w:rsidR="00B357A7" w:rsidRPr="00F967C2" w:rsidRDefault="00F967C2" w:rsidP="00F967C2">
            <w:pPr>
              <w:pStyle w:val="ListParagraph"/>
              <w:numPr>
                <w:ilvl w:val="0"/>
                <w:numId w:val="28"/>
              </w:numPr>
              <w:ind w:left="369" w:hanging="369"/>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lastRenderedPageBreak/>
              <w:t xml:space="preserve">Next Steps on the </w:t>
            </w:r>
            <w:r w:rsidR="004677FA">
              <w:rPr>
                <w:rFonts w:asciiTheme="minorHAnsi" w:eastAsiaTheme="minorHAnsi" w:hAnsiTheme="minorHAnsi" w:cstheme="minorBidi"/>
                <w:sz w:val="22"/>
                <w:szCs w:val="22"/>
                <w:lang w:val="en"/>
              </w:rPr>
              <w:t>NHS Five Year Forward View</w:t>
            </w:r>
          </w:p>
          <w:p w14:paraId="673EDD60" w14:textId="77777777" w:rsidR="00293C55" w:rsidRPr="00B357A7" w:rsidRDefault="00231900" w:rsidP="00231900">
            <w:pPr>
              <w:numPr>
                <w:ilvl w:val="0"/>
                <w:numId w:val="3"/>
              </w:num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The NHS Five Year Forward View (FYFV)</w:t>
            </w:r>
          </w:p>
          <w:p w14:paraId="71BFA45B" w14:textId="77777777" w:rsidR="00492278" w:rsidRPr="00B357A7" w:rsidRDefault="00492278" w:rsidP="00492278">
            <w:pPr>
              <w:numPr>
                <w:ilvl w:val="0"/>
                <w:numId w:val="3"/>
              </w:num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General Practice Forward View (GPFV)</w:t>
            </w:r>
          </w:p>
          <w:p w14:paraId="60113A42" w14:textId="77777777" w:rsidR="006D774E" w:rsidRPr="00B357A7" w:rsidRDefault="006D774E" w:rsidP="00402E99">
            <w:pPr>
              <w:numPr>
                <w:ilvl w:val="0"/>
                <w:numId w:val="3"/>
              </w:num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Kent and Medway Sustainab</w:t>
            </w:r>
            <w:r w:rsidR="00B052AE" w:rsidRPr="00B357A7">
              <w:rPr>
                <w:rFonts w:asciiTheme="minorHAnsi" w:eastAsiaTheme="minorHAnsi" w:hAnsiTheme="minorHAnsi" w:cstheme="minorBidi"/>
                <w:sz w:val="22"/>
                <w:szCs w:val="22"/>
                <w:lang w:val="en"/>
              </w:rPr>
              <w:t>ility and Transformation Plan (KMSTP)</w:t>
            </w:r>
          </w:p>
          <w:p w14:paraId="0FF4D1EB" w14:textId="77777777" w:rsidR="00402E99" w:rsidRPr="00B357A7" w:rsidRDefault="00EA4B2E" w:rsidP="006F131C">
            <w:pPr>
              <w:numPr>
                <w:ilvl w:val="0"/>
                <w:numId w:val="3"/>
              </w:num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Better Care Fund (BCF)</w:t>
            </w:r>
          </w:p>
          <w:p w14:paraId="59EC585C" w14:textId="77777777" w:rsidR="006F131C" w:rsidRPr="00227FEE" w:rsidRDefault="006F131C" w:rsidP="006F131C">
            <w:pPr>
              <w:jc w:val="both"/>
              <w:rPr>
                <w:rFonts w:asciiTheme="minorHAnsi" w:eastAsiaTheme="minorHAnsi" w:hAnsiTheme="minorHAnsi" w:cstheme="minorBidi"/>
                <w:b/>
                <w:sz w:val="22"/>
                <w:szCs w:val="22"/>
                <w:lang w:val="en"/>
              </w:rPr>
            </w:pPr>
            <w:r w:rsidRPr="00227FEE">
              <w:rPr>
                <w:rFonts w:asciiTheme="minorHAnsi" w:eastAsiaTheme="minorHAnsi" w:hAnsiTheme="minorHAnsi" w:cstheme="minorBidi"/>
                <w:b/>
                <w:sz w:val="22"/>
                <w:szCs w:val="22"/>
                <w:lang w:val="en"/>
              </w:rPr>
              <w:t>Local</w:t>
            </w:r>
          </w:p>
          <w:p w14:paraId="27DB26E0" w14:textId="77777777" w:rsidR="00A95373" w:rsidRPr="00931537" w:rsidRDefault="00492278" w:rsidP="006F131C">
            <w:pPr>
              <w:tabs>
                <w:tab w:val="left" w:pos="369"/>
              </w:tabs>
              <w:jc w:val="both"/>
              <w:rPr>
                <w:rFonts w:asciiTheme="minorHAnsi" w:eastAsiaTheme="minorHAnsi" w:hAnsiTheme="minorHAnsi" w:cstheme="minorBidi"/>
                <w:sz w:val="22"/>
                <w:szCs w:val="22"/>
                <w:lang w:val="en"/>
              </w:rPr>
            </w:pPr>
            <w:r w:rsidRPr="00492278">
              <w:rPr>
                <w:rFonts w:asciiTheme="minorHAnsi" w:eastAsiaTheme="minorHAnsi" w:hAnsiTheme="minorHAnsi" w:cstheme="minorHAnsi"/>
                <w:sz w:val="22"/>
                <w:szCs w:val="22"/>
                <w:lang w:val="en"/>
              </w:rPr>
              <w:t>•</w:t>
            </w:r>
            <w:r w:rsidRPr="00492278">
              <w:rPr>
                <w:rFonts w:asciiTheme="minorHAnsi" w:eastAsiaTheme="minorHAnsi" w:hAnsiTheme="minorHAnsi" w:cstheme="minorHAnsi"/>
                <w:sz w:val="22"/>
                <w:szCs w:val="22"/>
                <w:lang w:val="en"/>
              </w:rPr>
              <w:tab/>
            </w:r>
            <w:r w:rsidR="00C97DDE" w:rsidRPr="00931537">
              <w:rPr>
                <w:rFonts w:asciiTheme="minorHAnsi" w:eastAsiaTheme="minorHAnsi" w:hAnsiTheme="minorHAnsi" w:cstheme="minorBidi"/>
                <w:sz w:val="22"/>
                <w:szCs w:val="22"/>
                <w:lang w:val="en"/>
              </w:rPr>
              <w:t>The Medway Model</w:t>
            </w:r>
          </w:p>
          <w:p w14:paraId="1D6F27FC" w14:textId="77777777" w:rsidR="009F4D64" w:rsidRPr="00931537" w:rsidRDefault="009F4D64" w:rsidP="009F4D64">
            <w:pPr>
              <w:numPr>
                <w:ilvl w:val="0"/>
                <w:numId w:val="3"/>
              </w:numPr>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lang w:val="en"/>
              </w:rPr>
              <w:t>Medway Local Care Sustainability and Transformation Programme</w:t>
            </w:r>
          </w:p>
          <w:p w14:paraId="4C5DA266" w14:textId="7E53F8ED" w:rsidR="007A7DC7" w:rsidRPr="001A176C" w:rsidRDefault="00A13268" w:rsidP="001A176C">
            <w:pPr>
              <w:numPr>
                <w:ilvl w:val="0"/>
                <w:numId w:val="3"/>
              </w:numPr>
              <w:ind w:right="120"/>
              <w:jc w:val="both"/>
              <w:rPr>
                <w:rFonts w:asciiTheme="minorHAnsi" w:eastAsiaTheme="minorHAnsi" w:hAnsiTheme="minorHAnsi" w:cstheme="minorBidi"/>
                <w:sz w:val="22"/>
                <w:szCs w:val="22"/>
              </w:rPr>
            </w:pPr>
            <w:r w:rsidRPr="00931537">
              <w:rPr>
                <w:rFonts w:asciiTheme="minorHAnsi" w:eastAsiaTheme="minorHAnsi" w:hAnsiTheme="minorHAnsi" w:cstheme="minorBidi"/>
                <w:sz w:val="22"/>
                <w:szCs w:val="22"/>
              </w:rPr>
              <w:t>Medway End of Life Strategy</w:t>
            </w:r>
            <w:r w:rsidR="001A176C">
              <w:rPr>
                <w:rFonts w:asciiTheme="minorHAnsi" w:eastAsiaTheme="minorHAnsi" w:hAnsiTheme="minorHAnsi" w:cstheme="minorBidi"/>
                <w:sz w:val="22"/>
                <w:szCs w:val="22"/>
              </w:rPr>
              <w:t xml:space="preserve"> and Swale End of Life Strategy</w:t>
            </w:r>
            <w:r w:rsidRPr="001A176C">
              <w:rPr>
                <w:rFonts w:asciiTheme="minorHAnsi" w:eastAsiaTheme="minorHAnsi" w:hAnsiTheme="minorHAnsi" w:cstheme="minorBidi"/>
                <w:sz w:val="22"/>
                <w:szCs w:val="22"/>
              </w:rPr>
              <w:t xml:space="preserve"> </w:t>
            </w:r>
          </w:p>
          <w:p w14:paraId="3F2BF135" w14:textId="77777777" w:rsidR="0031409E" w:rsidRPr="00931537" w:rsidRDefault="0031409E" w:rsidP="0031409E">
            <w:pPr>
              <w:pStyle w:val="ListParagraph"/>
              <w:numPr>
                <w:ilvl w:val="0"/>
                <w:numId w:val="7"/>
              </w:numPr>
              <w:ind w:right="120"/>
              <w:jc w:val="both"/>
              <w:rPr>
                <w:rFonts w:asciiTheme="minorHAnsi" w:eastAsiaTheme="minorHAnsi" w:hAnsiTheme="minorHAnsi" w:cstheme="minorBidi"/>
                <w:sz w:val="22"/>
                <w:szCs w:val="22"/>
              </w:rPr>
            </w:pPr>
            <w:r w:rsidRPr="00931537">
              <w:rPr>
                <w:rFonts w:asciiTheme="minorHAnsi" w:eastAsiaTheme="minorHAnsi" w:hAnsiTheme="minorHAnsi" w:cstheme="minorBidi"/>
                <w:sz w:val="22"/>
                <w:szCs w:val="22"/>
              </w:rPr>
              <w:t xml:space="preserve">Urgent Care </w:t>
            </w:r>
            <w:r w:rsidR="00026A1D">
              <w:rPr>
                <w:rFonts w:asciiTheme="minorHAnsi" w:eastAsiaTheme="minorHAnsi" w:hAnsiTheme="minorHAnsi" w:cstheme="minorBidi"/>
                <w:sz w:val="22"/>
                <w:szCs w:val="22"/>
              </w:rPr>
              <w:t>Re-Procurement</w:t>
            </w:r>
          </w:p>
          <w:p w14:paraId="13D1430B" w14:textId="77777777" w:rsidR="00DB5A07" w:rsidRPr="00931537" w:rsidRDefault="00DB5A07" w:rsidP="000A08A3">
            <w:pPr>
              <w:numPr>
                <w:ilvl w:val="0"/>
                <w:numId w:val="3"/>
              </w:numPr>
              <w:ind w:right="120"/>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rPr>
              <w:t>Medway Health a</w:t>
            </w:r>
            <w:r w:rsidR="00A82DDA" w:rsidRPr="00931537">
              <w:rPr>
                <w:rFonts w:asciiTheme="minorHAnsi" w:eastAsiaTheme="minorHAnsi" w:hAnsiTheme="minorHAnsi" w:cstheme="minorBidi"/>
                <w:sz w:val="22"/>
                <w:szCs w:val="22"/>
              </w:rPr>
              <w:t xml:space="preserve">nd Wellbeing Strategy </w:t>
            </w:r>
          </w:p>
          <w:p w14:paraId="5E05A6BB" w14:textId="77777777" w:rsidR="00C97DDE" w:rsidRPr="00931537" w:rsidRDefault="00B26B22" w:rsidP="00231900">
            <w:pPr>
              <w:numPr>
                <w:ilvl w:val="0"/>
                <w:numId w:val="3"/>
              </w:numPr>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lang w:val="en"/>
              </w:rPr>
              <w:t xml:space="preserve">Medway </w:t>
            </w:r>
            <w:r w:rsidR="001A6E51">
              <w:rPr>
                <w:rFonts w:asciiTheme="minorHAnsi" w:eastAsiaTheme="minorHAnsi" w:hAnsiTheme="minorHAnsi" w:cstheme="minorBidi"/>
                <w:sz w:val="22"/>
                <w:szCs w:val="22"/>
                <w:lang w:val="en"/>
              </w:rPr>
              <w:t xml:space="preserve">Local </w:t>
            </w:r>
            <w:r w:rsidR="00772D99" w:rsidRPr="00931537">
              <w:rPr>
                <w:rFonts w:asciiTheme="minorHAnsi" w:eastAsiaTheme="minorHAnsi" w:hAnsiTheme="minorHAnsi" w:cstheme="minorBidi"/>
                <w:sz w:val="22"/>
                <w:szCs w:val="22"/>
                <w:lang w:val="en"/>
              </w:rPr>
              <w:t>Estates Strategy</w:t>
            </w:r>
          </w:p>
          <w:p w14:paraId="19DA3472" w14:textId="77777777" w:rsidR="004C71DC" w:rsidRDefault="00B26B22" w:rsidP="00231900">
            <w:pPr>
              <w:numPr>
                <w:ilvl w:val="0"/>
                <w:numId w:val="3"/>
              </w:numPr>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lang w:val="en"/>
              </w:rPr>
              <w:t xml:space="preserve">Medway </w:t>
            </w:r>
            <w:r w:rsidR="00772D99" w:rsidRPr="00931537">
              <w:rPr>
                <w:rFonts w:asciiTheme="minorHAnsi" w:eastAsiaTheme="minorHAnsi" w:hAnsiTheme="minorHAnsi" w:cstheme="minorBidi"/>
                <w:sz w:val="22"/>
                <w:szCs w:val="22"/>
                <w:lang w:val="en"/>
              </w:rPr>
              <w:t>Digita</w:t>
            </w:r>
            <w:r w:rsidR="004C71DC" w:rsidRPr="00931537">
              <w:rPr>
                <w:rFonts w:asciiTheme="minorHAnsi" w:eastAsiaTheme="minorHAnsi" w:hAnsiTheme="minorHAnsi" w:cstheme="minorBidi"/>
                <w:sz w:val="22"/>
                <w:szCs w:val="22"/>
                <w:lang w:val="en"/>
              </w:rPr>
              <w:t>l Strategy</w:t>
            </w:r>
          </w:p>
          <w:p w14:paraId="631AAB17" w14:textId="77777777" w:rsidR="00931537" w:rsidRPr="00931537" w:rsidRDefault="00931537" w:rsidP="00231900">
            <w:pPr>
              <w:numPr>
                <w:ilvl w:val="0"/>
                <w:numId w:val="3"/>
              </w:num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 xml:space="preserve">Medway </w:t>
            </w:r>
            <w:r w:rsidR="003324F0">
              <w:rPr>
                <w:rFonts w:asciiTheme="minorHAnsi" w:eastAsiaTheme="minorHAnsi" w:hAnsiTheme="minorHAnsi" w:cstheme="minorBidi"/>
                <w:sz w:val="22"/>
                <w:szCs w:val="22"/>
                <w:lang w:val="en"/>
              </w:rPr>
              <w:t>Cares’</w:t>
            </w:r>
            <w:r>
              <w:rPr>
                <w:rFonts w:asciiTheme="minorHAnsi" w:eastAsiaTheme="minorHAnsi" w:hAnsiTheme="minorHAnsi" w:cstheme="minorBidi"/>
                <w:sz w:val="22"/>
                <w:szCs w:val="22"/>
                <w:lang w:val="en"/>
              </w:rPr>
              <w:t xml:space="preserve"> Strategy</w:t>
            </w:r>
          </w:p>
          <w:p w14:paraId="72ECB283" w14:textId="77777777" w:rsidR="00026A1D" w:rsidRDefault="00A82DDA" w:rsidP="00725761">
            <w:pPr>
              <w:numPr>
                <w:ilvl w:val="0"/>
                <w:numId w:val="3"/>
              </w:num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Kent and Medway Stroke Review</w:t>
            </w:r>
          </w:p>
          <w:p w14:paraId="7D89372F" w14:textId="77777777" w:rsidR="00134965" w:rsidRPr="00725761" w:rsidRDefault="002145BE" w:rsidP="00026A1D">
            <w:pPr>
              <w:numPr>
                <w:ilvl w:val="0"/>
                <w:numId w:val="3"/>
              </w:numPr>
              <w:jc w:val="both"/>
              <w:rPr>
                <w:rFonts w:asciiTheme="minorHAnsi" w:eastAsiaTheme="minorHAnsi" w:hAnsiTheme="minorHAnsi" w:cstheme="minorBidi"/>
                <w:sz w:val="22"/>
                <w:szCs w:val="22"/>
                <w:lang w:val="en"/>
              </w:rPr>
            </w:pPr>
            <w:r w:rsidRPr="00725761">
              <w:rPr>
                <w:rFonts w:asciiTheme="minorHAnsi" w:eastAsiaTheme="minorHAnsi" w:hAnsiTheme="minorHAnsi" w:cstheme="minorBidi"/>
                <w:sz w:val="22"/>
                <w:szCs w:val="22"/>
                <w:lang w:val="en"/>
              </w:rPr>
              <w:t xml:space="preserve">Medway Voluntary Community Sector </w:t>
            </w:r>
            <w:r w:rsidR="00026A1D" w:rsidRPr="00725761">
              <w:rPr>
                <w:rFonts w:asciiTheme="minorHAnsi" w:eastAsiaTheme="minorHAnsi" w:hAnsiTheme="minorHAnsi" w:cstheme="minorBidi"/>
                <w:sz w:val="22"/>
                <w:szCs w:val="22"/>
                <w:lang w:val="en"/>
              </w:rPr>
              <w:t>Better Together Consortium</w:t>
            </w:r>
          </w:p>
          <w:p w14:paraId="1416FFFC" w14:textId="29DAF006" w:rsidR="00026A1D" w:rsidRPr="00725761" w:rsidRDefault="007800B7" w:rsidP="00026A1D">
            <w:pPr>
              <w:numPr>
                <w:ilvl w:val="0"/>
                <w:numId w:val="3"/>
              </w:num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 xml:space="preserve">Well-being </w:t>
            </w:r>
            <w:r w:rsidR="00026A1D" w:rsidRPr="00725761">
              <w:rPr>
                <w:rFonts w:asciiTheme="minorHAnsi" w:eastAsiaTheme="minorHAnsi" w:hAnsiTheme="minorHAnsi" w:cstheme="minorBidi"/>
                <w:sz w:val="22"/>
                <w:szCs w:val="22"/>
                <w:lang w:val="en"/>
              </w:rPr>
              <w:t xml:space="preserve">Navigation </w:t>
            </w:r>
            <w:r w:rsidR="00725761" w:rsidRPr="00725761">
              <w:rPr>
                <w:rFonts w:asciiTheme="minorHAnsi" w:eastAsiaTheme="minorHAnsi" w:hAnsiTheme="minorHAnsi" w:cstheme="minorBidi"/>
                <w:sz w:val="22"/>
                <w:szCs w:val="22"/>
                <w:lang w:val="en"/>
              </w:rPr>
              <w:t>R</w:t>
            </w:r>
            <w:r w:rsidR="00026A1D" w:rsidRPr="00725761">
              <w:rPr>
                <w:rFonts w:asciiTheme="minorHAnsi" w:eastAsiaTheme="minorHAnsi" w:hAnsiTheme="minorHAnsi" w:cstheme="minorBidi"/>
                <w:sz w:val="22"/>
                <w:szCs w:val="22"/>
                <w:lang w:val="en"/>
              </w:rPr>
              <w:t>e-</w:t>
            </w:r>
            <w:r w:rsidR="00725761" w:rsidRPr="00725761">
              <w:rPr>
                <w:rFonts w:asciiTheme="minorHAnsi" w:eastAsiaTheme="minorHAnsi" w:hAnsiTheme="minorHAnsi" w:cstheme="minorBidi"/>
                <w:sz w:val="22"/>
                <w:szCs w:val="22"/>
                <w:lang w:val="en"/>
              </w:rPr>
              <w:t>procurement</w:t>
            </w:r>
          </w:p>
          <w:p w14:paraId="51672E67" w14:textId="77777777" w:rsidR="002145BE" w:rsidRDefault="003902C4" w:rsidP="00231900">
            <w:pPr>
              <w:numPr>
                <w:ilvl w:val="0"/>
                <w:numId w:val="3"/>
              </w:num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Medway Integrated Community Equipment Service (MICE</w:t>
            </w:r>
            <w:r w:rsidR="00026A1D">
              <w:rPr>
                <w:rFonts w:asciiTheme="minorHAnsi" w:eastAsiaTheme="minorHAnsi" w:hAnsiTheme="minorHAnsi" w:cstheme="minorBidi"/>
                <w:sz w:val="22"/>
                <w:szCs w:val="22"/>
                <w:lang w:val="en"/>
              </w:rPr>
              <w:t>S</w:t>
            </w:r>
            <w:r>
              <w:rPr>
                <w:rFonts w:asciiTheme="minorHAnsi" w:eastAsiaTheme="minorHAnsi" w:hAnsiTheme="minorHAnsi" w:cstheme="minorBidi"/>
                <w:sz w:val="22"/>
                <w:szCs w:val="22"/>
                <w:lang w:val="en"/>
              </w:rPr>
              <w:t>)</w:t>
            </w:r>
          </w:p>
          <w:p w14:paraId="4279C055" w14:textId="53D44CD4" w:rsidR="000C042C" w:rsidRPr="002145BE" w:rsidRDefault="000C042C" w:rsidP="00231900">
            <w:pPr>
              <w:numPr>
                <w:ilvl w:val="0"/>
                <w:numId w:val="3"/>
              </w:num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Medway Mental Health Strategy</w:t>
            </w:r>
          </w:p>
          <w:p w14:paraId="7E6C06AC" w14:textId="77777777" w:rsidR="00293C55" w:rsidRDefault="00293C55" w:rsidP="00361AB0">
            <w:pPr>
              <w:ind w:left="360"/>
              <w:jc w:val="both"/>
              <w:rPr>
                <w:rFonts w:asciiTheme="minorHAnsi" w:eastAsiaTheme="minorHAnsi" w:hAnsiTheme="minorHAnsi" w:cstheme="minorBidi"/>
                <w:sz w:val="22"/>
                <w:szCs w:val="22"/>
                <w:lang w:val="en"/>
              </w:rPr>
            </w:pPr>
          </w:p>
          <w:p w14:paraId="1148EBD9" w14:textId="77777777" w:rsidR="00750AF7" w:rsidRDefault="00750AF7" w:rsidP="001D241A">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Provider must ensure that adult community services work alongside and </w:t>
            </w:r>
            <w:r w:rsidR="002E3C23">
              <w:rPr>
                <w:rFonts w:asciiTheme="minorHAnsi" w:eastAsiaTheme="minorHAnsi" w:hAnsiTheme="minorHAnsi" w:cstheme="minorBidi"/>
                <w:sz w:val="22"/>
                <w:szCs w:val="22"/>
              </w:rPr>
              <w:t>interface with the whole</w:t>
            </w:r>
            <w:r w:rsidR="00026A1D">
              <w:rPr>
                <w:rFonts w:asciiTheme="minorHAnsi" w:eastAsiaTheme="minorHAnsi" w:hAnsiTheme="minorHAnsi" w:cstheme="minorBidi"/>
                <w:sz w:val="22"/>
                <w:szCs w:val="22"/>
              </w:rPr>
              <w:t>-</w:t>
            </w:r>
            <w:r w:rsidR="002E3C23">
              <w:rPr>
                <w:rFonts w:asciiTheme="minorHAnsi" w:eastAsiaTheme="minorHAnsi" w:hAnsiTheme="minorHAnsi" w:cstheme="minorBidi"/>
                <w:sz w:val="22"/>
                <w:szCs w:val="22"/>
              </w:rPr>
              <w:t>system strategies listed above (but not confined to</w:t>
            </w:r>
            <w:r w:rsidR="00D6424D">
              <w:rPr>
                <w:rFonts w:asciiTheme="minorHAnsi" w:eastAsiaTheme="minorHAnsi" w:hAnsiTheme="minorHAnsi" w:cstheme="minorBidi"/>
                <w:sz w:val="22"/>
                <w:szCs w:val="22"/>
              </w:rPr>
              <w:t xml:space="preserve"> those listed</w:t>
            </w:r>
            <w:r w:rsidR="002E3C23">
              <w:rPr>
                <w:rFonts w:asciiTheme="minorHAnsi" w:eastAsiaTheme="minorHAnsi" w:hAnsiTheme="minorHAnsi" w:cstheme="minorBidi"/>
                <w:sz w:val="22"/>
                <w:szCs w:val="22"/>
              </w:rPr>
              <w:t>)</w:t>
            </w:r>
            <w:r w:rsidR="00795BD8">
              <w:rPr>
                <w:rFonts w:asciiTheme="minorHAnsi" w:eastAsiaTheme="minorHAnsi" w:hAnsiTheme="minorHAnsi" w:cstheme="minorBidi"/>
                <w:sz w:val="22"/>
                <w:szCs w:val="22"/>
              </w:rPr>
              <w:t xml:space="preserve">.  </w:t>
            </w:r>
            <w:r w:rsidR="00165C45">
              <w:rPr>
                <w:rFonts w:asciiTheme="minorHAnsi" w:eastAsiaTheme="minorHAnsi" w:hAnsiTheme="minorHAnsi" w:cstheme="minorBidi"/>
                <w:sz w:val="22"/>
                <w:szCs w:val="22"/>
              </w:rPr>
              <w:t>For the Provider, e</w:t>
            </w:r>
            <w:r w:rsidR="00795BD8">
              <w:rPr>
                <w:rFonts w:asciiTheme="minorHAnsi" w:eastAsiaTheme="minorHAnsi" w:hAnsiTheme="minorHAnsi" w:cstheme="minorBidi"/>
                <w:sz w:val="22"/>
                <w:szCs w:val="22"/>
              </w:rPr>
              <w:t xml:space="preserve">xamples of this </w:t>
            </w:r>
            <w:r w:rsidR="000330BD">
              <w:rPr>
                <w:rFonts w:asciiTheme="minorHAnsi" w:eastAsiaTheme="minorHAnsi" w:hAnsiTheme="minorHAnsi" w:cstheme="minorBidi"/>
                <w:sz w:val="22"/>
                <w:szCs w:val="22"/>
              </w:rPr>
              <w:t xml:space="preserve">will </w:t>
            </w:r>
            <w:r w:rsidR="00795BD8">
              <w:rPr>
                <w:rFonts w:asciiTheme="minorHAnsi" w:eastAsiaTheme="minorHAnsi" w:hAnsiTheme="minorHAnsi" w:cstheme="minorBidi"/>
                <w:sz w:val="22"/>
                <w:szCs w:val="22"/>
              </w:rPr>
              <w:t>include:</w:t>
            </w:r>
          </w:p>
          <w:p w14:paraId="358CA4F2" w14:textId="77777777" w:rsidR="00795BD8" w:rsidRDefault="00795BD8" w:rsidP="001D241A">
            <w:pPr>
              <w:jc w:val="both"/>
              <w:rPr>
                <w:rFonts w:asciiTheme="minorHAnsi" w:eastAsiaTheme="minorHAnsi" w:hAnsiTheme="minorHAnsi" w:cstheme="minorBidi"/>
                <w:sz w:val="22"/>
                <w:szCs w:val="22"/>
              </w:rPr>
            </w:pPr>
          </w:p>
          <w:p w14:paraId="6FA0ABD5" w14:textId="7C439E76" w:rsidR="00334941" w:rsidRDefault="00C66810" w:rsidP="00334941">
            <w:pPr>
              <w:pStyle w:val="ListParagraph"/>
              <w:numPr>
                <w:ilvl w:val="0"/>
                <w:numId w:val="7"/>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Ensuring developments in the digital strategy are incorporated into the new </w:t>
            </w:r>
            <w:r w:rsidR="00165C45">
              <w:rPr>
                <w:rFonts w:asciiTheme="minorHAnsi" w:eastAsiaTheme="minorHAnsi" w:hAnsiTheme="minorHAnsi" w:cstheme="minorBidi"/>
                <w:sz w:val="22"/>
                <w:szCs w:val="22"/>
              </w:rPr>
              <w:t>service model</w:t>
            </w:r>
            <w:r w:rsidR="00FC6831">
              <w:rPr>
                <w:rFonts w:asciiTheme="minorHAnsi" w:eastAsiaTheme="minorHAnsi" w:hAnsiTheme="minorHAnsi" w:cstheme="minorBidi"/>
                <w:sz w:val="22"/>
                <w:szCs w:val="22"/>
              </w:rPr>
              <w:t xml:space="preserve"> for adult community services</w:t>
            </w:r>
            <w:r w:rsidR="00165C45">
              <w:rPr>
                <w:rFonts w:asciiTheme="minorHAnsi" w:eastAsiaTheme="minorHAnsi" w:hAnsiTheme="minorHAnsi" w:cstheme="minorBidi"/>
                <w:sz w:val="22"/>
                <w:szCs w:val="22"/>
              </w:rPr>
              <w:t xml:space="preserve">, so they </w:t>
            </w:r>
            <w:r w:rsidR="00007535">
              <w:rPr>
                <w:rFonts w:asciiTheme="minorHAnsi" w:eastAsiaTheme="minorHAnsi" w:hAnsiTheme="minorHAnsi" w:cstheme="minorBidi"/>
                <w:sz w:val="22"/>
                <w:szCs w:val="22"/>
              </w:rPr>
              <w:t>become a key enabler to providing more efficient services.</w:t>
            </w:r>
            <w:r w:rsidR="002C2800">
              <w:rPr>
                <w:rFonts w:asciiTheme="minorHAnsi" w:eastAsiaTheme="minorHAnsi" w:hAnsiTheme="minorHAnsi" w:cstheme="minorBidi"/>
                <w:sz w:val="22"/>
                <w:szCs w:val="22"/>
              </w:rPr>
              <w:t xml:space="preserve">  </w:t>
            </w:r>
            <w:r w:rsidR="008E75EE">
              <w:rPr>
                <w:rFonts w:asciiTheme="minorHAnsi" w:eastAsiaTheme="minorHAnsi" w:hAnsiTheme="minorHAnsi" w:cstheme="minorBidi"/>
                <w:sz w:val="22"/>
                <w:szCs w:val="22"/>
              </w:rPr>
              <w:t xml:space="preserve">By building in flexibility within the model, the </w:t>
            </w:r>
            <w:r w:rsidR="000F5F4A">
              <w:rPr>
                <w:rFonts w:asciiTheme="minorHAnsi" w:eastAsiaTheme="minorHAnsi" w:hAnsiTheme="minorHAnsi" w:cstheme="minorBidi"/>
                <w:sz w:val="22"/>
                <w:szCs w:val="22"/>
              </w:rPr>
              <w:t xml:space="preserve">Provider will </w:t>
            </w:r>
            <w:r w:rsidR="00C93E88">
              <w:rPr>
                <w:rFonts w:asciiTheme="minorHAnsi" w:eastAsiaTheme="minorHAnsi" w:hAnsiTheme="minorHAnsi" w:cstheme="minorBidi"/>
                <w:sz w:val="22"/>
                <w:szCs w:val="22"/>
              </w:rPr>
              <w:t xml:space="preserve">harness the </w:t>
            </w:r>
            <w:r w:rsidR="008D7B45">
              <w:rPr>
                <w:rFonts w:asciiTheme="minorHAnsi" w:eastAsiaTheme="minorHAnsi" w:hAnsiTheme="minorHAnsi" w:cstheme="minorBidi"/>
                <w:sz w:val="22"/>
                <w:szCs w:val="22"/>
              </w:rPr>
              <w:t>efficiencies brought by continual developments in this field.</w:t>
            </w:r>
          </w:p>
          <w:p w14:paraId="01ECF502" w14:textId="492320C2" w:rsidR="00750AF7" w:rsidRPr="00E01E8E" w:rsidRDefault="00D9177B" w:rsidP="005F020D">
            <w:pPr>
              <w:pStyle w:val="ListParagraph"/>
              <w:numPr>
                <w:ilvl w:val="0"/>
                <w:numId w:val="7"/>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Ensuring that</w:t>
            </w:r>
            <w:r w:rsidR="005F020D">
              <w:rPr>
                <w:rFonts w:asciiTheme="minorHAnsi" w:eastAsiaTheme="minorHAnsi" w:hAnsiTheme="minorHAnsi" w:cstheme="minorBidi"/>
                <w:sz w:val="22"/>
                <w:szCs w:val="22"/>
              </w:rPr>
              <w:t xml:space="preserve"> the </w:t>
            </w:r>
            <w:r w:rsidR="005F020D" w:rsidRPr="002E2A7F">
              <w:rPr>
                <w:rFonts w:asciiTheme="minorHAnsi" w:eastAsiaTheme="minorHAnsi" w:hAnsiTheme="minorHAnsi" w:cstheme="minorBidi"/>
                <w:sz w:val="22"/>
                <w:szCs w:val="22"/>
              </w:rPr>
              <w:t xml:space="preserve">new </w:t>
            </w:r>
            <w:r w:rsidR="00FC6831" w:rsidRPr="002E2A7F">
              <w:rPr>
                <w:rFonts w:asciiTheme="minorHAnsi" w:eastAsiaTheme="minorHAnsi" w:hAnsiTheme="minorHAnsi" w:cstheme="minorBidi"/>
                <w:sz w:val="22"/>
                <w:szCs w:val="22"/>
              </w:rPr>
              <w:t xml:space="preserve">service </w:t>
            </w:r>
            <w:r w:rsidR="005F020D" w:rsidRPr="002E2A7F">
              <w:rPr>
                <w:rFonts w:asciiTheme="minorHAnsi" w:eastAsiaTheme="minorHAnsi" w:hAnsiTheme="minorHAnsi" w:cstheme="minorBidi"/>
                <w:sz w:val="22"/>
                <w:szCs w:val="22"/>
              </w:rPr>
              <w:t xml:space="preserve">model for </w:t>
            </w:r>
            <w:r w:rsidR="00026A1D" w:rsidRPr="002E2A7F">
              <w:rPr>
                <w:rFonts w:asciiTheme="minorHAnsi" w:eastAsiaTheme="minorHAnsi" w:hAnsiTheme="minorHAnsi" w:cstheme="minorBidi"/>
                <w:sz w:val="22"/>
                <w:szCs w:val="22"/>
              </w:rPr>
              <w:t>adult community services</w:t>
            </w:r>
            <w:r w:rsidR="00026A1D" w:rsidRPr="002E2A7F" w:rsidDel="00026A1D">
              <w:rPr>
                <w:rFonts w:asciiTheme="minorHAnsi" w:eastAsiaTheme="minorHAnsi" w:hAnsiTheme="minorHAnsi" w:cstheme="minorBidi"/>
                <w:sz w:val="22"/>
                <w:szCs w:val="22"/>
              </w:rPr>
              <w:t xml:space="preserve"> </w:t>
            </w:r>
            <w:r w:rsidR="004E73DD" w:rsidRPr="002E2A7F">
              <w:rPr>
                <w:rFonts w:asciiTheme="minorHAnsi" w:eastAsiaTheme="minorHAnsi" w:hAnsiTheme="minorHAnsi" w:cstheme="minorBidi"/>
                <w:sz w:val="22"/>
                <w:szCs w:val="22"/>
              </w:rPr>
              <w:t>co</w:t>
            </w:r>
            <w:r w:rsidR="004E73DD" w:rsidRPr="0078288F">
              <w:rPr>
                <w:rFonts w:asciiTheme="minorHAnsi" w:eastAsiaTheme="minorHAnsi" w:hAnsiTheme="minorHAnsi" w:cstheme="minorBidi"/>
                <w:sz w:val="22"/>
                <w:szCs w:val="22"/>
              </w:rPr>
              <w:t>mpl</w:t>
            </w:r>
            <w:r w:rsidR="009C7CFF" w:rsidRPr="0078288F">
              <w:rPr>
                <w:rFonts w:asciiTheme="minorHAnsi" w:eastAsiaTheme="minorHAnsi" w:hAnsiTheme="minorHAnsi" w:cstheme="minorBidi"/>
                <w:sz w:val="22"/>
                <w:szCs w:val="22"/>
              </w:rPr>
              <w:t>i</w:t>
            </w:r>
            <w:r w:rsidR="004E73DD" w:rsidRPr="0078288F">
              <w:rPr>
                <w:rFonts w:asciiTheme="minorHAnsi" w:eastAsiaTheme="minorHAnsi" w:hAnsiTheme="minorHAnsi" w:cstheme="minorBidi"/>
                <w:sz w:val="22"/>
                <w:szCs w:val="22"/>
              </w:rPr>
              <w:t xml:space="preserve">ment and align </w:t>
            </w:r>
            <w:r w:rsidR="00845723" w:rsidRPr="00702E05">
              <w:rPr>
                <w:rFonts w:asciiTheme="minorHAnsi" w:eastAsiaTheme="minorHAnsi" w:hAnsiTheme="minorHAnsi" w:cstheme="minorBidi"/>
                <w:sz w:val="22"/>
                <w:szCs w:val="22"/>
              </w:rPr>
              <w:t>to</w:t>
            </w:r>
            <w:r w:rsidR="004E73DD" w:rsidRPr="00702E05">
              <w:rPr>
                <w:rFonts w:asciiTheme="minorHAnsi" w:eastAsiaTheme="minorHAnsi" w:hAnsiTheme="minorHAnsi" w:cstheme="minorBidi"/>
                <w:sz w:val="22"/>
                <w:szCs w:val="22"/>
              </w:rPr>
              <w:t xml:space="preserve"> the new model of care for </w:t>
            </w:r>
            <w:r w:rsidR="00026A1D" w:rsidRPr="00E01E8E">
              <w:rPr>
                <w:rFonts w:asciiTheme="minorHAnsi" w:eastAsiaTheme="minorHAnsi" w:hAnsiTheme="minorHAnsi" w:cstheme="minorBidi"/>
                <w:sz w:val="22"/>
                <w:szCs w:val="22"/>
              </w:rPr>
              <w:t>urgent care services</w:t>
            </w:r>
            <w:r w:rsidR="004E73DD" w:rsidRPr="00E01E8E">
              <w:rPr>
                <w:rFonts w:asciiTheme="minorHAnsi" w:eastAsiaTheme="minorHAnsi" w:hAnsiTheme="minorHAnsi" w:cstheme="minorBidi"/>
                <w:sz w:val="22"/>
                <w:szCs w:val="22"/>
              </w:rPr>
              <w:t>.</w:t>
            </w:r>
          </w:p>
          <w:p w14:paraId="7A7FED1E" w14:textId="6E47C8D1" w:rsidR="00B600DD" w:rsidRDefault="005C61B9" w:rsidP="005F020D">
            <w:pPr>
              <w:pStyle w:val="ListParagraph"/>
              <w:numPr>
                <w:ilvl w:val="0"/>
                <w:numId w:val="7"/>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Inputting </w:t>
            </w:r>
            <w:r w:rsidR="00026A1D">
              <w:rPr>
                <w:rFonts w:asciiTheme="minorHAnsi" w:eastAsiaTheme="minorHAnsi" w:hAnsiTheme="minorHAnsi" w:cstheme="minorBidi"/>
                <w:sz w:val="22"/>
                <w:szCs w:val="22"/>
              </w:rPr>
              <w:t xml:space="preserve">to </w:t>
            </w:r>
            <w:r>
              <w:rPr>
                <w:rFonts w:asciiTheme="minorHAnsi" w:eastAsiaTheme="minorHAnsi" w:hAnsiTheme="minorHAnsi" w:cstheme="minorBidi"/>
                <w:sz w:val="22"/>
                <w:szCs w:val="22"/>
              </w:rPr>
              <w:t xml:space="preserve">and </w:t>
            </w:r>
            <w:r w:rsidR="00D9177B">
              <w:rPr>
                <w:rFonts w:asciiTheme="minorHAnsi" w:eastAsiaTheme="minorHAnsi" w:hAnsiTheme="minorHAnsi" w:cstheme="minorBidi"/>
                <w:sz w:val="22"/>
                <w:szCs w:val="22"/>
              </w:rPr>
              <w:t xml:space="preserve">proactively </w:t>
            </w:r>
            <w:r w:rsidR="00B600DD">
              <w:rPr>
                <w:rFonts w:asciiTheme="minorHAnsi" w:eastAsiaTheme="minorHAnsi" w:hAnsiTheme="minorHAnsi" w:cstheme="minorBidi"/>
                <w:sz w:val="22"/>
                <w:szCs w:val="22"/>
              </w:rPr>
              <w:t>support</w:t>
            </w:r>
            <w:r>
              <w:rPr>
                <w:rFonts w:asciiTheme="minorHAnsi" w:eastAsiaTheme="minorHAnsi" w:hAnsiTheme="minorHAnsi" w:cstheme="minorBidi"/>
                <w:sz w:val="22"/>
                <w:szCs w:val="22"/>
              </w:rPr>
              <w:t xml:space="preserve">ing </w:t>
            </w:r>
            <w:r w:rsidR="00B600DD">
              <w:rPr>
                <w:rFonts w:asciiTheme="minorHAnsi" w:eastAsiaTheme="minorHAnsi" w:hAnsiTheme="minorHAnsi" w:cstheme="minorBidi"/>
                <w:sz w:val="22"/>
                <w:szCs w:val="22"/>
              </w:rPr>
              <w:t>the delivery of the End of Life strateg</w:t>
            </w:r>
            <w:r w:rsidR="00523ABD">
              <w:rPr>
                <w:rFonts w:asciiTheme="minorHAnsi" w:eastAsiaTheme="minorHAnsi" w:hAnsiTheme="minorHAnsi" w:cstheme="minorBidi"/>
                <w:sz w:val="22"/>
                <w:szCs w:val="22"/>
              </w:rPr>
              <w:t>ies for both Medway and Swale</w:t>
            </w:r>
            <w:r w:rsidR="00B600DD">
              <w:rPr>
                <w:rFonts w:asciiTheme="minorHAnsi" w:eastAsiaTheme="minorHAnsi" w:hAnsiTheme="minorHAnsi" w:cstheme="minorBidi"/>
                <w:sz w:val="22"/>
                <w:szCs w:val="22"/>
              </w:rPr>
              <w:t>.</w:t>
            </w:r>
          </w:p>
          <w:p w14:paraId="18B89C3A" w14:textId="5378B070" w:rsidR="00025424" w:rsidRDefault="00025424" w:rsidP="005F020D">
            <w:pPr>
              <w:pStyle w:val="ListParagraph"/>
              <w:numPr>
                <w:ilvl w:val="0"/>
                <w:numId w:val="7"/>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Ensuring staff are trained in prevention (</w:t>
            </w:r>
            <w:proofErr w:type="spellStart"/>
            <w:r>
              <w:rPr>
                <w:rFonts w:asciiTheme="minorHAnsi" w:eastAsiaTheme="minorHAnsi" w:hAnsiTheme="minorHAnsi" w:cstheme="minorBidi"/>
                <w:sz w:val="22"/>
                <w:szCs w:val="22"/>
              </w:rPr>
              <w:t>e.g.</w:t>
            </w:r>
            <w:r w:rsidR="00864D99" w:rsidRPr="0079700A">
              <w:rPr>
                <w:rFonts w:asciiTheme="minorHAnsi" w:eastAsiaTheme="minorHAnsi" w:hAnsiTheme="minorHAnsi" w:cstheme="minorBidi"/>
                <w:sz w:val="22"/>
                <w:szCs w:val="22"/>
              </w:rPr>
              <w:t>M</w:t>
            </w:r>
            <w:r w:rsidR="00FD421E" w:rsidRPr="0079700A">
              <w:rPr>
                <w:rFonts w:asciiTheme="minorHAnsi" w:eastAsiaTheme="minorHAnsi" w:hAnsiTheme="minorHAnsi" w:cstheme="minorBidi"/>
                <w:sz w:val="22"/>
                <w:szCs w:val="22"/>
              </w:rPr>
              <w:t>aking</w:t>
            </w:r>
            <w:proofErr w:type="spellEnd"/>
            <w:r w:rsidR="00FD421E" w:rsidRPr="0079700A">
              <w:rPr>
                <w:rFonts w:asciiTheme="minorHAnsi" w:eastAsiaTheme="minorHAnsi" w:hAnsiTheme="minorHAnsi" w:cstheme="minorBidi"/>
                <w:sz w:val="22"/>
                <w:szCs w:val="22"/>
              </w:rPr>
              <w:t xml:space="preserve"> </w:t>
            </w:r>
            <w:r w:rsidR="00864D99" w:rsidRPr="0079700A">
              <w:rPr>
                <w:rFonts w:asciiTheme="minorHAnsi" w:eastAsiaTheme="minorHAnsi" w:hAnsiTheme="minorHAnsi" w:cstheme="minorBidi"/>
                <w:sz w:val="22"/>
                <w:szCs w:val="22"/>
              </w:rPr>
              <w:t>E</w:t>
            </w:r>
            <w:r w:rsidR="00FD421E" w:rsidRPr="0079700A">
              <w:rPr>
                <w:rFonts w:asciiTheme="minorHAnsi" w:eastAsiaTheme="minorHAnsi" w:hAnsiTheme="minorHAnsi" w:cstheme="minorBidi"/>
                <w:sz w:val="22"/>
                <w:szCs w:val="22"/>
              </w:rPr>
              <w:t xml:space="preserve">very </w:t>
            </w:r>
            <w:r w:rsidR="00864D99" w:rsidRPr="0079700A">
              <w:rPr>
                <w:rFonts w:asciiTheme="minorHAnsi" w:eastAsiaTheme="minorHAnsi" w:hAnsiTheme="minorHAnsi" w:cstheme="minorBidi"/>
                <w:sz w:val="22"/>
                <w:szCs w:val="22"/>
              </w:rPr>
              <w:t>C</w:t>
            </w:r>
            <w:r w:rsidR="00FD421E" w:rsidRPr="0079700A">
              <w:rPr>
                <w:rFonts w:asciiTheme="minorHAnsi" w:eastAsiaTheme="minorHAnsi" w:hAnsiTheme="minorHAnsi" w:cstheme="minorBidi"/>
                <w:sz w:val="22"/>
                <w:szCs w:val="22"/>
              </w:rPr>
              <w:t xml:space="preserve">ontact </w:t>
            </w:r>
            <w:r w:rsidR="00864D99" w:rsidRPr="0079700A">
              <w:rPr>
                <w:rFonts w:asciiTheme="minorHAnsi" w:eastAsiaTheme="minorHAnsi" w:hAnsiTheme="minorHAnsi" w:cstheme="minorBidi"/>
                <w:sz w:val="22"/>
                <w:szCs w:val="22"/>
              </w:rPr>
              <w:t>C</w:t>
            </w:r>
            <w:r w:rsidR="0079700A" w:rsidRPr="0079700A">
              <w:rPr>
                <w:rFonts w:asciiTheme="minorHAnsi" w:eastAsiaTheme="minorHAnsi" w:hAnsiTheme="minorHAnsi" w:cstheme="minorBidi"/>
                <w:sz w:val="22"/>
                <w:szCs w:val="22"/>
              </w:rPr>
              <w:t>ount</w:t>
            </w:r>
            <w:r w:rsidR="0079700A">
              <w:rPr>
                <w:rFonts w:asciiTheme="minorHAnsi" w:eastAsiaTheme="minorHAnsi" w:hAnsiTheme="minorHAnsi" w:cstheme="minorBidi"/>
                <w:sz w:val="22"/>
                <w:szCs w:val="22"/>
              </w:rPr>
              <w:t xml:space="preserve"> MECC</w:t>
            </w:r>
            <w:r w:rsidRPr="0079700A">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00523ABD">
              <w:rPr>
                <w:rFonts w:asciiTheme="minorHAnsi" w:eastAsiaTheme="minorHAnsi" w:hAnsiTheme="minorHAnsi" w:cstheme="minorBidi"/>
                <w:sz w:val="22"/>
                <w:szCs w:val="22"/>
              </w:rPr>
              <w:t xml:space="preserve">are </w:t>
            </w:r>
            <w:r>
              <w:rPr>
                <w:rFonts w:asciiTheme="minorHAnsi" w:eastAsiaTheme="minorHAnsi" w:hAnsiTheme="minorHAnsi" w:cstheme="minorBidi"/>
                <w:sz w:val="22"/>
                <w:szCs w:val="22"/>
              </w:rPr>
              <w:t xml:space="preserve">able to have conversations with patients about how to make healthy lifestyle changes and </w:t>
            </w:r>
            <w:r w:rsidR="00523ABD">
              <w:rPr>
                <w:rFonts w:asciiTheme="minorHAnsi" w:eastAsiaTheme="minorHAnsi" w:hAnsiTheme="minorHAnsi" w:cstheme="minorBidi"/>
                <w:sz w:val="22"/>
                <w:szCs w:val="22"/>
              </w:rPr>
              <w:t xml:space="preserve">are </w:t>
            </w:r>
            <w:r>
              <w:rPr>
                <w:rFonts w:asciiTheme="minorHAnsi" w:eastAsiaTheme="minorHAnsi" w:hAnsiTheme="minorHAnsi" w:cstheme="minorBidi"/>
                <w:sz w:val="22"/>
                <w:szCs w:val="22"/>
              </w:rPr>
              <w:t>able to signpost/refer them to further support (e.g. from health improvement services)</w:t>
            </w:r>
            <w:r w:rsidR="00864D99">
              <w:rPr>
                <w:rFonts w:asciiTheme="minorHAnsi" w:eastAsiaTheme="minorHAnsi" w:hAnsiTheme="minorHAnsi" w:cstheme="minorBidi"/>
                <w:sz w:val="22"/>
                <w:szCs w:val="22"/>
              </w:rPr>
              <w:t>.</w:t>
            </w:r>
          </w:p>
          <w:p w14:paraId="7D4E1F14" w14:textId="77777777" w:rsidR="004E73DD" w:rsidRPr="005F020D" w:rsidRDefault="009C7CFF" w:rsidP="002D770E">
            <w:pPr>
              <w:pStyle w:val="ListParagraph"/>
              <w:tabs>
                <w:tab w:val="left" w:pos="5813"/>
              </w:tabs>
              <w:ind w:left="3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p>
          <w:p w14:paraId="390B4371" w14:textId="284C8AB9" w:rsidR="000F59FB" w:rsidRDefault="006115F7" w:rsidP="001D241A">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Additional </w:t>
            </w:r>
            <w:r w:rsidR="00AB1E61">
              <w:rPr>
                <w:rFonts w:asciiTheme="minorHAnsi" w:eastAsiaTheme="minorHAnsi" w:hAnsiTheme="minorHAnsi" w:cstheme="minorBidi"/>
                <w:sz w:val="22"/>
                <w:szCs w:val="22"/>
              </w:rPr>
              <w:t>information relating to t</w:t>
            </w:r>
            <w:r w:rsidR="00D303AE">
              <w:rPr>
                <w:rFonts w:asciiTheme="minorHAnsi" w:eastAsiaTheme="minorHAnsi" w:hAnsiTheme="minorHAnsi" w:cstheme="minorBidi"/>
                <w:sz w:val="22"/>
                <w:szCs w:val="22"/>
              </w:rPr>
              <w:t xml:space="preserve">he above </w:t>
            </w:r>
            <w:r w:rsidR="003B5DE3">
              <w:rPr>
                <w:rFonts w:asciiTheme="minorHAnsi" w:eastAsiaTheme="minorHAnsi" w:hAnsiTheme="minorHAnsi" w:cstheme="minorBidi"/>
                <w:sz w:val="22"/>
                <w:szCs w:val="22"/>
              </w:rPr>
              <w:t xml:space="preserve">national /local </w:t>
            </w:r>
            <w:r w:rsidR="000D4F7A">
              <w:rPr>
                <w:rFonts w:asciiTheme="minorHAnsi" w:eastAsiaTheme="minorHAnsi" w:hAnsiTheme="minorHAnsi" w:cstheme="minorBidi"/>
                <w:sz w:val="22"/>
                <w:szCs w:val="22"/>
              </w:rPr>
              <w:t>strategies</w:t>
            </w:r>
            <w:r w:rsidR="00D303AE">
              <w:rPr>
                <w:rFonts w:asciiTheme="minorHAnsi" w:eastAsiaTheme="minorHAnsi" w:hAnsiTheme="minorHAnsi" w:cstheme="minorBidi"/>
                <w:sz w:val="22"/>
                <w:szCs w:val="22"/>
              </w:rPr>
              <w:t xml:space="preserve"> </w:t>
            </w:r>
            <w:r w:rsidR="00AB1E61">
              <w:rPr>
                <w:rFonts w:asciiTheme="minorHAnsi" w:eastAsiaTheme="minorHAnsi" w:hAnsiTheme="minorHAnsi" w:cstheme="minorBidi"/>
                <w:sz w:val="22"/>
                <w:szCs w:val="22"/>
              </w:rPr>
              <w:t xml:space="preserve">can be found in </w:t>
            </w:r>
            <w:r w:rsidR="00CA04FC">
              <w:rPr>
                <w:rFonts w:asciiTheme="minorHAnsi" w:eastAsiaTheme="minorHAnsi" w:hAnsiTheme="minorHAnsi" w:cstheme="minorBidi"/>
                <w:sz w:val="22"/>
                <w:szCs w:val="22"/>
              </w:rPr>
              <w:t xml:space="preserve">Medway </w:t>
            </w:r>
            <w:r w:rsidR="00D90AAF">
              <w:rPr>
                <w:rFonts w:asciiTheme="minorHAnsi" w:eastAsiaTheme="minorHAnsi" w:hAnsiTheme="minorHAnsi" w:cstheme="minorBidi"/>
                <w:sz w:val="22"/>
                <w:szCs w:val="22"/>
              </w:rPr>
              <w:t>C</w:t>
            </w:r>
            <w:r w:rsidR="0057135A">
              <w:rPr>
                <w:rFonts w:asciiTheme="minorHAnsi" w:eastAsiaTheme="minorHAnsi" w:hAnsiTheme="minorHAnsi" w:cstheme="minorBidi"/>
                <w:sz w:val="22"/>
                <w:szCs w:val="22"/>
              </w:rPr>
              <w:t xml:space="preserve">linical </w:t>
            </w:r>
            <w:r w:rsidR="00D90AAF">
              <w:rPr>
                <w:rFonts w:asciiTheme="minorHAnsi" w:eastAsiaTheme="minorHAnsi" w:hAnsiTheme="minorHAnsi" w:cstheme="minorBidi"/>
                <w:sz w:val="22"/>
                <w:szCs w:val="22"/>
              </w:rPr>
              <w:t>C</w:t>
            </w:r>
            <w:r w:rsidR="0057135A">
              <w:rPr>
                <w:rFonts w:asciiTheme="minorHAnsi" w:eastAsiaTheme="minorHAnsi" w:hAnsiTheme="minorHAnsi" w:cstheme="minorBidi"/>
                <w:sz w:val="22"/>
                <w:szCs w:val="22"/>
              </w:rPr>
              <w:t xml:space="preserve">ommissioning </w:t>
            </w:r>
            <w:r w:rsidR="00D90AAF">
              <w:rPr>
                <w:rFonts w:asciiTheme="minorHAnsi" w:eastAsiaTheme="minorHAnsi" w:hAnsiTheme="minorHAnsi" w:cstheme="minorBidi"/>
                <w:sz w:val="22"/>
                <w:szCs w:val="22"/>
              </w:rPr>
              <w:t>G</w:t>
            </w:r>
            <w:r w:rsidR="0057135A">
              <w:rPr>
                <w:rFonts w:asciiTheme="minorHAnsi" w:eastAsiaTheme="minorHAnsi" w:hAnsiTheme="minorHAnsi" w:cstheme="minorBidi"/>
                <w:sz w:val="22"/>
                <w:szCs w:val="22"/>
              </w:rPr>
              <w:t>roup</w:t>
            </w:r>
            <w:r w:rsidR="00D90AAF">
              <w:rPr>
                <w:rFonts w:asciiTheme="minorHAnsi" w:eastAsiaTheme="minorHAnsi" w:hAnsiTheme="minorHAnsi" w:cstheme="minorBidi"/>
                <w:sz w:val="22"/>
                <w:szCs w:val="22"/>
              </w:rPr>
              <w:t>’s</w:t>
            </w:r>
            <w:r w:rsidR="0057135A">
              <w:rPr>
                <w:rFonts w:asciiTheme="minorHAnsi" w:eastAsiaTheme="minorHAnsi" w:hAnsiTheme="minorHAnsi" w:cstheme="minorBidi"/>
                <w:sz w:val="22"/>
                <w:szCs w:val="22"/>
              </w:rPr>
              <w:t xml:space="preserve"> (CCG)</w:t>
            </w:r>
            <w:r w:rsidR="00D90AAF">
              <w:rPr>
                <w:rFonts w:asciiTheme="minorHAnsi" w:eastAsiaTheme="minorHAnsi" w:hAnsiTheme="minorHAnsi" w:cstheme="minorBidi"/>
                <w:sz w:val="22"/>
                <w:szCs w:val="22"/>
              </w:rPr>
              <w:t xml:space="preserve"> </w:t>
            </w:r>
            <w:r w:rsidR="00AB1E61" w:rsidRPr="000F59FB">
              <w:rPr>
                <w:rFonts w:asciiTheme="minorHAnsi" w:eastAsiaTheme="minorHAnsi" w:hAnsiTheme="minorHAnsi" w:cstheme="minorBidi"/>
                <w:i/>
                <w:sz w:val="22"/>
                <w:szCs w:val="22"/>
              </w:rPr>
              <w:t>Case for Change and Revised Model for Community Services</w:t>
            </w:r>
            <w:r w:rsidR="006D4A89">
              <w:rPr>
                <w:rFonts w:asciiTheme="minorHAnsi" w:eastAsiaTheme="minorHAnsi" w:hAnsiTheme="minorHAnsi" w:cstheme="minorBidi"/>
                <w:sz w:val="22"/>
                <w:szCs w:val="22"/>
              </w:rPr>
              <w:t xml:space="preserve"> document</w:t>
            </w:r>
            <w:r w:rsidR="006C5056">
              <w:rPr>
                <w:rFonts w:asciiTheme="minorHAnsi" w:eastAsiaTheme="minorHAnsi" w:hAnsiTheme="minorHAnsi" w:cstheme="minorBidi"/>
                <w:sz w:val="22"/>
                <w:szCs w:val="22"/>
              </w:rPr>
              <w:t>.</w:t>
            </w:r>
          </w:p>
          <w:p w14:paraId="00272597" w14:textId="77777777" w:rsidR="000F59FB" w:rsidRDefault="000F59FB" w:rsidP="001D241A">
            <w:pPr>
              <w:jc w:val="both"/>
              <w:rPr>
                <w:rFonts w:asciiTheme="minorHAnsi" w:eastAsiaTheme="minorHAnsi" w:hAnsiTheme="minorHAnsi" w:cstheme="minorBidi"/>
                <w:sz w:val="22"/>
                <w:szCs w:val="22"/>
              </w:rPr>
            </w:pPr>
          </w:p>
          <w:p w14:paraId="78D9B5AB" w14:textId="77777777" w:rsidR="001D241A" w:rsidRDefault="006D4A89" w:rsidP="001D241A">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Further references to these </w:t>
            </w:r>
            <w:r w:rsidR="001D0525">
              <w:rPr>
                <w:rFonts w:asciiTheme="minorHAnsi" w:eastAsiaTheme="minorHAnsi" w:hAnsiTheme="minorHAnsi" w:cstheme="minorBidi"/>
                <w:sz w:val="22"/>
                <w:szCs w:val="22"/>
              </w:rPr>
              <w:t>strategies will also be mentioned throughout the document where relevant.</w:t>
            </w:r>
          </w:p>
          <w:p w14:paraId="531B5A95" w14:textId="77777777" w:rsidR="00231900" w:rsidRPr="0019444F" w:rsidRDefault="00231900" w:rsidP="00FA2E2D">
            <w:pPr>
              <w:pStyle w:val="NoSpacing"/>
            </w:pPr>
          </w:p>
        </w:tc>
      </w:tr>
      <w:tr w:rsidR="008B6266" w:rsidRPr="00963D0B" w14:paraId="41B3E862" w14:textId="77777777" w:rsidTr="00301FB4">
        <w:trPr>
          <w:trHeight w:val="284"/>
        </w:trPr>
        <w:tc>
          <w:tcPr>
            <w:tcW w:w="2555" w:type="dxa"/>
            <w:gridSpan w:val="4"/>
            <w:shd w:val="clear" w:color="auto" w:fill="F2F2F2" w:themeFill="background1" w:themeFillShade="F2"/>
          </w:tcPr>
          <w:p w14:paraId="4684CAEC" w14:textId="77777777" w:rsidR="00EC29B7" w:rsidRPr="00963D0B" w:rsidRDefault="001D4893" w:rsidP="006D238B">
            <w:pPr>
              <w:pStyle w:val="NoSpacing"/>
              <w:rPr>
                <w:b/>
                <w:sz w:val="20"/>
                <w:szCs w:val="20"/>
              </w:rPr>
            </w:pPr>
            <w:r w:rsidRPr="00963D0B">
              <w:rPr>
                <w:b/>
                <w:sz w:val="20"/>
                <w:szCs w:val="20"/>
              </w:rPr>
              <w:lastRenderedPageBreak/>
              <w:t>1.3</w:t>
            </w:r>
          </w:p>
        </w:tc>
        <w:tc>
          <w:tcPr>
            <w:tcW w:w="7706" w:type="dxa"/>
            <w:gridSpan w:val="4"/>
            <w:shd w:val="clear" w:color="auto" w:fill="F2F2F2" w:themeFill="background1" w:themeFillShade="F2"/>
          </w:tcPr>
          <w:p w14:paraId="6F699CDE" w14:textId="77777777" w:rsidR="00EC29B7" w:rsidRPr="00963D0B" w:rsidRDefault="006D238B" w:rsidP="00EC29B7">
            <w:pPr>
              <w:pStyle w:val="NoSpacing"/>
              <w:rPr>
                <w:b/>
              </w:rPr>
            </w:pPr>
            <w:r w:rsidRPr="00963D0B">
              <w:rPr>
                <w:b/>
              </w:rPr>
              <w:t>National and l</w:t>
            </w:r>
            <w:r w:rsidR="00EC29B7" w:rsidRPr="00963D0B">
              <w:rPr>
                <w:b/>
              </w:rPr>
              <w:t>ocal trends</w:t>
            </w:r>
          </w:p>
        </w:tc>
      </w:tr>
      <w:tr w:rsidR="006D238B" w:rsidRPr="00AA3128" w14:paraId="296C2AA5" w14:textId="77777777" w:rsidTr="00931F94">
        <w:trPr>
          <w:trHeight w:val="284"/>
        </w:trPr>
        <w:tc>
          <w:tcPr>
            <w:tcW w:w="10261" w:type="dxa"/>
            <w:gridSpan w:val="8"/>
            <w:shd w:val="clear" w:color="auto" w:fill="auto"/>
          </w:tcPr>
          <w:p w14:paraId="2DE6DBA2" w14:textId="18C8D0D0" w:rsidR="008D25D6" w:rsidRDefault="008D25D6" w:rsidP="008D25D6">
            <w:pPr>
              <w:pStyle w:val="NoSpacing"/>
              <w:jc w:val="both"/>
            </w:pPr>
            <w:r w:rsidRPr="00F030CF">
              <w:t xml:space="preserve">The resident population of Medway is approximately 278,000 and is estimated to grow to approximately 330,000 by 2035. While Medway has a relatively young population, the number of older people is set to increase - those aged over 70 will rise by 20% in the next 5 years. Older people have a higher usage of health and care services compared to other age groups, particularly hospital admissions and use of community services. </w:t>
            </w:r>
          </w:p>
          <w:p w14:paraId="69CD5750" w14:textId="77777777" w:rsidR="00702E05" w:rsidRDefault="00702E05" w:rsidP="008D25D6">
            <w:pPr>
              <w:pStyle w:val="NoSpacing"/>
              <w:jc w:val="both"/>
            </w:pPr>
          </w:p>
          <w:p w14:paraId="059B80E4" w14:textId="12BA6867" w:rsidR="00702E05" w:rsidRDefault="00425649" w:rsidP="008D25D6">
            <w:pPr>
              <w:pStyle w:val="NoSpacing"/>
              <w:jc w:val="both"/>
            </w:pPr>
            <w:r>
              <w:t>Recent statistics show that</w:t>
            </w:r>
            <w:r w:rsidR="00702E05">
              <w:t>:</w:t>
            </w:r>
          </w:p>
          <w:p w14:paraId="0C2BDFC7" w14:textId="441C8644" w:rsidR="00CB73B1" w:rsidRDefault="00702E05" w:rsidP="00493A03">
            <w:pPr>
              <w:pStyle w:val="NoSpacing"/>
              <w:numPr>
                <w:ilvl w:val="0"/>
                <w:numId w:val="38"/>
              </w:numPr>
              <w:jc w:val="both"/>
            </w:pPr>
            <w:r>
              <w:t>Medway has a younger population of</w:t>
            </w:r>
            <w:r w:rsidR="00873354">
              <w:t xml:space="preserve"> </w:t>
            </w:r>
            <w:r>
              <w:t>(25-65y</w:t>
            </w:r>
            <w:r w:rsidR="00CB73B1">
              <w:t>rs) with multiple co-morbidities; s</w:t>
            </w:r>
            <w:r w:rsidR="00873354">
              <w:t xml:space="preserve">ome of these have </w:t>
            </w:r>
            <w:r>
              <w:t xml:space="preserve">under diagnosed </w:t>
            </w:r>
            <w:r w:rsidR="00873354">
              <w:t>mental health conditions</w:t>
            </w:r>
            <w:r w:rsidR="002F0CBE">
              <w:t xml:space="preserve"> or complex needs</w:t>
            </w:r>
          </w:p>
          <w:p w14:paraId="7B8AD98C" w14:textId="1A9DE06D" w:rsidR="00702E05" w:rsidRDefault="00CB73B1" w:rsidP="00493A03">
            <w:pPr>
              <w:pStyle w:val="NoSpacing"/>
              <w:numPr>
                <w:ilvl w:val="0"/>
                <w:numId w:val="38"/>
              </w:numPr>
              <w:jc w:val="both"/>
            </w:pPr>
            <w:r>
              <w:t xml:space="preserve">As a result of </w:t>
            </w:r>
            <w:r w:rsidR="007E4ECF">
              <w:t>poor access to GP services</w:t>
            </w:r>
            <w:r>
              <w:t>, there are higher rates of urgent care attendances and admissions</w:t>
            </w:r>
            <w:r w:rsidR="000E5932">
              <w:t xml:space="preserve"> in Medway </w:t>
            </w:r>
          </w:p>
          <w:p w14:paraId="5A7EAA92" w14:textId="2977BF22" w:rsidR="00CB73B1" w:rsidRPr="00F030CF" w:rsidRDefault="00C77E83" w:rsidP="00493A03">
            <w:pPr>
              <w:pStyle w:val="NoSpacing"/>
              <w:numPr>
                <w:ilvl w:val="0"/>
                <w:numId w:val="38"/>
              </w:numPr>
              <w:jc w:val="both"/>
            </w:pPr>
            <w:r>
              <w:t>24% of hospital admissions could be avoided if alternative services were available in the community</w:t>
            </w:r>
          </w:p>
          <w:p w14:paraId="0C849C23" w14:textId="77777777" w:rsidR="008D25D6" w:rsidRPr="00F030CF" w:rsidRDefault="008D25D6" w:rsidP="008D25D6">
            <w:pPr>
              <w:pStyle w:val="NoSpacing"/>
              <w:jc w:val="both"/>
            </w:pPr>
          </w:p>
          <w:p w14:paraId="5666ACBA" w14:textId="77777777" w:rsidR="008D25D6" w:rsidRPr="00F030CF" w:rsidRDefault="008D25D6" w:rsidP="008D25D6">
            <w:pPr>
              <w:pStyle w:val="NoSpacing"/>
              <w:jc w:val="both"/>
            </w:pPr>
            <w:r w:rsidRPr="00F030CF">
              <w:t>Medway has a lower than average life expectancy for both males and females. For males, the average life expectancy is 78.4 compared with an England average of 79.5. For females, the average life expectancy is 82 years compared with an England average of 83.1. Healthy life expectancy is also below average. For males, the average healthy life expectancy is 61.8 compared with an average of 63.4. For females, the average healthy life expectancy is 59.7 years, compared with an England average of 64.1.</w:t>
            </w:r>
          </w:p>
          <w:p w14:paraId="3BFD3662" w14:textId="77777777" w:rsidR="006D238B" w:rsidRDefault="006D238B" w:rsidP="006D238B">
            <w:pPr>
              <w:pStyle w:val="NoSpacing"/>
            </w:pPr>
          </w:p>
          <w:p w14:paraId="7C1C2D22" w14:textId="3A929971" w:rsidR="008D25D6" w:rsidRDefault="008D25D6" w:rsidP="008D25D6">
            <w:pPr>
              <w:jc w:val="both"/>
              <w:rPr>
                <w:rFonts w:asciiTheme="minorHAnsi" w:hAnsiTheme="minorHAnsi"/>
                <w:sz w:val="22"/>
                <w:szCs w:val="22"/>
              </w:rPr>
            </w:pPr>
            <w:r w:rsidRPr="00F030CF">
              <w:rPr>
                <w:rFonts w:asciiTheme="minorHAnsi" w:hAnsiTheme="minorHAnsi"/>
                <w:sz w:val="22"/>
                <w:szCs w:val="22"/>
              </w:rPr>
              <w:t>In Medway, 16.4% of adults (all ages) have a long term condition or disability that limits their day-to-day activities. Whilst this is lower than the England average (17.6%), it equates to over 40,000 people. In some parts of Medway this percentage increases to almost 40%. This is based on adults of all ages, with the prevalence of long term conditions increasing in older population groups, with many people also having more than one long term condition.</w:t>
            </w:r>
            <w:r w:rsidR="00606689">
              <w:rPr>
                <w:rFonts w:asciiTheme="minorHAnsi" w:hAnsiTheme="minorHAnsi"/>
                <w:sz w:val="22"/>
                <w:szCs w:val="22"/>
              </w:rPr>
              <w:t xml:space="preserve">  There are approximately 12,</w:t>
            </w:r>
            <w:r w:rsidR="00EB73CB">
              <w:rPr>
                <w:rFonts w:asciiTheme="minorHAnsi" w:hAnsiTheme="minorHAnsi"/>
                <w:sz w:val="22"/>
                <w:szCs w:val="22"/>
              </w:rPr>
              <w:t>5</w:t>
            </w:r>
            <w:r w:rsidR="00606689">
              <w:rPr>
                <w:rFonts w:asciiTheme="minorHAnsi" w:hAnsiTheme="minorHAnsi"/>
                <w:sz w:val="22"/>
                <w:szCs w:val="22"/>
              </w:rPr>
              <w:t>00 people in Medway who have three or more long term conditions.</w:t>
            </w:r>
          </w:p>
          <w:p w14:paraId="6B65671D" w14:textId="77777777" w:rsidR="00EB73CB" w:rsidRPr="00F030CF" w:rsidRDefault="00EB73CB" w:rsidP="008D25D6">
            <w:pPr>
              <w:jc w:val="both"/>
              <w:rPr>
                <w:rFonts w:asciiTheme="minorHAnsi" w:hAnsiTheme="minorHAnsi"/>
                <w:sz w:val="22"/>
                <w:szCs w:val="22"/>
              </w:rPr>
            </w:pPr>
          </w:p>
          <w:p w14:paraId="7044616F" w14:textId="77777777" w:rsidR="008D25D6" w:rsidRDefault="008D25D6" w:rsidP="008D25D6">
            <w:pPr>
              <w:jc w:val="both"/>
              <w:rPr>
                <w:rFonts w:asciiTheme="minorHAnsi" w:hAnsiTheme="minorHAnsi"/>
                <w:sz w:val="22"/>
                <w:szCs w:val="22"/>
              </w:rPr>
            </w:pPr>
            <w:r w:rsidRPr="00F030CF">
              <w:rPr>
                <w:rFonts w:asciiTheme="minorHAnsi" w:hAnsiTheme="minorHAnsi"/>
                <w:sz w:val="22"/>
                <w:szCs w:val="22"/>
              </w:rPr>
              <w:t>For a number of long term conditions, including diabetes, obesity, hypertension and depression, the proportion of the Medway population registered with their GP as having these conditions is higher than the England average. This may place more demand on services relating to these conditions than average.</w:t>
            </w:r>
          </w:p>
          <w:p w14:paraId="2C31AD7C" w14:textId="77777777" w:rsidR="00EB73CB" w:rsidRDefault="00EB73CB" w:rsidP="008D25D6">
            <w:pPr>
              <w:jc w:val="both"/>
              <w:rPr>
                <w:rFonts w:asciiTheme="minorHAnsi" w:hAnsiTheme="minorHAnsi"/>
                <w:sz w:val="22"/>
                <w:szCs w:val="22"/>
              </w:rPr>
            </w:pPr>
          </w:p>
          <w:p w14:paraId="5A1BBCED" w14:textId="77777777" w:rsidR="008D25D6" w:rsidRPr="00F030CF" w:rsidRDefault="008D25D6" w:rsidP="008D25D6">
            <w:pPr>
              <w:pStyle w:val="NoSpacing"/>
              <w:jc w:val="both"/>
            </w:pPr>
            <w:r w:rsidRPr="00F030CF">
              <w:t xml:space="preserve">People are living longer with long term conditions, males are living for around 16 years in poor health and females over 20 years in poor health (22.3 years). Over these periods people are more likely to use services that support them with their health. On average, a person with a long-term condition requires six times more health and social care support as a generally healthy person (from Kent Integrated Dataset (KID) (2015-16); </w:t>
            </w:r>
            <w:proofErr w:type="spellStart"/>
            <w:r w:rsidRPr="00F030CF">
              <w:t>Carnall</w:t>
            </w:r>
            <w:proofErr w:type="spellEnd"/>
            <w:r w:rsidRPr="00F030CF">
              <w:t xml:space="preserve"> Farrar Analysis, reported in KMSTP).</w:t>
            </w:r>
          </w:p>
          <w:p w14:paraId="752BB1A7" w14:textId="77777777" w:rsidR="008D25D6" w:rsidRDefault="008D25D6" w:rsidP="006D238B">
            <w:pPr>
              <w:pStyle w:val="NoSpacing"/>
            </w:pPr>
          </w:p>
          <w:p w14:paraId="52CD6101" w14:textId="77777777" w:rsidR="001C3B58" w:rsidRDefault="008D25D6" w:rsidP="008D25D6">
            <w:pPr>
              <w:pStyle w:val="Default"/>
              <w:jc w:val="both"/>
              <w:rPr>
                <w:rFonts w:asciiTheme="minorHAnsi" w:hAnsiTheme="minorHAnsi" w:cstheme="minorBidi"/>
                <w:color w:val="auto"/>
                <w:sz w:val="22"/>
                <w:szCs w:val="22"/>
              </w:rPr>
            </w:pPr>
            <w:r w:rsidRPr="00F030CF">
              <w:rPr>
                <w:rFonts w:asciiTheme="minorHAnsi" w:hAnsiTheme="minorHAnsi" w:cstheme="minorBidi"/>
                <w:color w:val="auto"/>
                <w:sz w:val="22"/>
                <w:szCs w:val="22"/>
              </w:rPr>
              <w:t>It is estimated that approximately 16% of people in Medway have a common mental health disorder – such as depression or anxiety. This is similar to the England average and equates to around 31,000 people in Medway. However, mental health problems disproportionately affect people living in the most deprived areas and often go hand-in-hand with physical health conditions.</w:t>
            </w:r>
            <w:r w:rsidR="002977DA">
              <w:rPr>
                <w:rFonts w:asciiTheme="minorHAnsi" w:hAnsiTheme="minorHAnsi" w:cstheme="minorBidi"/>
                <w:color w:val="auto"/>
                <w:sz w:val="22"/>
                <w:szCs w:val="22"/>
              </w:rPr>
              <w:t xml:space="preserve">  </w:t>
            </w:r>
          </w:p>
          <w:p w14:paraId="601EC063" w14:textId="77777777" w:rsidR="001C3B58" w:rsidRDefault="001C3B58" w:rsidP="008D25D6">
            <w:pPr>
              <w:pStyle w:val="Default"/>
              <w:jc w:val="both"/>
              <w:rPr>
                <w:rFonts w:asciiTheme="minorHAnsi" w:hAnsiTheme="minorHAnsi" w:cstheme="minorBidi"/>
                <w:color w:val="auto"/>
                <w:sz w:val="22"/>
                <w:szCs w:val="22"/>
              </w:rPr>
            </w:pPr>
          </w:p>
          <w:p w14:paraId="284B408A" w14:textId="1F9E7756" w:rsidR="008D25D6" w:rsidRPr="00F030CF" w:rsidRDefault="002977DA" w:rsidP="008D25D6">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Homelessness is a </w:t>
            </w:r>
            <w:r w:rsidR="001C3B58">
              <w:rPr>
                <w:rFonts w:asciiTheme="minorHAnsi" w:hAnsiTheme="minorHAnsi" w:cstheme="minorBidi"/>
                <w:color w:val="auto"/>
                <w:sz w:val="22"/>
                <w:szCs w:val="22"/>
              </w:rPr>
              <w:t xml:space="preserve">growing </w:t>
            </w:r>
            <w:r w:rsidR="000D49A5">
              <w:rPr>
                <w:rFonts w:asciiTheme="minorHAnsi" w:hAnsiTheme="minorHAnsi" w:cstheme="minorBidi"/>
                <w:color w:val="auto"/>
                <w:sz w:val="22"/>
                <w:szCs w:val="22"/>
              </w:rPr>
              <w:t>issue</w:t>
            </w:r>
            <w:r w:rsidR="001C3B58">
              <w:rPr>
                <w:rFonts w:asciiTheme="minorHAnsi" w:hAnsiTheme="minorHAnsi" w:cstheme="minorBidi"/>
                <w:color w:val="auto"/>
                <w:sz w:val="22"/>
                <w:szCs w:val="22"/>
              </w:rPr>
              <w:t xml:space="preserve"> across Kent and Medway</w:t>
            </w:r>
            <w:r w:rsidR="0011062B">
              <w:rPr>
                <w:rFonts w:asciiTheme="minorHAnsi" w:hAnsiTheme="minorHAnsi" w:cstheme="minorBidi"/>
                <w:color w:val="auto"/>
                <w:sz w:val="22"/>
                <w:szCs w:val="22"/>
              </w:rPr>
              <w:t>. Due to poor access to service</w:t>
            </w:r>
            <w:r w:rsidR="004957B4">
              <w:rPr>
                <w:rFonts w:asciiTheme="minorHAnsi" w:hAnsiTheme="minorHAnsi" w:cstheme="minorBidi"/>
                <w:color w:val="auto"/>
                <w:sz w:val="22"/>
                <w:szCs w:val="22"/>
              </w:rPr>
              <w:t xml:space="preserve"> provision</w:t>
            </w:r>
            <w:r w:rsidR="0011062B">
              <w:rPr>
                <w:rFonts w:asciiTheme="minorHAnsi" w:hAnsiTheme="minorHAnsi" w:cstheme="minorBidi"/>
                <w:color w:val="auto"/>
                <w:sz w:val="22"/>
                <w:szCs w:val="22"/>
              </w:rPr>
              <w:t xml:space="preserve">, homeless people can have poorer physical and mental health </w:t>
            </w:r>
            <w:r w:rsidR="000D49A5">
              <w:rPr>
                <w:rFonts w:asciiTheme="minorHAnsi" w:hAnsiTheme="minorHAnsi" w:cstheme="minorBidi"/>
                <w:color w:val="auto"/>
                <w:sz w:val="22"/>
                <w:szCs w:val="22"/>
              </w:rPr>
              <w:t xml:space="preserve">including substance </w:t>
            </w:r>
            <w:r w:rsidR="004957B4">
              <w:rPr>
                <w:rFonts w:asciiTheme="minorHAnsi" w:hAnsiTheme="minorHAnsi" w:cstheme="minorBidi"/>
                <w:color w:val="auto"/>
                <w:sz w:val="22"/>
                <w:szCs w:val="22"/>
              </w:rPr>
              <w:t>misuse.</w:t>
            </w:r>
            <w:r w:rsidR="001C3B58">
              <w:rPr>
                <w:rFonts w:asciiTheme="minorHAnsi" w:hAnsiTheme="minorHAnsi" w:cstheme="minorBidi"/>
                <w:color w:val="auto"/>
                <w:sz w:val="22"/>
                <w:szCs w:val="22"/>
              </w:rPr>
              <w:t xml:space="preserve"> </w:t>
            </w:r>
          </w:p>
          <w:p w14:paraId="69F7C51F" w14:textId="77777777" w:rsidR="008D25D6" w:rsidRPr="00F030CF" w:rsidRDefault="008D25D6" w:rsidP="008D25D6">
            <w:pPr>
              <w:pStyle w:val="Default"/>
              <w:jc w:val="both"/>
              <w:rPr>
                <w:rFonts w:asciiTheme="minorHAnsi" w:hAnsiTheme="minorHAnsi" w:cstheme="minorBidi"/>
                <w:color w:val="auto"/>
                <w:sz w:val="22"/>
                <w:szCs w:val="22"/>
              </w:rPr>
            </w:pPr>
          </w:p>
          <w:p w14:paraId="6152320B" w14:textId="77777777" w:rsidR="008D0E48" w:rsidRDefault="008D0E48" w:rsidP="008D0E48">
            <w:pPr>
              <w:pStyle w:val="NoSpacing"/>
              <w:jc w:val="both"/>
            </w:pPr>
            <w:r w:rsidRPr="00F030CF">
              <w:t xml:space="preserve">Lifestyle behaviours such as smoking, alcohol consumption, physical inactivity, poor diet and being overweight cause poor health, worsening of disease, multiple illnesses and early death. These tend to be worse in the more deprived areas of Medway. </w:t>
            </w:r>
          </w:p>
          <w:p w14:paraId="2956AC89" w14:textId="77777777" w:rsidR="007E53E6" w:rsidRDefault="007E53E6" w:rsidP="008D0E48">
            <w:pPr>
              <w:pStyle w:val="NoSpacing"/>
              <w:jc w:val="both"/>
            </w:pPr>
          </w:p>
          <w:p w14:paraId="7D25C3C1" w14:textId="77777777" w:rsidR="00586A5B" w:rsidRDefault="00522F81" w:rsidP="008D0E48">
            <w:pPr>
              <w:pStyle w:val="NoSpacing"/>
              <w:jc w:val="both"/>
            </w:pPr>
            <w:r>
              <w:t xml:space="preserve">Further </w:t>
            </w:r>
            <w:r w:rsidR="002F00E1">
              <w:t>public health/demographic information can be found in the following documents:</w:t>
            </w:r>
          </w:p>
          <w:p w14:paraId="2CD3C7F6" w14:textId="77777777" w:rsidR="002F00E1" w:rsidRDefault="002F00E1" w:rsidP="008D0E48">
            <w:pPr>
              <w:pStyle w:val="NoSpacing"/>
              <w:jc w:val="both"/>
            </w:pPr>
            <w:r>
              <w:t>Medway JSNA</w:t>
            </w:r>
            <w:r w:rsidR="00C065C5">
              <w:t xml:space="preserve"> </w:t>
            </w:r>
            <w:hyperlink r:id="rId15" w:history="1">
              <w:r w:rsidR="00A11E69" w:rsidRPr="00C866A1">
                <w:rPr>
                  <w:rStyle w:val="Hyperlink"/>
                </w:rPr>
                <w:t>http://www.medwayjsna.info/</w:t>
              </w:r>
            </w:hyperlink>
          </w:p>
          <w:p w14:paraId="53AB0427" w14:textId="77777777" w:rsidR="008D25D6" w:rsidRDefault="002F00E1" w:rsidP="00B460DB">
            <w:pPr>
              <w:pStyle w:val="NoSpacing"/>
              <w:jc w:val="both"/>
            </w:pPr>
            <w:r>
              <w:t>Medway Public Health Profiles</w:t>
            </w:r>
            <w:r w:rsidR="00C065C5">
              <w:t xml:space="preserve"> </w:t>
            </w:r>
            <w:hyperlink r:id="rId16" w:history="1">
              <w:r w:rsidR="00A11E69" w:rsidRPr="00C866A1">
                <w:rPr>
                  <w:rStyle w:val="Hyperlink"/>
                </w:rPr>
                <w:t>http://www.medwayjsna.info/jsna-appendices-other.html</w:t>
              </w:r>
            </w:hyperlink>
          </w:p>
          <w:p w14:paraId="62CB3990" w14:textId="77777777" w:rsidR="00976B4E" w:rsidRPr="0019444F" w:rsidRDefault="00976B4E" w:rsidP="00B460DB">
            <w:pPr>
              <w:pStyle w:val="NoSpacing"/>
              <w:jc w:val="both"/>
            </w:pPr>
          </w:p>
        </w:tc>
      </w:tr>
      <w:tr w:rsidR="008B6266" w:rsidRPr="00AA3128" w14:paraId="37B4B7A4" w14:textId="77777777" w:rsidTr="00301FB4">
        <w:trPr>
          <w:trHeight w:val="284"/>
        </w:trPr>
        <w:tc>
          <w:tcPr>
            <w:tcW w:w="3727" w:type="dxa"/>
            <w:gridSpan w:val="6"/>
            <w:shd w:val="clear" w:color="auto" w:fill="B6BFC8"/>
          </w:tcPr>
          <w:p w14:paraId="35ACD3E8" w14:textId="77777777" w:rsidR="00EC29B7" w:rsidRPr="0019444F" w:rsidRDefault="00EC29B7" w:rsidP="006D238B">
            <w:pPr>
              <w:pStyle w:val="NoSpacing"/>
              <w:rPr>
                <w:b/>
                <w:sz w:val="20"/>
                <w:szCs w:val="20"/>
              </w:rPr>
            </w:pPr>
            <w:r w:rsidRPr="0019444F">
              <w:rPr>
                <w:b/>
                <w:sz w:val="20"/>
                <w:szCs w:val="20"/>
              </w:rPr>
              <w:lastRenderedPageBreak/>
              <w:t>2</w:t>
            </w:r>
            <w:r w:rsidR="00602E14">
              <w:rPr>
                <w:b/>
                <w:sz w:val="20"/>
                <w:szCs w:val="20"/>
              </w:rPr>
              <w:t>.</w:t>
            </w:r>
          </w:p>
        </w:tc>
        <w:tc>
          <w:tcPr>
            <w:tcW w:w="6534" w:type="dxa"/>
            <w:gridSpan w:val="2"/>
            <w:shd w:val="clear" w:color="auto" w:fill="B6BFC8"/>
          </w:tcPr>
          <w:p w14:paraId="424A4E90" w14:textId="77777777" w:rsidR="00EC29B7" w:rsidRPr="0019444F" w:rsidRDefault="00EC29B7" w:rsidP="00EC29B7">
            <w:pPr>
              <w:pStyle w:val="NoSpacing"/>
              <w:rPr>
                <w:b/>
              </w:rPr>
            </w:pPr>
            <w:r w:rsidRPr="0019444F">
              <w:rPr>
                <w:b/>
              </w:rPr>
              <w:t xml:space="preserve">Service Description </w:t>
            </w:r>
          </w:p>
        </w:tc>
      </w:tr>
      <w:tr w:rsidR="008B6266" w:rsidRPr="00AA3128" w14:paraId="7F50367F" w14:textId="77777777" w:rsidTr="00301FB4">
        <w:trPr>
          <w:trHeight w:val="284"/>
        </w:trPr>
        <w:tc>
          <w:tcPr>
            <w:tcW w:w="3727" w:type="dxa"/>
            <w:gridSpan w:val="6"/>
            <w:tcBorders>
              <w:bottom w:val="single" w:sz="4" w:space="0" w:color="808080" w:themeColor="background1" w:themeShade="80"/>
            </w:tcBorders>
            <w:shd w:val="clear" w:color="auto" w:fill="F2F2F2" w:themeFill="background1" w:themeFillShade="F2"/>
          </w:tcPr>
          <w:p w14:paraId="2AF5D370" w14:textId="77777777" w:rsidR="00EC29B7" w:rsidRPr="0019444F" w:rsidRDefault="00AA3128" w:rsidP="006D238B">
            <w:pPr>
              <w:pStyle w:val="NoSpacing"/>
              <w:rPr>
                <w:sz w:val="20"/>
                <w:szCs w:val="20"/>
              </w:rPr>
            </w:pPr>
            <w:r w:rsidRPr="0019444F">
              <w:rPr>
                <w:sz w:val="20"/>
                <w:szCs w:val="20"/>
              </w:rPr>
              <w:t>2.1</w:t>
            </w:r>
          </w:p>
        </w:tc>
        <w:tc>
          <w:tcPr>
            <w:tcW w:w="6534" w:type="dxa"/>
            <w:gridSpan w:val="2"/>
            <w:tcBorders>
              <w:bottom w:val="single" w:sz="4" w:space="0" w:color="808080" w:themeColor="background1" w:themeShade="80"/>
            </w:tcBorders>
            <w:shd w:val="clear" w:color="auto" w:fill="F2F2F2" w:themeFill="background1" w:themeFillShade="F2"/>
          </w:tcPr>
          <w:p w14:paraId="33BD46C1" w14:textId="77777777" w:rsidR="00EC29B7" w:rsidRPr="00AA3128" w:rsidRDefault="00EC29B7" w:rsidP="000A08A3">
            <w:pPr>
              <w:pStyle w:val="NoSpacing"/>
            </w:pPr>
            <w:r w:rsidRPr="00AA3128">
              <w:t>Description</w:t>
            </w:r>
            <w:r w:rsidR="00805BA1">
              <w:t xml:space="preserve"> (including summary of overarching aims)</w:t>
            </w:r>
          </w:p>
        </w:tc>
      </w:tr>
      <w:tr w:rsidR="001E02CE" w:rsidRPr="00AA3128" w14:paraId="29258A01" w14:textId="77777777" w:rsidTr="00931F94">
        <w:trPr>
          <w:trHeight w:val="284"/>
        </w:trPr>
        <w:tc>
          <w:tcPr>
            <w:tcW w:w="10261" w:type="dxa"/>
            <w:gridSpan w:val="8"/>
            <w:tcBorders>
              <w:bottom w:val="single" w:sz="4" w:space="0" w:color="808080" w:themeColor="background1" w:themeShade="80"/>
            </w:tcBorders>
            <w:shd w:val="clear" w:color="auto" w:fill="auto"/>
          </w:tcPr>
          <w:p w14:paraId="02843571" w14:textId="43429CF9" w:rsidR="00204216" w:rsidRDefault="00204216" w:rsidP="00204216">
            <w:pPr>
              <w:pStyle w:val="NoSpacing"/>
            </w:pPr>
            <w:r>
              <w:t>The overall aim of the adult community services model is to ensure the provision of accessible, high quality care that considers the holistic needs of patients and supports them to improve and maintain their health. The Medway Model requires a flexible, dynamic and responsive lead Provider, who will be held to account on the below aims and objectives:</w:t>
            </w:r>
          </w:p>
          <w:p w14:paraId="2502D9A4" w14:textId="77777777" w:rsidR="00204216" w:rsidRDefault="00204216" w:rsidP="00204216">
            <w:pPr>
              <w:pStyle w:val="NoSpacing"/>
            </w:pPr>
          </w:p>
          <w:p w14:paraId="79642BC8" w14:textId="5077B453" w:rsidR="00204216" w:rsidRPr="003329F1" w:rsidRDefault="00204216" w:rsidP="00204216">
            <w:pPr>
              <w:pStyle w:val="NoSpacing"/>
              <w:rPr>
                <w:b/>
              </w:rPr>
            </w:pPr>
            <w:r w:rsidRPr="003329F1">
              <w:rPr>
                <w:b/>
              </w:rPr>
              <w:t xml:space="preserve">2.1.1 Over- arching aims of the </w:t>
            </w:r>
            <w:r w:rsidR="00AA43C9">
              <w:rPr>
                <w:b/>
              </w:rPr>
              <w:t xml:space="preserve">new service model for </w:t>
            </w:r>
            <w:r w:rsidRPr="003329F1">
              <w:rPr>
                <w:b/>
              </w:rPr>
              <w:t>adult community services are:</w:t>
            </w:r>
          </w:p>
          <w:p w14:paraId="12F08D99" w14:textId="77777777" w:rsidR="00204216" w:rsidRDefault="00204216" w:rsidP="00204216">
            <w:pPr>
              <w:pStyle w:val="NoSpacing"/>
              <w:tabs>
                <w:tab w:val="left" w:pos="227"/>
              </w:tabs>
              <w:ind w:left="227" w:hanging="227"/>
            </w:pPr>
            <w:r>
              <w:t>•</w:t>
            </w:r>
            <w:r>
              <w:tab/>
              <w:t>To realign service functions in order to make better use of resources and increase capacity and resilience within the community</w:t>
            </w:r>
          </w:p>
          <w:p w14:paraId="3174D676" w14:textId="0D3DE290" w:rsidR="00204216" w:rsidRDefault="00204216" w:rsidP="00204216">
            <w:pPr>
              <w:pStyle w:val="NoSpacing"/>
              <w:tabs>
                <w:tab w:val="left" w:pos="227"/>
              </w:tabs>
              <w:ind w:left="227" w:hanging="227"/>
            </w:pPr>
            <w:r>
              <w:t>•</w:t>
            </w:r>
            <w:r>
              <w:tab/>
              <w:t>To improve access to adult community service</w:t>
            </w:r>
            <w:r w:rsidR="009A5E5B">
              <w:t>s</w:t>
            </w:r>
            <w:r>
              <w:t xml:space="preserve"> by ensuring services are provided in the right place and at the </w:t>
            </w:r>
            <w:r>
              <w:lastRenderedPageBreak/>
              <w:t>right time</w:t>
            </w:r>
          </w:p>
          <w:p w14:paraId="6A544954" w14:textId="7EDD1CB9" w:rsidR="00204216" w:rsidRDefault="00204216" w:rsidP="00204216">
            <w:pPr>
              <w:pStyle w:val="NoSpacing"/>
              <w:tabs>
                <w:tab w:val="left" w:pos="227"/>
              </w:tabs>
              <w:ind w:left="227" w:hanging="227"/>
            </w:pPr>
            <w:r>
              <w:t>•</w:t>
            </w:r>
            <w:r>
              <w:tab/>
              <w:t>A revised m</w:t>
            </w:r>
            <w:r w:rsidR="004B1E95">
              <w:t>0</w:t>
            </w:r>
            <w:r>
              <w:t>odel of care and service delivery, utilising evolving best practice</w:t>
            </w:r>
          </w:p>
          <w:p w14:paraId="3E8DFAE6" w14:textId="7DB5210F" w:rsidR="00204216" w:rsidRDefault="00204216" w:rsidP="00204216">
            <w:pPr>
              <w:pStyle w:val="NoSpacing"/>
              <w:tabs>
                <w:tab w:val="left" w:pos="227"/>
              </w:tabs>
              <w:ind w:left="227" w:hanging="227"/>
            </w:pPr>
            <w:r>
              <w:t>•</w:t>
            </w:r>
            <w:r>
              <w:tab/>
            </w:r>
            <w:r w:rsidR="009A5E5B">
              <w:t>To provide r</w:t>
            </w:r>
            <w:r>
              <w:t xml:space="preserve">esponsive services that can adapt and change in line with changing priorities </w:t>
            </w:r>
            <w:r w:rsidR="006B69DA">
              <w:t xml:space="preserve">nationally and </w:t>
            </w:r>
            <w:r>
              <w:t>across Kent and Medway</w:t>
            </w:r>
            <w:r w:rsidR="006B69DA">
              <w:t xml:space="preserve"> </w:t>
            </w:r>
          </w:p>
          <w:p w14:paraId="67DF2C29" w14:textId="77777777" w:rsidR="00204216" w:rsidRDefault="00204216" w:rsidP="00204216">
            <w:pPr>
              <w:pStyle w:val="NoSpacing"/>
              <w:tabs>
                <w:tab w:val="left" w:pos="227"/>
              </w:tabs>
              <w:ind w:left="227" w:hanging="227"/>
            </w:pPr>
            <w:r>
              <w:t>•</w:t>
            </w:r>
            <w:r>
              <w:tab/>
              <w:t>A high quality experience of care for patients, their families and carers</w:t>
            </w:r>
          </w:p>
          <w:p w14:paraId="77ADFC3B" w14:textId="381CD9D3" w:rsidR="00204216" w:rsidRDefault="00204216" w:rsidP="00204216">
            <w:pPr>
              <w:pStyle w:val="NoSpacing"/>
              <w:tabs>
                <w:tab w:val="left" w:pos="227"/>
              </w:tabs>
              <w:ind w:left="227" w:hanging="227"/>
            </w:pPr>
            <w:r>
              <w:t>•</w:t>
            </w:r>
            <w:r>
              <w:tab/>
              <w:t>Provide safe, high quality evidence based holistic patient</w:t>
            </w:r>
            <w:r w:rsidR="008319BD">
              <w:t xml:space="preserve"> centred care</w:t>
            </w:r>
          </w:p>
          <w:p w14:paraId="68B24D61" w14:textId="7B200CBF" w:rsidR="00204216" w:rsidRDefault="00204216" w:rsidP="00204216">
            <w:pPr>
              <w:pStyle w:val="NoSpacing"/>
              <w:tabs>
                <w:tab w:val="left" w:pos="227"/>
              </w:tabs>
              <w:ind w:left="227" w:hanging="227"/>
            </w:pPr>
            <w:r>
              <w:t>•</w:t>
            </w:r>
            <w:r>
              <w:tab/>
            </w:r>
            <w:r w:rsidR="006B69DA">
              <w:t xml:space="preserve">To have </w:t>
            </w:r>
            <w:r>
              <w:t>effective and efficient management of resources to deliver an excellent standard of service within the financial envelope available</w:t>
            </w:r>
          </w:p>
          <w:p w14:paraId="64484E8F" w14:textId="13D0843C" w:rsidR="00EF6E89" w:rsidRDefault="00204216" w:rsidP="00204216">
            <w:pPr>
              <w:pStyle w:val="NoSpacing"/>
              <w:tabs>
                <w:tab w:val="left" w:pos="227"/>
              </w:tabs>
              <w:ind w:left="227" w:hanging="227"/>
            </w:pPr>
            <w:r>
              <w:t>•</w:t>
            </w:r>
            <w:r>
              <w:tab/>
              <w:t>To have a highly skilled and appropriately trained workforce</w:t>
            </w:r>
            <w:r w:rsidR="007C6C1A">
              <w:t xml:space="preserve"> to support the management of long term conditions and provide expert advice to</w:t>
            </w:r>
            <w:r w:rsidR="003F002B">
              <w:t xml:space="preserve"> other health care professionals</w:t>
            </w:r>
            <w:r w:rsidR="00BB256B">
              <w:t xml:space="preserve"> </w:t>
            </w:r>
          </w:p>
          <w:p w14:paraId="1B4F7C73" w14:textId="398C3411" w:rsidR="00204216" w:rsidRDefault="00EF6E89" w:rsidP="00423832">
            <w:pPr>
              <w:pStyle w:val="NoSpacing"/>
              <w:numPr>
                <w:ilvl w:val="0"/>
                <w:numId w:val="39"/>
              </w:numPr>
              <w:tabs>
                <w:tab w:val="left" w:pos="227"/>
              </w:tabs>
              <w:ind w:left="227" w:hanging="227"/>
            </w:pPr>
            <w:r>
              <w:t xml:space="preserve">To </w:t>
            </w:r>
            <w:r w:rsidR="008E3C5C">
              <w:t>have in place a programme of continu</w:t>
            </w:r>
            <w:r w:rsidR="0080657B">
              <w:t>ous</w:t>
            </w:r>
            <w:r w:rsidR="008E3C5C">
              <w:t xml:space="preserve"> </w:t>
            </w:r>
            <w:r w:rsidR="00930C75">
              <w:t>staf</w:t>
            </w:r>
            <w:r w:rsidR="00AE7D2C">
              <w:t>f</w:t>
            </w:r>
            <w:r w:rsidR="00930C75">
              <w:t xml:space="preserve"> </w:t>
            </w:r>
            <w:r w:rsidR="008E3C5C">
              <w:t xml:space="preserve">development </w:t>
            </w:r>
            <w:r w:rsidR="00AE7D2C">
              <w:t xml:space="preserve">and training </w:t>
            </w:r>
            <w:r w:rsidR="008E3C5C">
              <w:t xml:space="preserve">to </w:t>
            </w:r>
            <w:r w:rsidR="00930C75">
              <w:t xml:space="preserve">ensure </w:t>
            </w:r>
            <w:r w:rsidR="008136C9">
              <w:t xml:space="preserve">all staff </w:t>
            </w:r>
            <w:r w:rsidR="00AE7D2C">
              <w:t xml:space="preserve">are </w:t>
            </w:r>
            <w:r w:rsidR="008136C9">
              <w:t>u</w:t>
            </w:r>
            <w:r w:rsidR="00BB256B" w:rsidRPr="00BB256B">
              <w:t>pskill</w:t>
            </w:r>
            <w:r w:rsidR="008136C9">
              <w:t>ed</w:t>
            </w:r>
            <w:r w:rsidR="00BB256B" w:rsidRPr="00BB256B">
              <w:t xml:space="preserve"> in the management of long term conditions</w:t>
            </w:r>
            <w:r w:rsidR="00BB256B">
              <w:t xml:space="preserve">  </w:t>
            </w:r>
          </w:p>
          <w:p w14:paraId="53660511" w14:textId="4360C414" w:rsidR="00204216" w:rsidRDefault="00204216" w:rsidP="00204216">
            <w:pPr>
              <w:pStyle w:val="NoSpacing"/>
              <w:tabs>
                <w:tab w:val="left" w:pos="227"/>
              </w:tabs>
              <w:ind w:left="227" w:hanging="227"/>
            </w:pPr>
            <w:r>
              <w:t>•</w:t>
            </w:r>
            <w:r>
              <w:tab/>
              <w:t>To improve co-ordination of care, to treat the person, not the condition</w:t>
            </w:r>
          </w:p>
          <w:p w14:paraId="142F3BDC" w14:textId="4495685E" w:rsidR="00DA7658" w:rsidRDefault="00204216" w:rsidP="00204216">
            <w:pPr>
              <w:pStyle w:val="NoSpacing"/>
              <w:tabs>
                <w:tab w:val="left" w:pos="227"/>
              </w:tabs>
              <w:ind w:left="227" w:hanging="227"/>
            </w:pPr>
            <w:r>
              <w:t>•</w:t>
            </w:r>
            <w:r>
              <w:tab/>
              <w:t>To ensure a greater focus on prevention</w:t>
            </w:r>
            <w:r w:rsidR="00DB3645">
              <w:t xml:space="preserve">, </w:t>
            </w:r>
            <w:r>
              <w:t>patient empowerment</w:t>
            </w:r>
            <w:r w:rsidR="006B69DA">
              <w:t xml:space="preserve"> and ownership; educating and empowering patients to contribute to reducing, where possible, their </w:t>
            </w:r>
            <w:r w:rsidR="00E9701D">
              <w:t xml:space="preserve">reliance on services </w:t>
            </w:r>
            <w:r w:rsidR="006B69DA">
              <w:t xml:space="preserve"> and minimise any re-occurrence or exacerbation</w:t>
            </w:r>
            <w:r w:rsidR="00353638">
              <w:t xml:space="preserve"> </w:t>
            </w:r>
            <w:r w:rsidR="00711DF2">
              <w:t>in</w:t>
            </w:r>
            <w:r w:rsidR="00353638">
              <w:t xml:space="preserve"> their condition/s</w:t>
            </w:r>
            <w:r w:rsidR="00711DF2">
              <w:t xml:space="preserve">.  This might include offering </w:t>
            </w:r>
            <w:r w:rsidR="00C23B63">
              <w:t>brief advi</w:t>
            </w:r>
            <w:r w:rsidR="009069E4">
              <w:t>ce and sign posting to behaviour</w:t>
            </w:r>
            <w:r w:rsidR="00C23B63">
              <w:t xml:space="preserve"> change services </w:t>
            </w:r>
            <w:r w:rsidR="009069E4">
              <w:t xml:space="preserve">to help optimise independence and </w:t>
            </w:r>
            <w:r w:rsidR="009D3B96">
              <w:t>wellbeing</w:t>
            </w:r>
          </w:p>
          <w:p w14:paraId="43ECFF96" w14:textId="731821D0" w:rsidR="00204216" w:rsidRDefault="00204216" w:rsidP="009D3B96">
            <w:pPr>
              <w:pStyle w:val="NoSpacing"/>
              <w:numPr>
                <w:ilvl w:val="0"/>
                <w:numId w:val="39"/>
              </w:numPr>
              <w:tabs>
                <w:tab w:val="left" w:pos="227"/>
              </w:tabs>
              <w:ind w:left="227" w:hanging="227"/>
            </w:pPr>
            <w:r>
              <w:t>To make better use of intelligence to constantly develop and improve service functions to ensure they are targeted according to demand</w:t>
            </w:r>
          </w:p>
          <w:p w14:paraId="7615F66E" w14:textId="77777777" w:rsidR="00204216" w:rsidRDefault="00204216" w:rsidP="00204216">
            <w:pPr>
              <w:pStyle w:val="NoSpacing"/>
              <w:tabs>
                <w:tab w:val="left" w:pos="227"/>
              </w:tabs>
              <w:ind w:left="227" w:hanging="227"/>
            </w:pPr>
            <w:r>
              <w:t>•</w:t>
            </w:r>
            <w:r>
              <w:tab/>
              <w:t xml:space="preserve">To improve IT interoperability, communication and information flows between functions and across organisations </w:t>
            </w:r>
          </w:p>
          <w:p w14:paraId="7D567591" w14:textId="5B14E58D" w:rsidR="00204216" w:rsidRDefault="00204216" w:rsidP="00204216">
            <w:pPr>
              <w:pStyle w:val="NoSpacing"/>
              <w:tabs>
                <w:tab w:val="left" w:pos="227"/>
              </w:tabs>
              <w:ind w:left="227" w:hanging="227"/>
            </w:pPr>
            <w:r>
              <w:t>•</w:t>
            </w:r>
            <w:r>
              <w:tab/>
            </w:r>
            <w:r w:rsidR="007E7CD0">
              <w:t xml:space="preserve">Support people to stay well longer in the community; in order to avoid unnecessary hospital admissions and </w:t>
            </w:r>
            <w:proofErr w:type="spellStart"/>
            <w:r>
              <w:t>and</w:t>
            </w:r>
            <w:proofErr w:type="spellEnd"/>
            <w:r>
              <w:t xml:space="preserve"> attendances at ED from patients with long term conditions where specialist community intervention and support can be provided e.g. respiratory disease, diabetes, heart failure, continence conditions and problems relating to effective wound care.</w:t>
            </w:r>
          </w:p>
          <w:p w14:paraId="78E92971" w14:textId="1599B3DA" w:rsidR="00204216" w:rsidRDefault="00204216" w:rsidP="00204216">
            <w:pPr>
              <w:pStyle w:val="NoSpacing"/>
              <w:tabs>
                <w:tab w:val="left" w:pos="227"/>
              </w:tabs>
              <w:ind w:left="227" w:hanging="227"/>
            </w:pPr>
            <w:r>
              <w:t>•</w:t>
            </w:r>
            <w:r>
              <w:tab/>
              <w:t xml:space="preserve">Assess health care needs and develop/ contribute to </w:t>
            </w:r>
            <w:r w:rsidR="00916B35">
              <w:t>p</w:t>
            </w:r>
            <w:r>
              <w:t xml:space="preserve">ersonalised </w:t>
            </w:r>
            <w:r w:rsidR="00916B35">
              <w:t>c</w:t>
            </w:r>
            <w:r>
              <w:t xml:space="preserve">are </w:t>
            </w:r>
            <w:r w:rsidR="00916B35">
              <w:t>p</w:t>
            </w:r>
            <w:r>
              <w:t>lans in partnership with the patient, and their family/ carers (and other external organisations, as requested) to meet their needs.</w:t>
            </w:r>
          </w:p>
          <w:p w14:paraId="321DA76E" w14:textId="5601AB9A" w:rsidR="007E7CD0" w:rsidRDefault="00204216" w:rsidP="007E7CD0">
            <w:pPr>
              <w:pStyle w:val="NoSpacing"/>
              <w:tabs>
                <w:tab w:val="left" w:pos="227"/>
              </w:tabs>
              <w:ind w:left="227" w:hanging="227"/>
            </w:pPr>
            <w:r>
              <w:t>•</w:t>
            </w:r>
            <w:r>
              <w:tab/>
              <w:t>Improved access to a full range of specialist staff; that offers a responsive service in accordance with the clinical needs of patients</w:t>
            </w:r>
            <w:r w:rsidR="007E7CD0">
              <w:t xml:space="preserve"> in</w:t>
            </w:r>
            <w:r w:rsidR="00B21110">
              <w:t xml:space="preserve">cluding </w:t>
            </w:r>
            <w:r w:rsidR="007E7CD0">
              <w:t>when patient</w:t>
            </w:r>
            <w:r w:rsidR="00B21110">
              <w:t>s</w:t>
            </w:r>
            <w:r w:rsidR="007E7CD0">
              <w:t xml:space="preserve"> are in crisis</w:t>
            </w:r>
          </w:p>
          <w:p w14:paraId="6C3C257F" w14:textId="2886918E" w:rsidR="00204216" w:rsidRDefault="00204216" w:rsidP="008D14A8">
            <w:pPr>
              <w:pStyle w:val="NoSpacing"/>
              <w:numPr>
                <w:ilvl w:val="0"/>
                <w:numId w:val="39"/>
              </w:numPr>
              <w:tabs>
                <w:tab w:val="left" w:pos="227"/>
              </w:tabs>
              <w:ind w:left="227" w:hanging="227"/>
            </w:pPr>
            <w:r>
              <w:t>An integrated approach to working with secondary care specialist services to deliver comprehensive support in the community</w:t>
            </w:r>
          </w:p>
          <w:p w14:paraId="5A775DD7" w14:textId="77777777" w:rsidR="00204216" w:rsidRDefault="00204216" w:rsidP="00204216">
            <w:pPr>
              <w:pStyle w:val="NoSpacing"/>
              <w:tabs>
                <w:tab w:val="left" w:pos="227"/>
              </w:tabs>
              <w:ind w:left="227" w:hanging="227"/>
            </w:pPr>
            <w:r>
              <w:t>•</w:t>
            </w:r>
            <w:r>
              <w:tab/>
              <w:t>A reduction in the need for long term care through effective preventative care and promotion of self-management</w:t>
            </w:r>
          </w:p>
          <w:p w14:paraId="3057DFBE" w14:textId="77777777" w:rsidR="00204216" w:rsidRDefault="00204216" w:rsidP="00204216">
            <w:pPr>
              <w:pStyle w:val="NoSpacing"/>
              <w:tabs>
                <w:tab w:val="left" w:pos="227"/>
              </w:tabs>
              <w:ind w:left="227" w:hanging="227"/>
            </w:pPr>
          </w:p>
          <w:p w14:paraId="6033934E" w14:textId="77777777" w:rsidR="001E02CE" w:rsidRPr="003329F1" w:rsidRDefault="001E02CE" w:rsidP="001E02CE">
            <w:pPr>
              <w:pStyle w:val="NoSpacing"/>
              <w:rPr>
                <w:b/>
              </w:rPr>
            </w:pPr>
            <w:r w:rsidRPr="003329F1">
              <w:rPr>
                <w:b/>
              </w:rPr>
              <w:t>2.1.2 Services aligned to the Medway Model</w:t>
            </w:r>
          </w:p>
          <w:p w14:paraId="35A6EFE7" w14:textId="77777777" w:rsidR="001E02CE" w:rsidRPr="001E02CE" w:rsidRDefault="001E02CE" w:rsidP="001E02CE">
            <w:pPr>
              <w:pStyle w:val="NoSpacing"/>
            </w:pPr>
            <w:r w:rsidRPr="001E02CE">
              <w:t>The Medway Model outlines how Medway will address the challenges of the FYFV, the GPFV and the KMSTP.  It has been developed in collaboration with all health and social care organisations across Medway and reflects Medway’s interpretation of the KMSTP Local Care agenda.</w:t>
            </w:r>
          </w:p>
          <w:p w14:paraId="604E3F37" w14:textId="77777777" w:rsidR="001E02CE" w:rsidRPr="001E02CE" w:rsidRDefault="001E02CE" w:rsidP="001E02CE">
            <w:pPr>
              <w:pStyle w:val="NoSpacing"/>
            </w:pPr>
          </w:p>
          <w:p w14:paraId="34DC1A11" w14:textId="77777777" w:rsidR="001E02CE" w:rsidRPr="001E02CE" w:rsidRDefault="001E02CE" w:rsidP="009E5C9A">
            <w:pPr>
              <w:pStyle w:val="NoSpacing"/>
            </w:pPr>
            <w:r w:rsidRPr="001E02CE">
              <w:t xml:space="preserve">The Medway Model is a new way of joining up local health and care services so </w:t>
            </w:r>
            <w:r w:rsidR="009E5C9A">
              <w:t xml:space="preserve">that when someone is ill, there </w:t>
            </w:r>
            <w:r w:rsidRPr="001E02CE">
              <w:t>are many more people involved in their care than just the patient and their GP.  It is based on the provision of out-of-hospital services wrapped around six geographically defined localities:</w:t>
            </w:r>
          </w:p>
          <w:p w14:paraId="270AFC1E" w14:textId="77777777" w:rsidR="0087730E" w:rsidRDefault="001E02CE" w:rsidP="0087730E">
            <w:pPr>
              <w:pStyle w:val="NoSpacing"/>
              <w:ind w:left="369" w:hanging="284"/>
            </w:pPr>
            <w:r w:rsidRPr="001E02CE">
              <w:t>•</w:t>
            </w:r>
            <w:r w:rsidRPr="001E02CE">
              <w:tab/>
            </w:r>
            <w:r w:rsidR="0087730E">
              <w:t xml:space="preserve"> </w:t>
            </w:r>
            <w:proofErr w:type="spellStart"/>
            <w:r w:rsidR="0087730E">
              <w:t>Rainham</w:t>
            </w:r>
            <w:proofErr w:type="spellEnd"/>
          </w:p>
          <w:p w14:paraId="1C1A022A" w14:textId="5793B8CF" w:rsidR="001E02CE" w:rsidRPr="001E02CE" w:rsidRDefault="001E02CE" w:rsidP="0087730E">
            <w:pPr>
              <w:pStyle w:val="NoSpacing"/>
              <w:ind w:left="369" w:hanging="284"/>
            </w:pPr>
            <w:r w:rsidRPr="001E02CE">
              <w:t>•</w:t>
            </w:r>
            <w:r w:rsidRPr="001E02CE">
              <w:tab/>
            </w:r>
            <w:r w:rsidR="0087730E">
              <w:t xml:space="preserve"> </w:t>
            </w:r>
            <w:r w:rsidRPr="001E02CE">
              <w:t>Gillingham</w:t>
            </w:r>
          </w:p>
          <w:p w14:paraId="2CD1D668" w14:textId="43A978FF" w:rsidR="001E02CE" w:rsidRPr="001E02CE" w:rsidRDefault="001E02CE" w:rsidP="0087730E">
            <w:pPr>
              <w:pStyle w:val="NoSpacing"/>
              <w:ind w:left="369" w:hanging="284"/>
            </w:pPr>
            <w:r w:rsidRPr="001E02CE">
              <w:t>•</w:t>
            </w:r>
            <w:r w:rsidRPr="001E02CE">
              <w:tab/>
            </w:r>
            <w:r w:rsidR="0087730E">
              <w:t xml:space="preserve"> </w:t>
            </w:r>
            <w:r w:rsidRPr="001E02CE">
              <w:t>Chatham Central</w:t>
            </w:r>
          </w:p>
          <w:p w14:paraId="091B22C2" w14:textId="58049A8A" w:rsidR="001E02CE" w:rsidRPr="001E02CE" w:rsidRDefault="001E02CE" w:rsidP="0087730E">
            <w:pPr>
              <w:pStyle w:val="NoSpacing"/>
              <w:ind w:left="369" w:hanging="284"/>
            </w:pPr>
            <w:r w:rsidRPr="001E02CE">
              <w:t>•</w:t>
            </w:r>
            <w:r w:rsidRPr="001E02CE">
              <w:tab/>
            </w:r>
            <w:r w:rsidR="0087730E">
              <w:t xml:space="preserve"> </w:t>
            </w:r>
            <w:proofErr w:type="spellStart"/>
            <w:r w:rsidRPr="001E02CE">
              <w:t>Lordswood</w:t>
            </w:r>
            <w:proofErr w:type="spellEnd"/>
          </w:p>
          <w:p w14:paraId="7111312F" w14:textId="50834BED" w:rsidR="001E02CE" w:rsidRPr="001E02CE" w:rsidRDefault="001E02CE" w:rsidP="0087730E">
            <w:pPr>
              <w:pStyle w:val="NoSpacing"/>
              <w:ind w:left="369" w:hanging="284"/>
            </w:pPr>
            <w:r w:rsidRPr="001E02CE">
              <w:t>•</w:t>
            </w:r>
            <w:r w:rsidRPr="001E02CE">
              <w:tab/>
            </w:r>
            <w:r w:rsidR="0087730E">
              <w:t xml:space="preserve"> </w:t>
            </w:r>
            <w:r w:rsidRPr="001E02CE">
              <w:t>Rochester</w:t>
            </w:r>
          </w:p>
          <w:p w14:paraId="7752D75F" w14:textId="3FA2BF0A" w:rsidR="001E02CE" w:rsidRDefault="001E02CE" w:rsidP="0087730E">
            <w:pPr>
              <w:pStyle w:val="NoSpacing"/>
              <w:tabs>
                <w:tab w:val="left" w:pos="440"/>
              </w:tabs>
              <w:ind w:left="369" w:hanging="284"/>
            </w:pPr>
            <w:r w:rsidRPr="001E02CE">
              <w:t>•</w:t>
            </w:r>
            <w:r w:rsidRPr="001E02CE">
              <w:tab/>
            </w:r>
            <w:r w:rsidR="0087730E">
              <w:t xml:space="preserve"> </w:t>
            </w:r>
            <w:proofErr w:type="spellStart"/>
            <w:r w:rsidRPr="001E02CE">
              <w:t>Strood</w:t>
            </w:r>
            <w:proofErr w:type="spellEnd"/>
          </w:p>
          <w:p w14:paraId="7885E0C1" w14:textId="77777777" w:rsidR="00C2270E" w:rsidRDefault="00C2270E" w:rsidP="0087730E">
            <w:pPr>
              <w:pStyle w:val="NoSpacing"/>
              <w:tabs>
                <w:tab w:val="left" w:pos="440"/>
              </w:tabs>
              <w:ind w:left="369" w:hanging="284"/>
            </w:pPr>
          </w:p>
          <w:p w14:paraId="430C547C" w14:textId="76CE2E4C" w:rsidR="00C2270E" w:rsidRDefault="00C2270E" w:rsidP="00E30DB5">
            <w:pPr>
              <w:pStyle w:val="NoSpacing"/>
              <w:tabs>
                <w:tab w:val="left" w:pos="440"/>
              </w:tabs>
              <w:ind w:left="369"/>
            </w:pPr>
            <w:r>
              <w:t xml:space="preserve">*In addition, relevant Swale locations will also be included (to be confirmed at a later date) </w:t>
            </w:r>
            <w:r w:rsidR="00E30DB5">
              <w:t>for the four services outlined above.</w:t>
            </w:r>
          </w:p>
          <w:p w14:paraId="6187C743" w14:textId="77777777" w:rsidR="00FD533E" w:rsidRDefault="00FD533E" w:rsidP="00DC3BE7">
            <w:pPr>
              <w:widowControl w:val="0"/>
              <w:ind w:right="120"/>
              <w:jc w:val="both"/>
              <w:rPr>
                <w:rFonts w:asciiTheme="minorHAnsi" w:eastAsia="Arial" w:hAnsiTheme="minorHAnsi"/>
                <w:sz w:val="22"/>
                <w:szCs w:val="22"/>
                <w:lang w:val="en-US"/>
              </w:rPr>
            </w:pPr>
          </w:p>
          <w:p w14:paraId="4154429C"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The Medway Model has initially focused on primary care and, working to the aims of the GPFV, has brought </w:t>
            </w:r>
            <w:r w:rsidRPr="00DC3BE7">
              <w:rPr>
                <w:rFonts w:asciiTheme="minorHAnsi" w:eastAsia="Arial" w:hAnsiTheme="minorHAnsi"/>
                <w:sz w:val="22"/>
                <w:szCs w:val="22"/>
                <w:lang w:val="en-US"/>
              </w:rPr>
              <w:lastRenderedPageBreak/>
              <w:t>together GP practices into six Primary Care Locality Teams (PCLTs).  These PCLTs are responsible for the health of local populations of around 30,000 to 50,000 and are based in the six geographical localities (as listed above).</w:t>
            </w:r>
          </w:p>
          <w:p w14:paraId="588C346F" w14:textId="35723981"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The PCLTs are primary care (GP led) teams that will lead and co-ordinate the Integrated Locality Reviews</w:t>
            </w:r>
            <w:r w:rsidR="003D67E2">
              <w:rPr>
                <w:rFonts w:asciiTheme="minorHAnsi" w:eastAsia="Arial" w:hAnsiTheme="minorHAnsi"/>
                <w:sz w:val="22"/>
                <w:szCs w:val="22"/>
                <w:lang w:val="en-US"/>
              </w:rPr>
              <w:t xml:space="preserve"> (ILRs)</w:t>
            </w:r>
            <w:r w:rsidRPr="00DC3BE7">
              <w:rPr>
                <w:rFonts w:asciiTheme="minorHAnsi" w:eastAsia="Arial" w:hAnsiTheme="minorHAnsi"/>
                <w:sz w:val="22"/>
                <w:szCs w:val="22"/>
                <w:lang w:val="en-US"/>
              </w:rPr>
              <w:t xml:space="preserve">.  They will work closely with the </w:t>
            </w:r>
            <w:r w:rsidRPr="00A05FCE">
              <w:rPr>
                <w:rFonts w:asciiTheme="minorHAnsi" w:eastAsia="Arial" w:hAnsiTheme="minorHAnsi"/>
                <w:sz w:val="22"/>
                <w:szCs w:val="22"/>
                <w:lang w:val="en-US"/>
              </w:rPr>
              <w:t>C</w:t>
            </w:r>
            <w:r w:rsidR="0022320F" w:rsidRPr="00A05FCE">
              <w:rPr>
                <w:rFonts w:asciiTheme="minorHAnsi" w:eastAsia="Arial" w:hAnsiTheme="minorHAnsi"/>
                <w:sz w:val="22"/>
                <w:szCs w:val="22"/>
                <w:lang w:val="en-US"/>
              </w:rPr>
              <w:t xml:space="preserve">ommunity </w:t>
            </w:r>
            <w:r w:rsidRPr="00A05FCE">
              <w:rPr>
                <w:rFonts w:asciiTheme="minorHAnsi" w:eastAsia="Arial" w:hAnsiTheme="minorHAnsi"/>
                <w:sz w:val="22"/>
                <w:szCs w:val="22"/>
                <w:lang w:val="en-US"/>
              </w:rPr>
              <w:t>L</w:t>
            </w:r>
            <w:r w:rsidR="0022320F" w:rsidRPr="00A05FCE">
              <w:rPr>
                <w:rFonts w:asciiTheme="minorHAnsi" w:eastAsia="Arial" w:hAnsiTheme="minorHAnsi"/>
                <w:sz w:val="22"/>
                <w:szCs w:val="22"/>
                <w:lang w:val="en-US"/>
              </w:rPr>
              <w:t xml:space="preserve">ocality </w:t>
            </w:r>
            <w:r w:rsidRPr="00A05FCE">
              <w:rPr>
                <w:rFonts w:asciiTheme="minorHAnsi" w:eastAsia="Arial" w:hAnsiTheme="minorHAnsi"/>
                <w:sz w:val="22"/>
                <w:szCs w:val="22"/>
                <w:lang w:val="en-US"/>
              </w:rPr>
              <w:t>T</w:t>
            </w:r>
            <w:r w:rsidR="0022320F" w:rsidRPr="00A05FCE">
              <w:rPr>
                <w:rFonts w:asciiTheme="minorHAnsi" w:eastAsia="Arial" w:hAnsiTheme="minorHAnsi"/>
                <w:sz w:val="22"/>
                <w:szCs w:val="22"/>
                <w:lang w:val="en-US"/>
              </w:rPr>
              <w:t>eam</w:t>
            </w:r>
            <w:r w:rsidRPr="00A05FCE">
              <w:rPr>
                <w:rFonts w:asciiTheme="minorHAnsi" w:eastAsia="Arial" w:hAnsiTheme="minorHAnsi"/>
                <w:sz w:val="22"/>
                <w:szCs w:val="22"/>
                <w:lang w:val="en-US"/>
              </w:rPr>
              <w:t>s</w:t>
            </w:r>
            <w:r w:rsidR="0022320F">
              <w:rPr>
                <w:rFonts w:asciiTheme="minorHAnsi" w:eastAsia="Arial" w:hAnsiTheme="minorHAnsi"/>
                <w:sz w:val="22"/>
                <w:szCs w:val="22"/>
                <w:lang w:val="en-US"/>
              </w:rPr>
              <w:t xml:space="preserve"> (CLTs)</w:t>
            </w:r>
            <w:r w:rsidRPr="00DC3BE7">
              <w:rPr>
                <w:rFonts w:asciiTheme="minorHAnsi" w:eastAsia="Arial" w:hAnsiTheme="minorHAnsi"/>
                <w:sz w:val="22"/>
                <w:szCs w:val="22"/>
                <w:lang w:val="en-US"/>
              </w:rPr>
              <w:t xml:space="preserve"> and wider </w:t>
            </w:r>
            <w:proofErr w:type="gramStart"/>
            <w:r w:rsidRPr="00DC3BE7">
              <w:rPr>
                <w:rFonts w:asciiTheme="minorHAnsi" w:eastAsia="Arial" w:hAnsiTheme="minorHAnsi"/>
                <w:sz w:val="22"/>
                <w:szCs w:val="22"/>
                <w:lang w:val="en-US"/>
              </w:rPr>
              <w:t>health,</w:t>
            </w:r>
            <w:proofErr w:type="gramEnd"/>
            <w:r w:rsidRPr="00DC3BE7">
              <w:rPr>
                <w:rFonts w:asciiTheme="minorHAnsi" w:eastAsia="Arial" w:hAnsiTheme="minorHAnsi"/>
                <w:sz w:val="22"/>
                <w:szCs w:val="22"/>
                <w:lang w:val="en-US"/>
              </w:rPr>
              <w:t xml:space="preserve"> social care and </w:t>
            </w:r>
            <w:r w:rsidR="00723A9B">
              <w:rPr>
                <w:rFonts w:asciiTheme="minorHAnsi" w:eastAsia="Arial" w:hAnsiTheme="minorHAnsi"/>
                <w:sz w:val="22"/>
                <w:szCs w:val="22"/>
                <w:lang w:val="en-US"/>
              </w:rPr>
              <w:t>(VCS)</w:t>
            </w:r>
            <w:r w:rsidRPr="00DC3BE7">
              <w:rPr>
                <w:rFonts w:asciiTheme="minorHAnsi" w:eastAsia="Arial" w:hAnsiTheme="minorHAnsi"/>
                <w:sz w:val="22"/>
                <w:szCs w:val="22"/>
                <w:lang w:val="en-US"/>
              </w:rPr>
              <w:t xml:space="preserve"> to ensure the most complex patients within each locality are effectively managed by ensuring </w:t>
            </w:r>
            <w:proofErr w:type="spellStart"/>
            <w:r w:rsidR="0022320F">
              <w:rPr>
                <w:rFonts w:asciiTheme="minorHAnsi" w:eastAsia="Arial" w:hAnsiTheme="minorHAnsi"/>
                <w:sz w:val="22"/>
                <w:szCs w:val="22"/>
                <w:lang w:val="en-US"/>
              </w:rPr>
              <w:t>personalised</w:t>
            </w:r>
            <w:proofErr w:type="spellEnd"/>
            <w:r w:rsidR="0022320F">
              <w:rPr>
                <w:rFonts w:asciiTheme="minorHAnsi" w:eastAsia="Arial" w:hAnsiTheme="minorHAnsi"/>
                <w:sz w:val="22"/>
                <w:szCs w:val="22"/>
                <w:lang w:val="en-US"/>
              </w:rPr>
              <w:t xml:space="preserve"> </w:t>
            </w:r>
            <w:r w:rsidRPr="00DC3BE7">
              <w:rPr>
                <w:rFonts w:asciiTheme="minorHAnsi" w:eastAsia="Arial" w:hAnsiTheme="minorHAnsi"/>
                <w:sz w:val="22"/>
                <w:szCs w:val="22"/>
                <w:lang w:val="en-US"/>
              </w:rPr>
              <w:t xml:space="preserve">Integrated Management Plans </w:t>
            </w:r>
            <w:r w:rsidR="0022320F">
              <w:rPr>
                <w:rFonts w:asciiTheme="minorHAnsi" w:eastAsia="Arial" w:hAnsiTheme="minorHAnsi"/>
                <w:sz w:val="22"/>
                <w:szCs w:val="22"/>
                <w:lang w:val="en-US"/>
              </w:rPr>
              <w:t xml:space="preserve">(IMPs) </w:t>
            </w:r>
            <w:r w:rsidRPr="00DC3BE7">
              <w:rPr>
                <w:rFonts w:asciiTheme="minorHAnsi" w:eastAsia="Arial" w:hAnsiTheme="minorHAnsi"/>
                <w:sz w:val="22"/>
                <w:szCs w:val="22"/>
                <w:lang w:val="en-US"/>
              </w:rPr>
              <w:t>are developed and reviewed on a regular basis.</w:t>
            </w:r>
          </w:p>
          <w:p w14:paraId="15C47765" w14:textId="77777777" w:rsidR="00DC3BE7" w:rsidRPr="00DC3BE7" w:rsidRDefault="00DC3BE7" w:rsidP="00DC3BE7">
            <w:pPr>
              <w:widowControl w:val="0"/>
              <w:ind w:right="120"/>
              <w:jc w:val="both"/>
              <w:rPr>
                <w:rFonts w:asciiTheme="minorHAnsi" w:eastAsia="Arial" w:hAnsiTheme="minorHAnsi"/>
                <w:sz w:val="22"/>
                <w:szCs w:val="22"/>
                <w:lang w:val="en-US"/>
              </w:rPr>
            </w:pPr>
          </w:p>
          <w:p w14:paraId="2D2514D7" w14:textId="59830720" w:rsid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The Medway Model aims to provide care closer to home at this local population level.  Within each of the six localities, there will be a designated Healthy Living Centre (HLC). These are the physical buildings where clinics and services provided by health, social care, mental health, </w:t>
            </w:r>
            <w:r w:rsidR="001C6A54">
              <w:rPr>
                <w:rFonts w:asciiTheme="minorHAnsi" w:eastAsia="Arial" w:hAnsiTheme="minorHAnsi"/>
                <w:sz w:val="22"/>
                <w:szCs w:val="22"/>
                <w:lang w:val="en-US"/>
              </w:rPr>
              <w:t>CVS</w:t>
            </w:r>
            <w:r w:rsidRPr="00DC3BE7">
              <w:rPr>
                <w:rFonts w:asciiTheme="minorHAnsi" w:eastAsia="Arial" w:hAnsiTheme="minorHAnsi"/>
                <w:sz w:val="22"/>
                <w:szCs w:val="22"/>
                <w:lang w:val="en-US"/>
              </w:rPr>
              <w:t xml:space="preserve"> will be co-located. This will bring together a range of clinical services, wider health and social care expertise, and the </w:t>
            </w:r>
            <w:r w:rsidR="001C6A54">
              <w:rPr>
                <w:rFonts w:asciiTheme="minorHAnsi" w:eastAsia="Arial" w:hAnsiTheme="minorHAnsi"/>
                <w:sz w:val="22"/>
                <w:szCs w:val="22"/>
                <w:lang w:val="en-US"/>
              </w:rPr>
              <w:t xml:space="preserve">CVS </w:t>
            </w:r>
            <w:r w:rsidRPr="00DC3BE7">
              <w:rPr>
                <w:rFonts w:asciiTheme="minorHAnsi" w:eastAsia="Arial" w:hAnsiTheme="minorHAnsi"/>
                <w:sz w:val="22"/>
                <w:szCs w:val="22"/>
                <w:lang w:val="en-US"/>
              </w:rPr>
              <w:t xml:space="preserve">to support joined up ways of working. Currently four HLCs are already established in </w:t>
            </w:r>
            <w:proofErr w:type="spellStart"/>
            <w:r w:rsidRPr="00DC3BE7">
              <w:rPr>
                <w:rFonts w:asciiTheme="minorHAnsi" w:eastAsia="Arial" w:hAnsiTheme="minorHAnsi"/>
                <w:sz w:val="22"/>
                <w:szCs w:val="22"/>
                <w:lang w:val="en-US"/>
              </w:rPr>
              <w:t>Rainham</w:t>
            </w:r>
            <w:proofErr w:type="spellEnd"/>
            <w:r w:rsidRPr="00DC3BE7">
              <w:rPr>
                <w:rFonts w:asciiTheme="minorHAnsi" w:eastAsia="Arial" w:hAnsiTheme="minorHAnsi"/>
                <w:sz w:val="22"/>
                <w:szCs w:val="22"/>
                <w:lang w:val="en-US"/>
              </w:rPr>
              <w:t xml:space="preserve">, </w:t>
            </w:r>
            <w:proofErr w:type="spellStart"/>
            <w:r w:rsidRPr="00DC3BE7">
              <w:rPr>
                <w:rFonts w:asciiTheme="minorHAnsi" w:eastAsia="Arial" w:hAnsiTheme="minorHAnsi"/>
                <w:sz w:val="22"/>
                <w:szCs w:val="22"/>
                <w:lang w:val="en-US"/>
              </w:rPr>
              <w:t>Gillingham</w:t>
            </w:r>
            <w:proofErr w:type="spellEnd"/>
            <w:r w:rsidRPr="00DC3BE7">
              <w:rPr>
                <w:rFonts w:asciiTheme="minorHAnsi" w:eastAsia="Arial" w:hAnsiTheme="minorHAnsi"/>
                <w:sz w:val="22"/>
                <w:szCs w:val="22"/>
                <w:lang w:val="en-US"/>
              </w:rPr>
              <w:t xml:space="preserve">, Rochester and </w:t>
            </w:r>
            <w:proofErr w:type="spellStart"/>
            <w:r w:rsidRPr="00DC3BE7">
              <w:rPr>
                <w:rFonts w:asciiTheme="minorHAnsi" w:eastAsia="Arial" w:hAnsiTheme="minorHAnsi"/>
                <w:sz w:val="22"/>
                <w:szCs w:val="22"/>
                <w:lang w:val="en-US"/>
              </w:rPr>
              <w:t>Lordswood</w:t>
            </w:r>
            <w:proofErr w:type="spellEnd"/>
            <w:r w:rsidRPr="00DC3BE7">
              <w:rPr>
                <w:rFonts w:asciiTheme="minorHAnsi" w:eastAsia="Arial" w:hAnsiTheme="minorHAnsi"/>
                <w:sz w:val="22"/>
                <w:szCs w:val="22"/>
                <w:lang w:val="en-US"/>
              </w:rPr>
              <w:t xml:space="preserve"> localities; another two are planned for the </w:t>
            </w:r>
            <w:proofErr w:type="spellStart"/>
            <w:r w:rsidRPr="00DC3BE7">
              <w:rPr>
                <w:rFonts w:asciiTheme="minorHAnsi" w:eastAsia="Arial" w:hAnsiTheme="minorHAnsi"/>
                <w:sz w:val="22"/>
                <w:szCs w:val="22"/>
                <w:lang w:val="en-US"/>
              </w:rPr>
              <w:t>Strood</w:t>
            </w:r>
            <w:proofErr w:type="spellEnd"/>
            <w:r w:rsidRPr="00DC3BE7">
              <w:rPr>
                <w:rFonts w:asciiTheme="minorHAnsi" w:eastAsia="Arial" w:hAnsiTheme="minorHAnsi"/>
                <w:sz w:val="22"/>
                <w:szCs w:val="22"/>
                <w:lang w:val="en-US"/>
              </w:rPr>
              <w:t xml:space="preserve"> and Central Chatham areas and will be operational by 2020-2021.  </w:t>
            </w:r>
          </w:p>
          <w:p w14:paraId="12B53EDA" w14:textId="77777777" w:rsidR="001C6A54" w:rsidRPr="00DC3BE7" w:rsidRDefault="001C6A54" w:rsidP="00DC3BE7">
            <w:pPr>
              <w:widowControl w:val="0"/>
              <w:ind w:right="120"/>
              <w:jc w:val="both"/>
              <w:rPr>
                <w:rFonts w:asciiTheme="minorHAnsi" w:eastAsia="Arial" w:hAnsiTheme="minorHAnsi"/>
                <w:sz w:val="22"/>
                <w:szCs w:val="22"/>
                <w:lang w:val="en-US"/>
              </w:rPr>
            </w:pPr>
          </w:p>
          <w:p w14:paraId="672B0B47"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Both the Medway Model and Medway Council’s ‘Three Conversations Approach’ are fundamental to the future delivery of health and social care across Medway and </w:t>
            </w:r>
            <w:proofErr w:type="spellStart"/>
            <w:r w:rsidRPr="00DC3BE7">
              <w:rPr>
                <w:rFonts w:asciiTheme="minorHAnsi" w:eastAsia="Arial" w:hAnsiTheme="minorHAnsi"/>
                <w:sz w:val="22"/>
                <w:szCs w:val="22"/>
                <w:lang w:val="en-US"/>
              </w:rPr>
              <w:t>recognise</w:t>
            </w:r>
            <w:proofErr w:type="spellEnd"/>
            <w:r w:rsidRPr="00DC3BE7">
              <w:rPr>
                <w:rFonts w:asciiTheme="minorHAnsi" w:eastAsia="Arial" w:hAnsiTheme="minorHAnsi"/>
                <w:sz w:val="22"/>
                <w:szCs w:val="22"/>
                <w:lang w:val="en-US"/>
              </w:rPr>
              <w:t xml:space="preserve"> that patients have better outcomes if they are involved in decisions around the care they receive. The aim is to ensure that people with long term conditions have access to information and services to help them address high risk lifestyle changes and manage their medical conditions better through social prescribing, care navigation, self-care and self-management.</w:t>
            </w:r>
          </w:p>
          <w:p w14:paraId="795C8360" w14:textId="77777777" w:rsidR="00DC3BE7" w:rsidRPr="00DC3BE7" w:rsidRDefault="00DC3BE7" w:rsidP="00DC3BE7">
            <w:pPr>
              <w:widowControl w:val="0"/>
              <w:ind w:right="120"/>
              <w:jc w:val="both"/>
              <w:rPr>
                <w:rFonts w:asciiTheme="minorHAnsi" w:eastAsia="Arial" w:hAnsiTheme="minorHAnsi"/>
                <w:sz w:val="22"/>
                <w:szCs w:val="22"/>
                <w:lang w:val="en-US"/>
              </w:rPr>
            </w:pPr>
          </w:p>
          <w:p w14:paraId="6D28EFE2" w14:textId="0F36BA91" w:rsidR="00DC3BE7" w:rsidRPr="00F83177" w:rsidRDefault="00DC3BE7" w:rsidP="00DC3BE7">
            <w:pPr>
              <w:widowControl w:val="0"/>
              <w:ind w:right="120"/>
              <w:jc w:val="both"/>
              <w:rPr>
                <w:rFonts w:asciiTheme="minorHAnsi" w:eastAsia="Arial" w:hAnsiTheme="minorHAnsi"/>
                <w:b/>
                <w:sz w:val="22"/>
                <w:szCs w:val="22"/>
                <w:lang w:val="en-US"/>
              </w:rPr>
            </w:pPr>
            <w:r w:rsidRPr="00F83177">
              <w:rPr>
                <w:rFonts w:asciiTheme="minorHAnsi" w:eastAsia="Arial" w:hAnsiTheme="minorHAnsi"/>
                <w:b/>
                <w:sz w:val="22"/>
                <w:szCs w:val="22"/>
                <w:lang w:val="en-US"/>
              </w:rPr>
              <w:t xml:space="preserve">2.1.3 Adult </w:t>
            </w:r>
            <w:r w:rsidR="00EB66BA">
              <w:rPr>
                <w:rFonts w:asciiTheme="minorHAnsi" w:eastAsia="Arial" w:hAnsiTheme="minorHAnsi"/>
                <w:b/>
                <w:sz w:val="22"/>
                <w:szCs w:val="22"/>
                <w:lang w:val="en-US"/>
              </w:rPr>
              <w:t>C</w:t>
            </w:r>
            <w:r w:rsidRPr="00F83177">
              <w:rPr>
                <w:rFonts w:asciiTheme="minorHAnsi" w:eastAsia="Arial" w:hAnsiTheme="minorHAnsi"/>
                <w:b/>
                <w:sz w:val="22"/>
                <w:szCs w:val="22"/>
                <w:lang w:val="en-US"/>
              </w:rPr>
              <w:t xml:space="preserve">ommunity </w:t>
            </w:r>
            <w:r w:rsidR="00EB66BA">
              <w:rPr>
                <w:rFonts w:asciiTheme="minorHAnsi" w:eastAsia="Arial" w:hAnsiTheme="minorHAnsi"/>
                <w:b/>
                <w:sz w:val="22"/>
                <w:szCs w:val="22"/>
                <w:lang w:val="en-US"/>
              </w:rPr>
              <w:t>S</w:t>
            </w:r>
            <w:r w:rsidRPr="00F83177">
              <w:rPr>
                <w:rFonts w:asciiTheme="minorHAnsi" w:eastAsia="Arial" w:hAnsiTheme="minorHAnsi"/>
                <w:b/>
                <w:sz w:val="22"/>
                <w:szCs w:val="22"/>
                <w:lang w:val="en-US"/>
              </w:rPr>
              <w:t>ervices and the Medway Model</w:t>
            </w:r>
          </w:p>
          <w:p w14:paraId="5687B49A" w14:textId="2033C1EC"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Adult community services are a fundamental element of the Medway Model. The Provider will configure CLTs to align with each of the locality areas; these teams will serve their respective local populations. All service functions provided by the CLTs will be located in clinics based in HLCs or provided to patients in their own homes, where appropriate.  The CLTs will cover the same local population as the PCLTs. </w:t>
            </w:r>
          </w:p>
          <w:p w14:paraId="2F284965" w14:textId="77777777" w:rsidR="00DC3BE7" w:rsidRPr="00DC3BE7" w:rsidRDefault="00DC3BE7" w:rsidP="00DC3BE7">
            <w:pPr>
              <w:widowControl w:val="0"/>
              <w:ind w:right="120"/>
              <w:jc w:val="both"/>
              <w:rPr>
                <w:rFonts w:asciiTheme="minorHAnsi" w:eastAsia="Arial" w:hAnsiTheme="minorHAnsi"/>
                <w:sz w:val="22"/>
                <w:szCs w:val="22"/>
                <w:lang w:val="en-US"/>
              </w:rPr>
            </w:pPr>
          </w:p>
          <w:p w14:paraId="37946C2D" w14:textId="10A3577F"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CLTs will provide the vast majority of adult community service contacts across a wide range of professional disciplines.  These teams will comprise </w:t>
            </w:r>
            <w:r w:rsidRPr="00DC3BE7">
              <w:rPr>
                <w:rFonts w:asciiTheme="minorHAnsi" w:eastAsia="Calibri" w:hAnsiTheme="minorHAnsi" w:cs="Arial"/>
                <w:sz w:val="22"/>
                <w:szCs w:val="22"/>
              </w:rPr>
              <w:t>of a core team of multi-skilled generic nurses and therapists, who will be based in HLCs and supported by the specialist teams.  In order to develop integrated working within each locality, t</w:t>
            </w:r>
            <w:r w:rsidRPr="00DC3BE7">
              <w:rPr>
                <w:rFonts w:asciiTheme="minorHAnsi" w:eastAsia="Arial" w:hAnsiTheme="minorHAnsi"/>
                <w:sz w:val="22"/>
                <w:szCs w:val="22"/>
                <w:lang w:val="en-US"/>
              </w:rPr>
              <w:t xml:space="preserve">he Provider will ensure that the CLTs establish close, formal links with professionals from other external </w:t>
            </w:r>
            <w:proofErr w:type="spellStart"/>
            <w:r w:rsidRPr="00DC3BE7">
              <w:rPr>
                <w:rFonts w:asciiTheme="minorHAnsi" w:eastAsia="Arial" w:hAnsiTheme="minorHAnsi"/>
                <w:sz w:val="22"/>
                <w:szCs w:val="22"/>
                <w:lang w:val="en-US"/>
              </w:rPr>
              <w:t>organisations</w:t>
            </w:r>
            <w:proofErr w:type="spellEnd"/>
            <w:r w:rsidRPr="00DC3BE7">
              <w:rPr>
                <w:rFonts w:asciiTheme="minorHAnsi" w:eastAsia="Arial" w:hAnsiTheme="minorHAnsi"/>
                <w:sz w:val="22"/>
                <w:szCs w:val="22"/>
                <w:lang w:val="en-US"/>
              </w:rPr>
              <w:t xml:space="preserve">, including (but not limited to): primary care, social care, public health, </w:t>
            </w:r>
            <w:r w:rsidR="00A06DD2">
              <w:rPr>
                <w:rFonts w:asciiTheme="minorHAnsi" w:eastAsia="Arial" w:hAnsiTheme="minorHAnsi"/>
                <w:sz w:val="22"/>
                <w:szCs w:val="22"/>
                <w:lang w:val="en-US"/>
              </w:rPr>
              <w:t>VCS</w:t>
            </w:r>
            <w:r w:rsidRPr="00DC3BE7">
              <w:rPr>
                <w:rFonts w:asciiTheme="minorHAnsi" w:eastAsia="Arial" w:hAnsiTheme="minorHAnsi"/>
                <w:sz w:val="22"/>
                <w:szCs w:val="22"/>
                <w:lang w:val="en-US"/>
              </w:rPr>
              <w:t xml:space="preserve">, mental health, pharmacists and the secondary sector.  CLTs will work closely alongside all of these </w:t>
            </w:r>
            <w:proofErr w:type="spellStart"/>
            <w:r w:rsidRPr="00DC3BE7">
              <w:rPr>
                <w:rFonts w:asciiTheme="minorHAnsi" w:eastAsia="Arial" w:hAnsiTheme="minorHAnsi"/>
                <w:sz w:val="22"/>
                <w:szCs w:val="22"/>
                <w:lang w:val="en-US"/>
              </w:rPr>
              <w:t>organisations</w:t>
            </w:r>
            <w:proofErr w:type="spellEnd"/>
            <w:r w:rsidRPr="00DC3BE7">
              <w:rPr>
                <w:rFonts w:asciiTheme="minorHAnsi" w:eastAsia="Arial" w:hAnsiTheme="minorHAnsi"/>
                <w:sz w:val="22"/>
                <w:szCs w:val="22"/>
                <w:lang w:val="en-US"/>
              </w:rPr>
              <w:t xml:space="preserve"> to proactively manage and respond to the health needs of the local population. Staff from the CLTs will also actively input into the ILRs</w:t>
            </w:r>
            <w:r w:rsidR="00F6110E">
              <w:rPr>
                <w:rFonts w:asciiTheme="minorHAnsi" w:eastAsia="Arial" w:hAnsiTheme="minorHAnsi"/>
                <w:sz w:val="22"/>
                <w:szCs w:val="22"/>
                <w:lang w:val="en-US"/>
              </w:rPr>
              <w:t>.</w:t>
            </w:r>
          </w:p>
          <w:p w14:paraId="5406D4EF" w14:textId="77777777" w:rsidR="00DC3BE7" w:rsidRPr="00DC3BE7" w:rsidRDefault="00DC3BE7" w:rsidP="00DC3BE7">
            <w:pPr>
              <w:widowControl w:val="0"/>
              <w:ind w:right="120"/>
              <w:jc w:val="both"/>
              <w:rPr>
                <w:rFonts w:asciiTheme="minorHAnsi" w:eastAsia="Arial" w:hAnsiTheme="minorHAnsi"/>
                <w:sz w:val="22"/>
                <w:szCs w:val="22"/>
                <w:lang w:val="en-US"/>
              </w:rPr>
            </w:pPr>
          </w:p>
          <w:p w14:paraId="14A00291" w14:textId="77777777" w:rsidR="00DC3BE7" w:rsidRPr="00F83177" w:rsidRDefault="00DC3BE7" w:rsidP="00DC3BE7">
            <w:pPr>
              <w:widowControl w:val="0"/>
              <w:ind w:right="120"/>
              <w:jc w:val="both"/>
              <w:rPr>
                <w:rFonts w:asciiTheme="minorHAnsi" w:eastAsia="Arial" w:hAnsiTheme="minorHAnsi"/>
                <w:b/>
                <w:sz w:val="22"/>
                <w:szCs w:val="22"/>
                <w:lang w:val="en-US"/>
              </w:rPr>
            </w:pPr>
            <w:r w:rsidRPr="00F83177">
              <w:rPr>
                <w:rFonts w:asciiTheme="minorHAnsi" w:eastAsia="Arial" w:hAnsiTheme="minorHAnsi"/>
                <w:b/>
                <w:sz w:val="22"/>
                <w:szCs w:val="22"/>
                <w:lang w:val="en-US"/>
              </w:rPr>
              <w:t>2.1.4 Simplifying service configuration</w:t>
            </w:r>
          </w:p>
          <w:p w14:paraId="3EBAA0A4" w14:textId="77777777" w:rsidR="00B52720" w:rsidRDefault="00DC3BE7" w:rsidP="00DC3BE7">
            <w:pPr>
              <w:widowControl w:val="0"/>
              <w:spacing w:after="20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Within the </w:t>
            </w:r>
            <w:r w:rsidR="006C64EE">
              <w:rPr>
                <w:rFonts w:asciiTheme="minorHAnsi" w:eastAsia="Arial" w:hAnsiTheme="minorHAnsi"/>
                <w:sz w:val="22"/>
                <w:szCs w:val="22"/>
                <w:lang w:val="en-US"/>
              </w:rPr>
              <w:t>new service model for a</w:t>
            </w:r>
            <w:r w:rsidRPr="00DC3BE7">
              <w:rPr>
                <w:rFonts w:asciiTheme="minorHAnsi" w:eastAsia="Arial" w:hAnsiTheme="minorHAnsi"/>
                <w:sz w:val="22"/>
                <w:szCs w:val="22"/>
                <w:lang w:val="en-US"/>
              </w:rPr>
              <w:t>dult community services</w:t>
            </w:r>
            <w:r w:rsidR="006C64EE">
              <w:rPr>
                <w:rFonts w:asciiTheme="minorHAnsi" w:eastAsia="Arial" w:hAnsiTheme="minorHAnsi"/>
                <w:sz w:val="22"/>
                <w:szCs w:val="22"/>
                <w:lang w:val="en-US"/>
              </w:rPr>
              <w:t xml:space="preserve">, </w:t>
            </w:r>
            <w:r w:rsidR="005C4FE4">
              <w:rPr>
                <w:rFonts w:asciiTheme="minorHAnsi" w:eastAsia="Arial" w:hAnsiTheme="minorHAnsi"/>
                <w:sz w:val="22"/>
                <w:szCs w:val="22"/>
                <w:lang w:val="en-US"/>
              </w:rPr>
              <w:t xml:space="preserve">the Provider </w:t>
            </w:r>
            <w:r w:rsidRPr="00DC3BE7">
              <w:rPr>
                <w:rFonts w:asciiTheme="minorHAnsi" w:eastAsia="Arial" w:hAnsiTheme="minorHAnsi"/>
                <w:sz w:val="22"/>
                <w:szCs w:val="22"/>
                <w:lang w:val="en-US"/>
              </w:rPr>
              <w:t xml:space="preserve">will </w:t>
            </w:r>
            <w:r w:rsidR="005C4FE4">
              <w:rPr>
                <w:rFonts w:asciiTheme="minorHAnsi" w:eastAsia="Arial" w:hAnsiTheme="minorHAnsi"/>
                <w:sz w:val="22"/>
                <w:szCs w:val="22"/>
                <w:lang w:val="en-US"/>
              </w:rPr>
              <w:t xml:space="preserve">establish CLTs </w:t>
            </w:r>
            <w:r w:rsidRPr="00DC3BE7">
              <w:rPr>
                <w:rFonts w:asciiTheme="minorHAnsi" w:eastAsia="Arial" w:hAnsiTheme="minorHAnsi"/>
                <w:sz w:val="22"/>
                <w:szCs w:val="22"/>
                <w:lang w:val="en-US"/>
              </w:rPr>
              <w:t xml:space="preserve">to make better use of resources. </w:t>
            </w:r>
            <w:r w:rsidR="00084EBE">
              <w:rPr>
                <w:rFonts w:asciiTheme="minorHAnsi" w:eastAsia="Arial" w:hAnsiTheme="minorHAnsi"/>
                <w:sz w:val="22"/>
                <w:szCs w:val="22"/>
                <w:lang w:val="en-US"/>
              </w:rPr>
              <w:t xml:space="preserve">The Provider </w:t>
            </w:r>
            <w:r w:rsidR="008D7AE0">
              <w:rPr>
                <w:rFonts w:asciiTheme="minorHAnsi" w:eastAsia="Arial" w:hAnsiTheme="minorHAnsi"/>
                <w:sz w:val="22"/>
                <w:szCs w:val="22"/>
                <w:lang w:val="en-US"/>
              </w:rPr>
              <w:t xml:space="preserve">must </w:t>
            </w:r>
            <w:r w:rsidR="00084EBE">
              <w:rPr>
                <w:rFonts w:asciiTheme="minorHAnsi" w:eastAsia="Arial" w:hAnsiTheme="minorHAnsi"/>
                <w:sz w:val="22"/>
                <w:szCs w:val="22"/>
                <w:lang w:val="en-US"/>
              </w:rPr>
              <w:t xml:space="preserve">move away from </w:t>
            </w:r>
            <w:r w:rsidRPr="00DC3BE7">
              <w:rPr>
                <w:rFonts w:asciiTheme="minorHAnsi" w:eastAsia="Arial" w:hAnsiTheme="minorHAnsi"/>
                <w:sz w:val="22"/>
                <w:szCs w:val="22"/>
                <w:lang w:val="en-US"/>
              </w:rPr>
              <w:t xml:space="preserve">individual services </w:t>
            </w:r>
            <w:r w:rsidR="00084EBE">
              <w:rPr>
                <w:rFonts w:asciiTheme="minorHAnsi" w:eastAsia="Arial" w:hAnsiTheme="minorHAnsi"/>
                <w:sz w:val="22"/>
                <w:szCs w:val="22"/>
                <w:lang w:val="en-US"/>
              </w:rPr>
              <w:t xml:space="preserve">being </w:t>
            </w:r>
            <w:r w:rsidRPr="00DC3BE7">
              <w:rPr>
                <w:rFonts w:asciiTheme="minorHAnsi" w:eastAsia="Arial" w:hAnsiTheme="minorHAnsi"/>
                <w:sz w:val="22"/>
                <w:szCs w:val="22"/>
                <w:lang w:val="en-US"/>
              </w:rPr>
              <w:t xml:space="preserve">delivered by a large number of separate teams and groups of professionals, which </w:t>
            </w:r>
            <w:r w:rsidR="00084EBE">
              <w:rPr>
                <w:rFonts w:asciiTheme="minorHAnsi" w:eastAsia="Arial" w:hAnsiTheme="minorHAnsi"/>
                <w:sz w:val="22"/>
                <w:szCs w:val="22"/>
                <w:lang w:val="en-US"/>
              </w:rPr>
              <w:t xml:space="preserve">can </w:t>
            </w:r>
            <w:r w:rsidRPr="00DC3BE7">
              <w:rPr>
                <w:rFonts w:asciiTheme="minorHAnsi" w:eastAsia="Arial" w:hAnsiTheme="minorHAnsi"/>
                <w:sz w:val="22"/>
                <w:szCs w:val="22"/>
                <w:lang w:val="en-US"/>
              </w:rPr>
              <w:t>le</w:t>
            </w:r>
            <w:r w:rsidR="00084EBE">
              <w:rPr>
                <w:rFonts w:asciiTheme="minorHAnsi" w:eastAsia="Arial" w:hAnsiTheme="minorHAnsi"/>
                <w:sz w:val="22"/>
                <w:szCs w:val="22"/>
                <w:lang w:val="en-US"/>
              </w:rPr>
              <w:t>a</w:t>
            </w:r>
            <w:r w:rsidRPr="00DC3BE7">
              <w:rPr>
                <w:rFonts w:asciiTheme="minorHAnsi" w:eastAsia="Arial" w:hAnsiTheme="minorHAnsi"/>
                <w:sz w:val="22"/>
                <w:szCs w:val="22"/>
                <w:lang w:val="en-US"/>
              </w:rPr>
              <w:t xml:space="preserve">d to fragmentation </w:t>
            </w:r>
            <w:r w:rsidR="00084EBE">
              <w:rPr>
                <w:rFonts w:asciiTheme="minorHAnsi" w:eastAsia="Arial" w:hAnsiTheme="minorHAnsi"/>
                <w:sz w:val="22"/>
                <w:szCs w:val="22"/>
                <w:lang w:val="en-US"/>
              </w:rPr>
              <w:t xml:space="preserve">of provision </w:t>
            </w:r>
            <w:r w:rsidRPr="00DC3BE7">
              <w:rPr>
                <w:rFonts w:asciiTheme="minorHAnsi" w:eastAsia="Arial" w:hAnsiTheme="minorHAnsi"/>
                <w:sz w:val="22"/>
                <w:szCs w:val="22"/>
                <w:lang w:val="en-US"/>
              </w:rPr>
              <w:t>and unnecessary complexity</w:t>
            </w:r>
            <w:r w:rsidR="008D7AE0">
              <w:rPr>
                <w:rFonts w:asciiTheme="minorHAnsi" w:eastAsia="Arial" w:hAnsiTheme="minorHAnsi"/>
                <w:sz w:val="22"/>
                <w:szCs w:val="22"/>
                <w:lang w:val="en-US"/>
              </w:rPr>
              <w:t xml:space="preserve">, as services </w:t>
            </w:r>
            <w:r w:rsidRPr="00DC3BE7">
              <w:rPr>
                <w:rFonts w:asciiTheme="minorHAnsi" w:eastAsia="Arial" w:hAnsiTheme="minorHAnsi"/>
                <w:sz w:val="22"/>
                <w:szCs w:val="22"/>
                <w:lang w:val="en-US"/>
              </w:rPr>
              <w:t xml:space="preserve">work in isolation with little integration or co-ordination across </w:t>
            </w:r>
            <w:proofErr w:type="spellStart"/>
            <w:r w:rsidR="00F6260F">
              <w:rPr>
                <w:rFonts w:asciiTheme="minorHAnsi" w:eastAsia="Arial" w:hAnsiTheme="minorHAnsi"/>
                <w:sz w:val="22"/>
                <w:szCs w:val="22"/>
                <w:lang w:val="en-US"/>
              </w:rPr>
              <w:t>organisational</w:t>
            </w:r>
            <w:proofErr w:type="spellEnd"/>
            <w:r w:rsidR="00F6260F">
              <w:rPr>
                <w:rFonts w:asciiTheme="minorHAnsi" w:eastAsia="Arial" w:hAnsiTheme="minorHAnsi"/>
                <w:sz w:val="22"/>
                <w:szCs w:val="22"/>
                <w:lang w:val="en-US"/>
              </w:rPr>
              <w:t xml:space="preserve"> </w:t>
            </w:r>
            <w:r w:rsidRPr="00DC3BE7">
              <w:rPr>
                <w:rFonts w:asciiTheme="minorHAnsi" w:eastAsia="Arial" w:hAnsiTheme="minorHAnsi"/>
                <w:sz w:val="22"/>
                <w:szCs w:val="22"/>
                <w:lang w:val="en-US"/>
              </w:rPr>
              <w:t xml:space="preserve">boundaries or teams. By simplifying the service configuration, it is expected there will be fewer but larger teams, </w:t>
            </w:r>
            <w:r w:rsidRPr="0057135A">
              <w:rPr>
                <w:rFonts w:asciiTheme="minorHAnsi" w:eastAsia="Arial" w:hAnsiTheme="minorHAnsi"/>
                <w:sz w:val="22"/>
                <w:szCs w:val="22"/>
                <w:lang w:val="en-US"/>
              </w:rPr>
              <w:t xml:space="preserve">providing the same range of service functions. </w:t>
            </w:r>
          </w:p>
          <w:p w14:paraId="598F4393" w14:textId="18B1803C" w:rsidR="00DC3BE7" w:rsidRPr="00DC3BE7" w:rsidRDefault="00DC3BE7" w:rsidP="00DC3BE7">
            <w:pPr>
              <w:widowControl w:val="0"/>
              <w:spacing w:after="200"/>
              <w:ind w:right="120"/>
              <w:jc w:val="both"/>
              <w:rPr>
                <w:rFonts w:asciiTheme="minorHAnsi" w:eastAsia="Arial" w:hAnsiTheme="minorHAnsi"/>
                <w:sz w:val="22"/>
                <w:szCs w:val="22"/>
                <w:lang w:val="en-US"/>
              </w:rPr>
            </w:pPr>
            <w:r w:rsidRPr="0057135A">
              <w:rPr>
                <w:rFonts w:asciiTheme="minorHAnsi" w:eastAsia="Arial" w:hAnsiTheme="minorHAnsi"/>
                <w:sz w:val="22"/>
                <w:szCs w:val="22"/>
                <w:lang w:val="en-US"/>
              </w:rPr>
              <w:t>T</w:t>
            </w:r>
            <w:r w:rsidRPr="00B52720">
              <w:rPr>
                <w:rFonts w:asciiTheme="minorHAnsi" w:eastAsia="Arial" w:hAnsiTheme="minorHAnsi"/>
                <w:sz w:val="22"/>
                <w:szCs w:val="22"/>
                <w:lang w:val="en-US"/>
              </w:rPr>
              <w:t>he move towards fewer but larger teams will help facilitate a reduction in</w:t>
            </w:r>
            <w:r w:rsidRPr="00DC3BE7">
              <w:rPr>
                <w:rFonts w:asciiTheme="minorHAnsi" w:eastAsia="Arial" w:hAnsiTheme="minorHAnsi"/>
                <w:sz w:val="22"/>
                <w:szCs w:val="22"/>
                <w:lang w:val="en-US"/>
              </w:rPr>
              <w:t xml:space="preserve"> unnecessary contacts and will improve co-ordination of care. </w:t>
            </w:r>
            <w:r w:rsidR="00170E2C">
              <w:rPr>
                <w:rFonts w:asciiTheme="minorHAnsi" w:eastAsia="Arial" w:hAnsiTheme="minorHAnsi"/>
                <w:sz w:val="22"/>
                <w:szCs w:val="22"/>
                <w:lang w:val="en-US"/>
              </w:rPr>
              <w:t>T</w:t>
            </w:r>
            <w:r w:rsidRPr="00DC3BE7">
              <w:rPr>
                <w:rFonts w:asciiTheme="minorHAnsi" w:eastAsia="Arial" w:hAnsiTheme="minorHAnsi"/>
                <w:sz w:val="22"/>
                <w:szCs w:val="22"/>
                <w:lang w:val="en-US"/>
              </w:rPr>
              <w:t>he Provider will be expected to deliver the same range of service functions within the new service configuration</w:t>
            </w:r>
            <w:r w:rsidR="00170E2C">
              <w:rPr>
                <w:rFonts w:asciiTheme="minorHAnsi" w:eastAsia="Arial" w:hAnsiTheme="minorHAnsi"/>
                <w:sz w:val="22"/>
                <w:szCs w:val="22"/>
                <w:lang w:val="en-US"/>
              </w:rPr>
              <w:t xml:space="preserve">, but will </w:t>
            </w:r>
            <w:r w:rsidR="00170E2C" w:rsidRPr="00F83177">
              <w:rPr>
                <w:rFonts w:asciiTheme="minorHAnsi" w:eastAsia="Arial" w:hAnsiTheme="minorHAnsi"/>
                <w:sz w:val="22"/>
                <w:szCs w:val="22"/>
                <w:lang w:val="en-US"/>
              </w:rPr>
              <w:t>deliver the model using an integrated and seamless ‘one team’ approach which removes traditional boundaries between individual services.</w:t>
            </w:r>
          </w:p>
          <w:p w14:paraId="68204281" w14:textId="42368C68" w:rsidR="00DC3BE7" w:rsidRPr="00DC3BE7" w:rsidRDefault="00DC3BE7" w:rsidP="00DC3BE7">
            <w:pPr>
              <w:widowControl w:val="0"/>
              <w:spacing w:after="20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In line with the Medway Model, the Provider will configure service functions </w:t>
            </w:r>
            <w:r w:rsidR="00B52720">
              <w:rPr>
                <w:rFonts w:asciiTheme="minorHAnsi" w:eastAsia="Arial" w:hAnsiTheme="minorHAnsi"/>
                <w:sz w:val="22"/>
                <w:szCs w:val="22"/>
                <w:lang w:val="en-US"/>
              </w:rPr>
              <w:t xml:space="preserve">in alignment with </w:t>
            </w:r>
            <w:r w:rsidRPr="00DC3BE7">
              <w:rPr>
                <w:rFonts w:asciiTheme="minorHAnsi" w:eastAsia="Arial" w:hAnsiTheme="minorHAnsi"/>
                <w:sz w:val="22"/>
                <w:szCs w:val="22"/>
                <w:lang w:val="en-US"/>
              </w:rPr>
              <w:t xml:space="preserve">the six localities, only </w:t>
            </w:r>
            <w:proofErr w:type="spellStart"/>
            <w:r w:rsidRPr="00DC3BE7">
              <w:rPr>
                <w:rFonts w:asciiTheme="minorHAnsi" w:eastAsia="Arial" w:hAnsiTheme="minorHAnsi"/>
                <w:sz w:val="22"/>
                <w:szCs w:val="22"/>
                <w:lang w:val="en-US"/>
              </w:rPr>
              <w:t>centralising</w:t>
            </w:r>
            <w:proofErr w:type="spellEnd"/>
            <w:r w:rsidRPr="00DC3BE7">
              <w:rPr>
                <w:rFonts w:asciiTheme="minorHAnsi" w:eastAsia="Arial" w:hAnsiTheme="minorHAnsi"/>
                <w:sz w:val="22"/>
                <w:szCs w:val="22"/>
                <w:lang w:val="en-US"/>
              </w:rPr>
              <w:t xml:space="preserve"> them if it is not clinically or financially viable to provide them at this level. To this end, the Provider will consider the learning from the NHS New Models Vanguard sites which take into account the feasibility of delivering certain service functions based on population size.</w:t>
            </w:r>
          </w:p>
          <w:p w14:paraId="38A4427A" w14:textId="77777777" w:rsidR="00DC3BE7" w:rsidRPr="00F83177" w:rsidRDefault="00DC3BE7" w:rsidP="00DC3BE7">
            <w:pPr>
              <w:widowControl w:val="0"/>
              <w:ind w:right="120"/>
              <w:jc w:val="both"/>
              <w:rPr>
                <w:rFonts w:asciiTheme="minorHAnsi" w:eastAsia="Arial" w:hAnsiTheme="minorHAnsi"/>
                <w:b/>
                <w:sz w:val="22"/>
                <w:szCs w:val="22"/>
                <w:lang w:val="en-US"/>
              </w:rPr>
            </w:pPr>
            <w:r w:rsidRPr="00F83177">
              <w:rPr>
                <w:rFonts w:asciiTheme="minorHAnsi" w:eastAsia="Arial" w:hAnsiTheme="minorHAnsi"/>
                <w:b/>
                <w:sz w:val="22"/>
                <w:szCs w:val="22"/>
                <w:lang w:val="en-US"/>
              </w:rPr>
              <w:lastRenderedPageBreak/>
              <w:t>2.1.5 Arranging services into three tiers</w:t>
            </w:r>
          </w:p>
          <w:p w14:paraId="10972694" w14:textId="0FA57A34" w:rsidR="00DC3BE7" w:rsidRPr="00DC3BE7" w:rsidRDefault="00DC3BE7" w:rsidP="00DC3BE7">
            <w:pPr>
              <w:ind w:right="120"/>
              <w:jc w:val="both"/>
              <w:rPr>
                <w:rFonts w:asciiTheme="minorHAnsi" w:eastAsia="Calibri" w:hAnsiTheme="minorHAnsi" w:cs="Arial"/>
                <w:sz w:val="22"/>
                <w:szCs w:val="22"/>
              </w:rPr>
            </w:pPr>
            <w:r w:rsidRPr="00DC3BE7">
              <w:rPr>
                <w:rFonts w:asciiTheme="minorHAnsi" w:eastAsia="Arial" w:hAnsiTheme="minorHAnsi"/>
                <w:sz w:val="22"/>
                <w:szCs w:val="22"/>
                <w:lang w:val="en-US"/>
              </w:rPr>
              <w:t xml:space="preserve">As part of the procurement process the </w:t>
            </w:r>
            <w:r w:rsidRPr="00DC3BE7">
              <w:rPr>
                <w:rFonts w:asciiTheme="minorHAnsi" w:eastAsia="Calibri" w:hAnsiTheme="minorHAnsi" w:cs="Arial"/>
                <w:sz w:val="22"/>
                <w:szCs w:val="22"/>
              </w:rPr>
              <w:t xml:space="preserve">Commissioner will work with potential Providers to fully determine the final configuration of service functions based on the needs of each area.  </w:t>
            </w:r>
            <w:r w:rsidR="00E5162F" w:rsidRPr="00F83177">
              <w:rPr>
                <w:rFonts w:asciiTheme="minorHAnsi" w:eastAsia="Calibri" w:hAnsiTheme="minorHAnsi" w:cs="Arial"/>
                <w:sz w:val="22"/>
                <w:szCs w:val="22"/>
              </w:rPr>
              <w:t xml:space="preserve">The Provider will match capacity with expected levels of demand </w:t>
            </w:r>
            <w:r w:rsidR="0093257C" w:rsidRPr="00F83177">
              <w:rPr>
                <w:rFonts w:asciiTheme="minorHAnsi" w:eastAsia="Calibri" w:hAnsiTheme="minorHAnsi" w:cs="Arial"/>
                <w:sz w:val="22"/>
                <w:szCs w:val="22"/>
              </w:rPr>
              <w:t xml:space="preserve">across all service </w:t>
            </w:r>
            <w:r w:rsidR="004C4E7F" w:rsidRPr="00F83177">
              <w:rPr>
                <w:rFonts w:asciiTheme="minorHAnsi" w:eastAsia="Calibri" w:hAnsiTheme="minorHAnsi" w:cs="Arial"/>
                <w:sz w:val="22"/>
                <w:szCs w:val="22"/>
              </w:rPr>
              <w:t xml:space="preserve">function </w:t>
            </w:r>
            <w:r w:rsidR="0093257C" w:rsidRPr="00F83177">
              <w:rPr>
                <w:rFonts w:asciiTheme="minorHAnsi" w:eastAsia="Calibri" w:hAnsiTheme="minorHAnsi" w:cs="Arial"/>
                <w:sz w:val="22"/>
                <w:szCs w:val="22"/>
              </w:rPr>
              <w:t xml:space="preserve">areas, </w:t>
            </w:r>
            <w:r w:rsidR="00E5162F" w:rsidRPr="00F83177">
              <w:rPr>
                <w:rFonts w:asciiTheme="minorHAnsi" w:eastAsia="Calibri" w:hAnsiTheme="minorHAnsi" w:cs="Arial"/>
                <w:sz w:val="22"/>
                <w:szCs w:val="22"/>
              </w:rPr>
              <w:t xml:space="preserve">including predictable fluctuations. </w:t>
            </w:r>
            <w:r w:rsidRPr="00F83177">
              <w:rPr>
                <w:rFonts w:asciiTheme="minorHAnsi" w:eastAsia="Calibri" w:hAnsiTheme="minorHAnsi" w:cs="Arial"/>
                <w:sz w:val="22"/>
                <w:szCs w:val="22"/>
              </w:rPr>
              <w:t>Follo</w:t>
            </w:r>
            <w:r w:rsidRPr="00DC3BE7">
              <w:rPr>
                <w:rFonts w:asciiTheme="minorHAnsi" w:eastAsia="Calibri" w:hAnsiTheme="minorHAnsi" w:cs="Arial"/>
                <w:sz w:val="22"/>
                <w:szCs w:val="22"/>
              </w:rPr>
              <w:t>wing contract award, the preferred Provider will be expected to use innovative approaches to continue to respond to changes at a local level throughout the term of the contract.</w:t>
            </w:r>
          </w:p>
          <w:p w14:paraId="11AFB098" w14:textId="77777777" w:rsidR="00DC3BE7" w:rsidRPr="00DC3BE7" w:rsidRDefault="00DC3BE7" w:rsidP="00DC3BE7">
            <w:pPr>
              <w:ind w:right="120"/>
              <w:jc w:val="both"/>
              <w:rPr>
                <w:rFonts w:asciiTheme="minorHAnsi" w:eastAsia="Calibri" w:hAnsiTheme="minorHAnsi" w:cs="Arial"/>
                <w:sz w:val="22"/>
                <w:szCs w:val="22"/>
              </w:rPr>
            </w:pPr>
          </w:p>
          <w:p w14:paraId="1C166CDF" w14:textId="77777777" w:rsidR="00DC3BE7" w:rsidRPr="00DC3BE7" w:rsidRDefault="00DC3BE7" w:rsidP="001B6E49">
            <w:p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The following tiers will form the basis for the delivery of all services functions:</w:t>
            </w:r>
          </w:p>
          <w:p w14:paraId="235B5C96" w14:textId="40E9E72A" w:rsidR="00DC3BE7" w:rsidRPr="00DC3BE7" w:rsidRDefault="00DC3BE7" w:rsidP="00DC3BE7">
            <w:pPr>
              <w:numPr>
                <w:ilvl w:val="0"/>
                <w:numId w:val="13"/>
              </w:num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 xml:space="preserve">At Tier 1 are the most common service functions that support the highest number of patients. These will be provided either in the patient’s own home (including care homes) or in each of the HLCs which serve the population of each locality (between 30,000 to 50,000 people). Examples of service functions provided at this level are day to day management of long term conditions (including respiratory, cardiology and diabetes), wound therapy, phlebotomy, </w:t>
            </w:r>
            <w:proofErr w:type="gramStart"/>
            <w:r w:rsidRPr="00DC3BE7">
              <w:rPr>
                <w:rFonts w:asciiTheme="minorHAnsi" w:eastAsia="Calibri" w:hAnsiTheme="minorHAnsi" w:cs="Arial"/>
                <w:sz w:val="22"/>
                <w:szCs w:val="22"/>
              </w:rPr>
              <w:t>medication</w:t>
            </w:r>
            <w:proofErr w:type="gramEnd"/>
            <w:r w:rsidRPr="00DC3BE7">
              <w:rPr>
                <w:rFonts w:asciiTheme="minorHAnsi" w:eastAsia="Calibri" w:hAnsiTheme="minorHAnsi" w:cs="Arial"/>
                <w:sz w:val="22"/>
                <w:szCs w:val="22"/>
              </w:rPr>
              <w:t xml:space="preserve"> administration, non-bed-based end of life care, physiotherapy and occupational therapy.  These functions will be provided largely by members of the CLT within each locality.</w:t>
            </w:r>
          </w:p>
          <w:p w14:paraId="0E5376F6" w14:textId="77777777" w:rsidR="00DC3BE7" w:rsidRPr="00DC3BE7" w:rsidRDefault="00DC3BE7" w:rsidP="00DC3BE7">
            <w:pPr>
              <w:numPr>
                <w:ilvl w:val="0"/>
                <w:numId w:val="13"/>
              </w:num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 xml:space="preserve">At Tier 2 are the service functions that are not feasible to be provided frequently in every HLC, in each locality due to the level of demand or where specialist staff, equipment or clinic space is required. Instead, these will be provided to populations of between 80,000 and 100,000 across two adjacent localities, for example Gillingham or </w:t>
            </w:r>
            <w:proofErr w:type="spellStart"/>
            <w:r w:rsidRPr="00DC3BE7">
              <w:rPr>
                <w:rFonts w:asciiTheme="minorHAnsi" w:eastAsia="Calibri" w:hAnsiTheme="minorHAnsi" w:cs="Arial"/>
                <w:sz w:val="22"/>
                <w:szCs w:val="22"/>
              </w:rPr>
              <w:t>Rainham</w:t>
            </w:r>
            <w:proofErr w:type="spellEnd"/>
            <w:r w:rsidRPr="00DC3BE7">
              <w:rPr>
                <w:rFonts w:asciiTheme="minorHAnsi" w:eastAsia="Calibri" w:hAnsiTheme="minorHAnsi" w:cs="Arial"/>
                <w:sz w:val="22"/>
                <w:szCs w:val="22"/>
              </w:rPr>
              <w:t xml:space="preserve">, Chatham Central or </w:t>
            </w:r>
            <w:proofErr w:type="spellStart"/>
            <w:r w:rsidRPr="00DC3BE7">
              <w:rPr>
                <w:rFonts w:asciiTheme="minorHAnsi" w:eastAsia="Calibri" w:hAnsiTheme="minorHAnsi" w:cs="Arial"/>
                <w:sz w:val="22"/>
                <w:szCs w:val="22"/>
              </w:rPr>
              <w:t>Lordswood</w:t>
            </w:r>
            <w:proofErr w:type="spellEnd"/>
            <w:r w:rsidRPr="00DC3BE7">
              <w:rPr>
                <w:rFonts w:asciiTheme="minorHAnsi" w:eastAsia="Calibri" w:hAnsiTheme="minorHAnsi" w:cs="Arial"/>
                <w:sz w:val="22"/>
                <w:szCs w:val="22"/>
              </w:rPr>
              <w:t xml:space="preserve">, and Rochester or </w:t>
            </w:r>
            <w:proofErr w:type="spellStart"/>
            <w:r w:rsidRPr="00DC3BE7">
              <w:rPr>
                <w:rFonts w:asciiTheme="minorHAnsi" w:eastAsia="Calibri" w:hAnsiTheme="minorHAnsi" w:cs="Arial"/>
                <w:sz w:val="22"/>
                <w:szCs w:val="22"/>
              </w:rPr>
              <w:t>Strood</w:t>
            </w:r>
            <w:proofErr w:type="spellEnd"/>
            <w:r w:rsidRPr="00DC3BE7">
              <w:rPr>
                <w:rFonts w:asciiTheme="minorHAnsi" w:eastAsia="Calibri" w:hAnsiTheme="minorHAnsi" w:cs="Arial"/>
                <w:sz w:val="22"/>
                <w:szCs w:val="22"/>
              </w:rPr>
              <w:t xml:space="preserve">.  An example of service functions provided at this level includes gym-based exercise and rehabilitation and group education i.e. structured diabetes education course. </w:t>
            </w:r>
          </w:p>
          <w:p w14:paraId="33076DB9" w14:textId="77777777" w:rsidR="00DC3BE7" w:rsidRPr="00DC3BE7" w:rsidRDefault="00DC3BE7" w:rsidP="00DC3BE7">
            <w:pPr>
              <w:ind w:left="720"/>
              <w:contextualSpacing/>
              <w:rPr>
                <w:rFonts w:asciiTheme="minorHAnsi" w:eastAsia="Calibri" w:hAnsiTheme="minorHAnsi" w:cs="Arial"/>
                <w:sz w:val="22"/>
                <w:szCs w:val="22"/>
              </w:rPr>
            </w:pPr>
          </w:p>
          <w:p w14:paraId="3F091F15" w14:textId="77777777" w:rsidR="00DC3BE7" w:rsidRPr="00DC3BE7" w:rsidRDefault="00DC3BE7" w:rsidP="00DC3BE7">
            <w:pPr>
              <w:numPr>
                <w:ilvl w:val="0"/>
                <w:numId w:val="13"/>
              </w:num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 xml:space="preserve">At Tier 3, are the most specialist service </w:t>
            </w:r>
            <w:proofErr w:type="gramStart"/>
            <w:r w:rsidRPr="00DC3BE7">
              <w:rPr>
                <w:rFonts w:asciiTheme="minorHAnsi" w:eastAsia="Calibri" w:hAnsiTheme="minorHAnsi" w:cs="Arial"/>
                <w:sz w:val="22"/>
                <w:szCs w:val="22"/>
              </w:rPr>
              <w:t>functions.</w:t>
            </w:r>
            <w:proofErr w:type="gramEnd"/>
            <w:r w:rsidRPr="00DC3BE7">
              <w:rPr>
                <w:rFonts w:asciiTheme="minorHAnsi" w:eastAsia="Calibri" w:hAnsiTheme="minorHAnsi" w:cs="Arial"/>
                <w:sz w:val="22"/>
                <w:szCs w:val="22"/>
              </w:rPr>
              <w:t xml:space="preserve">  Due to the specialist nature of these service functions, it is not feasible to provide them across all six localities.  It is therefore, the responsibility of the Provider to ensure that the location of clinics is based on local demand.  This level of provision includes the most specialist adult community services where staff will hold smaller caseloads and focus on providing education and clinical support to patients as well as to the multi-skilled, generic nurses and therapists who are providing care to patients in the above tiers. Examples of service functions provided at this level include clinics with specialist nurses (i.e. continence care, tissue viability and epilepsy), hand therapy, and </w:t>
            </w:r>
            <w:proofErr w:type="spellStart"/>
            <w:r w:rsidRPr="00DC3BE7">
              <w:rPr>
                <w:rFonts w:asciiTheme="minorHAnsi" w:eastAsia="Calibri" w:hAnsiTheme="minorHAnsi" w:cs="Arial"/>
                <w:sz w:val="22"/>
                <w:szCs w:val="22"/>
              </w:rPr>
              <w:t>musculo</w:t>
            </w:r>
            <w:proofErr w:type="spellEnd"/>
            <w:r w:rsidRPr="00DC3BE7">
              <w:rPr>
                <w:rFonts w:asciiTheme="minorHAnsi" w:eastAsia="Calibri" w:hAnsiTheme="minorHAnsi" w:cs="Arial"/>
                <w:sz w:val="22"/>
                <w:szCs w:val="22"/>
              </w:rPr>
              <w:t xml:space="preserve">-skeletal services. This tier also includes the specialist palliative inpatient care provided at the Wisdom Hospice.  </w:t>
            </w:r>
          </w:p>
          <w:p w14:paraId="5BFA5067" w14:textId="77777777" w:rsidR="00DC3BE7" w:rsidRDefault="00DC3BE7" w:rsidP="00DC3BE7">
            <w:pPr>
              <w:ind w:left="720"/>
              <w:contextualSpacing/>
              <w:rPr>
                <w:rFonts w:asciiTheme="minorHAnsi" w:eastAsia="Calibri" w:hAnsiTheme="minorHAnsi" w:cs="Arial"/>
                <w:sz w:val="22"/>
                <w:szCs w:val="22"/>
              </w:rPr>
            </w:pPr>
          </w:p>
          <w:p w14:paraId="2CEB6F36" w14:textId="77777777" w:rsidR="00DC3BE7" w:rsidRPr="00DC3BE7" w:rsidRDefault="00DC3BE7" w:rsidP="00DC3BE7">
            <w:pPr>
              <w:ind w:left="360" w:right="120"/>
              <w:jc w:val="both"/>
              <w:rPr>
                <w:rFonts w:asciiTheme="minorHAnsi" w:eastAsia="Calibri" w:hAnsiTheme="minorHAnsi" w:cs="Arial"/>
                <w:sz w:val="22"/>
                <w:szCs w:val="22"/>
              </w:rPr>
            </w:pPr>
            <w:r w:rsidRPr="00DC3BE7">
              <w:rPr>
                <w:rFonts w:asciiTheme="minorHAnsi" w:eastAsia="Calibri" w:hAnsiTheme="minorHAnsi" w:cs="Arial"/>
                <w:sz w:val="22"/>
                <w:szCs w:val="22"/>
              </w:rPr>
              <w:t>Figure 1 (below) depicts the arrangement of services in the model and is described in more detail.</w:t>
            </w:r>
          </w:p>
          <w:p w14:paraId="5F1644C1" w14:textId="77777777" w:rsidR="00DC3BE7" w:rsidRPr="00DC3BE7" w:rsidRDefault="00DC3BE7" w:rsidP="00DC3BE7">
            <w:pPr>
              <w:ind w:left="360" w:right="120"/>
              <w:jc w:val="center"/>
              <w:rPr>
                <w:rFonts w:asciiTheme="minorHAnsi" w:eastAsia="Calibri" w:hAnsiTheme="minorHAnsi" w:cs="Arial"/>
                <w:sz w:val="22"/>
                <w:szCs w:val="22"/>
              </w:rPr>
            </w:pPr>
            <w:r w:rsidRPr="00DC3BE7">
              <w:rPr>
                <w:rFonts w:asciiTheme="minorHAnsi" w:eastAsia="Calibri" w:hAnsiTheme="minorHAnsi" w:cs="Arial"/>
                <w:noProof/>
                <w:sz w:val="22"/>
                <w:szCs w:val="22"/>
                <w:lang w:eastAsia="en-GB"/>
              </w:rPr>
              <w:drawing>
                <wp:inline distT="0" distB="0" distL="0" distR="0" wp14:anchorId="503ECA49" wp14:editId="13E32E03">
                  <wp:extent cx="4054418" cy="27268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TiersOfServiceImag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63291" cy="2732843"/>
                          </a:xfrm>
                          <a:prstGeom prst="rect">
                            <a:avLst/>
                          </a:prstGeom>
                        </pic:spPr>
                      </pic:pic>
                    </a:graphicData>
                  </a:graphic>
                </wp:inline>
              </w:drawing>
            </w:r>
          </w:p>
          <w:p w14:paraId="7D825FD9" w14:textId="77777777" w:rsidR="00D73346" w:rsidRDefault="00D73346" w:rsidP="00DC3BE7">
            <w:pPr>
              <w:ind w:right="120"/>
              <w:jc w:val="both"/>
              <w:rPr>
                <w:rFonts w:asciiTheme="minorHAnsi" w:eastAsia="Calibri" w:hAnsiTheme="minorHAnsi" w:cs="Arial"/>
                <w:sz w:val="22"/>
                <w:szCs w:val="22"/>
              </w:rPr>
            </w:pPr>
          </w:p>
          <w:p w14:paraId="74588DA8" w14:textId="77777777" w:rsidR="00DC3BE7" w:rsidRPr="00DC3BE7" w:rsidRDefault="00DC3BE7" w:rsidP="00DC3BE7">
            <w:p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 xml:space="preserve">As this level of service provision will be provided based on the need to see a specialist, it is likely that patients will have to travel to a HLC outside of their immediate locality to be seen.  The frequency and location of these clinics will be determined according to where the greatest need is identified.  It is expected that a much smaller </w:t>
            </w:r>
            <w:r w:rsidRPr="00DC3BE7">
              <w:rPr>
                <w:rFonts w:asciiTheme="minorHAnsi" w:eastAsia="Calibri" w:hAnsiTheme="minorHAnsi" w:cs="Arial"/>
                <w:sz w:val="22"/>
                <w:szCs w:val="22"/>
              </w:rPr>
              <w:lastRenderedPageBreak/>
              <w:t>number of patients will require specialist care. Patients who are considered to be housebound will receive these services in their own homes.</w:t>
            </w:r>
          </w:p>
          <w:p w14:paraId="043F554E" w14:textId="77777777" w:rsidR="00DC3BE7" w:rsidRPr="00DC3BE7" w:rsidRDefault="00DC3BE7" w:rsidP="00DC3BE7">
            <w:pPr>
              <w:ind w:left="360" w:right="120"/>
              <w:jc w:val="both"/>
              <w:rPr>
                <w:rFonts w:asciiTheme="minorHAnsi" w:eastAsia="Calibri" w:hAnsiTheme="minorHAnsi" w:cs="Arial"/>
                <w:sz w:val="22"/>
                <w:szCs w:val="22"/>
              </w:rPr>
            </w:pPr>
          </w:p>
          <w:p w14:paraId="61D89224" w14:textId="16E4EBA8" w:rsidR="00990D50" w:rsidRPr="00DC3BE7" w:rsidRDefault="00DC3BE7" w:rsidP="00DC3BE7">
            <w:p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Regardless of tier, the Provider will ensure that wherever possible, staff will travel to the relevant HLC to provide clinics, (to reduce travel times for patients) or be available through better use of technology, to offer support and treatment to patients in their own homes (including care homes) if they are housebound.</w:t>
            </w:r>
          </w:p>
          <w:p w14:paraId="0BA4B6D7" w14:textId="77777777" w:rsidR="00DC3BE7" w:rsidRPr="006F096D" w:rsidRDefault="00DC3BE7" w:rsidP="00DC3BE7">
            <w:pPr>
              <w:widowControl w:val="0"/>
              <w:ind w:right="120"/>
              <w:jc w:val="both"/>
              <w:rPr>
                <w:rFonts w:asciiTheme="minorHAnsi" w:eastAsia="Arial" w:hAnsiTheme="minorHAnsi"/>
                <w:b/>
                <w:sz w:val="22"/>
                <w:szCs w:val="22"/>
                <w:lang w:val="en-US"/>
              </w:rPr>
            </w:pPr>
            <w:r w:rsidRPr="006F096D">
              <w:rPr>
                <w:rFonts w:asciiTheme="minorHAnsi" w:eastAsia="Arial" w:hAnsiTheme="minorHAnsi"/>
                <w:b/>
                <w:sz w:val="22"/>
                <w:szCs w:val="22"/>
                <w:lang w:val="en-US"/>
              </w:rPr>
              <w:t>2.1.6 Changing the setting for community services</w:t>
            </w:r>
          </w:p>
          <w:p w14:paraId="4907187E" w14:textId="77777777" w:rsidR="00DC3BE7" w:rsidRPr="006F096D" w:rsidRDefault="00DC3BE7" w:rsidP="00DC3BE7">
            <w:pPr>
              <w:jc w:val="both"/>
              <w:rPr>
                <w:rFonts w:asciiTheme="minorHAnsi" w:hAnsiTheme="minorHAnsi" w:cs="Arial"/>
                <w:i/>
                <w:sz w:val="22"/>
                <w:szCs w:val="22"/>
                <w:u w:val="single"/>
              </w:rPr>
            </w:pPr>
            <w:r w:rsidRPr="006F096D">
              <w:rPr>
                <w:rFonts w:asciiTheme="minorHAnsi" w:hAnsiTheme="minorHAnsi" w:cs="Arial"/>
                <w:i/>
                <w:sz w:val="22"/>
                <w:szCs w:val="22"/>
                <w:u w:val="single"/>
              </w:rPr>
              <w:t>Home Visits</w:t>
            </w:r>
          </w:p>
          <w:p w14:paraId="30437111" w14:textId="7E8661A7" w:rsid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A fundamental aspect of the Medway Model is to deliver care in, or as close to home as possible. Historically almost half the face-face contacts relating to adult community services took place in </w:t>
            </w:r>
            <w:r w:rsidR="003E54CE">
              <w:rPr>
                <w:rFonts w:asciiTheme="minorHAnsi" w:hAnsiTheme="minorHAnsi" w:cs="Arial"/>
                <w:sz w:val="22"/>
                <w:szCs w:val="22"/>
              </w:rPr>
              <w:t xml:space="preserve">the </w:t>
            </w:r>
            <w:r w:rsidRPr="00DC3BE7">
              <w:rPr>
                <w:rFonts w:asciiTheme="minorHAnsi" w:hAnsiTheme="minorHAnsi" w:cs="Arial"/>
                <w:sz w:val="22"/>
                <w:szCs w:val="22"/>
              </w:rPr>
              <w:t xml:space="preserve">home (including care homes).  </w:t>
            </w:r>
          </w:p>
          <w:p w14:paraId="0472F13A" w14:textId="77777777" w:rsidR="001B6E49" w:rsidRPr="00DC3BE7" w:rsidRDefault="001B6E49" w:rsidP="00DC3BE7">
            <w:pPr>
              <w:jc w:val="both"/>
              <w:rPr>
                <w:rFonts w:asciiTheme="minorHAnsi" w:hAnsiTheme="minorHAnsi" w:cs="Arial"/>
                <w:sz w:val="22"/>
                <w:szCs w:val="22"/>
              </w:rPr>
            </w:pPr>
          </w:p>
          <w:p w14:paraId="34EE2BDD" w14:textId="732E103B"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The Provider must ensure that patients are seen in the most appropriate location and should flex resource where necessary in order to achieve this.  Home visits can be carried out for patients but only when they are needed and only for those who meet the clearly defined ‘housebound’ criteria</w:t>
            </w:r>
            <w:r w:rsidR="003E54CE">
              <w:rPr>
                <w:rFonts w:asciiTheme="minorHAnsi" w:hAnsiTheme="minorHAnsi" w:cs="Arial"/>
                <w:sz w:val="22"/>
                <w:szCs w:val="22"/>
              </w:rPr>
              <w:t xml:space="preserve">.  </w:t>
            </w:r>
            <w:r w:rsidR="00D1217B">
              <w:rPr>
                <w:rFonts w:asciiTheme="minorHAnsi" w:hAnsiTheme="minorHAnsi" w:cs="Arial"/>
                <w:sz w:val="22"/>
                <w:szCs w:val="22"/>
              </w:rPr>
              <w:t>Patients who are ambulatory and are able to get to a clinic</w:t>
            </w:r>
            <w:r w:rsidR="00CD5ECC">
              <w:rPr>
                <w:rFonts w:asciiTheme="minorHAnsi" w:hAnsiTheme="minorHAnsi" w:cs="Arial"/>
                <w:sz w:val="22"/>
                <w:szCs w:val="22"/>
              </w:rPr>
              <w:t>,</w:t>
            </w:r>
            <w:r w:rsidR="00D1217B">
              <w:rPr>
                <w:rFonts w:asciiTheme="minorHAnsi" w:hAnsiTheme="minorHAnsi" w:cs="Arial"/>
                <w:sz w:val="22"/>
                <w:szCs w:val="22"/>
              </w:rPr>
              <w:t xml:space="preserve"> </w:t>
            </w:r>
            <w:r w:rsidR="00412599">
              <w:rPr>
                <w:rFonts w:asciiTheme="minorHAnsi" w:hAnsiTheme="minorHAnsi" w:cs="Arial"/>
                <w:sz w:val="22"/>
                <w:szCs w:val="22"/>
              </w:rPr>
              <w:t xml:space="preserve">should be seen in a clinic location.  This position applies as </w:t>
            </w:r>
            <w:r w:rsidRPr="00DC3BE7">
              <w:rPr>
                <w:rFonts w:asciiTheme="minorHAnsi" w:hAnsiTheme="minorHAnsi" w:cs="Arial"/>
                <w:sz w:val="22"/>
                <w:szCs w:val="22"/>
              </w:rPr>
              <w:t xml:space="preserve">standard across all service functions. Patients should not be seen at home to make up for any shortfalls in clinic capacity or lack of transport. </w:t>
            </w:r>
          </w:p>
          <w:p w14:paraId="30157EC6" w14:textId="77777777" w:rsidR="00DC3BE7" w:rsidRPr="00DC3BE7" w:rsidRDefault="00DC3BE7" w:rsidP="00DC3BE7">
            <w:pPr>
              <w:jc w:val="both"/>
              <w:rPr>
                <w:rFonts w:asciiTheme="minorHAnsi" w:hAnsiTheme="minorHAnsi" w:cs="Arial"/>
                <w:sz w:val="22"/>
                <w:szCs w:val="22"/>
              </w:rPr>
            </w:pPr>
          </w:p>
          <w:p w14:paraId="43AD4254"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The term ‘housebound’ means that a patient is physically unable due to illness or surgery to leave their home. A patient’s ‘housebound’ status can vary over time, and the definitions listed in the glossary of terms reflect these different situations. </w:t>
            </w:r>
          </w:p>
          <w:p w14:paraId="68D66688" w14:textId="77777777" w:rsidR="00DC3BE7" w:rsidRPr="00DC3BE7" w:rsidRDefault="00DC3BE7" w:rsidP="00DC3BE7">
            <w:pPr>
              <w:jc w:val="both"/>
              <w:rPr>
                <w:rFonts w:asciiTheme="minorHAnsi" w:hAnsiTheme="minorHAnsi" w:cstheme="minorHAnsi"/>
                <w:sz w:val="22"/>
                <w:szCs w:val="22"/>
              </w:rPr>
            </w:pPr>
          </w:p>
          <w:p w14:paraId="04285D54"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Each patient’s eligibility for a home visit will be individually determined by the Provider (based on the definitions in the glossary of terms) and patients assessed as not meeting the housebound criteria will be expected to attend a clinic in the community.  Individual circumstances will be monitored and if the patient’s needs have changed, the patient’s housebound status will be reviewed.</w:t>
            </w:r>
          </w:p>
          <w:p w14:paraId="1B9124E7" w14:textId="77777777" w:rsidR="00DC3BE7" w:rsidRPr="00DC3BE7" w:rsidRDefault="00DC3BE7" w:rsidP="00DC3BE7">
            <w:pPr>
              <w:jc w:val="both"/>
              <w:rPr>
                <w:rFonts w:asciiTheme="minorHAnsi" w:eastAsia="Calibri" w:hAnsiTheme="minorHAnsi"/>
                <w:color w:val="000000" w:themeColor="text1"/>
                <w:sz w:val="22"/>
                <w:szCs w:val="22"/>
              </w:rPr>
            </w:pPr>
          </w:p>
          <w:p w14:paraId="2A416D0A" w14:textId="77777777" w:rsidR="00DC3BE7" w:rsidRPr="00DC3BE7" w:rsidRDefault="00DC3BE7" w:rsidP="00DC3BE7">
            <w:pPr>
              <w:jc w:val="both"/>
              <w:rPr>
                <w:rFonts w:asciiTheme="minorHAnsi" w:eastAsia="Calibri" w:hAnsiTheme="minorHAnsi"/>
                <w:color w:val="000000" w:themeColor="text1"/>
                <w:sz w:val="22"/>
                <w:szCs w:val="22"/>
              </w:rPr>
            </w:pPr>
            <w:r w:rsidRPr="00DC3BE7">
              <w:rPr>
                <w:rFonts w:asciiTheme="minorHAnsi" w:eastAsia="Calibri" w:hAnsiTheme="minorHAnsi"/>
                <w:color w:val="000000" w:themeColor="text1"/>
                <w:sz w:val="22"/>
                <w:szCs w:val="22"/>
              </w:rPr>
              <w:t xml:space="preserve">The Provider must ensure that all staff </w:t>
            </w:r>
            <w:proofErr w:type="gramStart"/>
            <w:r w:rsidRPr="00DC3BE7">
              <w:rPr>
                <w:rFonts w:asciiTheme="minorHAnsi" w:eastAsia="Calibri" w:hAnsiTheme="minorHAnsi"/>
                <w:color w:val="000000" w:themeColor="text1"/>
                <w:sz w:val="22"/>
                <w:szCs w:val="22"/>
              </w:rPr>
              <w:t>are</w:t>
            </w:r>
            <w:proofErr w:type="gramEnd"/>
            <w:r w:rsidRPr="00DC3BE7">
              <w:rPr>
                <w:rFonts w:asciiTheme="minorHAnsi" w:eastAsia="Calibri" w:hAnsiTheme="minorHAnsi"/>
                <w:color w:val="000000" w:themeColor="text1"/>
                <w:sz w:val="22"/>
                <w:szCs w:val="22"/>
              </w:rPr>
              <w:t xml:space="preserve"> adequately trained to understand and adhere to the housebound definitions when triaging patients, to ensure they receive care in the right location.</w:t>
            </w:r>
          </w:p>
          <w:p w14:paraId="2B00D82C" w14:textId="77777777" w:rsidR="00DC3BE7" w:rsidRPr="00DC3BE7" w:rsidRDefault="00DC3BE7" w:rsidP="00DC3BE7">
            <w:pPr>
              <w:jc w:val="both"/>
              <w:rPr>
                <w:rFonts w:asciiTheme="minorHAnsi" w:eastAsia="Calibri" w:hAnsiTheme="minorHAnsi"/>
                <w:color w:val="000000" w:themeColor="text1"/>
                <w:sz w:val="22"/>
                <w:szCs w:val="22"/>
              </w:rPr>
            </w:pPr>
          </w:p>
          <w:p w14:paraId="5A71EB05" w14:textId="36CC67BD" w:rsidR="00DC3BE7" w:rsidRPr="00DC3BE7" w:rsidRDefault="00DC3BE7" w:rsidP="00DC3BE7">
            <w:pPr>
              <w:jc w:val="both"/>
              <w:rPr>
                <w:rFonts w:asciiTheme="minorHAnsi" w:eastAsiaTheme="minorHAnsi" w:hAnsiTheme="minorHAnsi" w:cs="Arial"/>
                <w:sz w:val="22"/>
                <w:szCs w:val="22"/>
              </w:rPr>
            </w:pPr>
            <w:r w:rsidRPr="00DC3BE7">
              <w:rPr>
                <w:rFonts w:asciiTheme="minorHAnsi" w:eastAsia="Calibri" w:hAnsiTheme="minorHAnsi" w:cstheme="minorBidi"/>
                <w:sz w:val="22"/>
                <w:szCs w:val="22"/>
              </w:rPr>
              <w:t xml:space="preserve">The Provider will configure service functions to minimise unnecessary contacts, following the </w:t>
            </w:r>
            <w:r w:rsidR="004C624B">
              <w:rPr>
                <w:rFonts w:asciiTheme="minorHAnsi" w:eastAsia="Calibri" w:hAnsiTheme="minorHAnsi" w:cstheme="minorBidi"/>
                <w:sz w:val="22"/>
                <w:szCs w:val="22"/>
              </w:rPr>
              <w:t xml:space="preserve">MECC </w:t>
            </w:r>
            <w:r w:rsidRPr="00DC3BE7">
              <w:rPr>
                <w:rFonts w:asciiTheme="minorHAnsi" w:eastAsia="Calibri" w:hAnsiTheme="minorHAnsi" w:cstheme="minorBidi"/>
                <w:sz w:val="22"/>
                <w:szCs w:val="22"/>
              </w:rPr>
              <w:t>principles.</w:t>
            </w:r>
            <w:r w:rsidRPr="00DC3BE7">
              <w:rPr>
                <w:rFonts w:asciiTheme="minorHAnsi" w:eastAsiaTheme="minorHAnsi" w:hAnsiTheme="minorHAnsi" w:cs="Arial"/>
                <w:sz w:val="22"/>
                <w:szCs w:val="22"/>
              </w:rPr>
              <w:t xml:space="preserve"> The Provider will, therefore, have a co</w:t>
            </w:r>
            <w:r w:rsidR="00F82328">
              <w:rPr>
                <w:rFonts w:asciiTheme="minorHAnsi" w:eastAsiaTheme="minorHAnsi" w:hAnsiTheme="minorHAnsi" w:cs="Arial"/>
                <w:sz w:val="22"/>
                <w:szCs w:val="22"/>
              </w:rPr>
              <w:t>-</w:t>
            </w:r>
            <w:r w:rsidRPr="00DC3BE7">
              <w:rPr>
                <w:rFonts w:asciiTheme="minorHAnsi" w:eastAsiaTheme="minorHAnsi" w:hAnsiTheme="minorHAnsi" w:cs="Arial"/>
                <w:sz w:val="22"/>
                <w:szCs w:val="22"/>
              </w:rPr>
              <w:t>ordinated approach to booking home visits (see central co-ordination function below) ensuring that multiple visits from different professionals are minimised. The Provider will offer patients who are eligible for home visits, set time slots so that they know when professionals are due to visit.</w:t>
            </w:r>
          </w:p>
          <w:p w14:paraId="5F521341" w14:textId="77777777" w:rsidR="00DC3BE7" w:rsidRPr="00DC3BE7" w:rsidRDefault="00DC3BE7" w:rsidP="00DC3BE7">
            <w:pPr>
              <w:jc w:val="both"/>
              <w:rPr>
                <w:rFonts w:asciiTheme="minorHAnsi" w:hAnsiTheme="minorHAnsi" w:cs="Arial"/>
                <w:sz w:val="22"/>
                <w:szCs w:val="22"/>
              </w:rPr>
            </w:pPr>
          </w:p>
          <w:p w14:paraId="6AB988CA" w14:textId="77777777" w:rsidR="00DC3BE7" w:rsidRPr="006F096D" w:rsidRDefault="00DC3BE7" w:rsidP="00DC3BE7">
            <w:pPr>
              <w:jc w:val="both"/>
              <w:rPr>
                <w:rFonts w:asciiTheme="minorHAnsi" w:hAnsiTheme="minorHAnsi" w:cs="Arial"/>
                <w:i/>
                <w:sz w:val="22"/>
                <w:szCs w:val="22"/>
                <w:u w:val="single"/>
              </w:rPr>
            </w:pPr>
            <w:r w:rsidRPr="006F096D">
              <w:rPr>
                <w:rFonts w:asciiTheme="minorHAnsi" w:hAnsiTheme="minorHAnsi" w:cs="Arial"/>
                <w:i/>
                <w:sz w:val="22"/>
                <w:szCs w:val="22"/>
                <w:u w:val="single"/>
              </w:rPr>
              <w:t>Contacts in the Community</w:t>
            </w:r>
          </w:p>
          <w:p w14:paraId="6AC1A7F7"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For the remaining face to face contacts, that are provided in community settings, the Provider will ensure that wherever possible care will be provided closer to home by moving clinic contacts to the appropriate locality, based on local need.  </w:t>
            </w:r>
          </w:p>
          <w:p w14:paraId="22558EDE" w14:textId="77777777" w:rsidR="00DC3BE7" w:rsidRPr="00DC3BE7" w:rsidRDefault="00DC3BE7" w:rsidP="00DC3BE7">
            <w:pPr>
              <w:jc w:val="both"/>
              <w:rPr>
                <w:rFonts w:asciiTheme="minorHAnsi" w:hAnsiTheme="minorHAnsi" w:cs="Arial"/>
                <w:sz w:val="22"/>
                <w:szCs w:val="22"/>
              </w:rPr>
            </w:pPr>
          </w:p>
          <w:p w14:paraId="47568FD9"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Currently, around 50% of contacts are provided in a setting that is outside of the locality in which patients live, and often results in patient’s having to travel to another locality to receive treatment.  In line with the tier structure outlined above, the Provider will ensure equitable access to services across each of the six localities to meet local demand, which will help to reduce travel times for patients.  </w:t>
            </w:r>
          </w:p>
          <w:p w14:paraId="5ED95052" w14:textId="77777777" w:rsidR="00DC3BE7" w:rsidRPr="00DC3BE7" w:rsidRDefault="00DC3BE7" w:rsidP="00DC3BE7">
            <w:pPr>
              <w:jc w:val="both"/>
              <w:rPr>
                <w:rFonts w:asciiTheme="minorHAnsi" w:hAnsiTheme="minorHAnsi" w:cs="Arial"/>
                <w:sz w:val="22"/>
                <w:szCs w:val="22"/>
              </w:rPr>
            </w:pPr>
          </w:p>
          <w:p w14:paraId="51EB477C"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Patient Transport Services (PTS) are co-commissioned across the whole of Kent and Medway and sit outside the scope of adult community services. However, the Provider will be expected to link with the PTS service so that patients understand how the service operates and to ensure that adult community services are well served by it. In addition, the Provider will work with the local VCS organisations that operate volunteer-delivered transport services, to facilitate access to these services where appropriate, for example, if patients fall outside the PTS eligibility criteria.  By working with both PTS and volunteer-delivered transport services, the Provider will be able to maximise clinic access and embed the housebound criteria by ensuring patients receive care in the right </w:t>
            </w:r>
            <w:r w:rsidRPr="00DC3BE7">
              <w:rPr>
                <w:rFonts w:asciiTheme="minorHAnsi" w:hAnsiTheme="minorHAnsi" w:cs="Arial"/>
                <w:sz w:val="22"/>
                <w:szCs w:val="22"/>
              </w:rPr>
              <w:lastRenderedPageBreak/>
              <w:t>location.</w:t>
            </w:r>
          </w:p>
          <w:p w14:paraId="4A2236E3" w14:textId="77777777" w:rsidR="00DC3BE7" w:rsidRPr="00DC3BE7" w:rsidRDefault="00DC3BE7" w:rsidP="00DC3BE7">
            <w:pPr>
              <w:jc w:val="both"/>
              <w:rPr>
                <w:rFonts w:asciiTheme="minorHAnsi" w:hAnsiTheme="minorHAnsi" w:cs="Arial"/>
                <w:sz w:val="22"/>
                <w:szCs w:val="22"/>
              </w:rPr>
            </w:pPr>
          </w:p>
          <w:p w14:paraId="1DA09050"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Whilst enhancing equality of service provision across localities and reduced travel times, the Provider must also ensure that patient choice is maintained.  Where it is more convenient for a patient to be seen outside of their locality due to work commitments, patient choice or preferred location will preside, and choice will not be limited, for example for phlebotomy or wound clinics.</w:t>
            </w:r>
          </w:p>
          <w:p w14:paraId="33CD0B7B" w14:textId="77777777" w:rsidR="00DC3BE7" w:rsidRPr="00DC3BE7" w:rsidRDefault="00DC3BE7" w:rsidP="00DC3BE7">
            <w:pPr>
              <w:widowControl w:val="0"/>
              <w:ind w:right="120"/>
              <w:jc w:val="both"/>
              <w:rPr>
                <w:rFonts w:asciiTheme="minorHAnsi" w:eastAsia="Arial" w:hAnsiTheme="minorHAnsi"/>
                <w:sz w:val="22"/>
                <w:szCs w:val="22"/>
                <w:u w:val="single"/>
                <w:lang w:val="en-US"/>
              </w:rPr>
            </w:pPr>
          </w:p>
          <w:p w14:paraId="5C3E2CEC" w14:textId="77777777" w:rsidR="00DC3BE7" w:rsidRPr="00CD5ECC" w:rsidRDefault="00DC3BE7" w:rsidP="00DC3BE7">
            <w:pPr>
              <w:widowControl w:val="0"/>
              <w:ind w:right="120"/>
              <w:jc w:val="both"/>
              <w:rPr>
                <w:rFonts w:asciiTheme="minorHAnsi" w:eastAsia="Arial" w:hAnsiTheme="minorHAnsi"/>
                <w:b/>
                <w:sz w:val="22"/>
                <w:szCs w:val="22"/>
                <w:lang w:val="en-US"/>
              </w:rPr>
            </w:pPr>
            <w:r w:rsidRPr="00CD5ECC">
              <w:rPr>
                <w:rFonts w:asciiTheme="minorHAnsi" w:eastAsia="Arial" w:hAnsiTheme="minorHAnsi"/>
                <w:b/>
                <w:sz w:val="22"/>
                <w:szCs w:val="22"/>
                <w:lang w:val="en-US"/>
              </w:rPr>
              <w:t>2.1.7 Realignment of hospital activity to the community</w:t>
            </w:r>
          </w:p>
          <w:p w14:paraId="584E3F43" w14:textId="605DDA22" w:rsidR="00DC3BE7" w:rsidRDefault="00DC3BE7" w:rsidP="00DC3BE7">
            <w:pPr>
              <w:widowControl w:val="0"/>
              <w:ind w:right="120"/>
              <w:jc w:val="both"/>
              <w:rPr>
                <w:rFonts w:asciiTheme="minorHAnsi" w:eastAsia="Arial" w:hAnsiTheme="minorHAnsi"/>
                <w:sz w:val="22"/>
                <w:szCs w:val="22"/>
                <w:lang w:val="en-US"/>
              </w:rPr>
            </w:pPr>
            <w:r w:rsidRPr="00E30DB5">
              <w:rPr>
                <w:rFonts w:asciiTheme="minorHAnsi" w:eastAsia="Arial" w:hAnsiTheme="minorHAnsi"/>
                <w:sz w:val="22"/>
                <w:szCs w:val="22"/>
                <w:lang w:val="en-US"/>
              </w:rPr>
              <w:t xml:space="preserve">In line with national and local strategy, the </w:t>
            </w:r>
            <w:r w:rsidR="0080583A" w:rsidRPr="00521F73">
              <w:rPr>
                <w:rFonts w:asciiTheme="minorHAnsi" w:eastAsia="Arial" w:hAnsiTheme="minorHAnsi"/>
                <w:sz w:val="22"/>
                <w:szCs w:val="22"/>
                <w:lang w:val="en-US"/>
              </w:rPr>
              <w:t xml:space="preserve">new service model for </w:t>
            </w:r>
            <w:r w:rsidRPr="00521F73">
              <w:rPr>
                <w:rFonts w:asciiTheme="minorHAnsi" w:eastAsia="Arial" w:hAnsiTheme="minorHAnsi"/>
                <w:sz w:val="22"/>
                <w:szCs w:val="22"/>
                <w:lang w:val="en-US"/>
              </w:rPr>
              <w:t>adult community services will help to reduce pressure on secondary care by supporting the realignment of resources across the local system from the hospital into primary and community services</w:t>
            </w:r>
            <w:r w:rsidRPr="00A84962">
              <w:rPr>
                <w:rFonts w:asciiTheme="minorHAnsi" w:eastAsia="Arial" w:hAnsiTheme="minorHAnsi"/>
                <w:sz w:val="22"/>
                <w:szCs w:val="22"/>
                <w:lang w:val="en-US"/>
              </w:rPr>
              <w:t>.  In order to enable the realignment of hospital activity into the community, greater support and resilience is required in the community.  The Provider will proactively work with Medway NHS Foundation Trust (MFT) to create stronger links between communit</w:t>
            </w:r>
            <w:r w:rsidRPr="00301FB4">
              <w:rPr>
                <w:rFonts w:asciiTheme="minorHAnsi" w:eastAsia="Arial" w:hAnsiTheme="minorHAnsi"/>
                <w:sz w:val="22"/>
                <w:szCs w:val="22"/>
                <w:lang w:val="en-US"/>
              </w:rPr>
              <w:t>y services and secondary care; working together to develop proactive in-reach and out-reach.</w:t>
            </w:r>
            <w:r w:rsidRPr="00DC3BE7">
              <w:rPr>
                <w:rFonts w:asciiTheme="minorHAnsi" w:eastAsia="Arial" w:hAnsiTheme="minorHAnsi"/>
                <w:sz w:val="22"/>
                <w:szCs w:val="22"/>
                <w:lang w:val="en-US"/>
              </w:rPr>
              <w:t xml:space="preserve">   </w:t>
            </w:r>
          </w:p>
          <w:p w14:paraId="41A8F263" w14:textId="77777777" w:rsidR="00532B59" w:rsidRPr="00DC3BE7" w:rsidRDefault="00532B59" w:rsidP="00DC3BE7">
            <w:pPr>
              <w:widowControl w:val="0"/>
              <w:ind w:right="120"/>
              <w:jc w:val="both"/>
              <w:rPr>
                <w:rFonts w:asciiTheme="minorHAnsi" w:eastAsia="Arial" w:hAnsiTheme="minorHAnsi"/>
                <w:sz w:val="22"/>
                <w:szCs w:val="22"/>
                <w:lang w:val="en-US"/>
              </w:rPr>
            </w:pPr>
          </w:p>
          <w:p w14:paraId="73E4193B" w14:textId="77777777" w:rsidR="00DC3BE7" w:rsidRPr="00CD5ECC" w:rsidRDefault="00DC3BE7" w:rsidP="00DC3BE7">
            <w:pPr>
              <w:widowControl w:val="0"/>
              <w:ind w:right="120"/>
              <w:jc w:val="both"/>
              <w:rPr>
                <w:rFonts w:asciiTheme="minorHAnsi" w:eastAsia="Arial" w:hAnsiTheme="minorHAnsi"/>
                <w:b/>
                <w:sz w:val="22"/>
                <w:szCs w:val="22"/>
                <w:lang w:val="en-US"/>
              </w:rPr>
            </w:pPr>
            <w:r w:rsidRPr="00CD5ECC">
              <w:rPr>
                <w:rFonts w:asciiTheme="minorHAnsi" w:eastAsia="Arial" w:hAnsiTheme="minorHAnsi"/>
                <w:b/>
                <w:sz w:val="22"/>
                <w:szCs w:val="22"/>
                <w:lang w:val="en-US"/>
              </w:rPr>
              <w:t>2.1.8 Location of estates</w:t>
            </w:r>
          </w:p>
          <w:p w14:paraId="10A8F51B" w14:textId="5D399F94" w:rsidR="00DC3BE7" w:rsidRPr="00DC3BE7" w:rsidRDefault="00DC3BE7" w:rsidP="00DC3BE7">
            <w:pPr>
              <w:jc w:val="both"/>
              <w:rPr>
                <w:rFonts w:asciiTheme="minorHAnsi" w:eastAsiaTheme="minorHAnsi" w:hAnsiTheme="minorHAnsi" w:cstheme="minorBidi"/>
                <w:sz w:val="22"/>
                <w:szCs w:val="22"/>
              </w:rPr>
            </w:pPr>
            <w:r w:rsidRPr="00DC3BE7">
              <w:rPr>
                <w:rFonts w:asciiTheme="minorHAnsi" w:hAnsiTheme="minorHAnsi" w:cs="Arial"/>
                <w:sz w:val="22"/>
                <w:szCs w:val="22"/>
              </w:rPr>
              <w:t xml:space="preserve">The development of the HLCs is fundamental to the Medway Model to ensure that the scale and configuration of space in each centre is suitable for clinical work and supporting activities. </w:t>
            </w:r>
            <w:r w:rsidRPr="00DC3BE7">
              <w:rPr>
                <w:rFonts w:asciiTheme="minorHAnsi" w:eastAsiaTheme="minorHAnsi" w:hAnsiTheme="minorHAnsi" w:cstheme="minorBidi"/>
                <w:sz w:val="22"/>
                <w:szCs w:val="22"/>
              </w:rPr>
              <w:t xml:space="preserve"> </w:t>
            </w:r>
          </w:p>
          <w:p w14:paraId="3CCFCC46" w14:textId="77777777" w:rsidR="00DC3BE7" w:rsidRPr="00DC3BE7" w:rsidRDefault="00DC3BE7" w:rsidP="00DC3BE7">
            <w:pPr>
              <w:rPr>
                <w:rFonts w:asciiTheme="minorHAnsi" w:eastAsiaTheme="minorHAnsi" w:hAnsiTheme="minorHAnsi" w:cstheme="minorBidi"/>
                <w:sz w:val="22"/>
                <w:szCs w:val="22"/>
              </w:rPr>
            </w:pPr>
          </w:p>
          <w:p w14:paraId="0ADC6D81" w14:textId="77777777" w:rsidR="00DC3BE7" w:rsidRPr="00DC3BE7" w:rsidRDefault="00DC3BE7" w:rsidP="00DC3BE7">
            <w:pPr>
              <w:rPr>
                <w:rFonts w:asciiTheme="minorHAnsi" w:hAnsiTheme="minorHAnsi"/>
                <w:sz w:val="22"/>
                <w:szCs w:val="22"/>
              </w:rPr>
            </w:pPr>
            <w:r w:rsidRPr="00DC3BE7">
              <w:rPr>
                <w:rFonts w:asciiTheme="minorHAnsi" w:eastAsiaTheme="minorHAnsi" w:hAnsiTheme="minorHAnsi" w:cstheme="minorBidi"/>
                <w:sz w:val="22"/>
                <w:szCs w:val="22"/>
              </w:rPr>
              <w:t>Currently there are still a number of clinics and face to face activity provided outside of the HLCs, in alternative community settings and space within the HLCs is not fully utilised.  In line with the developing estates strategy and the Medway Model,</w:t>
            </w:r>
            <w:r w:rsidRPr="00DC3BE7">
              <w:rPr>
                <w:rFonts w:asciiTheme="minorHAnsi" w:hAnsiTheme="minorHAnsi"/>
                <w:sz w:val="22"/>
                <w:szCs w:val="22"/>
              </w:rPr>
              <w:t xml:space="preserve"> the Provider will be expected to locate clinics and other patient-facing services in the HLCs, </w:t>
            </w:r>
            <w:r w:rsidRPr="00DC3BE7">
              <w:rPr>
                <w:rFonts w:asciiTheme="minorHAnsi" w:hAnsiTheme="minorHAnsi" w:cs="Arial"/>
                <w:sz w:val="22"/>
                <w:szCs w:val="22"/>
              </w:rPr>
              <w:t xml:space="preserve">unless agreement has been sought from the Commissioner to provide the services from alternative sites. The Provider will be required </w:t>
            </w:r>
            <w:r w:rsidRPr="00DC3BE7">
              <w:rPr>
                <w:rFonts w:asciiTheme="minorHAnsi" w:hAnsiTheme="minorHAnsi"/>
                <w:sz w:val="22"/>
                <w:szCs w:val="22"/>
              </w:rPr>
              <w:t xml:space="preserve">to maximise the current estates, making best use of the space and resources available. </w:t>
            </w:r>
          </w:p>
          <w:p w14:paraId="456199B2" w14:textId="77777777" w:rsidR="00DC3BE7" w:rsidRPr="00DC3BE7" w:rsidRDefault="00DC3BE7" w:rsidP="00DC3BE7">
            <w:pPr>
              <w:rPr>
                <w:rFonts w:asciiTheme="minorHAnsi" w:hAnsiTheme="minorHAnsi"/>
                <w:sz w:val="22"/>
                <w:szCs w:val="22"/>
              </w:rPr>
            </w:pPr>
          </w:p>
          <w:p w14:paraId="4C522578" w14:textId="561A14F5" w:rsidR="00DC3BE7" w:rsidRDefault="00532B59" w:rsidP="00DC3BE7">
            <w:pPr>
              <w:ind w:right="120"/>
              <w:jc w:val="both"/>
              <w:rPr>
                <w:rFonts w:asciiTheme="minorHAnsi" w:hAnsiTheme="minorHAnsi" w:cs="Arial"/>
                <w:sz w:val="22"/>
                <w:szCs w:val="22"/>
              </w:rPr>
            </w:pPr>
            <w:r>
              <w:rPr>
                <w:rFonts w:asciiTheme="minorHAnsi" w:hAnsiTheme="minorHAnsi" w:cs="Arial"/>
                <w:sz w:val="22"/>
                <w:szCs w:val="22"/>
              </w:rPr>
              <w:t>T</w:t>
            </w:r>
            <w:r w:rsidR="00DC3BE7" w:rsidRPr="00DC3BE7">
              <w:rPr>
                <w:rFonts w:asciiTheme="minorHAnsi" w:hAnsiTheme="minorHAnsi" w:cs="Arial"/>
                <w:sz w:val="22"/>
                <w:szCs w:val="22"/>
              </w:rPr>
              <w:t xml:space="preserve">here are plans to build new facilities in Chatham Central and </w:t>
            </w:r>
            <w:proofErr w:type="spellStart"/>
            <w:r w:rsidR="00DC3BE7" w:rsidRPr="00DC3BE7">
              <w:rPr>
                <w:rFonts w:asciiTheme="minorHAnsi" w:hAnsiTheme="minorHAnsi" w:cs="Arial"/>
                <w:sz w:val="22"/>
                <w:szCs w:val="22"/>
              </w:rPr>
              <w:t>Strood</w:t>
            </w:r>
            <w:proofErr w:type="spellEnd"/>
            <w:r w:rsidR="00DC3BE7" w:rsidRPr="00DC3BE7">
              <w:rPr>
                <w:rFonts w:asciiTheme="minorHAnsi" w:hAnsiTheme="minorHAnsi" w:cs="Arial"/>
                <w:sz w:val="22"/>
                <w:szCs w:val="22"/>
              </w:rPr>
              <w:t xml:space="preserve"> localities.  The expectation is that these two additional HLCs will be in place during 2020-21.  During this period, the Provider will be required to operate from alternative sites</w:t>
            </w:r>
            <w:r>
              <w:rPr>
                <w:rFonts w:asciiTheme="minorHAnsi" w:hAnsiTheme="minorHAnsi" w:cs="Arial"/>
                <w:sz w:val="22"/>
                <w:szCs w:val="22"/>
              </w:rPr>
              <w:t>, as specified by Commissioners,</w:t>
            </w:r>
            <w:r w:rsidR="00FF3E9B">
              <w:rPr>
                <w:rFonts w:asciiTheme="minorHAnsi" w:hAnsiTheme="minorHAnsi" w:cs="Arial"/>
                <w:sz w:val="22"/>
                <w:szCs w:val="22"/>
              </w:rPr>
              <w:t xml:space="preserve"> </w:t>
            </w:r>
            <w:r w:rsidR="00DC3BE7" w:rsidRPr="00DC3BE7">
              <w:rPr>
                <w:rFonts w:asciiTheme="minorHAnsi" w:hAnsiTheme="minorHAnsi" w:cs="Arial"/>
                <w:sz w:val="22"/>
                <w:szCs w:val="22"/>
              </w:rPr>
              <w:t xml:space="preserve">within the Chatham Central and </w:t>
            </w:r>
            <w:proofErr w:type="spellStart"/>
            <w:r w:rsidR="00DC3BE7" w:rsidRPr="00DC3BE7">
              <w:rPr>
                <w:rFonts w:asciiTheme="minorHAnsi" w:hAnsiTheme="minorHAnsi" w:cs="Arial"/>
                <w:sz w:val="22"/>
                <w:szCs w:val="22"/>
              </w:rPr>
              <w:t>Strood</w:t>
            </w:r>
            <w:proofErr w:type="spellEnd"/>
            <w:r w:rsidR="00DC3BE7" w:rsidRPr="00DC3BE7">
              <w:rPr>
                <w:rFonts w:asciiTheme="minorHAnsi" w:hAnsiTheme="minorHAnsi" w:cs="Arial"/>
                <w:sz w:val="22"/>
                <w:szCs w:val="22"/>
              </w:rPr>
              <w:t xml:space="preserve"> localities, as an interim measure until the new buildings are completed. Thereafter, the Provider will transfer services from the alternative sites into the new HLCs. </w:t>
            </w:r>
          </w:p>
          <w:p w14:paraId="7F098DE0" w14:textId="77777777" w:rsidR="00532B59" w:rsidRDefault="00532B59" w:rsidP="00DC3BE7">
            <w:pPr>
              <w:ind w:right="120"/>
              <w:jc w:val="both"/>
              <w:rPr>
                <w:rFonts w:asciiTheme="minorHAnsi" w:hAnsiTheme="minorHAnsi" w:cs="Arial"/>
                <w:sz w:val="22"/>
                <w:szCs w:val="22"/>
              </w:rPr>
            </w:pPr>
          </w:p>
          <w:p w14:paraId="2C94BA65" w14:textId="59F52DB5" w:rsidR="00532B59" w:rsidRPr="00DC3BE7" w:rsidRDefault="00532B59" w:rsidP="00DC3BE7">
            <w:pPr>
              <w:ind w:right="120"/>
              <w:jc w:val="both"/>
              <w:rPr>
                <w:rFonts w:asciiTheme="minorHAnsi" w:hAnsiTheme="minorHAnsi" w:cs="Arial"/>
                <w:sz w:val="22"/>
                <w:szCs w:val="22"/>
              </w:rPr>
            </w:pPr>
            <w:r>
              <w:rPr>
                <w:rFonts w:asciiTheme="minorHAnsi" w:hAnsiTheme="minorHAnsi" w:cs="Arial"/>
                <w:sz w:val="22"/>
                <w:szCs w:val="22"/>
              </w:rPr>
              <w:t xml:space="preserve">The Provider must seek prior approval from Commissioners to change the location of service provision. </w:t>
            </w:r>
          </w:p>
          <w:p w14:paraId="06744457" w14:textId="77777777" w:rsidR="00DC3BE7" w:rsidRPr="00DC3BE7" w:rsidRDefault="00DC3BE7" w:rsidP="00DC3BE7">
            <w:pPr>
              <w:widowControl w:val="0"/>
              <w:ind w:right="120"/>
              <w:jc w:val="both"/>
              <w:rPr>
                <w:rFonts w:asciiTheme="minorHAnsi" w:eastAsia="Arial" w:hAnsiTheme="minorHAnsi"/>
                <w:b/>
                <w:sz w:val="22"/>
                <w:szCs w:val="22"/>
                <w:lang w:val="en-US"/>
              </w:rPr>
            </w:pPr>
          </w:p>
          <w:p w14:paraId="356E659E" w14:textId="77777777" w:rsidR="00DC3BE7" w:rsidRPr="00DC3BE7" w:rsidRDefault="00DC3BE7" w:rsidP="00DC3BE7">
            <w:pPr>
              <w:widowControl w:val="0"/>
              <w:ind w:right="120"/>
              <w:jc w:val="both"/>
              <w:rPr>
                <w:rFonts w:asciiTheme="minorHAnsi" w:eastAsia="Arial" w:hAnsiTheme="minorHAnsi"/>
                <w:b/>
                <w:sz w:val="22"/>
                <w:szCs w:val="22"/>
                <w:lang w:val="en-US"/>
              </w:rPr>
            </w:pPr>
            <w:r w:rsidRPr="00DC3BE7">
              <w:rPr>
                <w:rFonts w:asciiTheme="minorHAnsi" w:eastAsia="Arial" w:hAnsiTheme="minorHAnsi"/>
                <w:b/>
                <w:sz w:val="22"/>
                <w:szCs w:val="22"/>
                <w:lang w:val="en-US"/>
              </w:rPr>
              <w:t>2.1.9 Improved Access to Services</w:t>
            </w:r>
          </w:p>
          <w:p w14:paraId="673D3816" w14:textId="33F2B04C" w:rsidR="00DC3BE7" w:rsidRPr="00DC3BE7" w:rsidRDefault="00DC3BE7" w:rsidP="00DC3BE7">
            <w:pPr>
              <w:widowControl w:val="0"/>
              <w:ind w:right="120"/>
              <w:jc w:val="both"/>
              <w:rPr>
                <w:rFonts w:asciiTheme="minorHAnsi" w:eastAsia="Arial" w:hAnsiTheme="minorHAnsi"/>
                <w:b/>
                <w:sz w:val="22"/>
                <w:szCs w:val="22"/>
                <w:lang w:val="en-US"/>
              </w:rPr>
            </w:pPr>
            <w:r w:rsidRPr="00DC3BE7">
              <w:rPr>
                <w:rFonts w:asciiTheme="minorHAnsi" w:eastAsia="Arial" w:hAnsiTheme="minorHAnsi"/>
                <w:sz w:val="22"/>
                <w:szCs w:val="22"/>
                <w:lang w:val="en-US"/>
              </w:rPr>
              <w:t xml:space="preserve">Within the </w:t>
            </w:r>
            <w:r w:rsidR="008B464D">
              <w:rPr>
                <w:rFonts w:asciiTheme="minorHAnsi" w:eastAsia="Arial" w:hAnsiTheme="minorHAnsi"/>
                <w:sz w:val="22"/>
                <w:szCs w:val="22"/>
                <w:lang w:val="en-US"/>
              </w:rPr>
              <w:t xml:space="preserve">new </w:t>
            </w:r>
            <w:r w:rsidRPr="00DC3BE7">
              <w:rPr>
                <w:rFonts w:asciiTheme="minorHAnsi" w:eastAsia="Arial" w:hAnsiTheme="minorHAnsi"/>
                <w:sz w:val="22"/>
                <w:szCs w:val="22"/>
                <w:lang w:val="en-US"/>
              </w:rPr>
              <w:t>service model for adult community services, a central co</w:t>
            </w:r>
            <w:r w:rsidR="00960807">
              <w:rPr>
                <w:rFonts w:asciiTheme="minorHAnsi" w:eastAsia="Arial" w:hAnsiTheme="minorHAnsi"/>
                <w:sz w:val="22"/>
                <w:szCs w:val="22"/>
                <w:lang w:val="en-US"/>
              </w:rPr>
              <w:t>-</w:t>
            </w:r>
            <w:r w:rsidRPr="00DC3BE7">
              <w:rPr>
                <w:rFonts w:asciiTheme="minorHAnsi" w:eastAsia="Arial" w:hAnsiTheme="minorHAnsi"/>
                <w:sz w:val="22"/>
                <w:szCs w:val="22"/>
                <w:lang w:val="en-US"/>
              </w:rPr>
              <w:t>ordination function, extended hours</w:t>
            </w:r>
            <w:r w:rsidR="00BC2C94">
              <w:rPr>
                <w:rFonts w:asciiTheme="minorHAnsi" w:eastAsia="Arial" w:hAnsiTheme="minorHAnsi"/>
                <w:sz w:val="22"/>
                <w:szCs w:val="22"/>
                <w:lang w:val="en-US"/>
              </w:rPr>
              <w:t xml:space="preserve">, </w:t>
            </w:r>
            <w:r w:rsidRPr="00DC3BE7">
              <w:rPr>
                <w:rFonts w:asciiTheme="minorHAnsi" w:eastAsia="Arial" w:hAnsiTheme="minorHAnsi"/>
                <w:sz w:val="22"/>
                <w:szCs w:val="22"/>
                <w:lang w:val="en-US"/>
              </w:rPr>
              <w:t xml:space="preserve">urgent response </w:t>
            </w:r>
            <w:r w:rsidR="00BC2C94">
              <w:rPr>
                <w:rFonts w:asciiTheme="minorHAnsi" w:eastAsia="Arial" w:hAnsiTheme="minorHAnsi"/>
                <w:sz w:val="22"/>
                <w:szCs w:val="22"/>
                <w:lang w:val="en-US"/>
              </w:rPr>
              <w:t xml:space="preserve">and improved knowledge of </w:t>
            </w:r>
            <w:r w:rsidR="00EF3FCD">
              <w:rPr>
                <w:rFonts w:asciiTheme="minorHAnsi" w:eastAsia="Arial" w:hAnsiTheme="minorHAnsi"/>
                <w:sz w:val="22"/>
                <w:szCs w:val="22"/>
                <w:lang w:val="en-US"/>
              </w:rPr>
              <w:t xml:space="preserve">wider </w:t>
            </w:r>
            <w:r w:rsidR="00BC2C94">
              <w:rPr>
                <w:rFonts w:asciiTheme="minorHAnsi" w:eastAsia="Arial" w:hAnsiTheme="minorHAnsi"/>
                <w:sz w:val="22"/>
                <w:szCs w:val="22"/>
                <w:lang w:val="en-US"/>
              </w:rPr>
              <w:t xml:space="preserve">community assets </w:t>
            </w:r>
            <w:r w:rsidRPr="00DC3BE7">
              <w:rPr>
                <w:rFonts w:asciiTheme="minorHAnsi" w:eastAsia="Arial" w:hAnsiTheme="minorHAnsi"/>
                <w:sz w:val="22"/>
                <w:szCs w:val="22"/>
                <w:lang w:val="en-US"/>
              </w:rPr>
              <w:t>are key requirements of the model.  The main features of these functions are outlined below:</w:t>
            </w:r>
          </w:p>
          <w:p w14:paraId="329D8E17" w14:textId="77777777" w:rsidR="00DC3BE7" w:rsidRPr="00DC3BE7" w:rsidRDefault="00DC3BE7" w:rsidP="00DC3BE7">
            <w:pPr>
              <w:widowControl w:val="0"/>
              <w:ind w:right="120"/>
              <w:jc w:val="both"/>
              <w:rPr>
                <w:rFonts w:asciiTheme="minorHAnsi" w:eastAsia="Arial" w:hAnsiTheme="minorHAnsi"/>
                <w:sz w:val="22"/>
                <w:szCs w:val="22"/>
                <w:u w:val="single"/>
                <w:lang w:val="en-US"/>
              </w:rPr>
            </w:pPr>
          </w:p>
          <w:p w14:paraId="6160E9FC" w14:textId="77777777" w:rsidR="00DC3BE7" w:rsidRPr="00D4709E" w:rsidRDefault="00DC3BE7" w:rsidP="00DC3BE7">
            <w:pPr>
              <w:widowControl w:val="0"/>
              <w:ind w:right="120"/>
              <w:jc w:val="both"/>
              <w:rPr>
                <w:rFonts w:asciiTheme="minorHAnsi" w:eastAsia="Arial" w:hAnsiTheme="minorHAnsi"/>
                <w:i/>
                <w:sz w:val="22"/>
                <w:szCs w:val="22"/>
                <w:u w:val="single"/>
                <w:lang w:val="en-US"/>
              </w:rPr>
            </w:pPr>
            <w:r w:rsidRPr="00D4709E">
              <w:rPr>
                <w:rFonts w:asciiTheme="minorHAnsi" w:eastAsia="Arial" w:hAnsiTheme="minorHAnsi"/>
                <w:i/>
                <w:sz w:val="22"/>
                <w:szCs w:val="22"/>
                <w:u w:val="single"/>
                <w:lang w:val="en-US"/>
              </w:rPr>
              <w:t>2.1.10 Central co-ordination function</w:t>
            </w:r>
          </w:p>
          <w:p w14:paraId="00B82895" w14:textId="77777777" w:rsidR="002B1A64"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In order to better manage appointments and improve access to service functions, the Provider will put in place a central co-ordination function that will be available to those patients that need it seven days a week, 24 hours a day. This function will be available through a range of channels and will make it easier for patients to make appointments and /or change appointment details if necessary, at any time of day.  </w:t>
            </w:r>
          </w:p>
          <w:p w14:paraId="08F2B461" w14:textId="77777777" w:rsidR="002B1A64" w:rsidRDefault="002B1A64" w:rsidP="00DC3BE7">
            <w:pPr>
              <w:jc w:val="both"/>
              <w:rPr>
                <w:rFonts w:asciiTheme="minorHAnsi" w:eastAsiaTheme="minorHAnsi" w:hAnsiTheme="minorHAnsi" w:cs="Arial"/>
                <w:sz w:val="22"/>
                <w:szCs w:val="22"/>
              </w:rPr>
            </w:pPr>
          </w:p>
          <w:p w14:paraId="5DFD5C62" w14:textId="2337AB3A" w:rsidR="00DC3BE7" w:rsidRPr="00DC3BE7" w:rsidRDefault="00933BBF" w:rsidP="00DC3BE7">
            <w:pPr>
              <w:jc w:val="both"/>
              <w:rPr>
                <w:rFonts w:asciiTheme="minorHAnsi" w:eastAsiaTheme="minorHAnsi" w:hAnsiTheme="minorHAnsi" w:cs="Arial"/>
                <w:sz w:val="22"/>
                <w:szCs w:val="22"/>
              </w:rPr>
            </w:pPr>
            <w:r>
              <w:rPr>
                <w:rFonts w:asciiTheme="minorHAnsi" w:eastAsiaTheme="minorHAnsi" w:hAnsiTheme="minorHAnsi" w:cs="Arial"/>
                <w:sz w:val="22"/>
                <w:szCs w:val="22"/>
              </w:rPr>
              <w:t>V</w:t>
            </w:r>
            <w:r w:rsidR="009500FC" w:rsidRPr="00D4709E">
              <w:rPr>
                <w:rFonts w:asciiTheme="minorHAnsi" w:eastAsiaTheme="minorHAnsi" w:hAnsiTheme="minorHAnsi" w:cs="Arial"/>
                <w:sz w:val="22"/>
                <w:szCs w:val="22"/>
              </w:rPr>
              <w:t>ia t</w:t>
            </w:r>
            <w:r w:rsidR="007A741A" w:rsidRPr="00D4709E">
              <w:rPr>
                <w:rFonts w:asciiTheme="minorHAnsi" w:eastAsiaTheme="minorHAnsi" w:hAnsiTheme="minorHAnsi" w:cs="Arial"/>
                <w:sz w:val="22"/>
                <w:szCs w:val="22"/>
              </w:rPr>
              <w:t xml:space="preserve">he </w:t>
            </w:r>
            <w:r w:rsidR="004E2CE1" w:rsidRPr="00D4709E">
              <w:rPr>
                <w:rFonts w:asciiTheme="minorHAnsi" w:eastAsiaTheme="minorHAnsi" w:hAnsiTheme="minorHAnsi" w:cs="Arial"/>
                <w:sz w:val="22"/>
                <w:szCs w:val="22"/>
              </w:rPr>
              <w:t xml:space="preserve">central co-ordination </w:t>
            </w:r>
            <w:r w:rsidR="002B1A64" w:rsidRPr="00D4709E">
              <w:rPr>
                <w:rFonts w:asciiTheme="minorHAnsi" w:eastAsiaTheme="minorHAnsi" w:hAnsiTheme="minorHAnsi" w:cs="Arial"/>
                <w:sz w:val="22"/>
                <w:szCs w:val="22"/>
              </w:rPr>
              <w:t>function</w:t>
            </w:r>
            <w:r>
              <w:rPr>
                <w:rFonts w:asciiTheme="minorHAnsi" w:eastAsiaTheme="minorHAnsi" w:hAnsiTheme="minorHAnsi" w:cs="Arial"/>
                <w:sz w:val="22"/>
                <w:szCs w:val="22"/>
              </w:rPr>
              <w:t xml:space="preserve"> patients will be able to access an urgent response to </w:t>
            </w:r>
            <w:r w:rsidR="006C0452" w:rsidRPr="00D4709E">
              <w:rPr>
                <w:rFonts w:asciiTheme="minorHAnsi" w:eastAsiaTheme="minorHAnsi" w:hAnsiTheme="minorHAnsi" w:cs="Arial"/>
                <w:sz w:val="22"/>
                <w:szCs w:val="22"/>
              </w:rPr>
              <w:t>prevent inappropriate hospital attendances and admissions</w:t>
            </w:r>
            <w:r w:rsidR="007A741A" w:rsidRPr="00D4709E">
              <w:rPr>
                <w:rFonts w:asciiTheme="minorHAnsi" w:eastAsiaTheme="minorHAnsi" w:hAnsiTheme="minorHAnsi" w:cs="Arial"/>
                <w:sz w:val="22"/>
                <w:szCs w:val="22"/>
              </w:rPr>
              <w:t>.</w:t>
            </w:r>
            <w:r w:rsidR="007A741A">
              <w:rPr>
                <w:rFonts w:asciiTheme="minorHAnsi" w:eastAsiaTheme="minorHAnsi" w:hAnsiTheme="minorHAnsi" w:cs="Arial"/>
                <w:sz w:val="22"/>
                <w:szCs w:val="22"/>
              </w:rPr>
              <w:t xml:space="preserve">  </w:t>
            </w:r>
          </w:p>
          <w:p w14:paraId="5BCE14C2" w14:textId="77777777" w:rsidR="00DC3BE7" w:rsidRPr="00DC3BE7" w:rsidRDefault="00DC3BE7" w:rsidP="00DC3BE7">
            <w:pPr>
              <w:jc w:val="both"/>
              <w:rPr>
                <w:rFonts w:asciiTheme="minorHAnsi" w:eastAsiaTheme="minorHAnsi" w:hAnsiTheme="minorHAnsi" w:cs="Arial"/>
                <w:sz w:val="22"/>
                <w:szCs w:val="22"/>
              </w:rPr>
            </w:pPr>
          </w:p>
          <w:p w14:paraId="0BFF4BAB"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Commissioner will not prescribe how the central co-ordination function is designed but the Provider should follow the key principles outlined below to enable patients to obtain the correct support through a single telephone number and /or an email address.  </w:t>
            </w:r>
          </w:p>
          <w:p w14:paraId="5C0695E4" w14:textId="77777777" w:rsidR="00DC3BE7" w:rsidRPr="00DC3BE7" w:rsidRDefault="00DC3BE7" w:rsidP="00DC3BE7">
            <w:pPr>
              <w:jc w:val="both"/>
              <w:rPr>
                <w:rFonts w:asciiTheme="minorHAnsi" w:eastAsiaTheme="minorHAnsi" w:hAnsiTheme="minorHAnsi" w:cs="Arial"/>
                <w:sz w:val="22"/>
                <w:szCs w:val="22"/>
              </w:rPr>
            </w:pPr>
          </w:p>
          <w:p w14:paraId="03B14391" w14:textId="17F2CBE5"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central co-ordination function will be staffed by individuals, who will have detailed knowledge of all service </w:t>
            </w:r>
            <w:r w:rsidRPr="00DC3BE7">
              <w:rPr>
                <w:rFonts w:asciiTheme="minorHAnsi" w:eastAsiaTheme="minorHAnsi" w:hAnsiTheme="minorHAnsi" w:cs="Arial"/>
                <w:sz w:val="22"/>
                <w:szCs w:val="22"/>
              </w:rPr>
              <w:lastRenderedPageBreak/>
              <w:t xml:space="preserve">functions within each of the six localities and will be able to respond to general enquiries as well as arrange and book appointments, including time slots for housebound patients.   Staff within the central co-ordination function will be able to filter enquiries for specific service functions to the relevant community professional. Based on the </w:t>
            </w:r>
            <w:r w:rsidR="004A5583">
              <w:rPr>
                <w:rFonts w:asciiTheme="minorHAnsi" w:eastAsiaTheme="minorHAnsi" w:hAnsiTheme="minorHAnsi" w:cs="Arial"/>
                <w:sz w:val="22"/>
                <w:szCs w:val="22"/>
              </w:rPr>
              <w:t xml:space="preserve">MECC </w:t>
            </w:r>
            <w:r w:rsidRPr="00DC3BE7">
              <w:rPr>
                <w:rFonts w:asciiTheme="minorHAnsi" w:eastAsiaTheme="minorHAnsi" w:hAnsiTheme="minorHAnsi" w:cs="Arial"/>
                <w:sz w:val="22"/>
                <w:szCs w:val="22"/>
              </w:rPr>
              <w:t>principles, clinic appointments will be co-ordinated to minimise the number of trips patients must make; or minimise the number of home visits.  By having a full overview of all contacts, the central co-ordinated function enables patient’s care to be co-ordinated to help reduce fragmentation.</w:t>
            </w:r>
          </w:p>
          <w:p w14:paraId="4279CF31" w14:textId="77777777" w:rsidR="00DC3BE7" w:rsidRPr="00DC3BE7" w:rsidRDefault="00DC3BE7" w:rsidP="00DC3BE7">
            <w:pPr>
              <w:jc w:val="both"/>
              <w:rPr>
                <w:rFonts w:asciiTheme="minorHAnsi" w:eastAsiaTheme="minorHAnsi" w:hAnsiTheme="minorHAnsi" w:cs="Arial"/>
                <w:sz w:val="22"/>
                <w:szCs w:val="22"/>
              </w:rPr>
            </w:pPr>
          </w:p>
          <w:p w14:paraId="560E6982" w14:textId="6D081EA0" w:rsidR="00DC3BE7" w:rsidRDefault="00DC3BE7" w:rsidP="00DC3BE7">
            <w:pPr>
              <w:jc w:val="both"/>
              <w:rPr>
                <w:rFonts w:asciiTheme="minorHAnsi" w:eastAsiaTheme="minorEastAsia" w:hAnsi="Calibri" w:cstheme="minorBidi"/>
                <w:color w:val="000000" w:themeColor="text1"/>
                <w:kern w:val="24"/>
                <w:sz w:val="40"/>
                <w:szCs w:val="40"/>
                <w:lang w:eastAsia="en-GB"/>
              </w:rPr>
            </w:pPr>
            <w:r w:rsidRPr="00DC3BE7">
              <w:rPr>
                <w:rFonts w:asciiTheme="minorHAnsi" w:eastAsiaTheme="minorHAnsi" w:hAnsiTheme="minorHAnsi" w:cs="Arial"/>
                <w:sz w:val="22"/>
                <w:szCs w:val="22"/>
              </w:rPr>
              <w:t xml:space="preserve">The Provider will also ensure that the central co-ordination function is linked to and supported by a patient portal.  The patient portal will enable access to key information in one central place; patients will be able to see their </w:t>
            </w:r>
            <w:r w:rsidR="00DA1440">
              <w:rPr>
                <w:rFonts w:asciiTheme="minorHAnsi" w:eastAsiaTheme="minorHAnsi" w:hAnsiTheme="minorHAnsi" w:cs="Arial"/>
                <w:sz w:val="22"/>
                <w:szCs w:val="22"/>
              </w:rPr>
              <w:t xml:space="preserve">personalised </w:t>
            </w:r>
            <w:r w:rsidRPr="00DC3BE7">
              <w:rPr>
                <w:rFonts w:asciiTheme="minorHAnsi" w:eastAsiaTheme="minorHAnsi" w:hAnsiTheme="minorHAnsi" w:cs="Arial"/>
                <w:sz w:val="22"/>
                <w:szCs w:val="22"/>
              </w:rPr>
              <w:t>IMP, test results, letters from health professionals, notes, appointment details and self-care apps, giving them more control over their care.</w:t>
            </w:r>
            <w:r w:rsidR="00933BBF">
              <w:rPr>
                <w:rFonts w:asciiTheme="minorHAnsi" w:eastAsiaTheme="minorHAnsi" w:hAnsiTheme="minorHAnsi" w:cs="Arial"/>
                <w:sz w:val="22"/>
                <w:szCs w:val="22"/>
              </w:rPr>
              <w:t xml:space="preserve">  Patients will be able to re-arrange their appointment slots via this portal where it is necessary. </w:t>
            </w:r>
            <w:r w:rsidRPr="00DC3BE7">
              <w:rPr>
                <w:rFonts w:asciiTheme="minorHAnsi" w:eastAsiaTheme="minorEastAsia" w:hAnsi="Calibri" w:cstheme="minorBidi"/>
                <w:color w:val="000000" w:themeColor="text1"/>
                <w:kern w:val="24"/>
                <w:sz w:val="40"/>
                <w:szCs w:val="40"/>
                <w:lang w:eastAsia="en-GB"/>
              </w:rPr>
              <w:t xml:space="preserve"> </w:t>
            </w:r>
          </w:p>
          <w:p w14:paraId="57C8C41D" w14:textId="77777777" w:rsidR="00985620" w:rsidRPr="00DC3BE7" w:rsidRDefault="00985620" w:rsidP="00DC3BE7">
            <w:pPr>
              <w:jc w:val="both"/>
              <w:rPr>
                <w:rFonts w:asciiTheme="minorHAnsi" w:eastAsiaTheme="minorHAnsi" w:hAnsiTheme="minorHAnsi" w:cs="Arial"/>
                <w:sz w:val="22"/>
                <w:szCs w:val="22"/>
              </w:rPr>
            </w:pPr>
          </w:p>
          <w:p w14:paraId="51AB8888" w14:textId="77777777" w:rsidR="00DC3BE7" w:rsidRPr="00D4709E" w:rsidRDefault="00DC3BE7" w:rsidP="00DC3BE7">
            <w:pPr>
              <w:jc w:val="both"/>
              <w:rPr>
                <w:rFonts w:asciiTheme="minorHAnsi" w:eastAsiaTheme="minorHAnsi" w:hAnsiTheme="minorHAnsi" w:cs="Arial"/>
                <w:i/>
                <w:sz w:val="22"/>
                <w:szCs w:val="22"/>
                <w:u w:val="single"/>
              </w:rPr>
            </w:pPr>
            <w:r w:rsidRPr="00D4709E">
              <w:rPr>
                <w:rFonts w:asciiTheme="minorHAnsi" w:eastAsiaTheme="minorHAnsi" w:hAnsiTheme="minorHAnsi" w:cs="Arial"/>
                <w:i/>
                <w:sz w:val="22"/>
                <w:szCs w:val="22"/>
                <w:u w:val="single"/>
              </w:rPr>
              <w:t xml:space="preserve">2.1.11 Extended hours </w:t>
            </w:r>
          </w:p>
          <w:p w14:paraId="3CA1AFFC" w14:textId="7912B3AD" w:rsidR="00DC3BE7" w:rsidRPr="00DC3BE7" w:rsidRDefault="00331614" w:rsidP="00DC3BE7">
            <w:pPr>
              <w:jc w:val="both"/>
              <w:rPr>
                <w:rFonts w:asciiTheme="minorHAnsi" w:eastAsiaTheme="minorHAnsi" w:hAnsiTheme="minorHAnsi" w:cs="Arial"/>
                <w:sz w:val="22"/>
                <w:szCs w:val="22"/>
              </w:rPr>
            </w:pPr>
            <w:r>
              <w:rPr>
                <w:rFonts w:asciiTheme="minorHAnsi" w:eastAsiaTheme="minorHAnsi" w:hAnsiTheme="minorHAnsi" w:cs="Arial"/>
                <w:sz w:val="22"/>
                <w:szCs w:val="22"/>
              </w:rPr>
              <w:t>The new a</w:t>
            </w:r>
            <w:r w:rsidR="00933BBF">
              <w:rPr>
                <w:rFonts w:asciiTheme="minorHAnsi" w:eastAsiaTheme="minorHAnsi" w:hAnsiTheme="minorHAnsi" w:cs="Arial"/>
                <w:sz w:val="22"/>
                <w:szCs w:val="22"/>
              </w:rPr>
              <w:t xml:space="preserve">dult community services </w:t>
            </w:r>
            <w:r>
              <w:rPr>
                <w:rFonts w:asciiTheme="minorHAnsi" w:eastAsiaTheme="minorHAnsi" w:hAnsiTheme="minorHAnsi" w:cs="Arial"/>
                <w:sz w:val="22"/>
                <w:szCs w:val="22"/>
              </w:rPr>
              <w:t xml:space="preserve">model </w:t>
            </w:r>
            <w:r w:rsidR="00933BBF">
              <w:rPr>
                <w:rFonts w:asciiTheme="minorHAnsi" w:eastAsiaTheme="minorHAnsi" w:hAnsiTheme="minorHAnsi" w:cs="Arial"/>
                <w:sz w:val="22"/>
                <w:szCs w:val="22"/>
              </w:rPr>
              <w:t xml:space="preserve">must </w:t>
            </w:r>
            <w:r w:rsidR="00DC3BE7" w:rsidRPr="00DC3BE7">
              <w:rPr>
                <w:rFonts w:asciiTheme="minorHAnsi" w:eastAsiaTheme="minorHAnsi" w:hAnsiTheme="minorHAnsi" w:cs="Arial"/>
                <w:sz w:val="22"/>
                <w:szCs w:val="22"/>
              </w:rPr>
              <w:t>offer more flexibility particularly for those patients who work conventional hours and have limited choice of appointment slots.  On this basis, the Provider will be expected to offer patients extended access (i.e. out of office hours) for appointments, where demand exists.</w:t>
            </w:r>
          </w:p>
          <w:p w14:paraId="21E93A94"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 </w:t>
            </w:r>
          </w:p>
          <w:p w14:paraId="0B79060D" w14:textId="486EA788" w:rsidR="00DC3BE7" w:rsidRPr="00DC3BE7" w:rsidRDefault="00DC3BE7" w:rsidP="00DC3BE7">
            <w:pPr>
              <w:jc w:val="both"/>
              <w:rPr>
                <w:rFonts w:ascii="Calibri" w:eastAsiaTheme="minorHAnsi" w:hAnsi="Calibri" w:cs="Arial"/>
                <w:sz w:val="22"/>
                <w:szCs w:val="22"/>
              </w:rPr>
            </w:pPr>
            <w:r w:rsidRPr="00DC3BE7">
              <w:rPr>
                <w:rFonts w:asciiTheme="minorHAnsi" w:eastAsiaTheme="minorHAnsi" w:hAnsiTheme="minorHAnsi" w:cstheme="minorHAnsi"/>
                <w:sz w:val="22"/>
                <w:szCs w:val="22"/>
              </w:rPr>
              <w:t xml:space="preserve">The Provider will not be expected to run all service functions at all times, however, where demand exists and in agreement with the Commissioner, the Provider will ensure extended access between the hours 8.00am to 8.00pm Monday to Friday, this will also include weekend provision. </w:t>
            </w:r>
            <w:r w:rsidRPr="00DC3BE7">
              <w:rPr>
                <w:rFonts w:asciiTheme="minorHAnsi" w:eastAsiaTheme="minorHAnsi" w:hAnsiTheme="minorHAnsi" w:cs="Arial"/>
                <w:sz w:val="22"/>
                <w:szCs w:val="22"/>
              </w:rPr>
              <w:t xml:space="preserve"> </w:t>
            </w:r>
            <w:r w:rsidRPr="00DC3BE7">
              <w:rPr>
                <w:rFonts w:ascii="Calibri" w:eastAsiaTheme="minorHAnsi" w:hAnsi="Calibri" w:cs="Arial"/>
                <w:sz w:val="22"/>
                <w:szCs w:val="22"/>
              </w:rPr>
              <w:t>Whilst the final operating hours of services will be agreed as part of the procurement</w:t>
            </w:r>
            <w:r w:rsidR="00DC2EB3">
              <w:rPr>
                <w:rFonts w:ascii="Calibri" w:eastAsiaTheme="minorHAnsi" w:hAnsi="Calibri" w:cs="Arial"/>
                <w:sz w:val="22"/>
                <w:szCs w:val="22"/>
              </w:rPr>
              <w:t>,</w:t>
            </w:r>
            <w:r w:rsidRPr="00DC3BE7">
              <w:rPr>
                <w:rFonts w:ascii="Calibri" w:eastAsiaTheme="minorHAnsi" w:hAnsi="Calibri" w:cs="Arial"/>
                <w:sz w:val="22"/>
                <w:szCs w:val="22"/>
              </w:rPr>
              <w:t xml:space="preserve"> hours of operation will be extended to align with Primary Care where possible – for example 8am to 8pm Monday to Friday, Saturday from 9am to 4pm, and where demand exists on Sunday. </w:t>
            </w:r>
          </w:p>
          <w:p w14:paraId="3CE9E2BC" w14:textId="77777777" w:rsidR="00DC3BE7" w:rsidRPr="00DC3BE7" w:rsidRDefault="00DC3BE7" w:rsidP="00DC3BE7">
            <w:pPr>
              <w:jc w:val="both"/>
              <w:rPr>
                <w:rFonts w:cs="Arial"/>
              </w:rPr>
            </w:pPr>
          </w:p>
          <w:p w14:paraId="73AC211B" w14:textId="413A13A4"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liaise with primary care and secondary care to ensure that adult community services are able to compliment the developments in improved access (including extended hours) across the health care system. </w:t>
            </w:r>
          </w:p>
          <w:p w14:paraId="2D7F0EB5" w14:textId="77777777" w:rsidR="00DC3BE7" w:rsidRPr="00DC3BE7" w:rsidRDefault="00DC3BE7" w:rsidP="00DC3BE7">
            <w:pPr>
              <w:jc w:val="both"/>
              <w:rPr>
                <w:rFonts w:asciiTheme="minorHAnsi" w:eastAsiaTheme="minorHAnsi" w:hAnsiTheme="minorHAnsi" w:cs="Arial"/>
                <w:sz w:val="22"/>
                <w:szCs w:val="22"/>
              </w:rPr>
            </w:pPr>
          </w:p>
          <w:p w14:paraId="7E640001" w14:textId="77777777" w:rsid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For all other services provided outside of these hours, the Provider must work with the Urgent Treatment Centre and Out of Hours Face to Face Services to agree pathways to ensure a seamless service is in place, with no gaps in provision.</w:t>
            </w:r>
          </w:p>
          <w:p w14:paraId="647D1F86" w14:textId="77777777" w:rsidR="000511BB" w:rsidRPr="00DC3BE7" w:rsidRDefault="000511BB" w:rsidP="00DC3BE7">
            <w:pPr>
              <w:jc w:val="both"/>
              <w:rPr>
                <w:rFonts w:asciiTheme="minorHAnsi" w:eastAsiaTheme="minorHAnsi" w:hAnsiTheme="minorHAnsi" w:cstheme="minorHAnsi"/>
                <w:sz w:val="22"/>
                <w:szCs w:val="22"/>
              </w:rPr>
            </w:pPr>
          </w:p>
          <w:p w14:paraId="7319FA1B" w14:textId="77777777" w:rsidR="00DC3BE7" w:rsidRPr="00D4709E" w:rsidRDefault="00DC3BE7" w:rsidP="00DC3BE7">
            <w:pPr>
              <w:jc w:val="both"/>
              <w:rPr>
                <w:rFonts w:asciiTheme="minorHAnsi" w:eastAsiaTheme="minorHAnsi" w:hAnsiTheme="minorHAnsi" w:cs="Arial"/>
                <w:i/>
                <w:sz w:val="22"/>
                <w:szCs w:val="22"/>
                <w:u w:val="single"/>
              </w:rPr>
            </w:pPr>
            <w:r w:rsidRPr="00D4709E">
              <w:rPr>
                <w:rFonts w:asciiTheme="minorHAnsi" w:eastAsiaTheme="minorHAnsi" w:hAnsiTheme="minorHAnsi" w:cs="Arial"/>
                <w:i/>
                <w:sz w:val="22"/>
                <w:szCs w:val="22"/>
                <w:u w:val="single"/>
              </w:rPr>
              <w:t>2.1.12 Urgent response function</w:t>
            </w:r>
          </w:p>
          <w:p w14:paraId="469CDF22" w14:textId="0AE0EF6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An urgent response function is a key component of the </w:t>
            </w:r>
            <w:r w:rsidR="002C6073">
              <w:rPr>
                <w:rFonts w:asciiTheme="minorHAnsi" w:eastAsiaTheme="minorHAnsi" w:hAnsiTheme="minorHAnsi" w:cs="Arial"/>
                <w:sz w:val="22"/>
                <w:szCs w:val="22"/>
              </w:rPr>
              <w:t xml:space="preserve">new service model for </w:t>
            </w:r>
            <w:r w:rsidRPr="00DC3BE7">
              <w:rPr>
                <w:rFonts w:asciiTheme="minorHAnsi" w:eastAsiaTheme="minorHAnsi" w:hAnsiTheme="minorHAnsi" w:cs="Arial"/>
                <w:sz w:val="22"/>
                <w:szCs w:val="22"/>
              </w:rPr>
              <w:t xml:space="preserve">adult community </w:t>
            </w:r>
            <w:proofErr w:type="gramStart"/>
            <w:r w:rsidRPr="00DC3BE7">
              <w:rPr>
                <w:rFonts w:asciiTheme="minorHAnsi" w:eastAsiaTheme="minorHAnsi" w:hAnsiTheme="minorHAnsi" w:cs="Arial"/>
                <w:sz w:val="22"/>
                <w:szCs w:val="22"/>
              </w:rPr>
              <w:t>services .</w:t>
            </w:r>
            <w:proofErr w:type="gramEnd"/>
            <w:r w:rsidRPr="00DC3BE7">
              <w:rPr>
                <w:rFonts w:asciiTheme="minorHAnsi" w:eastAsiaTheme="minorHAnsi" w:hAnsiTheme="minorHAnsi" w:cs="Arial"/>
                <w:sz w:val="22"/>
                <w:szCs w:val="22"/>
              </w:rPr>
              <w:t xml:space="preserve">  The Provider will ensure that, where a case </w:t>
            </w:r>
            <w:r w:rsidR="00523488">
              <w:rPr>
                <w:rFonts w:asciiTheme="minorHAnsi" w:eastAsiaTheme="minorHAnsi" w:hAnsiTheme="minorHAnsi" w:cs="Arial"/>
                <w:sz w:val="22"/>
                <w:szCs w:val="22"/>
              </w:rPr>
              <w:t xml:space="preserve">has been clinically triaged and </w:t>
            </w:r>
            <w:r w:rsidRPr="00DC3BE7">
              <w:rPr>
                <w:rFonts w:asciiTheme="minorHAnsi" w:eastAsiaTheme="minorHAnsi" w:hAnsiTheme="minorHAnsi" w:cs="Arial"/>
                <w:sz w:val="22"/>
                <w:szCs w:val="22"/>
              </w:rPr>
              <w:t xml:space="preserve">deemed as urgent, community services respond within two hours. </w:t>
            </w:r>
            <w:proofErr w:type="gramStart"/>
            <w:r w:rsidR="0045231D" w:rsidRPr="0045231D">
              <w:rPr>
                <w:rFonts w:asciiTheme="minorHAnsi" w:eastAsiaTheme="minorHAnsi" w:hAnsiTheme="minorHAnsi" w:cs="Arial"/>
                <w:sz w:val="22"/>
                <w:szCs w:val="22"/>
              </w:rPr>
              <w:t>This component of the service requires a rapid assessment by a suitably registered practitioner, and follow</w:t>
            </w:r>
            <w:proofErr w:type="gramEnd"/>
            <w:r w:rsidR="0045231D" w:rsidRPr="0045231D">
              <w:rPr>
                <w:rFonts w:asciiTheme="minorHAnsi" w:eastAsiaTheme="minorHAnsi" w:hAnsiTheme="minorHAnsi" w:cs="Arial"/>
                <w:sz w:val="22"/>
                <w:szCs w:val="22"/>
              </w:rPr>
              <w:t xml:space="preserve"> on care for urgent health needs, or other crisis in care provision, within a </w:t>
            </w:r>
            <w:r w:rsidR="0045231D">
              <w:rPr>
                <w:rFonts w:asciiTheme="minorHAnsi" w:eastAsiaTheme="minorHAnsi" w:hAnsiTheme="minorHAnsi" w:cs="Arial"/>
                <w:sz w:val="22"/>
                <w:szCs w:val="22"/>
              </w:rPr>
              <w:t xml:space="preserve">patient’s </w:t>
            </w:r>
            <w:r w:rsidR="0045231D" w:rsidRPr="0045231D">
              <w:rPr>
                <w:rFonts w:asciiTheme="minorHAnsi" w:eastAsiaTheme="minorHAnsi" w:hAnsiTheme="minorHAnsi" w:cs="Arial"/>
                <w:sz w:val="22"/>
                <w:szCs w:val="22"/>
              </w:rPr>
              <w:t xml:space="preserve">home </w:t>
            </w:r>
            <w:r w:rsidR="0045231D">
              <w:rPr>
                <w:rFonts w:asciiTheme="minorHAnsi" w:eastAsiaTheme="minorHAnsi" w:hAnsiTheme="minorHAnsi" w:cs="Arial"/>
                <w:sz w:val="22"/>
                <w:szCs w:val="22"/>
              </w:rPr>
              <w:t xml:space="preserve">(including care home </w:t>
            </w:r>
            <w:r w:rsidR="00CB2B73">
              <w:rPr>
                <w:rFonts w:asciiTheme="minorHAnsi" w:eastAsiaTheme="minorHAnsi" w:hAnsiTheme="minorHAnsi" w:cs="Arial"/>
                <w:sz w:val="22"/>
                <w:szCs w:val="22"/>
              </w:rPr>
              <w:t>or other supported living facility).</w:t>
            </w:r>
            <w:r w:rsidRPr="00DC3BE7">
              <w:rPr>
                <w:rFonts w:asciiTheme="minorHAnsi" w:eastAsiaTheme="minorHAnsi" w:hAnsiTheme="minorHAnsi" w:cs="Arial"/>
                <w:sz w:val="22"/>
                <w:szCs w:val="22"/>
              </w:rPr>
              <w:t xml:space="preserve"> The definition of urgent response can be found in the glossary of terms.</w:t>
            </w:r>
          </w:p>
          <w:p w14:paraId="0B2908FA" w14:textId="77777777" w:rsidR="00DC3BE7" w:rsidRPr="00DC3BE7" w:rsidRDefault="00DC3BE7" w:rsidP="00DC3BE7">
            <w:pPr>
              <w:jc w:val="both"/>
              <w:rPr>
                <w:rFonts w:asciiTheme="minorHAnsi" w:eastAsiaTheme="minorHAnsi" w:hAnsiTheme="minorHAnsi" w:cs="Arial"/>
                <w:sz w:val="22"/>
                <w:szCs w:val="22"/>
              </w:rPr>
            </w:pPr>
          </w:p>
          <w:p w14:paraId="45B9E6A6" w14:textId="48388495" w:rsidR="00875461" w:rsidRDefault="000C7446" w:rsidP="00DC3BE7">
            <w:pPr>
              <w:jc w:val="both"/>
              <w:rPr>
                <w:rFonts w:asciiTheme="minorHAnsi" w:eastAsiaTheme="minorHAnsi" w:hAnsiTheme="minorHAnsi" w:cs="Arial"/>
                <w:sz w:val="22"/>
                <w:szCs w:val="22"/>
              </w:rPr>
            </w:pPr>
            <w:r>
              <w:rPr>
                <w:rFonts w:asciiTheme="minorHAnsi" w:eastAsiaTheme="minorHAnsi" w:hAnsiTheme="minorHAnsi" w:cs="Arial"/>
                <w:sz w:val="22"/>
                <w:szCs w:val="22"/>
              </w:rPr>
              <w:t xml:space="preserve">An </w:t>
            </w:r>
            <w:r w:rsidR="00DC3BE7" w:rsidRPr="00DC3BE7">
              <w:rPr>
                <w:rFonts w:asciiTheme="minorHAnsi" w:eastAsiaTheme="minorHAnsi" w:hAnsiTheme="minorHAnsi" w:cs="Arial"/>
                <w:sz w:val="22"/>
                <w:szCs w:val="22"/>
              </w:rPr>
              <w:t xml:space="preserve">urgent response will be accessed via the central co-ordination function.  It will be available to support and </w:t>
            </w:r>
            <w:r w:rsidR="00DC3BE7" w:rsidRPr="005A4BB8">
              <w:rPr>
                <w:rFonts w:asciiTheme="minorHAnsi" w:eastAsiaTheme="minorHAnsi" w:hAnsiTheme="minorHAnsi" w:cs="Arial"/>
                <w:sz w:val="22"/>
                <w:szCs w:val="22"/>
              </w:rPr>
              <w:t xml:space="preserve">manage primarily </w:t>
            </w:r>
            <w:r w:rsidR="00CB11C0" w:rsidRPr="005A4BB8">
              <w:rPr>
                <w:rFonts w:asciiTheme="minorHAnsi" w:eastAsiaTheme="minorHAnsi" w:hAnsiTheme="minorHAnsi" w:cs="Arial"/>
                <w:sz w:val="22"/>
                <w:szCs w:val="22"/>
              </w:rPr>
              <w:t xml:space="preserve">but not exclusively, </w:t>
            </w:r>
            <w:r w:rsidR="00DC3BE7" w:rsidRPr="005A4BB8">
              <w:rPr>
                <w:rFonts w:asciiTheme="minorHAnsi" w:eastAsiaTheme="minorHAnsi" w:hAnsiTheme="minorHAnsi" w:cs="Arial"/>
                <w:sz w:val="22"/>
                <w:szCs w:val="22"/>
              </w:rPr>
              <w:t>the</w:t>
            </w:r>
            <w:r w:rsidR="00DC3BE7" w:rsidRPr="00DC3BE7">
              <w:rPr>
                <w:rFonts w:asciiTheme="minorHAnsi" w:eastAsiaTheme="minorHAnsi" w:hAnsiTheme="minorHAnsi" w:cs="Arial"/>
                <w:sz w:val="22"/>
                <w:szCs w:val="22"/>
              </w:rPr>
              <w:t xml:space="preserve"> most complex patients (i.e. those with three or more long term conditions or have complex conditions and are assessed as </w:t>
            </w:r>
            <w:r w:rsidR="00B06B69">
              <w:rPr>
                <w:rFonts w:asciiTheme="minorHAnsi" w:eastAsiaTheme="minorHAnsi" w:hAnsiTheme="minorHAnsi" w:cs="Arial"/>
                <w:sz w:val="22"/>
                <w:szCs w:val="22"/>
              </w:rPr>
              <w:t xml:space="preserve">being at </w:t>
            </w:r>
            <w:r w:rsidR="00DC3BE7" w:rsidRPr="00DC3BE7">
              <w:rPr>
                <w:rFonts w:asciiTheme="minorHAnsi" w:eastAsiaTheme="minorHAnsi" w:hAnsiTheme="minorHAnsi" w:cs="Arial"/>
                <w:sz w:val="22"/>
                <w:szCs w:val="22"/>
              </w:rPr>
              <w:t xml:space="preserve">high </w:t>
            </w:r>
            <w:r w:rsidR="00A46ED4">
              <w:rPr>
                <w:rFonts w:asciiTheme="minorHAnsi" w:eastAsiaTheme="minorHAnsi" w:hAnsiTheme="minorHAnsi" w:cs="Arial"/>
                <w:sz w:val="22"/>
                <w:szCs w:val="22"/>
              </w:rPr>
              <w:t>risk of admission or deterioration).</w:t>
            </w:r>
            <w:r w:rsidR="00E92DCE">
              <w:rPr>
                <w:rFonts w:asciiTheme="minorHAnsi" w:eastAsiaTheme="minorHAnsi" w:hAnsiTheme="minorHAnsi" w:cs="Arial"/>
                <w:sz w:val="22"/>
                <w:szCs w:val="22"/>
              </w:rPr>
              <w:t xml:space="preserve"> The Provider will ensure that access to the urgent response function is available </w:t>
            </w:r>
            <w:r w:rsidR="00875461">
              <w:rPr>
                <w:rFonts w:asciiTheme="minorHAnsi" w:eastAsiaTheme="minorHAnsi" w:hAnsiTheme="minorHAnsi" w:cs="Arial"/>
                <w:sz w:val="22"/>
                <w:szCs w:val="22"/>
              </w:rPr>
              <w:t>24/7.</w:t>
            </w:r>
          </w:p>
          <w:p w14:paraId="27B3B5CC" w14:textId="77777777" w:rsidR="00875461" w:rsidRDefault="00875461" w:rsidP="00DC3BE7">
            <w:pPr>
              <w:jc w:val="both"/>
              <w:rPr>
                <w:rFonts w:asciiTheme="minorHAnsi" w:eastAsiaTheme="minorHAnsi" w:hAnsiTheme="minorHAnsi" w:cs="Arial"/>
                <w:sz w:val="22"/>
                <w:szCs w:val="22"/>
              </w:rPr>
            </w:pPr>
          </w:p>
          <w:p w14:paraId="34522708" w14:textId="77777777" w:rsidR="00875461" w:rsidRDefault="00875461" w:rsidP="00DC3BE7">
            <w:pPr>
              <w:jc w:val="both"/>
              <w:rPr>
                <w:rFonts w:asciiTheme="minorHAnsi" w:eastAsiaTheme="minorHAnsi" w:hAnsiTheme="minorHAnsi" w:cs="Arial"/>
                <w:sz w:val="22"/>
                <w:szCs w:val="22"/>
              </w:rPr>
            </w:pPr>
            <w:r>
              <w:rPr>
                <w:rFonts w:asciiTheme="minorHAnsi" w:eastAsiaTheme="minorHAnsi" w:hAnsiTheme="minorHAnsi" w:cs="Arial"/>
                <w:sz w:val="22"/>
                <w:szCs w:val="22"/>
              </w:rPr>
              <w:t xml:space="preserve">The urgent response function will: </w:t>
            </w:r>
          </w:p>
          <w:p w14:paraId="27357927" w14:textId="2ED80B9E" w:rsidR="00D2653B" w:rsidRPr="00D2653B" w:rsidRDefault="00D2653B" w:rsidP="00D2653B">
            <w:pPr>
              <w:pStyle w:val="ListParagraph"/>
              <w:numPr>
                <w:ilvl w:val="0"/>
                <w:numId w:val="35"/>
              </w:numPr>
              <w:rPr>
                <w:rFonts w:asciiTheme="minorHAnsi" w:eastAsiaTheme="minorHAnsi" w:hAnsiTheme="minorHAnsi" w:cs="Arial"/>
                <w:sz w:val="22"/>
                <w:szCs w:val="22"/>
              </w:rPr>
            </w:pPr>
            <w:r>
              <w:rPr>
                <w:rFonts w:asciiTheme="minorHAnsi" w:eastAsiaTheme="minorHAnsi" w:hAnsiTheme="minorHAnsi" w:cs="Arial"/>
                <w:sz w:val="22"/>
                <w:szCs w:val="22"/>
              </w:rPr>
              <w:t>P</w:t>
            </w:r>
            <w:r w:rsidRPr="00D2653B">
              <w:rPr>
                <w:rFonts w:asciiTheme="minorHAnsi" w:eastAsiaTheme="minorHAnsi" w:hAnsiTheme="minorHAnsi" w:cs="Arial"/>
                <w:sz w:val="22"/>
                <w:szCs w:val="22"/>
              </w:rPr>
              <w:t>revent potentially avoidable admission of patients to secondary care services by providing rapid assessment, treatment, advice, support and education to individuals in their own home including support, nursing and therapeutic interventions during acute illness, sudden deterioration in function or condition, or crisis in care provision.</w:t>
            </w:r>
          </w:p>
          <w:p w14:paraId="690300A6" w14:textId="53455903" w:rsidR="00D2653B" w:rsidRPr="00D2653B" w:rsidRDefault="00D2653B" w:rsidP="00D2653B">
            <w:pPr>
              <w:pStyle w:val="ListParagraph"/>
              <w:numPr>
                <w:ilvl w:val="0"/>
                <w:numId w:val="35"/>
              </w:numPr>
              <w:rPr>
                <w:rFonts w:asciiTheme="minorHAnsi" w:eastAsiaTheme="minorHAnsi" w:hAnsiTheme="minorHAnsi" w:cs="Arial"/>
                <w:sz w:val="22"/>
                <w:szCs w:val="22"/>
              </w:rPr>
            </w:pPr>
            <w:r>
              <w:rPr>
                <w:rFonts w:asciiTheme="minorHAnsi" w:eastAsiaTheme="minorHAnsi" w:hAnsiTheme="minorHAnsi" w:cs="Arial"/>
                <w:sz w:val="22"/>
                <w:szCs w:val="22"/>
              </w:rPr>
              <w:t>P</w:t>
            </w:r>
            <w:r w:rsidRPr="00D2653B">
              <w:rPr>
                <w:rFonts w:asciiTheme="minorHAnsi" w:eastAsiaTheme="minorHAnsi" w:hAnsiTheme="minorHAnsi" w:cs="Arial"/>
                <w:sz w:val="22"/>
                <w:szCs w:val="22"/>
              </w:rPr>
              <w:t>rovide holistic assessment of need and necessary support, equipment and intervention to promote stability in the patient’s condition and enable them to remain in their own home including care home.</w:t>
            </w:r>
          </w:p>
          <w:p w14:paraId="5E53E448" w14:textId="55CA6E76" w:rsidR="00D2653B" w:rsidRDefault="00D2653B" w:rsidP="00D2653B">
            <w:pPr>
              <w:pStyle w:val="ListParagraph"/>
              <w:numPr>
                <w:ilvl w:val="0"/>
                <w:numId w:val="35"/>
              </w:numPr>
              <w:jc w:val="both"/>
              <w:rPr>
                <w:rFonts w:asciiTheme="minorHAnsi" w:eastAsiaTheme="minorHAnsi" w:hAnsiTheme="minorHAnsi" w:cs="Arial"/>
                <w:sz w:val="22"/>
                <w:szCs w:val="22"/>
              </w:rPr>
            </w:pPr>
            <w:r>
              <w:rPr>
                <w:rFonts w:asciiTheme="minorHAnsi" w:eastAsiaTheme="minorHAnsi" w:hAnsiTheme="minorHAnsi" w:cs="Arial"/>
                <w:sz w:val="22"/>
                <w:szCs w:val="22"/>
              </w:rPr>
              <w:t>C</w:t>
            </w:r>
            <w:r w:rsidRPr="00D2653B">
              <w:rPr>
                <w:rFonts w:asciiTheme="minorHAnsi" w:eastAsiaTheme="minorHAnsi" w:hAnsiTheme="minorHAnsi" w:cs="Arial"/>
                <w:sz w:val="22"/>
                <w:szCs w:val="22"/>
              </w:rPr>
              <w:t>o</w:t>
            </w:r>
            <w:r>
              <w:rPr>
                <w:rFonts w:asciiTheme="minorHAnsi" w:eastAsiaTheme="minorHAnsi" w:hAnsiTheme="minorHAnsi" w:cs="Arial"/>
                <w:sz w:val="22"/>
                <w:szCs w:val="22"/>
              </w:rPr>
              <w:t>-</w:t>
            </w:r>
            <w:r w:rsidRPr="00D2653B">
              <w:rPr>
                <w:rFonts w:asciiTheme="minorHAnsi" w:eastAsiaTheme="minorHAnsi" w:hAnsiTheme="minorHAnsi" w:cs="Arial"/>
                <w:sz w:val="22"/>
                <w:szCs w:val="22"/>
              </w:rPr>
              <w:t xml:space="preserve">ordinate the multiagency response as necessary to enable the patient to be managed safely at home, </w:t>
            </w:r>
            <w:r w:rsidRPr="00D2653B">
              <w:rPr>
                <w:rFonts w:asciiTheme="minorHAnsi" w:eastAsiaTheme="minorHAnsi" w:hAnsiTheme="minorHAnsi" w:cs="Arial"/>
                <w:sz w:val="22"/>
                <w:szCs w:val="22"/>
              </w:rPr>
              <w:lastRenderedPageBreak/>
              <w:t>including accessing advice and guidance as needed to support decision making and the development of a care package.</w:t>
            </w:r>
          </w:p>
          <w:p w14:paraId="5A39D431" w14:textId="4417C67D" w:rsidR="00B36395" w:rsidRPr="00B36395" w:rsidRDefault="00B36395" w:rsidP="00B36395">
            <w:pPr>
              <w:pStyle w:val="ListParagraph"/>
              <w:numPr>
                <w:ilvl w:val="0"/>
                <w:numId w:val="35"/>
              </w:numPr>
              <w:rPr>
                <w:rFonts w:asciiTheme="minorHAnsi" w:eastAsiaTheme="minorHAnsi" w:hAnsiTheme="minorHAnsi" w:cs="Arial"/>
                <w:sz w:val="22"/>
                <w:szCs w:val="22"/>
              </w:rPr>
            </w:pPr>
            <w:r>
              <w:rPr>
                <w:rFonts w:asciiTheme="minorHAnsi" w:eastAsiaTheme="minorHAnsi" w:hAnsiTheme="minorHAnsi" w:cs="Arial"/>
                <w:sz w:val="22"/>
                <w:szCs w:val="22"/>
              </w:rPr>
              <w:t>E</w:t>
            </w:r>
            <w:r w:rsidRPr="00B36395">
              <w:rPr>
                <w:rFonts w:asciiTheme="minorHAnsi" w:eastAsiaTheme="minorHAnsi" w:hAnsiTheme="minorHAnsi" w:cs="Arial"/>
                <w:sz w:val="22"/>
                <w:szCs w:val="22"/>
              </w:rPr>
              <w:t xml:space="preserve">nsure that patients who are nearing the end of life are supported to receive their final period of care in the place of their choosing by organising the care and interventions needed to support them over 24 hours a day seven days a week in their final weeks of life in line with most recent national framework. </w:t>
            </w:r>
          </w:p>
          <w:p w14:paraId="0F1F5117" w14:textId="640C06F3" w:rsidR="00201D50" w:rsidRPr="00201D50" w:rsidRDefault="00201D50" w:rsidP="00201D50">
            <w:pPr>
              <w:pStyle w:val="ListParagraph"/>
              <w:numPr>
                <w:ilvl w:val="0"/>
                <w:numId w:val="35"/>
              </w:numPr>
              <w:rPr>
                <w:rFonts w:asciiTheme="minorHAnsi" w:eastAsiaTheme="minorHAnsi" w:hAnsiTheme="minorHAnsi" w:cs="Arial"/>
                <w:sz w:val="22"/>
                <w:szCs w:val="22"/>
              </w:rPr>
            </w:pPr>
            <w:r>
              <w:rPr>
                <w:rFonts w:asciiTheme="minorHAnsi" w:eastAsiaTheme="minorHAnsi" w:hAnsiTheme="minorHAnsi" w:cs="Arial"/>
                <w:sz w:val="22"/>
                <w:szCs w:val="22"/>
              </w:rPr>
              <w:t>I</w:t>
            </w:r>
            <w:r w:rsidRPr="00201D50">
              <w:rPr>
                <w:rFonts w:asciiTheme="minorHAnsi" w:eastAsiaTheme="minorHAnsi" w:hAnsiTheme="minorHAnsi" w:cs="Arial"/>
                <w:sz w:val="22"/>
                <w:szCs w:val="22"/>
              </w:rPr>
              <w:t xml:space="preserve">nclude access to rapid assessment within 2 hours, diagnostics and or near patient testing, and an initial care plan or treatment commencement if required within 4 hours of assessment completion.  </w:t>
            </w:r>
          </w:p>
          <w:p w14:paraId="448DF14F" w14:textId="6EC7779E" w:rsidR="005B6D5E" w:rsidRPr="005B6D5E" w:rsidRDefault="005B6D5E" w:rsidP="005B6D5E">
            <w:pPr>
              <w:pStyle w:val="ListParagraph"/>
              <w:numPr>
                <w:ilvl w:val="0"/>
                <w:numId w:val="35"/>
              </w:numPr>
              <w:rPr>
                <w:rFonts w:asciiTheme="minorHAnsi" w:eastAsiaTheme="minorHAnsi" w:hAnsiTheme="minorHAnsi" w:cs="Arial"/>
                <w:sz w:val="22"/>
                <w:szCs w:val="22"/>
              </w:rPr>
            </w:pPr>
            <w:r w:rsidRPr="005B6D5E">
              <w:rPr>
                <w:rFonts w:asciiTheme="minorHAnsi" w:eastAsiaTheme="minorHAnsi" w:hAnsiTheme="minorHAnsi" w:cs="Arial"/>
                <w:sz w:val="22"/>
                <w:szCs w:val="22"/>
              </w:rPr>
              <w:t xml:space="preserve">Where an urgent care or </w:t>
            </w:r>
            <w:r w:rsidR="009C3E4A">
              <w:rPr>
                <w:rFonts w:asciiTheme="minorHAnsi" w:eastAsiaTheme="minorHAnsi" w:hAnsiTheme="minorHAnsi" w:cs="Arial"/>
                <w:sz w:val="22"/>
                <w:szCs w:val="22"/>
              </w:rPr>
              <w:t>E</w:t>
            </w:r>
            <w:r w:rsidRPr="005B6D5E">
              <w:rPr>
                <w:rFonts w:asciiTheme="minorHAnsi" w:eastAsiaTheme="minorHAnsi" w:hAnsiTheme="minorHAnsi" w:cs="Arial"/>
                <w:sz w:val="22"/>
                <w:szCs w:val="22"/>
              </w:rPr>
              <w:t xml:space="preserve">mergency </w:t>
            </w:r>
            <w:r w:rsidR="009C3E4A">
              <w:rPr>
                <w:rFonts w:asciiTheme="minorHAnsi" w:eastAsiaTheme="minorHAnsi" w:hAnsiTheme="minorHAnsi" w:cs="Arial"/>
                <w:sz w:val="22"/>
                <w:szCs w:val="22"/>
              </w:rPr>
              <w:t>D</w:t>
            </w:r>
            <w:r w:rsidRPr="005B6D5E">
              <w:rPr>
                <w:rFonts w:asciiTheme="minorHAnsi" w:eastAsiaTheme="minorHAnsi" w:hAnsiTheme="minorHAnsi" w:cs="Arial"/>
                <w:sz w:val="22"/>
                <w:szCs w:val="22"/>
              </w:rPr>
              <w:t xml:space="preserve">epartment </w:t>
            </w:r>
            <w:r w:rsidR="009C3E4A">
              <w:rPr>
                <w:rFonts w:asciiTheme="minorHAnsi" w:eastAsiaTheme="minorHAnsi" w:hAnsiTheme="minorHAnsi" w:cs="Arial"/>
                <w:sz w:val="22"/>
                <w:szCs w:val="22"/>
              </w:rPr>
              <w:t xml:space="preserve">(ED) </w:t>
            </w:r>
            <w:r w:rsidRPr="005B6D5E">
              <w:rPr>
                <w:rFonts w:asciiTheme="minorHAnsi" w:eastAsiaTheme="minorHAnsi" w:hAnsiTheme="minorHAnsi" w:cs="Arial"/>
                <w:sz w:val="22"/>
                <w:szCs w:val="22"/>
              </w:rPr>
              <w:t xml:space="preserve">attendance is ultimately required, the team should work with the acute or other provider to ensure that the service user can be returned home as quickly as possible where it is safe to do so following X ray or other diagnostic tests.  </w:t>
            </w:r>
          </w:p>
          <w:p w14:paraId="237DAEE5" w14:textId="77777777" w:rsidR="005B6D5E" w:rsidRDefault="005B6D5E" w:rsidP="005B6D5E">
            <w:pPr>
              <w:pStyle w:val="ListParagraph"/>
              <w:ind w:left="765"/>
              <w:jc w:val="both"/>
              <w:rPr>
                <w:rFonts w:asciiTheme="minorHAnsi" w:eastAsiaTheme="minorHAnsi" w:hAnsiTheme="minorHAnsi" w:cs="Arial"/>
                <w:sz w:val="22"/>
                <w:szCs w:val="22"/>
              </w:rPr>
            </w:pPr>
          </w:p>
          <w:p w14:paraId="404A0855" w14:textId="63D1347B" w:rsidR="00DC3BE7" w:rsidRPr="005B6D5E" w:rsidRDefault="00DC3BE7" w:rsidP="005B6D5E">
            <w:pPr>
              <w:jc w:val="both"/>
              <w:rPr>
                <w:rFonts w:asciiTheme="minorHAnsi" w:eastAsiaTheme="minorHAnsi" w:hAnsiTheme="minorHAnsi" w:cs="Arial"/>
                <w:sz w:val="22"/>
                <w:szCs w:val="22"/>
              </w:rPr>
            </w:pPr>
            <w:r w:rsidRPr="005B6D5E">
              <w:rPr>
                <w:rFonts w:asciiTheme="minorHAnsi" w:eastAsiaTheme="minorHAnsi" w:hAnsiTheme="minorHAnsi" w:cs="Arial"/>
                <w:sz w:val="22"/>
                <w:szCs w:val="22"/>
              </w:rPr>
              <w:t xml:space="preserve">Health and social care professionals </w:t>
            </w:r>
            <w:r w:rsidR="005B6D5E">
              <w:rPr>
                <w:rFonts w:asciiTheme="minorHAnsi" w:eastAsiaTheme="minorHAnsi" w:hAnsiTheme="minorHAnsi" w:cs="Arial"/>
                <w:sz w:val="22"/>
                <w:szCs w:val="22"/>
              </w:rPr>
              <w:t xml:space="preserve">should </w:t>
            </w:r>
            <w:r w:rsidRPr="005B6D5E">
              <w:rPr>
                <w:rFonts w:asciiTheme="minorHAnsi" w:eastAsiaTheme="minorHAnsi" w:hAnsiTheme="minorHAnsi" w:cs="Arial"/>
                <w:sz w:val="22"/>
                <w:szCs w:val="22"/>
              </w:rPr>
              <w:t xml:space="preserve">be able to directly access the </w:t>
            </w:r>
            <w:r w:rsidR="0031543D">
              <w:rPr>
                <w:rFonts w:asciiTheme="minorHAnsi" w:eastAsiaTheme="minorHAnsi" w:hAnsiTheme="minorHAnsi" w:cs="Arial"/>
                <w:sz w:val="22"/>
                <w:szCs w:val="22"/>
              </w:rPr>
              <w:t>urgent care function</w:t>
            </w:r>
            <w:r w:rsidRPr="005B6D5E">
              <w:rPr>
                <w:rFonts w:asciiTheme="minorHAnsi" w:eastAsiaTheme="minorHAnsi" w:hAnsiTheme="minorHAnsi" w:cs="Arial"/>
                <w:sz w:val="22"/>
                <w:szCs w:val="22"/>
              </w:rPr>
              <w:t xml:space="preserve"> for advice, guidance and information. </w:t>
            </w:r>
          </w:p>
          <w:p w14:paraId="732E707B" w14:textId="77777777" w:rsidR="00DC3BE7" w:rsidRPr="00DC3BE7" w:rsidRDefault="00DC3BE7" w:rsidP="00DC3BE7">
            <w:pPr>
              <w:jc w:val="both"/>
              <w:rPr>
                <w:rFonts w:asciiTheme="minorHAnsi" w:eastAsiaTheme="minorHAnsi" w:hAnsiTheme="minorHAnsi" w:cs="Arial"/>
                <w:sz w:val="22"/>
                <w:szCs w:val="22"/>
              </w:rPr>
            </w:pPr>
          </w:p>
          <w:p w14:paraId="579E0316" w14:textId="68D22DF9"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ensure that all patients have a</w:t>
            </w:r>
            <w:r w:rsidR="00164D2D">
              <w:rPr>
                <w:rFonts w:asciiTheme="minorHAnsi" w:eastAsiaTheme="minorHAnsi" w:hAnsiTheme="minorHAnsi" w:cs="Arial"/>
                <w:sz w:val="22"/>
                <w:szCs w:val="22"/>
              </w:rPr>
              <w:t xml:space="preserve"> personalised </w:t>
            </w:r>
            <w:r w:rsidRPr="00164D2D">
              <w:rPr>
                <w:rFonts w:asciiTheme="minorHAnsi" w:eastAsiaTheme="minorHAnsi" w:hAnsiTheme="minorHAnsi" w:cstheme="minorHAnsi"/>
                <w:sz w:val="22"/>
                <w:szCs w:val="22"/>
              </w:rPr>
              <w:t>IMP</w:t>
            </w:r>
            <w:r w:rsidRPr="00164D2D">
              <w:rPr>
                <w:rFonts w:asciiTheme="minorHAnsi" w:eastAsiaTheme="minorHAnsi" w:hAnsiTheme="minorHAnsi" w:cs="Arial"/>
                <w:sz w:val="22"/>
                <w:szCs w:val="22"/>
              </w:rPr>
              <w:t xml:space="preserve"> that </w:t>
            </w:r>
            <w:r w:rsidR="00164D2D">
              <w:rPr>
                <w:rFonts w:asciiTheme="minorHAnsi" w:eastAsiaTheme="minorHAnsi" w:hAnsiTheme="minorHAnsi" w:cs="Arial"/>
                <w:sz w:val="22"/>
                <w:szCs w:val="22"/>
              </w:rPr>
              <w:t xml:space="preserve">is electronic and </w:t>
            </w:r>
            <w:r w:rsidRPr="00164D2D">
              <w:rPr>
                <w:rFonts w:asciiTheme="minorHAnsi" w:eastAsiaTheme="minorHAnsi" w:hAnsiTheme="minorHAnsi" w:cs="Arial"/>
                <w:sz w:val="22"/>
                <w:szCs w:val="22"/>
              </w:rPr>
              <w:t>can</w:t>
            </w:r>
            <w:r w:rsidRPr="00DC3BE7">
              <w:rPr>
                <w:rFonts w:asciiTheme="minorHAnsi" w:eastAsiaTheme="minorHAnsi" w:hAnsiTheme="minorHAnsi" w:cs="Arial"/>
                <w:sz w:val="22"/>
                <w:szCs w:val="22"/>
              </w:rPr>
              <w:t xml:space="preserve"> be accessed to support the urgent response function, to help inform decision making and triage. The most complex patients will have an assigned named </w:t>
            </w:r>
            <w:r w:rsidRPr="00EE3005">
              <w:rPr>
                <w:rFonts w:asciiTheme="minorHAnsi" w:eastAsiaTheme="minorHAnsi" w:hAnsiTheme="minorHAnsi" w:cs="Arial"/>
                <w:sz w:val="22"/>
                <w:szCs w:val="22"/>
              </w:rPr>
              <w:t>S</w:t>
            </w:r>
            <w:r w:rsidR="00C72F27">
              <w:rPr>
                <w:rFonts w:asciiTheme="minorHAnsi" w:eastAsiaTheme="minorHAnsi" w:hAnsiTheme="minorHAnsi" w:cs="Arial"/>
                <w:sz w:val="22"/>
                <w:szCs w:val="22"/>
              </w:rPr>
              <w:t xml:space="preserve">enior Community Clinician (SCC) </w:t>
            </w:r>
            <w:r w:rsidRPr="00DC3BE7">
              <w:rPr>
                <w:rFonts w:asciiTheme="minorHAnsi" w:eastAsiaTheme="minorHAnsi" w:hAnsiTheme="minorHAnsi" w:cs="Arial"/>
                <w:sz w:val="22"/>
                <w:szCs w:val="22"/>
              </w:rPr>
              <w:t>as the point of contact for any queries the patient, or their family or carers may have.  To provide consistency and continuity of care, the Provider will ensure that those patients, who have a named S</w:t>
            </w:r>
            <w:r w:rsidR="00EE3005">
              <w:rPr>
                <w:rFonts w:asciiTheme="minorHAnsi" w:eastAsiaTheme="minorHAnsi" w:hAnsiTheme="minorHAnsi" w:cs="Arial"/>
                <w:sz w:val="22"/>
                <w:szCs w:val="22"/>
              </w:rPr>
              <w:t>CC</w:t>
            </w:r>
            <w:r w:rsidRPr="00DC3BE7">
              <w:rPr>
                <w:rFonts w:asciiTheme="minorHAnsi" w:eastAsiaTheme="minorHAnsi" w:hAnsiTheme="minorHAnsi" w:cs="Arial"/>
                <w:sz w:val="22"/>
                <w:szCs w:val="22"/>
              </w:rPr>
              <w:t xml:space="preserve"> will where possible, receive an urgent response from their designated named clinician or a member of their local clinical team.  Where this is not possible, patients will still receive an urgent response within two hours from a clinician appropriate to the patient’s needs.</w:t>
            </w:r>
          </w:p>
          <w:p w14:paraId="3864A2E7" w14:textId="77777777" w:rsidR="000241D7" w:rsidRDefault="000241D7" w:rsidP="00DC3BE7">
            <w:pPr>
              <w:jc w:val="both"/>
              <w:rPr>
                <w:rFonts w:asciiTheme="minorHAnsi" w:eastAsiaTheme="minorHAnsi" w:hAnsiTheme="minorHAnsi" w:cs="Arial"/>
                <w:sz w:val="22"/>
                <w:szCs w:val="22"/>
              </w:rPr>
            </w:pPr>
          </w:p>
          <w:p w14:paraId="2BD8291F" w14:textId="67314C65" w:rsidR="0002370F"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outcome of the triage process for all callers requesting an urgent response will follow formal pathways agreed between the Provider and other relevant organisations i.e. primary care, social care, </w:t>
            </w:r>
            <w:r w:rsidR="00B52498">
              <w:rPr>
                <w:rFonts w:asciiTheme="minorHAnsi" w:eastAsiaTheme="minorHAnsi" w:hAnsiTheme="minorHAnsi" w:cs="Arial"/>
                <w:sz w:val="22"/>
                <w:szCs w:val="22"/>
              </w:rPr>
              <w:t xml:space="preserve">local ambulance service (SECAmb), </w:t>
            </w:r>
            <w:r w:rsidR="007267BE">
              <w:rPr>
                <w:rFonts w:asciiTheme="minorHAnsi" w:eastAsiaTheme="minorHAnsi" w:hAnsiTheme="minorHAnsi" w:cs="Arial"/>
                <w:sz w:val="22"/>
                <w:szCs w:val="22"/>
              </w:rPr>
              <w:t xml:space="preserve">mental health services and </w:t>
            </w:r>
            <w:r w:rsidRPr="00DC3BE7">
              <w:rPr>
                <w:rFonts w:asciiTheme="minorHAnsi" w:eastAsiaTheme="minorHAnsi" w:hAnsiTheme="minorHAnsi" w:cs="Arial"/>
                <w:sz w:val="22"/>
                <w:szCs w:val="22"/>
              </w:rPr>
              <w:t xml:space="preserve">Out of Hours </w:t>
            </w:r>
            <w:r w:rsidR="003B393A">
              <w:rPr>
                <w:rFonts w:asciiTheme="minorHAnsi" w:eastAsiaTheme="minorHAnsi" w:hAnsiTheme="minorHAnsi" w:cs="Arial"/>
                <w:sz w:val="22"/>
                <w:szCs w:val="22"/>
              </w:rPr>
              <w:t>s</w:t>
            </w:r>
            <w:r w:rsidRPr="00DC3BE7">
              <w:rPr>
                <w:rFonts w:asciiTheme="minorHAnsi" w:eastAsiaTheme="minorHAnsi" w:hAnsiTheme="minorHAnsi" w:cs="Arial"/>
                <w:sz w:val="22"/>
                <w:szCs w:val="22"/>
              </w:rPr>
              <w:t xml:space="preserve">ervices etc.  This means that for some patients, the two hour response will help to resolve </w:t>
            </w:r>
            <w:r w:rsidR="00E4528A">
              <w:rPr>
                <w:rFonts w:asciiTheme="minorHAnsi" w:eastAsiaTheme="minorHAnsi" w:hAnsiTheme="minorHAnsi" w:cs="Arial"/>
                <w:sz w:val="22"/>
                <w:szCs w:val="22"/>
              </w:rPr>
              <w:t xml:space="preserve">immediate issues </w:t>
            </w:r>
            <w:r w:rsidR="00815AE2">
              <w:rPr>
                <w:rFonts w:asciiTheme="minorHAnsi" w:eastAsiaTheme="minorHAnsi" w:hAnsiTheme="minorHAnsi" w:cs="Arial"/>
                <w:sz w:val="22"/>
                <w:szCs w:val="22"/>
              </w:rPr>
              <w:t xml:space="preserve">to avoid exacerbation and enable support to be </w:t>
            </w:r>
            <w:r w:rsidR="007267BE">
              <w:rPr>
                <w:rFonts w:asciiTheme="minorHAnsi" w:eastAsiaTheme="minorHAnsi" w:hAnsiTheme="minorHAnsi" w:cs="Arial"/>
                <w:sz w:val="22"/>
                <w:szCs w:val="22"/>
              </w:rPr>
              <w:t xml:space="preserve">co-ordinated and </w:t>
            </w:r>
            <w:r w:rsidR="00815AE2">
              <w:rPr>
                <w:rFonts w:asciiTheme="minorHAnsi" w:eastAsiaTheme="minorHAnsi" w:hAnsiTheme="minorHAnsi" w:cs="Arial"/>
                <w:sz w:val="22"/>
                <w:szCs w:val="22"/>
              </w:rPr>
              <w:t>put in place</w:t>
            </w:r>
            <w:r w:rsidR="007267BE">
              <w:rPr>
                <w:rFonts w:asciiTheme="minorHAnsi" w:eastAsiaTheme="minorHAnsi" w:hAnsiTheme="minorHAnsi" w:cs="Arial"/>
                <w:sz w:val="22"/>
                <w:szCs w:val="22"/>
              </w:rPr>
              <w:t xml:space="preserve"> to help </w:t>
            </w:r>
            <w:r w:rsidR="00972252">
              <w:rPr>
                <w:rFonts w:asciiTheme="minorHAnsi" w:eastAsiaTheme="minorHAnsi" w:hAnsiTheme="minorHAnsi" w:cs="Arial"/>
                <w:sz w:val="22"/>
                <w:szCs w:val="22"/>
              </w:rPr>
              <w:t xml:space="preserve">avoid unnecessary </w:t>
            </w:r>
            <w:r w:rsidR="00DE2F0D">
              <w:rPr>
                <w:rFonts w:asciiTheme="minorHAnsi" w:eastAsiaTheme="minorHAnsi" w:hAnsiTheme="minorHAnsi" w:cs="Arial"/>
                <w:sz w:val="22"/>
                <w:szCs w:val="22"/>
              </w:rPr>
              <w:t>a</w:t>
            </w:r>
            <w:r w:rsidRPr="00DC3BE7">
              <w:rPr>
                <w:rFonts w:asciiTheme="minorHAnsi" w:eastAsiaTheme="minorHAnsi" w:hAnsiTheme="minorHAnsi" w:cs="Arial"/>
                <w:sz w:val="22"/>
                <w:szCs w:val="22"/>
              </w:rPr>
              <w:t>ttendances or admissions to hospital. All patients will receive a response to their immediate needs.  When there is a significant change in a patient’s condition or they deteriorate or other issues arise, their named S</w:t>
            </w:r>
            <w:r w:rsidR="00EE3005">
              <w:rPr>
                <w:rFonts w:asciiTheme="minorHAnsi" w:eastAsiaTheme="minorHAnsi" w:hAnsiTheme="minorHAnsi" w:cs="Arial"/>
                <w:sz w:val="22"/>
                <w:szCs w:val="22"/>
              </w:rPr>
              <w:t>CC</w:t>
            </w:r>
            <w:r w:rsidRPr="00DC3BE7">
              <w:rPr>
                <w:rFonts w:asciiTheme="minorHAnsi" w:eastAsiaTheme="minorHAnsi" w:hAnsiTheme="minorHAnsi" w:cs="Arial"/>
                <w:sz w:val="22"/>
                <w:szCs w:val="22"/>
              </w:rPr>
              <w:t xml:space="preserve"> will refer them back to the </w:t>
            </w:r>
            <w:r w:rsidR="00972252">
              <w:rPr>
                <w:rFonts w:asciiTheme="minorHAnsi" w:eastAsiaTheme="minorHAnsi" w:hAnsiTheme="minorHAnsi" w:cs="Arial"/>
                <w:sz w:val="22"/>
                <w:szCs w:val="22"/>
              </w:rPr>
              <w:t xml:space="preserve">local </w:t>
            </w:r>
            <w:r w:rsidRPr="00476769">
              <w:rPr>
                <w:rFonts w:asciiTheme="minorHAnsi" w:eastAsiaTheme="minorHAnsi" w:hAnsiTheme="minorHAnsi" w:cs="Arial"/>
                <w:sz w:val="22"/>
                <w:szCs w:val="22"/>
              </w:rPr>
              <w:t>ILR</w:t>
            </w:r>
            <w:r w:rsidRPr="00DC3BE7">
              <w:rPr>
                <w:rFonts w:asciiTheme="minorHAnsi" w:eastAsiaTheme="minorHAnsi" w:hAnsiTheme="minorHAnsi" w:cs="Arial"/>
                <w:sz w:val="22"/>
                <w:szCs w:val="22"/>
              </w:rPr>
              <w:t xml:space="preserve"> for their</w:t>
            </w:r>
            <w:r w:rsidR="00972252">
              <w:rPr>
                <w:rFonts w:asciiTheme="minorHAnsi" w:eastAsiaTheme="minorHAnsi" w:hAnsiTheme="minorHAnsi" w:cs="Arial"/>
                <w:sz w:val="22"/>
                <w:szCs w:val="22"/>
              </w:rPr>
              <w:t xml:space="preserve"> personalised </w:t>
            </w:r>
            <w:r w:rsidRPr="00DC3BE7">
              <w:rPr>
                <w:rFonts w:asciiTheme="minorHAnsi" w:eastAsiaTheme="minorHAnsi" w:hAnsiTheme="minorHAnsi" w:cs="Arial"/>
                <w:sz w:val="22"/>
                <w:szCs w:val="22"/>
              </w:rPr>
              <w:t>IMP to be reviewed and updated.</w:t>
            </w:r>
            <w:r w:rsidR="0002370F">
              <w:rPr>
                <w:rFonts w:asciiTheme="minorHAnsi" w:eastAsiaTheme="minorHAnsi" w:hAnsiTheme="minorHAnsi" w:cs="Arial"/>
                <w:sz w:val="22"/>
                <w:szCs w:val="22"/>
              </w:rPr>
              <w:t xml:space="preserve"> </w:t>
            </w:r>
            <w:r w:rsidR="00EB36E1">
              <w:rPr>
                <w:rFonts w:asciiTheme="minorHAnsi" w:eastAsiaTheme="minorHAnsi" w:hAnsiTheme="minorHAnsi" w:cs="Arial"/>
                <w:sz w:val="22"/>
                <w:szCs w:val="22"/>
              </w:rPr>
              <w:t>T</w:t>
            </w:r>
            <w:r w:rsidRPr="00DC3BE7">
              <w:rPr>
                <w:rFonts w:asciiTheme="minorHAnsi" w:eastAsiaTheme="minorHAnsi" w:hAnsiTheme="minorHAnsi" w:cs="Arial"/>
                <w:sz w:val="22"/>
                <w:szCs w:val="22"/>
              </w:rPr>
              <w:t>he urgent response function will provide access to the relevant specialist</w:t>
            </w:r>
            <w:r w:rsidR="002D7C9A">
              <w:rPr>
                <w:rFonts w:asciiTheme="minorHAnsi" w:eastAsiaTheme="minorHAnsi" w:hAnsiTheme="minorHAnsi" w:cs="Arial"/>
                <w:sz w:val="22"/>
                <w:szCs w:val="22"/>
              </w:rPr>
              <w:t xml:space="preserve"> nurses and </w:t>
            </w:r>
            <w:proofErr w:type="spellStart"/>
            <w:r w:rsidR="002D7C9A">
              <w:rPr>
                <w:rFonts w:asciiTheme="minorHAnsi" w:eastAsiaTheme="minorHAnsi" w:hAnsiTheme="minorHAnsi" w:cs="Arial"/>
                <w:sz w:val="22"/>
                <w:szCs w:val="22"/>
              </w:rPr>
              <w:t>therapists</w:t>
            </w:r>
            <w:r w:rsidRPr="00DC3BE7">
              <w:rPr>
                <w:rFonts w:asciiTheme="minorHAnsi" w:eastAsiaTheme="minorHAnsi" w:hAnsiTheme="minorHAnsi" w:cs="Arial"/>
                <w:sz w:val="22"/>
                <w:szCs w:val="22"/>
              </w:rPr>
              <w:t>to</w:t>
            </w:r>
            <w:proofErr w:type="spellEnd"/>
            <w:r w:rsidRPr="00DC3BE7">
              <w:rPr>
                <w:rFonts w:asciiTheme="minorHAnsi" w:eastAsiaTheme="minorHAnsi" w:hAnsiTheme="minorHAnsi" w:cs="Arial"/>
                <w:sz w:val="22"/>
                <w:szCs w:val="22"/>
              </w:rPr>
              <w:t xml:space="preserve"> assess and treat early onset exacerbations of long term conditions.  </w:t>
            </w:r>
          </w:p>
          <w:p w14:paraId="211B23F3" w14:textId="77777777" w:rsidR="0002370F" w:rsidRDefault="0002370F" w:rsidP="00DC3BE7">
            <w:pPr>
              <w:jc w:val="both"/>
              <w:rPr>
                <w:rFonts w:asciiTheme="minorHAnsi" w:eastAsiaTheme="minorHAnsi" w:hAnsiTheme="minorHAnsi" w:cs="Arial"/>
                <w:sz w:val="22"/>
                <w:szCs w:val="22"/>
              </w:rPr>
            </w:pPr>
          </w:p>
          <w:p w14:paraId="41A0BD20" w14:textId="569EAD3D"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ensure </w:t>
            </w:r>
            <w:proofErr w:type="gramStart"/>
            <w:r w:rsidRPr="00656643">
              <w:rPr>
                <w:rFonts w:asciiTheme="minorHAnsi" w:eastAsiaTheme="minorHAnsi" w:hAnsiTheme="minorHAnsi" w:cs="Arial"/>
                <w:sz w:val="22"/>
                <w:szCs w:val="22"/>
              </w:rPr>
              <w:t xml:space="preserve">that </w:t>
            </w:r>
            <w:r w:rsidR="000529C9" w:rsidRPr="00CA0930">
              <w:rPr>
                <w:rFonts w:asciiTheme="minorHAnsi" w:eastAsiaTheme="minorHAnsi" w:hAnsiTheme="minorHAnsi" w:cs="Arial"/>
                <w:sz w:val="22"/>
                <w:szCs w:val="22"/>
              </w:rPr>
              <w:t xml:space="preserve"> contractual</w:t>
            </w:r>
            <w:proofErr w:type="gramEnd"/>
            <w:r w:rsidR="000529C9" w:rsidRPr="00CA0930">
              <w:rPr>
                <w:rFonts w:asciiTheme="minorHAnsi" w:eastAsiaTheme="minorHAnsi" w:hAnsiTheme="minorHAnsi" w:cs="Arial"/>
                <w:sz w:val="22"/>
                <w:szCs w:val="22"/>
              </w:rPr>
              <w:t xml:space="preserve"> arrangements</w:t>
            </w:r>
            <w:r w:rsidR="000529C9">
              <w:rPr>
                <w:rFonts w:asciiTheme="minorHAnsi" w:eastAsiaTheme="minorHAnsi" w:hAnsiTheme="minorHAnsi" w:cs="Arial"/>
                <w:sz w:val="22"/>
                <w:szCs w:val="22"/>
              </w:rPr>
              <w:t xml:space="preserve"> are in place </w:t>
            </w:r>
            <w:r w:rsidR="00C05EB7">
              <w:rPr>
                <w:rFonts w:asciiTheme="minorHAnsi" w:eastAsiaTheme="minorHAnsi" w:hAnsiTheme="minorHAnsi" w:cs="Arial"/>
                <w:sz w:val="22"/>
                <w:szCs w:val="22"/>
              </w:rPr>
              <w:t xml:space="preserve">with secondary care providers </w:t>
            </w:r>
            <w:r w:rsidR="005B44BD">
              <w:rPr>
                <w:rFonts w:asciiTheme="minorHAnsi" w:eastAsiaTheme="minorHAnsi" w:hAnsiTheme="minorHAnsi" w:cs="Arial"/>
                <w:sz w:val="22"/>
                <w:szCs w:val="22"/>
              </w:rPr>
              <w:t xml:space="preserve">to enable access to </w:t>
            </w:r>
            <w:r w:rsidR="00D146B4">
              <w:rPr>
                <w:rFonts w:asciiTheme="minorHAnsi" w:eastAsiaTheme="minorHAnsi" w:hAnsiTheme="minorHAnsi" w:cs="Arial"/>
                <w:sz w:val="22"/>
                <w:szCs w:val="22"/>
              </w:rPr>
              <w:t>s</w:t>
            </w:r>
            <w:r w:rsidRPr="00DC3BE7">
              <w:rPr>
                <w:rFonts w:asciiTheme="minorHAnsi" w:eastAsiaTheme="minorHAnsi" w:hAnsiTheme="minorHAnsi" w:cs="Arial"/>
                <w:sz w:val="22"/>
                <w:szCs w:val="22"/>
              </w:rPr>
              <w:t>pecialist support from acute consultants</w:t>
            </w:r>
            <w:r w:rsidR="005B44BD">
              <w:rPr>
                <w:rFonts w:asciiTheme="minorHAnsi" w:eastAsiaTheme="minorHAnsi" w:hAnsiTheme="minorHAnsi" w:cs="Arial"/>
                <w:sz w:val="22"/>
                <w:szCs w:val="22"/>
              </w:rPr>
              <w:t xml:space="preserve">, </w:t>
            </w:r>
            <w:r w:rsidRPr="00DC3BE7">
              <w:rPr>
                <w:rFonts w:asciiTheme="minorHAnsi" w:eastAsiaTheme="minorHAnsi" w:hAnsiTheme="minorHAnsi" w:cs="Arial"/>
                <w:sz w:val="22"/>
                <w:szCs w:val="22"/>
              </w:rPr>
              <w:t>so that high-risk patients have robust management plans and access to standby medications to support home treatment during exacerbations.</w:t>
            </w:r>
          </w:p>
          <w:p w14:paraId="2B6BA439" w14:textId="77777777" w:rsidR="00EB36E1" w:rsidRDefault="00EB36E1" w:rsidP="00DC3BE7">
            <w:pPr>
              <w:jc w:val="both"/>
              <w:rPr>
                <w:rFonts w:asciiTheme="minorHAnsi" w:eastAsiaTheme="minorHAnsi" w:hAnsiTheme="minorHAnsi" w:cs="Arial"/>
                <w:sz w:val="22"/>
                <w:szCs w:val="22"/>
              </w:rPr>
            </w:pPr>
          </w:p>
          <w:p w14:paraId="5B87E5AA" w14:textId="1141CB8C" w:rsidR="00EB36E1" w:rsidRDefault="00EB36E1" w:rsidP="00DC3BE7">
            <w:pPr>
              <w:jc w:val="both"/>
              <w:rPr>
                <w:rFonts w:asciiTheme="minorHAnsi" w:eastAsiaTheme="minorHAnsi" w:hAnsiTheme="minorHAnsi" w:cs="Arial"/>
                <w:sz w:val="22"/>
                <w:szCs w:val="22"/>
              </w:rPr>
            </w:pPr>
            <w:r>
              <w:rPr>
                <w:rFonts w:asciiTheme="minorHAnsi" w:eastAsiaTheme="minorHAnsi" w:hAnsiTheme="minorHAnsi" w:cs="Arial"/>
                <w:sz w:val="22"/>
                <w:szCs w:val="22"/>
              </w:rPr>
              <w:t xml:space="preserve">In addition to responding to patients </w:t>
            </w:r>
            <w:r w:rsidR="00820E01">
              <w:rPr>
                <w:rFonts w:asciiTheme="minorHAnsi" w:eastAsiaTheme="minorHAnsi" w:hAnsiTheme="minorHAnsi" w:cs="Arial"/>
                <w:sz w:val="22"/>
                <w:szCs w:val="22"/>
              </w:rPr>
              <w:t xml:space="preserve">in the community </w:t>
            </w:r>
            <w:r w:rsidR="005F0CEA">
              <w:rPr>
                <w:rFonts w:asciiTheme="minorHAnsi" w:eastAsiaTheme="minorHAnsi" w:hAnsiTheme="minorHAnsi" w:cs="Arial"/>
                <w:sz w:val="22"/>
                <w:szCs w:val="22"/>
              </w:rPr>
              <w:t xml:space="preserve">in crisis, </w:t>
            </w:r>
            <w:r w:rsidR="00F35CF5">
              <w:rPr>
                <w:rFonts w:asciiTheme="minorHAnsi" w:eastAsiaTheme="minorHAnsi" w:hAnsiTheme="minorHAnsi" w:cs="Arial"/>
                <w:sz w:val="22"/>
                <w:szCs w:val="22"/>
              </w:rPr>
              <w:t xml:space="preserve">staff will also </w:t>
            </w:r>
            <w:r w:rsidR="00870BD3">
              <w:rPr>
                <w:rFonts w:asciiTheme="minorHAnsi" w:eastAsiaTheme="minorHAnsi" w:hAnsiTheme="minorHAnsi" w:cs="Arial"/>
                <w:sz w:val="22"/>
                <w:szCs w:val="22"/>
              </w:rPr>
              <w:t xml:space="preserve">provide </w:t>
            </w:r>
            <w:r w:rsidR="00F35CF5">
              <w:rPr>
                <w:rFonts w:asciiTheme="minorHAnsi" w:eastAsiaTheme="minorHAnsi" w:hAnsiTheme="minorHAnsi" w:cs="Arial"/>
                <w:sz w:val="22"/>
                <w:szCs w:val="22"/>
              </w:rPr>
              <w:t xml:space="preserve">supported discharge </w:t>
            </w:r>
            <w:r w:rsidR="00870BD3">
              <w:rPr>
                <w:rFonts w:asciiTheme="minorHAnsi" w:eastAsiaTheme="minorHAnsi" w:hAnsiTheme="minorHAnsi" w:cs="Arial"/>
                <w:sz w:val="22"/>
                <w:szCs w:val="22"/>
              </w:rPr>
              <w:t xml:space="preserve">for patients in </w:t>
            </w:r>
            <w:r w:rsidR="00164426">
              <w:rPr>
                <w:rFonts w:asciiTheme="minorHAnsi" w:eastAsiaTheme="minorHAnsi" w:hAnsiTheme="minorHAnsi" w:cs="Arial"/>
                <w:sz w:val="22"/>
                <w:szCs w:val="22"/>
              </w:rPr>
              <w:t xml:space="preserve">hospital </w:t>
            </w:r>
            <w:r w:rsidR="00870BD3">
              <w:rPr>
                <w:rFonts w:asciiTheme="minorHAnsi" w:eastAsiaTheme="minorHAnsi" w:hAnsiTheme="minorHAnsi" w:cs="Arial"/>
                <w:sz w:val="22"/>
                <w:szCs w:val="22"/>
              </w:rPr>
              <w:t xml:space="preserve">to enable them to return home </w:t>
            </w:r>
            <w:r w:rsidR="00164426">
              <w:rPr>
                <w:rFonts w:asciiTheme="minorHAnsi" w:eastAsiaTheme="minorHAnsi" w:hAnsiTheme="minorHAnsi" w:cs="Arial"/>
                <w:sz w:val="22"/>
                <w:szCs w:val="22"/>
              </w:rPr>
              <w:t>with a</w:t>
            </w:r>
            <w:r w:rsidR="00F35CF5">
              <w:rPr>
                <w:rFonts w:asciiTheme="minorHAnsi" w:eastAsiaTheme="minorHAnsi" w:hAnsiTheme="minorHAnsi" w:cs="Arial"/>
                <w:sz w:val="22"/>
                <w:szCs w:val="22"/>
              </w:rPr>
              <w:t xml:space="preserve"> </w:t>
            </w:r>
            <w:r w:rsidR="00E464AF">
              <w:rPr>
                <w:rFonts w:asciiTheme="minorHAnsi" w:eastAsiaTheme="minorHAnsi" w:hAnsiTheme="minorHAnsi" w:cs="Arial"/>
                <w:sz w:val="22"/>
                <w:szCs w:val="22"/>
              </w:rPr>
              <w:t xml:space="preserve">short-term </w:t>
            </w:r>
            <w:r w:rsidR="00F35CF5">
              <w:rPr>
                <w:rFonts w:asciiTheme="minorHAnsi" w:eastAsiaTheme="minorHAnsi" w:hAnsiTheme="minorHAnsi" w:cs="Arial"/>
                <w:sz w:val="22"/>
                <w:szCs w:val="22"/>
              </w:rPr>
              <w:t>re-</w:t>
            </w:r>
            <w:proofErr w:type="spellStart"/>
            <w:r w:rsidR="00F35CF5">
              <w:rPr>
                <w:rFonts w:asciiTheme="minorHAnsi" w:eastAsiaTheme="minorHAnsi" w:hAnsiTheme="minorHAnsi" w:cs="Arial"/>
                <w:sz w:val="22"/>
                <w:szCs w:val="22"/>
              </w:rPr>
              <w:t>ablement</w:t>
            </w:r>
            <w:proofErr w:type="spellEnd"/>
            <w:r w:rsidR="00164426">
              <w:rPr>
                <w:rFonts w:asciiTheme="minorHAnsi" w:eastAsiaTheme="minorHAnsi" w:hAnsiTheme="minorHAnsi" w:cs="Arial"/>
                <w:sz w:val="22"/>
                <w:szCs w:val="22"/>
              </w:rPr>
              <w:t xml:space="preserve"> package of care</w:t>
            </w:r>
            <w:r w:rsidR="00E464AF">
              <w:rPr>
                <w:rFonts w:asciiTheme="minorHAnsi" w:eastAsiaTheme="minorHAnsi" w:hAnsiTheme="minorHAnsi" w:cs="Arial"/>
                <w:sz w:val="22"/>
                <w:szCs w:val="22"/>
              </w:rPr>
              <w:t xml:space="preserve"> </w:t>
            </w:r>
            <w:r w:rsidR="00215C9E">
              <w:rPr>
                <w:rFonts w:asciiTheme="minorHAnsi" w:eastAsiaTheme="minorHAnsi" w:hAnsiTheme="minorHAnsi" w:cs="Arial"/>
                <w:sz w:val="22"/>
                <w:szCs w:val="22"/>
              </w:rPr>
              <w:t xml:space="preserve">(POC) </w:t>
            </w:r>
            <w:r w:rsidR="00E464AF">
              <w:rPr>
                <w:rFonts w:asciiTheme="minorHAnsi" w:eastAsiaTheme="minorHAnsi" w:hAnsiTheme="minorHAnsi" w:cs="Arial"/>
                <w:sz w:val="22"/>
                <w:szCs w:val="22"/>
              </w:rPr>
              <w:t>for up to six weeks</w:t>
            </w:r>
            <w:r w:rsidR="0063699E">
              <w:rPr>
                <w:rFonts w:asciiTheme="minorHAnsi" w:eastAsiaTheme="minorHAnsi" w:hAnsiTheme="minorHAnsi" w:cs="Arial"/>
                <w:sz w:val="22"/>
                <w:szCs w:val="22"/>
              </w:rPr>
              <w:t>.</w:t>
            </w:r>
            <w:r w:rsidR="00E464AF">
              <w:rPr>
                <w:rFonts w:asciiTheme="minorHAnsi" w:eastAsiaTheme="minorHAnsi" w:hAnsiTheme="minorHAnsi" w:cs="Arial"/>
                <w:sz w:val="22"/>
                <w:szCs w:val="22"/>
              </w:rPr>
              <w:t xml:space="preserve">  </w:t>
            </w:r>
            <w:r w:rsidR="0063699E">
              <w:rPr>
                <w:rFonts w:asciiTheme="minorHAnsi" w:eastAsiaTheme="minorHAnsi" w:hAnsiTheme="minorHAnsi" w:cs="Arial"/>
                <w:sz w:val="22"/>
                <w:szCs w:val="22"/>
              </w:rPr>
              <w:t xml:space="preserve">  </w:t>
            </w:r>
            <w:r w:rsidR="008E5F44">
              <w:rPr>
                <w:rFonts w:asciiTheme="minorHAnsi" w:eastAsiaTheme="minorHAnsi" w:hAnsiTheme="minorHAnsi" w:cs="Arial"/>
                <w:sz w:val="22"/>
                <w:szCs w:val="22"/>
              </w:rPr>
              <w:t>Staff will work with the Integrated Discharge Service at Medway NHS Foundation Trust to ensure that a</w:t>
            </w:r>
            <w:r w:rsidR="006A3199">
              <w:rPr>
                <w:rFonts w:asciiTheme="minorHAnsi" w:eastAsiaTheme="minorHAnsi" w:hAnsiTheme="minorHAnsi" w:cs="Arial"/>
                <w:sz w:val="22"/>
                <w:szCs w:val="22"/>
              </w:rPr>
              <w:t>n effective discharge is facilitated</w:t>
            </w:r>
            <w:r w:rsidR="0072217A">
              <w:rPr>
                <w:rFonts w:asciiTheme="minorHAnsi" w:eastAsiaTheme="minorHAnsi" w:hAnsiTheme="minorHAnsi" w:cs="Arial"/>
                <w:sz w:val="22"/>
                <w:szCs w:val="22"/>
              </w:rPr>
              <w:t>.</w:t>
            </w:r>
            <w:r w:rsidR="00215C9E">
              <w:rPr>
                <w:rFonts w:asciiTheme="minorHAnsi" w:eastAsiaTheme="minorHAnsi" w:hAnsiTheme="minorHAnsi" w:cs="Arial"/>
                <w:sz w:val="22"/>
                <w:szCs w:val="22"/>
              </w:rPr>
              <w:t xml:space="preserve">  The Provider will need to work with </w:t>
            </w:r>
            <w:r w:rsidR="00B6477C">
              <w:rPr>
                <w:rFonts w:asciiTheme="minorHAnsi" w:eastAsiaTheme="minorHAnsi" w:hAnsiTheme="minorHAnsi" w:cs="Arial"/>
                <w:sz w:val="22"/>
                <w:szCs w:val="22"/>
              </w:rPr>
              <w:t>Medway Council to facilitate a POC.</w:t>
            </w:r>
            <w:r w:rsidR="008E5F44">
              <w:rPr>
                <w:rFonts w:asciiTheme="minorHAnsi" w:eastAsiaTheme="minorHAnsi" w:hAnsiTheme="minorHAnsi" w:cs="Arial"/>
                <w:sz w:val="22"/>
                <w:szCs w:val="22"/>
              </w:rPr>
              <w:t xml:space="preserve"> </w:t>
            </w:r>
          </w:p>
          <w:p w14:paraId="103CD4A6" w14:textId="77777777" w:rsidR="003B3341" w:rsidRDefault="003B3341" w:rsidP="00DC3BE7">
            <w:pPr>
              <w:jc w:val="both"/>
              <w:rPr>
                <w:rFonts w:asciiTheme="minorHAnsi" w:eastAsiaTheme="minorHAnsi" w:hAnsiTheme="minorHAnsi" w:cs="Arial"/>
                <w:sz w:val="22"/>
                <w:szCs w:val="22"/>
              </w:rPr>
            </w:pPr>
          </w:p>
          <w:p w14:paraId="08B6A74B" w14:textId="3F2A000A" w:rsidR="003B3341" w:rsidRPr="00DC3BE7" w:rsidRDefault="003B3341" w:rsidP="00DC3BE7">
            <w:pPr>
              <w:jc w:val="both"/>
              <w:rPr>
                <w:rFonts w:asciiTheme="minorHAnsi" w:eastAsiaTheme="minorHAnsi" w:hAnsiTheme="minorHAnsi" w:cs="Arial"/>
                <w:sz w:val="22"/>
                <w:szCs w:val="22"/>
              </w:rPr>
            </w:pPr>
            <w:r w:rsidRPr="003B3341">
              <w:rPr>
                <w:rFonts w:asciiTheme="minorHAnsi" w:eastAsiaTheme="minorHAnsi" w:hAnsiTheme="minorHAnsi" w:cs="Arial"/>
                <w:sz w:val="22"/>
                <w:szCs w:val="22"/>
              </w:rPr>
              <w:t>The Provider will have the ability to flex workforce across each locality when needed, to respond to urgent requests. Arrangements for sickness and absence cover will need to be clearly defined with a clear process for business continuity</w:t>
            </w:r>
            <w:r>
              <w:rPr>
                <w:rFonts w:asciiTheme="minorHAnsi" w:eastAsiaTheme="minorHAnsi" w:hAnsiTheme="minorHAnsi" w:cs="Arial"/>
                <w:sz w:val="22"/>
                <w:szCs w:val="22"/>
              </w:rPr>
              <w:t>.</w:t>
            </w:r>
          </w:p>
          <w:p w14:paraId="4E844ADE" w14:textId="77777777" w:rsidR="00DC3BE7" w:rsidRPr="00DC3BE7" w:rsidRDefault="00DC3BE7" w:rsidP="00DC3BE7">
            <w:pPr>
              <w:jc w:val="both"/>
              <w:rPr>
                <w:rFonts w:asciiTheme="minorHAnsi" w:eastAsiaTheme="minorHAnsi" w:hAnsiTheme="minorHAnsi" w:cs="Arial"/>
                <w:sz w:val="22"/>
                <w:szCs w:val="22"/>
              </w:rPr>
            </w:pPr>
          </w:p>
          <w:p w14:paraId="4439031C" w14:textId="77777777" w:rsidR="00DC3BE7" w:rsidRPr="003B3341" w:rsidRDefault="00DC3BE7" w:rsidP="00DC3BE7">
            <w:pPr>
              <w:jc w:val="both"/>
              <w:rPr>
                <w:rFonts w:asciiTheme="minorHAnsi" w:eastAsiaTheme="minorHAnsi" w:hAnsiTheme="minorHAnsi" w:cs="Arial"/>
                <w:i/>
                <w:sz w:val="22"/>
                <w:szCs w:val="22"/>
                <w:u w:val="single"/>
              </w:rPr>
            </w:pPr>
            <w:r w:rsidRPr="003B3341">
              <w:rPr>
                <w:rFonts w:asciiTheme="minorHAnsi" w:eastAsiaTheme="minorHAnsi" w:hAnsiTheme="minorHAnsi" w:cs="Arial"/>
                <w:i/>
                <w:sz w:val="22"/>
                <w:szCs w:val="22"/>
                <w:u w:val="single"/>
              </w:rPr>
              <w:t>2.1.13 Improved knowledge of wider community assets</w:t>
            </w:r>
          </w:p>
          <w:p w14:paraId="5A39288E" w14:textId="20C0C410"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must ensure that their workforce, within the central co-ordination function and more generally have a good knowledge and understanding of the roles, responsibilities, and services provided by other organisations, including health, social care, </w:t>
            </w:r>
            <w:r w:rsidR="00C05B1B">
              <w:rPr>
                <w:rFonts w:asciiTheme="minorHAnsi" w:eastAsiaTheme="minorHAnsi" w:hAnsiTheme="minorHAnsi" w:cs="Arial"/>
                <w:sz w:val="22"/>
                <w:szCs w:val="22"/>
              </w:rPr>
              <w:t xml:space="preserve">mental health, </w:t>
            </w:r>
            <w:r w:rsidRPr="00DC3BE7">
              <w:rPr>
                <w:rFonts w:asciiTheme="minorHAnsi" w:eastAsiaTheme="minorHAnsi" w:hAnsiTheme="minorHAnsi" w:cs="Arial"/>
                <w:sz w:val="22"/>
                <w:szCs w:val="22"/>
              </w:rPr>
              <w:t xml:space="preserve">public health (health improvement services, substance misuse services </w:t>
            </w:r>
            <w:proofErr w:type="spellStart"/>
            <w:r w:rsidRPr="00DC3BE7">
              <w:rPr>
                <w:rFonts w:asciiTheme="minorHAnsi" w:eastAsiaTheme="minorHAnsi" w:hAnsiTheme="minorHAnsi" w:cs="Arial"/>
                <w:sz w:val="22"/>
                <w:szCs w:val="22"/>
              </w:rPr>
              <w:t>etc</w:t>
            </w:r>
            <w:proofErr w:type="spellEnd"/>
            <w:r w:rsidRPr="00DC3BE7">
              <w:rPr>
                <w:rFonts w:asciiTheme="minorHAnsi" w:eastAsiaTheme="minorHAnsi" w:hAnsiTheme="minorHAnsi" w:cs="Arial"/>
                <w:sz w:val="22"/>
                <w:szCs w:val="22"/>
              </w:rPr>
              <w:t xml:space="preserve">) and the </w:t>
            </w:r>
            <w:r w:rsidR="00C05B1B">
              <w:rPr>
                <w:rFonts w:asciiTheme="minorHAnsi" w:eastAsiaTheme="minorHAnsi" w:hAnsiTheme="minorHAnsi" w:cs="Arial"/>
                <w:sz w:val="22"/>
                <w:szCs w:val="22"/>
              </w:rPr>
              <w:t>V</w:t>
            </w:r>
            <w:r w:rsidR="00C47458">
              <w:rPr>
                <w:rFonts w:asciiTheme="minorHAnsi" w:eastAsiaTheme="minorHAnsi" w:hAnsiTheme="minorHAnsi" w:cs="Arial"/>
                <w:sz w:val="22"/>
                <w:szCs w:val="22"/>
              </w:rPr>
              <w:t>C</w:t>
            </w:r>
            <w:r w:rsidR="00C05B1B">
              <w:rPr>
                <w:rFonts w:asciiTheme="minorHAnsi" w:eastAsiaTheme="minorHAnsi" w:hAnsiTheme="minorHAnsi" w:cs="Arial"/>
                <w:sz w:val="22"/>
                <w:szCs w:val="22"/>
              </w:rPr>
              <w:t>S</w:t>
            </w:r>
            <w:r w:rsidRPr="00DC3BE7">
              <w:rPr>
                <w:rFonts w:asciiTheme="minorHAnsi" w:eastAsiaTheme="minorHAnsi" w:hAnsiTheme="minorHAnsi" w:cs="Arial"/>
                <w:sz w:val="22"/>
                <w:szCs w:val="22"/>
              </w:rPr>
              <w:t xml:space="preserve">, i.e. </w:t>
            </w:r>
            <w:r w:rsidR="007800B7">
              <w:rPr>
                <w:rFonts w:asciiTheme="minorHAnsi" w:eastAsiaTheme="minorHAnsi" w:hAnsiTheme="minorHAnsi" w:cs="Arial"/>
                <w:sz w:val="22"/>
                <w:szCs w:val="22"/>
              </w:rPr>
              <w:t xml:space="preserve">Wellbeing </w:t>
            </w:r>
            <w:r w:rsidRPr="00DC3BE7">
              <w:rPr>
                <w:rFonts w:asciiTheme="minorHAnsi" w:eastAsiaTheme="minorHAnsi" w:hAnsiTheme="minorHAnsi" w:cs="Arial"/>
                <w:sz w:val="22"/>
                <w:szCs w:val="22"/>
              </w:rPr>
              <w:t>navigators. The care navigation service sits outside of the scope of this service specification but the Provider will establish strong links with the care navigation service as one of the key stakeholders within the ILR.</w:t>
            </w:r>
          </w:p>
          <w:p w14:paraId="5DD5B231" w14:textId="77777777" w:rsidR="00DC3BE7" w:rsidRPr="00DC3BE7" w:rsidRDefault="00DC3BE7" w:rsidP="00DC3BE7">
            <w:pPr>
              <w:jc w:val="both"/>
              <w:rPr>
                <w:rFonts w:asciiTheme="minorHAnsi" w:eastAsiaTheme="minorHAnsi" w:hAnsiTheme="minorHAnsi" w:cs="Arial"/>
                <w:sz w:val="22"/>
                <w:szCs w:val="22"/>
              </w:rPr>
            </w:pPr>
          </w:p>
          <w:p w14:paraId="6A21DD23" w14:textId="398450E8" w:rsidR="00DC3BE7" w:rsidRPr="00DC3BE7" w:rsidRDefault="000C7446" w:rsidP="00DC3BE7">
            <w:pPr>
              <w:jc w:val="both"/>
              <w:rPr>
                <w:rFonts w:asciiTheme="minorHAnsi" w:eastAsiaTheme="minorHAnsi" w:hAnsiTheme="minorHAnsi" w:cs="Arial"/>
                <w:sz w:val="22"/>
                <w:szCs w:val="22"/>
              </w:rPr>
            </w:pPr>
            <w:r>
              <w:rPr>
                <w:rFonts w:asciiTheme="minorHAnsi" w:eastAsiaTheme="minorHAnsi" w:hAnsiTheme="minorHAnsi" w:cs="Arial"/>
                <w:sz w:val="22"/>
                <w:szCs w:val="22"/>
              </w:rPr>
              <w:lastRenderedPageBreak/>
              <w:t>T</w:t>
            </w:r>
            <w:r w:rsidR="00DC3BE7" w:rsidRPr="00DC3BE7">
              <w:rPr>
                <w:rFonts w:asciiTheme="minorHAnsi" w:eastAsiaTheme="minorHAnsi" w:hAnsiTheme="minorHAnsi" w:cs="Arial"/>
                <w:sz w:val="22"/>
                <w:szCs w:val="22"/>
              </w:rPr>
              <w:t xml:space="preserve">he Provider will also be expected to maintain a comprehensive directory of services </w:t>
            </w:r>
            <w:r w:rsidR="00461EFE">
              <w:rPr>
                <w:rFonts w:asciiTheme="minorHAnsi" w:eastAsiaTheme="minorHAnsi" w:hAnsiTheme="minorHAnsi" w:cs="Arial"/>
                <w:sz w:val="22"/>
                <w:szCs w:val="22"/>
              </w:rPr>
              <w:t xml:space="preserve">(DOS) </w:t>
            </w:r>
            <w:r w:rsidR="00DC3BE7" w:rsidRPr="00DC3BE7">
              <w:rPr>
                <w:rFonts w:asciiTheme="minorHAnsi" w:eastAsiaTheme="minorHAnsi" w:hAnsiTheme="minorHAnsi" w:cs="Arial"/>
                <w:sz w:val="22"/>
                <w:szCs w:val="22"/>
              </w:rPr>
              <w:t>to enable a proactive approach to signposting to services for both professionals and patients. The Provider may choose to offer this in-house or develop alternative arrangements with an external organisation to provide this function.</w:t>
            </w:r>
            <w:r w:rsidR="00693E99">
              <w:rPr>
                <w:rFonts w:asciiTheme="minorHAnsi" w:eastAsiaTheme="minorHAnsi" w:hAnsiTheme="minorHAnsi" w:cs="Arial"/>
                <w:sz w:val="22"/>
                <w:szCs w:val="22"/>
              </w:rPr>
              <w:t xml:space="preserve">  The Provider should </w:t>
            </w:r>
            <w:r w:rsidR="00693E99" w:rsidRPr="00693E99">
              <w:rPr>
                <w:rFonts w:asciiTheme="minorHAnsi" w:eastAsiaTheme="minorHAnsi" w:hAnsiTheme="minorHAnsi" w:cs="Arial"/>
                <w:sz w:val="22"/>
                <w:szCs w:val="22"/>
              </w:rPr>
              <w:t xml:space="preserve">work with other </w:t>
            </w:r>
            <w:r w:rsidR="009B584D">
              <w:rPr>
                <w:rFonts w:asciiTheme="minorHAnsi" w:eastAsiaTheme="minorHAnsi" w:hAnsiTheme="minorHAnsi" w:cs="Arial"/>
                <w:sz w:val="22"/>
                <w:szCs w:val="22"/>
              </w:rPr>
              <w:t xml:space="preserve">local </w:t>
            </w:r>
            <w:r w:rsidR="00693E99" w:rsidRPr="00693E99">
              <w:rPr>
                <w:rFonts w:asciiTheme="minorHAnsi" w:eastAsiaTheme="minorHAnsi" w:hAnsiTheme="minorHAnsi" w:cs="Arial"/>
                <w:sz w:val="22"/>
                <w:szCs w:val="22"/>
              </w:rPr>
              <w:t>services maintaining a DOS</w:t>
            </w:r>
            <w:r w:rsidR="00461EFE">
              <w:rPr>
                <w:rFonts w:asciiTheme="minorHAnsi" w:eastAsiaTheme="minorHAnsi" w:hAnsiTheme="minorHAnsi" w:cs="Arial"/>
                <w:sz w:val="22"/>
                <w:szCs w:val="22"/>
              </w:rPr>
              <w:t xml:space="preserve"> to avoid duplication of effort.</w:t>
            </w:r>
          </w:p>
          <w:p w14:paraId="302D71AA" w14:textId="77777777" w:rsidR="00DC3BE7" w:rsidRPr="00DC3BE7" w:rsidRDefault="00DC3BE7" w:rsidP="00DC3BE7">
            <w:pPr>
              <w:jc w:val="both"/>
              <w:rPr>
                <w:rFonts w:asciiTheme="minorHAnsi" w:eastAsiaTheme="minorHAnsi" w:hAnsiTheme="minorHAnsi" w:cs="Arial"/>
                <w:b/>
                <w:sz w:val="22"/>
                <w:szCs w:val="22"/>
              </w:rPr>
            </w:pPr>
          </w:p>
          <w:p w14:paraId="5A6E5A74" w14:textId="77777777" w:rsidR="00DC3BE7" w:rsidRPr="00DC3BE7" w:rsidRDefault="00DC3BE7" w:rsidP="00DC3BE7">
            <w:pPr>
              <w:jc w:val="both"/>
              <w:rPr>
                <w:rFonts w:asciiTheme="minorHAnsi" w:eastAsiaTheme="minorHAnsi" w:hAnsiTheme="minorHAnsi" w:cs="Arial"/>
                <w:b/>
                <w:sz w:val="22"/>
                <w:szCs w:val="22"/>
              </w:rPr>
            </w:pPr>
            <w:r w:rsidRPr="00DC3BE7">
              <w:rPr>
                <w:rFonts w:asciiTheme="minorHAnsi" w:eastAsiaTheme="minorHAnsi" w:hAnsiTheme="minorHAnsi" w:cs="Arial"/>
                <w:b/>
                <w:sz w:val="22"/>
                <w:szCs w:val="22"/>
              </w:rPr>
              <w:t>2.1.14 Improved co-ordination of care</w:t>
            </w:r>
          </w:p>
          <w:p w14:paraId="5690E9DC" w14:textId="77777777"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Within the adult community services model, improved co-ordination of care is a fundamental aspect of the model, in terms of improved sharing of patient information, community locality team working and proactive identification of patients with complex conditions.   The main features of these functions are outlined below:</w:t>
            </w:r>
          </w:p>
          <w:p w14:paraId="6252628F" w14:textId="77777777" w:rsidR="00C065B3" w:rsidRDefault="00C065B3" w:rsidP="00DC3BE7">
            <w:pPr>
              <w:jc w:val="both"/>
              <w:rPr>
                <w:rFonts w:asciiTheme="minorHAnsi" w:eastAsiaTheme="minorHAnsi" w:hAnsiTheme="minorHAnsi" w:cs="Arial"/>
                <w:sz w:val="22"/>
                <w:szCs w:val="22"/>
              </w:rPr>
            </w:pPr>
          </w:p>
          <w:p w14:paraId="0D9C03E2" w14:textId="77777777" w:rsidR="00C065B3" w:rsidRPr="00DC3BE7" w:rsidRDefault="00C065B3" w:rsidP="00DC3BE7">
            <w:pPr>
              <w:jc w:val="both"/>
              <w:rPr>
                <w:rFonts w:asciiTheme="minorHAnsi" w:eastAsiaTheme="minorHAnsi" w:hAnsiTheme="minorHAnsi" w:cs="Arial"/>
                <w:sz w:val="22"/>
                <w:szCs w:val="22"/>
              </w:rPr>
            </w:pPr>
          </w:p>
          <w:p w14:paraId="1175F5F7" w14:textId="77777777" w:rsidR="00DC3BE7" w:rsidRPr="0047455E" w:rsidRDefault="00DC3BE7" w:rsidP="00DC3BE7">
            <w:pPr>
              <w:jc w:val="both"/>
              <w:rPr>
                <w:rFonts w:asciiTheme="minorHAnsi" w:eastAsiaTheme="minorHAnsi" w:hAnsiTheme="minorHAnsi" w:cs="Arial"/>
                <w:i/>
                <w:sz w:val="22"/>
                <w:szCs w:val="22"/>
                <w:u w:val="single"/>
              </w:rPr>
            </w:pPr>
            <w:r w:rsidRPr="0047455E">
              <w:rPr>
                <w:rFonts w:asciiTheme="minorHAnsi" w:eastAsiaTheme="minorHAnsi" w:hAnsiTheme="minorHAnsi" w:cs="Arial"/>
                <w:i/>
                <w:sz w:val="22"/>
                <w:szCs w:val="22"/>
                <w:u w:val="single"/>
              </w:rPr>
              <w:t>2.1.15 Improved sharing of patient information</w:t>
            </w:r>
          </w:p>
          <w:p w14:paraId="7569BE59" w14:textId="0DF73654"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In order to improve the coordination of patient care, the ability to share electronic patient information between organisations is essential.  The Provider must therefore, ensure that their IT systems are integrated and fully interoperable with those used by GPs, to enable improved communication and flow of information, and reduce the need for non-electronic correspondence. </w:t>
            </w:r>
            <w:r w:rsidR="003433E2">
              <w:rPr>
                <w:rFonts w:asciiTheme="minorHAnsi" w:eastAsiaTheme="minorHAnsi" w:hAnsiTheme="minorHAnsi" w:cs="Arial"/>
                <w:sz w:val="22"/>
                <w:szCs w:val="22"/>
              </w:rPr>
              <w:t xml:space="preserve">The Provider must work with GPs </w:t>
            </w:r>
            <w:r w:rsidR="009B3EB0">
              <w:rPr>
                <w:rFonts w:asciiTheme="minorHAnsi" w:eastAsiaTheme="minorHAnsi" w:hAnsiTheme="minorHAnsi" w:cs="Arial"/>
                <w:sz w:val="22"/>
                <w:szCs w:val="22"/>
              </w:rPr>
              <w:t xml:space="preserve">and other partner organisations to </w:t>
            </w:r>
            <w:r w:rsidR="003433E2">
              <w:rPr>
                <w:rFonts w:asciiTheme="minorHAnsi" w:eastAsiaTheme="minorHAnsi" w:hAnsiTheme="minorHAnsi" w:cs="Arial"/>
                <w:sz w:val="22"/>
                <w:szCs w:val="22"/>
              </w:rPr>
              <w:t>ensure that d</w:t>
            </w:r>
            <w:r w:rsidR="00C32DD4">
              <w:rPr>
                <w:rFonts w:asciiTheme="minorHAnsi" w:eastAsiaTheme="minorHAnsi" w:hAnsiTheme="minorHAnsi" w:cs="Arial"/>
                <w:sz w:val="22"/>
                <w:szCs w:val="22"/>
              </w:rPr>
              <w:t xml:space="preserve">ata sharing agreements </w:t>
            </w:r>
            <w:r w:rsidR="003433E2">
              <w:rPr>
                <w:rFonts w:asciiTheme="minorHAnsi" w:eastAsiaTheme="minorHAnsi" w:hAnsiTheme="minorHAnsi" w:cs="Arial"/>
                <w:sz w:val="22"/>
                <w:szCs w:val="22"/>
              </w:rPr>
              <w:t xml:space="preserve">are </w:t>
            </w:r>
            <w:r w:rsidR="009B3EB0">
              <w:rPr>
                <w:rFonts w:asciiTheme="minorHAnsi" w:eastAsiaTheme="minorHAnsi" w:hAnsiTheme="minorHAnsi" w:cs="Arial"/>
                <w:sz w:val="22"/>
                <w:szCs w:val="22"/>
              </w:rPr>
              <w:t>in place to support this work.</w:t>
            </w:r>
            <w:r w:rsidR="00632C7E">
              <w:rPr>
                <w:rFonts w:asciiTheme="minorHAnsi" w:eastAsiaTheme="minorHAnsi" w:hAnsiTheme="minorHAnsi" w:cs="Arial"/>
                <w:sz w:val="22"/>
                <w:szCs w:val="22"/>
              </w:rPr>
              <w:t xml:space="preserve"> </w:t>
            </w:r>
          </w:p>
          <w:p w14:paraId="74B85051" w14:textId="77777777" w:rsidR="00DC3BE7" w:rsidRPr="00DC3BE7" w:rsidRDefault="00DC3BE7" w:rsidP="00DC3BE7">
            <w:pPr>
              <w:jc w:val="both"/>
              <w:rPr>
                <w:rFonts w:asciiTheme="minorHAnsi" w:eastAsiaTheme="minorHAnsi" w:hAnsiTheme="minorHAnsi" w:cs="Arial"/>
                <w:sz w:val="22"/>
                <w:szCs w:val="22"/>
              </w:rPr>
            </w:pPr>
          </w:p>
          <w:p w14:paraId="5DEE3A85" w14:textId="7E63FE94" w:rsidR="00DC3BE7" w:rsidRPr="0047455E" w:rsidRDefault="00DC3BE7" w:rsidP="00DC3BE7">
            <w:pPr>
              <w:jc w:val="both"/>
              <w:rPr>
                <w:rFonts w:asciiTheme="minorHAnsi" w:eastAsiaTheme="minorHAnsi" w:hAnsiTheme="minorHAnsi" w:cs="Arial"/>
                <w:i/>
                <w:sz w:val="22"/>
                <w:szCs w:val="22"/>
                <w:u w:val="single"/>
              </w:rPr>
            </w:pPr>
            <w:r w:rsidRPr="0047455E">
              <w:rPr>
                <w:rFonts w:asciiTheme="minorHAnsi" w:eastAsiaTheme="minorHAnsi" w:hAnsiTheme="minorHAnsi" w:cs="Arial"/>
                <w:i/>
                <w:sz w:val="22"/>
                <w:szCs w:val="22"/>
              </w:rPr>
              <w:t>2</w:t>
            </w:r>
            <w:r w:rsidRPr="0047455E">
              <w:rPr>
                <w:rFonts w:asciiTheme="minorHAnsi" w:eastAsiaTheme="minorHAnsi" w:hAnsiTheme="minorHAnsi" w:cs="Arial"/>
                <w:i/>
                <w:sz w:val="22"/>
                <w:szCs w:val="22"/>
                <w:u w:val="single"/>
              </w:rPr>
              <w:t xml:space="preserve">.1.16 Community Locality Team </w:t>
            </w:r>
            <w:r w:rsidR="00905C69">
              <w:rPr>
                <w:rFonts w:asciiTheme="minorHAnsi" w:eastAsiaTheme="minorHAnsi" w:hAnsiTheme="minorHAnsi" w:cs="Arial"/>
                <w:i/>
                <w:sz w:val="22"/>
                <w:szCs w:val="22"/>
                <w:u w:val="single"/>
              </w:rPr>
              <w:t xml:space="preserve">(CLT) </w:t>
            </w:r>
            <w:r w:rsidRPr="0047455E">
              <w:rPr>
                <w:rFonts w:asciiTheme="minorHAnsi" w:eastAsiaTheme="minorHAnsi" w:hAnsiTheme="minorHAnsi" w:cs="Arial"/>
                <w:i/>
                <w:sz w:val="22"/>
                <w:szCs w:val="22"/>
                <w:u w:val="single"/>
              </w:rPr>
              <w:t>working</w:t>
            </w:r>
          </w:p>
          <w:p w14:paraId="1747ED57" w14:textId="2F5833AE" w:rsidR="00DC3BE7" w:rsidRPr="00DC3BE7" w:rsidRDefault="00862556" w:rsidP="00DC3BE7">
            <w:pPr>
              <w:jc w:val="both"/>
              <w:rPr>
                <w:rFonts w:asciiTheme="minorHAnsi" w:eastAsiaTheme="minorHAnsi" w:hAnsiTheme="minorHAnsi" w:cs="Arial"/>
                <w:sz w:val="22"/>
                <w:szCs w:val="22"/>
              </w:rPr>
            </w:pPr>
            <w:r>
              <w:rPr>
                <w:rFonts w:asciiTheme="minorHAnsi" w:eastAsiaTheme="minorHAnsi" w:hAnsiTheme="minorHAnsi" w:cs="Arial"/>
                <w:sz w:val="22"/>
                <w:szCs w:val="22"/>
              </w:rPr>
              <w:t xml:space="preserve">Within each of the </w:t>
            </w:r>
            <w:r w:rsidR="00A45518">
              <w:rPr>
                <w:rFonts w:asciiTheme="minorHAnsi" w:eastAsiaTheme="minorHAnsi" w:hAnsiTheme="minorHAnsi" w:cs="Arial"/>
                <w:sz w:val="22"/>
                <w:szCs w:val="22"/>
              </w:rPr>
              <w:t>CLTs</w:t>
            </w:r>
            <w:r w:rsidR="00675A66">
              <w:rPr>
                <w:rFonts w:asciiTheme="minorHAnsi" w:eastAsiaTheme="minorHAnsi" w:hAnsiTheme="minorHAnsi" w:cs="Arial"/>
                <w:sz w:val="22"/>
                <w:szCs w:val="22"/>
              </w:rPr>
              <w:t>,</w:t>
            </w:r>
            <w:r w:rsidR="00A45518">
              <w:rPr>
                <w:rFonts w:asciiTheme="minorHAnsi" w:eastAsiaTheme="minorHAnsi" w:hAnsiTheme="minorHAnsi" w:cs="Arial"/>
                <w:sz w:val="22"/>
                <w:szCs w:val="22"/>
              </w:rPr>
              <w:t xml:space="preserve"> core </w:t>
            </w:r>
            <w:r>
              <w:rPr>
                <w:rFonts w:asciiTheme="minorHAnsi" w:eastAsiaTheme="minorHAnsi" w:hAnsiTheme="minorHAnsi" w:cs="Arial"/>
                <w:sz w:val="22"/>
                <w:szCs w:val="22"/>
              </w:rPr>
              <w:t xml:space="preserve">nurses and therapists, </w:t>
            </w:r>
            <w:r w:rsidR="00785DCE">
              <w:rPr>
                <w:rFonts w:asciiTheme="minorHAnsi" w:eastAsiaTheme="minorHAnsi" w:hAnsiTheme="minorHAnsi" w:cs="Arial"/>
                <w:sz w:val="22"/>
                <w:szCs w:val="22"/>
              </w:rPr>
              <w:t xml:space="preserve">supported by specialists </w:t>
            </w:r>
            <w:r w:rsidR="00675A66">
              <w:rPr>
                <w:rFonts w:asciiTheme="minorHAnsi" w:eastAsiaTheme="minorHAnsi" w:hAnsiTheme="minorHAnsi" w:cs="Arial"/>
                <w:sz w:val="22"/>
                <w:szCs w:val="22"/>
              </w:rPr>
              <w:t xml:space="preserve">will </w:t>
            </w:r>
            <w:r w:rsidR="00026B58">
              <w:rPr>
                <w:rFonts w:asciiTheme="minorHAnsi" w:eastAsiaTheme="minorHAnsi" w:hAnsiTheme="minorHAnsi" w:cs="Arial"/>
                <w:sz w:val="22"/>
                <w:szCs w:val="22"/>
              </w:rPr>
              <w:t xml:space="preserve">work </w:t>
            </w:r>
            <w:r w:rsidR="00DC3BE7" w:rsidRPr="00DC3BE7">
              <w:rPr>
                <w:rFonts w:asciiTheme="minorHAnsi" w:eastAsiaTheme="minorHAnsi" w:hAnsiTheme="minorHAnsi" w:cs="Arial"/>
                <w:sz w:val="22"/>
                <w:szCs w:val="22"/>
              </w:rPr>
              <w:t xml:space="preserve">at </w:t>
            </w:r>
            <w:r w:rsidR="00026B58">
              <w:rPr>
                <w:rFonts w:asciiTheme="minorHAnsi" w:eastAsiaTheme="minorHAnsi" w:hAnsiTheme="minorHAnsi" w:cs="Arial"/>
                <w:sz w:val="22"/>
                <w:szCs w:val="22"/>
              </w:rPr>
              <w:t>a l</w:t>
            </w:r>
            <w:r w:rsidR="00DC3BE7" w:rsidRPr="00DC3BE7">
              <w:rPr>
                <w:rFonts w:asciiTheme="minorHAnsi" w:eastAsiaTheme="minorHAnsi" w:hAnsiTheme="minorHAnsi" w:cs="Arial"/>
                <w:sz w:val="22"/>
                <w:szCs w:val="22"/>
              </w:rPr>
              <w:t>ocality level; to help reduce fragmentation of services, reduce patient transfers between s</w:t>
            </w:r>
            <w:r w:rsidR="00EB56BE">
              <w:rPr>
                <w:rFonts w:asciiTheme="minorHAnsi" w:eastAsiaTheme="minorHAnsi" w:hAnsiTheme="minorHAnsi" w:cs="Arial"/>
                <w:sz w:val="22"/>
                <w:szCs w:val="22"/>
              </w:rPr>
              <w:t xml:space="preserve">ervice </w:t>
            </w:r>
            <w:proofErr w:type="gramStart"/>
            <w:r w:rsidR="00EB56BE">
              <w:rPr>
                <w:rFonts w:asciiTheme="minorHAnsi" w:eastAsiaTheme="minorHAnsi" w:hAnsiTheme="minorHAnsi" w:cs="Arial"/>
                <w:sz w:val="22"/>
                <w:szCs w:val="22"/>
              </w:rPr>
              <w:t>provision</w:t>
            </w:r>
            <w:proofErr w:type="gramEnd"/>
            <w:r w:rsidR="00DC3BE7" w:rsidRPr="00DC3BE7">
              <w:rPr>
                <w:rFonts w:asciiTheme="minorHAnsi" w:eastAsiaTheme="minorHAnsi" w:hAnsiTheme="minorHAnsi" w:cs="Arial"/>
                <w:sz w:val="22"/>
                <w:szCs w:val="22"/>
              </w:rPr>
              <w:t xml:space="preserve">, and reduce duplication.  </w:t>
            </w:r>
            <w:r w:rsidR="00CD40A1">
              <w:rPr>
                <w:rFonts w:asciiTheme="minorHAnsi" w:eastAsiaTheme="minorHAnsi" w:hAnsiTheme="minorHAnsi" w:cs="Arial"/>
                <w:sz w:val="22"/>
                <w:szCs w:val="22"/>
              </w:rPr>
              <w:t>Staff will support patients within their locality area</w:t>
            </w:r>
            <w:r w:rsidR="0012741F">
              <w:rPr>
                <w:rFonts w:asciiTheme="minorHAnsi" w:eastAsiaTheme="minorHAnsi" w:hAnsiTheme="minorHAnsi" w:cs="Arial"/>
                <w:sz w:val="22"/>
                <w:szCs w:val="22"/>
              </w:rPr>
              <w:t xml:space="preserve">.  The Provider will ensure </w:t>
            </w:r>
            <w:proofErr w:type="gramStart"/>
            <w:r w:rsidR="0012741F">
              <w:rPr>
                <w:rFonts w:asciiTheme="minorHAnsi" w:eastAsiaTheme="minorHAnsi" w:hAnsiTheme="minorHAnsi" w:cs="Arial"/>
                <w:sz w:val="22"/>
                <w:szCs w:val="22"/>
              </w:rPr>
              <w:t>staff are</w:t>
            </w:r>
            <w:proofErr w:type="gramEnd"/>
            <w:r w:rsidR="0012741F">
              <w:rPr>
                <w:rFonts w:asciiTheme="minorHAnsi" w:eastAsiaTheme="minorHAnsi" w:hAnsiTheme="minorHAnsi" w:cs="Arial"/>
                <w:sz w:val="22"/>
                <w:szCs w:val="22"/>
              </w:rPr>
              <w:t xml:space="preserve"> appropriately aligned according to the health needs of each locality. </w:t>
            </w:r>
            <w:r w:rsidR="00EB56BE">
              <w:rPr>
                <w:rFonts w:asciiTheme="minorHAnsi" w:eastAsiaTheme="minorHAnsi" w:hAnsiTheme="minorHAnsi" w:cs="Arial"/>
                <w:sz w:val="22"/>
                <w:szCs w:val="22"/>
              </w:rPr>
              <w:t>W</w:t>
            </w:r>
            <w:r w:rsidR="00DC3BE7" w:rsidRPr="00DC3BE7">
              <w:rPr>
                <w:rFonts w:asciiTheme="minorHAnsi" w:eastAsiaTheme="minorHAnsi" w:hAnsiTheme="minorHAnsi" w:cs="Arial"/>
                <w:sz w:val="22"/>
                <w:szCs w:val="22"/>
              </w:rPr>
              <w:t xml:space="preserve">ithin each locality the Provider will develop closer relationships with external </w:t>
            </w:r>
            <w:r w:rsidR="00677C26">
              <w:rPr>
                <w:rFonts w:asciiTheme="minorHAnsi" w:eastAsiaTheme="minorHAnsi" w:hAnsiTheme="minorHAnsi" w:cs="Arial"/>
                <w:sz w:val="22"/>
                <w:szCs w:val="22"/>
              </w:rPr>
              <w:t xml:space="preserve">partner </w:t>
            </w:r>
            <w:r w:rsidR="00DC3BE7" w:rsidRPr="00DC3BE7">
              <w:rPr>
                <w:rFonts w:asciiTheme="minorHAnsi" w:eastAsiaTheme="minorHAnsi" w:hAnsiTheme="minorHAnsi" w:cs="Arial"/>
                <w:sz w:val="22"/>
                <w:szCs w:val="22"/>
              </w:rPr>
              <w:t>organisations to facilitate closer working within C</w:t>
            </w:r>
            <w:r w:rsidR="001E40F8">
              <w:rPr>
                <w:rFonts w:asciiTheme="minorHAnsi" w:eastAsiaTheme="minorHAnsi" w:hAnsiTheme="minorHAnsi" w:cs="Arial"/>
                <w:sz w:val="22"/>
                <w:szCs w:val="22"/>
              </w:rPr>
              <w:t>LTs</w:t>
            </w:r>
            <w:r w:rsidR="00DC3BE7" w:rsidRPr="00DC3BE7">
              <w:rPr>
                <w:rFonts w:asciiTheme="minorHAnsi" w:eastAsiaTheme="minorHAnsi" w:hAnsiTheme="minorHAnsi" w:cs="Arial"/>
                <w:sz w:val="22"/>
                <w:szCs w:val="22"/>
              </w:rPr>
              <w:t xml:space="preserve">.  </w:t>
            </w:r>
          </w:p>
          <w:p w14:paraId="3D68E119" w14:textId="77777777" w:rsidR="00DC3BE7" w:rsidRPr="00DC3BE7" w:rsidRDefault="00DC3BE7" w:rsidP="00DC3BE7">
            <w:pPr>
              <w:jc w:val="both"/>
              <w:rPr>
                <w:rFonts w:asciiTheme="minorHAnsi" w:eastAsiaTheme="minorHAnsi" w:hAnsiTheme="minorHAnsi" w:cs="Arial"/>
                <w:sz w:val="22"/>
                <w:szCs w:val="22"/>
              </w:rPr>
            </w:pPr>
          </w:p>
          <w:p w14:paraId="7B904249" w14:textId="42BA6390" w:rsidR="00DC3BE7" w:rsidRPr="0047455E" w:rsidRDefault="00DC3BE7" w:rsidP="00DC3BE7">
            <w:pPr>
              <w:jc w:val="both"/>
              <w:rPr>
                <w:rFonts w:asciiTheme="minorHAnsi" w:eastAsiaTheme="minorHAnsi" w:hAnsiTheme="minorHAnsi" w:cs="Arial"/>
                <w:i/>
                <w:sz w:val="22"/>
                <w:szCs w:val="22"/>
                <w:u w:val="single"/>
              </w:rPr>
            </w:pPr>
            <w:r w:rsidRPr="0047455E">
              <w:rPr>
                <w:rFonts w:asciiTheme="minorHAnsi" w:eastAsiaTheme="minorHAnsi" w:hAnsiTheme="minorHAnsi" w:cs="Arial"/>
                <w:i/>
                <w:sz w:val="22"/>
                <w:szCs w:val="22"/>
                <w:u w:val="single"/>
              </w:rPr>
              <w:t xml:space="preserve">2.1.17 Patients with </w:t>
            </w:r>
            <w:r w:rsidR="007F4A60">
              <w:rPr>
                <w:rFonts w:asciiTheme="minorHAnsi" w:eastAsiaTheme="minorHAnsi" w:hAnsiTheme="minorHAnsi" w:cs="Arial"/>
                <w:i/>
                <w:sz w:val="22"/>
                <w:szCs w:val="22"/>
                <w:u w:val="single"/>
              </w:rPr>
              <w:t xml:space="preserve">three or more </w:t>
            </w:r>
            <w:r w:rsidRPr="0047455E">
              <w:rPr>
                <w:rFonts w:asciiTheme="minorHAnsi" w:eastAsiaTheme="minorHAnsi" w:hAnsiTheme="minorHAnsi" w:cs="Arial"/>
                <w:i/>
                <w:sz w:val="22"/>
                <w:szCs w:val="22"/>
                <w:u w:val="single"/>
              </w:rPr>
              <w:t xml:space="preserve">long term </w:t>
            </w:r>
            <w:r w:rsidR="007F4A60">
              <w:rPr>
                <w:rFonts w:asciiTheme="minorHAnsi" w:eastAsiaTheme="minorHAnsi" w:hAnsiTheme="minorHAnsi" w:cs="Arial"/>
                <w:i/>
                <w:sz w:val="22"/>
                <w:szCs w:val="22"/>
                <w:u w:val="single"/>
              </w:rPr>
              <w:t>/or c</w:t>
            </w:r>
            <w:r w:rsidRPr="0047455E">
              <w:rPr>
                <w:rFonts w:asciiTheme="minorHAnsi" w:eastAsiaTheme="minorHAnsi" w:hAnsiTheme="minorHAnsi" w:cs="Arial"/>
                <w:i/>
                <w:sz w:val="22"/>
                <w:szCs w:val="22"/>
                <w:u w:val="single"/>
              </w:rPr>
              <w:t>omplex conditions</w:t>
            </w:r>
          </w:p>
          <w:p w14:paraId="684BF24A" w14:textId="40C71553"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The most complex patients i.e. those who have three or more long term conditions or have complex conditions and are assessed as </w:t>
            </w:r>
            <w:r w:rsidR="003922EF" w:rsidRPr="003922EF">
              <w:rPr>
                <w:rFonts w:asciiTheme="minorHAnsi" w:hAnsiTheme="minorHAnsi" w:cstheme="minorHAnsi"/>
                <w:sz w:val="22"/>
                <w:szCs w:val="22"/>
              </w:rPr>
              <w:t>being at high risk of admission or deterioration</w:t>
            </w:r>
            <w:r w:rsidR="003922EF">
              <w:rPr>
                <w:rFonts w:asciiTheme="minorHAnsi" w:hAnsiTheme="minorHAnsi" w:cstheme="minorHAnsi"/>
                <w:sz w:val="22"/>
                <w:szCs w:val="22"/>
              </w:rPr>
              <w:t xml:space="preserve">, </w:t>
            </w:r>
            <w:r w:rsidRPr="00DC3BE7">
              <w:rPr>
                <w:rFonts w:asciiTheme="minorHAnsi" w:hAnsiTheme="minorHAnsi" w:cstheme="minorHAnsi"/>
                <w:sz w:val="22"/>
                <w:szCs w:val="22"/>
              </w:rPr>
              <w:t>are to be identified and reviewed in the ILRs.  Patients who fall into the complex conditions cohort will also include, but not be limited to the elderly and frail, patients with additional mental health issues, patients with complex dementia, frequent service users and patients who have a learning disability.</w:t>
            </w:r>
          </w:p>
          <w:p w14:paraId="449ADFD1" w14:textId="77777777" w:rsidR="00DC3BE7" w:rsidRPr="00DC3BE7" w:rsidRDefault="00DC3BE7" w:rsidP="00DC3BE7">
            <w:pPr>
              <w:jc w:val="both"/>
              <w:rPr>
                <w:rFonts w:asciiTheme="minorHAnsi" w:hAnsiTheme="minorHAnsi" w:cstheme="minorHAnsi"/>
                <w:sz w:val="22"/>
                <w:szCs w:val="22"/>
              </w:rPr>
            </w:pPr>
          </w:p>
          <w:p w14:paraId="04893417" w14:textId="1CFD613B" w:rsidR="00DC3BE7" w:rsidRPr="00DC3BE7" w:rsidRDefault="00DC3BE7" w:rsidP="00DC3BE7">
            <w:pPr>
              <w:jc w:val="both"/>
              <w:rPr>
                <w:rFonts w:asciiTheme="minorHAnsi" w:eastAsiaTheme="minorHAnsi" w:hAnsiTheme="minorHAnsi" w:cs="Arial"/>
                <w:sz w:val="22"/>
                <w:szCs w:val="22"/>
              </w:rPr>
            </w:pPr>
            <w:r w:rsidRPr="00DC3BE7">
              <w:rPr>
                <w:rFonts w:asciiTheme="minorHAnsi" w:hAnsiTheme="minorHAnsi" w:cstheme="minorHAnsi"/>
                <w:sz w:val="22"/>
                <w:szCs w:val="22"/>
              </w:rPr>
              <w:t>By working with GP practices, social care</w:t>
            </w:r>
            <w:r w:rsidR="00881B12">
              <w:rPr>
                <w:rFonts w:asciiTheme="minorHAnsi" w:hAnsiTheme="minorHAnsi" w:cstheme="minorHAnsi"/>
                <w:sz w:val="22"/>
                <w:szCs w:val="22"/>
              </w:rPr>
              <w:t xml:space="preserve">, mental health </w:t>
            </w:r>
            <w:r w:rsidRPr="00DC3BE7">
              <w:rPr>
                <w:rFonts w:asciiTheme="minorHAnsi" w:hAnsiTheme="minorHAnsi" w:cstheme="minorHAnsi"/>
                <w:sz w:val="22"/>
                <w:szCs w:val="22"/>
              </w:rPr>
              <w:t>and other organisations (where appropriate), the Provider will proactively support the identification of people with</w:t>
            </w:r>
            <w:r w:rsidR="00483FDD">
              <w:rPr>
                <w:rFonts w:asciiTheme="minorHAnsi" w:hAnsiTheme="minorHAnsi" w:cstheme="minorHAnsi"/>
                <w:sz w:val="22"/>
                <w:szCs w:val="22"/>
              </w:rPr>
              <w:t xml:space="preserve"> three or more</w:t>
            </w:r>
            <w:r w:rsidRPr="00DC3BE7">
              <w:rPr>
                <w:rFonts w:asciiTheme="minorHAnsi" w:hAnsiTheme="minorHAnsi" w:cstheme="minorHAnsi"/>
                <w:sz w:val="22"/>
                <w:szCs w:val="22"/>
              </w:rPr>
              <w:t xml:space="preserve"> long-term, complex conditions to ensure they receive appropriate treatment or interventions to keep them well and able to remain in their own home.</w:t>
            </w:r>
            <w:r w:rsidRPr="00DC3BE7">
              <w:rPr>
                <w:rFonts w:asciiTheme="minorHAnsi" w:eastAsiaTheme="minorHAnsi" w:hAnsiTheme="minorHAnsi" w:cs="Arial"/>
                <w:sz w:val="22"/>
                <w:szCs w:val="22"/>
              </w:rPr>
              <w:t xml:space="preserve"> </w:t>
            </w:r>
          </w:p>
          <w:p w14:paraId="1E9FFDB2" w14:textId="77777777" w:rsidR="00DC3BE7" w:rsidRPr="00DC3BE7" w:rsidRDefault="00DC3BE7" w:rsidP="00DC3BE7">
            <w:pPr>
              <w:jc w:val="both"/>
              <w:rPr>
                <w:rFonts w:asciiTheme="minorHAnsi" w:eastAsiaTheme="minorHAnsi" w:hAnsiTheme="minorHAnsi" w:cs="Arial"/>
                <w:sz w:val="22"/>
                <w:szCs w:val="22"/>
              </w:rPr>
            </w:pPr>
          </w:p>
          <w:p w14:paraId="7AD45700"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i/>
                <w:sz w:val="22"/>
                <w:szCs w:val="22"/>
              </w:rPr>
              <w:t>It is estimated that there are approximately 12,500 adults in Medway who fall into this category</w:t>
            </w:r>
            <w:r w:rsidRPr="00DC3BE7">
              <w:rPr>
                <w:rFonts w:asciiTheme="minorHAnsi" w:eastAsiaTheme="minorHAnsi" w:hAnsiTheme="minorHAnsi" w:cs="Arial"/>
                <w:sz w:val="22"/>
                <w:szCs w:val="22"/>
              </w:rPr>
              <w:t>).</w:t>
            </w:r>
          </w:p>
          <w:p w14:paraId="3F1A83D3" w14:textId="77777777" w:rsidR="00DC3BE7" w:rsidRPr="00DC3BE7" w:rsidRDefault="00DC3BE7" w:rsidP="00DC3BE7">
            <w:pPr>
              <w:jc w:val="both"/>
              <w:rPr>
                <w:rFonts w:asciiTheme="minorHAnsi" w:eastAsiaTheme="minorHAnsi" w:hAnsiTheme="minorHAnsi" w:cs="Arial"/>
                <w:sz w:val="22"/>
                <w:szCs w:val="22"/>
              </w:rPr>
            </w:pPr>
          </w:p>
          <w:p w14:paraId="774013FC" w14:textId="12BA61E6" w:rsidR="00DC3BE7" w:rsidRPr="0047455E" w:rsidRDefault="00DC3BE7" w:rsidP="00DC3BE7">
            <w:pPr>
              <w:jc w:val="both"/>
              <w:rPr>
                <w:rFonts w:asciiTheme="minorHAnsi" w:eastAsiaTheme="minorHAnsi" w:hAnsiTheme="minorHAnsi" w:cs="Arial"/>
                <w:i/>
                <w:sz w:val="22"/>
                <w:szCs w:val="22"/>
                <w:u w:val="single"/>
              </w:rPr>
            </w:pPr>
            <w:r w:rsidRPr="0047455E">
              <w:rPr>
                <w:rFonts w:asciiTheme="minorHAnsi" w:eastAsiaTheme="minorHAnsi" w:hAnsiTheme="minorHAnsi" w:cs="Arial"/>
                <w:i/>
                <w:sz w:val="22"/>
                <w:szCs w:val="22"/>
                <w:u w:val="single"/>
              </w:rPr>
              <w:t xml:space="preserve">2.1.18 Integrated case management for people with </w:t>
            </w:r>
            <w:r w:rsidR="00E615BD">
              <w:rPr>
                <w:rFonts w:asciiTheme="minorHAnsi" w:eastAsiaTheme="minorHAnsi" w:hAnsiTheme="minorHAnsi" w:cs="Arial"/>
                <w:i/>
                <w:sz w:val="22"/>
                <w:szCs w:val="22"/>
                <w:u w:val="single"/>
              </w:rPr>
              <w:t xml:space="preserve">three or more </w:t>
            </w:r>
            <w:r w:rsidRPr="0047455E">
              <w:rPr>
                <w:rFonts w:asciiTheme="minorHAnsi" w:eastAsiaTheme="minorHAnsi" w:hAnsiTheme="minorHAnsi" w:cs="Arial"/>
                <w:i/>
                <w:sz w:val="22"/>
                <w:szCs w:val="22"/>
                <w:u w:val="single"/>
              </w:rPr>
              <w:t>long term</w:t>
            </w:r>
            <w:r w:rsidR="006615F4">
              <w:rPr>
                <w:rFonts w:asciiTheme="minorHAnsi" w:eastAsiaTheme="minorHAnsi" w:hAnsiTheme="minorHAnsi" w:cs="Arial"/>
                <w:i/>
                <w:sz w:val="22"/>
                <w:szCs w:val="22"/>
                <w:u w:val="single"/>
              </w:rPr>
              <w:t xml:space="preserve">/or </w:t>
            </w:r>
            <w:r w:rsidR="00FF68DF">
              <w:rPr>
                <w:rFonts w:asciiTheme="minorHAnsi" w:eastAsiaTheme="minorHAnsi" w:hAnsiTheme="minorHAnsi" w:cs="Arial"/>
                <w:i/>
                <w:sz w:val="22"/>
                <w:szCs w:val="22"/>
                <w:u w:val="single"/>
              </w:rPr>
              <w:t xml:space="preserve"> </w:t>
            </w:r>
            <w:r w:rsidRPr="0047455E">
              <w:rPr>
                <w:rFonts w:asciiTheme="minorHAnsi" w:eastAsiaTheme="minorHAnsi" w:hAnsiTheme="minorHAnsi" w:cs="Arial"/>
                <w:i/>
                <w:sz w:val="22"/>
                <w:szCs w:val="22"/>
                <w:u w:val="single"/>
              </w:rPr>
              <w:t>complex conditions</w:t>
            </w:r>
          </w:p>
          <w:p w14:paraId="704B9EAF"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The Provider will use integrated case management at a locality level for patients identified, and others that are identified or referred from health or social care professionals.  </w:t>
            </w:r>
          </w:p>
          <w:p w14:paraId="20138E65" w14:textId="77777777" w:rsidR="00DC3BE7" w:rsidRPr="00DC3BE7" w:rsidRDefault="00DC3BE7" w:rsidP="00DC3BE7">
            <w:pPr>
              <w:jc w:val="both"/>
              <w:rPr>
                <w:rFonts w:asciiTheme="minorHAnsi" w:hAnsiTheme="minorHAnsi" w:cstheme="minorHAnsi"/>
                <w:sz w:val="22"/>
                <w:szCs w:val="22"/>
              </w:rPr>
            </w:pPr>
          </w:p>
          <w:p w14:paraId="294A850C" w14:textId="44BEEEE3"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All patients identified for integrated case management will have a single</w:t>
            </w:r>
            <w:r w:rsidR="00D31A9F">
              <w:rPr>
                <w:rFonts w:asciiTheme="minorHAnsi" w:hAnsiTheme="minorHAnsi" w:cstheme="minorHAnsi"/>
                <w:sz w:val="22"/>
                <w:szCs w:val="22"/>
              </w:rPr>
              <w:t xml:space="preserve">, personalised </w:t>
            </w:r>
            <w:r w:rsidRPr="00D31A9F">
              <w:rPr>
                <w:rFonts w:asciiTheme="minorHAnsi" w:hAnsiTheme="minorHAnsi" w:cstheme="minorHAnsi"/>
                <w:sz w:val="22"/>
                <w:szCs w:val="22"/>
              </w:rPr>
              <w:t>IMP</w:t>
            </w:r>
            <w:r w:rsidR="00197F64">
              <w:rPr>
                <w:rFonts w:asciiTheme="minorHAnsi" w:hAnsiTheme="minorHAnsi" w:cstheme="minorHAnsi"/>
                <w:sz w:val="22"/>
                <w:szCs w:val="22"/>
              </w:rPr>
              <w:t>.</w:t>
            </w:r>
            <w:r w:rsidRPr="00DC3BE7">
              <w:rPr>
                <w:rFonts w:asciiTheme="minorHAnsi" w:hAnsiTheme="minorHAnsi" w:cstheme="minorHAnsi"/>
                <w:sz w:val="22"/>
                <w:szCs w:val="22"/>
              </w:rPr>
              <w:t xml:space="preserve"> Although this cohort of patients may receive care from and be known to a number of service functions, as well as other organisations, the IMP will be accessible to all community professionals, for them to </w:t>
            </w:r>
            <w:r w:rsidR="00C0587B">
              <w:rPr>
                <w:rFonts w:asciiTheme="minorHAnsi" w:hAnsiTheme="minorHAnsi" w:cstheme="minorHAnsi"/>
                <w:sz w:val="22"/>
                <w:szCs w:val="22"/>
              </w:rPr>
              <w:t xml:space="preserve">view and </w:t>
            </w:r>
            <w:r w:rsidRPr="00DC3BE7">
              <w:rPr>
                <w:rFonts w:asciiTheme="minorHAnsi" w:hAnsiTheme="minorHAnsi" w:cstheme="minorHAnsi"/>
                <w:sz w:val="22"/>
                <w:szCs w:val="22"/>
              </w:rPr>
              <w:t xml:space="preserve">update </w:t>
            </w:r>
            <w:r w:rsidR="00C0587B">
              <w:rPr>
                <w:rFonts w:asciiTheme="minorHAnsi" w:hAnsiTheme="minorHAnsi" w:cstheme="minorHAnsi"/>
                <w:sz w:val="22"/>
                <w:szCs w:val="22"/>
              </w:rPr>
              <w:t xml:space="preserve">following each contact, </w:t>
            </w:r>
            <w:r w:rsidRPr="00DC3BE7">
              <w:rPr>
                <w:rFonts w:asciiTheme="minorHAnsi" w:hAnsiTheme="minorHAnsi" w:cstheme="minorHAnsi"/>
                <w:sz w:val="22"/>
                <w:szCs w:val="22"/>
              </w:rPr>
              <w:t xml:space="preserve">as necessary.   </w:t>
            </w:r>
          </w:p>
          <w:p w14:paraId="2ADED45C" w14:textId="77777777" w:rsidR="00DC3BE7" w:rsidRPr="00DC3BE7" w:rsidRDefault="00DC3BE7" w:rsidP="00DC3BE7">
            <w:pPr>
              <w:jc w:val="both"/>
              <w:rPr>
                <w:rFonts w:asciiTheme="minorHAnsi" w:hAnsiTheme="minorHAnsi" w:cstheme="minorHAnsi"/>
                <w:sz w:val="22"/>
                <w:szCs w:val="22"/>
              </w:rPr>
            </w:pPr>
          </w:p>
          <w:p w14:paraId="41858D56" w14:textId="11A5C1D8"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The Provider will ensure that patients identified for integrated case management will be assigned a </w:t>
            </w:r>
            <w:r w:rsidRPr="00D65CCB">
              <w:rPr>
                <w:rFonts w:asciiTheme="minorHAnsi" w:hAnsiTheme="minorHAnsi" w:cstheme="minorHAnsi"/>
                <w:sz w:val="22"/>
                <w:szCs w:val="22"/>
              </w:rPr>
              <w:t xml:space="preserve">named </w:t>
            </w:r>
            <w:r w:rsidR="00D65CCB">
              <w:rPr>
                <w:rFonts w:asciiTheme="minorHAnsi" w:hAnsiTheme="minorHAnsi" w:cstheme="minorHAnsi"/>
                <w:sz w:val="22"/>
                <w:szCs w:val="22"/>
              </w:rPr>
              <w:t xml:space="preserve">SCC </w:t>
            </w:r>
            <w:r w:rsidRPr="00D65CCB">
              <w:rPr>
                <w:rFonts w:asciiTheme="minorHAnsi" w:hAnsiTheme="minorHAnsi" w:cstheme="minorHAnsi"/>
                <w:sz w:val="22"/>
                <w:szCs w:val="22"/>
              </w:rPr>
              <w:t>to be the point of contact for any queries the patient, or their family or carers may</w:t>
            </w:r>
            <w:r w:rsidRPr="00DC3BE7">
              <w:rPr>
                <w:rFonts w:asciiTheme="minorHAnsi" w:hAnsiTheme="minorHAnsi" w:cstheme="minorHAnsi"/>
                <w:sz w:val="22"/>
                <w:szCs w:val="22"/>
              </w:rPr>
              <w:t xml:space="preserve"> have.  Based on the over-riding care need of the </w:t>
            </w:r>
            <w:r w:rsidRPr="00732A74">
              <w:rPr>
                <w:rFonts w:asciiTheme="minorHAnsi" w:hAnsiTheme="minorHAnsi" w:cstheme="minorHAnsi"/>
                <w:sz w:val="22"/>
                <w:szCs w:val="22"/>
              </w:rPr>
              <w:t xml:space="preserve">patient, the </w:t>
            </w:r>
            <w:r w:rsidR="00F2600F">
              <w:rPr>
                <w:rFonts w:asciiTheme="minorHAnsi" w:hAnsiTheme="minorHAnsi" w:cstheme="minorHAnsi"/>
                <w:sz w:val="22"/>
                <w:szCs w:val="22"/>
              </w:rPr>
              <w:t xml:space="preserve">SCC will be identified as the </w:t>
            </w:r>
            <w:r w:rsidR="00A4014F" w:rsidRPr="00A4014F">
              <w:rPr>
                <w:rFonts w:asciiTheme="minorHAnsi" w:hAnsiTheme="minorHAnsi" w:cstheme="minorHAnsi"/>
                <w:sz w:val="22"/>
                <w:szCs w:val="22"/>
              </w:rPr>
              <w:t xml:space="preserve">person with the </w:t>
            </w:r>
            <w:r w:rsidR="00F2600F">
              <w:rPr>
                <w:rFonts w:asciiTheme="minorHAnsi" w:hAnsiTheme="minorHAnsi" w:cstheme="minorHAnsi"/>
                <w:sz w:val="22"/>
                <w:szCs w:val="22"/>
              </w:rPr>
              <w:t xml:space="preserve">most </w:t>
            </w:r>
            <w:r w:rsidR="00A4014F" w:rsidRPr="00A4014F">
              <w:rPr>
                <w:rFonts w:asciiTheme="minorHAnsi" w:hAnsiTheme="minorHAnsi" w:cstheme="minorHAnsi"/>
                <w:sz w:val="22"/>
                <w:szCs w:val="22"/>
              </w:rPr>
              <w:t xml:space="preserve">appropriate skills and experience to co-ordinate the community health response and work with </w:t>
            </w:r>
            <w:r w:rsidR="00732A74">
              <w:rPr>
                <w:rFonts w:asciiTheme="minorHAnsi" w:hAnsiTheme="minorHAnsi" w:cstheme="minorHAnsi"/>
                <w:sz w:val="22"/>
                <w:szCs w:val="22"/>
              </w:rPr>
              <w:t xml:space="preserve">the patient and </w:t>
            </w:r>
            <w:r w:rsidR="00A4014F" w:rsidRPr="00A4014F">
              <w:rPr>
                <w:rFonts w:asciiTheme="minorHAnsi" w:hAnsiTheme="minorHAnsi" w:cstheme="minorHAnsi"/>
                <w:sz w:val="22"/>
                <w:szCs w:val="22"/>
              </w:rPr>
              <w:t>partner organisations</w:t>
            </w:r>
            <w:r w:rsidR="00732A74">
              <w:rPr>
                <w:rFonts w:asciiTheme="minorHAnsi" w:hAnsiTheme="minorHAnsi" w:cstheme="minorHAnsi"/>
                <w:sz w:val="22"/>
                <w:szCs w:val="22"/>
              </w:rPr>
              <w:t xml:space="preserve"> to </w:t>
            </w:r>
            <w:r w:rsidR="00A7387D" w:rsidRPr="00732A74">
              <w:rPr>
                <w:rFonts w:asciiTheme="minorHAnsi" w:hAnsiTheme="minorHAnsi" w:cstheme="minorHAnsi"/>
                <w:sz w:val="22"/>
                <w:szCs w:val="22"/>
              </w:rPr>
              <w:t xml:space="preserve">lead the development of the IMP and </w:t>
            </w:r>
            <w:r w:rsidR="006B611D" w:rsidRPr="00732A74">
              <w:rPr>
                <w:rFonts w:asciiTheme="minorHAnsi" w:hAnsiTheme="minorHAnsi" w:cstheme="minorHAnsi"/>
                <w:sz w:val="22"/>
                <w:szCs w:val="22"/>
              </w:rPr>
              <w:t>c</w:t>
            </w:r>
            <w:r w:rsidR="00A7387D" w:rsidRPr="00732A74">
              <w:rPr>
                <w:rFonts w:asciiTheme="minorHAnsi" w:hAnsiTheme="minorHAnsi" w:cstheme="minorHAnsi"/>
                <w:sz w:val="22"/>
                <w:szCs w:val="22"/>
              </w:rPr>
              <w:t>o</w:t>
            </w:r>
            <w:r w:rsidR="006B611D" w:rsidRPr="00732A74">
              <w:rPr>
                <w:rFonts w:asciiTheme="minorHAnsi" w:hAnsiTheme="minorHAnsi" w:cstheme="minorHAnsi"/>
                <w:sz w:val="22"/>
                <w:szCs w:val="22"/>
              </w:rPr>
              <w:t>-</w:t>
            </w:r>
            <w:r w:rsidR="00A7387D" w:rsidRPr="00732A74">
              <w:rPr>
                <w:rFonts w:asciiTheme="minorHAnsi" w:hAnsiTheme="minorHAnsi" w:cstheme="minorHAnsi"/>
                <w:sz w:val="22"/>
                <w:szCs w:val="22"/>
              </w:rPr>
              <w:t>ordinat</w:t>
            </w:r>
            <w:r w:rsidR="006B611D" w:rsidRPr="00732A74">
              <w:rPr>
                <w:rFonts w:asciiTheme="minorHAnsi" w:hAnsiTheme="minorHAnsi" w:cstheme="minorHAnsi"/>
                <w:sz w:val="22"/>
                <w:szCs w:val="22"/>
              </w:rPr>
              <w:t xml:space="preserve">e </w:t>
            </w:r>
            <w:r w:rsidR="00A7387D" w:rsidRPr="00732A74">
              <w:rPr>
                <w:rFonts w:asciiTheme="minorHAnsi" w:hAnsiTheme="minorHAnsi" w:cstheme="minorHAnsi"/>
                <w:sz w:val="22"/>
                <w:szCs w:val="22"/>
              </w:rPr>
              <w:t xml:space="preserve">care for that person, ensuring that </w:t>
            </w:r>
            <w:r w:rsidR="00BD5B97" w:rsidRPr="00732A74">
              <w:rPr>
                <w:rFonts w:asciiTheme="minorHAnsi" w:hAnsiTheme="minorHAnsi" w:cstheme="minorHAnsi"/>
                <w:sz w:val="22"/>
                <w:szCs w:val="22"/>
              </w:rPr>
              <w:t xml:space="preserve">it is </w:t>
            </w:r>
            <w:r w:rsidR="00A7387D" w:rsidRPr="00732A74">
              <w:rPr>
                <w:rFonts w:asciiTheme="minorHAnsi" w:hAnsiTheme="minorHAnsi" w:cstheme="minorHAnsi"/>
                <w:sz w:val="22"/>
                <w:szCs w:val="22"/>
              </w:rPr>
              <w:t xml:space="preserve">delivered in the most </w:t>
            </w:r>
            <w:r w:rsidR="00A7387D" w:rsidRPr="00732A74">
              <w:rPr>
                <w:rFonts w:asciiTheme="minorHAnsi" w:hAnsiTheme="minorHAnsi" w:cstheme="minorHAnsi"/>
                <w:sz w:val="22"/>
                <w:szCs w:val="22"/>
              </w:rPr>
              <w:lastRenderedPageBreak/>
              <w:t>appropriate setting.</w:t>
            </w:r>
            <w:r w:rsidR="000F3B01" w:rsidRPr="00732A74">
              <w:rPr>
                <w:rFonts w:asciiTheme="minorHAnsi" w:hAnsiTheme="minorHAnsi" w:cstheme="minorHAnsi"/>
                <w:sz w:val="22"/>
                <w:szCs w:val="22"/>
              </w:rPr>
              <w:t xml:space="preserve">  The Provider will ensure </w:t>
            </w:r>
            <w:r w:rsidR="005D2812" w:rsidRPr="00732A74">
              <w:rPr>
                <w:rFonts w:asciiTheme="minorHAnsi" w:hAnsiTheme="minorHAnsi" w:cstheme="minorHAnsi"/>
                <w:sz w:val="22"/>
                <w:szCs w:val="22"/>
              </w:rPr>
              <w:t xml:space="preserve">that as part of the </w:t>
            </w:r>
            <w:r w:rsidR="000F3B01" w:rsidRPr="00732A74">
              <w:rPr>
                <w:rFonts w:asciiTheme="minorHAnsi" w:hAnsiTheme="minorHAnsi" w:cstheme="minorHAnsi"/>
                <w:sz w:val="22"/>
                <w:szCs w:val="22"/>
              </w:rPr>
              <w:t xml:space="preserve">care planning </w:t>
            </w:r>
            <w:r w:rsidR="005D2812" w:rsidRPr="00732A74">
              <w:rPr>
                <w:rFonts w:asciiTheme="minorHAnsi" w:hAnsiTheme="minorHAnsi" w:cstheme="minorHAnsi"/>
                <w:sz w:val="22"/>
                <w:szCs w:val="22"/>
              </w:rPr>
              <w:t xml:space="preserve">process </w:t>
            </w:r>
            <w:r w:rsidR="005836F2" w:rsidRPr="00732A74">
              <w:rPr>
                <w:rFonts w:asciiTheme="minorHAnsi" w:hAnsiTheme="minorHAnsi" w:cstheme="minorHAnsi"/>
                <w:sz w:val="22"/>
                <w:szCs w:val="22"/>
              </w:rPr>
              <w:t xml:space="preserve">a range of </w:t>
            </w:r>
            <w:r w:rsidR="00DD618B" w:rsidRPr="00732A74">
              <w:rPr>
                <w:rFonts w:asciiTheme="minorHAnsi" w:hAnsiTheme="minorHAnsi" w:cstheme="minorHAnsi"/>
                <w:sz w:val="22"/>
                <w:szCs w:val="22"/>
              </w:rPr>
              <w:t xml:space="preserve">clinically </w:t>
            </w:r>
            <w:r w:rsidR="008451F4" w:rsidRPr="00732A74">
              <w:rPr>
                <w:rFonts w:asciiTheme="minorHAnsi" w:hAnsiTheme="minorHAnsi" w:cstheme="minorHAnsi"/>
                <w:sz w:val="22"/>
                <w:szCs w:val="22"/>
              </w:rPr>
              <w:t xml:space="preserve">appropriate </w:t>
            </w:r>
            <w:r w:rsidR="005836F2" w:rsidRPr="00732A74">
              <w:rPr>
                <w:rFonts w:asciiTheme="minorHAnsi" w:hAnsiTheme="minorHAnsi" w:cstheme="minorHAnsi"/>
                <w:sz w:val="22"/>
                <w:szCs w:val="22"/>
              </w:rPr>
              <w:t xml:space="preserve">interventions </w:t>
            </w:r>
            <w:r w:rsidR="00DD618B" w:rsidRPr="00732A74">
              <w:rPr>
                <w:rFonts w:asciiTheme="minorHAnsi" w:hAnsiTheme="minorHAnsi" w:cstheme="minorHAnsi"/>
                <w:sz w:val="22"/>
                <w:szCs w:val="22"/>
              </w:rPr>
              <w:t xml:space="preserve">are </w:t>
            </w:r>
            <w:r w:rsidR="008451F4" w:rsidRPr="00732A74">
              <w:rPr>
                <w:rFonts w:asciiTheme="minorHAnsi" w:hAnsiTheme="minorHAnsi" w:cstheme="minorHAnsi"/>
                <w:sz w:val="22"/>
                <w:szCs w:val="22"/>
              </w:rPr>
              <w:t xml:space="preserve">provided, for the level of need </w:t>
            </w:r>
            <w:proofErr w:type="spellStart"/>
            <w:r w:rsidR="008451F4" w:rsidRPr="00732A74">
              <w:rPr>
                <w:rFonts w:asciiTheme="minorHAnsi" w:hAnsiTheme="minorHAnsi" w:cstheme="minorHAnsi"/>
                <w:sz w:val="22"/>
                <w:szCs w:val="22"/>
              </w:rPr>
              <w:t>idenitified</w:t>
            </w:r>
            <w:proofErr w:type="spellEnd"/>
            <w:r w:rsidR="008451F4" w:rsidRPr="00732A74">
              <w:rPr>
                <w:rFonts w:asciiTheme="minorHAnsi" w:hAnsiTheme="minorHAnsi" w:cstheme="minorHAnsi"/>
                <w:sz w:val="22"/>
                <w:szCs w:val="22"/>
              </w:rPr>
              <w:t>.</w:t>
            </w:r>
            <w:r w:rsidR="005F70B6" w:rsidRPr="00732A74">
              <w:rPr>
                <w:rFonts w:asciiTheme="minorHAnsi" w:hAnsiTheme="minorHAnsi" w:cstheme="minorHAnsi"/>
                <w:sz w:val="22"/>
                <w:szCs w:val="22"/>
              </w:rPr>
              <w:t xml:space="preserve"> </w:t>
            </w:r>
          </w:p>
          <w:p w14:paraId="3B8BF3C2" w14:textId="77777777" w:rsidR="00DC3BE7" w:rsidRPr="00DC3BE7" w:rsidRDefault="00DC3BE7" w:rsidP="00DC3BE7">
            <w:pPr>
              <w:jc w:val="both"/>
              <w:rPr>
                <w:rFonts w:asciiTheme="minorHAnsi" w:eastAsiaTheme="minorHAnsi" w:hAnsiTheme="minorHAnsi" w:cs="Arial"/>
                <w:sz w:val="22"/>
                <w:szCs w:val="22"/>
              </w:rPr>
            </w:pPr>
          </w:p>
          <w:p w14:paraId="03133950" w14:textId="709355AE"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The Provider will ensure the named S</w:t>
            </w:r>
            <w:r w:rsidR="001341A3">
              <w:rPr>
                <w:rFonts w:asciiTheme="minorHAnsi" w:hAnsiTheme="minorHAnsi" w:cstheme="minorHAnsi"/>
                <w:sz w:val="22"/>
                <w:szCs w:val="22"/>
              </w:rPr>
              <w:t>CC</w:t>
            </w:r>
            <w:r w:rsidRPr="00DC3BE7">
              <w:rPr>
                <w:rFonts w:asciiTheme="minorHAnsi" w:hAnsiTheme="minorHAnsi" w:cstheme="minorHAnsi"/>
                <w:sz w:val="22"/>
                <w:szCs w:val="22"/>
              </w:rPr>
              <w:t xml:space="preserve"> will be the lead co-ordinator of care and will</w:t>
            </w:r>
            <w:r w:rsidRPr="00DC3BE7">
              <w:rPr>
                <w:rFonts w:cs="Arial"/>
              </w:rPr>
              <w:t xml:space="preserve"> </w:t>
            </w:r>
            <w:r w:rsidRPr="00DC3BE7">
              <w:rPr>
                <w:rFonts w:asciiTheme="minorHAnsi" w:hAnsiTheme="minorHAnsi" w:cstheme="minorHAnsi"/>
                <w:sz w:val="22"/>
                <w:szCs w:val="22"/>
              </w:rPr>
              <w:t>regularly monitor and adjust levels of support (as specified in the IMP) for individual patients on their caseloads.  Where there have been changes to a patient’s treatment or care input, as a result of deterioration or exacerbation in their condition/s, the named S</w:t>
            </w:r>
            <w:r w:rsidR="001341A3">
              <w:rPr>
                <w:rFonts w:asciiTheme="minorHAnsi" w:hAnsiTheme="minorHAnsi" w:cstheme="minorHAnsi"/>
                <w:sz w:val="22"/>
                <w:szCs w:val="22"/>
              </w:rPr>
              <w:t xml:space="preserve">CC </w:t>
            </w:r>
            <w:r w:rsidRPr="00DC3BE7">
              <w:rPr>
                <w:rFonts w:asciiTheme="minorHAnsi" w:hAnsiTheme="minorHAnsi" w:cstheme="minorHAnsi"/>
                <w:sz w:val="22"/>
                <w:szCs w:val="22"/>
              </w:rPr>
              <w:t xml:space="preserve">will take the IMP back to </w:t>
            </w:r>
            <w:r w:rsidRPr="003153DC">
              <w:rPr>
                <w:rFonts w:asciiTheme="minorHAnsi" w:hAnsiTheme="minorHAnsi" w:cstheme="minorHAnsi"/>
                <w:sz w:val="22"/>
                <w:szCs w:val="22"/>
              </w:rPr>
              <w:t>the ILR</w:t>
            </w:r>
            <w:r w:rsidRPr="00DC3BE7">
              <w:rPr>
                <w:rFonts w:asciiTheme="minorHAnsi" w:hAnsiTheme="minorHAnsi" w:cstheme="minorHAnsi"/>
                <w:sz w:val="22"/>
                <w:szCs w:val="22"/>
              </w:rPr>
              <w:t xml:space="preserve"> for update and amendment, where necessary.  </w:t>
            </w:r>
          </w:p>
          <w:p w14:paraId="138A71C1" w14:textId="77777777" w:rsidR="00DC3BE7" w:rsidRPr="00DC3BE7" w:rsidRDefault="00DC3BE7" w:rsidP="00DC3BE7">
            <w:pPr>
              <w:jc w:val="both"/>
              <w:rPr>
                <w:rFonts w:asciiTheme="minorHAnsi" w:hAnsiTheme="minorHAnsi" w:cstheme="minorHAnsi"/>
                <w:sz w:val="22"/>
                <w:szCs w:val="22"/>
              </w:rPr>
            </w:pPr>
          </w:p>
          <w:p w14:paraId="7B691602" w14:textId="77777777" w:rsidR="00CE77F5" w:rsidRDefault="004168E6" w:rsidP="00DC3BE7">
            <w:pPr>
              <w:jc w:val="both"/>
              <w:rPr>
                <w:rFonts w:asciiTheme="minorHAnsi" w:hAnsiTheme="minorHAnsi" w:cstheme="minorHAnsi"/>
                <w:sz w:val="22"/>
                <w:szCs w:val="22"/>
              </w:rPr>
            </w:pPr>
            <w:r w:rsidRPr="004168E6">
              <w:rPr>
                <w:rFonts w:asciiTheme="minorHAnsi" w:hAnsiTheme="minorHAnsi" w:cstheme="minorHAnsi"/>
                <w:sz w:val="22"/>
                <w:szCs w:val="22"/>
              </w:rPr>
              <w:t xml:space="preserve">The </w:t>
            </w:r>
            <w:r>
              <w:rPr>
                <w:rFonts w:asciiTheme="minorHAnsi" w:hAnsiTheme="minorHAnsi" w:cstheme="minorHAnsi"/>
                <w:sz w:val="22"/>
                <w:szCs w:val="22"/>
              </w:rPr>
              <w:t>P</w:t>
            </w:r>
            <w:r w:rsidRPr="004168E6">
              <w:rPr>
                <w:rFonts w:asciiTheme="minorHAnsi" w:hAnsiTheme="minorHAnsi" w:cstheme="minorHAnsi"/>
                <w:sz w:val="22"/>
                <w:szCs w:val="22"/>
              </w:rPr>
              <w:t xml:space="preserve">rovider </w:t>
            </w:r>
            <w:r>
              <w:rPr>
                <w:rFonts w:asciiTheme="minorHAnsi" w:hAnsiTheme="minorHAnsi" w:cstheme="minorHAnsi"/>
                <w:sz w:val="22"/>
                <w:szCs w:val="22"/>
              </w:rPr>
              <w:t>will</w:t>
            </w:r>
            <w:r w:rsidRPr="004168E6">
              <w:rPr>
                <w:rFonts w:asciiTheme="minorHAnsi" w:hAnsiTheme="minorHAnsi" w:cstheme="minorHAnsi"/>
                <w:sz w:val="22"/>
                <w:szCs w:val="22"/>
              </w:rPr>
              <w:t xml:space="preserve"> ensure that community services are embedded as a core part of the wider health and social care system with the </w:t>
            </w:r>
            <w:r>
              <w:rPr>
                <w:rFonts w:asciiTheme="minorHAnsi" w:hAnsiTheme="minorHAnsi" w:cstheme="minorHAnsi"/>
                <w:sz w:val="22"/>
                <w:szCs w:val="22"/>
              </w:rPr>
              <w:t>P</w:t>
            </w:r>
            <w:r w:rsidRPr="004168E6">
              <w:rPr>
                <w:rFonts w:asciiTheme="minorHAnsi" w:hAnsiTheme="minorHAnsi" w:cstheme="minorHAnsi"/>
                <w:sz w:val="22"/>
                <w:szCs w:val="22"/>
              </w:rPr>
              <w:t xml:space="preserve">rovider working in each locality supporting the </w:t>
            </w:r>
            <w:r w:rsidR="00CE0B39">
              <w:rPr>
                <w:rFonts w:asciiTheme="minorHAnsi" w:hAnsiTheme="minorHAnsi" w:cstheme="minorHAnsi"/>
                <w:sz w:val="22"/>
                <w:szCs w:val="22"/>
              </w:rPr>
              <w:t>ILRs</w:t>
            </w:r>
            <w:r w:rsidRPr="004168E6">
              <w:rPr>
                <w:rFonts w:asciiTheme="minorHAnsi" w:hAnsiTheme="minorHAnsi" w:cstheme="minorHAnsi"/>
                <w:sz w:val="22"/>
                <w:szCs w:val="22"/>
              </w:rPr>
              <w:t xml:space="preserve"> to </w:t>
            </w:r>
            <w:r w:rsidR="00CE0B39">
              <w:rPr>
                <w:rFonts w:asciiTheme="minorHAnsi" w:hAnsiTheme="minorHAnsi" w:cstheme="minorHAnsi"/>
                <w:sz w:val="22"/>
                <w:szCs w:val="22"/>
              </w:rPr>
              <w:t>enable</w:t>
            </w:r>
            <w:r w:rsidRPr="004168E6">
              <w:rPr>
                <w:rFonts w:asciiTheme="minorHAnsi" w:hAnsiTheme="minorHAnsi" w:cstheme="minorHAnsi"/>
                <w:sz w:val="22"/>
                <w:szCs w:val="22"/>
              </w:rPr>
              <w:t xml:space="preserve"> people to remain living at home, </w:t>
            </w:r>
            <w:r w:rsidR="00CE0B39">
              <w:rPr>
                <w:rFonts w:asciiTheme="minorHAnsi" w:hAnsiTheme="minorHAnsi" w:cstheme="minorHAnsi"/>
                <w:sz w:val="22"/>
                <w:szCs w:val="22"/>
              </w:rPr>
              <w:t xml:space="preserve">including </w:t>
            </w:r>
            <w:r w:rsidRPr="004168E6">
              <w:rPr>
                <w:rFonts w:asciiTheme="minorHAnsi" w:hAnsiTheme="minorHAnsi" w:cstheme="minorHAnsi"/>
                <w:sz w:val="22"/>
                <w:szCs w:val="22"/>
              </w:rPr>
              <w:t>care home</w:t>
            </w:r>
            <w:r w:rsidR="00CE0B39">
              <w:rPr>
                <w:rFonts w:asciiTheme="minorHAnsi" w:hAnsiTheme="minorHAnsi" w:cstheme="minorHAnsi"/>
                <w:sz w:val="22"/>
                <w:szCs w:val="22"/>
              </w:rPr>
              <w:t>s or other supported living facilities</w:t>
            </w:r>
            <w:r w:rsidRPr="004168E6">
              <w:rPr>
                <w:rFonts w:asciiTheme="minorHAnsi" w:hAnsiTheme="minorHAnsi" w:cstheme="minorHAnsi"/>
                <w:sz w:val="22"/>
                <w:szCs w:val="22"/>
              </w:rPr>
              <w:t>, for as long as possible by helping them to reach the best level of ability and independent living that is possible.</w:t>
            </w:r>
          </w:p>
          <w:p w14:paraId="0DB6BA47" w14:textId="77777777" w:rsidR="001C17F0" w:rsidRDefault="001C17F0" w:rsidP="00DC3BE7">
            <w:pPr>
              <w:jc w:val="both"/>
              <w:rPr>
                <w:rFonts w:asciiTheme="minorHAnsi" w:hAnsiTheme="minorHAnsi" w:cstheme="minorHAnsi"/>
                <w:sz w:val="22"/>
                <w:szCs w:val="22"/>
              </w:rPr>
            </w:pPr>
          </w:p>
          <w:p w14:paraId="4EA0BB66" w14:textId="694C99A7" w:rsidR="009A17BD" w:rsidRPr="00DC3BE7" w:rsidRDefault="00CE77F5" w:rsidP="00DC3BE7">
            <w:pPr>
              <w:jc w:val="both"/>
              <w:rPr>
                <w:rFonts w:asciiTheme="minorHAnsi" w:hAnsiTheme="minorHAnsi" w:cstheme="minorHAnsi"/>
                <w:sz w:val="22"/>
                <w:szCs w:val="22"/>
              </w:rPr>
            </w:pPr>
            <w:r>
              <w:rPr>
                <w:rFonts w:asciiTheme="minorHAnsi" w:hAnsiTheme="minorHAnsi" w:cstheme="minorHAnsi"/>
                <w:sz w:val="22"/>
                <w:szCs w:val="22"/>
              </w:rPr>
              <w:t xml:space="preserve">The Provider must ensure that </w:t>
            </w:r>
            <w:r w:rsidR="00BA7A65">
              <w:rPr>
                <w:rFonts w:asciiTheme="minorHAnsi" w:hAnsiTheme="minorHAnsi" w:cstheme="minorHAnsi"/>
                <w:sz w:val="22"/>
                <w:szCs w:val="22"/>
              </w:rPr>
              <w:t xml:space="preserve">an appropriate clinical professional </w:t>
            </w:r>
            <w:r w:rsidR="00DC3BE7" w:rsidRPr="00DC3BE7">
              <w:rPr>
                <w:rFonts w:asciiTheme="minorHAnsi" w:hAnsiTheme="minorHAnsi" w:cstheme="minorHAnsi"/>
                <w:sz w:val="22"/>
                <w:szCs w:val="22"/>
              </w:rPr>
              <w:t>attend</w:t>
            </w:r>
            <w:r w:rsidR="00BA7A65">
              <w:rPr>
                <w:rFonts w:asciiTheme="minorHAnsi" w:hAnsiTheme="minorHAnsi" w:cstheme="minorHAnsi"/>
                <w:sz w:val="22"/>
                <w:szCs w:val="22"/>
              </w:rPr>
              <w:t>s</w:t>
            </w:r>
            <w:r>
              <w:rPr>
                <w:rFonts w:asciiTheme="minorHAnsi" w:hAnsiTheme="minorHAnsi" w:cstheme="minorHAnsi"/>
                <w:sz w:val="22"/>
                <w:szCs w:val="22"/>
              </w:rPr>
              <w:t xml:space="preserve"> </w:t>
            </w:r>
            <w:r w:rsidR="00DC3BE7" w:rsidRPr="00DC3BE7">
              <w:rPr>
                <w:rFonts w:asciiTheme="minorHAnsi" w:hAnsiTheme="minorHAnsi" w:cstheme="minorHAnsi"/>
                <w:sz w:val="22"/>
                <w:szCs w:val="22"/>
              </w:rPr>
              <w:t xml:space="preserve">these meetings to ensure information sharing across both internal and external organisations. </w:t>
            </w:r>
          </w:p>
          <w:p w14:paraId="1CFC90A5" w14:textId="6A46C13C"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One of the key requirements of the Provider, will be to maximise opportunities for better management and support </w:t>
            </w:r>
            <w:r w:rsidR="00255B7F">
              <w:rPr>
                <w:rFonts w:asciiTheme="minorHAnsi" w:eastAsiaTheme="minorHAnsi" w:hAnsiTheme="minorHAnsi" w:cs="Arial"/>
                <w:sz w:val="22"/>
                <w:szCs w:val="22"/>
              </w:rPr>
              <w:t xml:space="preserve">of patients </w:t>
            </w:r>
            <w:r w:rsidRPr="00DC3BE7">
              <w:rPr>
                <w:rFonts w:asciiTheme="minorHAnsi" w:eastAsiaTheme="minorHAnsi" w:hAnsiTheme="minorHAnsi" w:cs="Arial"/>
                <w:sz w:val="22"/>
                <w:szCs w:val="22"/>
              </w:rPr>
              <w:t>during exacerbations in their conditions.  The Provider must therefore, ensure that this cohort of patients is able to access support seven days a week, 24 hours a day from the care co-ordination and urgent response functions, if required.  It is anticipated that this additional support during exacerbations in their conditions will help to reduce conveyances and attendances at hospital.</w:t>
            </w:r>
          </w:p>
          <w:p w14:paraId="678D61C2" w14:textId="77777777" w:rsidR="00D73346" w:rsidRPr="00DC3BE7" w:rsidRDefault="00D73346" w:rsidP="00DC3BE7">
            <w:pPr>
              <w:jc w:val="both"/>
              <w:rPr>
                <w:rFonts w:asciiTheme="minorHAnsi" w:eastAsiaTheme="minorHAnsi" w:hAnsiTheme="minorHAnsi" w:cs="Arial"/>
                <w:sz w:val="22"/>
                <w:szCs w:val="22"/>
              </w:rPr>
            </w:pPr>
          </w:p>
          <w:p w14:paraId="327A15C3" w14:textId="77777777" w:rsidR="00DC3BE7" w:rsidRPr="00DC3BE7" w:rsidRDefault="00DC3BE7" w:rsidP="00DC3BE7">
            <w:pPr>
              <w:jc w:val="both"/>
              <w:rPr>
                <w:rFonts w:asciiTheme="minorHAnsi" w:eastAsiaTheme="minorHAnsi" w:hAnsiTheme="minorHAnsi" w:cs="Arial"/>
                <w:b/>
                <w:sz w:val="22"/>
                <w:szCs w:val="22"/>
              </w:rPr>
            </w:pPr>
            <w:r w:rsidRPr="00DC3BE7">
              <w:rPr>
                <w:rFonts w:asciiTheme="minorHAnsi" w:eastAsiaTheme="minorHAnsi" w:hAnsiTheme="minorHAnsi" w:cs="Arial"/>
                <w:b/>
                <w:sz w:val="22"/>
                <w:szCs w:val="22"/>
              </w:rPr>
              <w:t>2.1.19 Focus on prevention and empowerment</w:t>
            </w:r>
          </w:p>
          <w:p w14:paraId="22539FB6" w14:textId="2FDAC436" w:rsidR="00893972" w:rsidRDefault="00F43E50" w:rsidP="0092250A">
            <w:pPr>
              <w:jc w:val="both"/>
              <w:rPr>
                <w:rFonts w:asciiTheme="minorHAnsi" w:hAnsiTheme="minorHAnsi" w:cs="Arial"/>
                <w:sz w:val="22"/>
                <w:szCs w:val="22"/>
              </w:rPr>
            </w:pPr>
            <w:r w:rsidRPr="00255B7F">
              <w:rPr>
                <w:rFonts w:asciiTheme="minorHAnsi" w:hAnsiTheme="minorHAnsi" w:cs="Arial"/>
                <w:sz w:val="22"/>
                <w:szCs w:val="22"/>
              </w:rPr>
              <w:t xml:space="preserve">The Provider </w:t>
            </w:r>
            <w:r w:rsidR="00370AAC" w:rsidRPr="00255B7F">
              <w:rPr>
                <w:rFonts w:asciiTheme="minorHAnsi" w:hAnsiTheme="minorHAnsi" w:cs="Arial"/>
                <w:sz w:val="22"/>
                <w:szCs w:val="22"/>
              </w:rPr>
              <w:t>should offer</w:t>
            </w:r>
            <w:r w:rsidRPr="00255B7F">
              <w:rPr>
                <w:rFonts w:asciiTheme="minorHAnsi" w:hAnsiTheme="minorHAnsi" w:cs="Arial"/>
                <w:sz w:val="22"/>
                <w:szCs w:val="22"/>
              </w:rPr>
              <w:t xml:space="preserve"> </w:t>
            </w:r>
            <w:r w:rsidR="0031519D" w:rsidRPr="00255B7F">
              <w:rPr>
                <w:rFonts w:asciiTheme="minorHAnsi" w:hAnsiTheme="minorHAnsi" w:cs="Arial"/>
                <w:sz w:val="22"/>
                <w:szCs w:val="22"/>
              </w:rPr>
              <w:t xml:space="preserve">innovative </w:t>
            </w:r>
            <w:r w:rsidRPr="00255B7F">
              <w:rPr>
                <w:rFonts w:asciiTheme="minorHAnsi" w:hAnsiTheme="minorHAnsi" w:cs="Arial"/>
                <w:sz w:val="22"/>
                <w:szCs w:val="22"/>
              </w:rPr>
              <w:t>ways of providing information, advice</w:t>
            </w:r>
            <w:r w:rsidR="0031519D" w:rsidRPr="00255B7F">
              <w:rPr>
                <w:rFonts w:asciiTheme="minorHAnsi" w:hAnsiTheme="minorHAnsi" w:cs="Arial"/>
                <w:sz w:val="22"/>
                <w:szCs w:val="22"/>
              </w:rPr>
              <w:t xml:space="preserve"> and </w:t>
            </w:r>
            <w:r w:rsidRPr="00255B7F">
              <w:rPr>
                <w:rFonts w:asciiTheme="minorHAnsi" w:hAnsiTheme="minorHAnsi" w:cs="Arial"/>
                <w:sz w:val="22"/>
                <w:szCs w:val="22"/>
              </w:rPr>
              <w:t>guidance</w:t>
            </w:r>
            <w:r w:rsidR="0031519D" w:rsidRPr="00255B7F">
              <w:rPr>
                <w:rFonts w:asciiTheme="minorHAnsi" w:hAnsiTheme="minorHAnsi" w:cs="Arial"/>
                <w:sz w:val="22"/>
                <w:szCs w:val="22"/>
              </w:rPr>
              <w:t xml:space="preserve">, as well as </w:t>
            </w:r>
            <w:r w:rsidRPr="00255B7F">
              <w:rPr>
                <w:rFonts w:asciiTheme="minorHAnsi" w:hAnsiTheme="minorHAnsi" w:cs="Arial"/>
                <w:sz w:val="22"/>
                <w:szCs w:val="22"/>
              </w:rPr>
              <w:t xml:space="preserve">easy access across a range of channels so that </w:t>
            </w:r>
            <w:r w:rsidR="00367A34" w:rsidRPr="00255B7F">
              <w:rPr>
                <w:rFonts w:asciiTheme="minorHAnsi" w:hAnsiTheme="minorHAnsi" w:cs="Arial"/>
                <w:sz w:val="22"/>
                <w:szCs w:val="22"/>
              </w:rPr>
              <w:t>patients</w:t>
            </w:r>
            <w:r w:rsidRPr="00255B7F">
              <w:rPr>
                <w:rFonts w:asciiTheme="minorHAnsi" w:hAnsiTheme="minorHAnsi" w:cs="Arial"/>
                <w:sz w:val="22"/>
                <w:szCs w:val="22"/>
              </w:rPr>
              <w:t xml:space="preserve"> can </w:t>
            </w:r>
            <w:proofErr w:type="spellStart"/>
            <w:r w:rsidRPr="00255B7F">
              <w:rPr>
                <w:rFonts w:asciiTheme="minorHAnsi" w:hAnsiTheme="minorHAnsi" w:cs="Arial"/>
                <w:sz w:val="22"/>
                <w:szCs w:val="22"/>
              </w:rPr>
              <w:t>self assess</w:t>
            </w:r>
            <w:proofErr w:type="spellEnd"/>
            <w:r w:rsidRPr="00255B7F">
              <w:rPr>
                <w:rFonts w:asciiTheme="minorHAnsi" w:hAnsiTheme="minorHAnsi" w:cs="Arial"/>
                <w:sz w:val="22"/>
                <w:szCs w:val="22"/>
              </w:rPr>
              <w:t xml:space="preserve"> and </w:t>
            </w:r>
            <w:proofErr w:type="spellStart"/>
            <w:r w:rsidRPr="00255B7F">
              <w:rPr>
                <w:rFonts w:asciiTheme="minorHAnsi" w:hAnsiTheme="minorHAnsi" w:cs="Arial"/>
                <w:sz w:val="22"/>
                <w:szCs w:val="22"/>
              </w:rPr>
              <w:t>self manage</w:t>
            </w:r>
            <w:proofErr w:type="spellEnd"/>
            <w:r w:rsidRPr="00255B7F">
              <w:rPr>
                <w:rFonts w:asciiTheme="minorHAnsi" w:hAnsiTheme="minorHAnsi" w:cs="Arial"/>
                <w:sz w:val="22"/>
                <w:szCs w:val="22"/>
              </w:rPr>
              <w:t xml:space="preserve">;  </w:t>
            </w:r>
            <w:r w:rsidR="00893972" w:rsidRPr="00255B7F">
              <w:rPr>
                <w:rFonts w:asciiTheme="minorHAnsi" w:hAnsiTheme="minorHAnsi" w:cs="Arial"/>
                <w:sz w:val="22"/>
                <w:szCs w:val="22"/>
              </w:rPr>
              <w:t xml:space="preserve">helping patients to </w:t>
            </w:r>
            <w:r w:rsidRPr="00255B7F">
              <w:rPr>
                <w:rFonts w:asciiTheme="minorHAnsi" w:hAnsiTheme="minorHAnsi" w:cs="Arial"/>
                <w:sz w:val="22"/>
                <w:szCs w:val="22"/>
              </w:rPr>
              <w:t>find their own solutions to things that matter to them is an important part of this care model.</w:t>
            </w:r>
            <w:r>
              <w:rPr>
                <w:rFonts w:asciiTheme="minorHAnsi" w:hAnsiTheme="minorHAnsi" w:cs="Arial"/>
                <w:sz w:val="22"/>
                <w:szCs w:val="22"/>
              </w:rPr>
              <w:t xml:space="preserve"> </w:t>
            </w:r>
          </w:p>
          <w:p w14:paraId="3C9DB75E" w14:textId="77777777" w:rsidR="00893972" w:rsidRDefault="00893972" w:rsidP="0092250A">
            <w:pPr>
              <w:jc w:val="both"/>
              <w:rPr>
                <w:rFonts w:asciiTheme="minorHAnsi" w:hAnsiTheme="minorHAnsi" w:cs="Arial"/>
                <w:sz w:val="22"/>
                <w:szCs w:val="22"/>
              </w:rPr>
            </w:pPr>
          </w:p>
          <w:p w14:paraId="4D1FF6CE" w14:textId="7D22D6F7" w:rsidR="0092250A" w:rsidRPr="00484F56" w:rsidRDefault="00367A34" w:rsidP="0092250A">
            <w:pPr>
              <w:jc w:val="both"/>
              <w:rPr>
                <w:rFonts w:asciiTheme="minorHAnsi" w:hAnsiTheme="minorHAnsi" w:cs="Arial"/>
                <w:sz w:val="22"/>
                <w:szCs w:val="22"/>
              </w:rPr>
            </w:pPr>
            <w:r w:rsidRPr="00DC3BE7">
              <w:rPr>
                <w:rFonts w:asciiTheme="minorHAnsi" w:hAnsiTheme="minorHAnsi" w:cs="Arial"/>
                <w:sz w:val="22"/>
                <w:szCs w:val="22"/>
              </w:rPr>
              <w:t>The Provider will ensure that in line with clinical guidelines, patients are offered a choice of self-care options to help them better manage their long term conditions.</w:t>
            </w:r>
            <w:r w:rsidR="00893972">
              <w:rPr>
                <w:rFonts w:asciiTheme="minorHAnsi" w:hAnsiTheme="minorHAnsi" w:cs="Arial"/>
                <w:sz w:val="22"/>
                <w:szCs w:val="22"/>
              </w:rPr>
              <w:t xml:space="preserve"> </w:t>
            </w:r>
            <w:r w:rsidR="00DC3BE7" w:rsidRPr="00DC3BE7">
              <w:rPr>
                <w:rFonts w:asciiTheme="minorHAnsi" w:hAnsiTheme="minorHAnsi" w:cs="Arial"/>
                <w:sz w:val="22"/>
                <w:szCs w:val="22"/>
              </w:rPr>
              <w:t xml:space="preserve">All patients should be </w:t>
            </w:r>
            <w:r w:rsidR="00DF2B0B">
              <w:rPr>
                <w:rFonts w:asciiTheme="minorHAnsi" w:hAnsiTheme="minorHAnsi" w:cs="Arial"/>
                <w:sz w:val="22"/>
                <w:szCs w:val="22"/>
              </w:rPr>
              <w:t xml:space="preserve">supported </w:t>
            </w:r>
            <w:r w:rsidR="00DC3BE7" w:rsidRPr="00DC3BE7">
              <w:rPr>
                <w:rFonts w:asciiTheme="minorHAnsi" w:hAnsiTheme="minorHAnsi" w:cs="Arial"/>
                <w:sz w:val="22"/>
                <w:szCs w:val="22"/>
              </w:rPr>
              <w:t>to identify which options (based on an individual’s needs, capabilities and preferences) are the most appropriate to help them self-care.</w:t>
            </w:r>
            <w:r w:rsidR="00521B56" w:rsidRPr="00484F56">
              <w:rPr>
                <w:rFonts w:asciiTheme="minorHAnsi" w:hAnsiTheme="minorHAnsi" w:cs="Arial"/>
                <w:sz w:val="22"/>
                <w:szCs w:val="22"/>
              </w:rPr>
              <w:t xml:space="preserve"> </w:t>
            </w:r>
            <w:r w:rsidR="00521B56">
              <w:rPr>
                <w:rFonts w:asciiTheme="minorHAnsi" w:hAnsiTheme="minorHAnsi" w:cs="Arial"/>
                <w:sz w:val="22"/>
                <w:szCs w:val="22"/>
              </w:rPr>
              <w:t xml:space="preserve"> </w:t>
            </w:r>
            <w:r w:rsidR="0092250A" w:rsidRPr="00484F56">
              <w:rPr>
                <w:rFonts w:asciiTheme="minorHAnsi" w:hAnsiTheme="minorHAnsi" w:cs="Arial"/>
                <w:sz w:val="22"/>
                <w:szCs w:val="22"/>
              </w:rPr>
              <w:t xml:space="preserve">It is </w:t>
            </w:r>
            <w:r w:rsidR="0092250A">
              <w:rPr>
                <w:rFonts w:asciiTheme="minorHAnsi" w:hAnsiTheme="minorHAnsi" w:cs="Arial"/>
                <w:sz w:val="22"/>
                <w:szCs w:val="22"/>
              </w:rPr>
              <w:t xml:space="preserve">therefore, </w:t>
            </w:r>
            <w:r w:rsidR="0092250A" w:rsidRPr="00484F56">
              <w:rPr>
                <w:rFonts w:asciiTheme="minorHAnsi" w:hAnsiTheme="minorHAnsi" w:cs="Arial"/>
                <w:sz w:val="22"/>
                <w:szCs w:val="22"/>
              </w:rPr>
              <w:t xml:space="preserve">essential that all </w:t>
            </w:r>
            <w:r w:rsidR="0092250A">
              <w:rPr>
                <w:rFonts w:asciiTheme="minorHAnsi" w:hAnsiTheme="minorHAnsi" w:cs="Arial"/>
                <w:sz w:val="22"/>
                <w:szCs w:val="22"/>
              </w:rPr>
              <w:t>staff k</w:t>
            </w:r>
            <w:r w:rsidR="0092250A" w:rsidRPr="00484F56">
              <w:rPr>
                <w:rFonts w:asciiTheme="minorHAnsi" w:hAnsiTheme="minorHAnsi" w:cs="Arial"/>
                <w:sz w:val="22"/>
                <w:szCs w:val="22"/>
              </w:rPr>
              <w:t xml:space="preserve">now what support and advice is available in their local community. </w:t>
            </w:r>
          </w:p>
          <w:p w14:paraId="0E3ADCE7" w14:textId="3C9FDD88" w:rsidR="00521B56" w:rsidRPr="00484F56" w:rsidRDefault="00521B56" w:rsidP="00521B56">
            <w:pPr>
              <w:jc w:val="both"/>
              <w:rPr>
                <w:rFonts w:asciiTheme="minorHAnsi" w:hAnsiTheme="minorHAnsi" w:cs="Arial"/>
                <w:sz w:val="22"/>
                <w:szCs w:val="22"/>
              </w:rPr>
            </w:pPr>
          </w:p>
          <w:p w14:paraId="1DC3D0AE"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Self-care options should include a range of different choices that promote self-care and enhance general wellbeing, including accessing support in the community i.e. the use of a directory of services to inform and sign-post patients to other services including self-help groups and organisations available in the local area. </w:t>
            </w:r>
          </w:p>
          <w:p w14:paraId="7C2969F1" w14:textId="77777777" w:rsidR="00DC3BE7" w:rsidRPr="00DC3BE7" w:rsidRDefault="00DC3BE7" w:rsidP="00DC3BE7">
            <w:pPr>
              <w:jc w:val="both"/>
              <w:rPr>
                <w:rFonts w:asciiTheme="minorHAnsi" w:hAnsiTheme="minorHAnsi" w:cs="Arial"/>
                <w:sz w:val="22"/>
                <w:szCs w:val="22"/>
              </w:rPr>
            </w:pPr>
          </w:p>
          <w:p w14:paraId="5BD22E5F" w14:textId="1EF8A696" w:rsidR="00DC3BE7" w:rsidRPr="0054002E"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At every contact with the patient, opportunities to talk about and support the patient to make healthy behaviour changes are discussed, brief intervention carried out (where appropriate), </w:t>
            </w:r>
            <w:r w:rsidRPr="0054002E">
              <w:rPr>
                <w:rFonts w:asciiTheme="minorHAnsi" w:hAnsiTheme="minorHAnsi" w:cs="Arial"/>
                <w:sz w:val="22"/>
                <w:szCs w:val="22"/>
              </w:rPr>
              <w:t xml:space="preserve">and signposting </w:t>
            </w:r>
            <w:r w:rsidR="00EF674A" w:rsidRPr="0054002E">
              <w:rPr>
                <w:rFonts w:asciiTheme="minorHAnsi" w:hAnsiTheme="minorHAnsi" w:cs="Arial"/>
                <w:sz w:val="22"/>
                <w:szCs w:val="22"/>
              </w:rPr>
              <w:t>to improve and increase access to</w:t>
            </w:r>
            <w:r w:rsidR="009055E2">
              <w:rPr>
                <w:rFonts w:asciiTheme="minorHAnsi" w:hAnsiTheme="minorHAnsi" w:cs="Arial"/>
                <w:sz w:val="22"/>
                <w:szCs w:val="22"/>
              </w:rPr>
              <w:t xml:space="preserve"> Well-being Navigators</w:t>
            </w:r>
            <w:r w:rsidR="009A350C" w:rsidRPr="0054002E">
              <w:rPr>
                <w:rFonts w:asciiTheme="minorHAnsi" w:hAnsiTheme="minorHAnsi" w:cs="Arial"/>
                <w:sz w:val="22"/>
                <w:szCs w:val="22"/>
              </w:rPr>
              <w:t>.</w:t>
            </w:r>
          </w:p>
          <w:p w14:paraId="2949DB0A" w14:textId="77777777" w:rsidR="00DC3BE7" w:rsidRPr="0054002E" w:rsidRDefault="00DC3BE7" w:rsidP="00DC3BE7">
            <w:pPr>
              <w:jc w:val="both"/>
              <w:rPr>
                <w:rFonts w:asciiTheme="minorHAnsi" w:hAnsiTheme="minorHAnsi" w:cs="Arial"/>
                <w:sz w:val="22"/>
                <w:szCs w:val="22"/>
              </w:rPr>
            </w:pPr>
          </w:p>
          <w:p w14:paraId="5F38552B" w14:textId="2D8214AC" w:rsidR="00484F56" w:rsidRDefault="00484F56" w:rsidP="00484F56">
            <w:pPr>
              <w:jc w:val="both"/>
              <w:rPr>
                <w:rFonts w:asciiTheme="minorHAnsi" w:hAnsiTheme="minorHAnsi" w:cs="Arial"/>
                <w:sz w:val="22"/>
                <w:szCs w:val="22"/>
              </w:rPr>
            </w:pPr>
            <w:r w:rsidRPr="0054002E">
              <w:rPr>
                <w:rFonts w:asciiTheme="minorHAnsi" w:hAnsiTheme="minorHAnsi" w:cs="Arial"/>
                <w:sz w:val="22"/>
                <w:szCs w:val="22"/>
              </w:rPr>
              <w:t xml:space="preserve">The </w:t>
            </w:r>
            <w:r w:rsidR="003F299D" w:rsidRPr="0054002E">
              <w:rPr>
                <w:rFonts w:asciiTheme="minorHAnsi" w:hAnsiTheme="minorHAnsi" w:cs="Arial"/>
                <w:sz w:val="22"/>
                <w:szCs w:val="22"/>
              </w:rPr>
              <w:t xml:space="preserve">Provider </w:t>
            </w:r>
            <w:r w:rsidRPr="0054002E">
              <w:rPr>
                <w:rFonts w:asciiTheme="minorHAnsi" w:hAnsiTheme="minorHAnsi" w:cs="Arial"/>
                <w:sz w:val="22"/>
                <w:szCs w:val="22"/>
              </w:rPr>
              <w:t xml:space="preserve">will ensure that front-line </w:t>
            </w:r>
            <w:r w:rsidR="00BE0BF5" w:rsidRPr="0054002E">
              <w:rPr>
                <w:rFonts w:asciiTheme="minorHAnsi" w:hAnsiTheme="minorHAnsi" w:cs="Arial"/>
                <w:sz w:val="22"/>
                <w:szCs w:val="22"/>
              </w:rPr>
              <w:t>staff</w:t>
            </w:r>
            <w:r w:rsidRPr="0054002E">
              <w:rPr>
                <w:rFonts w:asciiTheme="minorHAnsi" w:hAnsiTheme="minorHAnsi" w:cs="Arial"/>
                <w:sz w:val="22"/>
                <w:szCs w:val="22"/>
              </w:rPr>
              <w:t xml:space="preserve"> offer (as appropriate) brief interventions on a range of topics, as well as being aware of the referral routes into services that can provide more targeted support. Interventions will be based on strong evidence and examples of good practice, including National Institute for Health and Care Excellence (NICE) guidelines and Public Health England policy and practice guidance.</w:t>
            </w:r>
          </w:p>
          <w:p w14:paraId="315F9AAC" w14:textId="77777777" w:rsidR="00EF674A" w:rsidRPr="00DC3BE7" w:rsidRDefault="00EF674A" w:rsidP="00DC3BE7">
            <w:pPr>
              <w:jc w:val="both"/>
              <w:rPr>
                <w:rFonts w:asciiTheme="minorHAnsi" w:hAnsiTheme="minorHAnsi" w:cs="Arial"/>
                <w:sz w:val="22"/>
                <w:szCs w:val="22"/>
              </w:rPr>
            </w:pPr>
          </w:p>
          <w:p w14:paraId="1164D106" w14:textId="77777777" w:rsidR="00DC3BE7" w:rsidRPr="0054002E" w:rsidRDefault="00DC3BE7" w:rsidP="00DC3BE7">
            <w:pPr>
              <w:jc w:val="both"/>
              <w:rPr>
                <w:rFonts w:asciiTheme="minorHAnsi" w:hAnsiTheme="minorHAnsi" w:cs="Arial"/>
                <w:i/>
                <w:sz w:val="22"/>
                <w:szCs w:val="22"/>
                <w:u w:val="single"/>
              </w:rPr>
            </w:pPr>
            <w:r w:rsidRPr="0054002E">
              <w:rPr>
                <w:rFonts w:asciiTheme="minorHAnsi" w:hAnsiTheme="minorHAnsi" w:cs="Arial"/>
                <w:i/>
                <w:sz w:val="22"/>
                <w:szCs w:val="22"/>
                <w:u w:val="single"/>
              </w:rPr>
              <w:t>2.1.20 Patient activation</w:t>
            </w:r>
          </w:p>
          <w:p w14:paraId="63B3841B"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The Provider will ensure that community professionals have an understanding of a patient’s level of knowledge, skills and confidence (or activation level) in relation to their condition.   Providers should employ the self-care continuum principles to understand where individual patients are, in terms of willingness and ability to self-manage, so that the most appropriate options are offered to help them manage their condition.  The Provider will ensure that this is reviewed on a regular basis to support patients’ needs. </w:t>
            </w:r>
          </w:p>
          <w:p w14:paraId="78DFF119" w14:textId="77777777" w:rsidR="00DC3BE7" w:rsidRPr="00DC3BE7" w:rsidRDefault="00DC3BE7" w:rsidP="00DC3BE7">
            <w:pPr>
              <w:jc w:val="both"/>
              <w:rPr>
                <w:rFonts w:asciiTheme="minorHAnsi" w:hAnsiTheme="minorHAnsi" w:cs="Arial"/>
                <w:sz w:val="22"/>
                <w:szCs w:val="22"/>
              </w:rPr>
            </w:pPr>
          </w:p>
          <w:p w14:paraId="42313E7F" w14:textId="77777777" w:rsidR="00DC3BE7" w:rsidRPr="0054002E" w:rsidRDefault="00DC3BE7" w:rsidP="00DC3BE7">
            <w:pPr>
              <w:jc w:val="both"/>
              <w:rPr>
                <w:rFonts w:asciiTheme="minorHAnsi" w:eastAsiaTheme="minorHAnsi" w:hAnsiTheme="minorHAnsi" w:cs="Arial"/>
                <w:i/>
                <w:sz w:val="22"/>
                <w:szCs w:val="22"/>
                <w:u w:val="single"/>
              </w:rPr>
            </w:pPr>
            <w:r w:rsidRPr="0054002E">
              <w:rPr>
                <w:rFonts w:asciiTheme="minorHAnsi" w:eastAsiaTheme="minorHAnsi" w:hAnsiTheme="minorHAnsi" w:cs="Arial"/>
                <w:i/>
                <w:sz w:val="22"/>
                <w:szCs w:val="22"/>
                <w:u w:val="single"/>
              </w:rPr>
              <w:t>2.1.21 Person-centred approach</w:t>
            </w:r>
          </w:p>
          <w:p w14:paraId="7637760F"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must ensure that community professionals take a holistic approach when assessing and care </w:t>
            </w:r>
            <w:r w:rsidRPr="00DC3BE7">
              <w:rPr>
                <w:rFonts w:asciiTheme="minorHAnsi" w:eastAsiaTheme="minorHAnsi" w:hAnsiTheme="minorHAnsi" w:cs="Arial"/>
                <w:sz w:val="22"/>
                <w:szCs w:val="22"/>
              </w:rPr>
              <w:lastRenderedPageBreak/>
              <w:t>planning, seeking input from other key organisations i.e. social care and mental health colleagues whenever necessary.  When a patient has a range of physical health conditions, mental health conditions, or social care requirements, these will be considered simultaneously. The person-centred approach will be further supported by the co-location of professionals from other organisations in each of the HLCs and ILRs in each of the localities.</w:t>
            </w:r>
          </w:p>
          <w:p w14:paraId="48B91B2E" w14:textId="77777777" w:rsidR="00DC3BE7" w:rsidRPr="00DC3BE7" w:rsidRDefault="00DC3BE7" w:rsidP="00DC3BE7">
            <w:pPr>
              <w:jc w:val="both"/>
              <w:rPr>
                <w:rFonts w:asciiTheme="minorHAnsi" w:eastAsiaTheme="minorHAnsi" w:hAnsiTheme="minorHAnsi" w:cs="Arial"/>
                <w:sz w:val="22"/>
                <w:szCs w:val="22"/>
              </w:rPr>
            </w:pPr>
          </w:p>
          <w:p w14:paraId="005485C3"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must recognise the importance of parity of esteem between physical health and mental health.   The Provider will ensure that community professionals work collaboratively with professionals from mental health to promote people’s emotional wellbeing and help prevent possible crisis. In addition, the Provider will ensure that community professionals are aware of and encourage patients to access support with their mental health. This may include talking therapy services where appropriate i.e. to help patients develop coping strategies to deal with anxiety related to their specific condition.  By having access to this additional support, patients will be able to better manage their long-term conditions. The provider will ensure the workforce is appropriately trained in recognising, talking about and undertaking brief advice, interventions and signposting around mental wellbeing (for example attending Connect 5 training).</w:t>
            </w:r>
          </w:p>
          <w:p w14:paraId="459C3958" w14:textId="77777777" w:rsidR="00DC3BE7" w:rsidRPr="00DC3BE7" w:rsidRDefault="00DC3BE7" w:rsidP="00DC3BE7">
            <w:pPr>
              <w:jc w:val="both"/>
              <w:rPr>
                <w:rFonts w:asciiTheme="minorHAnsi" w:eastAsiaTheme="minorHAnsi" w:hAnsiTheme="minorHAnsi" w:cs="Arial"/>
                <w:sz w:val="22"/>
                <w:szCs w:val="22"/>
              </w:rPr>
            </w:pPr>
          </w:p>
          <w:p w14:paraId="1550C4F5" w14:textId="24A58D03"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ensure that when assessments and </w:t>
            </w:r>
            <w:r w:rsidR="00286CC1">
              <w:rPr>
                <w:rFonts w:asciiTheme="minorHAnsi" w:eastAsiaTheme="minorHAnsi" w:hAnsiTheme="minorHAnsi" w:cs="Arial"/>
                <w:sz w:val="22"/>
                <w:szCs w:val="22"/>
              </w:rPr>
              <w:t>personalised IMPs</w:t>
            </w:r>
            <w:r w:rsidRPr="00DC3BE7">
              <w:rPr>
                <w:rFonts w:asciiTheme="minorHAnsi" w:eastAsiaTheme="minorHAnsi" w:hAnsiTheme="minorHAnsi" w:cs="Arial"/>
                <w:sz w:val="22"/>
                <w:szCs w:val="22"/>
              </w:rPr>
              <w:t xml:space="preserve"> are developed, recognition of the importance of the role family and carers play in providing support to patients should also be included within the plan.  For example, this might include the provision of education and advice regarding the cared-for person, as well as directing the carers to services in the community that can support their own wellbeing.  The Provider must ensure that pathways to refer to adult social care for a formal carer assessment where appropriate are used.</w:t>
            </w:r>
          </w:p>
          <w:p w14:paraId="56A0A0A7" w14:textId="77777777" w:rsidR="00DC3BE7" w:rsidRPr="00DC3BE7" w:rsidRDefault="00DC3BE7" w:rsidP="00DC3BE7">
            <w:pPr>
              <w:jc w:val="both"/>
              <w:rPr>
                <w:rFonts w:asciiTheme="minorHAnsi" w:eastAsiaTheme="minorHAnsi" w:hAnsiTheme="minorHAnsi" w:cs="Arial"/>
                <w:sz w:val="22"/>
                <w:szCs w:val="22"/>
                <w:u w:val="single"/>
              </w:rPr>
            </w:pPr>
          </w:p>
          <w:p w14:paraId="6B40029A" w14:textId="77777777" w:rsidR="00DC3BE7" w:rsidRPr="0054002E" w:rsidRDefault="00DC3BE7" w:rsidP="00DC3BE7">
            <w:pPr>
              <w:jc w:val="both"/>
              <w:rPr>
                <w:rFonts w:asciiTheme="minorHAnsi" w:eastAsiaTheme="minorHAnsi" w:hAnsiTheme="minorHAnsi" w:cs="Arial"/>
                <w:i/>
                <w:sz w:val="22"/>
                <w:szCs w:val="22"/>
                <w:u w:val="single"/>
              </w:rPr>
            </w:pPr>
            <w:r w:rsidRPr="0054002E">
              <w:rPr>
                <w:rFonts w:asciiTheme="minorHAnsi" w:eastAsiaTheme="minorHAnsi" w:hAnsiTheme="minorHAnsi" w:cs="Arial"/>
                <w:i/>
                <w:sz w:val="22"/>
                <w:szCs w:val="22"/>
                <w:u w:val="single"/>
              </w:rPr>
              <w:t>2.1.22 Prevention and health promotion</w:t>
            </w:r>
          </w:p>
          <w:p w14:paraId="11B0C948" w14:textId="77777777"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take a two-pronged approach to prevention and education, by developing strong links with a range of organisations including Public Health to ensure opportunities to prevent ill health are embedded across the local community.  Public health services include “A Better Medway” health improvement services, including weight management, smoking cessation, physical activity and exercise referral, NHS </w:t>
            </w:r>
            <w:proofErr w:type="spellStart"/>
            <w:r w:rsidRPr="00DC3BE7">
              <w:rPr>
                <w:rFonts w:asciiTheme="minorHAnsi" w:eastAsiaTheme="minorHAnsi" w:hAnsiTheme="minorHAnsi" w:cs="Arial"/>
                <w:sz w:val="22"/>
                <w:szCs w:val="22"/>
              </w:rPr>
              <w:t>Healthchecks</w:t>
            </w:r>
            <w:proofErr w:type="spellEnd"/>
            <w:r w:rsidRPr="00DC3BE7">
              <w:rPr>
                <w:rFonts w:asciiTheme="minorHAnsi" w:eastAsiaTheme="minorHAnsi" w:hAnsiTheme="minorHAnsi" w:cs="Arial"/>
                <w:sz w:val="22"/>
                <w:szCs w:val="22"/>
              </w:rPr>
              <w:t>, mental wellbeing, substance misuse and sexual health services. The provider will work with public health (and other VCS organisations) to ensure patients are aware of services that promote healthy lifestyle choices and support them to change healthy lifestyle behaviours. This will include:</w:t>
            </w:r>
          </w:p>
          <w:p w14:paraId="2BE11654" w14:textId="77777777" w:rsidR="00152038" w:rsidRPr="00DC3BE7" w:rsidRDefault="00152038" w:rsidP="00DC3BE7">
            <w:pPr>
              <w:jc w:val="both"/>
              <w:rPr>
                <w:rFonts w:asciiTheme="minorHAnsi" w:eastAsiaTheme="minorHAnsi" w:hAnsiTheme="minorHAnsi" w:cs="Arial"/>
                <w:sz w:val="22"/>
                <w:szCs w:val="22"/>
              </w:rPr>
            </w:pPr>
          </w:p>
          <w:p w14:paraId="46268208" w14:textId="77777777" w:rsidR="00DC3BE7" w:rsidRPr="00DC3BE7" w:rsidRDefault="00DC3BE7" w:rsidP="00DC3BE7">
            <w:pPr>
              <w:ind w:left="794" w:hanging="425"/>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sz w:val="22"/>
                <w:szCs w:val="22"/>
              </w:rPr>
              <w:tab/>
              <w:t>working with public health to identify and use referral/signposting pathways between community services and public health services</w:t>
            </w:r>
          </w:p>
          <w:p w14:paraId="4E57538F" w14:textId="4F09C2E7" w:rsidR="00DC3BE7" w:rsidRPr="00DC3BE7" w:rsidRDefault="00DC3BE7" w:rsidP="00DC3BE7">
            <w:pPr>
              <w:ind w:left="794" w:hanging="425"/>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sz w:val="22"/>
                <w:szCs w:val="22"/>
              </w:rPr>
              <w:tab/>
              <w:t xml:space="preserve">developing the skills of community services staff to be able to provide brief advice, signposting and (where appropriate) brief intervention around prevention/public health including attending </w:t>
            </w:r>
            <w:r w:rsidRPr="004A5583">
              <w:rPr>
                <w:rFonts w:asciiTheme="minorHAnsi" w:eastAsiaTheme="minorHAnsi" w:hAnsiTheme="minorHAnsi" w:cs="Arial"/>
                <w:sz w:val="22"/>
                <w:szCs w:val="22"/>
              </w:rPr>
              <w:t>MECC</w:t>
            </w:r>
            <w:r w:rsidRPr="00DC3BE7">
              <w:rPr>
                <w:rFonts w:asciiTheme="minorHAnsi" w:eastAsiaTheme="minorHAnsi" w:hAnsiTheme="minorHAnsi" w:cs="Arial"/>
                <w:sz w:val="22"/>
                <w:szCs w:val="22"/>
              </w:rPr>
              <w:t xml:space="preserve"> training and having a nominated “A Better Medway” champion</w:t>
            </w:r>
          </w:p>
          <w:p w14:paraId="072D68F3" w14:textId="77777777" w:rsidR="00DC3BE7" w:rsidRPr="00DC3BE7" w:rsidRDefault="00DC3BE7" w:rsidP="00DC3BE7">
            <w:pPr>
              <w:ind w:left="794" w:hanging="425"/>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sz w:val="22"/>
                <w:szCs w:val="22"/>
              </w:rPr>
              <w:tab/>
              <w:t>engaging with “A Better Medway’s” workplace health programme to support and improve the health and wellbeing of staff</w:t>
            </w:r>
          </w:p>
          <w:p w14:paraId="741FD724" w14:textId="77777777" w:rsidR="00DC3BE7" w:rsidRPr="00DC3BE7" w:rsidRDefault="00DC3BE7" w:rsidP="00DC3BE7">
            <w:pPr>
              <w:ind w:left="794" w:hanging="425"/>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sz w:val="22"/>
                <w:szCs w:val="22"/>
              </w:rPr>
              <w:tab/>
              <w:t>Supporting public health campaigns to improve the health of patients under the care of community services</w:t>
            </w:r>
          </w:p>
          <w:p w14:paraId="048D6802" w14:textId="77777777" w:rsidR="00DC3BE7" w:rsidRPr="00DC3BE7" w:rsidRDefault="00DC3BE7" w:rsidP="00DC3BE7">
            <w:pPr>
              <w:jc w:val="both"/>
              <w:rPr>
                <w:rFonts w:asciiTheme="minorHAnsi" w:eastAsiaTheme="minorHAnsi" w:hAnsiTheme="minorHAnsi" w:cs="Arial"/>
                <w:sz w:val="22"/>
                <w:szCs w:val="22"/>
              </w:rPr>
            </w:pPr>
          </w:p>
          <w:p w14:paraId="3FDBC5CE" w14:textId="23A6AB59"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It is expected that the Provider will also develop innovative links with </w:t>
            </w:r>
            <w:r w:rsidR="009F31B9">
              <w:rPr>
                <w:rFonts w:asciiTheme="minorHAnsi" w:eastAsiaTheme="minorHAnsi" w:hAnsiTheme="minorHAnsi" w:cs="Arial"/>
                <w:sz w:val="22"/>
                <w:szCs w:val="22"/>
              </w:rPr>
              <w:t xml:space="preserve">employers and educational organisations </w:t>
            </w:r>
            <w:r w:rsidRPr="00DC3BE7">
              <w:rPr>
                <w:rFonts w:asciiTheme="minorHAnsi" w:eastAsiaTheme="minorHAnsi" w:hAnsiTheme="minorHAnsi" w:cs="Arial"/>
                <w:sz w:val="22"/>
                <w:szCs w:val="22"/>
              </w:rPr>
              <w:t xml:space="preserve">to share information about healthy lifestyles, and offer access to educational resources to raise awareness of these programmes. </w:t>
            </w:r>
          </w:p>
          <w:p w14:paraId="6D4048B3" w14:textId="77777777" w:rsidR="00DC3BE7" w:rsidRPr="00DC3BE7" w:rsidRDefault="00DC3BE7" w:rsidP="00DC3BE7">
            <w:pPr>
              <w:jc w:val="both"/>
              <w:rPr>
                <w:rFonts w:asciiTheme="minorHAnsi" w:eastAsiaTheme="minorHAnsi" w:hAnsiTheme="minorHAnsi" w:cs="Arial"/>
                <w:sz w:val="22"/>
                <w:szCs w:val="22"/>
              </w:rPr>
            </w:pPr>
          </w:p>
          <w:p w14:paraId="4C0833D2" w14:textId="77777777" w:rsidR="009F31B9"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Alongside primary prevention, the Provider will be expected to offer patient education and activities that promote healthy lifestyles alongside secondary prevention and the self-management of conditions, for example increasing the provision of cardiac rehabilitation classes for patients who have suffered a cardiac event.  The provision of educational materials and classes to increase a patient’s understanding of their condition(s) will give patients more confidence and control over their care and enable them to better self-care, so they remain well.   </w:t>
            </w:r>
          </w:p>
          <w:p w14:paraId="5E3D3854" w14:textId="77777777" w:rsidR="009F31B9" w:rsidRDefault="009F31B9" w:rsidP="00DC3BE7">
            <w:pPr>
              <w:jc w:val="both"/>
              <w:rPr>
                <w:rFonts w:asciiTheme="minorHAnsi" w:eastAsiaTheme="minorHAnsi" w:hAnsiTheme="minorHAnsi" w:cs="Arial"/>
                <w:sz w:val="22"/>
                <w:szCs w:val="22"/>
              </w:rPr>
            </w:pPr>
          </w:p>
          <w:p w14:paraId="5CB7A136" w14:textId="77777777" w:rsidR="00DC3BE7" w:rsidRPr="0054002E" w:rsidRDefault="00DC3BE7" w:rsidP="00DC3BE7">
            <w:pPr>
              <w:jc w:val="both"/>
              <w:rPr>
                <w:rFonts w:asciiTheme="minorHAnsi" w:eastAsiaTheme="minorHAnsi" w:hAnsiTheme="minorHAnsi" w:cs="Arial"/>
                <w:i/>
                <w:sz w:val="22"/>
                <w:szCs w:val="22"/>
                <w:u w:val="single"/>
              </w:rPr>
            </w:pPr>
            <w:r w:rsidRPr="0054002E">
              <w:rPr>
                <w:rFonts w:asciiTheme="minorHAnsi" w:eastAsiaTheme="minorHAnsi" w:hAnsiTheme="minorHAnsi" w:cs="Arial"/>
                <w:i/>
                <w:sz w:val="22"/>
                <w:szCs w:val="22"/>
                <w:u w:val="single"/>
              </w:rPr>
              <w:t>2.1.23 Improved offer of Technology Enable Care Services (TECS)</w:t>
            </w:r>
          </w:p>
          <w:p w14:paraId="0BB08A09" w14:textId="4A1AF39A"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ensure that patients are given the opportunity to use TECS, including telehealth, </w:t>
            </w:r>
            <w:r w:rsidRPr="00DC3BE7">
              <w:rPr>
                <w:rFonts w:asciiTheme="minorHAnsi" w:eastAsiaTheme="minorHAnsi" w:hAnsiTheme="minorHAnsi" w:cs="Arial"/>
                <w:sz w:val="22"/>
                <w:szCs w:val="22"/>
              </w:rPr>
              <w:lastRenderedPageBreak/>
              <w:t xml:space="preserve">teleconferencing and self-care apps, which will improve accessibility for those patients who are able to take advantage of these tools, while recognising that they will not be appropriate for everybody.   </w:t>
            </w:r>
          </w:p>
          <w:p w14:paraId="0EAC2096" w14:textId="77777777" w:rsidR="00DC3BE7" w:rsidRPr="00DC3BE7" w:rsidRDefault="00DC3BE7" w:rsidP="00DC3BE7">
            <w:pPr>
              <w:jc w:val="both"/>
              <w:rPr>
                <w:rFonts w:asciiTheme="minorHAnsi" w:eastAsiaTheme="minorHAnsi" w:hAnsiTheme="minorHAnsi" w:cs="Arial"/>
                <w:sz w:val="22"/>
                <w:szCs w:val="22"/>
              </w:rPr>
            </w:pPr>
          </w:p>
          <w:p w14:paraId="7C6ADF7F" w14:textId="77777777"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offer TECS to improve access to services for patients and professionals, as well as make service delivery more efficient.  A range of TECs should be offered to support the whole population across all health conditions, as indicated below (this list is not exhaustive):</w:t>
            </w:r>
          </w:p>
          <w:p w14:paraId="6AA4B70F" w14:textId="77777777" w:rsidR="0070237A" w:rsidRPr="00DC3BE7" w:rsidRDefault="0070237A" w:rsidP="00DC3BE7">
            <w:pPr>
              <w:jc w:val="both"/>
              <w:rPr>
                <w:rFonts w:asciiTheme="minorHAnsi" w:eastAsiaTheme="minorHAnsi" w:hAnsiTheme="minorHAnsi" w:cs="Arial"/>
                <w:sz w:val="22"/>
                <w:szCs w:val="22"/>
                <w:u w:val="single"/>
              </w:rPr>
            </w:pPr>
          </w:p>
          <w:p w14:paraId="2B0D1681" w14:textId="77777777" w:rsidR="00DC3BE7" w:rsidRPr="0070237A" w:rsidRDefault="00DC3BE7" w:rsidP="00E30DB5">
            <w:pPr>
              <w:pStyle w:val="ListParagraph"/>
              <w:numPr>
                <w:ilvl w:val="0"/>
                <w:numId w:val="40"/>
              </w:numPr>
              <w:ind w:left="652" w:hanging="283"/>
              <w:jc w:val="both"/>
              <w:rPr>
                <w:rFonts w:asciiTheme="minorHAnsi" w:eastAsiaTheme="minorHAnsi" w:hAnsiTheme="minorHAnsi" w:cs="Arial"/>
                <w:sz w:val="22"/>
                <w:szCs w:val="22"/>
              </w:rPr>
            </w:pPr>
            <w:r w:rsidRPr="0070237A">
              <w:rPr>
                <w:rFonts w:asciiTheme="minorHAnsi" w:eastAsiaTheme="minorHAnsi" w:hAnsiTheme="minorHAnsi" w:cs="Arial"/>
                <w:sz w:val="22"/>
                <w:szCs w:val="22"/>
              </w:rPr>
              <w:t xml:space="preserve">Telehealth </w:t>
            </w:r>
          </w:p>
          <w:p w14:paraId="30252702" w14:textId="77777777" w:rsidR="00DC3BE7" w:rsidRPr="00DC3BE7" w:rsidRDefault="00DC3BE7" w:rsidP="00E30DB5">
            <w:pPr>
              <w:numPr>
                <w:ilvl w:val="0"/>
                <w:numId w:val="20"/>
              </w:numPr>
              <w:ind w:left="652" w:hanging="283"/>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Telecare </w:t>
            </w:r>
          </w:p>
          <w:p w14:paraId="1C5650E5" w14:textId="77777777" w:rsidR="00DC3BE7" w:rsidRPr="00DC3BE7" w:rsidRDefault="00DC3BE7" w:rsidP="00E30DB5">
            <w:pPr>
              <w:numPr>
                <w:ilvl w:val="0"/>
                <w:numId w:val="20"/>
              </w:numPr>
              <w:ind w:left="652" w:hanging="283"/>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Teleconsultation</w:t>
            </w:r>
          </w:p>
          <w:p w14:paraId="366A1A83" w14:textId="77777777" w:rsidR="00DC3BE7" w:rsidRPr="00DC3BE7" w:rsidRDefault="00DC3BE7" w:rsidP="00E30DB5">
            <w:pPr>
              <w:numPr>
                <w:ilvl w:val="0"/>
                <w:numId w:val="20"/>
              </w:numPr>
              <w:ind w:left="652" w:hanging="283"/>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Tele-coaching</w:t>
            </w:r>
          </w:p>
          <w:p w14:paraId="1F87EBB5" w14:textId="77777777" w:rsidR="00DC3BE7" w:rsidRPr="00DC3BE7" w:rsidRDefault="00DC3BE7" w:rsidP="00E30DB5">
            <w:pPr>
              <w:numPr>
                <w:ilvl w:val="0"/>
                <w:numId w:val="20"/>
              </w:numPr>
              <w:ind w:left="652" w:hanging="283"/>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Self-care apps</w:t>
            </w:r>
          </w:p>
          <w:p w14:paraId="3C6A499C" w14:textId="77777777" w:rsidR="00DC3BE7" w:rsidRPr="00DC3BE7" w:rsidRDefault="00DC3BE7" w:rsidP="00E30DB5">
            <w:pPr>
              <w:ind w:left="652" w:hanging="283"/>
              <w:contextualSpacing/>
              <w:jc w:val="both"/>
              <w:rPr>
                <w:rFonts w:asciiTheme="minorHAnsi" w:eastAsiaTheme="minorHAnsi" w:hAnsiTheme="minorHAnsi" w:cs="Arial"/>
                <w:sz w:val="22"/>
                <w:szCs w:val="22"/>
              </w:rPr>
            </w:pPr>
          </w:p>
          <w:p w14:paraId="5496AAC1"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must consider a patient’s capability and propensity to access these services whilst recognising that alternative options must also be available, as one size does not fit all.  For people who have never used digital technology and never will, phone support will be needed. However, for people who are confident or expert in using digital technology, self-care apps will be an option.</w:t>
            </w:r>
          </w:p>
          <w:p w14:paraId="33219A16" w14:textId="77777777" w:rsidR="00DC3BE7" w:rsidRPr="00DC3BE7" w:rsidRDefault="00DC3BE7" w:rsidP="00DC3BE7">
            <w:pPr>
              <w:jc w:val="both"/>
              <w:rPr>
                <w:rFonts w:asciiTheme="minorHAnsi" w:eastAsiaTheme="minorHAnsi" w:hAnsiTheme="minorHAnsi" w:cs="Arial"/>
                <w:sz w:val="22"/>
                <w:szCs w:val="22"/>
              </w:rPr>
            </w:pPr>
          </w:p>
          <w:p w14:paraId="2B210E04" w14:textId="77777777" w:rsidR="00DC3BE7" w:rsidRPr="00DC3BE7" w:rsidRDefault="00DC3BE7" w:rsidP="00DC3BE7">
            <w:pPr>
              <w:jc w:val="both"/>
              <w:rPr>
                <w:rFonts w:asciiTheme="minorHAnsi" w:eastAsiaTheme="minorHAnsi" w:hAnsiTheme="minorHAnsi" w:cs="Arial"/>
                <w:b/>
                <w:sz w:val="22"/>
                <w:szCs w:val="22"/>
              </w:rPr>
            </w:pPr>
            <w:r w:rsidRPr="00DC3BE7">
              <w:rPr>
                <w:rFonts w:asciiTheme="minorHAnsi" w:eastAsiaTheme="minorHAnsi" w:hAnsiTheme="minorHAnsi" w:cs="Arial"/>
                <w:b/>
                <w:sz w:val="22"/>
                <w:szCs w:val="22"/>
              </w:rPr>
              <w:t>2.1.24 Realigned and upskilled workforce</w:t>
            </w:r>
          </w:p>
          <w:p w14:paraId="2E2388FE" w14:textId="69B42BDF"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Within the </w:t>
            </w:r>
            <w:r w:rsidR="00F853FB">
              <w:rPr>
                <w:rFonts w:asciiTheme="minorHAnsi" w:eastAsiaTheme="minorHAnsi" w:hAnsiTheme="minorHAnsi" w:cs="Arial"/>
                <w:sz w:val="22"/>
                <w:szCs w:val="22"/>
              </w:rPr>
              <w:t xml:space="preserve">new </w:t>
            </w:r>
            <w:r w:rsidR="003F41EB">
              <w:rPr>
                <w:rFonts w:asciiTheme="minorHAnsi" w:eastAsiaTheme="minorHAnsi" w:hAnsiTheme="minorHAnsi" w:cs="Arial"/>
                <w:sz w:val="22"/>
                <w:szCs w:val="22"/>
              </w:rPr>
              <w:t xml:space="preserve">service model for </w:t>
            </w:r>
            <w:r w:rsidRPr="00DC3BE7">
              <w:rPr>
                <w:rFonts w:asciiTheme="minorHAnsi" w:eastAsiaTheme="minorHAnsi" w:hAnsiTheme="minorHAnsi" w:cs="Arial"/>
                <w:sz w:val="22"/>
                <w:szCs w:val="22"/>
              </w:rPr>
              <w:t xml:space="preserve">adult community services, a realigned and upskilled workforce is </w:t>
            </w:r>
            <w:proofErr w:type="gramStart"/>
            <w:r w:rsidRPr="00DC3BE7">
              <w:rPr>
                <w:rFonts w:asciiTheme="minorHAnsi" w:eastAsiaTheme="minorHAnsi" w:hAnsiTheme="minorHAnsi" w:cs="Arial"/>
                <w:sz w:val="22"/>
                <w:szCs w:val="22"/>
              </w:rPr>
              <w:t>key</w:t>
            </w:r>
            <w:proofErr w:type="gramEnd"/>
            <w:r w:rsidRPr="00DC3BE7">
              <w:rPr>
                <w:rFonts w:asciiTheme="minorHAnsi" w:eastAsiaTheme="minorHAnsi" w:hAnsiTheme="minorHAnsi" w:cs="Arial"/>
                <w:sz w:val="22"/>
                <w:szCs w:val="22"/>
              </w:rPr>
              <w:t xml:space="preserve"> to the successful implementation of the model.  Key features include: access to specialist advice and support, core generalist functions and an increased prescribing capacity amongst the workforce. The main features of these functions are outlined below:</w:t>
            </w:r>
          </w:p>
          <w:p w14:paraId="244B5470" w14:textId="77777777" w:rsidR="00DC3BE7" w:rsidRPr="00DC3BE7" w:rsidRDefault="00DC3BE7" w:rsidP="00DC3BE7">
            <w:pPr>
              <w:jc w:val="both"/>
              <w:rPr>
                <w:rFonts w:asciiTheme="minorHAnsi" w:eastAsiaTheme="minorHAnsi" w:hAnsiTheme="minorHAnsi" w:cs="Arial"/>
                <w:sz w:val="22"/>
                <w:szCs w:val="22"/>
              </w:rPr>
            </w:pPr>
          </w:p>
          <w:p w14:paraId="78F31032" w14:textId="4C3C7991" w:rsidR="00DC3BE7" w:rsidRPr="006E0BF0" w:rsidRDefault="00DC3BE7" w:rsidP="00DC3BE7">
            <w:pPr>
              <w:jc w:val="both"/>
              <w:rPr>
                <w:rFonts w:asciiTheme="minorHAnsi" w:eastAsiaTheme="minorHAnsi" w:hAnsiTheme="minorHAnsi" w:cs="Arial"/>
                <w:i/>
                <w:sz w:val="22"/>
                <w:szCs w:val="22"/>
                <w:u w:val="single"/>
              </w:rPr>
            </w:pPr>
            <w:r w:rsidRPr="006E0BF0">
              <w:rPr>
                <w:rFonts w:asciiTheme="minorHAnsi" w:eastAsiaTheme="minorHAnsi" w:hAnsiTheme="minorHAnsi" w:cs="Arial"/>
                <w:i/>
                <w:sz w:val="22"/>
                <w:szCs w:val="22"/>
                <w:u w:val="single"/>
              </w:rPr>
              <w:t>2.1.25 Access to specialist advice and support</w:t>
            </w:r>
            <w:r w:rsidR="00C17267" w:rsidRPr="006E0BF0">
              <w:rPr>
                <w:rFonts w:asciiTheme="minorHAnsi" w:eastAsiaTheme="minorHAnsi" w:hAnsiTheme="minorHAnsi" w:cs="Arial"/>
                <w:i/>
                <w:sz w:val="22"/>
                <w:szCs w:val="22"/>
                <w:u w:val="single"/>
              </w:rPr>
              <w:t xml:space="preserve"> </w:t>
            </w:r>
          </w:p>
          <w:p w14:paraId="53F13474" w14:textId="4887F2C1" w:rsidR="00DC3BE7" w:rsidRDefault="00B01504" w:rsidP="00DC3BE7">
            <w:pPr>
              <w:jc w:val="both"/>
              <w:rPr>
                <w:rFonts w:asciiTheme="minorHAnsi" w:eastAsiaTheme="minorHAnsi" w:hAnsiTheme="minorHAnsi" w:cs="Arial"/>
                <w:bCs/>
                <w:sz w:val="22"/>
                <w:szCs w:val="22"/>
              </w:rPr>
            </w:pPr>
            <w:r w:rsidRPr="006E0BF0">
              <w:rPr>
                <w:rFonts w:asciiTheme="minorHAnsi" w:eastAsiaTheme="minorHAnsi" w:hAnsiTheme="minorHAnsi" w:cs="Arial"/>
                <w:bCs/>
                <w:sz w:val="22"/>
                <w:szCs w:val="22"/>
              </w:rPr>
              <w:t xml:space="preserve">While </w:t>
            </w:r>
            <w:proofErr w:type="gramStart"/>
            <w:r w:rsidRPr="006E0BF0">
              <w:rPr>
                <w:rFonts w:asciiTheme="minorHAnsi" w:eastAsiaTheme="minorHAnsi" w:hAnsiTheme="minorHAnsi" w:cs="Arial"/>
                <w:bCs/>
                <w:sz w:val="22"/>
                <w:szCs w:val="22"/>
              </w:rPr>
              <w:t>the  roles</w:t>
            </w:r>
            <w:proofErr w:type="gramEnd"/>
            <w:r w:rsidRPr="006E0BF0">
              <w:rPr>
                <w:rFonts w:asciiTheme="minorHAnsi" w:eastAsiaTheme="minorHAnsi" w:hAnsiTheme="minorHAnsi" w:cs="Arial"/>
                <w:bCs/>
                <w:sz w:val="22"/>
                <w:szCs w:val="22"/>
              </w:rPr>
              <w:t xml:space="preserve"> of specialist staff will be primarily focused on a specialty,  the Provider will ensure that they can provide care across and outside their specialties</w:t>
            </w:r>
            <w:r w:rsidR="00E81C9A" w:rsidRPr="006E0BF0">
              <w:rPr>
                <w:rFonts w:asciiTheme="minorHAnsi" w:eastAsiaTheme="minorHAnsi" w:hAnsiTheme="minorHAnsi" w:cs="Arial"/>
                <w:bCs/>
                <w:sz w:val="22"/>
                <w:szCs w:val="22"/>
              </w:rPr>
              <w:t xml:space="preserve"> as follows</w:t>
            </w:r>
            <w:r w:rsidR="001D75E8" w:rsidRPr="006E0BF0">
              <w:rPr>
                <w:rFonts w:asciiTheme="minorHAnsi" w:eastAsiaTheme="minorHAnsi" w:hAnsiTheme="minorHAnsi" w:cs="Arial"/>
                <w:bCs/>
                <w:sz w:val="22"/>
                <w:szCs w:val="22"/>
              </w:rPr>
              <w:t xml:space="preserve">: </w:t>
            </w:r>
            <w:r w:rsidRPr="006E0BF0">
              <w:rPr>
                <w:rFonts w:asciiTheme="minorHAnsi" w:eastAsiaTheme="minorHAnsi" w:hAnsiTheme="minorHAnsi" w:cs="Arial"/>
                <w:bCs/>
                <w:sz w:val="22"/>
                <w:szCs w:val="22"/>
              </w:rPr>
              <w:t>where the</w:t>
            </w:r>
            <w:r w:rsidR="001D75E8" w:rsidRPr="006E0BF0">
              <w:rPr>
                <w:rFonts w:asciiTheme="minorHAnsi" w:eastAsiaTheme="minorHAnsi" w:hAnsiTheme="minorHAnsi" w:cs="Arial"/>
                <w:bCs/>
                <w:sz w:val="22"/>
                <w:szCs w:val="22"/>
              </w:rPr>
              <w:t xml:space="preserve"> patient has needs within the</w:t>
            </w:r>
            <w:r w:rsidRPr="006E0BF0">
              <w:rPr>
                <w:rFonts w:asciiTheme="minorHAnsi" w:eastAsiaTheme="minorHAnsi" w:hAnsiTheme="minorHAnsi" w:cs="Arial"/>
                <w:bCs/>
                <w:sz w:val="22"/>
                <w:szCs w:val="22"/>
              </w:rPr>
              <w:t>ir competence and capacity</w:t>
            </w:r>
            <w:r w:rsidR="005903B0" w:rsidRPr="006E0BF0">
              <w:rPr>
                <w:rFonts w:asciiTheme="minorHAnsi" w:eastAsiaTheme="minorHAnsi" w:hAnsiTheme="minorHAnsi" w:cs="Arial"/>
                <w:bCs/>
                <w:sz w:val="22"/>
                <w:szCs w:val="22"/>
              </w:rPr>
              <w:t xml:space="preserve">, where patient needs demand it, and where it is practically possible </w:t>
            </w:r>
            <w:r w:rsidR="0015710F" w:rsidRPr="006E0BF0">
              <w:rPr>
                <w:rFonts w:asciiTheme="minorHAnsi" w:eastAsiaTheme="minorHAnsi" w:hAnsiTheme="minorHAnsi" w:cs="Arial"/>
                <w:bCs/>
                <w:sz w:val="22"/>
                <w:szCs w:val="22"/>
              </w:rPr>
              <w:t xml:space="preserve">in order to avoid multiple visiting or duplication.  </w:t>
            </w:r>
            <w:r w:rsidRPr="006E0BF0">
              <w:rPr>
                <w:rFonts w:asciiTheme="minorHAnsi" w:eastAsiaTheme="minorHAnsi" w:hAnsiTheme="minorHAnsi" w:cs="Arial"/>
                <w:bCs/>
                <w:sz w:val="22"/>
                <w:szCs w:val="22"/>
              </w:rPr>
              <w:t>The Provider will develop</w:t>
            </w:r>
            <w:r w:rsidR="00E81C9A" w:rsidRPr="006E0BF0">
              <w:rPr>
                <w:rFonts w:asciiTheme="minorHAnsi" w:eastAsiaTheme="minorHAnsi" w:hAnsiTheme="minorHAnsi" w:cs="Arial"/>
                <w:bCs/>
                <w:sz w:val="22"/>
                <w:szCs w:val="22"/>
              </w:rPr>
              <w:t xml:space="preserve"> clear pathways to enable </w:t>
            </w:r>
            <w:r w:rsidRPr="006E0BF0">
              <w:rPr>
                <w:rFonts w:asciiTheme="minorHAnsi" w:eastAsiaTheme="minorHAnsi" w:hAnsiTheme="minorHAnsi" w:cs="Arial"/>
                <w:bCs/>
                <w:sz w:val="22"/>
                <w:szCs w:val="22"/>
              </w:rPr>
              <w:t xml:space="preserve">access </w:t>
            </w:r>
            <w:r w:rsidR="004D616B" w:rsidRPr="006E0BF0">
              <w:rPr>
                <w:rFonts w:asciiTheme="minorHAnsi" w:eastAsiaTheme="minorHAnsi" w:hAnsiTheme="minorHAnsi" w:cs="Arial"/>
                <w:bCs/>
                <w:sz w:val="22"/>
                <w:szCs w:val="22"/>
              </w:rPr>
              <w:t xml:space="preserve">to </w:t>
            </w:r>
            <w:r w:rsidR="00075646" w:rsidRPr="006E0BF0">
              <w:rPr>
                <w:rFonts w:asciiTheme="minorHAnsi" w:eastAsiaTheme="minorHAnsi" w:hAnsiTheme="minorHAnsi" w:cs="Arial"/>
                <w:bCs/>
                <w:sz w:val="22"/>
                <w:szCs w:val="22"/>
              </w:rPr>
              <w:t xml:space="preserve">this </w:t>
            </w:r>
            <w:r w:rsidR="004D616B" w:rsidRPr="006E0BF0">
              <w:rPr>
                <w:rFonts w:asciiTheme="minorHAnsi" w:eastAsiaTheme="minorHAnsi" w:hAnsiTheme="minorHAnsi" w:cs="Arial"/>
                <w:bCs/>
                <w:sz w:val="22"/>
                <w:szCs w:val="22"/>
              </w:rPr>
              <w:t xml:space="preserve">specialist </w:t>
            </w:r>
            <w:r w:rsidR="00075646" w:rsidRPr="006E0BF0">
              <w:rPr>
                <w:rFonts w:asciiTheme="minorHAnsi" w:eastAsiaTheme="minorHAnsi" w:hAnsiTheme="minorHAnsi" w:cs="Arial"/>
                <w:bCs/>
                <w:sz w:val="22"/>
                <w:szCs w:val="22"/>
              </w:rPr>
              <w:t xml:space="preserve">advice and support, as part of the </w:t>
            </w:r>
            <w:r w:rsidR="00186F61" w:rsidRPr="006E0BF0">
              <w:rPr>
                <w:rFonts w:asciiTheme="minorHAnsi" w:eastAsiaTheme="minorHAnsi" w:hAnsiTheme="minorHAnsi" w:cs="Arial"/>
                <w:bCs/>
                <w:sz w:val="22"/>
                <w:szCs w:val="22"/>
              </w:rPr>
              <w:t>workforce/model development.</w:t>
            </w:r>
            <w:r w:rsidR="00E81C9A">
              <w:rPr>
                <w:rFonts w:asciiTheme="minorHAnsi" w:eastAsiaTheme="minorHAnsi" w:hAnsiTheme="minorHAnsi" w:cs="Arial"/>
                <w:bCs/>
                <w:sz w:val="22"/>
                <w:szCs w:val="22"/>
              </w:rPr>
              <w:t xml:space="preserve"> </w:t>
            </w:r>
          </w:p>
          <w:p w14:paraId="69660EA6" w14:textId="77777777" w:rsidR="00B01504" w:rsidRPr="00DC3BE7" w:rsidRDefault="00B01504" w:rsidP="00DC3BE7">
            <w:pPr>
              <w:jc w:val="both"/>
              <w:rPr>
                <w:rFonts w:asciiTheme="minorHAnsi" w:eastAsiaTheme="minorHAnsi" w:hAnsiTheme="minorHAnsi" w:cs="Arial"/>
                <w:bCs/>
                <w:sz w:val="22"/>
                <w:szCs w:val="22"/>
              </w:rPr>
            </w:pPr>
          </w:p>
          <w:p w14:paraId="677617CF" w14:textId="77777777" w:rsidR="00DC3BE7" w:rsidRPr="006E0BF0" w:rsidRDefault="00DC3BE7" w:rsidP="00DC3BE7">
            <w:pPr>
              <w:jc w:val="both"/>
              <w:rPr>
                <w:rFonts w:asciiTheme="minorHAnsi" w:eastAsiaTheme="minorHAnsi" w:hAnsiTheme="minorHAnsi" w:cs="Arial"/>
                <w:i/>
                <w:sz w:val="22"/>
                <w:szCs w:val="22"/>
                <w:u w:val="single"/>
              </w:rPr>
            </w:pPr>
            <w:r w:rsidRPr="006E0BF0">
              <w:rPr>
                <w:rFonts w:asciiTheme="minorHAnsi" w:eastAsiaTheme="minorHAnsi" w:hAnsiTheme="minorHAnsi" w:cs="Arial"/>
                <w:i/>
                <w:sz w:val="22"/>
                <w:szCs w:val="22"/>
                <w:u w:val="single"/>
              </w:rPr>
              <w:t>2.1.26 Core team of generalist nurses and therapists</w:t>
            </w:r>
          </w:p>
          <w:p w14:paraId="387C5FF4" w14:textId="2E0FD103"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ensure that </w:t>
            </w:r>
            <w:r w:rsidR="001C4415">
              <w:rPr>
                <w:rFonts w:asciiTheme="minorHAnsi" w:eastAsiaTheme="minorHAnsi" w:hAnsiTheme="minorHAnsi" w:cs="Arial"/>
                <w:sz w:val="22"/>
                <w:szCs w:val="22"/>
              </w:rPr>
              <w:t xml:space="preserve">the </w:t>
            </w:r>
            <w:r w:rsidRPr="00DC3BE7">
              <w:rPr>
                <w:rFonts w:asciiTheme="minorHAnsi" w:eastAsiaTheme="minorHAnsi" w:hAnsiTheme="minorHAnsi" w:cs="Arial"/>
                <w:sz w:val="22"/>
                <w:szCs w:val="22"/>
              </w:rPr>
              <w:t>core nurs</w:t>
            </w:r>
            <w:r w:rsidR="0006559F">
              <w:rPr>
                <w:rFonts w:asciiTheme="minorHAnsi" w:eastAsiaTheme="minorHAnsi" w:hAnsiTheme="minorHAnsi" w:cs="Arial"/>
                <w:sz w:val="22"/>
                <w:szCs w:val="22"/>
              </w:rPr>
              <w:t>ing</w:t>
            </w:r>
            <w:r w:rsidRPr="00DC3BE7">
              <w:rPr>
                <w:rFonts w:asciiTheme="minorHAnsi" w:eastAsiaTheme="minorHAnsi" w:hAnsiTheme="minorHAnsi" w:cs="Arial"/>
                <w:sz w:val="22"/>
                <w:szCs w:val="22"/>
              </w:rPr>
              <w:t xml:space="preserve"> and therap</w:t>
            </w:r>
            <w:r w:rsidR="00764337">
              <w:rPr>
                <w:rFonts w:asciiTheme="minorHAnsi" w:eastAsiaTheme="minorHAnsi" w:hAnsiTheme="minorHAnsi" w:cs="Arial"/>
                <w:sz w:val="22"/>
                <w:szCs w:val="22"/>
              </w:rPr>
              <w:t>y</w:t>
            </w:r>
            <w:r w:rsidRPr="00DC3BE7">
              <w:rPr>
                <w:rFonts w:asciiTheme="minorHAnsi" w:eastAsiaTheme="minorHAnsi" w:hAnsiTheme="minorHAnsi" w:cs="Arial"/>
                <w:sz w:val="22"/>
                <w:szCs w:val="22"/>
              </w:rPr>
              <w:t xml:space="preserve"> </w:t>
            </w:r>
            <w:r w:rsidR="00764337">
              <w:rPr>
                <w:rFonts w:asciiTheme="minorHAnsi" w:eastAsiaTheme="minorHAnsi" w:hAnsiTheme="minorHAnsi" w:cs="Arial"/>
                <w:sz w:val="22"/>
                <w:szCs w:val="22"/>
              </w:rPr>
              <w:t xml:space="preserve">staff </w:t>
            </w:r>
            <w:proofErr w:type="gramStart"/>
            <w:r w:rsidRPr="00DC3BE7">
              <w:rPr>
                <w:rFonts w:asciiTheme="minorHAnsi" w:eastAsiaTheme="minorHAnsi" w:hAnsiTheme="minorHAnsi" w:cs="Arial"/>
                <w:sz w:val="22"/>
                <w:szCs w:val="22"/>
              </w:rPr>
              <w:t>are</w:t>
            </w:r>
            <w:proofErr w:type="gramEnd"/>
            <w:r w:rsidRPr="00DC3BE7">
              <w:rPr>
                <w:rFonts w:asciiTheme="minorHAnsi" w:eastAsiaTheme="minorHAnsi" w:hAnsiTheme="minorHAnsi" w:cs="Arial"/>
                <w:sz w:val="22"/>
                <w:szCs w:val="22"/>
              </w:rPr>
              <w:t xml:space="preserve"> a more resilient workforce</w:t>
            </w:r>
            <w:r w:rsidR="00764337">
              <w:rPr>
                <w:rFonts w:asciiTheme="minorHAnsi" w:eastAsiaTheme="minorHAnsi" w:hAnsiTheme="minorHAnsi" w:cs="Arial"/>
                <w:sz w:val="22"/>
                <w:szCs w:val="22"/>
              </w:rPr>
              <w:t xml:space="preserve">, with </w:t>
            </w:r>
            <w:r w:rsidRPr="00DC3BE7">
              <w:rPr>
                <w:rFonts w:asciiTheme="minorHAnsi" w:eastAsiaTheme="minorHAnsi" w:hAnsiTheme="minorHAnsi" w:cs="Arial"/>
                <w:sz w:val="22"/>
                <w:szCs w:val="22"/>
              </w:rPr>
              <w:t>a shared set of skills that helps reduce duplication and transfers of patients between service functions. The Provider will ensure that this cohort of staff are appropriately trained to carry out interventions relating to the most prevalent health conditions to support people with long term conditions.  This means that because nurses and therapists will have a wider, skill set, they will be able to support patients with several long term conditions i.e. diabetes and COPD rather than just managing patients by separate disease groups.</w:t>
            </w:r>
          </w:p>
          <w:p w14:paraId="1679E1DE" w14:textId="77777777" w:rsidR="00DC3BE7" w:rsidRPr="00DC3BE7" w:rsidRDefault="00DC3BE7" w:rsidP="00DC3BE7">
            <w:pPr>
              <w:jc w:val="both"/>
              <w:rPr>
                <w:rFonts w:asciiTheme="minorHAnsi" w:eastAsiaTheme="minorHAnsi" w:hAnsiTheme="minorHAnsi" w:cs="Arial"/>
                <w:sz w:val="22"/>
                <w:szCs w:val="22"/>
              </w:rPr>
            </w:pPr>
          </w:p>
          <w:p w14:paraId="5CDACD66" w14:textId="6AB30DE2"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ensure that these core nurses </w:t>
            </w:r>
            <w:r w:rsidR="00767262">
              <w:rPr>
                <w:rFonts w:asciiTheme="minorHAnsi" w:eastAsiaTheme="minorHAnsi" w:hAnsiTheme="minorHAnsi" w:cs="Arial"/>
                <w:sz w:val="22"/>
                <w:szCs w:val="22"/>
              </w:rPr>
              <w:t xml:space="preserve">and therapists </w:t>
            </w:r>
            <w:r w:rsidRPr="00DC3BE7">
              <w:rPr>
                <w:rFonts w:asciiTheme="minorHAnsi" w:eastAsiaTheme="minorHAnsi" w:hAnsiTheme="minorHAnsi" w:cs="Arial"/>
                <w:sz w:val="22"/>
                <w:szCs w:val="22"/>
              </w:rPr>
              <w:t>will work alongside and be supported by specialist clinicians who can provide advice and education, as well as more complex interventions when required.</w:t>
            </w:r>
            <w:r w:rsidR="007F1274">
              <w:rPr>
                <w:rFonts w:asciiTheme="minorHAnsi" w:eastAsiaTheme="minorHAnsi" w:hAnsiTheme="minorHAnsi" w:cs="Arial"/>
                <w:sz w:val="22"/>
                <w:szCs w:val="22"/>
              </w:rPr>
              <w:t xml:space="preserve">  </w:t>
            </w:r>
          </w:p>
          <w:p w14:paraId="0EC55460" w14:textId="77777777" w:rsidR="007F1274" w:rsidRDefault="007F1274" w:rsidP="00DC3BE7">
            <w:pPr>
              <w:jc w:val="both"/>
              <w:rPr>
                <w:rFonts w:asciiTheme="minorHAnsi" w:eastAsiaTheme="minorHAnsi" w:hAnsiTheme="minorHAnsi" w:cs="Arial"/>
                <w:sz w:val="22"/>
                <w:szCs w:val="22"/>
              </w:rPr>
            </w:pPr>
          </w:p>
          <w:p w14:paraId="6D8CDBD7" w14:textId="57398BA3" w:rsidR="007F1274" w:rsidRPr="00DC3BE7" w:rsidRDefault="007F1274" w:rsidP="00DC3BE7">
            <w:pPr>
              <w:jc w:val="both"/>
              <w:rPr>
                <w:rFonts w:asciiTheme="minorHAnsi" w:eastAsiaTheme="minorHAnsi" w:hAnsiTheme="minorHAnsi" w:cs="Arial"/>
                <w:sz w:val="22"/>
                <w:szCs w:val="22"/>
              </w:rPr>
            </w:pPr>
            <w:r w:rsidRPr="00521F73">
              <w:rPr>
                <w:rFonts w:asciiTheme="minorHAnsi" w:eastAsiaTheme="minorHAnsi" w:hAnsiTheme="minorHAnsi" w:cs="Arial"/>
                <w:sz w:val="22"/>
                <w:szCs w:val="22"/>
              </w:rPr>
              <w:t>The Provider will ens</w:t>
            </w:r>
            <w:r w:rsidR="008E5116" w:rsidRPr="00521F73">
              <w:rPr>
                <w:rFonts w:asciiTheme="minorHAnsi" w:eastAsiaTheme="minorHAnsi" w:hAnsiTheme="minorHAnsi" w:cs="Arial"/>
                <w:sz w:val="22"/>
                <w:szCs w:val="22"/>
              </w:rPr>
              <w:t>u</w:t>
            </w:r>
            <w:r w:rsidRPr="00521F73">
              <w:rPr>
                <w:rFonts w:asciiTheme="minorHAnsi" w:eastAsiaTheme="minorHAnsi" w:hAnsiTheme="minorHAnsi" w:cs="Arial"/>
                <w:sz w:val="22"/>
                <w:szCs w:val="22"/>
              </w:rPr>
              <w:t xml:space="preserve">re that </w:t>
            </w:r>
            <w:proofErr w:type="gramStart"/>
            <w:r w:rsidRPr="00521F73">
              <w:rPr>
                <w:rFonts w:asciiTheme="minorHAnsi" w:eastAsiaTheme="minorHAnsi" w:hAnsiTheme="minorHAnsi" w:cs="Arial"/>
                <w:sz w:val="22"/>
                <w:szCs w:val="22"/>
              </w:rPr>
              <w:t xml:space="preserve">staff </w:t>
            </w:r>
            <w:r w:rsidRPr="00BC1CBE">
              <w:rPr>
                <w:rFonts w:asciiTheme="minorHAnsi" w:eastAsiaTheme="minorHAnsi" w:hAnsiTheme="minorHAnsi" w:cs="Arial"/>
                <w:sz w:val="22"/>
                <w:szCs w:val="22"/>
              </w:rPr>
              <w:t>have</w:t>
            </w:r>
            <w:proofErr w:type="gramEnd"/>
            <w:r w:rsidRPr="00BC1CBE">
              <w:rPr>
                <w:rFonts w:asciiTheme="minorHAnsi" w:eastAsiaTheme="minorHAnsi" w:hAnsiTheme="minorHAnsi" w:cs="Arial"/>
                <w:sz w:val="22"/>
                <w:szCs w:val="22"/>
              </w:rPr>
              <w:t xml:space="preserve"> </w:t>
            </w:r>
            <w:r w:rsidR="00D76B9B" w:rsidRPr="00BC1CBE">
              <w:rPr>
                <w:rFonts w:asciiTheme="minorHAnsi" w:eastAsiaTheme="minorHAnsi" w:hAnsiTheme="minorHAnsi" w:cs="Arial"/>
                <w:sz w:val="22"/>
                <w:szCs w:val="22"/>
              </w:rPr>
              <w:t xml:space="preserve">the relevant </w:t>
            </w:r>
            <w:r w:rsidR="00134E3E" w:rsidRPr="00BC1CBE">
              <w:rPr>
                <w:rFonts w:asciiTheme="minorHAnsi" w:eastAsiaTheme="minorHAnsi" w:hAnsiTheme="minorHAnsi" w:cs="Arial"/>
                <w:sz w:val="22"/>
                <w:szCs w:val="22"/>
              </w:rPr>
              <w:t xml:space="preserve">skills and </w:t>
            </w:r>
            <w:r w:rsidR="00A86E99" w:rsidRPr="00BC1CBE">
              <w:rPr>
                <w:rFonts w:asciiTheme="minorHAnsi" w:eastAsiaTheme="minorHAnsi" w:hAnsiTheme="minorHAnsi" w:cs="Arial"/>
                <w:sz w:val="22"/>
                <w:szCs w:val="22"/>
              </w:rPr>
              <w:t xml:space="preserve">awareness </w:t>
            </w:r>
            <w:r w:rsidR="00D76B9B" w:rsidRPr="00BC1CBE">
              <w:rPr>
                <w:rFonts w:asciiTheme="minorHAnsi" w:eastAsiaTheme="minorHAnsi" w:hAnsiTheme="minorHAnsi" w:cs="Arial"/>
                <w:sz w:val="22"/>
                <w:szCs w:val="22"/>
              </w:rPr>
              <w:t xml:space="preserve">training </w:t>
            </w:r>
            <w:r w:rsidR="00A86E99" w:rsidRPr="00BC1CBE">
              <w:rPr>
                <w:rFonts w:asciiTheme="minorHAnsi" w:eastAsiaTheme="minorHAnsi" w:hAnsiTheme="minorHAnsi" w:cs="Arial"/>
                <w:sz w:val="22"/>
                <w:szCs w:val="22"/>
              </w:rPr>
              <w:t xml:space="preserve">to </w:t>
            </w:r>
            <w:r w:rsidR="006B6CD2" w:rsidRPr="00BC1CBE">
              <w:rPr>
                <w:rFonts w:asciiTheme="minorHAnsi" w:eastAsiaTheme="minorHAnsi" w:hAnsiTheme="minorHAnsi" w:cs="Arial"/>
                <w:sz w:val="22"/>
                <w:szCs w:val="22"/>
              </w:rPr>
              <w:t xml:space="preserve">holistically </w:t>
            </w:r>
            <w:r w:rsidR="00134E3E" w:rsidRPr="00BC1CBE">
              <w:rPr>
                <w:rFonts w:asciiTheme="minorHAnsi" w:eastAsiaTheme="minorHAnsi" w:hAnsiTheme="minorHAnsi" w:cs="Arial"/>
                <w:sz w:val="22"/>
                <w:szCs w:val="22"/>
              </w:rPr>
              <w:t xml:space="preserve">support patients with </w:t>
            </w:r>
            <w:r w:rsidR="00F0118E" w:rsidRPr="00A84962">
              <w:rPr>
                <w:rFonts w:asciiTheme="minorHAnsi" w:eastAsiaTheme="minorHAnsi" w:hAnsiTheme="minorHAnsi" w:cs="Arial"/>
                <w:sz w:val="22"/>
                <w:szCs w:val="22"/>
              </w:rPr>
              <w:t>(not limited to)</w:t>
            </w:r>
            <w:r w:rsidR="006B6CD2" w:rsidRPr="00301FB4">
              <w:rPr>
                <w:rFonts w:asciiTheme="minorHAnsi" w:eastAsiaTheme="minorHAnsi" w:hAnsiTheme="minorHAnsi" w:cs="Arial"/>
                <w:sz w:val="22"/>
                <w:szCs w:val="22"/>
              </w:rPr>
              <w:t>:</w:t>
            </w:r>
            <w:r w:rsidR="00EC5B43" w:rsidRPr="00301FB4">
              <w:rPr>
                <w:rFonts w:asciiTheme="minorHAnsi" w:eastAsiaTheme="minorHAnsi" w:hAnsiTheme="minorHAnsi" w:cs="Arial"/>
                <w:sz w:val="22"/>
                <w:szCs w:val="22"/>
              </w:rPr>
              <w:t xml:space="preserve"> </w:t>
            </w:r>
            <w:r w:rsidR="00134E3E" w:rsidRPr="00301FB4">
              <w:rPr>
                <w:rFonts w:asciiTheme="minorHAnsi" w:eastAsiaTheme="minorHAnsi" w:hAnsiTheme="minorHAnsi" w:cs="Arial"/>
                <w:sz w:val="22"/>
                <w:szCs w:val="22"/>
              </w:rPr>
              <w:t>mental health</w:t>
            </w:r>
            <w:r w:rsidR="00F0118E" w:rsidRPr="00301FB4">
              <w:rPr>
                <w:rFonts w:asciiTheme="minorHAnsi" w:eastAsiaTheme="minorHAnsi" w:hAnsiTheme="minorHAnsi" w:cs="Arial"/>
                <w:sz w:val="22"/>
                <w:szCs w:val="22"/>
              </w:rPr>
              <w:t xml:space="preserve">, </w:t>
            </w:r>
            <w:r w:rsidR="00134E3E" w:rsidRPr="00301FB4">
              <w:rPr>
                <w:rFonts w:asciiTheme="minorHAnsi" w:eastAsiaTheme="minorHAnsi" w:hAnsiTheme="minorHAnsi" w:cs="Arial"/>
                <w:sz w:val="22"/>
                <w:szCs w:val="22"/>
              </w:rPr>
              <w:t xml:space="preserve">learning </w:t>
            </w:r>
            <w:r w:rsidR="00F0118E" w:rsidRPr="00301FB4">
              <w:rPr>
                <w:rFonts w:asciiTheme="minorHAnsi" w:eastAsiaTheme="minorHAnsi" w:hAnsiTheme="minorHAnsi" w:cs="Arial"/>
                <w:sz w:val="22"/>
                <w:szCs w:val="22"/>
              </w:rPr>
              <w:t>disabilities and dementia.</w:t>
            </w:r>
            <w:r w:rsidR="00EC5B43" w:rsidRPr="00301FB4">
              <w:rPr>
                <w:rFonts w:asciiTheme="minorHAnsi" w:eastAsiaTheme="minorHAnsi" w:hAnsiTheme="minorHAnsi" w:cs="Arial"/>
                <w:sz w:val="22"/>
                <w:szCs w:val="22"/>
              </w:rPr>
              <w:t xml:space="preserve">  This can include signposting to support services</w:t>
            </w:r>
            <w:r w:rsidR="00C14BF3" w:rsidRPr="00301FB4">
              <w:rPr>
                <w:rFonts w:asciiTheme="minorHAnsi" w:eastAsiaTheme="minorHAnsi" w:hAnsiTheme="minorHAnsi" w:cs="Arial"/>
                <w:sz w:val="22"/>
                <w:szCs w:val="22"/>
              </w:rPr>
              <w:t xml:space="preserve"> i.e. Talking Therapies (IAPT services) </w:t>
            </w:r>
            <w:r w:rsidR="006B6CD2" w:rsidRPr="00301FB4">
              <w:rPr>
                <w:rFonts w:asciiTheme="minorHAnsi" w:eastAsiaTheme="minorHAnsi" w:hAnsiTheme="minorHAnsi" w:cs="Arial"/>
                <w:sz w:val="22"/>
                <w:szCs w:val="22"/>
              </w:rPr>
              <w:t>or referral to the Well-being Navigation service</w:t>
            </w:r>
            <w:r w:rsidR="003209C8" w:rsidRPr="00301FB4">
              <w:rPr>
                <w:rFonts w:asciiTheme="minorHAnsi" w:eastAsiaTheme="minorHAnsi" w:hAnsiTheme="minorHAnsi" w:cs="Arial"/>
                <w:sz w:val="22"/>
                <w:szCs w:val="22"/>
              </w:rPr>
              <w:t>.</w:t>
            </w:r>
          </w:p>
          <w:p w14:paraId="5106B465"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rPr>
              <w:t xml:space="preserve"> </w:t>
            </w:r>
          </w:p>
          <w:p w14:paraId="09436794" w14:textId="77777777" w:rsidR="00DC3BE7" w:rsidRPr="006E0BF0" w:rsidRDefault="00DC3BE7" w:rsidP="00DC3BE7">
            <w:pPr>
              <w:jc w:val="both"/>
              <w:rPr>
                <w:rFonts w:asciiTheme="minorHAnsi" w:eastAsiaTheme="minorHAnsi" w:hAnsiTheme="minorHAnsi" w:cs="Arial"/>
                <w:i/>
                <w:sz w:val="22"/>
                <w:szCs w:val="22"/>
                <w:u w:val="single"/>
              </w:rPr>
            </w:pPr>
            <w:r w:rsidRPr="006E0BF0">
              <w:rPr>
                <w:rFonts w:asciiTheme="minorHAnsi" w:eastAsiaTheme="minorHAnsi" w:hAnsiTheme="minorHAnsi" w:cs="Arial"/>
                <w:i/>
                <w:sz w:val="22"/>
                <w:szCs w:val="22"/>
                <w:u w:val="single"/>
              </w:rPr>
              <w:t>2.1.27 Increased prescribing capacity</w:t>
            </w:r>
          </w:p>
          <w:p w14:paraId="79E946EB"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ensure that the required non-medical prescribing resource is available to ensure that patients are provided with a prescription for two weeks’ worth of any recommended treatment to prevent a delay in patients starting treatment.</w:t>
            </w:r>
          </w:p>
          <w:p w14:paraId="0552A162" w14:textId="77777777" w:rsidR="00DC3BE7" w:rsidRPr="00DC3BE7" w:rsidRDefault="00DC3BE7" w:rsidP="00DC3BE7">
            <w:pPr>
              <w:jc w:val="both"/>
              <w:rPr>
                <w:rFonts w:asciiTheme="minorHAnsi" w:eastAsiaTheme="minorHAnsi" w:hAnsiTheme="minorHAnsi" w:cs="Arial"/>
                <w:sz w:val="22"/>
                <w:szCs w:val="22"/>
              </w:rPr>
            </w:pPr>
          </w:p>
          <w:p w14:paraId="438535F0" w14:textId="77777777" w:rsidR="001C6F4A" w:rsidRDefault="00DC3BE7" w:rsidP="00DC3BE7">
            <w:pPr>
              <w:pStyle w:val="NoSpacing"/>
              <w:rPr>
                <w:rFonts w:cs="Arial"/>
              </w:rPr>
            </w:pPr>
            <w:r w:rsidRPr="00DC3BE7">
              <w:rPr>
                <w:rFonts w:cs="Arial"/>
              </w:rPr>
              <w:t xml:space="preserve">The Provider will adhere to the Medway and Swale Formulary and will work closely with the </w:t>
            </w:r>
            <w:proofErr w:type="spellStart"/>
            <w:r w:rsidRPr="00DC3BE7">
              <w:rPr>
                <w:rFonts w:cs="Arial"/>
              </w:rPr>
              <w:t>CCGs’s</w:t>
            </w:r>
            <w:proofErr w:type="spellEnd"/>
            <w:r w:rsidRPr="00DC3BE7">
              <w:rPr>
                <w:rFonts w:cs="Arial"/>
              </w:rPr>
              <w:t xml:space="preserve"> Medicine Optimisation team to ensure safe, cost-effective, evidence-based and rational prescribing.  The Formulary is </w:t>
            </w:r>
            <w:r w:rsidRPr="00DC3BE7">
              <w:rPr>
                <w:rFonts w:cs="Arial"/>
              </w:rPr>
              <w:lastRenderedPageBreak/>
              <w:t>updated regularly therefore it is essential that it is frequently consulted. Where local guidelines are not available, prescribing or recommendations to prescribe must be in line with NICE Clinical Guidelines.</w:t>
            </w:r>
          </w:p>
          <w:p w14:paraId="6F2CEA4D" w14:textId="4E05D164" w:rsidR="00413A40" w:rsidRPr="00AA3128" w:rsidRDefault="00413A40" w:rsidP="00DC3BE7">
            <w:pPr>
              <w:pStyle w:val="NoSpacing"/>
            </w:pPr>
          </w:p>
        </w:tc>
      </w:tr>
      <w:tr w:rsidR="008B6266" w:rsidRPr="00AA3128" w14:paraId="61808FF2" w14:textId="77777777" w:rsidTr="00301FB4">
        <w:trPr>
          <w:trHeight w:val="284"/>
        </w:trPr>
        <w:tc>
          <w:tcPr>
            <w:tcW w:w="3044" w:type="dxa"/>
            <w:gridSpan w:val="5"/>
            <w:shd w:val="clear" w:color="auto" w:fill="B6BFC8"/>
          </w:tcPr>
          <w:p w14:paraId="4958873D" w14:textId="3AAF8924" w:rsidR="00EC29B7" w:rsidRPr="0019444F" w:rsidRDefault="00BC1CBE" w:rsidP="0019444F">
            <w:pPr>
              <w:pStyle w:val="NoSpacing"/>
              <w:rPr>
                <w:b/>
                <w:sz w:val="20"/>
                <w:szCs w:val="20"/>
              </w:rPr>
            </w:pPr>
            <w:r>
              <w:rPr>
                <w:b/>
                <w:sz w:val="20"/>
                <w:szCs w:val="20"/>
              </w:rPr>
              <w:lastRenderedPageBreak/>
              <w:t>3</w:t>
            </w:r>
            <w:r w:rsidR="004E489F">
              <w:rPr>
                <w:b/>
                <w:sz w:val="20"/>
                <w:szCs w:val="20"/>
              </w:rPr>
              <w:t>.</w:t>
            </w:r>
          </w:p>
        </w:tc>
        <w:tc>
          <w:tcPr>
            <w:tcW w:w="7217" w:type="dxa"/>
            <w:gridSpan w:val="3"/>
            <w:shd w:val="clear" w:color="auto" w:fill="B6BFC8"/>
          </w:tcPr>
          <w:p w14:paraId="64490CE5" w14:textId="558CF4CC" w:rsidR="00EC29B7" w:rsidRPr="0019444F" w:rsidRDefault="003510DB" w:rsidP="0019444F">
            <w:pPr>
              <w:pStyle w:val="NoSpacing"/>
              <w:rPr>
                <w:b/>
              </w:rPr>
            </w:pPr>
            <w:r>
              <w:rPr>
                <w:b/>
              </w:rPr>
              <w:t xml:space="preserve">Applicable </w:t>
            </w:r>
            <w:r w:rsidR="0019444F" w:rsidRPr="0019444F">
              <w:rPr>
                <w:b/>
              </w:rPr>
              <w:t>Service s</w:t>
            </w:r>
            <w:r w:rsidR="003A0673" w:rsidRPr="0019444F">
              <w:rPr>
                <w:b/>
              </w:rPr>
              <w:t>tandards</w:t>
            </w:r>
            <w:r w:rsidR="0019444F" w:rsidRPr="0019444F">
              <w:rPr>
                <w:b/>
              </w:rPr>
              <w:t xml:space="preserve"> and best practice</w:t>
            </w:r>
          </w:p>
        </w:tc>
      </w:tr>
      <w:tr w:rsidR="008B6266" w:rsidRPr="00AA3128" w14:paraId="5B3F66E2" w14:textId="77777777" w:rsidTr="00301FB4">
        <w:trPr>
          <w:trHeight w:val="380"/>
        </w:trPr>
        <w:tc>
          <w:tcPr>
            <w:tcW w:w="3044" w:type="dxa"/>
            <w:gridSpan w:val="5"/>
            <w:shd w:val="clear" w:color="auto" w:fill="F2F2F2" w:themeFill="background1" w:themeFillShade="F2"/>
            <w:vAlign w:val="center"/>
          </w:tcPr>
          <w:p w14:paraId="1C1F2031" w14:textId="7B2CEC03" w:rsidR="0019444F" w:rsidRPr="0019444F" w:rsidRDefault="00BC1CBE" w:rsidP="0019444F">
            <w:pPr>
              <w:pStyle w:val="NoSpacing"/>
              <w:rPr>
                <w:sz w:val="20"/>
                <w:szCs w:val="20"/>
              </w:rPr>
            </w:pPr>
            <w:r>
              <w:rPr>
                <w:sz w:val="20"/>
                <w:szCs w:val="20"/>
              </w:rPr>
              <w:t>3</w:t>
            </w:r>
            <w:r w:rsidR="0019444F">
              <w:rPr>
                <w:sz w:val="20"/>
                <w:szCs w:val="20"/>
              </w:rPr>
              <w:t>.1</w:t>
            </w:r>
          </w:p>
        </w:tc>
        <w:tc>
          <w:tcPr>
            <w:tcW w:w="7217" w:type="dxa"/>
            <w:gridSpan w:val="3"/>
            <w:shd w:val="clear" w:color="auto" w:fill="F2F2F2" w:themeFill="background1" w:themeFillShade="F2"/>
            <w:vAlign w:val="center"/>
          </w:tcPr>
          <w:p w14:paraId="7122B324" w14:textId="77777777" w:rsidR="0019444F" w:rsidRDefault="00204E22" w:rsidP="000257BB">
            <w:pPr>
              <w:pStyle w:val="NoSpacing"/>
            </w:pPr>
            <w:r>
              <w:t>Compliance with guidance, standards and best practice</w:t>
            </w:r>
          </w:p>
        </w:tc>
      </w:tr>
      <w:tr w:rsidR="0019444F" w:rsidRPr="00AA3128" w14:paraId="7568F9A2" w14:textId="77777777" w:rsidTr="000F4142">
        <w:trPr>
          <w:trHeight w:val="284"/>
        </w:trPr>
        <w:tc>
          <w:tcPr>
            <w:tcW w:w="10261" w:type="dxa"/>
            <w:gridSpan w:val="8"/>
            <w:tcBorders>
              <w:bottom w:val="single" w:sz="4" w:space="0" w:color="808080" w:themeColor="background1" w:themeShade="80"/>
            </w:tcBorders>
            <w:shd w:val="clear" w:color="auto" w:fill="FFFFFF" w:themeFill="background1"/>
          </w:tcPr>
          <w:p w14:paraId="2A5AE137" w14:textId="3B43C04B" w:rsidR="0019444F" w:rsidRPr="00C30A41" w:rsidRDefault="00B97361" w:rsidP="000257BB">
            <w:pPr>
              <w:pStyle w:val="NoSpacing"/>
            </w:pPr>
            <w:r>
              <w:t>3</w:t>
            </w:r>
            <w:r w:rsidR="000257BB" w:rsidRPr="00C30A41">
              <w:t xml:space="preserve">.1.1. </w:t>
            </w:r>
            <w:r w:rsidR="002F5043" w:rsidRPr="00C30A41">
              <w:t xml:space="preserve">The Provider </w:t>
            </w:r>
            <w:r w:rsidR="00E743EA" w:rsidRPr="00C30A41">
              <w:t>must adhere to all national and local standards as applicable in relation to service delivery and to all req</w:t>
            </w:r>
            <w:r w:rsidR="00A37A83" w:rsidRPr="00C30A41">
              <w:t xml:space="preserve">uirements within the </w:t>
            </w:r>
            <w:proofErr w:type="gramStart"/>
            <w:r w:rsidR="00A37A83" w:rsidRPr="00C30A41">
              <w:t xml:space="preserve">contract </w:t>
            </w:r>
            <w:r w:rsidR="00A7723E" w:rsidRPr="00C30A41">
              <w:t>.</w:t>
            </w:r>
            <w:proofErr w:type="gramEnd"/>
            <w:r w:rsidR="00A7723E" w:rsidRPr="00C30A41">
              <w:t xml:space="preserve">  </w:t>
            </w:r>
            <w:r w:rsidR="00D25152" w:rsidRPr="00C30A41">
              <w:t xml:space="preserve">It </w:t>
            </w:r>
            <w:r w:rsidR="002F5043" w:rsidRPr="00C30A41">
              <w:t xml:space="preserve">is responsible for ensuring that all </w:t>
            </w:r>
            <w:r w:rsidR="00520B4A" w:rsidRPr="00C30A41">
              <w:t xml:space="preserve">clinical </w:t>
            </w:r>
            <w:r w:rsidR="002F5043" w:rsidRPr="00C30A41">
              <w:t>staff practice</w:t>
            </w:r>
            <w:r w:rsidR="00520B4A" w:rsidRPr="00C30A41">
              <w:t xml:space="preserve"> </w:t>
            </w:r>
            <w:r w:rsidR="006F5D43" w:rsidRPr="00C30A41">
              <w:t xml:space="preserve">and operate </w:t>
            </w:r>
            <w:r w:rsidR="00520B4A" w:rsidRPr="00C30A41">
              <w:t xml:space="preserve">in accordance with the most </w:t>
            </w:r>
            <w:r w:rsidR="00B17BD2" w:rsidRPr="00C30A41">
              <w:t xml:space="preserve">recent </w:t>
            </w:r>
            <w:r w:rsidR="00520B4A" w:rsidRPr="00C30A41">
              <w:t>standards and</w:t>
            </w:r>
            <w:r w:rsidR="00B17BD2" w:rsidRPr="00C30A41">
              <w:t xml:space="preserve"> guidelines</w:t>
            </w:r>
            <w:r w:rsidR="00C30A41" w:rsidRPr="00C30A41">
              <w:t>.</w:t>
            </w:r>
            <w:r w:rsidR="00B17BD2" w:rsidRPr="00C30A41">
              <w:t xml:space="preserve"> </w:t>
            </w:r>
            <w:r w:rsidR="00520B4A" w:rsidRPr="00C30A41">
              <w:t xml:space="preserve"> </w:t>
            </w:r>
            <w:r w:rsidR="000257BB" w:rsidRPr="00C30A41">
              <w:t xml:space="preserve">The Commissioner will work with the Provider </w:t>
            </w:r>
            <w:r w:rsidR="006F5D43" w:rsidRPr="00C30A41">
              <w:t>to ensure evidence of best practice is followed at all times.</w:t>
            </w:r>
          </w:p>
          <w:p w14:paraId="66E4B3D2" w14:textId="77777777" w:rsidR="00D25152" w:rsidRPr="00C30A41" w:rsidRDefault="00D25152" w:rsidP="000257BB">
            <w:pPr>
              <w:pStyle w:val="NoSpacing"/>
            </w:pPr>
          </w:p>
          <w:p w14:paraId="6ED37D9E" w14:textId="4F25559C" w:rsidR="00D25152" w:rsidRPr="00C30A41" w:rsidRDefault="00D25152" w:rsidP="000257BB">
            <w:pPr>
              <w:pStyle w:val="NoSpacing"/>
            </w:pPr>
            <w:r w:rsidRPr="00C30A41">
              <w:t>The following sections provide examples only and should not be considered exhaustive.</w:t>
            </w:r>
          </w:p>
          <w:p w14:paraId="7B7ED125" w14:textId="77777777" w:rsidR="006F5D43" w:rsidRPr="00C30A41" w:rsidRDefault="006F5D43" w:rsidP="003D406D">
            <w:pPr>
              <w:pStyle w:val="NoSpacing"/>
              <w:jc w:val="both"/>
            </w:pPr>
          </w:p>
          <w:p w14:paraId="0FF462AB" w14:textId="51ADE9DD" w:rsidR="00D6393A" w:rsidRPr="00C30A41" w:rsidRDefault="00B97361" w:rsidP="00B066A2">
            <w:pPr>
              <w:pStyle w:val="NoSpacing"/>
              <w:jc w:val="both"/>
              <w:rPr>
                <w:b/>
              </w:rPr>
            </w:pPr>
            <w:r>
              <w:rPr>
                <w:b/>
              </w:rPr>
              <w:t>3</w:t>
            </w:r>
            <w:r w:rsidR="003D406D" w:rsidRPr="00C30A41">
              <w:rPr>
                <w:b/>
              </w:rPr>
              <w:t xml:space="preserve">.1.2 </w:t>
            </w:r>
            <w:r w:rsidR="00B066A2" w:rsidRPr="00C30A41">
              <w:rPr>
                <w:b/>
              </w:rPr>
              <w:t>Applicable Nation</w:t>
            </w:r>
            <w:r w:rsidR="002A001F" w:rsidRPr="00C30A41">
              <w:rPr>
                <w:b/>
              </w:rPr>
              <w:t>a</w:t>
            </w:r>
            <w:r w:rsidR="00B066A2" w:rsidRPr="00C30A41">
              <w:rPr>
                <w:b/>
              </w:rPr>
              <w:t>l Standards and Guidance (e.g. NICE)</w:t>
            </w:r>
            <w:r w:rsidR="00E210E3" w:rsidRPr="00C30A41">
              <w:rPr>
                <w:b/>
              </w:rPr>
              <w:t xml:space="preserve"> – including but limited to the following:</w:t>
            </w:r>
          </w:p>
          <w:p w14:paraId="609E81F3" w14:textId="77777777" w:rsidR="0022384A" w:rsidRPr="00C30A41" w:rsidRDefault="0022384A" w:rsidP="00840D2E">
            <w:pPr>
              <w:pStyle w:val="NoSpacing"/>
              <w:ind w:left="227" w:hanging="227"/>
              <w:jc w:val="both"/>
            </w:pPr>
            <w:r w:rsidRPr="00C30A41">
              <w:t>•</w:t>
            </w:r>
            <w:r w:rsidRPr="00C30A41">
              <w:tab/>
              <w:t>Care Act 2014</w:t>
            </w:r>
          </w:p>
          <w:p w14:paraId="3BEC1E58" w14:textId="77777777" w:rsidR="0022384A" w:rsidRPr="00C30A41" w:rsidRDefault="0022384A" w:rsidP="00840D2E">
            <w:pPr>
              <w:pStyle w:val="NoSpacing"/>
              <w:ind w:left="227" w:hanging="227"/>
              <w:jc w:val="both"/>
            </w:pPr>
            <w:r w:rsidRPr="00C30A41">
              <w:t>•</w:t>
            </w:r>
            <w:r w:rsidRPr="00C30A41">
              <w:tab/>
              <w:t>Mental Health Act 2009</w:t>
            </w:r>
          </w:p>
          <w:p w14:paraId="6C54F25A" w14:textId="77777777" w:rsidR="0022384A" w:rsidRPr="00A6004A" w:rsidRDefault="0022384A" w:rsidP="00840D2E">
            <w:pPr>
              <w:pStyle w:val="NoSpacing"/>
              <w:ind w:left="227" w:hanging="227"/>
              <w:jc w:val="both"/>
            </w:pPr>
            <w:r w:rsidRPr="004C2368">
              <w:t>•</w:t>
            </w:r>
            <w:r w:rsidRPr="004C2368">
              <w:tab/>
              <w:t>Continuing</w:t>
            </w:r>
            <w:r w:rsidRPr="00A6004A">
              <w:t xml:space="preserve"> Health Care National Framework 2012 (or latest versions)</w:t>
            </w:r>
          </w:p>
          <w:p w14:paraId="11E2657A" w14:textId="77777777" w:rsidR="0022384A" w:rsidRPr="00A6004A" w:rsidRDefault="0022384A" w:rsidP="00840D2E">
            <w:pPr>
              <w:pStyle w:val="NoSpacing"/>
              <w:ind w:left="227" w:hanging="227"/>
              <w:jc w:val="both"/>
            </w:pPr>
            <w:r w:rsidRPr="00A6004A">
              <w:t>•</w:t>
            </w:r>
            <w:r w:rsidRPr="00A6004A">
              <w:tab/>
              <w:t>Care Quality Commission Registration Requirements</w:t>
            </w:r>
          </w:p>
          <w:p w14:paraId="355BB9AF" w14:textId="77777777" w:rsidR="0022384A" w:rsidRPr="00A6004A" w:rsidRDefault="0022384A" w:rsidP="00840D2E">
            <w:pPr>
              <w:pStyle w:val="NoSpacing"/>
              <w:ind w:left="227" w:hanging="227"/>
              <w:jc w:val="both"/>
            </w:pPr>
            <w:r w:rsidRPr="00A6004A">
              <w:t>•</w:t>
            </w:r>
            <w:r w:rsidRPr="00A6004A">
              <w:tab/>
              <w:t>National Safeguarding Guidance, Policies and Procedures</w:t>
            </w:r>
          </w:p>
          <w:p w14:paraId="1AEF498A" w14:textId="77777777" w:rsidR="0022384A" w:rsidRPr="00A6004A" w:rsidRDefault="0022384A" w:rsidP="00840D2E">
            <w:pPr>
              <w:pStyle w:val="NoSpacing"/>
              <w:ind w:left="227" w:hanging="227"/>
              <w:jc w:val="both"/>
            </w:pPr>
            <w:r w:rsidRPr="00A6004A">
              <w:t>•</w:t>
            </w:r>
            <w:r w:rsidRPr="00A6004A">
              <w:tab/>
              <w:t>Making Safeguarding Personal</w:t>
            </w:r>
          </w:p>
          <w:p w14:paraId="68E4FA3D" w14:textId="77777777" w:rsidR="0022384A" w:rsidRPr="00A6004A" w:rsidRDefault="0022384A" w:rsidP="00840D2E">
            <w:pPr>
              <w:pStyle w:val="NoSpacing"/>
              <w:ind w:left="227" w:hanging="227"/>
              <w:jc w:val="both"/>
            </w:pPr>
            <w:r w:rsidRPr="00A6004A">
              <w:t>•</w:t>
            </w:r>
            <w:r w:rsidRPr="00A6004A">
              <w:tab/>
              <w:t>Department of Health Guidance</w:t>
            </w:r>
          </w:p>
          <w:p w14:paraId="3360DE76" w14:textId="77777777" w:rsidR="0022384A" w:rsidRPr="00A6004A" w:rsidRDefault="0022384A" w:rsidP="00840D2E">
            <w:pPr>
              <w:pStyle w:val="NoSpacing"/>
              <w:ind w:left="227" w:hanging="227"/>
              <w:jc w:val="both"/>
            </w:pPr>
            <w:r w:rsidRPr="00A6004A">
              <w:t>•</w:t>
            </w:r>
            <w:r w:rsidRPr="00A6004A">
              <w:tab/>
              <w:t>National Services Frameworks (NSF), where applicable i.e. Older People</w:t>
            </w:r>
          </w:p>
          <w:p w14:paraId="264328B7" w14:textId="77777777" w:rsidR="0022384A" w:rsidRPr="00A6004A" w:rsidRDefault="0022384A" w:rsidP="00840D2E">
            <w:pPr>
              <w:pStyle w:val="NoSpacing"/>
              <w:ind w:left="227" w:hanging="227"/>
              <w:jc w:val="both"/>
            </w:pPr>
            <w:r w:rsidRPr="00A6004A">
              <w:t>•</w:t>
            </w:r>
            <w:r w:rsidRPr="00A6004A">
              <w:tab/>
              <w:t>The current Operating and Outcomes Framework for the NHS in England</w:t>
            </w:r>
          </w:p>
          <w:p w14:paraId="797DB1C5" w14:textId="77777777" w:rsidR="0022384A" w:rsidRPr="00A6004A" w:rsidRDefault="0022384A" w:rsidP="00840D2E">
            <w:pPr>
              <w:pStyle w:val="NoSpacing"/>
              <w:ind w:left="227" w:hanging="227"/>
              <w:jc w:val="both"/>
            </w:pPr>
            <w:r w:rsidRPr="00A6004A">
              <w:t>•</w:t>
            </w:r>
            <w:r w:rsidRPr="00A6004A">
              <w:tab/>
              <w:t>Relevant NICE Guidance</w:t>
            </w:r>
          </w:p>
          <w:p w14:paraId="6619C2BB" w14:textId="77777777" w:rsidR="0022384A" w:rsidRPr="00A6004A" w:rsidRDefault="0022384A" w:rsidP="00840D2E">
            <w:pPr>
              <w:pStyle w:val="NoSpacing"/>
              <w:ind w:left="227" w:hanging="227"/>
              <w:jc w:val="both"/>
            </w:pPr>
            <w:r w:rsidRPr="00A6004A">
              <w:t>•</w:t>
            </w:r>
            <w:r w:rsidRPr="00A6004A">
              <w:tab/>
              <w:t xml:space="preserve">Mental Capacity Act 2005 </w:t>
            </w:r>
          </w:p>
          <w:p w14:paraId="05507CFE" w14:textId="77777777" w:rsidR="0022384A" w:rsidRPr="00A6004A" w:rsidRDefault="0022384A" w:rsidP="00840D2E">
            <w:pPr>
              <w:pStyle w:val="NoSpacing"/>
              <w:ind w:left="227" w:hanging="227"/>
              <w:jc w:val="both"/>
            </w:pPr>
            <w:r w:rsidRPr="00A6004A">
              <w:t>•</w:t>
            </w:r>
            <w:r w:rsidRPr="00A6004A">
              <w:tab/>
              <w:t>Safe, compassionate care for frail older people using an integrated care pathway, NHS England, practical guidance for commissioners, providers and nursing, medical and allied health professional leaders, February 2014</w:t>
            </w:r>
          </w:p>
          <w:p w14:paraId="7BD7D5D1" w14:textId="77777777" w:rsidR="0022384A" w:rsidRPr="00A6004A" w:rsidRDefault="0022384A" w:rsidP="00840D2E">
            <w:pPr>
              <w:pStyle w:val="NoSpacing"/>
              <w:ind w:left="227" w:hanging="227"/>
              <w:jc w:val="both"/>
            </w:pPr>
            <w:r w:rsidRPr="00A6004A">
              <w:t>•</w:t>
            </w:r>
            <w:r w:rsidRPr="00A6004A">
              <w:tab/>
              <w:t xml:space="preserve">Care in Local Communities - A new vision and model for district nursing – </w:t>
            </w:r>
            <w:proofErr w:type="spellStart"/>
            <w:r w:rsidRPr="00A6004A">
              <w:t>DoH</w:t>
            </w:r>
            <w:proofErr w:type="spellEnd"/>
            <w:r w:rsidRPr="00A6004A">
              <w:t xml:space="preserve"> (Jan 2013) </w:t>
            </w:r>
          </w:p>
          <w:p w14:paraId="0B2EEBD9" w14:textId="3D5EE4C0" w:rsidR="0022384A" w:rsidRPr="00A6004A" w:rsidRDefault="0022384A" w:rsidP="00840D2E">
            <w:pPr>
              <w:pStyle w:val="NoSpacing"/>
              <w:ind w:left="227" w:hanging="227"/>
              <w:jc w:val="both"/>
            </w:pPr>
            <w:r w:rsidRPr="00A6004A">
              <w:t>•</w:t>
            </w:r>
            <w:r w:rsidRPr="00A6004A">
              <w:tab/>
              <w:t>Transforming Community Services – Quality Framework (2010)</w:t>
            </w:r>
          </w:p>
          <w:p w14:paraId="221A8AA6" w14:textId="77777777" w:rsidR="0022384A" w:rsidRPr="00A6004A" w:rsidRDefault="0022384A" w:rsidP="00840D2E">
            <w:pPr>
              <w:pStyle w:val="NoSpacing"/>
              <w:ind w:left="227" w:hanging="227"/>
              <w:jc w:val="both"/>
            </w:pPr>
            <w:r w:rsidRPr="00A6004A">
              <w:t>•</w:t>
            </w:r>
            <w:r w:rsidRPr="00A6004A">
              <w:tab/>
              <w:t>Care Quality Commission: Essential Quality Standards of Quality and Safety (2010)</w:t>
            </w:r>
          </w:p>
          <w:p w14:paraId="6F45B939" w14:textId="77777777" w:rsidR="0022384A" w:rsidRPr="00A6004A" w:rsidRDefault="0022384A" w:rsidP="00840D2E">
            <w:pPr>
              <w:pStyle w:val="NoSpacing"/>
              <w:ind w:left="227" w:hanging="227"/>
              <w:jc w:val="both"/>
            </w:pPr>
            <w:r w:rsidRPr="00A6004A">
              <w:t>•</w:t>
            </w:r>
            <w:r w:rsidRPr="00A6004A">
              <w:tab/>
              <w:t>Common Core Principles for Supporting People with Dementia (2011)</w:t>
            </w:r>
          </w:p>
          <w:p w14:paraId="60DFC561" w14:textId="77777777" w:rsidR="0022384A" w:rsidRPr="00A6004A" w:rsidRDefault="0022384A" w:rsidP="00840D2E">
            <w:pPr>
              <w:pStyle w:val="NoSpacing"/>
              <w:ind w:left="227" w:hanging="227"/>
              <w:jc w:val="both"/>
            </w:pPr>
            <w:r w:rsidRPr="00A6004A">
              <w:t>•</w:t>
            </w:r>
            <w:r w:rsidRPr="00A6004A">
              <w:tab/>
              <w:t>The Health and Social Care Act 2008: Code of practice on the prevention and control of infections and related guidelines (2010)</w:t>
            </w:r>
          </w:p>
          <w:p w14:paraId="03A3F5E1" w14:textId="77777777" w:rsidR="0022384A" w:rsidRPr="00A6004A" w:rsidRDefault="0022384A" w:rsidP="00840D2E">
            <w:pPr>
              <w:pStyle w:val="NoSpacing"/>
              <w:ind w:left="227" w:hanging="227"/>
              <w:jc w:val="both"/>
            </w:pPr>
            <w:r w:rsidRPr="00A6004A">
              <w:t>•</w:t>
            </w:r>
            <w:r w:rsidRPr="00A6004A">
              <w:tab/>
              <w:t>The Health and Social Care Act 2008 (Regulated Activities) Regulations (2014): Regulation 20 Duty of Candour</w:t>
            </w:r>
          </w:p>
          <w:p w14:paraId="441C71D5" w14:textId="77777777" w:rsidR="0022384A" w:rsidRPr="00A6004A" w:rsidRDefault="0022384A" w:rsidP="00840D2E">
            <w:pPr>
              <w:pStyle w:val="NoSpacing"/>
              <w:ind w:left="227" w:hanging="227"/>
              <w:jc w:val="both"/>
            </w:pPr>
            <w:r w:rsidRPr="00A6004A">
              <w:t>•</w:t>
            </w:r>
            <w:r w:rsidRPr="00A6004A">
              <w:tab/>
              <w:t>Disclosure and Barring Checks</w:t>
            </w:r>
          </w:p>
          <w:p w14:paraId="1247E1F5" w14:textId="77777777" w:rsidR="0022384A" w:rsidRPr="00A6004A" w:rsidRDefault="0022384A" w:rsidP="00840D2E">
            <w:pPr>
              <w:pStyle w:val="NoSpacing"/>
              <w:ind w:left="227" w:hanging="227"/>
              <w:jc w:val="both"/>
            </w:pPr>
            <w:r w:rsidRPr="00A6004A">
              <w:t>•</w:t>
            </w:r>
            <w:r w:rsidRPr="00A6004A">
              <w:tab/>
              <w:t>Mental Health Capacity Act (2008)</w:t>
            </w:r>
          </w:p>
          <w:p w14:paraId="6AB424DB" w14:textId="77777777" w:rsidR="0022384A" w:rsidRPr="00A6004A" w:rsidRDefault="0022384A" w:rsidP="00840D2E">
            <w:pPr>
              <w:pStyle w:val="NoSpacing"/>
              <w:ind w:left="227" w:hanging="227"/>
              <w:jc w:val="both"/>
            </w:pPr>
            <w:r w:rsidRPr="00A6004A">
              <w:t>•</w:t>
            </w:r>
            <w:r w:rsidRPr="00A6004A">
              <w:tab/>
              <w:t>Deprivation of Liberty Safeguards (2009)</w:t>
            </w:r>
          </w:p>
          <w:p w14:paraId="1BF6CFE2" w14:textId="77777777" w:rsidR="0022384A" w:rsidRPr="00A6004A" w:rsidRDefault="0022384A" w:rsidP="00840D2E">
            <w:pPr>
              <w:pStyle w:val="NoSpacing"/>
              <w:ind w:left="227" w:hanging="227"/>
              <w:jc w:val="both"/>
            </w:pPr>
            <w:r w:rsidRPr="00A6004A">
              <w:t>•</w:t>
            </w:r>
            <w:r w:rsidRPr="00A6004A">
              <w:tab/>
              <w:t>Making a Difference in Dementia: Nursing Vision and Strategy (2013)</w:t>
            </w:r>
          </w:p>
          <w:p w14:paraId="6691E146" w14:textId="77777777" w:rsidR="0022384A" w:rsidRPr="00A6004A" w:rsidRDefault="0022384A" w:rsidP="00840D2E">
            <w:pPr>
              <w:pStyle w:val="NoSpacing"/>
              <w:ind w:left="227" w:hanging="227"/>
              <w:jc w:val="both"/>
            </w:pPr>
            <w:r w:rsidRPr="00A6004A">
              <w:t>•</w:t>
            </w:r>
            <w:r w:rsidRPr="00A6004A">
              <w:tab/>
              <w:t>NICE Quality standards for dementia (Dementia: support in health and social care/ dementia: independence and wellbeing)</w:t>
            </w:r>
          </w:p>
          <w:p w14:paraId="057C21E9" w14:textId="77777777" w:rsidR="0022384A" w:rsidRPr="00A6004A" w:rsidRDefault="0022384A" w:rsidP="00840D2E">
            <w:pPr>
              <w:pStyle w:val="NoSpacing"/>
              <w:ind w:left="227" w:hanging="227"/>
              <w:jc w:val="both"/>
            </w:pPr>
            <w:r w:rsidRPr="00A6004A">
              <w:t>•</w:t>
            </w:r>
            <w:r w:rsidRPr="00A6004A">
              <w:tab/>
              <w:t>The Controlled Drugs (Supervision of Management and Use) Regulations (2013)</w:t>
            </w:r>
          </w:p>
          <w:p w14:paraId="062D9534" w14:textId="77777777" w:rsidR="0022384A" w:rsidRPr="00A6004A" w:rsidRDefault="0022384A" w:rsidP="00840D2E">
            <w:pPr>
              <w:pStyle w:val="NoSpacing"/>
              <w:ind w:left="227" w:hanging="227"/>
              <w:jc w:val="both"/>
            </w:pPr>
            <w:r w:rsidRPr="00A6004A">
              <w:t>•</w:t>
            </w:r>
            <w:r w:rsidRPr="00A6004A">
              <w:tab/>
              <w:t>Human Medicines Regulations (2012)</w:t>
            </w:r>
          </w:p>
          <w:p w14:paraId="1DC1B027" w14:textId="77777777" w:rsidR="0022384A" w:rsidRPr="00A6004A" w:rsidRDefault="0022384A" w:rsidP="00840D2E">
            <w:pPr>
              <w:pStyle w:val="NoSpacing"/>
              <w:ind w:left="227" w:hanging="227"/>
              <w:jc w:val="both"/>
            </w:pPr>
            <w:r w:rsidRPr="00A6004A">
              <w:t>•</w:t>
            </w:r>
            <w:r w:rsidRPr="00A6004A">
              <w:tab/>
              <w:t>Serious Incident Framework (2015) http://www.england.nhs.uk/wp-content/uploads/2013/03/sif-guide.pdf</w:t>
            </w:r>
          </w:p>
          <w:p w14:paraId="2A8F8DDA" w14:textId="77777777" w:rsidR="0022384A" w:rsidRPr="00A6004A" w:rsidRDefault="0022384A" w:rsidP="00840D2E">
            <w:pPr>
              <w:pStyle w:val="NoSpacing"/>
              <w:ind w:left="227" w:hanging="227"/>
              <w:jc w:val="both"/>
            </w:pPr>
            <w:r w:rsidRPr="00A6004A">
              <w:t>•</w:t>
            </w:r>
            <w:r w:rsidRPr="00A6004A">
              <w:tab/>
              <w:t xml:space="preserve">National Patient Safety Agency (2010) National Framework for Reporting and Learning from Serious Incidents Requiring Investigation. Available at http://www.nrls.npsa.nhs.uk/resources/?entryid45=75173   </w:t>
            </w:r>
          </w:p>
          <w:p w14:paraId="6041BB2F" w14:textId="77777777" w:rsidR="0022384A" w:rsidRPr="00A6004A" w:rsidRDefault="0022384A" w:rsidP="00840D2E">
            <w:pPr>
              <w:pStyle w:val="NoSpacing"/>
              <w:ind w:left="227" w:hanging="227"/>
              <w:jc w:val="both"/>
            </w:pPr>
            <w:r w:rsidRPr="00A6004A">
              <w:t>•</w:t>
            </w:r>
            <w:r w:rsidRPr="00A6004A">
              <w:tab/>
              <w:t>Working Together to Safeguard Children (2013)</w:t>
            </w:r>
          </w:p>
          <w:p w14:paraId="54B6F5DB" w14:textId="77777777" w:rsidR="0022384A" w:rsidRPr="00A6004A" w:rsidRDefault="0022384A" w:rsidP="00840D2E">
            <w:pPr>
              <w:pStyle w:val="NoSpacing"/>
              <w:ind w:left="227" w:hanging="227"/>
              <w:jc w:val="both"/>
            </w:pPr>
            <w:r w:rsidRPr="00A6004A">
              <w:t>•</w:t>
            </w:r>
            <w:r w:rsidRPr="00A6004A">
              <w:tab/>
              <w:t>NHS Employment Check Standards (2013)</w:t>
            </w:r>
          </w:p>
          <w:p w14:paraId="0A02AF19" w14:textId="77777777" w:rsidR="0022384A" w:rsidRPr="00A6004A" w:rsidRDefault="0022384A" w:rsidP="00840D2E">
            <w:pPr>
              <w:pStyle w:val="NoSpacing"/>
              <w:ind w:left="227" w:hanging="227"/>
              <w:jc w:val="both"/>
            </w:pPr>
            <w:r w:rsidRPr="00A6004A">
              <w:t>•</w:t>
            </w:r>
            <w:r w:rsidRPr="00A6004A">
              <w:tab/>
              <w:t>Workforce Race Equality Standards (2015)</w:t>
            </w:r>
          </w:p>
          <w:p w14:paraId="24041213" w14:textId="77777777" w:rsidR="0022384A" w:rsidRPr="00A6004A" w:rsidRDefault="0022384A" w:rsidP="00840D2E">
            <w:pPr>
              <w:pStyle w:val="NoSpacing"/>
              <w:ind w:left="227" w:hanging="227"/>
              <w:jc w:val="both"/>
            </w:pPr>
            <w:r w:rsidRPr="00A6004A">
              <w:t>•</w:t>
            </w:r>
            <w:r w:rsidRPr="00A6004A">
              <w:tab/>
              <w:t>Accessible Information Standard (2016)</w:t>
            </w:r>
          </w:p>
          <w:p w14:paraId="4B361B06" w14:textId="77777777" w:rsidR="0022384A" w:rsidRPr="00A6004A" w:rsidRDefault="0022384A" w:rsidP="00840D2E">
            <w:pPr>
              <w:pStyle w:val="NoSpacing"/>
              <w:ind w:left="227" w:hanging="227"/>
              <w:jc w:val="both"/>
            </w:pPr>
            <w:r w:rsidRPr="00A6004A">
              <w:t>•</w:t>
            </w:r>
            <w:r w:rsidRPr="00A6004A">
              <w:tab/>
              <w:t>Public Services (Social Value) Act 2013</w:t>
            </w:r>
          </w:p>
          <w:p w14:paraId="1E3E6142" w14:textId="77777777" w:rsidR="0022384A" w:rsidRPr="00A6004A" w:rsidRDefault="0022384A" w:rsidP="00840D2E">
            <w:pPr>
              <w:pStyle w:val="NoSpacing"/>
              <w:ind w:left="227" w:hanging="227"/>
              <w:jc w:val="both"/>
            </w:pPr>
            <w:r w:rsidRPr="00A6004A">
              <w:t>•</w:t>
            </w:r>
            <w:r w:rsidRPr="00A6004A">
              <w:tab/>
              <w:t xml:space="preserve">NICE (2015) Guideline [NG27] Transition between inpatient hospital settings and community or care home </w:t>
            </w:r>
            <w:r w:rsidRPr="00A6004A">
              <w:lastRenderedPageBreak/>
              <w:t>settings for adults with social care needs</w:t>
            </w:r>
          </w:p>
          <w:p w14:paraId="5A25E024" w14:textId="77777777" w:rsidR="0022384A" w:rsidRPr="00A6004A" w:rsidRDefault="0022384A" w:rsidP="0022384A">
            <w:pPr>
              <w:pStyle w:val="NoSpacing"/>
              <w:jc w:val="both"/>
            </w:pPr>
          </w:p>
          <w:p w14:paraId="7A14A3A2" w14:textId="2CBAF410" w:rsidR="0022384A" w:rsidRPr="00A6004A" w:rsidRDefault="00B97361" w:rsidP="0022384A">
            <w:pPr>
              <w:pStyle w:val="NoSpacing"/>
              <w:jc w:val="both"/>
              <w:rPr>
                <w:b/>
              </w:rPr>
            </w:pPr>
            <w:r>
              <w:rPr>
                <w:b/>
              </w:rPr>
              <w:t>3</w:t>
            </w:r>
            <w:r w:rsidR="000D759C" w:rsidRPr="00A6004A">
              <w:rPr>
                <w:b/>
              </w:rPr>
              <w:t xml:space="preserve">.1.3 </w:t>
            </w:r>
            <w:r w:rsidR="0022384A" w:rsidRPr="00A6004A">
              <w:rPr>
                <w:b/>
              </w:rPr>
              <w:t>Applicable standards set out in Guidance and/or issued by a competent body (e.g. Royal Colleges)</w:t>
            </w:r>
            <w:r w:rsidR="00D34BBC" w:rsidRPr="00A6004A">
              <w:rPr>
                <w:b/>
              </w:rPr>
              <w:t xml:space="preserve"> - </w:t>
            </w:r>
          </w:p>
          <w:p w14:paraId="04D686E6" w14:textId="726A6E66" w:rsidR="0022384A" w:rsidRPr="00A6004A" w:rsidRDefault="0022384A" w:rsidP="0022384A">
            <w:pPr>
              <w:pStyle w:val="NoSpacing"/>
              <w:jc w:val="both"/>
              <w:rPr>
                <w:b/>
              </w:rPr>
            </w:pPr>
            <w:r w:rsidRPr="00A6004A">
              <w:rPr>
                <w:b/>
              </w:rPr>
              <w:t>including but not limited to the following</w:t>
            </w:r>
            <w:r w:rsidR="00752995" w:rsidRPr="00A6004A">
              <w:rPr>
                <w:b/>
              </w:rPr>
              <w:t>:</w:t>
            </w:r>
          </w:p>
          <w:p w14:paraId="24378AD6" w14:textId="77777777" w:rsidR="0022384A" w:rsidRPr="00A6004A" w:rsidRDefault="0022384A" w:rsidP="00F64F5A">
            <w:pPr>
              <w:pStyle w:val="NoSpacing"/>
              <w:tabs>
                <w:tab w:val="left" w:pos="227"/>
              </w:tabs>
              <w:jc w:val="both"/>
            </w:pPr>
            <w:r w:rsidRPr="00A6004A">
              <w:t>•</w:t>
            </w:r>
            <w:r w:rsidRPr="00A6004A">
              <w:tab/>
              <w:t>Royal College of Nursing Guidelines</w:t>
            </w:r>
            <w:r w:rsidRPr="00A6004A">
              <w:tab/>
            </w:r>
          </w:p>
          <w:p w14:paraId="01D603B2" w14:textId="77777777" w:rsidR="0022384A" w:rsidRPr="00A6004A" w:rsidRDefault="0022384A" w:rsidP="00F64F5A">
            <w:pPr>
              <w:pStyle w:val="NoSpacing"/>
              <w:tabs>
                <w:tab w:val="left" w:pos="227"/>
              </w:tabs>
              <w:jc w:val="both"/>
            </w:pPr>
            <w:r w:rsidRPr="00A6004A">
              <w:t>•</w:t>
            </w:r>
            <w:r w:rsidRPr="00A6004A">
              <w:tab/>
              <w:t>Nursing and Midwifery Council (NMC) Codes of Conduct, Professional Guidelines and Standards</w:t>
            </w:r>
          </w:p>
          <w:p w14:paraId="0A586FE0" w14:textId="318AA6BD" w:rsidR="0022384A" w:rsidRPr="00A6004A" w:rsidRDefault="0022384A" w:rsidP="004901F6">
            <w:pPr>
              <w:pStyle w:val="NoSpacing"/>
              <w:tabs>
                <w:tab w:val="left" w:pos="227"/>
              </w:tabs>
              <w:ind w:left="227" w:hanging="227"/>
              <w:jc w:val="both"/>
            </w:pPr>
            <w:r w:rsidRPr="00A6004A">
              <w:t>•</w:t>
            </w:r>
            <w:r w:rsidRPr="00A6004A">
              <w:tab/>
              <w:t xml:space="preserve">Health and Care </w:t>
            </w:r>
            <w:r w:rsidR="00FD1994" w:rsidRPr="00A6004A">
              <w:t>P</w:t>
            </w:r>
            <w:r w:rsidRPr="00A6004A">
              <w:t xml:space="preserve">rofessions Council Standards of Conduct, performance and ethics, </w:t>
            </w:r>
            <w:r w:rsidR="00C475BF" w:rsidRPr="00A6004A">
              <w:t>p</w:t>
            </w:r>
            <w:r w:rsidRPr="00A6004A">
              <w:t xml:space="preserve">roficiency, </w:t>
            </w:r>
            <w:r w:rsidR="00C475BF" w:rsidRPr="00A6004A">
              <w:t>e</w:t>
            </w:r>
            <w:r w:rsidRPr="00A6004A">
              <w:t xml:space="preserve">ducation and </w:t>
            </w:r>
            <w:r w:rsidR="00F64F5A" w:rsidRPr="00A6004A">
              <w:t xml:space="preserve">    </w:t>
            </w:r>
            <w:r w:rsidRPr="00A6004A">
              <w:t xml:space="preserve">training, </w:t>
            </w:r>
            <w:r w:rsidR="00C475BF" w:rsidRPr="00A6004A">
              <w:t>c</w:t>
            </w:r>
            <w:r w:rsidRPr="00A6004A">
              <w:t xml:space="preserve">ontinuing professional development, and </w:t>
            </w:r>
            <w:r w:rsidR="00B45107" w:rsidRPr="00A6004A">
              <w:t>p</w:t>
            </w:r>
            <w:r w:rsidRPr="00A6004A">
              <w:t>rescribing.</w:t>
            </w:r>
          </w:p>
          <w:p w14:paraId="7DC89E4B" w14:textId="2F2B7C39" w:rsidR="0022384A" w:rsidRPr="00A6004A" w:rsidRDefault="0022384A" w:rsidP="00F64F5A">
            <w:pPr>
              <w:pStyle w:val="NoSpacing"/>
              <w:tabs>
                <w:tab w:val="left" w:pos="227"/>
              </w:tabs>
              <w:jc w:val="both"/>
            </w:pPr>
            <w:r w:rsidRPr="00A6004A">
              <w:t>•</w:t>
            </w:r>
            <w:r w:rsidRPr="00A6004A">
              <w:tab/>
              <w:t>Professional standards of</w:t>
            </w:r>
            <w:r w:rsidR="00FD1994" w:rsidRPr="00A6004A">
              <w:t>:</w:t>
            </w:r>
          </w:p>
          <w:p w14:paraId="146DA3BE" w14:textId="4A127206" w:rsidR="0022384A" w:rsidRPr="00A6004A" w:rsidRDefault="0022384A" w:rsidP="00FC57AB">
            <w:pPr>
              <w:pStyle w:val="NoSpacing"/>
              <w:numPr>
                <w:ilvl w:val="0"/>
                <w:numId w:val="30"/>
              </w:numPr>
              <w:tabs>
                <w:tab w:val="left" w:pos="227"/>
              </w:tabs>
              <w:jc w:val="both"/>
            </w:pPr>
            <w:r w:rsidRPr="00A6004A">
              <w:t>Chartered Society of Physiotherapy</w:t>
            </w:r>
          </w:p>
          <w:p w14:paraId="4D2F67FF" w14:textId="3BC35F95" w:rsidR="0022384A" w:rsidRPr="00A6004A" w:rsidRDefault="0022384A" w:rsidP="00FC57AB">
            <w:pPr>
              <w:pStyle w:val="NoSpacing"/>
              <w:numPr>
                <w:ilvl w:val="0"/>
                <w:numId w:val="30"/>
              </w:numPr>
              <w:tabs>
                <w:tab w:val="left" w:pos="227"/>
              </w:tabs>
              <w:jc w:val="both"/>
            </w:pPr>
            <w:r w:rsidRPr="00A6004A">
              <w:t>British Association of Occupational Therapists</w:t>
            </w:r>
          </w:p>
          <w:p w14:paraId="2EB56F6A" w14:textId="392B9A8A" w:rsidR="0022384A" w:rsidRPr="00A6004A" w:rsidRDefault="0022384A" w:rsidP="00967366">
            <w:pPr>
              <w:pStyle w:val="NoSpacing"/>
              <w:numPr>
                <w:ilvl w:val="0"/>
                <w:numId w:val="30"/>
              </w:numPr>
              <w:tabs>
                <w:tab w:val="left" w:pos="227"/>
              </w:tabs>
              <w:jc w:val="both"/>
            </w:pPr>
            <w:r w:rsidRPr="00A6004A">
              <w:t>BDA The association of UK Dieticians</w:t>
            </w:r>
          </w:p>
          <w:p w14:paraId="017FFDD1" w14:textId="2BD667AF" w:rsidR="0022384A" w:rsidRPr="00A6004A" w:rsidRDefault="0022384A" w:rsidP="00AF2287">
            <w:pPr>
              <w:pStyle w:val="NoSpacing"/>
              <w:numPr>
                <w:ilvl w:val="0"/>
                <w:numId w:val="30"/>
              </w:numPr>
              <w:tabs>
                <w:tab w:val="left" w:pos="1219"/>
              </w:tabs>
              <w:jc w:val="both"/>
            </w:pPr>
            <w:r w:rsidRPr="00A6004A">
              <w:t>Royal collage of</w:t>
            </w:r>
            <w:r w:rsidR="00AF2287" w:rsidRPr="00A6004A">
              <w:t xml:space="preserve"> Speech and Language Therapists</w:t>
            </w:r>
          </w:p>
          <w:p w14:paraId="71C68DD1" w14:textId="77777777" w:rsidR="00AF2287" w:rsidRPr="00A6004A" w:rsidRDefault="00AF2287" w:rsidP="00AF2287">
            <w:pPr>
              <w:pStyle w:val="NoSpacing"/>
              <w:numPr>
                <w:ilvl w:val="0"/>
                <w:numId w:val="30"/>
              </w:numPr>
              <w:tabs>
                <w:tab w:val="left" w:pos="227"/>
              </w:tabs>
              <w:jc w:val="both"/>
            </w:pPr>
            <w:r w:rsidRPr="00A6004A">
              <w:t xml:space="preserve">Health Protection Agency – providers of support and advice </w:t>
            </w:r>
          </w:p>
          <w:p w14:paraId="1AA1A1CB" w14:textId="7955BD25" w:rsidR="00AF2287" w:rsidRPr="00A6004A" w:rsidRDefault="00AF2287" w:rsidP="00F64F5A">
            <w:pPr>
              <w:pStyle w:val="NoSpacing"/>
              <w:tabs>
                <w:tab w:val="left" w:pos="227"/>
              </w:tabs>
              <w:jc w:val="both"/>
            </w:pPr>
          </w:p>
          <w:p w14:paraId="72BF8456" w14:textId="77777777" w:rsidR="0022384A" w:rsidRPr="00A6004A" w:rsidRDefault="0022384A" w:rsidP="00F64F5A">
            <w:pPr>
              <w:pStyle w:val="NoSpacing"/>
              <w:tabs>
                <w:tab w:val="left" w:pos="227"/>
              </w:tabs>
              <w:jc w:val="both"/>
            </w:pPr>
            <w:r w:rsidRPr="00A6004A">
              <w:t>•</w:t>
            </w:r>
            <w:r w:rsidRPr="00A6004A">
              <w:tab/>
              <w:t>Ready to Go: Planning the discharge and transfer of patients from hospital and intermediate care (DH 2010)</w:t>
            </w:r>
          </w:p>
          <w:p w14:paraId="33777FDD" w14:textId="581C75C4" w:rsidR="0022384A" w:rsidRPr="00A6004A" w:rsidRDefault="0022384A" w:rsidP="00F64F5A">
            <w:pPr>
              <w:pStyle w:val="NoSpacing"/>
              <w:tabs>
                <w:tab w:val="left" w:pos="227"/>
              </w:tabs>
              <w:jc w:val="both"/>
            </w:pPr>
            <w:r w:rsidRPr="00A6004A">
              <w:t>•</w:t>
            </w:r>
            <w:r w:rsidRPr="00A6004A">
              <w:tab/>
            </w:r>
            <w:r w:rsidR="00454D22" w:rsidRPr="00A6004A">
              <w:t>I</w:t>
            </w:r>
            <w:r w:rsidRPr="00A6004A">
              <w:t xml:space="preserve">mmunisation Against Infectious Diseases (DH 2006) plus updates via </w:t>
            </w:r>
          </w:p>
          <w:p w14:paraId="0A7121F2" w14:textId="77777777" w:rsidR="0022384A" w:rsidRPr="00D1443D" w:rsidRDefault="0022384A" w:rsidP="00F64F5A">
            <w:pPr>
              <w:pStyle w:val="NoSpacing"/>
              <w:tabs>
                <w:tab w:val="left" w:pos="227"/>
              </w:tabs>
              <w:jc w:val="both"/>
            </w:pPr>
            <w:r w:rsidRPr="00D1443D">
              <w:t>http://www.dh.gov.uk/en/PublicationsandStatistics/Publications/PublicationsPolicyandGuidance/DH_079917</w:t>
            </w:r>
          </w:p>
          <w:p w14:paraId="32496F33" w14:textId="77777777" w:rsidR="00FD1994" w:rsidRPr="00D1443D" w:rsidRDefault="0022384A" w:rsidP="00F64F5A">
            <w:pPr>
              <w:pStyle w:val="NoSpacing"/>
              <w:tabs>
                <w:tab w:val="left" w:pos="227"/>
              </w:tabs>
              <w:jc w:val="both"/>
            </w:pPr>
            <w:r w:rsidRPr="00D1443D">
              <w:tab/>
            </w:r>
          </w:p>
          <w:p w14:paraId="6F1445AD" w14:textId="755EB4C9" w:rsidR="0022384A" w:rsidRPr="00D1443D" w:rsidRDefault="00B97361" w:rsidP="00F64F5A">
            <w:pPr>
              <w:pStyle w:val="NoSpacing"/>
              <w:tabs>
                <w:tab w:val="left" w:pos="227"/>
              </w:tabs>
              <w:jc w:val="both"/>
              <w:rPr>
                <w:b/>
              </w:rPr>
            </w:pPr>
            <w:r>
              <w:rPr>
                <w:b/>
              </w:rPr>
              <w:t>3</w:t>
            </w:r>
            <w:r w:rsidR="00295545" w:rsidRPr="00D1443D">
              <w:rPr>
                <w:b/>
              </w:rPr>
              <w:t xml:space="preserve">.1.4 </w:t>
            </w:r>
            <w:r w:rsidR="0022384A" w:rsidRPr="00D1443D">
              <w:rPr>
                <w:b/>
              </w:rPr>
              <w:t>Applicable local standards</w:t>
            </w:r>
            <w:r w:rsidR="00295545" w:rsidRPr="00D1443D">
              <w:rPr>
                <w:b/>
              </w:rPr>
              <w:t xml:space="preserve"> - </w:t>
            </w:r>
            <w:r w:rsidR="0022384A" w:rsidRPr="00D1443D">
              <w:rPr>
                <w:b/>
              </w:rPr>
              <w:t>including but not limited to the following</w:t>
            </w:r>
            <w:r w:rsidR="00295545" w:rsidRPr="00D1443D">
              <w:rPr>
                <w:b/>
              </w:rPr>
              <w:t>:</w:t>
            </w:r>
          </w:p>
          <w:p w14:paraId="64175A44" w14:textId="6B11A5D4" w:rsidR="0022384A" w:rsidRPr="00D1443D" w:rsidRDefault="0022384A" w:rsidP="00295545">
            <w:pPr>
              <w:pStyle w:val="NoSpacing"/>
              <w:tabs>
                <w:tab w:val="left" w:pos="227"/>
              </w:tabs>
              <w:ind w:left="227" w:hanging="227"/>
              <w:jc w:val="both"/>
            </w:pPr>
            <w:r w:rsidRPr="00D1443D">
              <w:t>•</w:t>
            </w:r>
            <w:r w:rsidRPr="00D1443D">
              <w:tab/>
              <w:t xml:space="preserve">All relevant local NHS policies and procedures. The </w:t>
            </w:r>
            <w:r w:rsidR="00C74FCC" w:rsidRPr="00D1443D">
              <w:t>P</w:t>
            </w:r>
            <w:r w:rsidRPr="00D1443D">
              <w:t xml:space="preserve">rovider must be CQC registered at the level and standards </w:t>
            </w:r>
            <w:r w:rsidR="00BF70D3" w:rsidRPr="00D1443D">
              <w:t xml:space="preserve">  </w:t>
            </w:r>
            <w:r w:rsidRPr="00D1443D">
              <w:t xml:space="preserve">required by the CQC. </w:t>
            </w:r>
          </w:p>
          <w:p w14:paraId="6EEEBC3D" w14:textId="77777777" w:rsidR="0022384A" w:rsidRPr="00D1443D" w:rsidRDefault="0022384A" w:rsidP="00F64F5A">
            <w:pPr>
              <w:pStyle w:val="NoSpacing"/>
              <w:tabs>
                <w:tab w:val="left" w:pos="227"/>
              </w:tabs>
              <w:jc w:val="both"/>
            </w:pPr>
            <w:r w:rsidRPr="00D1443D">
              <w:t>•</w:t>
            </w:r>
            <w:r w:rsidRPr="00D1443D">
              <w:tab/>
              <w:t>Any other as appropriate to the services/staffing</w:t>
            </w:r>
          </w:p>
          <w:p w14:paraId="57B872AF" w14:textId="77777777" w:rsidR="0022384A" w:rsidRPr="00D1443D" w:rsidRDefault="0022384A" w:rsidP="00F64F5A">
            <w:pPr>
              <w:pStyle w:val="NoSpacing"/>
              <w:tabs>
                <w:tab w:val="left" w:pos="227"/>
              </w:tabs>
              <w:jc w:val="both"/>
            </w:pPr>
            <w:r w:rsidRPr="00D1443D">
              <w:t>•</w:t>
            </w:r>
            <w:r w:rsidRPr="00D1443D">
              <w:tab/>
              <w:t>As set out in Contract and in relevant Contract schedules</w:t>
            </w:r>
          </w:p>
          <w:p w14:paraId="5A148D99" w14:textId="234DA696" w:rsidR="0022384A" w:rsidRPr="00D1443D" w:rsidRDefault="0022384A" w:rsidP="00F64F5A">
            <w:pPr>
              <w:pStyle w:val="NoSpacing"/>
              <w:tabs>
                <w:tab w:val="left" w:pos="227"/>
              </w:tabs>
              <w:jc w:val="both"/>
            </w:pPr>
            <w:r w:rsidRPr="00D1443D">
              <w:t>•</w:t>
            </w:r>
            <w:r w:rsidRPr="00D1443D">
              <w:tab/>
            </w:r>
            <w:r w:rsidR="00F362D0" w:rsidRPr="00D1443D">
              <w:t xml:space="preserve">Medway </w:t>
            </w:r>
            <w:r w:rsidRPr="00D1443D">
              <w:t>Safeguarding Adults and Children policies and procedures</w:t>
            </w:r>
          </w:p>
          <w:p w14:paraId="6189013E" w14:textId="77777777" w:rsidR="0022384A" w:rsidRPr="00D1443D" w:rsidRDefault="0022384A" w:rsidP="00F64F5A">
            <w:pPr>
              <w:pStyle w:val="NoSpacing"/>
              <w:tabs>
                <w:tab w:val="left" w:pos="227"/>
              </w:tabs>
              <w:jc w:val="both"/>
            </w:pPr>
            <w:r w:rsidRPr="00D1443D">
              <w:t>•</w:t>
            </w:r>
            <w:r w:rsidRPr="00D1443D">
              <w:tab/>
              <w:t xml:space="preserve">Local governance policies and procedures </w:t>
            </w:r>
          </w:p>
          <w:p w14:paraId="60019F7B" w14:textId="77777777" w:rsidR="0022384A" w:rsidRPr="00D1443D" w:rsidRDefault="0022384A" w:rsidP="00F64F5A">
            <w:pPr>
              <w:pStyle w:val="NoSpacing"/>
              <w:tabs>
                <w:tab w:val="left" w:pos="227"/>
              </w:tabs>
              <w:jc w:val="both"/>
            </w:pPr>
            <w:r w:rsidRPr="00D1443D">
              <w:t>•</w:t>
            </w:r>
            <w:r w:rsidRPr="00D1443D">
              <w:tab/>
              <w:t>Infection, prevention and control guidance and reporting</w:t>
            </w:r>
          </w:p>
          <w:p w14:paraId="39502A78" w14:textId="77777777" w:rsidR="0022384A" w:rsidRDefault="0022384A" w:rsidP="00F64F5A">
            <w:pPr>
              <w:pStyle w:val="NoSpacing"/>
              <w:tabs>
                <w:tab w:val="left" w:pos="227"/>
              </w:tabs>
              <w:jc w:val="both"/>
            </w:pPr>
            <w:r w:rsidRPr="00D1443D">
              <w:t>•</w:t>
            </w:r>
            <w:r w:rsidRPr="00D1443D">
              <w:tab/>
              <w:t>CCG prescribing guidelines, policies and commissioning statements</w:t>
            </w:r>
          </w:p>
          <w:p w14:paraId="36BC6B31" w14:textId="27E82587" w:rsidR="0029223D" w:rsidRDefault="0029223D" w:rsidP="00B066A2">
            <w:pPr>
              <w:pStyle w:val="NoSpacing"/>
              <w:jc w:val="both"/>
            </w:pPr>
          </w:p>
        </w:tc>
      </w:tr>
      <w:tr w:rsidR="008B6266" w:rsidRPr="00AA3128" w14:paraId="37EB341F" w14:textId="77777777" w:rsidTr="00301FB4">
        <w:trPr>
          <w:trHeight w:val="284"/>
        </w:trPr>
        <w:tc>
          <w:tcPr>
            <w:tcW w:w="2555" w:type="dxa"/>
            <w:gridSpan w:val="4"/>
            <w:tcBorders>
              <w:bottom w:val="single" w:sz="4" w:space="0" w:color="808080" w:themeColor="background1" w:themeShade="80"/>
            </w:tcBorders>
            <w:shd w:val="clear" w:color="auto" w:fill="BFBFBF" w:themeFill="background1" w:themeFillShade="BF"/>
          </w:tcPr>
          <w:p w14:paraId="0EE97B99" w14:textId="3E009A62" w:rsidR="00FC1229" w:rsidRPr="00873E42" w:rsidRDefault="00B97361" w:rsidP="000257BB">
            <w:pPr>
              <w:pStyle w:val="NoSpacing"/>
              <w:rPr>
                <w:highlight w:val="yellow"/>
              </w:rPr>
            </w:pPr>
            <w:r>
              <w:lastRenderedPageBreak/>
              <w:t>4</w:t>
            </w:r>
            <w:r w:rsidR="002A70C8" w:rsidRPr="002A70C8">
              <w:t>.0</w:t>
            </w:r>
          </w:p>
        </w:tc>
        <w:tc>
          <w:tcPr>
            <w:tcW w:w="7706" w:type="dxa"/>
            <w:gridSpan w:val="4"/>
            <w:tcBorders>
              <w:bottom w:val="single" w:sz="4" w:space="0" w:color="808080" w:themeColor="background1" w:themeShade="80"/>
            </w:tcBorders>
            <w:shd w:val="clear" w:color="auto" w:fill="BFBFBF" w:themeFill="background1" w:themeFillShade="BF"/>
          </w:tcPr>
          <w:p w14:paraId="24359D95" w14:textId="1297F12E" w:rsidR="003754BC" w:rsidRPr="00D1443D" w:rsidRDefault="003754BC" w:rsidP="003754BC">
            <w:pPr>
              <w:pStyle w:val="NoSpacing"/>
              <w:rPr>
                <w:b/>
              </w:rPr>
            </w:pPr>
            <w:r w:rsidRPr="00D1443D">
              <w:rPr>
                <w:b/>
              </w:rPr>
              <w:t>Applicable Quality  Requirements</w:t>
            </w:r>
          </w:p>
        </w:tc>
      </w:tr>
      <w:tr w:rsidR="008B6266" w:rsidRPr="00AA3128" w14:paraId="21CB26BE" w14:textId="77777777" w:rsidTr="00301FB4">
        <w:trPr>
          <w:trHeight w:val="284"/>
        </w:trPr>
        <w:tc>
          <w:tcPr>
            <w:tcW w:w="2555" w:type="dxa"/>
            <w:gridSpan w:val="4"/>
            <w:shd w:val="clear" w:color="auto" w:fill="D9D9D9" w:themeFill="background1" w:themeFillShade="D9"/>
          </w:tcPr>
          <w:p w14:paraId="1A227FF5" w14:textId="10E18CC0" w:rsidR="000F4142" w:rsidRPr="002A70C8" w:rsidRDefault="00B97361" w:rsidP="000257BB">
            <w:pPr>
              <w:pStyle w:val="NoSpacing"/>
            </w:pPr>
            <w:r>
              <w:t>4</w:t>
            </w:r>
            <w:r w:rsidR="002A70C8" w:rsidRPr="002A70C8">
              <w:t>.1</w:t>
            </w:r>
          </w:p>
        </w:tc>
        <w:tc>
          <w:tcPr>
            <w:tcW w:w="7706" w:type="dxa"/>
            <w:gridSpan w:val="4"/>
            <w:shd w:val="clear" w:color="auto" w:fill="D9D9D9" w:themeFill="background1" w:themeFillShade="D9"/>
          </w:tcPr>
          <w:p w14:paraId="61AC15BF" w14:textId="3C0303E4" w:rsidR="000F4142" w:rsidRPr="00D1443D" w:rsidRDefault="00E70BC0" w:rsidP="000257BB">
            <w:pPr>
              <w:pStyle w:val="NoSpacing"/>
            </w:pPr>
            <w:r w:rsidRPr="002A70C8">
              <w:t>Compliance with guidance and standards</w:t>
            </w:r>
          </w:p>
        </w:tc>
      </w:tr>
      <w:tr w:rsidR="00AD44BE" w:rsidRPr="00AA3128" w14:paraId="0D7D13A4" w14:textId="77777777" w:rsidTr="00072EFC">
        <w:trPr>
          <w:trHeight w:val="284"/>
        </w:trPr>
        <w:tc>
          <w:tcPr>
            <w:tcW w:w="10261" w:type="dxa"/>
            <w:gridSpan w:val="8"/>
            <w:tcBorders>
              <w:bottom w:val="single" w:sz="4" w:space="0" w:color="808080" w:themeColor="background1" w:themeShade="80"/>
            </w:tcBorders>
            <w:shd w:val="clear" w:color="auto" w:fill="FFFFFF" w:themeFill="background1"/>
          </w:tcPr>
          <w:p w14:paraId="366A599D" w14:textId="76F1682A" w:rsidR="00E32BE9" w:rsidRPr="00D1443D" w:rsidRDefault="00E32BE9" w:rsidP="00E32BE9">
            <w:pPr>
              <w:pStyle w:val="NoSpacing"/>
            </w:pPr>
            <w:r w:rsidRPr="00D1443D">
              <w:t xml:space="preserve">The contents of this </w:t>
            </w:r>
            <w:proofErr w:type="gramStart"/>
            <w:r w:rsidRPr="00D1443D">
              <w:t>section  are</w:t>
            </w:r>
            <w:proofErr w:type="gramEnd"/>
            <w:r w:rsidRPr="00D1443D">
              <w:t xml:space="preserve"> in addition to any requirements within the Contract, particularly in Schedule 5: Part A national operational standards, Part B national quality requirements and Part C Local Quality and outcome requirements (KPIs), and where there is any inconsistency the more onerous requirements will apply.</w:t>
            </w:r>
          </w:p>
          <w:p w14:paraId="28FC9D00" w14:textId="77777777" w:rsidR="00E32BE9" w:rsidRPr="00D1443D" w:rsidRDefault="00E32BE9" w:rsidP="00E32BE9">
            <w:pPr>
              <w:pStyle w:val="NoSpacing"/>
            </w:pPr>
          </w:p>
          <w:p w14:paraId="7E1FCEFB" w14:textId="5D892178" w:rsidR="00E32BE9" w:rsidRPr="00D1443D" w:rsidRDefault="00B97361" w:rsidP="00E32BE9">
            <w:pPr>
              <w:pStyle w:val="NoSpacing"/>
              <w:rPr>
                <w:b/>
              </w:rPr>
            </w:pPr>
            <w:r>
              <w:rPr>
                <w:b/>
              </w:rPr>
              <w:t>4</w:t>
            </w:r>
            <w:r w:rsidR="002A70C8">
              <w:rPr>
                <w:b/>
              </w:rPr>
              <w:t xml:space="preserve">.1.1 </w:t>
            </w:r>
            <w:r w:rsidR="00E32BE9" w:rsidRPr="00D1443D">
              <w:rPr>
                <w:b/>
              </w:rPr>
              <w:t xml:space="preserve">Applicable Quality and Safety Requirements </w:t>
            </w:r>
          </w:p>
          <w:p w14:paraId="31DBC5BC" w14:textId="6F2B91F4" w:rsidR="00E32BE9" w:rsidRPr="00D1443D" w:rsidRDefault="00E32BE9" w:rsidP="00E32BE9">
            <w:pPr>
              <w:pStyle w:val="NoSpacing"/>
            </w:pPr>
            <w:r w:rsidRPr="00D1443D">
              <w:t xml:space="preserve">The </w:t>
            </w:r>
            <w:r w:rsidR="00983B9A" w:rsidRPr="00D1443D">
              <w:t>P</w:t>
            </w:r>
            <w:r w:rsidRPr="00D1443D">
              <w:t xml:space="preserve">rovider will be CQC registered and meet all of the essential standards of quality and safety set out by the Care Quality Commission (or any successor organisation) at: </w:t>
            </w:r>
            <w:hyperlink r:id="rId18" w:history="1">
              <w:r w:rsidR="00E631B4" w:rsidRPr="00D1443D">
                <w:rPr>
                  <w:rStyle w:val="Hyperlink"/>
                </w:rPr>
                <w:t>www.cqc.org.uk/usingcareservices/essentialstandardsofqualityandsafety.cfm</w:t>
              </w:r>
            </w:hyperlink>
          </w:p>
          <w:p w14:paraId="573D7BF0" w14:textId="77777777" w:rsidR="00E32BE9" w:rsidRPr="00D1443D" w:rsidRDefault="00E32BE9" w:rsidP="00E32BE9">
            <w:pPr>
              <w:pStyle w:val="NoSpacing"/>
            </w:pPr>
          </w:p>
          <w:p w14:paraId="6CC87A54" w14:textId="20E95427" w:rsidR="00E32BE9" w:rsidRPr="00D1443D" w:rsidRDefault="00E32BE9" w:rsidP="00E32BE9">
            <w:pPr>
              <w:pStyle w:val="NoSpacing"/>
            </w:pPr>
            <w:r w:rsidRPr="00D1443D">
              <w:t xml:space="preserve">The </w:t>
            </w:r>
            <w:r w:rsidR="00E631B4" w:rsidRPr="00D1443D">
              <w:t>P</w:t>
            </w:r>
            <w:r w:rsidRPr="00D1443D">
              <w:t xml:space="preserve">rovider must work to prevent and or reduce the risk of avoidable harm, and </w:t>
            </w:r>
            <w:r w:rsidR="00D43284" w:rsidRPr="00D1443D">
              <w:t xml:space="preserve">must have in place </w:t>
            </w:r>
            <w:r w:rsidRPr="00D1443D">
              <w:t xml:space="preserve">governance systems and </w:t>
            </w:r>
            <w:r w:rsidR="009C2C42" w:rsidRPr="00D1443D">
              <w:t xml:space="preserve">processes within its </w:t>
            </w:r>
            <w:r w:rsidRPr="00D1443D">
              <w:t xml:space="preserve">infrastructure </w:t>
            </w:r>
            <w:r w:rsidR="00D43284" w:rsidRPr="00D1443D">
              <w:t xml:space="preserve">to </w:t>
            </w:r>
            <w:r w:rsidRPr="00D1443D">
              <w:t xml:space="preserve">support this. </w:t>
            </w:r>
            <w:r w:rsidR="00C00986" w:rsidRPr="00D1443D">
              <w:t xml:space="preserve">The Provider </w:t>
            </w:r>
            <w:r w:rsidRPr="00D1443D">
              <w:t xml:space="preserve">must ensure that the safety of </w:t>
            </w:r>
            <w:r w:rsidR="002317F3" w:rsidRPr="00D1443D">
              <w:t xml:space="preserve">patients accessing </w:t>
            </w:r>
            <w:r w:rsidRPr="00D1443D">
              <w:t xml:space="preserve">services is paramount.   All relevant </w:t>
            </w:r>
            <w:proofErr w:type="spellStart"/>
            <w:r w:rsidRPr="00D1443D">
              <w:t>DoH</w:t>
            </w:r>
            <w:proofErr w:type="spellEnd"/>
            <w:r w:rsidRPr="00D1443D">
              <w:t xml:space="preserve"> and NHSE guidance on preventing avoidable harm apply</w:t>
            </w:r>
            <w:r w:rsidR="002317F3" w:rsidRPr="00D1443D">
              <w:t xml:space="preserve"> to this service.</w:t>
            </w:r>
          </w:p>
          <w:p w14:paraId="6209E80B" w14:textId="77777777" w:rsidR="00E32BE9" w:rsidRPr="00D1443D" w:rsidRDefault="00E32BE9" w:rsidP="00E32BE9">
            <w:pPr>
              <w:pStyle w:val="NoSpacing"/>
            </w:pPr>
          </w:p>
          <w:p w14:paraId="3117CDD5" w14:textId="310F3298" w:rsidR="00E32BE9" w:rsidRPr="00D1443D" w:rsidRDefault="00AA510D" w:rsidP="00E32BE9">
            <w:pPr>
              <w:pStyle w:val="NoSpacing"/>
            </w:pPr>
            <w:r w:rsidRPr="00D1443D">
              <w:t>The P</w:t>
            </w:r>
            <w:r w:rsidR="00E32BE9" w:rsidRPr="00D1443D">
              <w:t xml:space="preserve">rovider will </w:t>
            </w:r>
            <w:r w:rsidR="00B53CA5" w:rsidRPr="00D1443D">
              <w:t xml:space="preserve">have in place </w:t>
            </w:r>
            <w:r w:rsidR="00E32BE9" w:rsidRPr="00D1443D">
              <w:t>a range of safety policies and procedures, which must comply wi</w:t>
            </w:r>
            <w:r w:rsidR="001B01B8" w:rsidRPr="00D1443D">
              <w:t>th current legislation. The P</w:t>
            </w:r>
            <w:r w:rsidR="00E32BE9" w:rsidRPr="00D1443D">
              <w:t xml:space="preserve">rovider will ensure that all staff receive </w:t>
            </w:r>
            <w:r w:rsidR="00B54BE6" w:rsidRPr="00D1443D">
              <w:t xml:space="preserve">the </w:t>
            </w:r>
            <w:proofErr w:type="gramStart"/>
            <w:r w:rsidR="00E32BE9" w:rsidRPr="00D1443D">
              <w:t>required  training</w:t>
            </w:r>
            <w:proofErr w:type="gramEnd"/>
            <w:r w:rsidR="00E32BE9" w:rsidRPr="00D1443D">
              <w:t xml:space="preserve"> and instruction in all such policies and procedures</w:t>
            </w:r>
            <w:r w:rsidR="00D91D26" w:rsidRPr="00D1443D">
              <w:t xml:space="preserve">, and evidence of this </w:t>
            </w:r>
            <w:r w:rsidR="00D27D89" w:rsidRPr="00D1443D">
              <w:t xml:space="preserve">compliance should be made available </w:t>
            </w:r>
            <w:r w:rsidR="00E32BE9" w:rsidRPr="00D1443D">
              <w:t>to the C</w:t>
            </w:r>
            <w:r w:rsidR="00EB5EFA" w:rsidRPr="00D1443D">
              <w:t xml:space="preserve">ommissioner </w:t>
            </w:r>
            <w:r w:rsidR="00D27D89" w:rsidRPr="00D1443D">
              <w:t>on request</w:t>
            </w:r>
            <w:r w:rsidR="00E32BE9" w:rsidRPr="00D1443D">
              <w:t xml:space="preserve">. </w:t>
            </w:r>
          </w:p>
          <w:p w14:paraId="79402411" w14:textId="77777777" w:rsidR="00E32BE9" w:rsidRPr="00D1443D" w:rsidRDefault="00E32BE9" w:rsidP="00E32BE9">
            <w:pPr>
              <w:pStyle w:val="NoSpacing"/>
            </w:pPr>
          </w:p>
          <w:p w14:paraId="2CB48927" w14:textId="454D6E1D" w:rsidR="00E32BE9" w:rsidRPr="00D1443D" w:rsidRDefault="00A610F5" w:rsidP="00E32BE9">
            <w:pPr>
              <w:pStyle w:val="NoSpacing"/>
            </w:pPr>
            <w:r w:rsidRPr="00D1443D">
              <w:t>The Provider will ensure a</w:t>
            </w:r>
            <w:r w:rsidR="00E32BE9" w:rsidRPr="00D1443D">
              <w:t xml:space="preserve">ll safety incidents </w:t>
            </w:r>
            <w:r w:rsidRPr="00D1443D">
              <w:t>are</w:t>
            </w:r>
            <w:r w:rsidR="00E32BE9" w:rsidRPr="00D1443D">
              <w:t xml:space="preserve"> reported to the C</w:t>
            </w:r>
            <w:r w:rsidR="00EB5EFA" w:rsidRPr="00D1443D">
              <w:t>ommissioner</w:t>
            </w:r>
            <w:r w:rsidR="00E32BE9" w:rsidRPr="00D1443D">
              <w:t xml:space="preserve"> using agreed processes. </w:t>
            </w:r>
          </w:p>
          <w:p w14:paraId="24FE6314" w14:textId="77777777" w:rsidR="00E32BE9" w:rsidRPr="00D1443D" w:rsidRDefault="00E32BE9" w:rsidP="00E32BE9">
            <w:pPr>
              <w:pStyle w:val="NoSpacing"/>
            </w:pPr>
          </w:p>
          <w:p w14:paraId="4E2BBBCC" w14:textId="738FFDC7" w:rsidR="00E32BE9" w:rsidRPr="00D1443D" w:rsidRDefault="00E32BE9" w:rsidP="00E32BE9">
            <w:pPr>
              <w:pStyle w:val="NoSpacing"/>
            </w:pPr>
            <w:r w:rsidRPr="00D1443D">
              <w:lastRenderedPageBreak/>
              <w:t xml:space="preserve">The </w:t>
            </w:r>
            <w:r w:rsidR="00A610F5" w:rsidRPr="00D1443D">
              <w:t>P</w:t>
            </w:r>
            <w:r w:rsidRPr="00D1443D">
              <w:t xml:space="preserve">rovider will be expected to report all Serious Incidents in line with the NHS Serious Incident Framework 2015 and to manage or co-operate as appropriate in all investigations undertaken. The </w:t>
            </w:r>
            <w:r w:rsidR="00A610F5" w:rsidRPr="00D1443D">
              <w:t>P</w:t>
            </w:r>
            <w:r w:rsidRPr="00D1443D">
              <w:t xml:space="preserve">rovider will be expected to comply with all infection, prevention and control guidelines including the appropriate reporting and investigation of Healthcare Associated Infections (HCAI) in line with NHS England and Public Health England Guidance.  The </w:t>
            </w:r>
            <w:r w:rsidR="004C494E" w:rsidRPr="00D1443D">
              <w:t>P</w:t>
            </w:r>
            <w:r w:rsidRPr="00D1443D">
              <w:t>rovider should ensure it has access to specialist infection prevention and control advice as deemed appropriate to fulfil its obligations.</w:t>
            </w:r>
          </w:p>
          <w:p w14:paraId="7ED07086" w14:textId="77777777" w:rsidR="00E32BE9" w:rsidRPr="00D1443D" w:rsidRDefault="00E32BE9" w:rsidP="00E32BE9">
            <w:pPr>
              <w:pStyle w:val="NoSpacing"/>
            </w:pPr>
          </w:p>
          <w:p w14:paraId="1D79C8B5" w14:textId="729C0DB5" w:rsidR="00E32BE9" w:rsidRDefault="00E32BE9" w:rsidP="00E32BE9">
            <w:pPr>
              <w:pStyle w:val="NoSpacing"/>
            </w:pPr>
            <w:r w:rsidRPr="00D1443D">
              <w:t xml:space="preserve">The </w:t>
            </w:r>
            <w:r w:rsidR="004C494E" w:rsidRPr="00D1443D">
              <w:t>P</w:t>
            </w:r>
            <w:r w:rsidRPr="00D1443D">
              <w:t xml:space="preserve">rovider will demonstrate systems, policies and procedures for risk assessment, risk management, investigation and learning lessons from incidents. The </w:t>
            </w:r>
            <w:r w:rsidR="004C494E" w:rsidRPr="00D1443D">
              <w:t>P</w:t>
            </w:r>
            <w:r w:rsidRPr="00D1443D">
              <w:t>rovider will have in place Business Continuity plans, emergency response and complaints policies.</w:t>
            </w:r>
          </w:p>
          <w:p w14:paraId="4429ED0F" w14:textId="77777777" w:rsidR="00AE5453" w:rsidRPr="00D1443D" w:rsidRDefault="00AE5453" w:rsidP="00E32BE9">
            <w:pPr>
              <w:pStyle w:val="NoSpacing"/>
            </w:pPr>
          </w:p>
          <w:p w14:paraId="1828DA65" w14:textId="58F63B77" w:rsidR="00BC1A1C" w:rsidRPr="00D1443D" w:rsidRDefault="00B97361" w:rsidP="00BC1A1C">
            <w:pPr>
              <w:pStyle w:val="NoSpacing"/>
              <w:rPr>
                <w:b/>
              </w:rPr>
            </w:pPr>
            <w:r>
              <w:rPr>
                <w:b/>
              </w:rPr>
              <w:t>4</w:t>
            </w:r>
            <w:r w:rsidR="002A70C8">
              <w:rPr>
                <w:b/>
              </w:rPr>
              <w:t xml:space="preserve">.1.2 </w:t>
            </w:r>
            <w:r w:rsidR="00BC1A1C" w:rsidRPr="00D1443D">
              <w:rPr>
                <w:b/>
              </w:rPr>
              <w:t>Service User Safety</w:t>
            </w:r>
          </w:p>
          <w:p w14:paraId="5BE257D6" w14:textId="10E7C978" w:rsidR="00BC1A1C" w:rsidRDefault="00BC1A1C" w:rsidP="00BC1A1C">
            <w:pPr>
              <w:pStyle w:val="NoSpacing"/>
            </w:pPr>
            <w:r w:rsidRPr="00D1443D">
              <w:t xml:space="preserve">The Provider must have effective and robust risk management systems in place for reporting, investigating and learning from patient safety incidents.  All patient safety incidents will be reported to the National Patient Safety Agency (NPSA) (now part of NHSI) electronically via the National Reporting and </w:t>
            </w:r>
            <w:r w:rsidR="00C32554" w:rsidRPr="00D1443D">
              <w:t>L</w:t>
            </w:r>
            <w:r w:rsidRPr="00D1443D">
              <w:t>earning System (or any successor organ</w:t>
            </w:r>
            <w:r w:rsidR="00C80424" w:rsidRPr="00D1443D">
              <w:t xml:space="preserve">isation or system). All </w:t>
            </w:r>
            <w:r w:rsidRPr="00D1443D">
              <w:t xml:space="preserve">documentation </w:t>
            </w:r>
            <w:r w:rsidR="00C80424" w:rsidRPr="00D1443D">
              <w:t xml:space="preserve">relating to incidents </w:t>
            </w:r>
            <w:r w:rsidR="00B632ED" w:rsidRPr="00D1443D">
              <w:t xml:space="preserve">must be made </w:t>
            </w:r>
            <w:r w:rsidRPr="00D1443D">
              <w:t xml:space="preserve">available </w:t>
            </w:r>
            <w:r w:rsidR="00B632ED" w:rsidRPr="00D1443D">
              <w:t xml:space="preserve">on request </w:t>
            </w:r>
            <w:r w:rsidRPr="00D1443D">
              <w:t>for scrutiny by the C</w:t>
            </w:r>
            <w:r w:rsidR="00CF1B51" w:rsidRPr="00D1443D">
              <w:t>ommissioner.</w:t>
            </w:r>
          </w:p>
          <w:p w14:paraId="0A77C2E4" w14:textId="77777777" w:rsidR="002A70C8" w:rsidRPr="00D1443D" w:rsidRDefault="002A70C8" w:rsidP="00BC1A1C">
            <w:pPr>
              <w:pStyle w:val="NoSpacing"/>
            </w:pPr>
          </w:p>
          <w:p w14:paraId="4FA378A4" w14:textId="56BC583F" w:rsidR="00BC1A1C" w:rsidRPr="00D1443D" w:rsidRDefault="00607575" w:rsidP="00BC1A1C">
            <w:pPr>
              <w:pStyle w:val="NoSpacing"/>
            </w:pPr>
            <w:r w:rsidRPr="00D1443D">
              <w:t xml:space="preserve">The Provider will disseminate, implement and evaluate all </w:t>
            </w:r>
            <w:r w:rsidR="00BC1A1C" w:rsidRPr="00D1443D">
              <w:t xml:space="preserve">NPSA and Medicine and Healthcare Products Regulatory Agency (MHRA) guidance disseminated via the Central Alert System (CAS) including service user safety alerts and other safety solutions and products developed for the NHS in a timely </w:t>
            </w:r>
            <w:proofErr w:type="gramStart"/>
            <w:r w:rsidR="00BC1A1C" w:rsidRPr="00D1443D">
              <w:t xml:space="preserve">manner </w:t>
            </w:r>
            <w:r w:rsidR="00C32554" w:rsidRPr="00D1443D">
              <w:t>.</w:t>
            </w:r>
            <w:proofErr w:type="gramEnd"/>
            <w:r w:rsidR="00BC1A1C" w:rsidRPr="00D1443D">
              <w:t xml:space="preserve"> Where the guidance and/or alert have specified timeframes, the </w:t>
            </w:r>
            <w:r w:rsidR="00C32554" w:rsidRPr="00D1443D">
              <w:t>P</w:t>
            </w:r>
            <w:r w:rsidR="00BC1A1C" w:rsidRPr="00D1443D">
              <w:t xml:space="preserve">rovider </w:t>
            </w:r>
            <w:proofErr w:type="gramStart"/>
            <w:r w:rsidR="00C32554" w:rsidRPr="00D1443D">
              <w:t xml:space="preserve">must </w:t>
            </w:r>
            <w:r w:rsidR="00BC1A1C" w:rsidRPr="00D1443D">
              <w:t xml:space="preserve"> work</w:t>
            </w:r>
            <w:proofErr w:type="gramEnd"/>
            <w:r w:rsidR="00BC1A1C" w:rsidRPr="00D1443D">
              <w:t xml:space="preserve"> within these.</w:t>
            </w:r>
          </w:p>
          <w:p w14:paraId="4D5815E7" w14:textId="77777777" w:rsidR="00BC1A1C" w:rsidRPr="00D1443D" w:rsidRDefault="00BC1A1C" w:rsidP="00BC1A1C">
            <w:pPr>
              <w:pStyle w:val="NoSpacing"/>
            </w:pPr>
          </w:p>
          <w:p w14:paraId="474D0F17" w14:textId="45D1C089" w:rsidR="00BC1A1C" w:rsidRPr="00D1443D" w:rsidRDefault="00BC1A1C" w:rsidP="00BC1A1C">
            <w:pPr>
              <w:pStyle w:val="NoSpacing"/>
            </w:pPr>
            <w:r w:rsidRPr="00D1443D">
              <w:t xml:space="preserve">The </w:t>
            </w:r>
            <w:r w:rsidR="009D3CA0" w:rsidRPr="00D1443D">
              <w:t>P</w:t>
            </w:r>
            <w:r w:rsidRPr="00D1443D">
              <w:t xml:space="preserve">rovider will be expected to comply with the requirements of the Safety Thermometer as a contractual requirement. </w:t>
            </w:r>
          </w:p>
          <w:p w14:paraId="7248CCD4" w14:textId="77777777" w:rsidR="00BC1A1C" w:rsidRPr="00D1443D" w:rsidRDefault="00BC1A1C" w:rsidP="00BC1A1C">
            <w:pPr>
              <w:pStyle w:val="NoSpacing"/>
            </w:pPr>
          </w:p>
          <w:p w14:paraId="6DE6DB4C" w14:textId="3D9BF0BA" w:rsidR="00BC1A1C" w:rsidRPr="00D1443D" w:rsidRDefault="00BC1A1C" w:rsidP="00BC1A1C">
            <w:pPr>
              <w:pStyle w:val="NoSpacing"/>
            </w:pPr>
            <w:r w:rsidRPr="00D1443D">
              <w:t xml:space="preserve">The </w:t>
            </w:r>
            <w:r w:rsidR="009D3CA0" w:rsidRPr="00D1443D">
              <w:t>P</w:t>
            </w:r>
            <w:r w:rsidRPr="00D1443D">
              <w:t>rovider will be expected to have a clear policy and plan for regular clinical audit and a process for embedding learning as a result.</w:t>
            </w:r>
          </w:p>
          <w:p w14:paraId="4C77DD3B" w14:textId="77777777" w:rsidR="00BC1A1C" w:rsidRPr="00D1443D" w:rsidRDefault="00BC1A1C" w:rsidP="00BC1A1C">
            <w:pPr>
              <w:pStyle w:val="NoSpacing"/>
            </w:pPr>
          </w:p>
          <w:p w14:paraId="2D6F0C8E" w14:textId="2CD895C7" w:rsidR="00BC1A1C" w:rsidRPr="00D1443D" w:rsidRDefault="00B97361" w:rsidP="00BC1A1C">
            <w:pPr>
              <w:pStyle w:val="NoSpacing"/>
              <w:rPr>
                <w:b/>
              </w:rPr>
            </w:pPr>
            <w:r>
              <w:rPr>
                <w:b/>
              </w:rPr>
              <w:t>4</w:t>
            </w:r>
            <w:r w:rsidR="002A70C8">
              <w:rPr>
                <w:b/>
              </w:rPr>
              <w:t xml:space="preserve">.1.3  </w:t>
            </w:r>
            <w:r w:rsidR="00BC1A1C" w:rsidRPr="00D1443D">
              <w:rPr>
                <w:b/>
              </w:rPr>
              <w:t>Incidents and Serious Incidents</w:t>
            </w:r>
          </w:p>
          <w:p w14:paraId="2413A929" w14:textId="15295ECC" w:rsidR="00BC1A1C" w:rsidRPr="00D1443D" w:rsidRDefault="00BC1A1C" w:rsidP="00BC1A1C">
            <w:pPr>
              <w:pStyle w:val="NoSpacing"/>
            </w:pPr>
            <w:r w:rsidRPr="00D1443D">
              <w:t xml:space="preserve">The </w:t>
            </w:r>
            <w:r w:rsidR="00EB1167" w:rsidRPr="00D1443D">
              <w:t>P</w:t>
            </w:r>
            <w:r w:rsidRPr="00D1443D">
              <w:t>rovider is expected to work with the C</w:t>
            </w:r>
            <w:r w:rsidR="009E0867">
              <w:t xml:space="preserve">ommissioner </w:t>
            </w:r>
            <w:r w:rsidRPr="00D1443D">
              <w:t xml:space="preserve">to ensure implementation of all standards that are included within the latest relevant National Framework including reporting via the Strategic Executive Information System (STEIS). The </w:t>
            </w:r>
            <w:r w:rsidR="00EB1167" w:rsidRPr="00D1443D">
              <w:t>P</w:t>
            </w:r>
            <w:r w:rsidRPr="00D1443D">
              <w:t>rovider is required to share with the C</w:t>
            </w:r>
            <w:r w:rsidR="009E0867">
              <w:t>ommissioner</w:t>
            </w:r>
            <w:r w:rsidRPr="00D1443D">
              <w:t xml:space="preserve"> any report relating to a serious incident that may be required by external bodies.</w:t>
            </w:r>
          </w:p>
          <w:p w14:paraId="214D4072" w14:textId="77777777" w:rsidR="00BC1A1C" w:rsidRPr="00D1443D" w:rsidRDefault="00BC1A1C" w:rsidP="00BC1A1C">
            <w:pPr>
              <w:pStyle w:val="NoSpacing"/>
            </w:pPr>
          </w:p>
          <w:p w14:paraId="2BAE11E2" w14:textId="43FFCA79" w:rsidR="00BC1A1C" w:rsidRPr="00D1443D" w:rsidRDefault="00BC1A1C" w:rsidP="00BC1A1C">
            <w:pPr>
              <w:pStyle w:val="NoSpacing"/>
            </w:pPr>
            <w:r w:rsidRPr="00D1443D">
              <w:t xml:space="preserve">The </w:t>
            </w:r>
            <w:r w:rsidR="00EB1167" w:rsidRPr="00D1443D">
              <w:t>P</w:t>
            </w:r>
            <w:r w:rsidRPr="00D1443D">
              <w:t>rovider shall discharge the duty of candour in line with the regulation contained within the Health and Social Care Act (2008), (Regulated Activities) Regulations 2014.</w:t>
            </w:r>
          </w:p>
          <w:p w14:paraId="4FF0D4FB" w14:textId="77777777" w:rsidR="00BC1A1C" w:rsidRPr="00D1443D" w:rsidRDefault="00BC1A1C" w:rsidP="00BC1A1C">
            <w:pPr>
              <w:pStyle w:val="NoSpacing"/>
            </w:pPr>
          </w:p>
          <w:p w14:paraId="65277EC4" w14:textId="40D66C4A" w:rsidR="00BC1A1C" w:rsidRPr="00D1443D" w:rsidRDefault="00BC1A1C" w:rsidP="00BC1A1C">
            <w:pPr>
              <w:pStyle w:val="NoSpacing"/>
            </w:pPr>
            <w:r w:rsidRPr="00D1443D">
              <w:t xml:space="preserve">The </w:t>
            </w:r>
            <w:r w:rsidR="00B4032F" w:rsidRPr="00D1443D">
              <w:t>P</w:t>
            </w:r>
            <w:r w:rsidRPr="00D1443D">
              <w:t>rovider shall attend the local serious incident review panel and engage in any relevant local and regional events.</w:t>
            </w:r>
          </w:p>
          <w:p w14:paraId="37372063" w14:textId="77777777" w:rsidR="00BC1A1C" w:rsidRPr="00D1443D" w:rsidRDefault="00BC1A1C" w:rsidP="00BC1A1C">
            <w:pPr>
              <w:pStyle w:val="NoSpacing"/>
            </w:pPr>
          </w:p>
          <w:p w14:paraId="58E2411E" w14:textId="163F61FE" w:rsidR="00BC1A1C" w:rsidRPr="00D1443D" w:rsidRDefault="00B97361" w:rsidP="00BC1A1C">
            <w:pPr>
              <w:pStyle w:val="NoSpacing"/>
              <w:rPr>
                <w:b/>
              </w:rPr>
            </w:pPr>
            <w:r>
              <w:rPr>
                <w:b/>
              </w:rPr>
              <w:t>4</w:t>
            </w:r>
            <w:r w:rsidR="002A70C8">
              <w:rPr>
                <w:b/>
              </w:rPr>
              <w:t xml:space="preserve">.1.4 </w:t>
            </w:r>
            <w:r w:rsidR="00BC1A1C" w:rsidRPr="00D1443D">
              <w:rPr>
                <w:b/>
              </w:rPr>
              <w:t xml:space="preserve">Never Events </w:t>
            </w:r>
          </w:p>
          <w:p w14:paraId="5739390C" w14:textId="52EBC879" w:rsidR="00BC1A1C" w:rsidRPr="00D1443D" w:rsidRDefault="00BC1A1C" w:rsidP="00BC1A1C">
            <w:pPr>
              <w:pStyle w:val="NoSpacing"/>
            </w:pPr>
            <w:r w:rsidRPr="00D1443D">
              <w:t>If, and each time a Never Event occurs, the C</w:t>
            </w:r>
            <w:r w:rsidR="00145DB8" w:rsidRPr="00D1443D">
              <w:t xml:space="preserve">ommissioner will </w:t>
            </w:r>
            <w:r w:rsidRPr="00D1443D">
              <w:t>(without prejudice to any other rights or remedies) apply the Never Event Consequences set out in the Contract applicable to the Never Event in accordance with relevant Guidance.</w:t>
            </w:r>
          </w:p>
          <w:p w14:paraId="494E52F5" w14:textId="77777777" w:rsidR="00BC1A1C" w:rsidRPr="00D1443D" w:rsidRDefault="00BC1A1C" w:rsidP="00BC1A1C">
            <w:pPr>
              <w:pStyle w:val="NoSpacing"/>
            </w:pPr>
          </w:p>
          <w:p w14:paraId="2CAA3BC7" w14:textId="4FAE4FF6" w:rsidR="00271188" w:rsidRPr="00D1443D" w:rsidRDefault="00BC1A1C" w:rsidP="00BC1A1C">
            <w:pPr>
              <w:pStyle w:val="NoSpacing"/>
            </w:pPr>
            <w:r w:rsidRPr="00D1443D">
              <w:t xml:space="preserve">The </w:t>
            </w:r>
            <w:r w:rsidR="00B4032F" w:rsidRPr="00D1443D">
              <w:t>P</w:t>
            </w:r>
            <w:r w:rsidRPr="00D1443D">
              <w:t>rovider will report all Never Events as Serious Incidents to the C</w:t>
            </w:r>
            <w:r w:rsidR="00145DB8" w:rsidRPr="00D1443D">
              <w:t xml:space="preserve">ommissioner </w:t>
            </w:r>
            <w:r w:rsidRPr="00D1443D">
              <w:t xml:space="preserve">as outlined in the up to date NHS policy framework.  </w:t>
            </w:r>
          </w:p>
          <w:p w14:paraId="5CD1536C" w14:textId="19C3FC6A" w:rsidR="00BC1A1C" w:rsidRPr="00D1443D" w:rsidRDefault="00BC1A1C" w:rsidP="00BC1A1C">
            <w:pPr>
              <w:pStyle w:val="NoSpacing"/>
            </w:pPr>
            <w:r w:rsidRPr="00D1443D">
              <w:t xml:space="preserve"> </w:t>
            </w:r>
          </w:p>
          <w:p w14:paraId="0F46180D" w14:textId="27AA4EE3" w:rsidR="00BC1A1C" w:rsidRPr="00D1443D" w:rsidRDefault="00B97361" w:rsidP="00BC1A1C">
            <w:pPr>
              <w:pStyle w:val="NoSpacing"/>
              <w:rPr>
                <w:b/>
              </w:rPr>
            </w:pPr>
            <w:r>
              <w:rPr>
                <w:b/>
              </w:rPr>
              <w:t>4</w:t>
            </w:r>
            <w:r w:rsidR="002A70C8">
              <w:rPr>
                <w:b/>
              </w:rPr>
              <w:t xml:space="preserve">.1.5 </w:t>
            </w:r>
            <w:r w:rsidR="00BC1A1C" w:rsidRPr="00D1443D">
              <w:rPr>
                <w:b/>
              </w:rPr>
              <w:t xml:space="preserve">Safeguarding of Children and Adults </w:t>
            </w:r>
          </w:p>
          <w:p w14:paraId="0CCEBD05" w14:textId="1D792CD3" w:rsidR="00F4478C" w:rsidRPr="00D1443D" w:rsidRDefault="00BC1A1C" w:rsidP="00BC1A1C">
            <w:pPr>
              <w:pStyle w:val="NoSpacing"/>
            </w:pPr>
            <w:r w:rsidRPr="00D1443D">
              <w:t xml:space="preserve">Although the </w:t>
            </w:r>
            <w:r w:rsidR="008F76CB">
              <w:t>s</w:t>
            </w:r>
            <w:r w:rsidRPr="00D1443D">
              <w:t>ervice</w:t>
            </w:r>
            <w:r w:rsidR="008F76CB">
              <w:t xml:space="preserve"> is</w:t>
            </w:r>
            <w:r w:rsidRPr="00D1443D">
              <w:t xml:space="preserve"> focused on adults, as a provider of community services and one who will see and care for children in some aspects of the service, staff will come into contact with children including family members and those who are transitioning to adult services.  The </w:t>
            </w:r>
            <w:r w:rsidR="00AA4CF5" w:rsidRPr="00D1443D">
              <w:t>P</w:t>
            </w:r>
            <w:r w:rsidRPr="00D1443D">
              <w:t xml:space="preserve">rovider </w:t>
            </w:r>
            <w:r w:rsidR="00626619">
              <w:t xml:space="preserve">must </w:t>
            </w:r>
            <w:r w:rsidRPr="00D1443D">
              <w:t xml:space="preserve">have in place systems and processes </w:t>
            </w:r>
            <w:r w:rsidR="00DD139B" w:rsidRPr="00D1443D">
              <w:t xml:space="preserve">that </w:t>
            </w:r>
            <w:r w:rsidRPr="00D1443D">
              <w:lastRenderedPageBreak/>
              <w:t xml:space="preserve">comply with </w:t>
            </w:r>
            <w:r w:rsidR="00DD139B" w:rsidRPr="00D1443D">
              <w:t xml:space="preserve">multiagency policies and procedures as part of the </w:t>
            </w:r>
            <w:r w:rsidR="00F4478C" w:rsidRPr="00D1443D">
              <w:t>l</w:t>
            </w:r>
            <w:r w:rsidRPr="00D1443D">
              <w:t xml:space="preserve">ocal </w:t>
            </w:r>
            <w:r w:rsidR="00C9781C" w:rsidRPr="00D1443D">
              <w:t>A</w:t>
            </w:r>
            <w:r w:rsidRPr="00D1443D">
              <w:t>dult</w:t>
            </w:r>
            <w:r w:rsidR="00C9781C" w:rsidRPr="00D1443D">
              <w:t xml:space="preserve"> and C</w:t>
            </w:r>
            <w:r w:rsidRPr="00D1443D">
              <w:t xml:space="preserve">hildren’s </w:t>
            </w:r>
            <w:r w:rsidR="00C9781C" w:rsidRPr="00D1443D">
              <w:t>Safeguarding B</w:t>
            </w:r>
            <w:r w:rsidRPr="00D1443D">
              <w:t>oard</w:t>
            </w:r>
            <w:r w:rsidR="00C9781C" w:rsidRPr="00D1443D">
              <w:t>s</w:t>
            </w:r>
            <w:r w:rsidR="00DD139B" w:rsidRPr="00D1443D">
              <w:t>.</w:t>
            </w:r>
            <w:r w:rsidRPr="00D1443D">
              <w:t xml:space="preserve"> </w:t>
            </w:r>
          </w:p>
          <w:p w14:paraId="1FB4A8C2" w14:textId="77777777" w:rsidR="00F4478C" w:rsidRPr="00D1443D" w:rsidRDefault="00F4478C" w:rsidP="00BC1A1C">
            <w:pPr>
              <w:pStyle w:val="NoSpacing"/>
            </w:pPr>
          </w:p>
          <w:p w14:paraId="53ECA61C" w14:textId="64DC39CD" w:rsidR="000F4142" w:rsidRPr="00D1443D" w:rsidRDefault="00BC1A1C" w:rsidP="000257BB">
            <w:pPr>
              <w:pStyle w:val="NoSpacing"/>
            </w:pPr>
            <w:r w:rsidRPr="00D1443D">
              <w:t xml:space="preserve">The </w:t>
            </w:r>
            <w:r w:rsidR="00AA4CF5" w:rsidRPr="00D1443D">
              <w:t>P</w:t>
            </w:r>
            <w:r w:rsidRPr="00D1443D">
              <w:t xml:space="preserve">rovider will comply with the </w:t>
            </w:r>
            <w:r w:rsidR="00F4478C" w:rsidRPr="00D1443D">
              <w:t>q</w:t>
            </w:r>
            <w:r w:rsidRPr="00D1443D">
              <w:t xml:space="preserve">uality </w:t>
            </w:r>
            <w:r w:rsidR="00F4478C" w:rsidRPr="00D1443D">
              <w:t>r</w:t>
            </w:r>
            <w:r w:rsidRPr="00D1443D">
              <w:t xml:space="preserve">equirements and key performance indicators (specified within the contract) for </w:t>
            </w:r>
            <w:r w:rsidR="00F4478C" w:rsidRPr="00D1443D">
              <w:t>s</w:t>
            </w:r>
            <w:r w:rsidRPr="00D1443D">
              <w:t xml:space="preserve">afeguarding. </w:t>
            </w:r>
          </w:p>
          <w:p w14:paraId="16C7E3DB" w14:textId="77777777" w:rsidR="000F4142" w:rsidRPr="00D1443D" w:rsidRDefault="000F4142" w:rsidP="000257BB">
            <w:pPr>
              <w:pStyle w:val="NoSpacing"/>
            </w:pPr>
          </w:p>
        </w:tc>
      </w:tr>
      <w:tr w:rsidR="008B6266" w:rsidRPr="00072EFC" w14:paraId="55AADD8A" w14:textId="77777777" w:rsidTr="00301FB4">
        <w:trPr>
          <w:trHeight w:val="284"/>
        </w:trPr>
        <w:tc>
          <w:tcPr>
            <w:tcW w:w="2555" w:type="dxa"/>
            <w:gridSpan w:val="4"/>
            <w:tcBorders>
              <w:bottom w:val="single" w:sz="4" w:space="0" w:color="808080" w:themeColor="background1" w:themeShade="80"/>
            </w:tcBorders>
            <w:shd w:val="clear" w:color="auto" w:fill="BFBFBF" w:themeFill="background1" w:themeFillShade="BF"/>
          </w:tcPr>
          <w:p w14:paraId="7535262A" w14:textId="01CAECBD" w:rsidR="00C94331" w:rsidRPr="00072EFC" w:rsidRDefault="00B97361" w:rsidP="00E32BE9">
            <w:pPr>
              <w:pStyle w:val="NoSpacing"/>
              <w:rPr>
                <w:b/>
              </w:rPr>
            </w:pPr>
            <w:r>
              <w:rPr>
                <w:b/>
              </w:rPr>
              <w:lastRenderedPageBreak/>
              <w:t>5</w:t>
            </w:r>
            <w:r w:rsidR="00072EFC" w:rsidRPr="00072EFC">
              <w:rPr>
                <w:b/>
              </w:rPr>
              <w:t>.0</w:t>
            </w:r>
          </w:p>
        </w:tc>
        <w:tc>
          <w:tcPr>
            <w:tcW w:w="7706" w:type="dxa"/>
            <w:gridSpan w:val="4"/>
            <w:tcBorders>
              <w:bottom w:val="single" w:sz="4" w:space="0" w:color="808080" w:themeColor="background1" w:themeShade="80"/>
            </w:tcBorders>
            <w:shd w:val="clear" w:color="auto" w:fill="BFBFBF" w:themeFill="background1" w:themeFillShade="BF"/>
          </w:tcPr>
          <w:p w14:paraId="72F90111" w14:textId="6FA25E89" w:rsidR="00C94331" w:rsidRPr="00072EFC" w:rsidRDefault="003B3F27" w:rsidP="00E32BE9">
            <w:pPr>
              <w:pStyle w:val="NoSpacing"/>
              <w:rPr>
                <w:b/>
              </w:rPr>
            </w:pPr>
            <w:r w:rsidRPr="00072EFC">
              <w:rPr>
                <w:b/>
              </w:rPr>
              <w:t>Prescribing and Medicines Management</w:t>
            </w:r>
          </w:p>
        </w:tc>
      </w:tr>
      <w:tr w:rsidR="008B6266" w:rsidRPr="00206A8E" w14:paraId="441F4D38" w14:textId="77777777" w:rsidTr="00301FB4">
        <w:trPr>
          <w:trHeight w:val="284"/>
        </w:trPr>
        <w:tc>
          <w:tcPr>
            <w:tcW w:w="2555" w:type="dxa"/>
            <w:gridSpan w:val="4"/>
            <w:shd w:val="clear" w:color="auto" w:fill="D9D9D9" w:themeFill="background1" w:themeFillShade="D9"/>
          </w:tcPr>
          <w:p w14:paraId="2DF584C3" w14:textId="59F9E695" w:rsidR="00C94331" w:rsidRPr="00206A8E" w:rsidRDefault="00B97361" w:rsidP="00E32BE9">
            <w:pPr>
              <w:pStyle w:val="NoSpacing"/>
            </w:pPr>
            <w:r>
              <w:t>5</w:t>
            </w:r>
            <w:r w:rsidR="00072EFC" w:rsidRPr="00206A8E">
              <w:t>.1</w:t>
            </w:r>
          </w:p>
        </w:tc>
        <w:tc>
          <w:tcPr>
            <w:tcW w:w="7706" w:type="dxa"/>
            <w:gridSpan w:val="4"/>
            <w:shd w:val="clear" w:color="auto" w:fill="D9D9D9" w:themeFill="background1" w:themeFillShade="D9"/>
          </w:tcPr>
          <w:p w14:paraId="486ACBF5" w14:textId="0847495E" w:rsidR="00C94331" w:rsidRPr="00206A8E" w:rsidRDefault="00206A8E" w:rsidP="0010518B">
            <w:pPr>
              <w:pStyle w:val="NoSpacing"/>
            </w:pPr>
            <w:r>
              <w:t>Medicines Management</w:t>
            </w:r>
          </w:p>
        </w:tc>
      </w:tr>
      <w:tr w:rsidR="00F752FE" w:rsidRPr="00AA3128" w14:paraId="54F77C59" w14:textId="77777777" w:rsidTr="00931F94">
        <w:trPr>
          <w:trHeight w:val="284"/>
        </w:trPr>
        <w:tc>
          <w:tcPr>
            <w:tcW w:w="10261" w:type="dxa"/>
            <w:gridSpan w:val="8"/>
            <w:shd w:val="clear" w:color="auto" w:fill="FFFFFF" w:themeFill="background1"/>
          </w:tcPr>
          <w:p w14:paraId="026D1409" w14:textId="49D284F5" w:rsidR="00B25837" w:rsidRPr="00072EFC" w:rsidRDefault="00B25837" w:rsidP="00450E35">
            <w:pPr>
              <w:pStyle w:val="NoSpacing"/>
            </w:pPr>
            <w:r w:rsidRPr="00072EFC">
              <w:t xml:space="preserve">The Provider will have appropriate monitoring systems in place to assure the Commissioner that </w:t>
            </w:r>
            <w:r w:rsidR="00D16D38" w:rsidRPr="00072EFC">
              <w:t xml:space="preserve">all relevant legislation, </w:t>
            </w:r>
            <w:r w:rsidRPr="00072EFC">
              <w:t>regul</w:t>
            </w:r>
            <w:r w:rsidR="00D16D38" w:rsidRPr="00072EFC">
              <w:t>a</w:t>
            </w:r>
            <w:r w:rsidRPr="00072EFC">
              <w:t>tions and good practice guidance pertaining to the storing, prescribing</w:t>
            </w:r>
            <w:r w:rsidR="00ED2BA5" w:rsidRPr="00072EFC">
              <w:t>, administering and supplying of medicines are adhered to for all commissioned services.</w:t>
            </w:r>
          </w:p>
          <w:p w14:paraId="44EAD729" w14:textId="77777777" w:rsidR="00D16D38" w:rsidRPr="00072EFC" w:rsidRDefault="00D16D38" w:rsidP="00450E35">
            <w:pPr>
              <w:pStyle w:val="NoSpacing"/>
            </w:pPr>
          </w:p>
          <w:p w14:paraId="65D0B1AA" w14:textId="0C7C33DE" w:rsidR="00450E35" w:rsidRPr="00072EFC" w:rsidRDefault="00450E35" w:rsidP="00450E35">
            <w:pPr>
              <w:pStyle w:val="NoSpacing"/>
            </w:pPr>
            <w:r w:rsidRPr="00072EFC">
              <w:t>The Provider will participate in the local Drug and Therapeutics Committee (or equivalent) in place to co-ordinate Medicines Optimisation.</w:t>
            </w:r>
          </w:p>
          <w:p w14:paraId="57E196C3" w14:textId="77777777" w:rsidR="001F33DA" w:rsidRPr="00072EFC" w:rsidRDefault="001F33DA" w:rsidP="00450E35">
            <w:pPr>
              <w:pStyle w:val="NoSpacing"/>
            </w:pPr>
          </w:p>
          <w:p w14:paraId="722331E6" w14:textId="77777777" w:rsidR="007E219D" w:rsidRPr="00072EFC" w:rsidRDefault="00450E35" w:rsidP="00450E35">
            <w:pPr>
              <w:pStyle w:val="NoSpacing"/>
            </w:pPr>
            <w:r w:rsidRPr="00072EFC">
              <w:t xml:space="preserve">The Provider will work within the boundaries of the Local Formulary </w:t>
            </w:r>
            <w:hyperlink r:id="rId19" w:history="1">
              <w:r w:rsidR="001B1242" w:rsidRPr="00072EFC">
                <w:rPr>
                  <w:rStyle w:val="Hyperlink"/>
                </w:rPr>
                <w:t>http://www.medwayswaleformulary.co.uk/</w:t>
              </w:r>
            </w:hyperlink>
            <w:r w:rsidR="001F33DA" w:rsidRPr="00072EFC">
              <w:t xml:space="preserve">  </w:t>
            </w:r>
            <w:r w:rsidR="00974545" w:rsidRPr="00072EFC">
              <w:t xml:space="preserve">and </w:t>
            </w:r>
            <w:r w:rsidR="007E219D" w:rsidRPr="00072EFC">
              <w:t xml:space="preserve">will </w:t>
            </w:r>
            <w:r w:rsidR="00974545" w:rsidRPr="00072EFC">
              <w:t xml:space="preserve">adhere to and practice within the remit of the Medicines Optimisation Interface agreement. </w:t>
            </w:r>
            <w:r w:rsidRPr="00072EFC">
              <w:t>The</w:t>
            </w:r>
            <w:r w:rsidR="00F0579F" w:rsidRPr="00072EFC">
              <w:t xml:space="preserve"> Provider </w:t>
            </w:r>
            <w:r w:rsidRPr="00072EFC">
              <w:t xml:space="preserve">will be </w:t>
            </w:r>
            <w:r w:rsidR="00F0579F" w:rsidRPr="00072EFC">
              <w:t xml:space="preserve">expected </w:t>
            </w:r>
            <w:r w:rsidRPr="00072EFC">
              <w:t xml:space="preserve">to evidence adherence to formulary.  </w:t>
            </w:r>
          </w:p>
          <w:p w14:paraId="2AAD8898" w14:textId="77777777" w:rsidR="007E219D" w:rsidRPr="00072EFC" w:rsidRDefault="007E219D" w:rsidP="00450E35">
            <w:pPr>
              <w:pStyle w:val="NoSpacing"/>
            </w:pPr>
          </w:p>
          <w:p w14:paraId="1B175DD8" w14:textId="77777777" w:rsidR="00DE7105" w:rsidRPr="00072EFC" w:rsidRDefault="00250444" w:rsidP="00450E35">
            <w:pPr>
              <w:pStyle w:val="NoSpacing"/>
            </w:pPr>
            <w:r w:rsidRPr="00072EFC">
              <w:t>The Provider must ensure that g</w:t>
            </w:r>
            <w:r w:rsidR="00450E35" w:rsidRPr="00072EFC">
              <w:t xml:space="preserve">eneric prescribing </w:t>
            </w:r>
            <w:r w:rsidRPr="00072EFC">
              <w:t>is u</w:t>
            </w:r>
            <w:r w:rsidR="00450E35" w:rsidRPr="00072EFC">
              <w:t>sed unless it is clinically inappropriate.</w:t>
            </w:r>
            <w:r w:rsidR="001B1242" w:rsidRPr="00072EFC">
              <w:t xml:space="preserve"> </w:t>
            </w:r>
          </w:p>
          <w:p w14:paraId="17E5903D" w14:textId="77777777" w:rsidR="00DE7105" w:rsidRPr="00072EFC" w:rsidRDefault="00DE7105" w:rsidP="00450E35">
            <w:pPr>
              <w:pStyle w:val="NoSpacing"/>
            </w:pPr>
          </w:p>
          <w:p w14:paraId="123CAA7E" w14:textId="4EA96A7B" w:rsidR="00450E35" w:rsidRPr="00072EFC" w:rsidRDefault="00DE7105" w:rsidP="00450E35">
            <w:pPr>
              <w:pStyle w:val="NoSpacing"/>
            </w:pPr>
            <w:r w:rsidRPr="00072EFC">
              <w:t xml:space="preserve">Prescribing by medical and non-medical staff will be monitored by the Provider through </w:t>
            </w:r>
            <w:proofErr w:type="spellStart"/>
            <w:r w:rsidRPr="00072EFC">
              <w:t>ePACT</w:t>
            </w:r>
            <w:proofErr w:type="spellEnd"/>
            <w:r w:rsidRPr="00072EFC">
              <w:t xml:space="preserve"> data analysis and clinical audit; the Provider will be responsible for ensuring that staff</w:t>
            </w:r>
            <w:proofErr w:type="gramStart"/>
            <w:r w:rsidRPr="00072EFC">
              <w:t xml:space="preserve">, </w:t>
            </w:r>
            <w:r w:rsidR="00347856">
              <w:t xml:space="preserve"> </w:t>
            </w:r>
            <w:proofErr w:type="spellStart"/>
            <w:r w:rsidR="00347856">
              <w:t>sub</w:t>
            </w:r>
            <w:proofErr w:type="gramEnd"/>
            <w:r w:rsidR="00347856">
              <w:t xml:space="preserve"> contractors</w:t>
            </w:r>
            <w:proofErr w:type="spellEnd"/>
            <w:r w:rsidRPr="00072EFC">
              <w:t xml:space="preserve"> and delivery partners adhere to all applicable local and national prescribing guidelines, policies and commissioning statements.  Prescribing data will be available for scrutiny and assurance by the Commissioner.</w:t>
            </w:r>
          </w:p>
          <w:p w14:paraId="4ED85316" w14:textId="77777777" w:rsidR="00250444" w:rsidRPr="00072EFC" w:rsidRDefault="00250444" w:rsidP="00450E35">
            <w:pPr>
              <w:pStyle w:val="NoSpacing"/>
            </w:pPr>
          </w:p>
          <w:p w14:paraId="3C654E2F" w14:textId="7B5BEDC6" w:rsidR="00450E35" w:rsidRPr="00072EFC" w:rsidRDefault="00450E35" w:rsidP="00450E35">
            <w:pPr>
              <w:pStyle w:val="NoSpacing"/>
            </w:pPr>
            <w:r w:rsidRPr="00072EFC">
              <w:t xml:space="preserve">Providers will have a robust procurement process which ensures best value for money. </w:t>
            </w:r>
          </w:p>
          <w:p w14:paraId="291F3656" w14:textId="77777777" w:rsidR="008A3016" w:rsidRPr="00072EFC" w:rsidRDefault="008A3016" w:rsidP="008A3016">
            <w:pPr>
              <w:pStyle w:val="NoSpacing"/>
            </w:pPr>
          </w:p>
          <w:p w14:paraId="051CD355" w14:textId="77777777" w:rsidR="00595D43" w:rsidRPr="00072EFC" w:rsidRDefault="00595D43" w:rsidP="00595D43">
            <w:pPr>
              <w:pStyle w:val="NoSpacing"/>
            </w:pPr>
            <w:r w:rsidRPr="00072EFC">
              <w:t>The prescribing costs of medicines which the Provider is responsible for supplying will be fully attributable to the service provider. The service will not include a separate prescribing tariff.</w:t>
            </w:r>
          </w:p>
          <w:p w14:paraId="730FB857" w14:textId="77777777" w:rsidR="00595D43" w:rsidRPr="00072EFC" w:rsidRDefault="00595D43" w:rsidP="008A3016">
            <w:pPr>
              <w:pStyle w:val="NoSpacing"/>
            </w:pPr>
          </w:p>
          <w:p w14:paraId="0980B151" w14:textId="3D1FC69C" w:rsidR="008A3016" w:rsidRPr="00072EFC" w:rsidRDefault="008A3016" w:rsidP="008A3016">
            <w:pPr>
              <w:pStyle w:val="NoSpacing"/>
            </w:pPr>
            <w:r w:rsidRPr="00072EFC">
              <w:t>All prescribers will make sound prescribing decisions based on the individual patient circumstances, including and not limited to allergies, drug interactions, renal function and hepatic function.</w:t>
            </w:r>
          </w:p>
          <w:p w14:paraId="05E0A648" w14:textId="77777777" w:rsidR="008A3016" w:rsidRPr="00072EFC" w:rsidRDefault="008A3016" w:rsidP="00450E35">
            <w:pPr>
              <w:pStyle w:val="NoSpacing"/>
            </w:pPr>
          </w:p>
          <w:p w14:paraId="15753393" w14:textId="60CC0959" w:rsidR="00450E35" w:rsidRPr="00072EFC" w:rsidRDefault="00450E35" w:rsidP="00450E35">
            <w:pPr>
              <w:pStyle w:val="NoSpacing"/>
            </w:pPr>
            <w:r w:rsidRPr="00072EFC">
              <w:t xml:space="preserve">Where there is a requirement for the </w:t>
            </w:r>
            <w:r w:rsidR="008A3016" w:rsidRPr="00072EFC">
              <w:t>P</w:t>
            </w:r>
            <w:r w:rsidRPr="00072EFC">
              <w:t>rovider to levy a prescription charge this will be undertaken.</w:t>
            </w:r>
          </w:p>
          <w:p w14:paraId="588451FF" w14:textId="77777777" w:rsidR="00376E01" w:rsidRPr="00072EFC" w:rsidRDefault="00376E01" w:rsidP="00450E35">
            <w:pPr>
              <w:pStyle w:val="NoSpacing"/>
            </w:pPr>
          </w:p>
          <w:p w14:paraId="0B000752" w14:textId="3400D1D9" w:rsidR="00450E35" w:rsidRPr="00072EFC" w:rsidRDefault="00450E35" w:rsidP="00450E35">
            <w:pPr>
              <w:pStyle w:val="NoSpacing"/>
            </w:pPr>
            <w:r w:rsidRPr="00072EFC">
              <w:t>All patients or their carers will be involved in decisions about their ongoing pharmaceutical service e.g. patients will be able to use their community pharmacy of choice for ongoing supplies; patients will be involved in decisions about Dispensing Appliance Contractors</w:t>
            </w:r>
            <w:r w:rsidR="008A3016" w:rsidRPr="00072EFC">
              <w:t>.</w:t>
            </w:r>
            <w:r w:rsidR="00376E01" w:rsidRPr="00072EFC">
              <w:t xml:space="preserve"> </w:t>
            </w:r>
            <w:r w:rsidRPr="00072EFC">
              <w:t>Patients attending clinics should receive a prescription or supply from the provider for a minimum of 28 days for any new medication that is requested.</w:t>
            </w:r>
          </w:p>
          <w:p w14:paraId="1E7F521E" w14:textId="77777777" w:rsidR="00376E01" w:rsidRPr="00072EFC" w:rsidRDefault="00376E01" w:rsidP="00450E35">
            <w:pPr>
              <w:pStyle w:val="NoSpacing"/>
            </w:pPr>
          </w:p>
          <w:p w14:paraId="086B1B94" w14:textId="76889163" w:rsidR="00450E35" w:rsidRPr="00072EFC" w:rsidRDefault="00450E35" w:rsidP="00450E35">
            <w:pPr>
              <w:pStyle w:val="NoSpacing"/>
            </w:pPr>
            <w:r w:rsidRPr="00072EFC">
              <w:t>Information should reach the GP at least 10 working days before the treatment runs out and should include the minimum data set of core content of records for medicines when patients transfer care providers.</w:t>
            </w:r>
          </w:p>
          <w:p w14:paraId="3C3EEC2E" w14:textId="56C812EA" w:rsidR="00924547" w:rsidRPr="00072EFC" w:rsidRDefault="00924547" w:rsidP="00595D43">
            <w:pPr>
              <w:pStyle w:val="NoSpacing"/>
            </w:pPr>
          </w:p>
        </w:tc>
      </w:tr>
      <w:tr w:rsidR="00C23CF3" w:rsidRPr="00AA3128" w14:paraId="44C38915" w14:textId="77777777" w:rsidTr="003C75A4">
        <w:trPr>
          <w:trHeight w:val="284"/>
        </w:trPr>
        <w:tc>
          <w:tcPr>
            <w:tcW w:w="10261" w:type="dxa"/>
            <w:gridSpan w:val="8"/>
            <w:shd w:val="clear" w:color="auto" w:fill="B6BFC8"/>
            <w:vAlign w:val="center"/>
          </w:tcPr>
          <w:p w14:paraId="48ECF017" w14:textId="6DB38A60" w:rsidR="00C23CF3" w:rsidRPr="00A01F28" w:rsidRDefault="00B97361" w:rsidP="00415010">
            <w:pPr>
              <w:pStyle w:val="NoSpacing"/>
              <w:rPr>
                <w:b/>
              </w:rPr>
            </w:pPr>
            <w:r>
              <w:rPr>
                <w:b/>
              </w:rPr>
              <w:t>6</w:t>
            </w:r>
            <w:r w:rsidR="00C23CF3">
              <w:rPr>
                <w:b/>
              </w:rPr>
              <w:t xml:space="preserve">.0 </w:t>
            </w:r>
            <w:r w:rsidR="00C23CF3" w:rsidRPr="00A01F28">
              <w:rPr>
                <w:b/>
              </w:rPr>
              <w:t>Interdependencies</w:t>
            </w:r>
          </w:p>
        </w:tc>
      </w:tr>
      <w:tr w:rsidR="008B6266" w:rsidRPr="00AA3128" w14:paraId="53819B74" w14:textId="77777777" w:rsidTr="00301FB4">
        <w:trPr>
          <w:trHeight w:val="284"/>
        </w:trPr>
        <w:tc>
          <w:tcPr>
            <w:tcW w:w="2321" w:type="dxa"/>
            <w:gridSpan w:val="2"/>
            <w:shd w:val="clear" w:color="auto" w:fill="F2F2F2" w:themeFill="background1" w:themeFillShade="F2"/>
            <w:vAlign w:val="center"/>
          </w:tcPr>
          <w:p w14:paraId="1C6EC598" w14:textId="27A2980E" w:rsidR="00483491" w:rsidRPr="00A01F28" w:rsidRDefault="00B97361" w:rsidP="00A01F28">
            <w:pPr>
              <w:pStyle w:val="NoSpacing"/>
              <w:rPr>
                <w:sz w:val="20"/>
                <w:szCs w:val="20"/>
              </w:rPr>
            </w:pPr>
            <w:r>
              <w:rPr>
                <w:sz w:val="20"/>
                <w:szCs w:val="20"/>
              </w:rPr>
              <w:t>6</w:t>
            </w:r>
            <w:r w:rsidR="004C5C59">
              <w:rPr>
                <w:sz w:val="20"/>
                <w:szCs w:val="20"/>
              </w:rPr>
              <w:t>.1</w:t>
            </w:r>
          </w:p>
        </w:tc>
        <w:tc>
          <w:tcPr>
            <w:tcW w:w="7940" w:type="dxa"/>
            <w:gridSpan w:val="6"/>
            <w:shd w:val="clear" w:color="auto" w:fill="F2F2F2" w:themeFill="background1" w:themeFillShade="F2"/>
          </w:tcPr>
          <w:p w14:paraId="609F1F53" w14:textId="77777777" w:rsidR="00483491" w:rsidRPr="00AA3128" w:rsidRDefault="00AA3128" w:rsidP="00A01F28">
            <w:pPr>
              <w:pStyle w:val="NoSpacing"/>
            </w:pPr>
            <w:r w:rsidRPr="00AA3128">
              <w:t>Links to other teams in same organisation</w:t>
            </w:r>
            <w:r w:rsidR="00373923">
              <w:t>/</w:t>
            </w:r>
            <w:r w:rsidR="00A01F28">
              <w:t xml:space="preserve"> </w:t>
            </w:r>
            <w:r w:rsidRPr="00AA3128">
              <w:t>secondary care</w:t>
            </w:r>
            <w:r w:rsidR="00373923">
              <w:t>/</w:t>
            </w:r>
            <w:r w:rsidR="00A01F28">
              <w:t xml:space="preserve"> </w:t>
            </w:r>
            <w:r w:rsidRPr="00AA3128">
              <w:t>primary care</w:t>
            </w:r>
          </w:p>
        </w:tc>
      </w:tr>
      <w:tr w:rsidR="00A01F28" w:rsidRPr="000624F6" w14:paraId="7AD249DF" w14:textId="77777777" w:rsidTr="00931F94">
        <w:trPr>
          <w:trHeight w:val="284"/>
        </w:trPr>
        <w:tc>
          <w:tcPr>
            <w:tcW w:w="10261" w:type="dxa"/>
            <w:gridSpan w:val="8"/>
            <w:shd w:val="clear" w:color="auto" w:fill="auto"/>
            <w:vAlign w:val="center"/>
          </w:tcPr>
          <w:p w14:paraId="3E03E6C9" w14:textId="77897BBD" w:rsidR="00B244F3" w:rsidRPr="004C5C59" w:rsidRDefault="00B244F3" w:rsidP="00B244F3">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There are clear interdependencies between the </w:t>
            </w:r>
            <w:r w:rsidR="00466778" w:rsidRPr="004C5C59">
              <w:rPr>
                <w:rFonts w:asciiTheme="minorHAnsi" w:hAnsiTheme="minorHAnsi" w:cstheme="minorHAnsi"/>
                <w:sz w:val="22"/>
                <w:szCs w:val="22"/>
              </w:rPr>
              <w:t xml:space="preserve">adult community services model </w:t>
            </w:r>
            <w:r w:rsidRPr="004C5C59">
              <w:rPr>
                <w:rFonts w:asciiTheme="minorHAnsi" w:hAnsiTheme="minorHAnsi" w:cstheme="minorHAnsi"/>
                <w:sz w:val="22"/>
                <w:szCs w:val="22"/>
              </w:rPr>
              <w:t xml:space="preserve">being procured, and a range of providers and services that the </w:t>
            </w:r>
            <w:r w:rsidR="00466778" w:rsidRPr="004C5C59">
              <w:rPr>
                <w:rFonts w:asciiTheme="minorHAnsi" w:hAnsiTheme="minorHAnsi" w:cstheme="minorHAnsi"/>
                <w:sz w:val="22"/>
                <w:szCs w:val="22"/>
              </w:rPr>
              <w:t>P</w:t>
            </w:r>
            <w:r w:rsidRPr="004C5C59">
              <w:rPr>
                <w:rFonts w:asciiTheme="minorHAnsi" w:hAnsiTheme="minorHAnsi" w:cstheme="minorHAnsi"/>
                <w:sz w:val="22"/>
                <w:szCs w:val="22"/>
              </w:rPr>
              <w:t xml:space="preserve">rovider will </w:t>
            </w:r>
            <w:r w:rsidR="00466778" w:rsidRPr="004C5C59">
              <w:rPr>
                <w:rFonts w:asciiTheme="minorHAnsi" w:hAnsiTheme="minorHAnsi" w:cstheme="minorHAnsi"/>
                <w:sz w:val="22"/>
                <w:szCs w:val="22"/>
              </w:rPr>
              <w:t xml:space="preserve">need to </w:t>
            </w:r>
            <w:r w:rsidRPr="004C5C59">
              <w:rPr>
                <w:rFonts w:asciiTheme="minorHAnsi" w:hAnsiTheme="minorHAnsi" w:cstheme="minorHAnsi"/>
                <w:sz w:val="22"/>
                <w:szCs w:val="22"/>
              </w:rPr>
              <w:t xml:space="preserve">work with in order to develop its approach to delivering the service requirements. </w:t>
            </w:r>
          </w:p>
          <w:p w14:paraId="36B9769A" w14:textId="77777777" w:rsidR="00B244F3" w:rsidRPr="004C5C59" w:rsidRDefault="00B244F3" w:rsidP="00B244F3">
            <w:pPr>
              <w:ind w:right="120"/>
              <w:jc w:val="both"/>
              <w:rPr>
                <w:rFonts w:asciiTheme="minorHAnsi" w:hAnsiTheme="minorHAnsi" w:cstheme="minorHAnsi"/>
                <w:sz w:val="22"/>
                <w:szCs w:val="22"/>
              </w:rPr>
            </w:pPr>
          </w:p>
          <w:p w14:paraId="10AB2CF8" w14:textId="77777777" w:rsidR="00E75E77" w:rsidRPr="004C5C59" w:rsidRDefault="00B244F3" w:rsidP="007F6EB6">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The </w:t>
            </w:r>
            <w:r w:rsidR="00466778" w:rsidRPr="004C5C59">
              <w:rPr>
                <w:rFonts w:asciiTheme="minorHAnsi" w:hAnsiTheme="minorHAnsi" w:cstheme="minorHAnsi"/>
                <w:sz w:val="22"/>
                <w:szCs w:val="22"/>
              </w:rPr>
              <w:t>P</w:t>
            </w:r>
            <w:r w:rsidRPr="004C5C59">
              <w:rPr>
                <w:rFonts w:asciiTheme="minorHAnsi" w:hAnsiTheme="minorHAnsi" w:cstheme="minorHAnsi"/>
                <w:sz w:val="22"/>
                <w:szCs w:val="22"/>
              </w:rPr>
              <w:t>rovider will support effective flow across the health and social care system and reduce the number of non-</w:t>
            </w:r>
            <w:r w:rsidRPr="004C5C59">
              <w:rPr>
                <w:rFonts w:asciiTheme="minorHAnsi" w:hAnsiTheme="minorHAnsi" w:cstheme="minorHAnsi"/>
                <w:sz w:val="22"/>
                <w:szCs w:val="22"/>
              </w:rPr>
              <w:lastRenderedPageBreak/>
              <w:t>elective admissions into an acute hospital which could be more appropriately managed within a community setting.</w:t>
            </w:r>
            <w:r w:rsidR="00E75E77" w:rsidRPr="004C5C59">
              <w:rPr>
                <w:rFonts w:asciiTheme="minorHAnsi" w:hAnsiTheme="minorHAnsi" w:cstheme="minorHAnsi"/>
                <w:sz w:val="22"/>
                <w:szCs w:val="22"/>
              </w:rPr>
              <w:t xml:space="preserve"> </w:t>
            </w:r>
          </w:p>
          <w:p w14:paraId="2F4E0C6D" w14:textId="77777777" w:rsidR="00E75E77" w:rsidRPr="004C5C59" w:rsidRDefault="00E75E77" w:rsidP="007F6EB6">
            <w:pPr>
              <w:ind w:right="120"/>
              <w:jc w:val="both"/>
              <w:rPr>
                <w:rFonts w:asciiTheme="minorHAnsi" w:hAnsiTheme="minorHAnsi" w:cstheme="minorHAnsi"/>
                <w:sz w:val="22"/>
                <w:szCs w:val="22"/>
              </w:rPr>
            </w:pPr>
          </w:p>
          <w:p w14:paraId="2E3584FD" w14:textId="02D186FE" w:rsidR="00C67008" w:rsidRPr="004C5C59" w:rsidRDefault="00C67008" w:rsidP="007F6EB6">
            <w:pPr>
              <w:ind w:right="120"/>
              <w:jc w:val="both"/>
              <w:rPr>
                <w:rFonts w:asciiTheme="minorHAnsi" w:hAnsiTheme="minorHAnsi" w:cstheme="minorHAnsi"/>
                <w:sz w:val="22"/>
                <w:szCs w:val="22"/>
              </w:rPr>
            </w:pPr>
            <w:r w:rsidRPr="004C5C59">
              <w:rPr>
                <w:rFonts w:asciiTheme="minorHAnsi" w:hAnsiTheme="minorHAnsi" w:cstheme="minorHAnsi"/>
                <w:sz w:val="22"/>
                <w:szCs w:val="22"/>
              </w:rPr>
              <w:t>The Provider will be required to work c</w:t>
            </w:r>
            <w:r w:rsidR="00A7639E" w:rsidRPr="004C5C59">
              <w:rPr>
                <w:rFonts w:asciiTheme="minorHAnsi" w:hAnsiTheme="minorHAnsi" w:cstheme="minorHAnsi"/>
                <w:sz w:val="22"/>
                <w:szCs w:val="22"/>
              </w:rPr>
              <w:t xml:space="preserve">ollaboratively with a </w:t>
            </w:r>
            <w:r w:rsidRPr="004C5C59">
              <w:rPr>
                <w:rFonts w:asciiTheme="minorHAnsi" w:hAnsiTheme="minorHAnsi" w:cstheme="minorHAnsi"/>
                <w:sz w:val="22"/>
                <w:szCs w:val="22"/>
              </w:rPr>
              <w:t xml:space="preserve">wide range of stakeholders, </w:t>
            </w:r>
            <w:r w:rsidR="002425B6" w:rsidRPr="004C5C59">
              <w:rPr>
                <w:rFonts w:asciiTheme="minorHAnsi" w:hAnsiTheme="minorHAnsi" w:cstheme="minorHAnsi"/>
                <w:sz w:val="22"/>
                <w:szCs w:val="22"/>
              </w:rPr>
              <w:t xml:space="preserve">including secondary care, NHS 111, ambulance service, </w:t>
            </w:r>
            <w:r w:rsidR="00441A81">
              <w:rPr>
                <w:rFonts w:asciiTheme="minorHAnsi" w:hAnsiTheme="minorHAnsi" w:cstheme="minorHAnsi"/>
                <w:sz w:val="22"/>
                <w:szCs w:val="22"/>
              </w:rPr>
              <w:t>patient transport service</w:t>
            </w:r>
            <w:r w:rsidR="00242CE5">
              <w:rPr>
                <w:rFonts w:asciiTheme="minorHAnsi" w:hAnsiTheme="minorHAnsi" w:cstheme="minorHAnsi"/>
                <w:sz w:val="22"/>
                <w:szCs w:val="22"/>
              </w:rPr>
              <w:t>,</w:t>
            </w:r>
            <w:r w:rsidR="00441A81">
              <w:rPr>
                <w:rFonts w:asciiTheme="minorHAnsi" w:hAnsiTheme="minorHAnsi" w:cstheme="minorHAnsi"/>
                <w:sz w:val="22"/>
                <w:szCs w:val="22"/>
              </w:rPr>
              <w:t xml:space="preserve"> </w:t>
            </w:r>
            <w:r w:rsidR="00E75E77" w:rsidRPr="004C5C59">
              <w:rPr>
                <w:rFonts w:asciiTheme="minorHAnsi" w:hAnsiTheme="minorHAnsi" w:cstheme="minorHAnsi"/>
                <w:sz w:val="22"/>
                <w:szCs w:val="22"/>
              </w:rPr>
              <w:t xml:space="preserve">local urgent care services and other </w:t>
            </w:r>
            <w:r w:rsidRPr="004C5C59">
              <w:rPr>
                <w:rFonts w:asciiTheme="minorHAnsi" w:hAnsiTheme="minorHAnsi" w:cstheme="minorHAnsi"/>
                <w:sz w:val="22"/>
                <w:szCs w:val="22"/>
              </w:rPr>
              <w:t>professionals and health care agencies</w:t>
            </w:r>
            <w:r w:rsidR="00A123BE" w:rsidRPr="004C5C59">
              <w:rPr>
                <w:rFonts w:asciiTheme="minorHAnsi" w:hAnsiTheme="minorHAnsi" w:cstheme="minorHAnsi"/>
                <w:sz w:val="22"/>
                <w:szCs w:val="22"/>
              </w:rPr>
              <w:t xml:space="preserve">.  They will have to </w:t>
            </w:r>
            <w:r w:rsidR="00C51D2C" w:rsidRPr="004C5C59">
              <w:rPr>
                <w:rFonts w:asciiTheme="minorHAnsi" w:hAnsiTheme="minorHAnsi" w:cstheme="minorHAnsi"/>
                <w:sz w:val="22"/>
                <w:szCs w:val="22"/>
              </w:rPr>
              <w:t xml:space="preserve">demonstrate effective pathways and </w:t>
            </w:r>
            <w:r w:rsidR="00A7639E" w:rsidRPr="004C5C59">
              <w:rPr>
                <w:rFonts w:asciiTheme="minorHAnsi" w:hAnsiTheme="minorHAnsi" w:cstheme="minorHAnsi"/>
                <w:sz w:val="22"/>
                <w:szCs w:val="22"/>
              </w:rPr>
              <w:t>optimise positive outcomes for patients</w:t>
            </w:r>
            <w:r w:rsidR="00586FE0" w:rsidRPr="004C5C59">
              <w:rPr>
                <w:rFonts w:asciiTheme="minorHAnsi" w:hAnsiTheme="minorHAnsi" w:cstheme="minorHAnsi"/>
                <w:sz w:val="22"/>
                <w:szCs w:val="22"/>
              </w:rPr>
              <w:t xml:space="preserve">, working across the following </w:t>
            </w:r>
            <w:r w:rsidR="00C528AD" w:rsidRPr="004C5C59">
              <w:rPr>
                <w:rFonts w:asciiTheme="minorHAnsi" w:hAnsiTheme="minorHAnsi" w:cstheme="minorHAnsi"/>
                <w:sz w:val="22"/>
                <w:szCs w:val="22"/>
              </w:rPr>
              <w:t>service providers</w:t>
            </w:r>
            <w:r w:rsidR="00586FE0" w:rsidRPr="004C5C59">
              <w:rPr>
                <w:rFonts w:asciiTheme="minorHAnsi" w:hAnsiTheme="minorHAnsi" w:cstheme="minorHAnsi"/>
                <w:sz w:val="22"/>
                <w:szCs w:val="22"/>
              </w:rPr>
              <w:t xml:space="preserve">, </w:t>
            </w:r>
            <w:r w:rsidRPr="004C5C59">
              <w:rPr>
                <w:rFonts w:asciiTheme="minorHAnsi" w:hAnsiTheme="minorHAnsi" w:cstheme="minorHAnsi"/>
                <w:sz w:val="22"/>
                <w:szCs w:val="22"/>
              </w:rPr>
              <w:t>including but not limited to:</w:t>
            </w:r>
          </w:p>
          <w:p w14:paraId="4CB95073" w14:textId="77777777" w:rsidR="00626619" w:rsidRPr="004C5C59" w:rsidRDefault="00626619" w:rsidP="007F6EB6">
            <w:pPr>
              <w:ind w:right="120"/>
              <w:jc w:val="both"/>
              <w:rPr>
                <w:rFonts w:asciiTheme="minorHAnsi" w:hAnsiTheme="minorHAnsi" w:cstheme="minorHAnsi"/>
                <w:sz w:val="22"/>
                <w:szCs w:val="22"/>
              </w:rPr>
            </w:pPr>
          </w:p>
          <w:p w14:paraId="5AD4FA48" w14:textId="34B9E252" w:rsidR="009D5973"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t>6</w:t>
            </w:r>
            <w:r w:rsidR="009D5973" w:rsidRPr="004C5C59">
              <w:rPr>
                <w:rFonts w:asciiTheme="minorHAnsi" w:hAnsiTheme="minorHAnsi" w:cstheme="minorHAnsi"/>
                <w:b/>
                <w:sz w:val="22"/>
                <w:szCs w:val="22"/>
              </w:rPr>
              <w:t xml:space="preserve">.1.1 </w:t>
            </w:r>
            <w:r w:rsidR="00FA2E2D" w:rsidRPr="004C5C59">
              <w:rPr>
                <w:rFonts w:asciiTheme="minorHAnsi" w:hAnsiTheme="minorHAnsi" w:cstheme="minorHAnsi"/>
                <w:b/>
                <w:sz w:val="22"/>
                <w:szCs w:val="22"/>
              </w:rPr>
              <w:t xml:space="preserve">Secondary Care </w:t>
            </w:r>
            <w:r w:rsidR="00254F86" w:rsidRPr="004C5C59">
              <w:rPr>
                <w:rFonts w:asciiTheme="minorHAnsi" w:hAnsiTheme="minorHAnsi" w:cstheme="minorHAnsi"/>
                <w:b/>
                <w:sz w:val="22"/>
                <w:szCs w:val="22"/>
              </w:rPr>
              <w:t xml:space="preserve">Services </w:t>
            </w:r>
          </w:p>
          <w:p w14:paraId="78239AD7" w14:textId="6179B17D" w:rsidR="0032376C" w:rsidRPr="008F23CE" w:rsidRDefault="003914B3">
            <w:pPr>
              <w:ind w:right="120"/>
              <w:jc w:val="both"/>
              <w:rPr>
                <w:rFonts w:asciiTheme="minorHAnsi" w:hAnsiTheme="minorHAnsi" w:cstheme="minorHAnsi"/>
                <w:sz w:val="22"/>
                <w:szCs w:val="22"/>
              </w:rPr>
            </w:pPr>
            <w:r w:rsidRPr="008F23CE">
              <w:rPr>
                <w:rFonts w:asciiTheme="minorHAnsi" w:hAnsiTheme="minorHAnsi" w:cstheme="minorHAnsi"/>
                <w:sz w:val="22"/>
                <w:szCs w:val="22"/>
              </w:rPr>
              <w:t xml:space="preserve">Although the provision of specialist interventions from consultants and GPs with a Specialist Interest (GPSIs) is outside the scope of this specification, the Provider will need to work in close partnership with secondary care to </w:t>
            </w:r>
            <w:r w:rsidR="008F23CE">
              <w:rPr>
                <w:rFonts w:asciiTheme="minorHAnsi" w:hAnsiTheme="minorHAnsi" w:cstheme="minorHAnsi"/>
                <w:sz w:val="22"/>
                <w:szCs w:val="22"/>
              </w:rPr>
              <w:t xml:space="preserve">ensure contractual arrangements are in place to </w:t>
            </w:r>
            <w:r w:rsidRPr="008F23CE">
              <w:rPr>
                <w:rFonts w:asciiTheme="minorHAnsi" w:hAnsiTheme="minorHAnsi" w:cstheme="minorHAnsi"/>
                <w:sz w:val="22"/>
                <w:szCs w:val="22"/>
              </w:rPr>
              <w:t xml:space="preserve">access their expertise in the community and to work with them on the development of new pathways and to establish shared care arrangements for particular conditions </w:t>
            </w:r>
            <w:r w:rsidR="0032376C" w:rsidRPr="008F23CE">
              <w:rPr>
                <w:rFonts w:asciiTheme="minorHAnsi" w:hAnsiTheme="minorHAnsi" w:cstheme="minorHAnsi"/>
                <w:sz w:val="22"/>
                <w:szCs w:val="22"/>
              </w:rPr>
              <w:t>(including but not limited to):</w:t>
            </w:r>
            <w:r w:rsidRPr="008F23CE">
              <w:rPr>
                <w:rFonts w:asciiTheme="minorHAnsi" w:hAnsiTheme="minorHAnsi" w:cstheme="minorHAnsi"/>
                <w:sz w:val="22"/>
                <w:szCs w:val="22"/>
              </w:rPr>
              <w:t xml:space="preserve"> COPD, </w:t>
            </w:r>
            <w:r w:rsidR="008D7EAA" w:rsidRPr="008F23CE">
              <w:rPr>
                <w:rFonts w:asciiTheme="minorHAnsi" w:hAnsiTheme="minorHAnsi" w:cstheme="minorHAnsi"/>
                <w:sz w:val="22"/>
                <w:szCs w:val="22"/>
              </w:rPr>
              <w:t xml:space="preserve">cardiology, diabetes. </w:t>
            </w:r>
            <w:r w:rsidR="0032376C" w:rsidRPr="008F23CE">
              <w:rPr>
                <w:rFonts w:asciiTheme="minorHAnsi" w:hAnsiTheme="minorHAnsi" w:cstheme="minorHAnsi"/>
                <w:sz w:val="22"/>
                <w:szCs w:val="22"/>
              </w:rPr>
              <w:t xml:space="preserve">By working proactively with secondary care, the Provider will help to build seamless provision of care for patients and reduce any overlap of duplication of services.   </w:t>
            </w:r>
          </w:p>
          <w:p w14:paraId="34EBD9E5" w14:textId="77777777" w:rsidR="0032376C" w:rsidRPr="00A84962" w:rsidRDefault="0032376C">
            <w:pPr>
              <w:ind w:right="120"/>
              <w:jc w:val="both"/>
              <w:rPr>
                <w:rFonts w:asciiTheme="minorHAnsi" w:hAnsiTheme="minorHAnsi" w:cstheme="minorHAnsi"/>
                <w:sz w:val="22"/>
                <w:szCs w:val="22"/>
              </w:rPr>
            </w:pPr>
          </w:p>
          <w:p w14:paraId="37927519" w14:textId="7A275DDD" w:rsidR="006817FE" w:rsidRPr="004C5C59" w:rsidRDefault="00AA51D2">
            <w:pPr>
              <w:ind w:right="120"/>
              <w:jc w:val="both"/>
              <w:rPr>
                <w:rFonts w:asciiTheme="minorHAnsi" w:hAnsiTheme="minorHAnsi" w:cstheme="minorHAnsi"/>
                <w:sz w:val="22"/>
                <w:szCs w:val="22"/>
              </w:rPr>
            </w:pPr>
            <w:r w:rsidRPr="00301FB4">
              <w:rPr>
                <w:rFonts w:asciiTheme="minorHAnsi" w:hAnsiTheme="minorHAnsi" w:cstheme="minorHAnsi"/>
                <w:sz w:val="22"/>
                <w:szCs w:val="22"/>
              </w:rPr>
              <w:t xml:space="preserve">The Provider will </w:t>
            </w:r>
            <w:r w:rsidR="0032376C" w:rsidRPr="00301FB4">
              <w:rPr>
                <w:rFonts w:asciiTheme="minorHAnsi" w:hAnsiTheme="minorHAnsi" w:cstheme="minorHAnsi"/>
                <w:sz w:val="22"/>
                <w:szCs w:val="22"/>
              </w:rPr>
              <w:t xml:space="preserve">be expected to </w:t>
            </w:r>
            <w:r w:rsidRPr="00301FB4">
              <w:rPr>
                <w:rFonts w:asciiTheme="minorHAnsi" w:hAnsiTheme="minorHAnsi" w:cstheme="minorHAnsi"/>
                <w:sz w:val="22"/>
                <w:szCs w:val="22"/>
              </w:rPr>
              <w:t xml:space="preserve">make </w:t>
            </w:r>
            <w:r w:rsidR="003914B3" w:rsidRPr="00301FB4">
              <w:rPr>
                <w:rFonts w:asciiTheme="minorHAnsi" w:hAnsiTheme="minorHAnsi" w:cstheme="minorHAnsi"/>
                <w:sz w:val="22"/>
                <w:szCs w:val="22"/>
              </w:rPr>
              <w:t xml:space="preserve">better use of technology i.e. use of teleconsulting </w:t>
            </w:r>
            <w:r w:rsidR="00732868" w:rsidRPr="00301FB4">
              <w:rPr>
                <w:rFonts w:asciiTheme="minorHAnsi" w:hAnsiTheme="minorHAnsi" w:cstheme="minorHAnsi"/>
                <w:sz w:val="22"/>
                <w:szCs w:val="22"/>
              </w:rPr>
              <w:t xml:space="preserve">to </w:t>
            </w:r>
            <w:r w:rsidR="003914B3" w:rsidRPr="00301FB4">
              <w:rPr>
                <w:rFonts w:asciiTheme="minorHAnsi" w:hAnsiTheme="minorHAnsi" w:cstheme="minorHAnsi"/>
                <w:sz w:val="22"/>
                <w:szCs w:val="22"/>
              </w:rPr>
              <w:t>help provide access to specialist advice and support</w:t>
            </w:r>
            <w:r w:rsidR="00A84B06" w:rsidRPr="00301FB4">
              <w:rPr>
                <w:rFonts w:asciiTheme="minorHAnsi" w:hAnsiTheme="minorHAnsi" w:cstheme="minorHAnsi"/>
                <w:sz w:val="22"/>
                <w:szCs w:val="22"/>
              </w:rPr>
              <w:t xml:space="preserve"> in secondary care</w:t>
            </w:r>
            <w:r w:rsidR="003914B3" w:rsidRPr="00301FB4">
              <w:rPr>
                <w:rFonts w:asciiTheme="minorHAnsi" w:hAnsiTheme="minorHAnsi" w:cstheme="minorHAnsi"/>
                <w:sz w:val="22"/>
                <w:szCs w:val="22"/>
              </w:rPr>
              <w:t>.</w:t>
            </w:r>
            <w:r w:rsidR="003914B3" w:rsidRPr="004C5C59">
              <w:rPr>
                <w:rFonts w:asciiTheme="minorHAnsi" w:hAnsiTheme="minorHAnsi" w:cstheme="minorHAnsi"/>
                <w:sz w:val="22"/>
                <w:szCs w:val="22"/>
              </w:rPr>
              <w:t xml:space="preserve"> </w:t>
            </w:r>
          </w:p>
          <w:p w14:paraId="08A30ADD" w14:textId="77777777" w:rsidR="00CF2678" w:rsidRPr="004C5C59" w:rsidRDefault="00CF2678">
            <w:pPr>
              <w:ind w:right="120"/>
              <w:jc w:val="both"/>
              <w:rPr>
                <w:rFonts w:asciiTheme="minorHAnsi" w:hAnsiTheme="minorHAnsi" w:cstheme="minorHAnsi"/>
                <w:sz w:val="22"/>
                <w:szCs w:val="22"/>
              </w:rPr>
            </w:pPr>
          </w:p>
          <w:p w14:paraId="71E47E66" w14:textId="6A6B2784" w:rsidR="00CF2678"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t>6</w:t>
            </w:r>
            <w:r w:rsidR="00CF2678" w:rsidRPr="004C5C59">
              <w:rPr>
                <w:rFonts w:asciiTheme="minorHAnsi" w:hAnsiTheme="minorHAnsi" w:cstheme="minorHAnsi"/>
                <w:b/>
                <w:sz w:val="22"/>
                <w:szCs w:val="22"/>
              </w:rPr>
              <w:t>.1.2 Urgent Care Services</w:t>
            </w:r>
            <w:r w:rsidR="00C528AD" w:rsidRPr="004C5C59">
              <w:rPr>
                <w:rFonts w:asciiTheme="minorHAnsi" w:hAnsiTheme="minorHAnsi" w:cstheme="minorHAnsi"/>
                <w:b/>
                <w:sz w:val="22"/>
                <w:szCs w:val="22"/>
              </w:rPr>
              <w:t xml:space="preserve"> </w:t>
            </w:r>
          </w:p>
          <w:p w14:paraId="65D1FF25" w14:textId="77777777" w:rsidR="0015690F" w:rsidRPr="004C5C59" w:rsidRDefault="00CE22BE">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In Medway the Urgent </w:t>
            </w:r>
            <w:r w:rsidR="00A93CA2" w:rsidRPr="004C5C59">
              <w:rPr>
                <w:rFonts w:asciiTheme="minorHAnsi" w:hAnsiTheme="minorHAnsi" w:cstheme="minorHAnsi"/>
                <w:sz w:val="22"/>
                <w:szCs w:val="22"/>
              </w:rPr>
              <w:t xml:space="preserve">Care Re-design process is underway and is subject to a separate procurement process.  The Provider must consider the interface with urgent care and ensure that the </w:t>
            </w:r>
            <w:r w:rsidR="00CA1B8D" w:rsidRPr="004C5C59">
              <w:rPr>
                <w:rFonts w:asciiTheme="minorHAnsi" w:hAnsiTheme="minorHAnsi" w:cstheme="minorHAnsi"/>
                <w:sz w:val="22"/>
                <w:szCs w:val="22"/>
              </w:rPr>
              <w:t>adult community services model compliments the new model for urgent care.</w:t>
            </w:r>
            <w:r w:rsidR="00405DDB" w:rsidRPr="004C5C59">
              <w:rPr>
                <w:rFonts w:asciiTheme="minorHAnsi" w:hAnsiTheme="minorHAnsi" w:cstheme="minorHAnsi"/>
                <w:sz w:val="22"/>
                <w:szCs w:val="22"/>
              </w:rPr>
              <w:t xml:space="preserve"> </w:t>
            </w:r>
            <w:r w:rsidR="00C63AF5" w:rsidRPr="004C5C59">
              <w:rPr>
                <w:rFonts w:asciiTheme="minorHAnsi" w:hAnsiTheme="minorHAnsi" w:cstheme="minorHAnsi"/>
                <w:sz w:val="22"/>
                <w:szCs w:val="22"/>
              </w:rPr>
              <w:t>T</w:t>
            </w:r>
            <w:r w:rsidR="0015690F" w:rsidRPr="004C5C59">
              <w:rPr>
                <w:rFonts w:asciiTheme="minorHAnsi" w:hAnsiTheme="minorHAnsi" w:cstheme="minorHAnsi"/>
                <w:sz w:val="22"/>
                <w:szCs w:val="22"/>
              </w:rPr>
              <w:t>his procurement is out of scope of th</w:t>
            </w:r>
            <w:r w:rsidR="00BA4BC7" w:rsidRPr="004C5C59">
              <w:rPr>
                <w:rFonts w:asciiTheme="minorHAnsi" w:hAnsiTheme="minorHAnsi" w:cstheme="minorHAnsi"/>
                <w:sz w:val="22"/>
                <w:szCs w:val="22"/>
              </w:rPr>
              <w:t>is</w:t>
            </w:r>
            <w:r w:rsidR="0015690F" w:rsidRPr="004C5C59">
              <w:rPr>
                <w:rFonts w:asciiTheme="minorHAnsi" w:hAnsiTheme="minorHAnsi" w:cstheme="minorHAnsi"/>
                <w:sz w:val="22"/>
                <w:szCs w:val="22"/>
              </w:rPr>
              <w:t xml:space="preserve"> </w:t>
            </w:r>
            <w:r w:rsidR="00C63AF5" w:rsidRPr="004C5C59">
              <w:rPr>
                <w:rFonts w:asciiTheme="minorHAnsi" w:hAnsiTheme="minorHAnsi" w:cstheme="minorHAnsi"/>
                <w:sz w:val="22"/>
                <w:szCs w:val="22"/>
              </w:rPr>
              <w:t xml:space="preserve">adult </w:t>
            </w:r>
            <w:r w:rsidR="0015690F" w:rsidRPr="004C5C59">
              <w:rPr>
                <w:rFonts w:asciiTheme="minorHAnsi" w:hAnsiTheme="minorHAnsi" w:cstheme="minorHAnsi"/>
                <w:sz w:val="22"/>
                <w:szCs w:val="22"/>
              </w:rPr>
              <w:t xml:space="preserve">community services </w:t>
            </w:r>
            <w:r w:rsidR="00BA4BC7" w:rsidRPr="004C5C59">
              <w:rPr>
                <w:rFonts w:asciiTheme="minorHAnsi" w:hAnsiTheme="minorHAnsi" w:cstheme="minorHAnsi"/>
                <w:sz w:val="22"/>
                <w:szCs w:val="22"/>
              </w:rPr>
              <w:t>specification</w:t>
            </w:r>
            <w:r w:rsidR="0015690F" w:rsidRPr="004C5C59">
              <w:rPr>
                <w:rFonts w:asciiTheme="minorHAnsi" w:hAnsiTheme="minorHAnsi" w:cstheme="minorHAnsi"/>
                <w:sz w:val="22"/>
                <w:szCs w:val="22"/>
              </w:rPr>
              <w:t xml:space="preserve">, </w:t>
            </w:r>
            <w:r w:rsidR="00C63AF5" w:rsidRPr="004C5C59">
              <w:rPr>
                <w:rFonts w:asciiTheme="minorHAnsi" w:hAnsiTheme="minorHAnsi" w:cstheme="minorHAnsi"/>
                <w:sz w:val="22"/>
                <w:szCs w:val="22"/>
              </w:rPr>
              <w:t xml:space="preserve">but </w:t>
            </w:r>
            <w:r w:rsidR="0015690F" w:rsidRPr="004C5C59">
              <w:rPr>
                <w:rFonts w:asciiTheme="minorHAnsi" w:hAnsiTheme="minorHAnsi" w:cstheme="minorHAnsi"/>
                <w:sz w:val="22"/>
                <w:szCs w:val="22"/>
              </w:rPr>
              <w:t xml:space="preserve">the Provider </w:t>
            </w:r>
            <w:r w:rsidR="00BA4BC7" w:rsidRPr="004C5C59">
              <w:rPr>
                <w:rFonts w:asciiTheme="minorHAnsi" w:hAnsiTheme="minorHAnsi" w:cstheme="minorHAnsi"/>
                <w:sz w:val="22"/>
                <w:szCs w:val="22"/>
              </w:rPr>
              <w:t>must</w:t>
            </w:r>
            <w:r w:rsidR="0015690F" w:rsidRPr="004C5C59">
              <w:rPr>
                <w:rFonts w:asciiTheme="minorHAnsi" w:hAnsiTheme="minorHAnsi" w:cstheme="minorHAnsi"/>
                <w:sz w:val="22"/>
                <w:szCs w:val="22"/>
              </w:rPr>
              <w:t xml:space="preserve"> work proactively with the urgent and emergency care services to establish robust links</w:t>
            </w:r>
            <w:r w:rsidR="00BA4BC7" w:rsidRPr="004C5C59">
              <w:rPr>
                <w:rFonts w:asciiTheme="minorHAnsi" w:hAnsiTheme="minorHAnsi" w:cstheme="minorHAnsi"/>
                <w:sz w:val="22"/>
                <w:szCs w:val="22"/>
              </w:rPr>
              <w:t xml:space="preserve"> and pathways</w:t>
            </w:r>
            <w:r w:rsidR="0015690F" w:rsidRPr="004C5C59">
              <w:rPr>
                <w:rFonts w:asciiTheme="minorHAnsi" w:hAnsiTheme="minorHAnsi" w:cstheme="minorHAnsi"/>
                <w:sz w:val="22"/>
                <w:szCs w:val="22"/>
              </w:rPr>
              <w:t>.</w:t>
            </w:r>
            <w:r w:rsidR="00405DDB" w:rsidRPr="004C5C59">
              <w:rPr>
                <w:rFonts w:asciiTheme="minorHAnsi" w:hAnsiTheme="minorHAnsi" w:cstheme="minorHAnsi"/>
                <w:sz w:val="22"/>
                <w:szCs w:val="22"/>
              </w:rPr>
              <w:t xml:space="preserve"> </w:t>
            </w:r>
          </w:p>
          <w:p w14:paraId="44362474" w14:textId="77777777" w:rsidR="0015690F" w:rsidRPr="004C5C59" w:rsidRDefault="0015690F">
            <w:pPr>
              <w:ind w:right="120"/>
              <w:jc w:val="both"/>
              <w:rPr>
                <w:rFonts w:asciiTheme="minorHAnsi" w:hAnsiTheme="minorHAnsi" w:cstheme="minorHAnsi"/>
                <w:sz w:val="22"/>
                <w:szCs w:val="22"/>
              </w:rPr>
            </w:pPr>
          </w:p>
          <w:p w14:paraId="6C215333" w14:textId="77777777" w:rsidR="00754EF5" w:rsidRPr="004C5C59" w:rsidRDefault="00D26B93">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Future work areas could include, but </w:t>
            </w:r>
            <w:r w:rsidR="00AC59C7" w:rsidRPr="004C5C59">
              <w:rPr>
                <w:rFonts w:asciiTheme="minorHAnsi" w:hAnsiTheme="minorHAnsi" w:cstheme="minorHAnsi"/>
                <w:sz w:val="22"/>
                <w:szCs w:val="22"/>
              </w:rPr>
              <w:t xml:space="preserve">will </w:t>
            </w:r>
            <w:r w:rsidRPr="004C5C59">
              <w:rPr>
                <w:rFonts w:asciiTheme="minorHAnsi" w:hAnsiTheme="minorHAnsi" w:cstheme="minorHAnsi"/>
                <w:sz w:val="22"/>
                <w:szCs w:val="22"/>
              </w:rPr>
              <w:t>not be limited to:</w:t>
            </w:r>
          </w:p>
          <w:p w14:paraId="5581BC4B" w14:textId="77777777" w:rsidR="00DB78E1" w:rsidRPr="004C5C59" w:rsidRDefault="00B77751">
            <w:pPr>
              <w:pStyle w:val="ListParagraph"/>
              <w:numPr>
                <w:ilvl w:val="0"/>
                <w:numId w:val="23"/>
              </w:numPr>
              <w:ind w:right="120"/>
              <w:jc w:val="both"/>
              <w:rPr>
                <w:rFonts w:asciiTheme="minorHAnsi" w:hAnsiTheme="minorHAnsi" w:cstheme="minorHAnsi"/>
                <w:sz w:val="22"/>
                <w:szCs w:val="22"/>
              </w:rPr>
            </w:pPr>
            <w:r w:rsidRPr="004C5C59">
              <w:rPr>
                <w:rFonts w:asciiTheme="minorHAnsi" w:hAnsiTheme="minorHAnsi" w:cstheme="minorHAnsi"/>
                <w:sz w:val="22"/>
                <w:szCs w:val="22"/>
              </w:rPr>
              <w:t>Th</w:t>
            </w:r>
            <w:r w:rsidR="00AB5913" w:rsidRPr="004C5C59">
              <w:rPr>
                <w:rFonts w:asciiTheme="minorHAnsi" w:hAnsiTheme="minorHAnsi" w:cstheme="minorHAnsi"/>
                <w:sz w:val="22"/>
                <w:szCs w:val="22"/>
              </w:rPr>
              <w:t xml:space="preserve">e Provider </w:t>
            </w:r>
            <w:r w:rsidR="00BA4BC7" w:rsidRPr="004C5C59">
              <w:rPr>
                <w:rFonts w:asciiTheme="minorHAnsi" w:hAnsiTheme="minorHAnsi" w:cstheme="minorHAnsi"/>
                <w:sz w:val="22"/>
                <w:szCs w:val="22"/>
              </w:rPr>
              <w:t xml:space="preserve">will </w:t>
            </w:r>
            <w:r w:rsidRPr="004C5C59">
              <w:rPr>
                <w:rFonts w:asciiTheme="minorHAnsi" w:hAnsiTheme="minorHAnsi" w:cstheme="minorHAnsi"/>
                <w:sz w:val="22"/>
                <w:szCs w:val="22"/>
              </w:rPr>
              <w:t>work with 111 to p</w:t>
            </w:r>
            <w:r w:rsidR="008A4FF7" w:rsidRPr="004C5C59">
              <w:rPr>
                <w:rFonts w:asciiTheme="minorHAnsi" w:hAnsiTheme="minorHAnsi" w:cstheme="minorHAnsi"/>
                <w:sz w:val="22"/>
                <w:szCs w:val="22"/>
              </w:rPr>
              <w:t>rofi</w:t>
            </w:r>
            <w:r w:rsidR="00BA4BC7" w:rsidRPr="004C5C59">
              <w:rPr>
                <w:rFonts w:asciiTheme="minorHAnsi" w:hAnsiTheme="minorHAnsi" w:cstheme="minorHAnsi"/>
                <w:sz w:val="22"/>
                <w:szCs w:val="22"/>
              </w:rPr>
              <w:t>le</w:t>
            </w:r>
            <w:r w:rsidR="008A4FF7" w:rsidRPr="004C5C59">
              <w:rPr>
                <w:rFonts w:asciiTheme="minorHAnsi" w:hAnsiTheme="minorHAnsi" w:cstheme="minorHAnsi"/>
                <w:sz w:val="22"/>
                <w:szCs w:val="22"/>
              </w:rPr>
              <w:t xml:space="preserve"> the Directory of Service (</w:t>
            </w:r>
            <w:proofErr w:type="spellStart"/>
            <w:r w:rsidR="008A4FF7" w:rsidRPr="004C5C59">
              <w:rPr>
                <w:rFonts w:asciiTheme="minorHAnsi" w:hAnsiTheme="minorHAnsi" w:cstheme="minorHAnsi"/>
                <w:sz w:val="22"/>
                <w:szCs w:val="22"/>
              </w:rPr>
              <w:t>DoS</w:t>
            </w:r>
            <w:proofErr w:type="spellEnd"/>
            <w:r w:rsidR="008A4FF7" w:rsidRPr="004C5C59">
              <w:rPr>
                <w:rFonts w:asciiTheme="minorHAnsi" w:hAnsiTheme="minorHAnsi" w:cstheme="minorHAnsi"/>
                <w:sz w:val="22"/>
                <w:szCs w:val="22"/>
              </w:rPr>
              <w:t>)</w:t>
            </w:r>
            <w:r w:rsidRPr="004C5C59">
              <w:rPr>
                <w:rFonts w:asciiTheme="minorHAnsi" w:hAnsiTheme="minorHAnsi" w:cstheme="minorHAnsi"/>
                <w:sz w:val="22"/>
                <w:szCs w:val="22"/>
              </w:rPr>
              <w:t xml:space="preserve"> </w:t>
            </w:r>
            <w:r w:rsidR="00A918B8" w:rsidRPr="004C5C59">
              <w:rPr>
                <w:rFonts w:asciiTheme="minorHAnsi" w:hAnsiTheme="minorHAnsi" w:cstheme="minorHAnsi"/>
                <w:sz w:val="22"/>
                <w:szCs w:val="22"/>
              </w:rPr>
              <w:t>to reflect</w:t>
            </w:r>
            <w:r w:rsidRPr="004C5C59">
              <w:rPr>
                <w:rFonts w:asciiTheme="minorHAnsi" w:hAnsiTheme="minorHAnsi" w:cstheme="minorHAnsi"/>
                <w:sz w:val="22"/>
                <w:szCs w:val="22"/>
              </w:rPr>
              <w:t xml:space="preserve"> </w:t>
            </w:r>
            <w:r w:rsidR="00A918B8" w:rsidRPr="004C5C59">
              <w:rPr>
                <w:rFonts w:asciiTheme="minorHAnsi" w:hAnsiTheme="minorHAnsi" w:cstheme="minorHAnsi"/>
                <w:sz w:val="22"/>
                <w:szCs w:val="22"/>
              </w:rPr>
              <w:t>adult community services provision</w:t>
            </w:r>
            <w:r w:rsidR="00524F30" w:rsidRPr="004C5C59">
              <w:rPr>
                <w:rFonts w:asciiTheme="minorHAnsi" w:hAnsiTheme="minorHAnsi" w:cstheme="minorHAnsi"/>
                <w:sz w:val="22"/>
                <w:szCs w:val="22"/>
              </w:rPr>
              <w:t xml:space="preserve">, </w:t>
            </w:r>
            <w:r w:rsidR="00DB78E1" w:rsidRPr="004C5C59">
              <w:rPr>
                <w:rFonts w:asciiTheme="minorHAnsi" w:hAnsiTheme="minorHAnsi" w:cstheme="minorHAnsi"/>
                <w:sz w:val="22"/>
                <w:szCs w:val="22"/>
              </w:rPr>
              <w:t xml:space="preserve">i.e. to flag </w:t>
            </w:r>
            <w:r w:rsidR="008F323B" w:rsidRPr="004C5C59">
              <w:rPr>
                <w:rFonts w:asciiTheme="minorHAnsi" w:hAnsiTheme="minorHAnsi" w:cstheme="minorHAnsi"/>
                <w:sz w:val="22"/>
                <w:szCs w:val="22"/>
              </w:rPr>
              <w:t>patients</w:t>
            </w:r>
            <w:r w:rsidR="0072155A" w:rsidRPr="004C5C59">
              <w:rPr>
                <w:rFonts w:asciiTheme="minorHAnsi" w:hAnsiTheme="minorHAnsi" w:cstheme="minorHAnsi"/>
                <w:sz w:val="22"/>
                <w:szCs w:val="22"/>
              </w:rPr>
              <w:t xml:space="preserve"> with complex conditions </w:t>
            </w:r>
            <w:r w:rsidR="007B6F55" w:rsidRPr="004C5C59">
              <w:rPr>
                <w:rFonts w:asciiTheme="minorHAnsi" w:hAnsiTheme="minorHAnsi" w:cstheme="minorHAnsi"/>
                <w:sz w:val="22"/>
                <w:szCs w:val="22"/>
              </w:rPr>
              <w:t>on contact with 111</w:t>
            </w:r>
            <w:r w:rsidR="006E441D" w:rsidRPr="004C5C59">
              <w:rPr>
                <w:rFonts w:asciiTheme="minorHAnsi" w:hAnsiTheme="minorHAnsi" w:cstheme="minorHAnsi"/>
                <w:sz w:val="22"/>
                <w:szCs w:val="22"/>
              </w:rPr>
              <w:t>.</w:t>
            </w:r>
          </w:p>
          <w:p w14:paraId="6D217152" w14:textId="77777777" w:rsidR="003C661B" w:rsidRPr="004C5C59" w:rsidRDefault="0064440B">
            <w:pPr>
              <w:pStyle w:val="ListParagraph"/>
              <w:numPr>
                <w:ilvl w:val="0"/>
                <w:numId w:val="23"/>
              </w:numPr>
              <w:ind w:right="120"/>
              <w:jc w:val="both"/>
              <w:rPr>
                <w:rFonts w:asciiTheme="minorHAnsi" w:hAnsiTheme="minorHAnsi" w:cstheme="minorHAnsi"/>
                <w:sz w:val="22"/>
                <w:szCs w:val="22"/>
              </w:rPr>
            </w:pPr>
            <w:r w:rsidRPr="004C5C59">
              <w:rPr>
                <w:rFonts w:asciiTheme="minorHAnsi" w:hAnsiTheme="minorHAnsi" w:cstheme="minorHAnsi"/>
                <w:sz w:val="22"/>
                <w:szCs w:val="22"/>
              </w:rPr>
              <w:t>The</w:t>
            </w:r>
            <w:r w:rsidR="00A918B8" w:rsidRPr="004C5C59">
              <w:rPr>
                <w:rFonts w:asciiTheme="minorHAnsi" w:hAnsiTheme="minorHAnsi" w:cstheme="minorHAnsi"/>
                <w:sz w:val="22"/>
                <w:szCs w:val="22"/>
              </w:rPr>
              <w:t xml:space="preserve"> Provider </w:t>
            </w:r>
            <w:r w:rsidR="00BA4BC7" w:rsidRPr="004C5C59">
              <w:rPr>
                <w:rFonts w:asciiTheme="minorHAnsi" w:hAnsiTheme="minorHAnsi" w:cstheme="minorHAnsi"/>
                <w:sz w:val="22"/>
                <w:szCs w:val="22"/>
              </w:rPr>
              <w:t xml:space="preserve">will </w:t>
            </w:r>
            <w:r w:rsidR="006E441D" w:rsidRPr="004C5C59">
              <w:rPr>
                <w:rFonts w:asciiTheme="minorHAnsi" w:hAnsiTheme="minorHAnsi" w:cstheme="minorHAnsi"/>
                <w:sz w:val="22"/>
                <w:szCs w:val="22"/>
              </w:rPr>
              <w:t>link</w:t>
            </w:r>
            <w:r w:rsidR="008A4FF7" w:rsidRPr="004C5C59">
              <w:rPr>
                <w:rFonts w:asciiTheme="minorHAnsi" w:hAnsiTheme="minorHAnsi" w:cstheme="minorHAnsi"/>
                <w:sz w:val="22"/>
                <w:szCs w:val="22"/>
              </w:rPr>
              <w:t xml:space="preserve"> </w:t>
            </w:r>
            <w:r w:rsidRPr="004C5C59">
              <w:rPr>
                <w:rFonts w:asciiTheme="minorHAnsi" w:hAnsiTheme="minorHAnsi" w:cstheme="minorHAnsi"/>
                <w:sz w:val="22"/>
                <w:szCs w:val="22"/>
              </w:rPr>
              <w:t xml:space="preserve">with </w:t>
            </w:r>
            <w:r w:rsidR="000F1D3A" w:rsidRPr="004C5C59">
              <w:rPr>
                <w:rFonts w:asciiTheme="minorHAnsi" w:hAnsiTheme="minorHAnsi" w:cstheme="minorHAnsi"/>
                <w:sz w:val="22"/>
                <w:szCs w:val="22"/>
              </w:rPr>
              <w:t>SECAmb</w:t>
            </w:r>
            <w:r w:rsidR="003C661B" w:rsidRPr="004C5C59">
              <w:rPr>
                <w:rFonts w:asciiTheme="minorHAnsi" w:hAnsiTheme="minorHAnsi" w:cstheme="minorHAnsi"/>
                <w:sz w:val="22"/>
                <w:szCs w:val="22"/>
              </w:rPr>
              <w:t xml:space="preserve"> </w:t>
            </w:r>
            <w:r w:rsidR="005F69E4" w:rsidRPr="004C5C59">
              <w:rPr>
                <w:rFonts w:asciiTheme="minorHAnsi" w:hAnsiTheme="minorHAnsi" w:cstheme="minorHAnsi"/>
                <w:sz w:val="22"/>
                <w:szCs w:val="22"/>
              </w:rPr>
              <w:t xml:space="preserve">to </w:t>
            </w:r>
            <w:r w:rsidRPr="004C5C59">
              <w:rPr>
                <w:rFonts w:asciiTheme="minorHAnsi" w:hAnsiTheme="minorHAnsi" w:cstheme="minorHAnsi"/>
                <w:sz w:val="22"/>
                <w:szCs w:val="22"/>
              </w:rPr>
              <w:t xml:space="preserve">ensure </w:t>
            </w:r>
            <w:r w:rsidR="00AB5913" w:rsidRPr="004C5C59">
              <w:rPr>
                <w:rFonts w:asciiTheme="minorHAnsi" w:hAnsiTheme="minorHAnsi" w:cstheme="minorHAnsi"/>
                <w:sz w:val="22"/>
                <w:szCs w:val="22"/>
              </w:rPr>
              <w:t xml:space="preserve">information sharing and </w:t>
            </w:r>
            <w:r w:rsidR="003C661B" w:rsidRPr="004C5C59">
              <w:rPr>
                <w:rFonts w:asciiTheme="minorHAnsi" w:hAnsiTheme="minorHAnsi" w:cstheme="minorHAnsi"/>
                <w:sz w:val="22"/>
                <w:szCs w:val="22"/>
              </w:rPr>
              <w:t>intra-operability</w:t>
            </w:r>
            <w:r w:rsidR="005F69E4" w:rsidRPr="004C5C59">
              <w:rPr>
                <w:rFonts w:asciiTheme="minorHAnsi" w:hAnsiTheme="minorHAnsi" w:cstheme="minorHAnsi"/>
                <w:sz w:val="22"/>
                <w:szCs w:val="22"/>
              </w:rPr>
              <w:t xml:space="preserve"> between SECAmb</w:t>
            </w:r>
            <w:r w:rsidR="006C07A9" w:rsidRPr="004C5C59">
              <w:rPr>
                <w:rFonts w:asciiTheme="minorHAnsi" w:hAnsiTheme="minorHAnsi" w:cstheme="minorHAnsi"/>
                <w:sz w:val="22"/>
                <w:szCs w:val="22"/>
              </w:rPr>
              <w:t xml:space="preserve"> IT systems (IBIS) and the Provider </w:t>
            </w:r>
            <w:r w:rsidR="009A0161" w:rsidRPr="004C5C59">
              <w:rPr>
                <w:rFonts w:asciiTheme="minorHAnsi" w:hAnsiTheme="minorHAnsi" w:cstheme="minorHAnsi"/>
                <w:sz w:val="22"/>
                <w:szCs w:val="22"/>
              </w:rPr>
              <w:t xml:space="preserve">(via the urgent response function) </w:t>
            </w:r>
            <w:r w:rsidR="006C07A9" w:rsidRPr="004C5C59">
              <w:rPr>
                <w:rFonts w:asciiTheme="minorHAnsi" w:hAnsiTheme="minorHAnsi" w:cstheme="minorHAnsi"/>
                <w:sz w:val="22"/>
                <w:szCs w:val="22"/>
              </w:rPr>
              <w:t xml:space="preserve">to help support patients to remain at home </w:t>
            </w:r>
            <w:r w:rsidR="000C685C" w:rsidRPr="004C5C59">
              <w:rPr>
                <w:rFonts w:asciiTheme="minorHAnsi" w:hAnsiTheme="minorHAnsi" w:cstheme="minorHAnsi"/>
                <w:sz w:val="22"/>
                <w:szCs w:val="22"/>
              </w:rPr>
              <w:t xml:space="preserve">and </w:t>
            </w:r>
            <w:r w:rsidR="00DB149F" w:rsidRPr="004C5C59">
              <w:rPr>
                <w:rFonts w:asciiTheme="minorHAnsi" w:hAnsiTheme="minorHAnsi" w:cstheme="minorHAnsi"/>
                <w:sz w:val="22"/>
                <w:szCs w:val="22"/>
              </w:rPr>
              <w:t>avoid conveyance to hospital.</w:t>
            </w:r>
          </w:p>
          <w:p w14:paraId="37053C18" w14:textId="77777777" w:rsidR="00405DDB" w:rsidRPr="004C5C59" w:rsidRDefault="00293964">
            <w:pPr>
              <w:pStyle w:val="ListParagraph"/>
              <w:numPr>
                <w:ilvl w:val="0"/>
                <w:numId w:val="23"/>
              </w:num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The Provider </w:t>
            </w:r>
            <w:r w:rsidR="00BA4BC7" w:rsidRPr="004C5C59">
              <w:rPr>
                <w:rFonts w:asciiTheme="minorHAnsi" w:hAnsiTheme="minorHAnsi" w:cstheme="minorHAnsi"/>
                <w:sz w:val="22"/>
                <w:szCs w:val="22"/>
              </w:rPr>
              <w:t xml:space="preserve">will </w:t>
            </w:r>
            <w:r w:rsidR="00C433E4" w:rsidRPr="004C5C59">
              <w:rPr>
                <w:rFonts w:asciiTheme="minorHAnsi" w:hAnsiTheme="minorHAnsi" w:cstheme="minorHAnsi"/>
                <w:sz w:val="22"/>
                <w:szCs w:val="22"/>
              </w:rPr>
              <w:t>work with</w:t>
            </w:r>
            <w:r w:rsidRPr="004C5C59">
              <w:rPr>
                <w:rFonts w:asciiTheme="minorHAnsi" w:hAnsiTheme="minorHAnsi" w:cstheme="minorHAnsi"/>
                <w:sz w:val="22"/>
                <w:szCs w:val="22"/>
              </w:rPr>
              <w:t xml:space="preserve"> the Urgent Treatment Centre (UTC) at Medway NHS Foundation Trust (MFT) </w:t>
            </w:r>
            <w:r w:rsidR="007D489E" w:rsidRPr="004C5C59">
              <w:rPr>
                <w:rFonts w:asciiTheme="minorHAnsi" w:hAnsiTheme="minorHAnsi" w:cstheme="minorHAnsi"/>
                <w:sz w:val="22"/>
                <w:szCs w:val="22"/>
              </w:rPr>
              <w:t xml:space="preserve">to </w:t>
            </w:r>
            <w:r w:rsidR="00181C0D" w:rsidRPr="004C5C59">
              <w:rPr>
                <w:rFonts w:asciiTheme="minorHAnsi" w:hAnsiTheme="minorHAnsi" w:cstheme="minorHAnsi"/>
                <w:sz w:val="22"/>
                <w:szCs w:val="22"/>
              </w:rPr>
              <w:t xml:space="preserve">review interoperability </w:t>
            </w:r>
            <w:r w:rsidR="00AC59C7" w:rsidRPr="004C5C59">
              <w:rPr>
                <w:rFonts w:asciiTheme="minorHAnsi" w:hAnsiTheme="minorHAnsi" w:cstheme="minorHAnsi"/>
                <w:sz w:val="22"/>
                <w:szCs w:val="22"/>
              </w:rPr>
              <w:t xml:space="preserve">between the Provider and </w:t>
            </w:r>
            <w:r w:rsidR="00181C0D" w:rsidRPr="004C5C59">
              <w:rPr>
                <w:rFonts w:asciiTheme="minorHAnsi" w:hAnsiTheme="minorHAnsi" w:cstheme="minorHAnsi"/>
                <w:sz w:val="22"/>
                <w:szCs w:val="22"/>
              </w:rPr>
              <w:t>the UTC</w:t>
            </w:r>
            <w:r w:rsidR="00AC59C7" w:rsidRPr="004C5C59">
              <w:rPr>
                <w:rFonts w:asciiTheme="minorHAnsi" w:hAnsiTheme="minorHAnsi" w:cstheme="minorHAnsi"/>
                <w:sz w:val="22"/>
                <w:szCs w:val="22"/>
              </w:rPr>
              <w:t xml:space="preserve">, to </w:t>
            </w:r>
            <w:r w:rsidR="00BA4BC7" w:rsidRPr="004C5C59">
              <w:rPr>
                <w:rFonts w:asciiTheme="minorHAnsi" w:hAnsiTheme="minorHAnsi" w:cstheme="minorHAnsi"/>
                <w:sz w:val="22"/>
                <w:szCs w:val="22"/>
              </w:rPr>
              <w:t xml:space="preserve">agree </w:t>
            </w:r>
            <w:r w:rsidR="00361A54" w:rsidRPr="004C5C59">
              <w:rPr>
                <w:rFonts w:asciiTheme="minorHAnsi" w:hAnsiTheme="minorHAnsi" w:cstheme="minorHAnsi"/>
                <w:sz w:val="22"/>
                <w:szCs w:val="22"/>
              </w:rPr>
              <w:t xml:space="preserve">admission avoidance </w:t>
            </w:r>
            <w:r w:rsidR="00C346D9" w:rsidRPr="004C5C59">
              <w:rPr>
                <w:rFonts w:asciiTheme="minorHAnsi" w:hAnsiTheme="minorHAnsi" w:cstheme="minorHAnsi"/>
                <w:sz w:val="22"/>
                <w:szCs w:val="22"/>
              </w:rPr>
              <w:t>initiatives</w:t>
            </w:r>
            <w:r w:rsidR="00181C0D" w:rsidRPr="004C5C59">
              <w:rPr>
                <w:rFonts w:asciiTheme="minorHAnsi" w:hAnsiTheme="minorHAnsi" w:cstheme="minorHAnsi"/>
                <w:sz w:val="22"/>
                <w:szCs w:val="22"/>
              </w:rPr>
              <w:t>.</w:t>
            </w:r>
            <w:r w:rsidR="00405DDB" w:rsidRPr="004C5C59">
              <w:rPr>
                <w:rFonts w:asciiTheme="minorHAnsi" w:hAnsiTheme="minorHAnsi" w:cstheme="minorHAnsi"/>
                <w:sz w:val="22"/>
                <w:szCs w:val="22"/>
              </w:rPr>
              <w:t xml:space="preserve"> </w:t>
            </w:r>
          </w:p>
          <w:p w14:paraId="5EDF2E5F" w14:textId="77777777" w:rsidR="00CA1B8D" w:rsidRPr="004C5C59" w:rsidRDefault="00CA1B8D">
            <w:pPr>
              <w:ind w:right="120"/>
              <w:jc w:val="both"/>
              <w:rPr>
                <w:rFonts w:asciiTheme="minorHAnsi" w:hAnsiTheme="minorHAnsi" w:cstheme="minorHAnsi"/>
                <w:sz w:val="22"/>
                <w:szCs w:val="22"/>
              </w:rPr>
            </w:pPr>
          </w:p>
          <w:p w14:paraId="3302E18E" w14:textId="15A3C233" w:rsidR="00B8367E"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t>6</w:t>
            </w:r>
            <w:r w:rsidR="00B8367E" w:rsidRPr="004C5C59">
              <w:rPr>
                <w:rFonts w:asciiTheme="minorHAnsi" w:hAnsiTheme="minorHAnsi" w:cstheme="minorHAnsi"/>
                <w:b/>
                <w:sz w:val="22"/>
                <w:szCs w:val="22"/>
              </w:rPr>
              <w:t>.1.3 Resilience</w:t>
            </w:r>
          </w:p>
          <w:p w14:paraId="1093E5C5" w14:textId="77777777" w:rsidR="00EE1542" w:rsidRPr="004C5C59" w:rsidRDefault="00B8367E">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All </w:t>
            </w:r>
            <w:r w:rsidR="00EE1542" w:rsidRPr="004C5C59">
              <w:rPr>
                <w:rFonts w:asciiTheme="minorHAnsi" w:hAnsiTheme="minorHAnsi" w:cstheme="minorHAnsi"/>
                <w:sz w:val="22"/>
                <w:szCs w:val="22"/>
              </w:rPr>
              <w:t>P</w:t>
            </w:r>
            <w:r w:rsidRPr="004C5C59">
              <w:rPr>
                <w:rFonts w:asciiTheme="minorHAnsi" w:hAnsiTheme="minorHAnsi" w:cstheme="minorHAnsi"/>
                <w:sz w:val="22"/>
                <w:szCs w:val="22"/>
              </w:rPr>
              <w:t xml:space="preserve">roviders must have in place adequate business continuity plans. All </w:t>
            </w:r>
            <w:r w:rsidR="00EE1542" w:rsidRPr="004C5C59">
              <w:rPr>
                <w:rFonts w:asciiTheme="minorHAnsi" w:hAnsiTheme="minorHAnsi" w:cstheme="minorHAnsi"/>
                <w:sz w:val="22"/>
                <w:szCs w:val="22"/>
              </w:rPr>
              <w:t>P</w:t>
            </w:r>
            <w:r w:rsidRPr="004C5C59">
              <w:rPr>
                <w:rFonts w:asciiTheme="minorHAnsi" w:hAnsiTheme="minorHAnsi" w:cstheme="minorHAnsi"/>
                <w:sz w:val="22"/>
                <w:szCs w:val="22"/>
              </w:rPr>
              <w:t xml:space="preserve">roviders must have in place an escalation plan to deal with periods of surge in activity, most often across seasonal periods such as Easter, bank holidays, winter and Christmas and New year. </w:t>
            </w:r>
          </w:p>
          <w:p w14:paraId="14E28099" w14:textId="77777777" w:rsidR="00EE1542" w:rsidRPr="004C5C59" w:rsidRDefault="00EE1542">
            <w:pPr>
              <w:ind w:right="120"/>
              <w:jc w:val="both"/>
              <w:rPr>
                <w:rFonts w:asciiTheme="minorHAnsi" w:hAnsiTheme="minorHAnsi" w:cstheme="minorHAnsi"/>
                <w:sz w:val="22"/>
                <w:szCs w:val="22"/>
              </w:rPr>
            </w:pPr>
          </w:p>
          <w:p w14:paraId="506C32BD" w14:textId="77777777" w:rsidR="00B8367E" w:rsidRPr="004C5C59" w:rsidRDefault="00B8367E">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In addition to this, </w:t>
            </w:r>
            <w:r w:rsidR="00EE1542" w:rsidRPr="004C5C59">
              <w:rPr>
                <w:rFonts w:asciiTheme="minorHAnsi" w:hAnsiTheme="minorHAnsi" w:cstheme="minorHAnsi"/>
                <w:sz w:val="22"/>
                <w:szCs w:val="22"/>
              </w:rPr>
              <w:t>P</w:t>
            </w:r>
            <w:r w:rsidRPr="004C5C59">
              <w:rPr>
                <w:rFonts w:asciiTheme="minorHAnsi" w:hAnsiTheme="minorHAnsi" w:cstheme="minorHAnsi"/>
                <w:sz w:val="22"/>
                <w:szCs w:val="22"/>
              </w:rPr>
              <w:t>roviders are required to participate in the development of the wider Medway and Swale System Escalation Plan as well as adhering to the final system plan. This includes, but not limited to; system escalation processes,  embedding and following the latest national guidance for escalation (such as the latest NHS England OPEL Framework), joining mandatory system teleconferences, using SHREWD (description below) and providing a regularly updated indicator set (on SHREWD) to enable real time visibility of escalation within the service provision to all system partners.</w:t>
            </w:r>
          </w:p>
          <w:p w14:paraId="61E36F99" w14:textId="77777777" w:rsidR="00B8367E" w:rsidRPr="004C5C59" w:rsidRDefault="00B8367E">
            <w:pPr>
              <w:ind w:right="120"/>
              <w:jc w:val="both"/>
              <w:rPr>
                <w:rFonts w:asciiTheme="minorHAnsi" w:hAnsiTheme="minorHAnsi" w:cstheme="minorHAnsi"/>
                <w:sz w:val="22"/>
                <w:szCs w:val="22"/>
              </w:rPr>
            </w:pPr>
          </w:p>
          <w:p w14:paraId="6D3D32D8" w14:textId="77777777" w:rsidR="00B8367E" w:rsidRPr="004C5C59" w:rsidRDefault="00B8367E">
            <w:pPr>
              <w:ind w:right="120"/>
              <w:jc w:val="both"/>
              <w:rPr>
                <w:rFonts w:asciiTheme="minorHAnsi" w:hAnsiTheme="minorHAnsi" w:cstheme="minorHAnsi"/>
                <w:sz w:val="22"/>
                <w:szCs w:val="22"/>
              </w:rPr>
            </w:pPr>
            <w:r w:rsidRPr="004C5C59">
              <w:rPr>
                <w:rFonts w:asciiTheme="minorHAnsi" w:hAnsiTheme="minorHAnsi" w:cstheme="minorHAnsi"/>
                <w:sz w:val="22"/>
                <w:szCs w:val="22"/>
              </w:rPr>
              <w:t>The System Escalation Plan and processes are reviewed at least annually to ensure the system remains responsive to and supports swift system recovery during periods of escalation.</w:t>
            </w:r>
          </w:p>
          <w:p w14:paraId="5FD488BF" w14:textId="77777777" w:rsidR="00CF2678" w:rsidRPr="004C5C59" w:rsidRDefault="00CF2678">
            <w:pPr>
              <w:ind w:right="120"/>
              <w:jc w:val="both"/>
              <w:rPr>
                <w:rFonts w:asciiTheme="minorHAnsi" w:hAnsiTheme="minorHAnsi" w:cstheme="minorHAnsi"/>
                <w:sz w:val="22"/>
                <w:szCs w:val="22"/>
              </w:rPr>
            </w:pPr>
          </w:p>
          <w:p w14:paraId="540F67FD" w14:textId="77777777" w:rsidR="00B97361" w:rsidRDefault="00B97361">
            <w:pPr>
              <w:ind w:right="120"/>
              <w:jc w:val="both"/>
              <w:rPr>
                <w:rFonts w:asciiTheme="minorHAnsi" w:hAnsiTheme="minorHAnsi" w:cstheme="minorHAnsi"/>
                <w:b/>
                <w:sz w:val="22"/>
                <w:szCs w:val="22"/>
              </w:rPr>
            </w:pPr>
          </w:p>
          <w:p w14:paraId="778EE006" w14:textId="18FD9A26" w:rsidR="000F6924"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lastRenderedPageBreak/>
              <w:t>6</w:t>
            </w:r>
            <w:r w:rsidR="000F6924" w:rsidRPr="004C5C59">
              <w:rPr>
                <w:rFonts w:asciiTheme="minorHAnsi" w:hAnsiTheme="minorHAnsi" w:cstheme="minorHAnsi"/>
                <w:b/>
                <w:sz w:val="22"/>
                <w:szCs w:val="22"/>
              </w:rPr>
              <w:t>.1.4 SHREWD</w:t>
            </w:r>
          </w:p>
          <w:p w14:paraId="3F3541D0" w14:textId="77777777" w:rsidR="000F6924" w:rsidRPr="004C5C59" w:rsidRDefault="000F6924">
            <w:pPr>
              <w:ind w:right="120"/>
              <w:jc w:val="both"/>
              <w:rPr>
                <w:rFonts w:asciiTheme="minorHAnsi" w:hAnsiTheme="minorHAnsi" w:cstheme="minorHAnsi"/>
                <w:sz w:val="22"/>
                <w:szCs w:val="22"/>
              </w:rPr>
            </w:pPr>
            <w:r w:rsidRPr="004C5C59">
              <w:rPr>
                <w:rFonts w:asciiTheme="minorHAnsi" w:hAnsiTheme="minorHAnsi" w:cstheme="minorHAnsi"/>
                <w:sz w:val="22"/>
                <w:szCs w:val="22"/>
              </w:rPr>
              <w:t>SHREWD stands for Single Health Resilience Early Warning Database and is an on-line, real time health system management tool. SHREWD is used across the whole system to provide a real time view of system pressure that clearly shows where an activity has escalated, allowing data driven decision making.</w:t>
            </w:r>
          </w:p>
          <w:p w14:paraId="792A974F" w14:textId="77777777" w:rsidR="000F6924" w:rsidRPr="004C5C59" w:rsidRDefault="000F6924">
            <w:pPr>
              <w:ind w:right="120"/>
              <w:jc w:val="both"/>
              <w:rPr>
                <w:rFonts w:asciiTheme="minorHAnsi" w:hAnsiTheme="minorHAnsi" w:cstheme="minorHAnsi"/>
                <w:sz w:val="22"/>
                <w:szCs w:val="22"/>
              </w:rPr>
            </w:pPr>
          </w:p>
          <w:p w14:paraId="71FBAE3A" w14:textId="77777777" w:rsidR="000F6924" w:rsidRDefault="000F6924">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Each provider organisation has a set of agreed SHREWD indicators that are RAG rated and weighted in line with organisation and System Escalation Plans. As part of escalation plans providers are required to set trigger values for each indicator and keep these updated to provide real time visibility of escalation across any area. The indicators are RAG rated using the ‘BRAG’ (Black, Red, Amber, and Green) system which is presented as wheels as visual aids to reflect the pressures. This has been aligned to the new OPEL framework in a simple way that green reflects OPEL </w:t>
            </w:r>
            <w:proofErr w:type="gramStart"/>
            <w:r w:rsidRPr="004C5C59">
              <w:rPr>
                <w:rFonts w:asciiTheme="minorHAnsi" w:hAnsiTheme="minorHAnsi" w:cstheme="minorHAnsi"/>
                <w:sz w:val="22"/>
                <w:szCs w:val="22"/>
              </w:rPr>
              <w:t>1,</w:t>
            </w:r>
            <w:proofErr w:type="gramEnd"/>
            <w:r w:rsidRPr="004C5C59">
              <w:rPr>
                <w:rFonts w:asciiTheme="minorHAnsi" w:hAnsiTheme="minorHAnsi" w:cstheme="minorHAnsi"/>
                <w:sz w:val="22"/>
                <w:szCs w:val="22"/>
              </w:rPr>
              <w:t xml:space="preserve"> amber reflects OPEL 2 and so on.</w:t>
            </w:r>
          </w:p>
          <w:p w14:paraId="47A1F13A" w14:textId="77777777" w:rsidR="006675E3" w:rsidRDefault="006675E3">
            <w:pPr>
              <w:ind w:right="120"/>
              <w:jc w:val="both"/>
              <w:rPr>
                <w:rFonts w:asciiTheme="minorHAnsi" w:hAnsiTheme="minorHAnsi" w:cstheme="minorHAnsi"/>
                <w:sz w:val="22"/>
                <w:szCs w:val="22"/>
              </w:rPr>
            </w:pPr>
          </w:p>
          <w:p w14:paraId="2AB01883" w14:textId="55903843" w:rsidR="006675E3" w:rsidRPr="004C5C59" w:rsidRDefault="006675E3">
            <w:pPr>
              <w:ind w:right="120"/>
              <w:jc w:val="both"/>
              <w:rPr>
                <w:rFonts w:asciiTheme="minorHAnsi" w:hAnsiTheme="minorHAnsi" w:cstheme="minorHAnsi"/>
                <w:sz w:val="22"/>
                <w:szCs w:val="22"/>
              </w:rPr>
            </w:pPr>
            <w:r>
              <w:rPr>
                <w:rFonts w:asciiTheme="minorHAnsi" w:hAnsiTheme="minorHAnsi" w:cstheme="minorHAnsi"/>
                <w:sz w:val="22"/>
                <w:szCs w:val="22"/>
              </w:rPr>
              <w:t>The Provider must</w:t>
            </w:r>
            <w:r w:rsidR="00182BC9">
              <w:rPr>
                <w:rFonts w:asciiTheme="minorHAnsi" w:hAnsiTheme="minorHAnsi" w:cstheme="minorHAnsi"/>
                <w:sz w:val="22"/>
                <w:szCs w:val="22"/>
              </w:rPr>
              <w:t xml:space="preserve"> </w:t>
            </w:r>
            <w:r>
              <w:rPr>
                <w:rFonts w:asciiTheme="minorHAnsi" w:hAnsiTheme="minorHAnsi" w:cstheme="minorHAnsi"/>
                <w:sz w:val="22"/>
                <w:szCs w:val="22"/>
              </w:rPr>
              <w:t xml:space="preserve">comply with SHREWD requirements to support the wider </w:t>
            </w:r>
            <w:r w:rsidR="00182BC9">
              <w:rPr>
                <w:rFonts w:asciiTheme="minorHAnsi" w:hAnsiTheme="minorHAnsi" w:cstheme="minorHAnsi"/>
                <w:sz w:val="22"/>
                <w:szCs w:val="22"/>
              </w:rPr>
              <w:t>health and social care economy</w:t>
            </w:r>
            <w:r>
              <w:rPr>
                <w:rFonts w:asciiTheme="minorHAnsi" w:hAnsiTheme="minorHAnsi" w:cstheme="minorHAnsi"/>
                <w:sz w:val="22"/>
                <w:szCs w:val="22"/>
              </w:rPr>
              <w:t>.</w:t>
            </w:r>
          </w:p>
          <w:p w14:paraId="5F57E313" w14:textId="77777777" w:rsidR="000F6924" w:rsidRPr="004C5C59" w:rsidRDefault="000F6924">
            <w:pPr>
              <w:ind w:right="120"/>
              <w:jc w:val="both"/>
              <w:rPr>
                <w:rFonts w:asciiTheme="minorHAnsi" w:hAnsiTheme="minorHAnsi" w:cstheme="minorHAnsi"/>
                <w:sz w:val="22"/>
                <w:szCs w:val="22"/>
              </w:rPr>
            </w:pPr>
          </w:p>
          <w:p w14:paraId="49AF416B" w14:textId="3F5E7A06" w:rsidR="00CF2678"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t>6</w:t>
            </w:r>
            <w:r w:rsidR="00CF2678" w:rsidRPr="004C5C59">
              <w:rPr>
                <w:rFonts w:asciiTheme="minorHAnsi" w:hAnsiTheme="minorHAnsi" w:cstheme="minorHAnsi"/>
                <w:b/>
                <w:sz w:val="22"/>
                <w:szCs w:val="22"/>
              </w:rPr>
              <w:t>.1.</w:t>
            </w:r>
            <w:r w:rsidR="00130557" w:rsidRPr="004C5C59">
              <w:rPr>
                <w:rFonts w:asciiTheme="minorHAnsi" w:hAnsiTheme="minorHAnsi" w:cstheme="minorHAnsi"/>
                <w:b/>
                <w:sz w:val="22"/>
                <w:szCs w:val="22"/>
              </w:rPr>
              <w:t>5</w:t>
            </w:r>
            <w:r w:rsidR="00CF2678" w:rsidRPr="004C5C59">
              <w:rPr>
                <w:rFonts w:asciiTheme="minorHAnsi" w:hAnsiTheme="minorHAnsi" w:cstheme="minorHAnsi"/>
                <w:b/>
                <w:sz w:val="22"/>
                <w:szCs w:val="22"/>
              </w:rPr>
              <w:t xml:space="preserve"> </w:t>
            </w:r>
            <w:r w:rsidR="006D7D15" w:rsidRPr="004C5C59">
              <w:rPr>
                <w:rFonts w:asciiTheme="minorHAnsi" w:hAnsiTheme="minorHAnsi" w:cstheme="minorHAnsi"/>
                <w:b/>
                <w:sz w:val="22"/>
                <w:szCs w:val="22"/>
              </w:rPr>
              <w:t>Adult Social Care</w:t>
            </w:r>
          </w:p>
          <w:p w14:paraId="636D86D4" w14:textId="16E083CC" w:rsidR="0078677D" w:rsidRPr="004C5C59" w:rsidRDefault="00054EB3">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The Provider will be expected to work closely with Medway </w:t>
            </w:r>
            <w:r w:rsidR="007F6EB6" w:rsidRPr="004C5C59">
              <w:rPr>
                <w:rFonts w:asciiTheme="minorHAnsi" w:hAnsiTheme="minorHAnsi" w:cstheme="minorHAnsi"/>
                <w:sz w:val="22"/>
                <w:szCs w:val="22"/>
              </w:rPr>
              <w:t>A</w:t>
            </w:r>
            <w:r w:rsidRPr="004C5C59">
              <w:rPr>
                <w:rFonts w:asciiTheme="minorHAnsi" w:hAnsiTheme="minorHAnsi" w:cstheme="minorHAnsi"/>
                <w:sz w:val="22"/>
                <w:szCs w:val="22"/>
              </w:rPr>
              <w:t xml:space="preserve">dult </w:t>
            </w:r>
            <w:r w:rsidR="007F6EB6" w:rsidRPr="004C5C59">
              <w:rPr>
                <w:rFonts w:asciiTheme="minorHAnsi" w:hAnsiTheme="minorHAnsi" w:cstheme="minorHAnsi"/>
                <w:sz w:val="22"/>
                <w:szCs w:val="22"/>
              </w:rPr>
              <w:t>S</w:t>
            </w:r>
            <w:r w:rsidRPr="004C5C59">
              <w:rPr>
                <w:rFonts w:asciiTheme="minorHAnsi" w:hAnsiTheme="minorHAnsi" w:cstheme="minorHAnsi"/>
                <w:sz w:val="22"/>
                <w:szCs w:val="22"/>
              </w:rPr>
              <w:t>ocial</w:t>
            </w:r>
            <w:r w:rsidR="007F6EB6" w:rsidRPr="004C5C59">
              <w:rPr>
                <w:rFonts w:asciiTheme="minorHAnsi" w:hAnsiTheme="minorHAnsi" w:cstheme="minorHAnsi"/>
                <w:sz w:val="22"/>
                <w:szCs w:val="22"/>
              </w:rPr>
              <w:t xml:space="preserve"> Care</w:t>
            </w:r>
            <w:r w:rsidRPr="004C5C59">
              <w:rPr>
                <w:rFonts w:asciiTheme="minorHAnsi" w:hAnsiTheme="minorHAnsi" w:cstheme="minorHAnsi"/>
                <w:sz w:val="22"/>
                <w:szCs w:val="22"/>
              </w:rPr>
              <w:t xml:space="preserve"> to ensure close collaborative </w:t>
            </w:r>
            <w:r w:rsidR="00901D42" w:rsidRPr="004C5C59">
              <w:rPr>
                <w:rFonts w:asciiTheme="minorHAnsi" w:hAnsiTheme="minorHAnsi" w:cstheme="minorHAnsi"/>
                <w:sz w:val="22"/>
                <w:szCs w:val="22"/>
              </w:rPr>
              <w:t>working</w:t>
            </w:r>
            <w:r w:rsidR="0014255E" w:rsidRPr="004C5C59">
              <w:rPr>
                <w:rFonts w:asciiTheme="minorHAnsi" w:hAnsiTheme="minorHAnsi" w:cstheme="minorHAnsi"/>
                <w:sz w:val="22"/>
                <w:szCs w:val="22"/>
              </w:rPr>
              <w:t xml:space="preserve"> between health and social care</w:t>
            </w:r>
            <w:r w:rsidR="00901D42" w:rsidRPr="004C5C59">
              <w:rPr>
                <w:rFonts w:asciiTheme="minorHAnsi" w:hAnsiTheme="minorHAnsi" w:cstheme="minorHAnsi"/>
                <w:sz w:val="22"/>
                <w:szCs w:val="22"/>
              </w:rPr>
              <w:t xml:space="preserve">.  </w:t>
            </w:r>
            <w:r w:rsidR="0078677D" w:rsidRPr="004C5C59">
              <w:rPr>
                <w:rFonts w:asciiTheme="minorHAnsi" w:hAnsiTheme="minorHAnsi" w:cstheme="minorHAnsi"/>
                <w:sz w:val="22"/>
                <w:szCs w:val="22"/>
              </w:rPr>
              <w:t xml:space="preserve">The Provider will work seamlessly with social care </w:t>
            </w:r>
            <w:r w:rsidR="00D0322E" w:rsidRPr="004C5C59">
              <w:rPr>
                <w:rFonts w:asciiTheme="minorHAnsi" w:hAnsiTheme="minorHAnsi" w:cstheme="minorHAnsi"/>
                <w:sz w:val="22"/>
                <w:szCs w:val="22"/>
              </w:rPr>
              <w:t>teams to ensure r</w:t>
            </w:r>
            <w:r w:rsidR="0078677D" w:rsidRPr="004C5C59">
              <w:rPr>
                <w:rFonts w:asciiTheme="minorHAnsi" w:hAnsiTheme="minorHAnsi" w:cstheme="minorHAnsi"/>
                <w:sz w:val="22"/>
                <w:szCs w:val="22"/>
              </w:rPr>
              <w:t xml:space="preserve">egular representation </w:t>
            </w:r>
            <w:r w:rsidR="00B01D85" w:rsidRPr="004C5C59">
              <w:rPr>
                <w:rFonts w:asciiTheme="minorHAnsi" w:hAnsiTheme="minorHAnsi" w:cstheme="minorHAnsi"/>
                <w:sz w:val="22"/>
                <w:szCs w:val="22"/>
              </w:rPr>
              <w:t xml:space="preserve">at </w:t>
            </w:r>
            <w:r w:rsidR="0078677D" w:rsidRPr="004C5C59">
              <w:rPr>
                <w:rFonts w:asciiTheme="minorHAnsi" w:hAnsiTheme="minorHAnsi" w:cstheme="minorHAnsi"/>
                <w:sz w:val="22"/>
                <w:szCs w:val="22"/>
              </w:rPr>
              <w:t xml:space="preserve">the </w:t>
            </w:r>
            <w:r w:rsidR="000C275D" w:rsidRPr="003B72BE">
              <w:rPr>
                <w:rFonts w:asciiTheme="minorHAnsi" w:hAnsiTheme="minorHAnsi" w:cstheme="minorHAnsi"/>
                <w:sz w:val="22"/>
                <w:szCs w:val="22"/>
              </w:rPr>
              <w:t>ILRs</w:t>
            </w:r>
            <w:r w:rsidR="00B32654" w:rsidRPr="00E47D80">
              <w:rPr>
                <w:rFonts w:asciiTheme="minorHAnsi" w:hAnsiTheme="minorHAnsi" w:cstheme="minorHAnsi"/>
                <w:sz w:val="22"/>
                <w:szCs w:val="22"/>
              </w:rPr>
              <w:t>;</w:t>
            </w:r>
            <w:r w:rsidR="00B32654" w:rsidRPr="004C5C59">
              <w:rPr>
                <w:rFonts w:asciiTheme="minorHAnsi" w:hAnsiTheme="minorHAnsi" w:cstheme="minorHAnsi"/>
                <w:sz w:val="22"/>
                <w:szCs w:val="22"/>
              </w:rPr>
              <w:t xml:space="preserve"> with </w:t>
            </w:r>
            <w:r w:rsidR="00B01D85" w:rsidRPr="004C5C59">
              <w:rPr>
                <w:rFonts w:asciiTheme="minorHAnsi" w:hAnsiTheme="minorHAnsi" w:cstheme="minorHAnsi"/>
                <w:sz w:val="22"/>
                <w:szCs w:val="22"/>
              </w:rPr>
              <w:t xml:space="preserve">social care </w:t>
            </w:r>
            <w:r w:rsidR="0078677D" w:rsidRPr="004C5C59">
              <w:rPr>
                <w:rFonts w:asciiTheme="minorHAnsi" w:hAnsiTheme="minorHAnsi" w:cstheme="minorHAnsi"/>
                <w:sz w:val="22"/>
                <w:szCs w:val="22"/>
              </w:rPr>
              <w:t xml:space="preserve">professionals fully involved in the care planning process for any </w:t>
            </w:r>
            <w:r w:rsidR="00B44E79" w:rsidRPr="004C5C59">
              <w:rPr>
                <w:rFonts w:asciiTheme="minorHAnsi" w:hAnsiTheme="minorHAnsi" w:cstheme="minorHAnsi"/>
                <w:sz w:val="22"/>
                <w:szCs w:val="22"/>
              </w:rPr>
              <w:t xml:space="preserve">patients </w:t>
            </w:r>
            <w:r w:rsidR="0078677D" w:rsidRPr="004C5C59">
              <w:rPr>
                <w:rFonts w:asciiTheme="minorHAnsi" w:hAnsiTheme="minorHAnsi" w:cstheme="minorHAnsi"/>
                <w:sz w:val="22"/>
                <w:szCs w:val="22"/>
              </w:rPr>
              <w:t>requiring non-acute care in the community.</w:t>
            </w:r>
            <w:r w:rsidR="00FA3451" w:rsidRPr="004C5C59">
              <w:rPr>
                <w:rFonts w:asciiTheme="minorHAnsi" w:hAnsiTheme="minorHAnsi" w:cstheme="minorHAnsi"/>
                <w:sz w:val="22"/>
                <w:szCs w:val="22"/>
              </w:rPr>
              <w:t xml:space="preserve">  </w:t>
            </w:r>
            <w:r w:rsidR="00BB4FBF" w:rsidRPr="004C5C59">
              <w:rPr>
                <w:rFonts w:asciiTheme="minorHAnsi" w:hAnsiTheme="minorHAnsi" w:cstheme="minorHAnsi"/>
                <w:sz w:val="22"/>
                <w:szCs w:val="22"/>
              </w:rPr>
              <w:t xml:space="preserve"> </w:t>
            </w:r>
          </w:p>
          <w:p w14:paraId="7BDA4E80" w14:textId="77777777" w:rsidR="00A564C8" w:rsidRPr="004C5C59" w:rsidRDefault="00A564C8">
            <w:pPr>
              <w:ind w:right="120"/>
              <w:jc w:val="both"/>
              <w:rPr>
                <w:rFonts w:asciiTheme="minorHAnsi" w:hAnsiTheme="minorHAnsi" w:cstheme="minorHAnsi"/>
                <w:sz w:val="22"/>
                <w:szCs w:val="22"/>
              </w:rPr>
            </w:pPr>
          </w:p>
          <w:p w14:paraId="01027C64" w14:textId="29869D01" w:rsidR="00A564C8" w:rsidRPr="004C5C59" w:rsidRDefault="00A564C8">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Domiciliary care services </w:t>
            </w:r>
            <w:r w:rsidR="002E0AA2" w:rsidRPr="004C5C59">
              <w:rPr>
                <w:rFonts w:asciiTheme="minorHAnsi" w:hAnsiTheme="minorHAnsi" w:cstheme="minorHAnsi"/>
                <w:sz w:val="22"/>
                <w:szCs w:val="22"/>
              </w:rPr>
              <w:t xml:space="preserve">will </w:t>
            </w:r>
            <w:r w:rsidRPr="004C5C59">
              <w:rPr>
                <w:rFonts w:asciiTheme="minorHAnsi" w:hAnsiTheme="minorHAnsi" w:cstheme="minorHAnsi"/>
                <w:sz w:val="22"/>
                <w:szCs w:val="22"/>
              </w:rPr>
              <w:t xml:space="preserve">be reconfigured according to the Medway Model enabling carers to be located closer to the patient’s home. These services will be expected to work in a more integrated way with other local organisations including the Provider </w:t>
            </w:r>
            <w:r w:rsidR="00B32654" w:rsidRPr="004C5C59">
              <w:rPr>
                <w:rFonts w:asciiTheme="minorHAnsi" w:hAnsiTheme="minorHAnsi" w:cstheme="minorHAnsi"/>
                <w:sz w:val="22"/>
                <w:szCs w:val="22"/>
              </w:rPr>
              <w:t>(</w:t>
            </w:r>
            <w:r w:rsidRPr="004C5C59">
              <w:rPr>
                <w:rFonts w:asciiTheme="minorHAnsi" w:hAnsiTheme="minorHAnsi" w:cstheme="minorHAnsi"/>
                <w:sz w:val="22"/>
                <w:szCs w:val="22"/>
              </w:rPr>
              <w:t>of adult community services</w:t>
            </w:r>
            <w:r w:rsidR="00B32654" w:rsidRPr="004C5C59">
              <w:rPr>
                <w:rFonts w:asciiTheme="minorHAnsi" w:hAnsiTheme="minorHAnsi" w:cstheme="minorHAnsi"/>
                <w:sz w:val="22"/>
                <w:szCs w:val="22"/>
              </w:rPr>
              <w:t>)</w:t>
            </w:r>
            <w:r w:rsidR="00FC6344" w:rsidRPr="004C5C59">
              <w:rPr>
                <w:rFonts w:asciiTheme="minorHAnsi" w:hAnsiTheme="minorHAnsi" w:cstheme="minorHAnsi"/>
                <w:sz w:val="22"/>
                <w:szCs w:val="22"/>
              </w:rPr>
              <w:t>;</w:t>
            </w:r>
            <w:r w:rsidRPr="004C5C59">
              <w:rPr>
                <w:rFonts w:asciiTheme="minorHAnsi" w:hAnsiTheme="minorHAnsi" w:cstheme="minorHAnsi"/>
                <w:sz w:val="22"/>
                <w:szCs w:val="22"/>
              </w:rPr>
              <w:t xml:space="preserve"> to help support integrated care delivery. They will work closely with the Provider to align and facilitate integrated care planning.  This will ensure the needs of patients are more holistically supported in a joined up way, by domiciliary carers working in close alliance with the core generalist and specialist support functions. </w:t>
            </w:r>
          </w:p>
          <w:p w14:paraId="576AAD6B" w14:textId="77777777" w:rsidR="00720113" w:rsidRPr="004C5C59" w:rsidRDefault="00720113">
            <w:pPr>
              <w:ind w:right="120"/>
              <w:jc w:val="both"/>
              <w:rPr>
                <w:rFonts w:asciiTheme="minorHAnsi" w:hAnsiTheme="minorHAnsi" w:cstheme="minorHAnsi"/>
                <w:sz w:val="22"/>
                <w:szCs w:val="22"/>
              </w:rPr>
            </w:pPr>
          </w:p>
          <w:p w14:paraId="328BB857" w14:textId="6408A4D9" w:rsidR="00184063" w:rsidRPr="004C5C59" w:rsidRDefault="005D59F6">
            <w:pPr>
              <w:ind w:right="120"/>
              <w:jc w:val="both"/>
              <w:rPr>
                <w:rFonts w:asciiTheme="minorHAnsi" w:hAnsiTheme="minorHAnsi" w:cstheme="minorHAnsi"/>
                <w:sz w:val="22"/>
                <w:szCs w:val="22"/>
              </w:rPr>
            </w:pPr>
            <w:r w:rsidRPr="004C5C59">
              <w:rPr>
                <w:rFonts w:asciiTheme="minorHAnsi" w:hAnsiTheme="minorHAnsi" w:cstheme="minorHAnsi"/>
                <w:sz w:val="22"/>
                <w:szCs w:val="22"/>
              </w:rPr>
              <w:t>A</w:t>
            </w:r>
            <w:r w:rsidR="00720113" w:rsidRPr="004C5C59">
              <w:rPr>
                <w:rFonts w:asciiTheme="minorHAnsi" w:hAnsiTheme="minorHAnsi" w:cstheme="minorHAnsi"/>
                <w:sz w:val="22"/>
                <w:szCs w:val="22"/>
              </w:rPr>
              <w:t xml:space="preserve"> </w:t>
            </w:r>
            <w:r w:rsidR="00330BFB" w:rsidRPr="004C5C59">
              <w:rPr>
                <w:rFonts w:asciiTheme="minorHAnsi" w:hAnsiTheme="minorHAnsi" w:cstheme="minorHAnsi"/>
                <w:sz w:val="22"/>
                <w:szCs w:val="22"/>
              </w:rPr>
              <w:t>number of services jointly funded by health and social care (</w:t>
            </w:r>
            <w:r w:rsidRPr="004C5C59">
              <w:rPr>
                <w:rFonts w:asciiTheme="minorHAnsi" w:hAnsiTheme="minorHAnsi" w:cstheme="minorHAnsi"/>
                <w:sz w:val="22"/>
                <w:szCs w:val="22"/>
              </w:rPr>
              <w:t xml:space="preserve">via the </w:t>
            </w:r>
            <w:r w:rsidR="00330BFB" w:rsidRPr="004C5C59">
              <w:rPr>
                <w:rFonts w:asciiTheme="minorHAnsi" w:hAnsiTheme="minorHAnsi" w:cstheme="minorHAnsi"/>
                <w:sz w:val="22"/>
                <w:szCs w:val="22"/>
              </w:rPr>
              <w:t xml:space="preserve">Better Care Fund) </w:t>
            </w:r>
            <w:r w:rsidR="002115A0" w:rsidRPr="004C5C59">
              <w:rPr>
                <w:rFonts w:asciiTheme="minorHAnsi" w:hAnsiTheme="minorHAnsi" w:cstheme="minorHAnsi"/>
                <w:sz w:val="22"/>
                <w:szCs w:val="22"/>
              </w:rPr>
              <w:t xml:space="preserve">sit </w:t>
            </w:r>
            <w:r w:rsidR="00330BFB" w:rsidRPr="004C5C59">
              <w:rPr>
                <w:rFonts w:asciiTheme="minorHAnsi" w:hAnsiTheme="minorHAnsi" w:cstheme="minorHAnsi"/>
                <w:sz w:val="22"/>
                <w:szCs w:val="22"/>
              </w:rPr>
              <w:t>outside the scope of thi</w:t>
            </w:r>
            <w:r w:rsidR="00DE7587" w:rsidRPr="004C5C59">
              <w:rPr>
                <w:rFonts w:asciiTheme="minorHAnsi" w:hAnsiTheme="minorHAnsi" w:cstheme="minorHAnsi"/>
                <w:sz w:val="22"/>
                <w:szCs w:val="22"/>
              </w:rPr>
              <w:t xml:space="preserve">s </w:t>
            </w:r>
            <w:r w:rsidR="007756FE" w:rsidRPr="004C5C59">
              <w:rPr>
                <w:rFonts w:asciiTheme="minorHAnsi" w:hAnsiTheme="minorHAnsi" w:cstheme="minorHAnsi"/>
                <w:sz w:val="22"/>
                <w:szCs w:val="22"/>
              </w:rPr>
              <w:t>specification</w:t>
            </w:r>
            <w:r w:rsidR="00DE7587" w:rsidRPr="004C5C59">
              <w:rPr>
                <w:rFonts w:asciiTheme="minorHAnsi" w:hAnsiTheme="minorHAnsi" w:cstheme="minorHAnsi"/>
                <w:sz w:val="22"/>
                <w:szCs w:val="22"/>
              </w:rPr>
              <w:t>, but are integral to the transformation of the local health and social care system.  These include</w:t>
            </w:r>
            <w:r w:rsidR="00943106" w:rsidRPr="004C5C59">
              <w:rPr>
                <w:rFonts w:asciiTheme="minorHAnsi" w:hAnsiTheme="minorHAnsi" w:cstheme="minorHAnsi"/>
                <w:sz w:val="22"/>
                <w:szCs w:val="22"/>
              </w:rPr>
              <w:t xml:space="preserve"> (but are not limited to)</w:t>
            </w:r>
            <w:r w:rsidR="00DE7587" w:rsidRPr="004C5C59">
              <w:rPr>
                <w:rFonts w:asciiTheme="minorHAnsi" w:hAnsiTheme="minorHAnsi" w:cstheme="minorHAnsi"/>
                <w:sz w:val="22"/>
                <w:szCs w:val="22"/>
              </w:rPr>
              <w:t xml:space="preserve">: </w:t>
            </w:r>
            <w:r w:rsidR="007F6EB6" w:rsidRPr="004C5C59">
              <w:rPr>
                <w:rFonts w:asciiTheme="minorHAnsi" w:hAnsiTheme="minorHAnsi" w:cstheme="minorHAnsi"/>
                <w:sz w:val="22"/>
                <w:szCs w:val="22"/>
              </w:rPr>
              <w:t xml:space="preserve">MICES, </w:t>
            </w:r>
            <w:r w:rsidR="00DE7587" w:rsidRPr="004C5C59">
              <w:rPr>
                <w:rFonts w:asciiTheme="minorHAnsi" w:hAnsiTheme="minorHAnsi" w:cstheme="minorHAnsi"/>
                <w:sz w:val="22"/>
                <w:szCs w:val="22"/>
              </w:rPr>
              <w:t xml:space="preserve">the Integrated Discharge Team, </w:t>
            </w:r>
            <w:r w:rsidR="007E742C" w:rsidRPr="004C5C59">
              <w:rPr>
                <w:rFonts w:asciiTheme="minorHAnsi" w:hAnsiTheme="minorHAnsi" w:cstheme="minorHAnsi"/>
                <w:sz w:val="22"/>
                <w:szCs w:val="22"/>
              </w:rPr>
              <w:t>Intermediate Care and Re-</w:t>
            </w:r>
            <w:proofErr w:type="spellStart"/>
            <w:r w:rsidR="007E742C" w:rsidRPr="004C5C59">
              <w:rPr>
                <w:rFonts w:asciiTheme="minorHAnsi" w:hAnsiTheme="minorHAnsi" w:cstheme="minorHAnsi"/>
                <w:sz w:val="22"/>
                <w:szCs w:val="22"/>
              </w:rPr>
              <w:t>ablement</w:t>
            </w:r>
            <w:proofErr w:type="spellEnd"/>
            <w:r w:rsidR="007E742C" w:rsidRPr="004C5C59">
              <w:rPr>
                <w:rFonts w:asciiTheme="minorHAnsi" w:hAnsiTheme="minorHAnsi" w:cstheme="minorHAnsi"/>
                <w:sz w:val="22"/>
                <w:szCs w:val="22"/>
              </w:rPr>
              <w:t xml:space="preserve"> Services</w:t>
            </w:r>
            <w:r w:rsidR="00E70DD2" w:rsidRPr="004C5C59">
              <w:rPr>
                <w:rFonts w:asciiTheme="minorHAnsi" w:hAnsiTheme="minorHAnsi" w:cstheme="minorHAnsi"/>
                <w:sz w:val="22"/>
                <w:szCs w:val="22"/>
              </w:rPr>
              <w:t xml:space="preserve"> including Home First</w:t>
            </w:r>
            <w:r w:rsidR="002115A0" w:rsidRPr="004C5C59">
              <w:rPr>
                <w:rFonts w:asciiTheme="minorHAnsi" w:hAnsiTheme="minorHAnsi" w:cstheme="minorHAnsi"/>
                <w:sz w:val="22"/>
                <w:szCs w:val="22"/>
              </w:rPr>
              <w:t xml:space="preserve"> and services to support informal and family carers.</w:t>
            </w:r>
            <w:r w:rsidR="006B64FC" w:rsidRPr="004C5C59">
              <w:rPr>
                <w:rFonts w:asciiTheme="minorHAnsi" w:hAnsiTheme="minorHAnsi" w:cstheme="minorHAnsi"/>
                <w:sz w:val="22"/>
                <w:szCs w:val="22"/>
              </w:rPr>
              <w:t xml:space="preserve">  </w:t>
            </w:r>
            <w:r w:rsidR="00184063" w:rsidRPr="004C5C59">
              <w:rPr>
                <w:rFonts w:asciiTheme="minorHAnsi" w:hAnsiTheme="minorHAnsi" w:cstheme="minorHAnsi"/>
                <w:sz w:val="22"/>
                <w:szCs w:val="22"/>
              </w:rPr>
              <w:t xml:space="preserve">Over the next few years, Medway Council will realign expenditure on traditional institutional style services, such as care homes and day centres into services delivered in people’s own homes and in local communities. </w:t>
            </w:r>
            <w:r w:rsidR="00501E5D" w:rsidRPr="004C5C59">
              <w:rPr>
                <w:rFonts w:asciiTheme="minorHAnsi" w:hAnsiTheme="minorHAnsi" w:cstheme="minorHAnsi"/>
                <w:sz w:val="22"/>
                <w:szCs w:val="22"/>
              </w:rPr>
              <w:t xml:space="preserve">The Provider will </w:t>
            </w:r>
            <w:r w:rsidR="00184063" w:rsidRPr="004C5C59">
              <w:rPr>
                <w:rFonts w:asciiTheme="minorHAnsi" w:hAnsiTheme="minorHAnsi" w:cstheme="minorHAnsi"/>
                <w:sz w:val="22"/>
                <w:szCs w:val="22"/>
              </w:rPr>
              <w:t>work alongside social care services to provide a co</w:t>
            </w:r>
            <w:r w:rsidR="00501E5D" w:rsidRPr="004C5C59">
              <w:rPr>
                <w:rFonts w:asciiTheme="minorHAnsi" w:hAnsiTheme="minorHAnsi" w:cstheme="minorHAnsi"/>
                <w:sz w:val="22"/>
                <w:szCs w:val="22"/>
              </w:rPr>
              <w:t>-</w:t>
            </w:r>
            <w:r w:rsidR="00184063" w:rsidRPr="004C5C59">
              <w:rPr>
                <w:rFonts w:asciiTheme="minorHAnsi" w:hAnsiTheme="minorHAnsi" w:cstheme="minorHAnsi"/>
                <w:sz w:val="22"/>
                <w:szCs w:val="22"/>
              </w:rPr>
              <w:t xml:space="preserve">ordinated service and a better patient experience. The </w:t>
            </w:r>
            <w:r w:rsidR="00177A3D" w:rsidRPr="004C5C59">
              <w:rPr>
                <w:rFonts w:asciiTheme="minorHAnsi" w:hAnsiTheme="minorHAnsi" w:cstheme="minorHAnsi"/>
                <w:sz w:val="22"/>
                <w:szCs w:val="22"/>
              </w:rPr>
              <w:t xml:space="preserve">Provider will ensure </w:t>
            </w:r>
            <w:r w:rsidR="00501E5D" w:rsidRPr="004C5C59">
              <w:rPr>
                <w:rFonts w:asciiTheme="minorHAnsi" w:hAnsiTheme="minorHAnsi" w:cstheme="minorHAnsi"/>
                <w:sz w:val="22"/>
                <w:szCs w:val="22"/>
              </w:rPr>
              <w:t xml:space="preserve">adult community services </w:t>
            </w:r>
            <w:r w:rsidR="00184063" w:rsidRPr="004C5C59">
              <w:rPr>
                <w:rFonts w:asciiTheme="minorHAnsi" w:hAnsiTheme="minorHAnsi" w:cstheme="minorHAnsi"/>
                <w:sz w:val="22"/>
                <w:szCs w:val="22"/>
              </w:rPr>
              <w:t>work</w:t>
            </w:r>
            <w:r w:rsidR="00A728CE">
              <w:rPr>
                <w:rFonts w:asciiTheme="minorHAnsi" w:hAnsiTheme="minorHAnsi" w:cstheme="minorHAnsi"/>
                <w:sz w:val="22"/>
                <w:szCs w:val="22"/>
              </w:rPr>
              <w:t>s</w:t>
            </w:r>
            <w:r w:rsidR="00184063" w:rsidRPr="004C5C59">
              <w:rPr>
                <w:rFonts w:asciiTheme="minorHAnsi" w:hAnsiTheme="minorHAnsi" w:cstheme="minorHAnsi"/>
                <w:sz w:val="22"/>
                <w:szCs w:val="22"/>
              </w:rPr>
              <w:t xml:space="preserve"> seamlessly with th</w:t>
            </w:r>
            <w:r w:rsidR="00177A3D" w:rsidRPr="004C5C59">
              <w:rPr>
                <w:rFonts w:asciiTheme="minorHAnsi" w:hAnsiTheme="minorHAnsi" w:cstheme="minorHAnsi"/>
                <w:sz w:val="22"/>
                <w:szCs w:val="22"/>
              </w:rPr>
              <w:t xml:space="preserve">ose services out of scope of this </w:t>
            </w:r>
            <w:r w:rsidR="007756FE" w:rsidRPr="004C5C59">
              <w:rPr>
                <w:rFonts w:asciiTheme="minorHAnsi" w:hAnsiTheme="minorHAnsi" w:cstheme="minorHAnsi"/>
                <w:sz w:val="22"/>
                <w:szCs w:val="22"/>
              </w:rPr>
              <w:t>specification</w:t>
            </w:r>
            <w:r w:rsidR="00177A3D" w:rsidRPr="004C5C59">
              <w:rPr>
                <w:rFonts w:asciiTheme="minorHAnsi" w:hAnsiTheme="minorHAnsi" w:cstheme="minorHAnsi"/>
                <w:sz w:val="22"/>
                <w:szCs w:val="22"/>
              </w:rPr>
              <w:t xml:space="preserve"> </w:t>
            </w:r>
            <w:r w:rsidR="00372594" w:rsidRPr="004C5C59">
              <w:rPr>
                <w:rFonts w:asciiTheme="minorHAnsi" w:hAnsiTheme="minorHAnsi" w:cstheme="minorHAnsi"/>
                <w:sz w:val="22"/>
                <w:szCs w:val="22"/>
              </w:rPr>
              <w:t>to ensure future provision is d</w:t>
            </w:r>
            <w:r w:rsidR="00184063" w:rsidRPr="004C5C59">
              <w:rPr>
                <w:rFonts w:asciiTheme="minorHAnsi" w:hAnsiTheme="minorHAnsi" w:cstheme="minorHAnsi"/>
                <w:sz w:val="22"/>
                <w:szCs w:val="22"/>
              </w:rPr>
              <w:t>esigned to cope with the shift of social care out of traditional style care homes to other settings.</w:t>
            </w:r>
          </w:p>
          <w:p w14:paraId="352BB813" w14:textId="77777777" w:rsidR="00AC7551" w:rsidRPr="004C5C59" w:rsidRDefault="00AC7551">
            <w:pPr>
              <w:ind w:right="120"/>
              <w:jc w:val="both"/>
              <w:rPr>
                <w:rFonts w:asciiTheme="minorHAnsi" w:hAnsiTheme="minorHAnsi" w:cstheme="minorHAnsi"/>
                <w:sz w:val="22"/>
                <w:szCs w:val="22"/>
              </w:rPr>
            </w:pPr>
          </w:p>
          <w:p w14:paraId="69417BE7" w14:textId="77777777" w:rsidR="00AC7551" w:rsidRPr="004C5C59" w:rsidRDefault="009935A7">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The Provider will work with Medway adult social care to consider </w:t>
            </w:r>
            <w:r w:rsidR="00266630" w:rsidRPr="004C5C59">
              <w:rPr>
                <w:rFonts w:asciiTheme="minorHAnsi" w:hAnsiTheme="minorHAnsi" w:cstheme="minorHAnsi"/>
                <w:sz w:val="22"/>
                <w:szCs w:val="22"/>
              </w:rPr>
              <w:t xml:space="preserve">the </w:t>
            </w:r>
            <w:r w:rsidR="00AC7551" w:rsidRPr="004C5C59">
              <w:rPr>
                <w:rFonts w:asciiTheme="minorHAnsi" w:hAnsiTheme="minorHAnsi" w:cstheme="minorHAnsi"/>
                <w:sz w:val="22"/>
                <w:szCs w:val="22"/>
              </w:rPr>
              <w:t>crossover</w:t>
            </w:r>
            <w:r w:rsidR="00266630" w:rsidRPr="004C5C59">
              <w:rPr>
                <w:rFonts w:asciiTheme="minorHAnsi" w:hAnsiTheme="minorHAnsi" w:cstheme="minorHAnsi"/>
                <w:sz w:val="22"/>
                <w:szCs w:val="22"/>
              </w:rPr>
              <w:t>/</w:t>
            </w:r>
            <w:r w:rsidR="00AC7551" w:rsidRPr="004C5C59">
              <w:rPr>
                <w:rFonts w:asciiTheme="minorHAnsi" w:hAnsiTheme="minorHAnsi" w:cstheme="minorHAnsi"/>
                <w:sz w:val="22"/>
                <w:szCs w:val="22"/>
              </w:rPr>
              <w:t xml:space="preserve"> linkages with the </w:t>
            </w:r>
            <w:r w:rsidR="00266630" w:rsidRPr="004C5C59">
              <w:rPr>
                <w:rFonts w:asciiTheme="minorHAnsi" w:hAnsiTheme="minorHAnsi" w:cstheme="minorHAnsi"/>
                <w:sz w:val="22"/>
                <w:szCs w:val="22"/>
              </w:rPr>
              <w:t>p</w:t>
            </w:r>
            <w:r w:rsidR="00AC7551" w:rsidRPr="004C5C59">
              <w:rPr>
                <w:rFonts w:asciiTheme="minorHAnsi" w:hAnsiTheme="minorHAnsi" w:cstheme="minorHAnsi"/>
                <w:sz w:val="22"/>
                <w:szCs w:val="22"/>
              </w:rPr>
              <w:t>rocurement of Home</w:t>
            </w:r>
            <w:r w:rsidR="00266630" w:rsidRPr="004C5C59">
              <w:rPr>
                <w:rFonts w:asciiTheme="minorHAnsi" w:hAnsiTheme="minorHAnsi" w:cstheme="minorHAnsi"/>
                <w:sz w:val="22"/>
                <w:szCs w:val="22"/>
              </w:rPr>
              <w:t xml:space="preserve"> </w:t>
            </w:r>
            <w:r w:rsidR="00AC7551" w:rsidRPr="004C5C59">
              <w:rPr>
                <w:rFonts w:asciiTheme="minorHAnsi" w:hAnsiTheme="minorHAnsi" w:cstheme="minorHAnsi"/>
                <w:sz w:val="22"/>
                <w:szCs w:val="22"/>
              </w:rPr>
              <w:t>First Plus</w:t>
            </w:r>
            <w:r w:rsidR="00266630" w:rsidRPr="004C5C59">
              <w:rPr>
                <w:rFonts w:asciiTheme="minorHAnsi" w:hAnsiTheme="minorHAnsi" w:cstheme="minorHAnsi"/>
                <w:sz w:val="22"/>
                <w:szCs w:val="22"/>
              </w:rPr>
              <w:t>.</w:t>
            </w:r>
          </w:p>
          <w:p w14:paraId="103B464E" w14:textId="77777777" w:rsidR="0008585E" w:rsidRPr="004C5C59" w:rsidRDefault="0008585E">
            <w:pPr>
              <w:ind w:right="120"/>
              <w:jc w:val="both"/>
              <w:rPr>
                <w:rFonts w:asciiTheme="minorHAnsi" w:hAnsiTheme="minorHAnsi" w:cstheme="minorHAnsi"/>
                <w:sz w:val="22"/>
                <w:szCs w:val="22"/>
              </w:rPr>
            </w:pPr>
          </w:p>
          <w:p w14:paraId="4D04DBB4" w14:textId="001423C5" w:rsidR="00CF2678"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t>6</w:t>
            </w:r>
            <w:r w:rsidR="002B3D39" w:rsidRPr="004C5C59">
              <w:rPr>
                <w:rFonts w:asciiTheme="minorHAnsi" w:hAnsiTheme="minorHAnsi" w:cstheme="minorHAnsi"/>
                <w:b/>
                <w:sz w:val="22"/>
                <w:szCs w:val="22"/>
              </w:rPr>
              <w:t>.1.</w:t>
            </w:r>
            <w:r w:rsidR="00130557" w:rsidRPr="004C5C59">
              <w:rPr>
                <w:rFonts w:asciiTheme="minorHAnsi" w:hAnsiTheme="minorHAnsi" w:cstheme="minorHAnsi"/>
                <w:b/>
                <w:sz w:val="22"/>
                <w:szCs w:val="22"/>
              </w:rPr>
              <w:t>6</w:t>
            </w:r>
            <w:r w:rsidR="002B3D39" w:rsidRPr="004C5C59">
              <w:rPr>
                <w:rFonts w:asciiTheme="minorHAnsi" w:hAnsiTheme="minorHAnsi" w:cstheme="minorHAnsi"/>
                <w:b/>
                <w:sz w:val="22"/>
                <w:szCs w:val="22"/>
              </w:rPr>
              <w:t xml:space="preserve"> Mental Health Services</w:t>
            </w:r>
          </w:p>
          <w:p w14:paraId="5526AFDC" w14:textId="01106366" w:rsidR="00003792" w:rsidRPr="004C5C59" w:rsidRDefault="00003792" w:rsidP="00003792">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The Provider will ensure that mental health and wellbeing is integral to </w:t>
            </w:r>
            <w:r w:rsidR="00801502" w:rsidRPr="004C5C59">
              <w:rPr>
                <w:rFonts w:asciiTheme="minorHAnsi" w:hAnsiTheme="minorHAnsi" w:cstheme="minorHAnsi"/>
                <w:sz w:val="22"/>
                <w:szCs w:val="22"/>
              </w:rPr>
              <w:t xml:space="preserve">the care delivery </w:t>
            </w:r>
            <w:r w:rsidRPr="004C5C59">
              <w:rPr>
                <w:rFonts w:asciiTheme="minorHAnsi" w:hAnsiTheme="minorHAnsi" w:cstheme="minorHAnsi"/>
                <w:sz w:val="22"/>
                <w:szCs w:val="22"/>
              </w:rPr>
              <w:t>in Medway. It is imperative that th</w:t>
            </w:r>
            <w:r w:rsidR="004A7E6D" w:rsidRPr="004C5C59">
              <w:rPr>
                <w:rFonts w:asciiTheme="minorHAnsi" w:hAnsiTheme="minorHAnsi" w:cstheme="minorHAnsi"/>
                <w:sz w:val="22"/>
                <w:szCs w:val="22"/>
              </w:rPr>
              <w:t xml:space="preserve">e Provider responds to the mental health needs </w:t>
            </w:r>
            <w:r w:rsidR="002A0A1B" w:rsidRPr="004C5C59">
              <w:rPr>
                <w:rFonts w:asciiTheme="minorHAnsi" w:hAnsiTheme="minorHAnsi" w:cstheme="minorHAnsi"/>
                <w:sz w:val="22"/>
                <w:szCs w:val="22"/>
              </w:rPr>
              <w:t>of patients ensuring that there are no inequalities in the delivery of care.</w:t>
            </w:r>
            <w:r w:rsidRPr="004C5C59">
              <w:rPr>
                <w:rFonts w:asciiTheme="minorHAnsi" w:hAnsiTheme="minorHAnsi" w:cstheme="minorHAnsi"/>
                <w:sz w:val="22"/>
                <w:szCs w:val="22"/>
              </w:rPr>
              <w:t xml:space="preserve"> It is essential that people living with mental health problems receive the right help at the right time </w:t>
            </w:r>
            <w:r w:rsidR="00D62A80" w:rsidRPr="004C5C59">
              <w:rPr>
                <w:rFonts w:asciiTheme="minorHAnsi" w:hAnsiTheme="minorHAnsi" w:cstheme="minorHAnsi"/>
                <w:sz w:val="22"/>
                <w:szCs w:val="22"/>
              </w:rPr>
              <w:t xml:space="preserve">and is in line </w:t>
            </w:r>
            <w:r w:rsidRPr="004C5C59">
              <w:rPr>
                <w:rFonts w:asciiTheme="minorHAnsi" w:hAnsiTheme="minorHAnsi" w:cstheme="minorHAnsi"/>
                <w:sz w:val="22"/>
                <w:szCs w:val="22"/>
              </w:rPr>
              <w:t xml:space="preserve">with evidence based care. </w:t>
            </w:r>
          </w:p>
          <w:p w14:paraId="48356450" w14:textId="77777777" w:rsidR="00003792" w:rsidRPr="004C5C59" w:rsidRDefault="00003792" w:rsidP="00003792">
            <w:pPr>
              <w:ind w:right="120"/>
              <w:jc w:val="both"/>
              <w:rPr>
                <w:rFonts w:asciiTheme="minorHAnsi" w:hAnsiTheme="minorHAnsi" w:cstheme="minorHAnsi"/>
                <w:sz w:val="22"/>
                <w:szCs w:val="22"/>
              </w:rPr>
            </w:pPr>
          </w:p>
          <w:p w14:paraId="1A5088FA" w14:textId="5471623F" w:rsidR="007B68F4" w:rsidRPr="004C5C59" w:rsidRDefault="00D47DB3">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The Provider will ensure that </w:t>
            </w:r>
            <w:proofErr w:type="gramStart"/>
            <w:r w:rsidR="00D62A80" w:rsidRPr="004C5C59">
              <w:rPr>
                <w:rFonts w:asciiTheme="minorHAnsi" w:hAnsiTheme="minorHAnsi" w:cstheme="minorHAnsi"/>
                <w:sz w:val="22"/>
                <w:szCs w:val="22"/>
              </w:rPr>
              <w:t>staff are</w:t>
            </w:r>
            <w:proofErr w:type="gramEnd"/>
            <w:r w:rsidR="00D62A80" w:rsidRPr="004C5C59">
              <w:rPr>
                <w:rFonts w:asciiTheme="minorHAnsi" w:hAnsiTheme="minorHAnsi" w:cstheme="minorHAnsi"/>
                <w:sz w:val="22"/>
                <w:szCs w:val="22"/>
              </w:rPr>
              <w:t xml:space="preserve"> </w:t>
            </w:r>
            <w:r w:rsidRPr="004C5C59">
              <w:rPr>
                <w:rFonts w:asciiTheme="minorHAnsi" w:hAnsiTheme="minorHAnsi" w:cstheme="minorHAnsi"/>
                <w:sz w:val="22"/>
                <w:szCs w:val="22"/>
              </w:rPr>
              <w:t>aware of mental health pathways and services in Medway</w:t>
            </w:r>
            <w:r w:rsidR="00D62A80" w:rsidRPr="004C5C59">
              <w:rPr>
                <w:rFonts w:asciiTheme="minorHAnsi" w:hAnsiTheme="minorHAnsi" w:cstheme="minorHAnsi"/>
                <w:sz w:val="22"/>
                <w:szCs w:val="22"/>
              </w:rPr>
              <w:t>, to enable referral and appropriate signposting</w:t>
            </w:r>
            <w:r w:rsidRPr="004C5C59">
              <w:rPr>
                <w:rFonts w:asciiTheme="minorHAnsi" w:hAnsiTheme="minorHAnsi" w:cstheme="minorHAnsi"/>
                <w:sz w:val="22"/>
                <w:szCs w:val="22"/>
              </w:rPr>
              <w:t xml:space="preserve">. The </w:t>
            </w:r>
            <w:r w:rsidR="00E114BB" w:rsidRPr="004C5C59">
              <w:rPr>
                <w:rFonts w:asciiTheme="minorHAnsi" w:hAnsiTheme="minorHAnsi" w:cstheme="minorHAnsi"/>
                <w:sz w:val="22"/>
                <w:szCs w:val="22"/>
              </w:rPr>
              <w:t>P</w:t>
            </w:r>
            <w:r w:rsidRPr="004C5C59">
              <w:rPr>
                <w:rFonts w:asciiTheme="minorHAnsi" w:hAnsiTheme="minorHAnsi" w:cstheme="minorHAnsi"/>
                <w:sz w:val="22"/>
                <w:szCs w:val="22"/>
              </w:rPr>
              <w:t>rovider will work with mental health services, GP practices, social care and the voluntary sector (where appropriate) to ensure that people in their services, who have mental health needs are identified and then supported appropriately</w:t>
            </w:r>
            <w:r w:rsidR="00E114BB" w:rsidRPr="004C5C59">
              <w:rPr>
                <w:rFonts w:asciiTheme="minorHAnsi" w:hAnsiTheme="minorHAnsi" w:cstheme="minorHAnsi"/>
                <w:sz w:val="22"/>
                <w:szCs w:val="22"/>
              </w:rPr>
              <w:t>.</w:t>
            </w:r>
            <w:r w:rsidR="00294B14" w:rsidRPr="004C5C59">
              <w:rPr>
                <w:rFonts w:asciiTheme="minorHAnsi" w:hAnsiTheme="minorHAnsi" w:cstheme="minorHAnsi"/>
                <w:sz w:val="22"/>
                <w:szCs w:val="22"/>
              </w:rPr>
              <w:t xml:space="preserve">  The Provider will ensure that staff work with mental health services to </w:t>
            </w:r>
            <w:r w:rsidR="00D43CC7" w:rsidRPr="004C5C59">
              <w:rPr>
                <w:rFonts w:asciiTheme="minorHAnsi" w:hAnsiTheme="minorHAnsi" w:cstheme="minorHAnsi"/>
                <w:sz w:val="22"/>
                <w:szCs w:val="22"/>
              </w:rPr>
              <w:t>ensure robust processes for communication and information sharing are in place.</w:t>
            </w:r>
          </w:p>
          <w:p w14:paraId="59FB25A2" w14:textId="77777777" w:rsidR="00003792" w:rsidRPr="004C5C59" w:rsidRDefault="00003792">
            <w:pPr>
              <w:ind w:right="120"/>
              <w:jc w:val="both"/>
              <w:rPr>
                <w:rFonts w:asciiTheme="minorHAnsi" w:hAnsiTheme="minorHAnsi" w:cstheme="minorHAnsi"/>
                <w:sz w:val="22"/>
                <w:szCs w:val="22"/>
              </w:rPr>
            </w:pPr>
          </w:p>
          <w:p w14:paraId="7CF92F6D" w14:textId="47B870B9" w:rsidR="00DF3162"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lastRenderedPageBreak/>
              <w:t>6</w:t>
            </w:r>
            <w:r w:rsidR="00F07686" w:rsidRPr="004C5C59">
              <w:rPr>
                <w:rFonts w:asciiTheme="minorHAnsi" w:hAnsiTheme="minorHAnsi" w:cstheme="minorHAnsi"/>
                <w:b/>
                <w:sz w:val="22"/>
                <w:szCs w:val="22"/>
              </w:rPr>
              <w:t>.1.</w:t>
            </w:r>
            <w:r w:rsidR="00E22CAC" w:rsidRPr="004C5C59">
              <w:rPr>
                <w:rFonts w:asciiTheme="minorHAnsi" w:hAnsiTheme="minorHAnsi" w:cstheme="minorHAnsi"/>
                <w:b/>
                <w:sz w:val="22"/>
                <w:szCs w:val="22"/>
              </w:rPr>
              <w:t>7</w:t>
            </w:r>
            <w:r w:rsidR="00F07686" w:rsidRPr="004C5C59">
              <w:rPr>
                <w:rFonts w:asciiTheme="minorHAnsi" w:hAnsiTheme="minorHAnsi" w:cstheme="minorHAnsi"/>
                <w:b/>
                <w:sz w:val="22"/>
                <w:szCs w:val="22"/>
              </w:rPr>
              <w:t xml:space="preserve"> Stroke S</w:t>
            </w:r>
            <w:r w:rsidR="00AA3EF3" w:rsidRPr="004C5C59">
              <w:rPr>
                <w:rFonts w:asciiTheme="minorHAnsi" w:hAnsiTheme="minorHAnsi" w:cstheme="minorHAnsi"/>
                <w:b/>
                <w:sz w:val="22"/>
                <w:szCs w:val="22"/>
              </w:rPr>
              <w:t>ervices</w:t>
            </w:r>
          </w:p>
          <w:p w14:paraId="7E9D5637" w14:textId="7BE7CC6D" w:rsidR="00AA3EF3" w:rsidRPr="004C5C59" w:rsidRDefault="006D07C3">
            <w:pPr>
              <w:ind w:right="120"/>
              <w:jc w:val="both"/>
              <w:rPr>
                <w:rFonts w:asciiTheme="minorHAnsi" w:hAnsiTheme="minorHAnsi" w:cstheme="minorHAnsi"/>
                <w:sz w:val="22"/>
                <w:szCs w:val="22"/>
              </w:rPr>
            </w:pPr>
            <w:r>
              <w:rPr>
                <w:rFonts w:asciiTheme="minorHAnsi" w:hAnsiTheme="minorHAnsi" w:cstheme="minorHAnsi"/>
                <w:sz w:val="22"/>
                <w:szCs w:val="22"/>
              </w:rPr>
              <w:t xml:space="preserve">Community </w:t>
            </w:r>
            <w:r w:rsidR="00AA3EF3" w:rsidRPr="004C5C59">
              <w:rPr>
                <w:rFonts w:asciiTheme="minorHAnsi" w:hAnsiTheme="minorHAnsi" w:cstheme="minorHAnsi"/>
                <w:sz w:val="22"/>
                <w:szCs w:val="22"/>
              </w:rPr>
              <w:t xml:space="preserve">stroke services </w:t>
            </w:r>
            <w:r>
              <w:rPr>
                <w:rFonts w:asciiTheme="minorHAnsi" w:hAnsiTheme="minorHAnsi" w:cstheme="minorHAnsi"/>
                <w:sz w:val="22"/>
                <w:szCs w:val="22"/>
              </w:rPr>
              <w:t xml:space="preserve">are out of scope of </w:t>
            </w:r>
            <w:proofErr w:type="spellStart"/>
            <w:r w:rsidR="003A058D" w:rsidRPr="004C5C59">
              <w:rPr>
                <w:rFonts w:asciiTheme="minorHAnsi" w:hAnsiTheme="minorHAnsi" w:cstheme="minorHAnsi"/>
                <w:sz w:val="22"/>
                <w:szCs w:val="22"/>
              </w:rPr>
              <w:t>of</w:t>
            </w:r>
            <w:proofErr w:type="spellEnd"/>
            <w:r w:rsidR="003A058D" w:rsidRPr="004C5C59">
              <w:rPr>
                <w:rFonts w:asciiTheme="minorHAnsi" w:hAnsiTheme="minorHAnsi" w:cstheme="minorHAnsi"/>
                <w:sz w:val="22"/>
                <w:szCs w:val="22"/>
              </w:rPr>
              <w:t xml:space="preserve"> this specification </w:t>
            </w:r>
            <w:r w:rsidR="00AA3EF3" w:rsidRPr="004C5C59">
              <w:rPr>
                <w:rFonts w:asciiTheme="minorHAnsi" w:hAnsiTheme="minorHAnsi" w:cstheme="minorHAnsi"/>
                <w:sz w:val="22"/>
                <w:szCs w:val="22"/>
              </w:rPr>
              <w:t xml:space="preserve">and the Provider responsible for delivering the </w:t>
            </w:r>
            <w:r w:rsidR="00242CE5">
              <w:rPr>
                <w:rFonts w:asciiTheme="minorHAnsi" w:hAnsiTheme="minorHAnsi" w:cstheme="minorHAnsi"/>
                <w:sz w:val="22"/>
                <w:szCs w:val="22"/>
              </w:rPr>
              <w:t xml:space="preserve">new </w:t>
            </w:r>
            <w:r w:rsidR="005A45EB" w:rsidRPr="004C5C59">
              <w:rPr>
                <w:rFonts w:asciiTheme="minorHAnsi" w:hAnsiTheme="minorHAnsi" w:cstheme="minorHAnsi"/>
                <w:sz w:val="22"/>
                <w:szCs w:val="22"/>
              </w:rPr>
              <w:t xml:space="preserve">adult community services </w:t>
            </w:r>
            <w:r w:rsidR="00242CE5">
              <w:rPr>
                <w:rFonts w:asciiTheme="minorHAnsi" w:hAnsiTheme="minorHAnsi" w:cstheme="minorHAnsi"/>
                <w:sz w:val="22"/>
                <w:szCs w:val="22"/>
              </w:rPr>
              <w:t xml:space="preserve">model </w:t>
            </w:r>
            <w:r w:rsidR="00AA3EF3" w:rsidRPr="004C5C59">
              <w:rPr>
                <w:rFonts w:asciiTheme="minorHAnsi" w:hAnsiTheme="minorHAnsi" w:cstheme="minorHAnsi"/>
                <w:sz w:val="22"/>
                <w:szCs w:val="22"/>
              </w:rPr>
              <w:t>will work closely to ensure seamless transition of care between stroke services and other community services.</w:t>
            </w:r>
          </w:p>
          <w:p w14:paraId="7501724A" w14:textId="77777777" w:rsidR="005A45EB" w:rsidRPr="004C5C59" w:rsidRDefault="005A45EB">
            <w:pPr>
              <w:ind w:right="120"/>
              <w:jc w:val="both"/>
              <w:rPr>
                <w:rFonts w:asciiTheme="minorHAnsi" w:hAnsiTheme="minorHAnsi" w:cstheme="minorHAnsi"/>
                <w:sz w:val="22"/>
                <w:szCs w:val="22"/>
              </w:rPr>
            </w:pPr>
          </w:p>
          <w:p w14:paraId="538A79E4" w14:textId="0854BE16" w:rsidR="00382E34"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t>6</w:t>
            </w:r>
            <w:r w:rsidR="003455C3" w:rsidRPr="004C5C59">
              <w:rPr>
                <w:rFonts w:asciiTheme="minorHAnsi" w:hAnsiTheme="minorHAnsi" w:cstheme="minorHAnsi"/>
                <w:b/>
                <w:sz w:val="22"/>
                <w:szCs w:val="22"/>
              </w:rPr>
              <w:t>.1.</w:t>
            </w:r>
            <w:r w:rsidR="00382E34" w:rsidRPr="004C5C59">
              <w:rPr>
                <w:rFonts w:asciiTheme="minorHAnsi" w:hAnsiTheme="minorHAnsi" w:cstheme="minorHAnsi"/>
                <w:b/>
                <w:sz w:val="22"/>
                <w:szCs w:val="22"/>
              </w:rPr>
              <w:t>8 Care Homes</w:t>
            </w:r>
          </w:p>
          <w:p w14:paraId="02730729" w14:textId="2BC87F86" w:rsidR="00382E34" w:rsidRPr="004C5C59" w:rsidRDefault="00382E34">
            <w:pPr>
              <w:ind w:right="120"/>
              <w:jc w:val="both"/>
              <w:rPr>
                <w:rFonts w:asciiTheme="minorHAnsi" w:hAnsiTheme="minorHAnsi" w:cstheme="minorHAnsi"/>
                <w:sz w:val="22"/>
                <w:szCs w:val="22"/>
              </w:rPr>
            </w:pPr>
            <w:r w:rsidRPr="004C5C59">
              <w:rPr>
                <w:rFonts w:asciiTheme="minorHAnsi" w:hAnsiTheme="minorHAnsi" w:cstheme="minorHAnsi"/>
                <w:sz w:val="22"/>
                <w:szCs w:val="22"/>
              </w:rPr>
              <w:t>The Provider will work with care homes</w:t>
            </w:r>
            <w:r w:rsidR="004D00F7" w:rsidRPr="004C5C59">
              <w:rPr>
                <w:rFonts w:asciiTheme="minorHAnsi" w:hAnsiTheme="minorHAnsi" w:cstheme="minorHAnsi"/>
                <w:sz w:val="22"/>
                <w:szCs w:val="22"/>
              </w:rPr>
              <w:t xml:space="preserve">, GPs and care home pharmacists to ensure </w:t>
            </w:r>
            <w:r w:rsidR="005D1381" w:rsidRPr="004C5C59">
              <w:rPr>
                <w:rFonts w:asciiTheme="minorHAnsi" w:hAnsiTheme="minorHAnsi" w:cstheme="minorHAnsi"/>
                <w:sz w:val="22"/>
                <w:szCs w:val="22"/>
              </w:rPr>
              <w:t xml:space="preserve">comprehensive </w:t>
            </w:r>
            <w:r w:rsidR="004D00F7" w:rsidRPr="004C5C59">
              <w:rPr>
                <w:rFonts w:asciiTheme="minorHAnsi" w:hAnsiTheme="minorHAnsi" w:cstheme="minorHAnsi"/>
                <w:sz w:val="22"/>
                <w:szCs w:val="22"/>
              </w:rPr>
              <w:t>support for patients in care homes is co-ordinated</w:t>
            </w:r>
            <w:r w:rsidR="005D1381" w:rsidRPr="004C5C59">
              <w:rPr>
                <w:rFonts w:asciiTheme="minorHAnsi" w:hAnsiTheme="minorHAnsi" w:cstheme="minorHAnsi"/>
                <w:sz w:val="22"/>
                <w:szCs w:val="22"/>
              </w:rPr>
              <w:t xml:space="preserve"> and delivered.  </w:t>
            </w:r>
            <w:r w:rsidR="00106A73" w:rsidRPr="004C5C59">
              <w:rPr>
                <w:rFonts w:asciiTheme="minorHAnsi" w:hAnsiTheme="minorHAnsi" w:cstheme="minorHAnsi"/>
                <w:sz w:val="22"/>
                <w:szCs w:val="22"/>
              </w:rPr>
              <w:t>Staff within CLTs will w</w:t>
            </w:r>
            <w:r w:rsidR="005D1381" w:rsidRPr="004C5C59">
              <w:rPr>
                <w:rFonts w:asciiTheme="minorHAnsi" w:hAnsiTheme="minorHAnsi" w:cstheme="minorHAnsi"/>
                <w:sz w:val="22"/>
                <w:szCs w:val="22"/>
              </w:rPr>
              <w:t>ork</w:t>
            </w:r>
            <w:r w:rsidR="00A66DAF" w:rsidRPr="004C5C59">
              <w:rPr>
                <w:rFonts w:asciiTheme="minorHAnsi" w:hAnsiTheme="minorHAnsi" w:cstheme="minorHAnsi"/>
                <w:sz w:val="22"/>
                <w:szCs w:val="22"/>
              </w:rPr>
              <w:t xml:space="preserve"> with the</w:t>
            </w:r>
            <w:r w:rsidR="00EB41B5">
              <w:rPr>
                <w:rFonts w:asciiTheme="minorHAnsi" w:hAnsiTheme="minorHAnsi" w:cstheme="minorHAnsi"/>
                <w:sz w:val="22"/>
                <w:szCs w:val="22"/>
              </w:rPr>
              <w:t xml:space="preserve">se </w:t>
            </w:r>
            <w:proofErr w:type="gramStart"/>
            <w:r w:rsidR="00A66DAF" w:rsidRPr="004C5C59">
              <w:rPr>
                <w:rFonts w:asciiTheme="minorHAnsi" w:hAnsiTheme="minorHAnsi" w:cstheme="minorHAnsi"/>
                <w:sz w:val="22"/>
                <w:szCs w:val="22"/>
              </w:rPr>
              <w:t>professionals )</w:t>
            </w:r>
            <w:proofErr w:type="gramEnd"/>
            <w:r w:rsidR="00A66DAF" w:rsidRPr="004C5C59">
              <w:rPr>
                <w:rFonts w:asciiTheme="minorHAnsi" w:hAnsiTheme="minorHAnsi" w:cstheme="minorHAnsi"/>
                <w:sz w:val="22"/>
                <w:szCs w:val="22"/>
              </w:rPr>
              <w:t xml:space="preserve"> </w:t>
            </w:r>
            <w:r w:rsidR="005D1381" w:rsidRPr="004C5C59">
              <w:rPr>
                <w:rFonts w:asciiTheme="minorHAnsi" w:hAnsiTheme="minorHAnsi" w:cstheme="minorHAnsi"/>
                <w:sz w:val="22"/>
                <w:szCs w:val="22"/>
              </w:rPr>
              <w:t>to</w:t>
            </w:r>
            <w:r w:rsidR="00A66DAF" w:rsidRPr="004C5C59">
              <w:rPr>
                <w:rFonts w:asciiTheme="minorHAnsi" w:hAnsiTheme="minorHAnsi" w:cstheme="minorHAnsi"/>
                <w:sz w:val="22"/>
                <w:szCs w:val="22"/>
              </w:rPr>
              <w:t xml:space="preserve"> provide proactive support, </w:t>
            </w:r>
            <w:r w:rsidR="00106A73" w:rsidRPr="004C5C59">
              <w:rPr>
                <w:rFonts w:asciiTheme="minorHAnsi" w:hAnsiTheme="minorHAnsi" w:cstheme="minorHAnsi"/>
                <w:sz w:val="22"/>
                <w:szCs w:val="22"/>
              </w:rPr>
              <w:t>medication reviews and</w:t>
            </w:r>
            <w:r w:rsidR="00E8261A" w:rsidRPr="004C5C59">
              <w:rPr>
                <w:rFonts w:asciiTheme="minorHAnsi" w:hAnsiTheme="minorHAnsi" w:cstheme="minorHAnsi"/>
                <w:sz w:val="22"/>
                <w:szCs w:val="22"/>
              </w:rPr>
              <w:t xml:space="preserve"> an urgent response when required to avoid admission or attendance at hospital.</w:t>
            </w:r>
          </w:p>
          <w:p w14:paraId="11E64F84" w14:textId="77777777" w:rsidR="00382E34" w:rsidRDefault="00382E34">
            <w:pPr>
              <w:ind w:right="120"/>
              <w:jc w:val="both"/>
              <w:rPr>
                <w:rFonts w:asciiTheme="minorHAnsi" w:hAnsiTheme="minorHAnsi" w:cstheme="minorHAnsi"/>
                <w:sz w:val="22"/>
                <w:szCs w:val="22"/>
                <w:u w:val="single"/>
              </w:rPr>
            </w:pPr>
          </w:p>
          <w:p w14:paraId="4B854775" w14:textId="2F82FCA4" w:rsidR="003455C3"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t>6</w:t>
            </w:r>
            <w:r w:rsidR="00382E34" w:rsidRPr="004C5C59">
              <w:rPr>
                <w:rFonts w:asciiTheme="minorHAnsi" w:hAnsiTheme="minorHAnsi" w:cstheme="minorHAnsi"/>
                <w:b/>
                <w:sz w:val="22"/>
                <w:szCs w:val="22"/>
              </w:rPr>
              <w:t>.1.9</w:t>
            </w:r>
            <w:r w:rsidR="003455C3" w:rsidRPr="004C5C59">
              <w:rPr>
                <w:rFonts w:asciiTheme="minorHAnsi" w:hAnsiTheme="minorHAnsi" w:cstheme="minorHAnsi"/>
                <w:b/>
                <w:sz w:val="22"/>
                <w:szCs w:val="22"/>
              </w:rPr>
              <w:t xml:space="preserve"> Reasonable Alternatives</w:t>
            </w:r>
          </w:p>
          <w:p w14:paraId="53132F71" w14:textId="3DED686D" w:rsidR="003455C3" w:rsidRPr="004C5C59" w:rsidRDefault="003455C3" w:rsidP="009254F9">
            <w:pPr>
              <w:jc w:val="both"/>
              <w:rPr>
                <w:rFonts w:asciiTheme="minorHAnsi" w:hAnsiTheme="minorHAnsi" w:cstheme="minorHAnsi"/>
                <w:sz w:val="22"/>
                <w:szCs w:val="22"/>
              </w:rPr>
            </w:pPr>
            <w:r w:rsidRPr="004C5C59">
              <w:rPr>
                <w:rFonts w:asciiTheme="minorHAnsi" w:hAnsiTheme="minorHAnsi" w:cstheme="minorHAnsi"/>
                <w:sz w:val="22"/>
                <w:szCs w:val="22"/>
              </w:rPr>
              <w:t>The Provider must ensure that options for patients with visual, hearing or communication difficulties, learning disabilities, mobility issues, without internet technology need to be made available and easily accessible, to enable patients to use the services.</w:t>
            </w:r>
          </w:p>
          <w:p w14:paraId="220FD706" w14:textId="77777777" w:rsidR="00A01F28" w:rsidRPr="004C5C59" w:rsidRDefault="00A01F28" w:rsidP="007F6EB6">
            <w:pPr>
              <w:ind w:right="120"/>
              <w:jc w:val="both"/>
              <w:rPr>
                <w:rFonts w:asciiTheme="minorHAnsi" w:hAnsiTheme="minorHAnsi" w:cstheme="minorHAnsi"/>
                <w:sz w:val="22"/>
                <w:szCs w:val="22"/>
              </w:rPr>
            </w:pPr>
          </w:p>
          <w:p w14:paraId="54B8B3E8" w14:textId="35103A6B" w:rsidR="000624F6" w:rsidRPr="004C5C59" w:rsidRDefault="000624F6">
            <w:pPr>
              <w:ind w:right="120"/>
              <w:jc w:val="both"/>
              <w:rPr>
                <w:rFonts w:asciiTheme="minorHAnsi" w:hAnsiTheme="minorHAnsi" w:cstheme="minorHAnsi"/>
                <w:sz w:val="22"/>
                <w:szCs w:val="22"/>
              </w:rPr>
            </w:pPr>
            <w:r w:rsidRPr="004C5C59">
              <w:rPr>
                <w:rFonts w:asciiTheme="minorHAnsi" w:hAnsiTheme="minorHAnsi" w:cstheme="minorHAnsi"/>
                <w:sz w:val="22"/>
                <w:szCs w:val="22"/>
              </w:rPr>
              <w:t>The Provider must ensure that adult community services also link with and make best use of community pharmacies and opticians.</w:t>
            </w:r>
          </w:p>
          <w:p w14:paraId="36ED62FD" w14:textId="77777777" w:rsidR="00E534D6" w:rsidRPr="004C5C59" w:rsidRDefault="00E534D6">
            <w:pPr>
              <w:ind w:right="120"/>
              <w:jc w:val="both"/>
              <w:rPr>
                <w:rFonts w:asciiTheme="minorHAnsi" w:hAnsiTheme="minorHAnsi" w:cstheme="minorHAnsi"/>
                <w:sz w:val="22"/>
                <w:szCs w:val="22"/>
              </w:rPr>
            </w:pPr>
          </w:p>
          <w:p w14:paraId="4A9DF35C" w14:textId="0C1D8BAB" w:rsidR="0058046F" w:rsidRPr="004C5C59" w:rsidRDefault="00B97361">
            <w:pPr>
              <w:ind w:right="120"/>
              <w:jc w:val="both"/>
              <w:rPr>
                <w:rFonts w:asciiTheme="minorHAnsi" w:hAnsiTheme="minorHAnsi" w:cstheme="minorHAnsi"/>
                <w:b/>
                <w:sz w:val="22"/>
                <w:szCs w:val="22"/>
              </w:rPr>
            </w:pPr>
            <w:r>
              <w:rPr>
                <w:rFonts w:asciiTheme="minorHAnsi" w:hAnsiTheme="minorHAnsi" w:cstheme="minorHAnsi"/>
                <w:b/>
                <w:sz w:val="22"/>
                <w:szCs w:val="22"/>
              </w:rPr>
              <w:t>6</w:t>
            </w:r>
            <w:r w:rsidR="0058046F" w:rsidRPr="004C5C59">
              <w:rPr>
                <w:rFonts w:asciiTheme="minorHAnsi" w:hAnsiTheme="minorHAnsi" w:cstheme="minorHAnsi"/>
                <w:b/>
                <w:sz w:val="22"/>
                <w:szCs w:val="22"/>
              </w:rPr>
              <w:t>.1.10 Public Health Services</w:t>
            </w:r>
          </w:p>
          <w:p w14:paraId="799FC07F" w14:textId="06BE0F9D" w:rsidR="00871F52" w:rsidRPr="004C5C59" w:rsidRDefault="0058046F">
            <w:p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The provider will work with public health services to ensure close collaborative working between </w:t>
            </w:r>
            <w:r w:rsidR="00126096" w:rsidRPr="004C5C59">
              <w:rPr>
                <w:rFonts w:asciiTheme="minorHAnsi" w:hAnsiTheme="minorHAnsi" w:cstheme="minorHAnsi"/>
                <w:sz w:val="22"/>
                <w:szCs w:val="22"/>
              </w:rPr>
              <w:t>health and public health. Public health services include</w:t>
            </w:r>
            <w:r w:rsidRPr="004C5C59">
              <w:rPr>
                <w:rFonts w:asciiTheme="minorHAnsi" w:hAnsiTheme="minorHAnsi" w:cstheme="minorHAnsi"/>
                <w:sz w:val="22"/>
                <w:szCs w:val="22"/>
              </w:rPr>
              <w:t xml:space="preserve"> “A Better Medway” </w:t>
            </w:r>
            <w:r w:rsidR="00871F52" w:rsidRPr="004C5C59">
              <w:rPr>
                <w:rFonts w:asciiTheme="minorHAnsi" w:hAnsiTheme="minorHAnsi" w:cstheme="minorHAnsi"/>
                <w:sz w:val="22"/>
                <w:szCs w:val="22"/>
              </w:rPr>
              <w:t xml:space="preserve">health improvement services, including </w:t>
            </w:r>
            <w:r w:rsidRPr="004C5C59">
              <w:rPr>
                <w:rFonts w:asciiTheme="minorHAnsi" w:hAnsiTheme="minorHAnsi" w:cstheme="minorHAnsi"/>
                <w:sz w:val="22"/>
                <w:szCs w:val="22"/>
              </w:rPr>
              <w:t>weight management, smoking cessation, physical activity</w:t>
            </w:r>
            <w:r w:rsidR="009E7480" w:rsidRPr="004C5C59">
              <w:rPr>
                <w:rFonts w:asciiTheme="minorHAnsi" w:hAnsiTheme="minorHAnsi" w:cstheme="minorHAnsi"/>
                <w:sz w:val="22"/>
                <w:szCs w:val="22"/>
              </w:rPr>
              <w:t xml:space="preserve"> and exercise referral</w:t>
            </w:r>
            <w:r w:rsidRPr="004C5C59">
              <w:rPr>
                <w:rFonts w:asciiTheme="minorHAnsi" w:hAnsiTheme="minorHAnsi" w:cstheme="minorHAnsi"/>
                <w:sz w:val="22"/>
                <w:szCs w:val="22"/>
              </w:rPr>
              <w:t xml:space="preserve">, </w:t>
            </w:r>
            <w:r w:rsidR="006C1105" w:rsidRPr="004C5C59">
              <w:rPr>
                <w:rFonts w:asciiTheme="minorHAnsi" w:hAnsiTheme="minorHAnsi" w:cstheme="minorHAnsi"/>
                <w:sz w:val="22"/>
                <w:szCs w:val="22"/>
              </w:rPr>
              <w:t>NHS H</w:t>
            </w:r>
            <w:r w:rsidRPr="004C5C59">
              <w:rPr>
                <w:rFonts w:asciiTheme="minorHAnsi" w:hAnsiTheme="minorHAnsi" w:cstheme="minorHAnsi"/>
                <w:sz w:val="22"/>
                <w:szCs w:val="22"/>
              </w:rPr>
              <w:t>ealth</w:t>
            </w:r>
            <w:r w:rsidR="00E534D6" w:rsidRPr="004C5C59">
              <w:rPr>
                <w:rFonts w:asciiTheme="minorHAnsi" w:hAnsiTheme="minorHAnsi" w:cstheme="minorHAnsi"/>
                <w:sz w:val="22"/>
                <w:szCs w:val="22"/>
              </w:rPr>
              <w:t xml:space="preserve"> </w:t>
            </w:r>
            <w:r w:rsidRPr="004C5C59">
              <w:rPr>
                <w:rFonts w:asciiTheme="minorHAnsi" w:hAnsiTheme="minorHAnsi" w:cstheme="minorHAnsi"/>
                <w:sz w:val="22"/>
                <w:szCs w:val="22"/>
              </w:rPr>
              <w:t>checks, mental wellbeing, substance misuse</w:t>
            </w:r>
            <w:r w:rsidR="00044CEE" w:rsidRPr="004C5C59">
              <w:rPr>
                <w:rFonts w:asciiTheme="minorHAnsi" w:hAnsiTheme="minorHAnsi" w:cstheme="minorHAnsi"/>
                <w:sz w:val="22"/>
                <w:szCs w:val="22"/>
              </w:rPr>
              <w:t xml:space="preserve"> and sexual health services. </w:t>
            </w:r>
            <w:r w:rsidR="00126096" w:rsidRPr="004C5C59">
              <w:rPr>
                <w:rFonts w:asciiTheme="minorHAnsi" w:hAnsiTheme="minorHAnsi" w:cstheme="minorHAnsi"/>
                <w:sz w:val="22"/>
                <w:szCs w:val="22"/>
              </w:rPr>
              <w:t>This collaborative working will include</w:t>
            </w:r>
            <w:r w:rsidR="00871F52" w:rsidRPr="004C5C59">
              <w:rPr>
                <w:rFonts w:asciiTheme="minorHAnsi" w:hAnsiTheme="minorHAnsi" w:cstheme="minorHAnsi"/>
                <w:sz w:val="22"/>
                <w:szCs w:val="22"/>
              </w:rPr>
              <w:t>:</w:t>
            </w:r>
          </w:p>
          <w:p w14:paraId="464565C1" w14:textId="0EA9727C" w:rsidR="00871F52" w:rsidRPr="004C5C59" w:rsidRDefault="00126096" w:rsidP="00871F52">
            <w:pPr>
              <w:pStyle w:val="ListParagraph"/>
              <w:numPr>
                <w:ilvl w:val="0"/>
                <w:numId w:val="25"/>
              </w:numPr>
              <w:ind w:right="120"/>
              <w:jc w:val="both"/>
              <w:rPr>
                <w:rFonts w:asciiTheme="minorHAnsi" w:hAnsiTheme="minorHAnsi" w:cstheme="minorHAnsi"/>
                <w:sz w:val="22"/>
                <w:szCs w:val="22"/>
              </w:rPr>
            </w:pPr>
            <w:r w:rsidRPr="004C5C59">
              <w:rPr>
                <w:rFonts w:asciiTheme="minorHAnsi" w:hAnsiTheme="minorHAnsi" w:cstheme="minorHAnsi"/>
                <w:sz w:val="22"/>
                <w:szCs w:val="22"/>
              </w:rPr>
              <w:t>working with public health to identify</w:t>
            </w:r>
            <w:r w:rsidR="00205605" w:rsidRPr="004C5C59">
              <w:rPr>
                <w:rFonts w:asciiTheme="minorHAnsi" w:hAnsiTheme="minorHAnsi" w:cstheme="minorHAnsi"/>
                <w:sz w:val="22"/>
                <w:szCs w:val="22"/>
              </w:rPr>
              <w:t xml:space="preserve"> and use</w:t>
            </w:r>
            <w:r w:rsidRPr="004C5C59">
              <w:rPr>
                <w:rFonts w:asciiTheme="minorHAnsi" w:hAnsiTheme="minorHAnsi" w:cstheme="minorHAnsi"/>
                <w:sz w:val="22"/>
                <w:szCs w:val="22"/>
              </w:rPr>
              <w:t xml:space="preserve"> referral/signposting pathways between community services and public health services</w:t>
            </w:r>
          </w:p>
          <w:p w14:paraId="1F8D32E3" w14:textId="5ACB263A" w:rsidR="004A5583" w:rsidRDefault="00126096" w:rsidP="00871F52">
            <w:pPr>
              <w:pStyle w:val="ListParagraph"/>
              <w:numPr>
                <w:ilvl w:val="0"/>
                <w:numId w:val="25"/>
              </w:numPr>
              <w:ind w:right="120"/>
              <w:jc w:val="both"/>
              <w:rPr>
                <w:rFonts w:asciiTheme="minorHAnsi" w:hAnsiTheme="minorHAnsi" w:cstheme="minorHAnsi"/>
                <w:sz w:val="22"/>
                <w:szCs w:val="22"/>
              </w:rPr>
            </w:pPr>
            <w:r w:rsidRPr="004C5C59">
              <w:rPr>
                <w:rFonts w:asciiTheme="minorHAnsi" w:hAnsiTheme="minorHAnsi" w:cstheme="minorHAnsi"/>
                <w:sz w:val="22"/>
                <w:szCs w:val="22"/>
              </w:rPr>
              <w:t xml:space="preserve">developing the skills of community services staff to be able to provide brief advice, signposting and (where appropriate) brief intervention around </w:t>
            </w:r>
            <w:r w:rsidR="00871F52" w:rsidRPr="004C5C59">
              <w:rPr>
                <w:rFonts w:asciiTheme="minorHAnsi" w:hAnsiTheme="minorHAnsi" w:cstheme="minorHAnsi"/>
                <w:sz w:val="22"/>
                <w:szCs w:val="22"/>
              </w:rPr>
              <w:t>prevention/public health including</w:t>
            </w:r>
            <w:r w:rsidRPr="004C5C59">
              <w:rPr>
                <w:rFonts w:asciiTheme="minorHAnsi" w:hAnsiTheme="minorHAnsi" w:cstheme="minorHAnsi"/>
                <w:sz w:val="22"/>
                <w:szCs w:val="22"/>
              </w:rPr>
              <w:t xml:space="preserve"> attending </w:t>
            </w:r>
          </w:p>
          <w:p w14:paraId="1B347913" w14:textId="71F4B7F5" w:rsidR="0058046F" w:rsidRPr="004A5583" w:rsidRDefault="008A57AD" w:rsidP="004A5583">
            <w:pPr>
              <w:pStyle w:val="ListParagraph"/>
              <w:numPr>
                <w:ilvl w:val="0"/>
                <w:numId w:val="25"/>
              </w:numPr>
              <w:ind w:right="120"/>
              <w:jc w:val="both"/>
              <w:rPr>
                <w:rFonts w:asciiTheme="minorHAnsi" w:hAnsiTheme="minorHAnsi" w:cstheme="minorHAnsi"/>
                <w:sz w:val="22"/>
                <w:szCs w:val="22"/>
              </w:rPr>
            </w:pPr>
            <w:r w:rsidRPr="004A5583">
              <w:rPr>
                <w:rFonts w:asciiTheme="minorHAnsi" w:hAnsiTheme="minorHAnsi" w:cstheme="minorHAnsi"/>
                <w:sz w:val="22"/>
                <w:szCs w:val="22"/>
              </w:rPr>
              <w:t>MECC training and having a nominated “A Better Medway” champion</w:t>
            </w:r>
          </w:p>
          <w:p w14:paraId="4A19DDA1" w14:textId="295895D7" w:rsidR="00F13D73" w:rsidRPr="004C5C59" w:rsidRDefault="00F13D73" w:rsidP="00871F52">
            <w:pPr>
              <w:pStyle w:val="ListParagraph"/>
              <w:numPr>
                <w:ilvl w:val="0"/>
                <w:numId w:val="25"/>
              </w:numPr>
              <w:ind w:right="120"/>
              <w:jc w:val="both"/>
              <w:rPr>
                <w:rFonts w:asciiTheme="minorHAnsi" w:hAnsiTheme="minorHAnsi" w:cstheme="minorHAnsi"/>
                <w:sz w:val="22"/>
                <w:szCs w:val="22"/>
              </w:rPr>
            </w:pPr>
            <w:r w:rsidRPr="004C5C59">
              <w:rPr>
                <w:rFonts w:asciiTheme="minorHAnsi" w:hAnsiTheme="minorHAnsi" w:cstheme="minorHAnsi"/>
                <w:sz w:val="22"/>
                <w:szCs w:val="22"/>
              </w:rPr>
              <w:t>engaging with “A Better Medway’s” workplace health programme to support and improve the health and wellbeing of staff</w:t>
            </w:r>
          </w:p>
          <w:p w14:paraId="467912A6" w14:textId="3C9A70AC" w:rsidR="006C1105" w:rsidRPr="004C5C59" w:rsidRDefault="006C1105" w:rsidP="00871F52">
            <w:pPr>
              <w:pStyle w:val="ListParagraph"/>
              <w:numPr>
                <w:ilvl w:val="0"/>
                <w:numId w:val="25"/>
              </w:numPr>
              <w:ind w:right="120"/>
              <w:jc w:val="both"/>
              <w:rPr>
                <w:rFonts w:asciiTheme="minorHAnsi" w:hAnsiTheme="minorHAnsi" w:cstheme="minorHAnsi"/>
                <w:sz w:val="22"/>
                <w:szCs w:val="22"/>
              </w:rPr>
            </w:pPr>
            <w:r w:rsidRPr="004C5C59">
              <w:rPr>
                <w:rFonts w:asciiTheme="minorHAnsi" w:hAnsiTheme="minorHAnsi" w:cstheme="minorHAnsi"/>
                <w:sz w:val="22"/>
                <w:szCs w:val="22"/>
              </w:rPr>
              <w:t>Supporting public health campaigns to improve the health of patients under the care of community services</w:t>
            </w:r>
            <w:r w:rsidR="00D73346" w:rsidRPr="004C5C59">
              <w:rPr>
                <w:rFonts w:asciiTheme="minorHAnsi" w:hAnsiTheme="minorHAnsi" w:cstheme="minorHAnsi"/>
                <w:sz w:val="22"/>
                <w:szCs w:val="22"/>
              </w:rPr>
              <w:t>.</w:t>
            </w:r>
          </w:p>
          <w:p w14:paraId="4CDAA3FF" w14:textId="77777777" w:rsidR="000624F6" w:rsidRPr="000624F6" w:rsidRDefault="000624F6">
            <w:pPr>
              <w:ind w:right="120"/>
              <w:jc w:val="both"/>
              <w:rPr>
                <w:rFonts w:asciiTheme="minorHAnsi" w:hAnsiTheme="minorHAnsi" w:cstheme="minorHAnsi"/>
                <w:sz w:val="22"/>
                <w:szCs w:val="22"/>
              </w:rPr>
            </w:pPr>
          </w:p>
        </w:tc>
      </w:tr>
      <w:tr w:rsidR="008B6266" w:rsidRPr="0056655F" w14:paraId="0E2CE64C" w14:textId="77777777" w:rsidTr="00A22B5B">
        <w:trPr>
          <w:trHeight w:val="284"/>
        </w:trPr>
        <w:tc>
          <w:tcPr>
            <w:tcW w:w="2410" w:type="dxa"/>
            <w:gridSpan w:val="3"/>
            <w:shd w:val="clear" w:color="auto" w:fill="D9D9D9" w:themeFill="background1" w:themeFillShade="D9"/>
            <w:vAlign w:val="center"/>
          </w:tcPr>
          <w:p w14:paraId="51D56CE8" w14:textId="7FF5391F" w:rsidR="00F441EE" w:rsidRPr="0056655F" w:rsidRDefault="00B97361" w:rsidP="00B97361">
            <w:pPr>
              <w:pStyle w:val="NoSpacing"/>
              <w:jc w:val="both"/>
              <w:rPr>
                <w:b/>
              </w:rPr>
            </w:pPr>
            <w:r>
              <w:rPr>
                <w:b/>
              </w:rPr>
              <w:lastRenderedPageBreak/>
              <w:t>7.</w:t>
            </w:r>
            <w:r w:rsidR="00A54D49">
              <w:rPr>
                <w:b/>
              </w:rPr>
              <w:t>0</w:t>
            </w:r>
          </w:p>
        </w:tc>
        <w:tc>
          <w:tcPr>
            <w:tcW w:w="7851" w:type="dxa"/>
            <w:gridSpan w:val="5"/>
            <w:shd w:val="clear" w:color="auto" w:fill="D9D9D9" w:themeFill="background1" w:themeFillShade="D9"/>
            <w:vAlign w:val="center"/>
          </w:tcPr>
          <w:p w14:paraId="6237B523" w14:textId="459E1702" w:rsidR="00F441EE" w:rsidRPr="0056655F" w:rsidRDefault="00A84962" w:rsidP="009254F9">
            <w:pPr>
              <w:pStyle w:val="NoSpacing"/>
              <w:jc w:val="both"/>
              <w:rPr>
                <w:b/>
              </w:rPr>
            </w:pPr>
            <w:r>
              <w:rPr>
                <w:b/>
              </w:rPr>
              <w:t xml:space="preserve">Digital, </w:t>
            </w:r>
            <w:r w:rsidR="0056655F" w:rsidRPr="0056655F">
              <w:rPr>
                <w:b/>
              </w:rPr>
              <w:t>Information, Communication and Technology Requirements</w:t>
            </w:r>
          </w:p>
        </w:tc>
      </w:tr>
      <w:tr w:rsidR="008B6266" w:rsidRPr="00AA3128" w14:paraId="4FBBADEB" w14:textId="77777777" w:rsidTr="00A22B5B">
        <w:trPr>
          <w:trHeight w:val="284"/>
        </w:trPr>
        <w:tc>
          <w:tcPr>
            <w:tcW w:w="2410" w:type="dxa"/>
            <w:gridSpan w:val="3"/>
            <w:shd w:val="clear" w:color="auto" w:fill="D9D9D9" w:themeFill="background1" w:themeFillShade="D9"/>
            <w:vAlign w:val="center"/>
          </w:tcPr>
          <w:p w14:paraId="0205B420" w14:textId="15E9D855" w:rsidR="00F441EE" w:rsidRDefault="00B97361" w:rsidP="009254F9">
            <w:pPr>
              <w:pStyle w:val="NoSpacing"/>
              <w:jc w:val="both"/>
            </w:pPr>
            <w:r>
              <w:t>7</w:t>
            </w:r>
            <w:r w:rsidR="00A4035B">
              <w:t>.1</w:t>
            </w:r>
          </w:p>
        </w:tc>
        <w:tc>
          <w:tcPr>
            <w:tcW w:w="7851" w:type="dxa"/>
            <w:gridSpan w:val="5"/>
            <w:shd w:val="clear" w:color="auto" w:fill="D9D9D9" w:themeFill="background1" w:themeFillShade="D9"/>
            <w:vAlign w:val="center"/>
          </w:tcPr>
          <w:p w14:paraId="655D84C7" w14:textId="1EAA26C6" w:rsidR="00F441EE" w:rsidRDefault="00A4035B" w:rsidP="009254F9">
            <w:pPr>
              <w:pStyle w:val="NoSpacing"/>
              <w:jc w:val="both"/>
            </w:pPr>
            <w:r>
              <w:t xml:space="preserve">Interoperability, remote treatment services, </w:t>
            </w:r>
            <w:r w:rsidR="00E05ED2">
              <w:t xml:space="preserve">digital governance and culture, </w:t>
            </w:r>
            <w:r w:rsidR="007F2E07">
              <w:t>patient services</w:t>
            </w:r>
          </w:p>
        </w:tc>
      </w:tr>
      <w:tr w:rsidR="00F441EE" w:rsidRPr="00AA3128" w14:paraId="6CD191A5" w14:textId="77777777" w:rsidTr="00931F94">
        <w:trPr>
          <w:trHeight w:val="284"/>
        </w:trPr>
        <w:tc>
          <w:tcPr>
            <w:tcW w:w="10261" w:type="dxa"/>
            <w:gridSpan w:val="8"/>
            <w:shd w:val="clear" w:color="auto" w:fill="FFFFFF" w:themeFill="background1"/>
            <w:vAlign w:val="center"/>
          </w:tcPr>
          <w:p w14:paraId="338EA24A" w14:textId="77777777" w:rsidR="00A84962" w:rsidRPr="00A84962" w:rsidRDefault="00A84962" w:rsidP="00A84962">
            <w:pPr>
              <w:spacing w:after="200" w:line="276" w:lineRule="auto"/>
              <w:rPr>
                <w:rFonts w:asciiTheme="minorHAnsi" w:eastAsiaTheme="minorHAnsi" w:hAnsiTheme="minorHAnsi" w:cstheme="minorBidi"/>
                <w:sz w:val="22"/>
                <w:szCs w:val="22"/>
              </w:rPr>
            </w:pPr>
            <w:r w:rsidRPr="00A84962">
              <w:rPr>
                <w:rFonts w:asciiTheme="minorHAnsi" w:eastAsiaTheme="minorHAnsi" w:hAnsiTheme="minorHAnsi" w:cstheme="minorBidi"/>
                <w:sz w:val="22"/>
                <w:szCs w:val="22"/>
              </w:rPr>
              <w:t xml:space="preserve">The provider is required to: </w:t>
            </w:r>
          </w:p>
          <w:p w14:paraId="01F4C3FB" w14:textId="77777777" w:rsidR="00A84962" w:rsidRPr="00A84962" w:rsidRDefault="00A84962" w:rsidP="00A84962">
            <w:pPr>
              <w:numPr>
                <w:ilvl w:val="0"/>
                <w:numId w:val="41"/>
              </w:numPr>
              <w:spacing w:after="200" w:line="276" w:lineRule="auto"/>
              <w:contextualSpacing/>
              <w:rPr>
                <w:rFonts w:asciiTheme="minorHAnsi" w:eastAsiaTheme="minorHAnsi" w:hAnsiTheme="minorHAnsi" w:cstheme="minorBidi"/>
                <w:sz w:val="22"/>
                <w:szCs w:val="22"/>
              </w:rPr>
            </w:pPr>
            <w:r w:rsidRPr="00A84962">
              <w:rPr>
                <w:rFonts w:asciiTheme="minorHAnsi" w:eastAsiaTheme="minorHAnsi" w:hAnsiTheme="minorHAnsi" w:cstheme="minorBidi"/>
                <w:sz w:val="22"/>
                <w:szCs w:val="22"/>
              </w:rPr>
              <w:t xml:space="preserve">Meet </w:t>
            </w:r>
            <w:r w:rsidRPr="00A84962">
              <w:rPr>
                <w:rFonts w:asciiTheme="minorHAnsi" w:eastAsiaTheme="minorHAnsi" w:hAnsiTheme="minorHAnsi" w:cstheme="minorBidi"/>
                <w:b/>
                <w:sz w:val="22"/>
                <w:szCs w:val="22"/>
              </w:rPr>
              <w:t>Interoperability</w:t>
            </w:r>
            <w:r w:rsidRPr="00A84962">
              <w:rPr>
                <w:rFonts w:asciiTheme="minorHAnsi" w:eastAsiaTheme="minorHAnsi" w:hAnsiTheme="minorHAnsi" w:cstheme="minorBidi"/>
                <w:sz w:val="22"/>
                <w:szCs w:val="22"/>
              </w:rPr>
              <w:t xml:space="preserve"> requirements as per the appendix - support safe and effective healthcare by the Provider, working in conjunction with patients and other providers across the local health economy, providing the following capabilities: inter-operability with other providers and patient facing services.</w:t>
            </w:r>
          </w:p>
          <w:p w14:paraId="260F3885" w14:textId="77777777" w:rsidR="00A84962" w:rsidRPr="00A84962" w:rsidRDefault="00A84962" w:rsidP="00A84962">
            <w:pPr>
              <w:numPr>
                <w:ilvl w:val="0"/>
                <w:numId w:val="41"/>
              </w:numPr>
              <w:spacing w:after="200" w:line="276" w:lineRule="auto"/>
              <w:contextualSpacing/>
              <w:rPr>
                <w:rFonts w:asciiTheme="minorHAnsi" w:eastAsiaTheme="minorHAnsi" w:hAnsiTheme="minorHAnsi" w:cstheme="minorBidi"/>
                <w:sz w:val="22"/>
                <w:szCs w:val="22"/>
              </w:rPr>
            </w:pPr>
            <w:r w:rsidRPr="00A84962">
              <w:rPr>
                <w:rFonts w:asciiTheme="minorHAnsi" w:eastAsiaTheme="minorHAnsi" w:hAnsiTheme="minorHAnsi" w:cstheme="minorBidi"/>
                <w:sz w:val="22"/>
                <w:szCs w:val="22"/>
              </w:rPr>
              <w:t xml:space="preserve">Meet </w:t>
            </w:r>
            <w:r w:rsidRPr="00A84962">
              <w:rPr>
                <w:rFonts w:asciiTheme="minorHAnsi" w:eastAsiaTheme="minorHAnsi" w:hAnsiTheme="minorHAnsi" w:cstheme="minorBidi"/>
                <w:b/>
                <w:sz w:val="22"/>
                <w:szCs w:val="22"/>
              </w:rPr>
              <w:t>Remote Treatment</w:t>
            </w:r>
            <w:r w:rsidRPr="00A84962">
              <w:rPr>
                <w:rFonts w:asciiTheme="minorHAnsi" w:eastAsiaTheme="minorHAnsi" w:hAnsiTheme="minorHAnsi" w:cstheme="minorBidi"/>
                <w:sz w:val="22"/>
                <w:szCs w:val="22"/>
              </w:rPr>
              <w:t xml:space="preserve"> requirements as per the appendix - The Provider will be experienced in delivering a range of remote treatment options to support the urgent response function and day to day patient care including: telehealth, telecare, web portals and smart phone Apps; as well as and the delivery of care over SMS messaging</w:t>
            </w:r>
            <w:proofErr w:type="gramStart"/>
            <w:r w:rsidRPr="00A84962">
              <w:rPr>
                <w:rFonts w:asciiTheme="minorHAnsi" w:eastAsiaTheme="minorHAnsi" w:hAnsiTheme="minorHAnsi" w:cstheme="minorBidi"/>
                <w:sz w:val="22"/>
                <w:szCs w:val="22"/>
              </w:rPr>
              <w:t>,  and</w:t>
            </w:r>
            <w:proofErr w:type="gramEnd"/>
            <w:r w:rsidRPr="00A84962">
              <w:rPr>
                <w:rFonts w:asciiTheme="minorHAnsi" w:eastAsiaTheme="minorHAnsi" w:hAnsiTheme="minorHAnsi" w:cstheme="minorBidi"/>
                <w:sz w:val="22"/>
                <w:szCs w:val="22"/>
              </w:rPr>
              <w:t xml:space="preserve"> phone support for patients with low digital literacy.</w:t>
            </w:r>
          </w:p>
          <w:p w14:paraId="30F812F9" w14:textId="77777777" w:rsidR="00A84962" w:rsidRPr="00A84962" w:rsidRDefault="00A84962" w:rsidP="00A84962">
            <w:pPr>
              <w:numPr>
                <w:ilvl w:val="0"/>
                <w:numId w:val="41"/>
              </w:numPr>
              <w:spacing w:after="200" w:line="276" w:lineRule="auto"/>
              <w:contextualSpacing/>
              <w:rPr>
                <w:rFonts w:asciiTheme="minorHAnsi" w:eastAsiaTheme="minorHAnsi" w:hAnsiTheme="minorHAnsi" w:cstheme="minorBidi"/>
                <w:sz w:val="22"/>
                <w:szCs w:val="22"/>
              </w:rPr>
            </w:pPr>
            <w:r w:rsidRPr="00A84962">
              <w:rPr>
                <w:rFonts w:asciiTheme="minorHAnsi" w:eastAsiaTheme="minorHAnsi" w:hAnsiTheme="minorHAnsi" w:cstheme="minorBidi"/>
                <w:sz w:val="22"/>
                <w:szCs w:val="22"/>
              </w:rPr>
              <w:t xml:space="preserve">Meet </w:t>
            </w:r>
            <w:r w:rsidRPr="00A84962">
              <w:rPr>
                <w:rFonts w:asciiTheme="minorHAnsi" w:eastAsiaTheme="minorHAnsi" w:hAnsiTheme="minorHAnsi" w:cstheme="minorBidi"/>
                <w:b/>
                <w:sz w:val="22"/>
                <w:szCs w:val="22"/>
              </w:rPr>
              <w:t>Digital Governance and Culture</w:t>
            </w:r>
            <w:r w:rsidRPr="00A84962">
              <w:rPr>
                <w:rFonts w:asciiTheme="minorHAnsi" w:eastAsiaTheme="minorHAnsi" w:hAnsiTheme="minorHAnsi" w:cstheme="minorBidi"/>
                <w:sz w:val="22"/>
                <w:szCs w:val="22"/>
              </w:rPr>
              <w:t xml:space="preserve"> requirements as per the appendix - the Commissioner is looking to work with a Provider with a mature digital culture involving patients and clinicians, which is forward thinking and achieving national and international recognition.</w:t>
            </w:r>
          </w:p>
          <w:p w14:paraId="37FC9DF8" w14:textId="77777777" w:rsidR="00A84962" w:rsidRPr="00A84962" w:rsidRDefault="00A84962" w:rsidP="00A84962">
            <w:pPr>
              <w:numPr>
                <w:ilvl w:val="0"/>
                <w:numId w:val="41"/>
              </w:numPr>
              <w:tabs>
                <w:tab w:val="left" w:pos="709"/>
              </w:tabs>
              <w:spacing w:after="200" w:line="276" w:lineRule="auto"/>
              <w:contextualSpacing/>
              <w:rPr>
                <w:rFonts w:asciiTheme="minorHAnsi" w:eastAsiaTheme="minorHAnsi" w:hAnsiTheme="minorHAnsi" w:cstheme="minorBidi"/>
                <w:b/>
                <w:sz w:val="22"/>
                <w:szCs w:val="22"/>
              </w:rPr>
            </w:pPr>
            <w:r w:rsidRPr="00A84962">
              <w:rPr>
                <w:rFonts w:asciiTheme="minorHAnsi" w:eastAsiaTheme="minorHAnsi" w:hAnsiTheme="minorHAnsi" w:cstheme="minorBidi"/>
                <w:sz w:val="22"/>
                <w:szCs w:val="22"/>
              </w:rPr>
              <w:t xml:space="preserve">Meet </w:t>
            </w:r>
            <w:r w:rsidRPr="00A84962">
              <w:rPr>
                <w:rFonts w:asciiTheme="minorHAnsi" w:eastAsiaTheme="minorHAnsi" w:hAnsiTheme="minorHAnsi" w:cstheme="minorBidi"/>
                <w:b/>
                <w:sz w:val="22"/>
                <w:szCs w:val="22"/>
              </w:rPr>
              <w:t xml:space="preserve">Patient Services – Portals, engagement and specific support </w:t>
            </w:r>
            <w:r w:rsidRPr="00A84962">
              <w:rPr>
                <w:rFonts w:asciiTheme="minorHAnsi" w:eastAsiaTheme="minorHAnsi" w:hAnsiTheme="minorHAnsi" w:cstheme="minorBidi"/>
                <w:sz w:val="22"/>
                <w:szCs w:val="22"/>
              </w:rPr>
              <w:t xml:space="preserve">requirements as per the appendix - </w:t>
            </w:r>
            <w:r w:rsidRPr="00A84962">
              <w:rPr>
                <w:rFonts w:asciiTheme="minorHAnsi" w:eastAsiaTheme="minorHAnsi" w:hAnsiTheme="minorHAnsi" w:cstheme="minorBidi"/>
                <w:sz w:val="22"/>
                <w:szCs w:val="22"/>
              </w:rPr>
              <w:lastRenderedPageBreak/>
              <w:t>the Provider should support patients by offering online interactive services as part of the range of services offered, including:  a basic booking service i.e. automation of clinic booking, rescheduling and reminder system.  Systems should support patients to be able to choose how they receive confirmations and reminders online, by text message, or email. In addition, they will be able to change appointments, receive patient letters and access care plans</w:t>
            </w:r>
          </w:p>
          <w:p w14:paraId="7144FFD1" w14:textId="77777777" w:rsidR="00A84962" w:rsidRPr="00A84962" w:rsidRDefault="00A84962" w:rsidP="00A84962">
            <w:pPr>
              <w:numPr>
                <w:ilvl w:val="0"/>
                <w:numId w:val="41"/>
              </w:numPr>
              <w:tabs>
                <w:tab w:val="left" w:pos="709"/>
              </w:tabs>
              <w:spacing w:after="200" w:line="276" w:lineRule="auto"/>
              <w:contextualSpacing/>
              <w:rPr>
                <w:rFonts w:asciiTheme="minorHAnsi" w:eastAsiaTheme="minorHAnsi" w:hAnsiTheme="minorHAnsi" w:cstheme="minorBidi"/>
                <w:b/>
                <w:sz w:val="22"/>
                <w:szCs w:val="22"/>
              </w:rPr>
            </w:pPr>
            <w:r w:rsidRPr="00A84962">
              <w:rPr>
                <w:rFonts w:asciiTheme="minorHAnsi" w:eastAsiaTheme="minorHAnsi" w:hAnsiTheme="minorHAnsi" w:cstheme="minorBidi"/>
                <w:sz w:val="22"/>
                <w:szCs w:val="22"/>
              </w:rPr>
              <w:t xml:space="preserve">Meet </w:t>
            </w:r>
            <w:r w:rsidRPr="00A84962">
              <w:rPr>
                <w:rFonts w:asciiTheme="minorHAnsi" w:eastAsiaTheme="minorHAnsi" w:hAnsiTheme="minorHAnsi" w:cstheme="minorBidi"/>
                <w:b/>
                <w:sz w:val="22"/>
                <w:szCs w:val="22"/>
              </w:rPr>
              <w:t xml:space="preserve">Generic ICT Best Practice Requirements </w:t>
            </w:r>
            <w:r w:rsidRPr="00A84962">
              <w:rPr>
                <w:rFonts w:asciiTheme="minorHAnsi" w:eastAsiaTheme="minorHAnsi" w:hAnsiTheme="minorHAnsi" w:cstheme="minorBidi"/>
                <w:sz w:val="22"/>
                <w:szCs w:val="22"/>
              </w:rPr>
              <w:t xml:space="preserve"> as per the appendix </w:t>
            </w:r>
          </w:p>
          <w:p w14:paraId="7F16F520" w14:textId="77777777" w:rsidR="00A84962" w:rsidRPr="00A84962" w:rsidRDefault="00A84962" w:rsidP="00A84962">
            <w:pPr>
              <w:tabs>
                <w:tab w:val="left" w:pos="709"/>
              </w:tabs>
              <w:spacing w:line="276" w:lineRule="auto"/>
              <w:ind w:left="720"/>
              <w:contextualSpacing/>
              <w:rPr>
                <w:rFonts w:asciiTheme="minorHAnsi" w:eastAsiaTheme="minorHAnsi" w:hAnsiTheme="minorHAnsi" w:cstheme="minorBidi"/>
                <w:sz w:val="22"/>
                <w:szCs w:val="22"/>
              </w:rPr>
            </w:pPr>
          </w:p>
          <w:p w14:paraId="5B587D73" w14:textId="699AB08B" w:rsidR="00727470" w:rsidRPr="007F2E07" w:rsidRDefault="00727470" w:rsidP="00A84962">
            <w:pPr>
              <w:widowControl w:val="0"/>
              <w:spacing w:after="200"/>
              <w:ind w:right="120"/>
              <w:jc w:val="both"/>
            </w:pPr>
          </w:p>
        </w:tc>
      </w:tr>
      <w:tr w:rsidR="008B6266" w:rsidRPr="00AA3128" w14:paraId="56E3E9D6" w14:textId="77777777" w:rsidTr="00A84962">
        <w:trPr>
          <w:trHeight w:val="284"/>
        </w:trPr>
        <w:tc>
          <w:tcPr>
            <w:tcW w:w="2410" w:type="dxa"/>
            <w:gridSpan w:val="3"/>
            <w:tcBorders>
              <w:bottom w:val="single" w:sz="4" w:space="0" w:color="808080" w:themeColor="background1" w:themeShade="80"/>
            </w:tcBorders>
            <w:shd w:val="clear" w:color="auto" w:fill="B6BFC8"/>
          </w:tcPr>
          <w:p w14:paraId="55C6BDC4" w14:textId="3B94B686" w:rsidR="003A0673" w:rsidRPr="00A01F28" w:rsidRDefault="00B97361" w:rsidP="00A01F28">
            <w:pPr>
              <w:pStyle w:val="NoSpacing"/>
              <w:rPr>
                <w:b/>
                <w:sz w:val="20"/>
                <w:szCs w:val="20"/>
              </w:rPr>
            </w:pPr>
            <w:r>
              <w:rPr>
                <w:b/>
                <w:sz w:val="20"/>
                <w:szCs w:val="20"/>
              </w:rPr>
              <w:lastRenderedPageBreak/>
              <w:t>8</w:t>
            </w:r>
            <w:r w:rsidR="00710834">
              <w:rPr>
                <w:b/>
                <w:sz w:val="20"/>
                <w:szCs w:val="20"/>
              </w:rPr>
              <w:t>.0</w:t>
            </w:r>
          </w:p>
        </w:tc>
        <w:tc>
          <w:tcPr>
            <w:tcW w:w="7851" w:type="dxa"/>
            <w:gridSpan w:val="5"/>
            <w:tcBorders>
              <w:bottom w:val="single" w:sz="4" w:space="0" w:color="808080" w:themeColor="background1" w:themeShade="80"/>
            </w:tcBorders>
            <w:shd w:val="clear" w:color="auto" w:fill="B6BFC8"/>
          </w:tcPr>
          <w:p w14:paraId="446AF91F" w14:textId="5C1571F3" w:rsidR="003A0673" w:rsidRPr="00A01F28" w:rsidRDefault="003A0673" w:rsidP="00DC225A">
            <w:pPr>
              <w:pStyle w:val="NoSpacing"/>
              <w:rPr>
                <w:b/>
              </w:rPr>
            </w:pPr>
            <w:r w:rsidRPr="00A01F28">
              <w:rPr>
                <w:b/>
              </w:rPr>
              <w:t>Facilitie</w:t>
            </w:r>
            <w:r w:rsidR="00AA3128" w:rsidRPr="00A01F28">
              <w:rPr>
                <w:b/>
              </w:rPr>
              <w:t>s</w:t>
            </w:r>
            <w:r w:rsidR="00DC225A">
              <w:rPr>
                <w:b/>
              </w:rPr>
              <w:t xml:space="preserve"> </w:t>
            </w:r>
            <w:r w:rsidR="00AA3128" w:rsidRPr="00A01F28">
              <w:rPr>
                <w:b/>
              </w:rPr>
              <w:t>and ICT</w:t>
            </w:r>
          </w:p>
        </w:tc>
      </w:tr>
      <w:tr w:rsidR="008B6266" w:rsidRPr="00AA3128" w14:paraId="44EC6455" w14:textId="77777777" w:rsidTr="00A84962">
        <w:trPr>
          <w:trHeight w:val="284"/>
        </w:trPr>
        <w:tc>
          <w:tcPr>
            <w:tcW w:w="2410" w:type="dxa"/>
            <w:gridSpan w:val="3"/>
            <w:shd w:val="clear" w:color="auto" w:fill="F2F2F2" w:themeFill="background1" w:themeFillShade="F2"/>
          </w:tcPr>
          <w:p w14:paraId="008E8CD7" w14:textId="3494E71C" w:rsidR="00AA3128" w:rsidRPr="00A01F28" w:rsidRDefault="00B97361" w:rsidP="00B97361">
            <w:pPr>
              <w:pStyle w:val="NoSpacing"/>
              <w:rPr>
                <w:sz w:val="20"/>
                <w:szCs w:val="20"/>
              </w:rPr>
            </w:pPr>
            <w:r>
              <w:rPr>
                <w:sz w:val="20"/>
                <w:szCs w:val="20"/>
              </w:rPr>
              <w:t>8</w:t>
            </w:r>
            <w:r w:rsidR="00AA3128" w:rsidRPr="00A01F28">
              <w:rPr>
                <w:sz w:val="20"/>
                <w:szCs w:val="20"/>
              </w:rPr>
              <w:t>.1</w:t>
            </w:r>
          </w:p>
        </w:tc>
        <w:tc>
          <w:tcPr>
            <w:tcW w:w="7851" w:type="dxa"/>
            <w:gridSpan w:val="5"/>
            <w:shd w:val="clear" w:color="auto" w:fill="F2F2F2" w:themeFill="background1" w:themeFillShade="F2"/>
          </w:tcPr>
          <w:p w14:paraId="77BDBC44" w14:textId="77777777" w:rsidR="00AA3128" w:rsidRPr="00AA3128" w:rsidRDefault="00AA3128" w:rsidP="00AA3128">
            <w:pPr>
              <w:pStyle w:val="NoSpacing"/>
            </w:pPr>
            <w:r w:rsidRPr="00AA3128">
              <w:t>Location requirements</w:t>
            </w:r>
          </w:p>
        </w:tc>
      </w:tr>
      <w:tr w:rsidR="00A01F28" w:rsidRPr="00AA3128" w14:paraId="5DC83E93" w14:textId="77777777" w:rsidTr="00931F94">
        <w:trPr>
          <w:trHeight w:val="284"/>
        </w:trPr>
        <w:tc>
          <w:tcPr>
            <w:tcW w:w="10261" w:type="dxa"/>
            <w:gridSpan w:val="8"/>
            <w:shd w:val="clear" w:color="auto" w:fill="FFFFFF" w:themeFill="background1"/>
          </w:tcPr>
          <w:p w14:paraId="3BD1D7FD" w14:textId="268FBA84" w:rsidR="00A774CF" w:rsidRDefault="00A71C53" w:rsidP="000D79B5">
            <w:pPr>
              <w:pStyle w:val="NoSpacing"/>
              <w:jc w:val="both"/>
            </w:pPr>
            <w:r>
              <w:t xml:space="preserve">The provider will, in line with the Medway </w:t>
            </w:r>
            <w:proofErr w:type="gramStart"/>
            <w:r>
              <w:t xml:space="preserve">Model </w:t>
            </w:r>
            <w:r w:rsidR="00D335E6">
              <w:t xml:space="preserve"> provide</w:t>
            </w:r>
            <w:proofErr w:type="gramEnd"/>
            <w:r w:rsidR="00D335E6">
              <w:t xml:space="preserve"> </w:t>
            </w:r>
            <w:r w:rsidR="00A774CF">
              <w:t xml:space="preserve">community clinics </w:t>
            </w:r>
            <w:r>
              <w:t xml:space="preserve">are </w:t>
            </w:r>
            <w:r w:rsidR="00A774CF">
              <w:t>located within the HLCs.</w:t>
            </w:r>
            <w:r w:rsidR="00161F08">
              <w:t xml:space="preserve">  </w:t>
            </w:r>
            <w:r w:rsidR="00A774CF">
              <w:t xml:space="preserve">  </w:t>
            </w:r>
            <w:r w:rsidR="00FA3E60">
              <w:t xml:space="preserve">Utilisation of other clinic space </w:t>
            </w:r>
            <w:r w:rsidR="001818CF">
              <w:t xml:space="preserve">(other than the designated HLCs) </w:t>
            </w:r>
            <w:r w:rsidR="00FA3E60">
              <w:t>will have to be</w:t>
            </w:r>
            <w:r w:rsidR="001818CF">
              <w:t xml:space="preserve"> agreed with the Commissioner.  This will be necessary in the Central Chatham and </w:t>
            </w:r>
            <w:proofErr w:type="spellStart"/>
            <w:r w:rsidR="001818CF">
              <w:t>Strood</w:t>
            </w:r>
            <w:proofErr w:type="spellEnd"/>
            <w:r w:rsidR="001818CF">
              <w:t xml:space="preserve"> area until the new developments planned for those areas are built.</w:t>
            </w:r>
            <w:r w:rsidR="00FA3E60">
              <w:t xml:space="preserve"> </w:t>
            </w:r>
          </w:p>
          <w:p w14:paraId="7C57C6D8" w14:textId="77777777" w:rsidR="00A01F28" w:rsidRDefault="00A01F28" w:rsidP="000D79B5">
            <w:pPr>
              <w:pStyle w:val="NoSpacing"/>
              <w:jc w:val="both"/>
            </w:pPr>
          </w:p>
          <w:p w14:paraId="40F1766B" w14:textId="77777777" w:rsidR="009F0D89" w:rsidRDefault="009F0D89" w:rsidP="000D79B5">
            <w:pPr>
              <w:pStyle w:val="NoSpacing"/>
              <w:jc w:val="both"/>
            </w:pPr>
            <w:r>
              <w:t>The Provider will also provide services in patients own homes (including care homes) if they meet the housebound criteria.</w:t>
            </w:r>
            <w:r w:rsidR="000D79B5">
              <w:t xml:space="preserve">  T</w:t>
            </w:r>
            <w:r w:rsidR="000D79B5" w:rsidRPr="000D79B5">
              <w:t>he Provider will be expected to provide regular update</w:t>
            </w:r>
            <w:r w:rsidR="000D79B5">
              <w:t>s</w:t>
            </w:r>
            <w:r w:rsidR="000D79B5" w:rsidRPr="000D79B5">
              <w:t xml:space="preserve"> on the location and operating hours </w:t>
            </w:r>
            <w:r w:rsidR="000D79B5">
              <w:t xml:space="preserve">across the range of </w:t>
            </w:r>
            <w:r w:rsidR="000D79B5" w:rsidRPr="000D79B5">
              <w:t xml:space="preserve">functions </w:t>
            </w:r>
            <w:r w:rsidR="000D79B5">
              <w:t>provided.</w:t>
            </w:r>
            <w:r w:rsidR="000D79B5" w:rsidDel="000D79B5">
              <w:t xml:space="preserve"> </w:t>
            </w:r>
          </w:p>
          <w:p w14:paraId="353495CE" w14:textId="77777777" w:rsidR="00D335E6" w:rsidRDefault="00D335E6" w:rsidP="000D79B5">
            <w:pPr>
              <w:pStyle w:val="NoSpacing"/>
              <w:jc w:val="both"/>
            </w:pPr>
          </w:p>
          <w:p w14:paraId="38720CBD" w14:textId="77777777" w:rsidR="00D335E6" w:rsidRPr="00DC3BE7" w:rsidRDefault="00D335E6" w:rsidP="00D335E6">
            <w:pPr>
              <w:ind w:right="120"/>
              <w:jc w:val="both"/>
              <w:rPr>
                <w:rFonts w:asciiTheme="minorHAnsi" w:hAnsiTheme="minorHAnsi" w:cs="Arial"/>
                <w:sz w:val="22"/>
                <w:szCs w:val="22"/>
              </w:rPr>
            </w:pPr>
            <w:r>
              <w:rPr>
                <w:rFonts w:asciiTheme="minorHAnsi" w:hAnsiTheme="minorHAnsi" w:cs="Arial"/>
                <w:sz w:val="22"/>
                <w:szCs w:val="22"/>
              </w:rPr>
              <w:t xml:space="preserve">The Provider must seek prior approval from Commissioners to change the location of service provision. </w:t>
            </w:r>
          </w:p>
          <w:p w14:paraId="3D63CB10" w14:textId="77777777" w:rsidR="00D335E6" w:rsidRDefault="00D335E6" w:rsidP="000D79B5">
            <w:pPr>
              <w:pStyle w:val="NoSpacing"/>
              <w:jc w:val="both"/>
            </w:pPr>
          </w:p>
          <w:p w14:paraId="4E7446AD" w14:textId="77777777" w:rsidR="00E534D6" w:rsidRPr="00AA3128" w:rsidRDefault="00E534D6" w:rsidP="000D79B5">
            <w:pPr>
              <w:pStyle w:val="NoSpacing"/>
              <w:jc w:val="both"/>
            </w:pPr>
          </w:p>
        </w:tc>
      </w:tr>
      <w:tr w:rsidR="008B6266" w:rsidRPr="00AA3128" w14:paraId="74A91DCD" w14:textId="77777777" w:rsidTr="0052734D">
        <w:trPr>
          <w:trHeight w:val="284"/>
        </w:trPr>
        <w:tc>
          <w:tcPr>
            <w:tcW w:w="2410" w:type="dxa"/>
            <w:gridSpan w:val="3"/>
            <w:shd w:val="clear" w:color="auto" w:fill="F2F2F2" w:themeFill="background1" w:themeFillShade="F2"/>
          </w:tcPr>
          <w:p w14:paraId="66158489" w14:textId="6953C3F3" w:rsidR="00AA3128" w:rsidRPr="00A01F28" w:rsidRDefault="00B97361" w:rsidP="00A01F28">
            <w:pPr>
              <w:pStyle w:val="NoSpacing"/>
              <w:rPr>
                <w:sz w:val="20"/>
                <w:szCs w:val="20"/>
              </w:rPr>
            </w:pPr>
            <w:r>
              <w:rPr>
                <w:sz w:val="20"/>
                <w:szCs w:val="20"/>
              </w:rPr>
              <w:t>8</w:t>
            </w:r>
            <w:r w:rsidR="00D11BD7">
              <w:rPr>
                <w:sz w:val="20"/>
                <w:szCs w:val="20"/>
              </w:rPr>
              <w:t>.</w:t>
            </w:r>
            <w:r w:rsidR="0068107B">
              <w:rPr>
                <w:sz w:val="20"/>
                <w:szCs w:val="20"/>
              </w:rPr>
              <w:t>2</w:t>
            </w:r>
          </w:p>
        </w:tc>
        <w:tc>
          <w:tcPr>
            <w:tcW w:w="7851" w:type="dxa"/>
            <w:gridSpan w:val="5"/>
            <w:shd w:val="clear" w:color="auto" w:fill="F2F2F2" w:themeFill="background1" w:themeFillShade="F2"/>
          </w:tcPr>
          <w:p w14:paraId="628A74A1" w14:textId="77777777" w:rsidR="00AA3128" w:rsidRPr="00AA3128" w:rsidRDefault="00AA3128" w:rsidP="000A08A3">
            <w:pPr>
              <w:pStyle w:val="NoSpacing"/>
            </w:pPr>
            <w:r w:rsidRPr="00AA3128">
              <w:t>ICT hardware, software and  intellectual property</w:t>
            </w:r>
          </w:p>
        </w:tc>
      </w:tr>
      <w:tr w:rsidR="00A01F28" w:rsidRPr="00AA3128" w14:paraId="75241EBD" w14:textId="77777777" w:rsidTr="00931F94">
        <w:trPr>
          <w:trHeight w:val="284"/>
        </w:trPr>
        <w:tc>
          <w:tcPr>
            <w:tcW w:w="10261" w:type="dxa"/>
            <w:gridSpan w:val="8"/>
            <w:shd w:val="clear" w:color="auto" w:fill="auto"/>
          </w:tcPr>
          <w:p w14:paraId="16E92F18" w14:textId="77777777" w:rsidR="000B4B6D" w:rsidRDefault="00627B67" w:rsidP="0068107B">
            <w:pPr>
              <w:pStyle w:val="NoSpacing"/>
              <w:jc w:val="both"/>
            </w:pPr>
            <w:r>
              <w:t xml:space="preserve">In order for patients to receive co-ordinated, seamless care, it is essential that the Provider has an IT system that </w:t>
            </w:r>
            <w:r w:rsidR="005A7B88">
              <w:t>is accessible</w:t>
            </w:r>
            <w:r w:rsidR="00981E4A">
              <w:t xml:space="preserve"> to staff</w:t>
            </w:r>
            <w:r w:rsidR="000B4B6D">
              <w:t>.</w:t>
            </w:r>
          </w:p>
          <w:p w14:paraId="0AC07BAC" w14:textId="77777777" w:rsidR="000B4B6D" w:rsidRDefault="000B4B6D" w:rsidP="0068107B">
            <w:pPr>
              <w:pStyle w:val="NoSpacing"/>
              <w:jc w:val="both"/>
            </w:pPr>
          </w:p>
          <w:p w14:paraId="155521B2" w14:textId="77777777" w:rsidR="00A01F28" w:rsidRDefault="00981E4A" w:rsidP="0068107B">
            <w:pPr>
              <w:pStyle w:val="NoSpacing"/>
              <w:jc w:val="both"/>
            </w:pPr>
            <w:r>
              <w:t xml:space="preserve">It is also imperative that the IT system used by the Provider operates interactively with systems used by </w:t>
            </w:r>
            <w:r w:rsidR="00812011">
              <w:t>other providers within the whole system including primary care, secondary care, social</w:t>
            </w:r>
            <w:r w:rsidR="000B4B6D">
              <w:t xml:space="preserve"> care and the ambulance service in order to support more co-ordinated working and sharing of information.</w:t>
            </w:r>
          </w:p>
          <w:p w14:paraId="7DFA6395" w14:textId="77777777" w:rsidR="000B4B6D" w:rsidRDefault="000B4B6D" w:rsidP="0068107B">
            <w:pPr>
              <w:pStyle w:val="NoSpacing"/>
              <w:jc w:val="both"/>
            </w:pPr>
          </w:p>
          <w:p w14:paraId="53AED4BC" w14:textId="6AD929D6" w:rsidR="00995A04" w:rsidRPr="00AA3128" w:rsidRDefault="000B4B6D" w:rsidP="00710834">
            <w:pPr>
              <w:pStyle w:val="NoSpacing"/>
              <w:jc w:val="both"/>
            </w:pPr>
            <w:r>
              <w:t xml:space="preserve">The Provider will be expected to have in place </w:t>
            </w:r>
            <w:r w:rsidR="00995A04">
              <w:t>responsible and robust Information Governance processes in line with the most recent national guidance.</w:t>
            </w:r>
          </w:p>
        </w:tc>
      </w:tr>
      <w:tr w:rsidR="008B6266" w:rsidRPr="00AA3128" w14:paraId="51A2CDEA" w14:textId="77777777" w:rsidTr="0052734D">
        <w:trPr>
          <w:trHeight w:val="284"/>
        </w:trPr>
        <w:tc>
          <w:tcPr>
            <w:tcW w:w="2410" w:type="dxa"/>
            <w:gridSpan w:val="3"/>
            <w:shd w:val="clear" w:color="auto" w:fill="B6BFC8"/>
          </w:tcPr>
          <w:p w14:paraId="05BC2ED3" w14:textId="4679229F" w:rsidR="00483491" w:rsidRPr="00A01F28" w:rsidRDefault="00B97361" w:rsidP="00A01F28">
            <w:pPr>
              <w:pStyle w:val="NoSpacing"/>
              <w:rPr>
                <w:b/>
                <w:sz w:val="20"/>
                <w:szCs w:val="20"/>
              </w:rPr>
            </w:pPr>
            <w:r>
              <w:rPr>
                <w:b/>
                <w:sz w:val="20"/>
                <w:szCs w:val="20"/>
              </w:rPr>
              <w:t>9</w:t>
            </w:r>
            <w:r w:rsidR="00710834">
              <w:rPr>
                <w:b/>
                <w:sz w:val="20"/>
                <w:szCs w:val="20"/>
              </w:rPr>
              <w:t>.0</w:t>
            </w:r>
          </w:p>
        </w:tc>
        <w:tc>
          <w:tcPr>
            <w:tcW w:w="7851" w:type="dxa"/>
            <w:gridSpan w:val="5"/>
            <w:shd w:val="clear" w:color="auto" w:fill="B6BFC8"/>
          </w:tcPr>
          <w:p w14:paraId="1F5D195D" w14:textId="77777777" w:rsidR="00483491" w:rsidRPr="00A01F28" w:rsidRDefault="00D33CFF" w:rsidP="00373923">
            <w:pPr>
              <w:pStyle w:val="NoSpacing"/>
              <w:rPr>
                <w:b/>
              </w:rPr>
            </w:pPr>
            <w:r>
              <w:rPr>
                <w:b/>
              </w:rPr>
              <w:t>Workforce</w:t>
            </w:r>
          </w:p>
        </w:tc>
      </w:tr>
      <w:tr w:rsidR="008B6266" w:rsidRPr="00AA3128" w14:paraId="4AAEB7A8" w14:textId="77777777" w:rsidTr="0052734D">
        <w:trPr>
          <w:trHeight w:val="284"/>
        </w:trPr>
        <w:tc>
          <w:tcPr>
            <w:tcW w:w="2410" w:type="dxa"/>
            <w:gridSpan w:val="3"/>
            <w:shd w:val="clear" w:color="auto" w:fill="FFFFFF" w:themeFill="background1"/>
          </w:tcPr>
          <w:p w14:paraId="6DC26EA2" w14:textId="558E28BE" w:rsidR="00523EA7" w:rsidRDefault="00B97361" w:rsidP="003242D3">
            <w:pPr>
              <w:jc w:val="both"/>
              <w:rPr>
                <w:rFonts w:asciiTheme="minorHAnsi" w:eastAsiaTheme="minorHAnsi" w:hAnsiTheme="minorHAnsi" w:cs="Arial"/>
                <w:sz w:val="22"/>
                <w:szCs w:val="22"/>
              </w:rPr>
            </w:pPr>
            <w:r>
              <w:rPr>
                <w:rFonts w:asciiTheme="minorHAnsi" w:eastAsiaTheme="minorHAnsi" w:hAnsiTheme="minorHAnsi" w:cs="Arial"/>
                <w:sz w:val="22"/>
                <w:szCs w:val="22"/>
              </w:rPr>
              <w:t>9</w:t>
            </w:r>
            <w:r w:rsidR="00523EA7">
              <w:rPr>
                <w:rFonts w:asciiTheme="minorHAnsi" w:eastAsiaTheme="minorHAnsi" w:hAnsiTheme="minorHAnsi" w:cs="Arial"/>
                <w:sz w:val="22"/>
                <w:szCs w:val="22"/>
              </w:rPr>
              <w:t>.1</w:t>
            </w:r>
          </w:p>
        </w:tc>
        <w:tc>
          <w:tcPr>
            <w:tcW w:w="7851" w:type="dxa"/>
            <w:gridSpan w:val="5"/>
            <w:shd w:val="clear" w:color="auto" w:fill="FFFFFF" w:themeFill="background1"/>
          </w:tcPr>
          <w:p w14:paraId="571B3AE1" w14:textId="77777777" w:rsidR="00523EA7" w:rsidRDefault="0023415A" w:rsidP="0023415A">
            <w:pPr>
              <w:jc w:val="both"/>
              <w:rPr>
                <w:rFonts w:asciiTheme="minorHAnsi" w:eastAsiaTheme="minorHAnsi" w:hAnsiTheme="minorHAnsi" w:cs="Arial"/>
                <w:sz w:val="22"/>
                <w:szCs w:val="22"/>
              </w:rPr>
            </w:pPr>
            <w:r>
              <w:rPr>
                <w:rFonts w:asciiTheme="minorHAnsi" w:eastAsiaTheme="minorHAnsi" w:hAnsiTheme="minorHAnsi" w:cs="Arial"/>
                <w:sz w:val="22"/>
                <w:szCs w:val="22"/>
              </w:rPr>
              <w:t>Building a w</w:t>
            </w:r>
            <w:r w:rsidR="00523EA7">
              <w:rPr>
                <w:rFonts w:asciiTheme="minorHAnsi" w:eastAsiaTheme="minorHAnsi" w:hAnsiTheme="minorHAnsi" w:cs="Arial"/>
                <w:sz w:val="22"/>
                <w:szCs w:val="22"/>
              </w:rPr>
              <w:t>orkforce for the future</w:t>
            </w:r>
          </w:p>
        </w:tc>
      </w:tr>
      <w:tr w:rsidR="00523EA7" w:rsidRPr="00AA3128" w14:paraId="4ED02005" w14:textId="77777777" w:rsidTr="00931F94">
        <w:trPr>
          <w:trHeight w:val="284"/>
        </w:trPr>
        <w:tc>
          <w:tcPr>
            <w:tcW w:w="10261" w:type="dxa"/>
            <w:gridSpan w:val="8"/>
            <w:shd w:val="clear" w:color="auto" w:fill="FFFFFF" w:themeFill="background1"/>
          </w:tcPr>
          <w:p w14:paraId="48DA1AC6" w14:textId="1D274520" w:rsidR="00523EA7" w:rsidRPr="0068441F" w:rsidRDefault="00B97361" w:rsidP="00523EA7">
            <w:pPr>
              <w:jc w:val="both"/>
              <w:rPr>
                <w:rFonts w:asciiTheme="minorHAnsi" w:eastAsiaTheme="minorHAnsi" w:hAnsiTheme="minorHAnsi" w:cs="Arial"/>
                <w:sz w:val="22"/>
                <w:szCs w:val="22"/>
              </w:rPr>
            </w:pPr>
            <w:r>
              <w:rPr>
                <w:rFonts w:asciiTheme="minorHAnsi" w:eastAsiaTheme="minorHAnsi" w:hAnsiTheme="minorHAnsi" w:cs="Arial"/>
                <w:sz w:val="22"/>
                <w:szCs w:val="22"/>
              </w:rPr>
              <w:t>9</w:t>
            </w:r>
            <w:r w:rsidR="00523EA7" w:rsidRPr="0068441F">
              <w:rPr>
                <w:rFonts w:asciiTheme="minorHAnsi" w:eastAsiaTheme="minorHAnsi" w:hAnsiTheme="minorHAnsi" w:cs="Arial"/>
                <w:sz w:val="22"/>
                <w:szCs w:val="22"/>
              </w:rPr>
              <w:t>.1.1 Across the whole system, in line with the KMSTP Local Care agenda, the</w:t>
            </w:r>
            <w:r w:rsidR="0068441F" w:rsidRPr="0068441F">
              <w:rPr>
                <w:rFonts w:asciiTheme="minorHAnsi" w:eastAsiaTheme="minorHAnsi" w:hAnsiTheme="minorHAnsi" w:cs="Arial"/>
                <w:sz w:val="22"/>
                <w:szCs w:val="22"/>
              </w:rPr>
              <w:t xml:space="preserve"> workforce will progressively</w:t>
            </w:r>
            <w:r w:rsidR="00523EA7" w:rsidRPr="0068441F">
              <w:rPr>
                <w:rFonts w:asciiTheme="minorHAnsi" w:eastAsiaTheme="minorHAnsi" w:hAnsiTheme="minorHAnsi" w:cs="Arial"/>
                <w:sz w:val="22"/>
                <w:szCs w:val="22"/>
              </w:rPr>
              <w:t xml:space="preserve"> be deployed differently to support the realignment of resources from the hospital into primary and community services.   </w:t>
            </w:r>
            <w:proofErr w:type="gramStart"/>
            <w:r w:rsidR="00D335E6">
              <w:rPr>
                <w:rFonts w:asciiTheme="minorHAnsi" w:eastAsiaTheme="minorHAnsi" w:hAnsiTheme="minorHAnsi" w:cs="Arial"/>
                <w:sz w:val="22"/>
                <w:szCs w:val="22"/>
              </w:rPr>
              <w:t>T</w:t>
            </w:r>
            <w:r w:rsidR="00523EA7" w:rsidRPr="0068441F">
              <w:rPr>
                <w:rFonts w:asciiTheme="minorHAnsi" w:eastAsiaTheme="minorHAnsi" w:hAnsiTheme="minorHAnsi" w:cs="Arial"/>
                <w:sz w:val="22"/>
                <w:szCs w:val="22"/>
              </w:rPr>
              <w:t xml:space="preserve">he </w:t>
            </w:r>
            <w:r w:rsidR="00C5002F" w:rsidRPr="0068441F">
              <w:rPr>
                <w:rFonts w:asciiTheme="minorHAnsi" w:eastAsiaTheme="minorHAnsi" w:hAnsiTheme="minorHAnsi" w:cs="Arial"/>
                <w:sz w:val="22"/>
                <w:szCs w:val="22"/>
              </w:rPr>
              <w:t xml:space="preserve"> Provider</w:t>
            </w:r>
            <w:proofErr w:type="gramEnd"/>
            <w:r w:rsidR="00C5002F" w:rsidRPr="0068441F">
              <w:rPr>
                <w:rFonts w:asciiTheme="minorHAnsi" w:eastAsiaTheme="minorHAnsi" w:hAnsiTheme="minorHAnsi" w:cs="Arial"/>
                <w:sz w:val="22"/>
                <w:szCs w:val="22"/>
              </w:rPr>
              <w:t xml:space="preserve"> </w:t>
            </w:r>
            <w:r w:rsidR="00523EA7" w:rsidRPr="0068441F">
              <w:rPr>
                <w:rFonts w:asciiTheme="minorHAnsi" w:eastAsiaTheme="minorHAnsi" w:hAnsiTheme="minorHAnsi" w:cs="Arial"/>
                <w:sz w:val="22"/>
                <w:szCs w:val="22"/>
              </w:rPr>
              <w:t xml:space="preserve">will continue to work with the Commissioner and the wider system </w:t>
            </w:r>
            <w:r w:rsidR="00C5002F" w:rsidRPr="0068441F">
              <w:rPr>
                <w:rFonts w:asciiTheme="minorHAnsi" w:eastAsiaTheme="minorHAnsi" w:hAnsiTheme="minorHAnsi" w:cs="Arial"/>
                <w:sz w:val="22"/>
                <w:szCs w:val="22"/>
              </w:rPr>
              <w:t xml:space="preserve">to </w:t>
            </w:r>
            <w:r w:rsidR="00523EA7" w:rsidRPr="0068441F">
              <w:rPr>
                <w:rFonts w:asciiTheme="minorHAnsi" w:eastAsiaTheme="minorHAnsi" w:hAnsiTheme="minorHAnsi" w:cs="Arial"/>
                <w:sz w:val="22"/>
                <w:szCs w:val="22"/>
              </w:rPr>
              <w:t>meet the changes and challenges ahead.</w:t>
            </w:r>
            <w:r w:rsidR="00872B86" w:rsidRPr="0068441F">
              <w:rPr>
                <w:rFonts w:asciiTheme="minorHAnsi" w:eastAsiaTheme="minorHAnsi" w:hAnsiTheme="minorHAnsi" w:cs="Arial"/>
                <w:sz w:val="22"/>
                <w:szCs w:val="22"/>
              </w:rPr>
              <w:t xml:space="preserve">  This will include</w:t>
            </w:r>
            <w:r>
              <w:rPr>
                <w:rFonts w:asciiTheme="minorHAnsi" w:eastAsiaTheme="minorHAnsi" w:hAnsiTheme="minorHAnsi" w:cs="Arial"/>
                <w:sz w:val="22"/>
                <w:szCs w:val="22"/>
              </w:rPr>
              <w:t xml:space="preserve">: </w:t>
            </w:r>
            <w:r w:rsidR="00872B86" w:rsidRPr="0068441F">
              <w:rPr>
                <w:rFonts w:asciiTheme="minorHAnsi" w:eastAsiaTheme="minorHAnsi" w:hAnsiTheme="minorHAnsi" w:cs="Arial"/>
                <w:sz w:val="22"/>
                <w:szCs w:val="22"/>
              </w:rPr>
              <w:t>contributing to the development of strategies to help attract and recruit as well as retain professionally qualified nursing and other health professionals to the local area. The Provider will contribute to the partnership development of “growing our own” health and care staff, work with training and education establishments and support workforce initiatives; including wider STP work and contributing to local primary and secondary care workforce strategies.</w:t>
            </w:r>
          </w:p>
          <w:p w14:paraId="4F9997D0" w14:textId="77777777" w:rsidR="00872324" w:rsidRPr="0068441F" w:rsidRDefault="00872324" w:rsidP="00523EA7">
            <w:pPr>
              <w:jc w:val="both"/>
              <w:rPr>
                <w:rFonts w:asciiTheme="minorHAnsi" w:eastAsiaTheme="minorHAnsi" w:hAnsiTheme="minorHAnsi" w:cs="Arial"/>
                <w:sz w:val="22"/>
                <w:szCs w:val="22"/>
              </w:rPr>
            </w:pPr>
          </w:p>
          <w:p w14:paraId="724203D4" w14:textId="6B5B2E92" w:rsidR="00523EA7" w:rsidRPr="0068441F" w:rsidRDefault="00523EA7" w:rsidP="00523EA7">
            <w:pPr>
              <w:jc w:val="both"/>
              <w:rPr>
                <w:rFonts w:asciiTheme="minorHAnsi" w:eastAsiaTheme="minorHAnsi" w:hAnsiTheme="minorHAnsi" w:cs="Arial"/>
                <w:sz w:val="22"/>
                <w:szCs w:val="22"/>
              </w:rPr>
            </w:pPr>
            <w:r w:rsidRPr="0068441F">
              <w:rPr>
                <w:rFonts w:asciiTheme="minorHAnsi" w:eastAsiaTheme="minorHAnsi" w:hAnsiTheme="minorHAnsi" w:cs="Arial"/>
                <w:sz w:val="22"/>
                <w:szCs w:val="22"/>
              </w:rPr>
              <w:t>The Provider will ensure that they have a flexible and adaptable approach to skill mix and workforce, in order for them to be able to accommodate any future changes in service demand.</w:t>
            </w:r>
            <w:r w:rsidR="00872324" w:rsidRPr="0068441F">
              <w:rPr>
                <w:rFonts w:asciiTheme="minorHAnsi" w:eastAsiaTheme="minorHAnsi" w:hAnsiTheme="minorHAnsi" w:cs="Arial"/>
                <w:sz w:val="22"/>
                <w:szCs w:val="22"/>
              </w:rPr>
              <w:t xml:space="preserve"> The Provider will be responsible for ensuring resources are utilised in the most efficient way whilst ensuring that systems are in place to ensure integrated delivery of care and interventions. The Provider must ensure the right people, with the right skills, are </w:t>
            </w:r>
            <w:r w:rsidR="00872324" w:rsidRPr="0068441F">
              <w:rPr>
                <w:rFonts w:asciiTheme="minorHAnsi" w:eastAsiaTheme="minorHAnsi" w:hAnsiTheme="minorHAnsi" w:cs="Arial"/>
                <w:sz w:val="22"/>
                <w:szCs w:val="22"/>
              </w:rPr>
              <w:lastRenderedPageBreak/>
              <w:t>in the right place at the right time and the Provider must ensure sufficient staffing capacity and capability is made available to meet the needs of the local population, taking into account population growth and increased demand. The Provider will flag any gaps in staff training or qualifications and develop action plans to demonstrate how the gaps will be addressed</w:t>
            </w:r>
            <w:r w:rsidR="00EF1759" w:rsidRPr="0068441F">
              <w:rPr>
                <w:rFonts w:asciiTheme="minorHAnsi" w:eastAsiaTheme="minorHAnsi" w:hAnsiTheme="minorHAnsi" w:cs="Arial"/>
                <w:sz w:val="22"/>
                <w:szCs w:val="22"/>
              </w:rPr>
              <w:t>.</w:t>
            </w:r>
          </w:p>
          <w:p w14:paraId="6999DD6A" w14:textId="77777777" w:rsidR="00523EA7" w:rsidRPr="0068441F" w:rsidRDefault="00523EA7" w:rsidP="00872324">
            <w:pPr>
              <w:jc w:val="both"/>
              <w:rPr>
                <w:rFonts w:asciiTheme="minorHAnsi" w:eastAsiaTheme="minorHAnsi" w:hAnsiTheme="minorHAnsi" w:cs="Arial"/>
                <w:sz w:val="22"/>
                <w:szCs w:val="22"/>
              </w:rPr>
            </w:pPr>
          </w:p>
        </w:tc>
      </w:tr>
      <w:tr w:rsidR="008B6266" w:rsidRPr="0068441F" w14:paraId="0EE56687" w14:textId="77777777" w:rsidTr="00DC225A">
        <w:trPr>
          <w:trHeight w:val="284"/>
        </w:trPr>
        <w:tc>
          <w:tcPr>
            <w:tcW w:w="2321" w:type="dxa"/>
            <w:gridSpan w:val="2"/>
            <w:shd w:val="clear" w:color="auto" w:fill="F2F2F2" w:themeFill="background1" w:themeFillShade="F2"/>
          </w:tcPr>
          <w:p w14:paraId="21694AF7" w14:textId="4836BC88" w:rsidR="003A0673" w:rsidRPr="0068441F" w:rsidRDefault="00B97361" w:rsidP="0023415A">
            <w:pPr>
              <w:pStyle w:val="NoSpacing"/>
              <w:rPr>
                <w:sz w:val="20"/>
                <w:szCs w:val="20"/>
              </w:rPr>
            </w:pPr>
            <w:r>
              <w:rPr>
                <w:sz w:val="20"/>
                <w:szCs w:val="20"/>
              </w:rPr>
              <w:lastRenderedPageBreak/>
              <w:t>9</w:t>
            </w:r>
            <w:r w:rsidR="00AA3128" w:rsidRPr="0068441F">
              <w:rPr>
                <w:sz w:val="20"/>
                <w:szCs w:val="20"/>
              </w:rPr>
              <w:t>.</w:t>
            </w:r>
            <w:r w:rsidR="0023415A" w:rsidRPr="0068441F">
              <w:rPr>
                <w:sz w:val="20"/>
                <w:szCs w:val="20"/>
              </w:rPr>
              <w:t>2</w:t>
            </w:r>
          </w:p>
        </w:tc>
        <w:tc>
          <w:tcPr>
            <w:tcW w:w="7940" w:type="dxa"/>
            <w:gridSpan w:val="6"/>
            <w:shd w:val="clear" w:color="auto" w:fill="F2F2F2" w:themeFill="background1" w:themeFillShade="F2"/>
          </w:tcPr>
          <w:p w14:paraId="5F6DB5D4" w14:textId="77777777" w:rsidR="003A0673" w:rsidRPr="0068441F" w:rsidRDefault="003A0673" w:rsidP="000A08A3">
            <w:pPr>
              <w:pStyle w:val="NoSpacing"/>
            </w:pPr>
            <w:r w:rsidRPr="0068441F">
              <w:t>Staff competency</w:t>
            </w:r>
            <w:r w:rsidR="001E76ED" w:rsidRPr="0068441F">
              <w:t xml:space="preserve"> requirements</w:t>
            </w:r>
          </w:p>
        </w:tc>
      </w:tr>
      <w:tr w:rsidR="00A01F28" w:rsidRPr="00AA3128" w14:paraId="3E9414ED" w14:textId="77777777" w:rsidTr="00931F94">
        <w:trPr>
          <w:trHeight w:val="284"/>
        </w:trPr>
        <w:tc>
          <w:tcPr>
            <w:tcW w:w="10261" w:type="dxa"/>
            <w:gridSpan w:val="8"/>
            <w:shd w:val="clear" w:color="auto" w:fill="auto"/>
          </w:tcPr>
          <w:p w14:paraId="119AFAB9" w14:textId="647B9C2E" w:rsidR="00A01F28" w:rsidRPr="0068441F" w:rsidRDefault="00B97361" w:rsidP="00D33CFF">
            <w:pPr>
              <w:pStyle w:val="NoSpacing"/>
              <w:jc w:val="both"/>
            </w:pPr>
            <w:r>
              <w:t>9</w:t>
            </w:r>
            <w:r w:rsidR="0023415A" w:rsidRPr="0068441F">
              <w:t>.2</w:t>
            </w:r>
            <w:r w:rsidR="007455F7" w:rsidRPr="0068441F">
              <w:t xml:space="preserve">.1 </w:t>
            </w:r>
            <w:r w:rsidR="00B7557C" w:rsidRPr="0068441F">
              <w:t xml:space="preserve">The Provider will ensure that </w:t>
            </w:r>
            <w:r w:rsidR="005C14C9" w:rsidRPr="0068441F">
              <w:t xml:space="preserve">its workforce </w:t>
            </w:r>
            <w:r w:rsidR="00B7557C" w:rsidRPr="0068441F">
              <w:t>are adequately trained and supported</w:t>
            </w:r>
            <w:r w:rsidR="006800B4" w:rsidRPr="0068441F">
              <w:t xml:space="preserve">. </w:t>
            </w:r>
            <w:r w:rsidR="003C5933" w:rsidRPr="0068441F">
              <w:t xml:space="preserve">The Provider will </w:t>
            </w:r>
            <w:r w:rsidR="008D4D07" w:rsidRPr="0068441F">
              <w:t xml:space="preserve">develop a competency framework and training programme to support the management of multiple long-term conditions across all </w:t>
            </w:r>
            <w:r w:rsidR="00156711" w:rsidRPr="00122AE0">
              <w:t>CLTs</w:t>
            </w:r>
            <w:r w:rsidR="00156711" w:rsidRPr="0068441F">
              <w:t xml:space="preserve"> </w:t>
            </w:r>
            <w:r w:rsidR="008D4D07" w:rsidRPr="0068441F">
              <w:t xml:space="preserve">to ensure a consistent high standard of general nursing </w:t>
            </w:r>
            <w:r w:rsidR="00156711" w:rsidRPr="0068441F">
              <w:t xml:space="preserve">across Medway.  The Provider will </w:t>
            </w:r>
            <w:r w:rsidR="00610371" w:rsidRPr="0068441F">
              <w:t xml:space="preserve">work with the Commissioner to ensure roles and responsibilities are standardised </w:t>
            </w:r>
            <w:r w:rsidR="005B1AAD" w:rsidRPr="0068441F">
              <w:t xml:space="preserve">in line with the different functions of both </w:t>
            </w:r>
            <w:r w:rsidR="00F72A62" w:rsidRPr="0068441F">
              <w:t>the core and specialist</w:t>
            </w:r>
            <w:r w:rsidR="00E6373B" w:rsidRPr="0068441F">
              <w:t xml:space="preserve"> staff</w:t>
            </w:r>
            <w:r w:rsidR="00752220" w:rsidRPr="0068441F">
              <w:t xml:space="preserve">.  The Provider will </w:t>
            </w:r>
            <w:r w:rsidR="00BF780E" w:rsidRPr="0068441F">
              <w:t xml:space="preserve">be expected to produce on </w:t>
            </w:r>
            <w:r w:rsidR="00752220" w:rsidRPr="0068441F">
              <w:t xml:space="preserve">request up to date records </w:t>
            </w:r>
            <w:r w:rsidR="008B2459" w:rsidRPr="0068441F">
              <w:t>to demonstrate staff competenc</w:t>
            </w:r>
            <w:r w:rsidR="00BF780E" w:rsidRPr="0068441F">
              <w:t>ies</w:t>
            </w:r>
            <w:r w:rsidR="008E6171" w:rsidRPr="0068441F">
              <w:t xml:space="preserve"> and skills</w:t>
            </w:r>
            <w:r w:rsidR="008B2459" w:rsidRPr="0068441F">
              <w:t xml:space="preserve">, </w:t>
            </w:r>
            <w:r w:rsidR="008E6171" w:rsidRPr="0068441F">
              <w:t xml:space="preserve">a workforce </w:t>
            </w:r>
            <w:r w:rsidR="008B2459" w:rsidRPr="0068441F">
              <w:t>training matrix and pathway development plans.</w:t>
            </w:r>
            <w:r w:rsidR="00752220" w:rsidRPr="0068441F">
              <w:t xml:space="preserve"> </w:t>
            </w:r>
            <w:r w:rsidR="00091968" w:rsidRPr="0068441F">
              <w:t xml:space="preserve">The </w:t>
            </w:r>
            <w:r w:rsidR="00E534D6" w:rsidRPr="0068441F">
              <w:t>P</w:t>
            </w:r>
            <w:r w:rsidR="00091968" w:rsidRPr="0068441F">
              <w:t>rovider will be required to demonstrate that the workforce have received and are up to date with training around prevention/public health (e.g. M</w:t>
            </w:r>
            <w:r w:rsidR="00864D99">
              <w:t>ECC</w:t>
            </w:r>
            <w:r w:rsidR="00091968" w:rsidRPr="0068441F">
              <w:t xml:space="preserve"> training) and are able to have conversations with patients about making healthy behaviour changes and signpost to services for further support.</w:t>
            </w:r>
          </w:p>
          <w:p w14:paraId="01914F19" w14:textId="77777777" w:rsidR="00FC6344" w:rsidRPr="0068441F" w:rsidRDefault="00FC6344" w:rsidP="008E6171">
            <w:pPr>
              <w:pStyle w:val="NoSpacing"/>
            </w:pPr>
          </w:p>
        </w:tc>
      </w:tr>
      <w:tr w:rsidR="008B6266" w:rsidRPr="0068441F" w14:paraId="1AD0EE98" w14:textId="77777777" w:rsidTr="00DC225A">
        <w:trPr>
          <w:trHeight w:val="284"/>
        </w:trPr>
        <w:tc>
          <w:tcPr>
            <w:tcW w:w="2321" w:type="dxa"/>
            <w:gridSpan w:val="2"/>
            <w:shd w:val="clear" w:color="auto" w:fill="F2F2F2" w:themeFill="background1" w:themeFillShade="F2"/>
          </w:tcPr>
          <w:p w14:paraId="51F38D55" w14:textId="661432C9" w:rsidR="003A0673" w:rsidRPr="0068441F" w:rsidRDefault="00B97361" w:rsidP="00A01F28">
            <w:pPr>
              <w:pStyle w:val="NoSpacing"/>
              <w:rPr>
                <w:sz w:val="20"/>
                <w:szCs w:val="20"/>
              </w:rPr>
            </w:pPr>
            <w:r>
              <w:rPr>
                <w:sz w:val="20"/>
                <w:szCs w:val="20"/>
              </w:rPr>
              <w:t>9</w:t>
            </w:r>
            <w:r w:rsidR="0023415A" w:rsidRPr="0068441F">
              <w:rPr>
                <w:sz w:val="20"/>
                <w:szCs w:val="20"/>
              </w:rPr>
              <w:t>.3</w:t>
            </w:r>
          </w:p>
        </w:tc>
        <w:tc>
          <w:tcPr>
            <w:tcW w:w="7940" w:type="dxa"/>
            <w:gridSpan w:val="6"/>
            <w:shd w:val="clear" w:color="auto" w:fill="F2F2F2" w:themeFill="background1" w:themeFillShade="F2"/>
          </w:tcPr>
          <w:p w14:paraId="0781D4E4" w14:textId="77777777" w:rsidR="003A0673" w:rsidRPr="0068441F" w:rsidRDefault="003A0673" w:rsidP="000A08A3">
            <w:pPr>
              <w:pStyle w:val="NoSpacing"/>
            </w:pPr>
            <w:r w:rsidRPr="0068441F">
              <w:t>Safe staffing levels</w:t>
            </w:r>
          </w:p>
        </w:tc>
      </w:tr>
      <w:tr w:rsidR="00A01F28" w:rsidRPr="00AA3128" w14:paraId="583BF860" w14:textId="77777777" w:rsidTr="00931F94">
        <w:trPr>
          <w:trHeight w:val="284"/>
        </w:trPr>
        <w:tc>
          <w:tcPr>
            <w:tcW w:w="10261" w:type="dxa"/>
            <w:gridSpan w:val="8"/>
            <w:shd w:val="clear" w:color="auto" w:fill="auto"/>
          </w:tcPr>
          <w:p w14:paraId="5C5E06CC" w14:textId="272B26D8" w:rsidR="00A01F28" w:rsidRPr="0068441F" w:rsidRDefault="0099358F" w:rsidP="008C4CBA">
            <w:pPr>
              <w:pStyle w:val="NoSpacing"/>
            </w:pPr>
            <w:r>
              <w:t>10</w:t>
            </w:r>
            <w:r w:rsidR="007455F7" w:rsidRPr="0068441F">
              <w:t>.</w:t>
            </w:r>
            <w:r w:rsidR="0023415A" w:rsidRPr="0068441F">
              <w:t>3</w:t>
            </w:r>
            <w:r w:rsidR="007455F7" w:rsidRPr="0068441F">
              <w:t xml:space="preserve">.1 </w:t>
            </w:r>
            <w:r w:rsidR="008E6171" w:rsidRPr="0068441F">
              <w:t xml:space="preserve">The Provider will demonstrate clear methodology </w:t>
            </w:r>
            <w:r w:rsidR="00AF322B" w:rsidRPr="0068441F">
              <w:t>(</w:t>
            </w:r>
            <w:r w:rsidR="008E6171" w:rsidRPr="0068441F">
              <w:t>i.e. Risk Stratification To</w:t>
            </w:r>
            <w:r w:rsidR="00C477BE" w:rsidRPr="0068441F">
              <w:t>ols</w:t>
            </w:r>
            <w:r w:rsidR="00AF322B" w:rsidRPr="0068441F">
              <w:t xml:space="preserve">) to maintain safe staffing levels at all times.  The Provider will have on request accurate knowledge of staffing vacancies, </w:t>
            </w:r>
            <w:r w:rsidR="008C4CBA" w:rsidRPr="0068441F">
              <w:t xml:space="preserve">as well as staff </w:t>
            </w:r>
            <w:r w:rsidR="00AF322B" w:rsidRPr="0068441F">
              <w:t xml:space="preserve">recruitment </w:t>
            </w:r>
            <w:r w:rsidR="008C4CBA" w:rsidRPr="0068441F">
              <w:t xml:space="preserve">and retention </w:t>
            </w:r>
            <w:r w:rsidR="00AF322B" w:rsidRPr="0068441F">
              <w:t>plans</w:t>
            </w:r>
            <w:r w:rsidR="008C4CBA" w:rsidRPr="0068441F">
              <w:t>.</w:t>
            </w:r>
          </w:p>
          <w:p w14:paraId="1E37A830" w14:textId="77777777" w:rsidR="008C4CBA" w:rsidRPr="0068441F" w:rsidRDefault="008C4CBA" w:rsidP="008C4CBA">
            <w:pPr>
              <w:pStyle w:val="NoSpacing"/>
            </w:pPr>
          </w:p>
        </w:tc>
      </w:tr>
      <w:tr w:rsidR="008B6266" w:rsidRPr="0068441F" w14:paraId="15E99B32" w14:textId="77777777" w:rsidTr="00DC225A">
        <w:trPr>
          <w:trHeight w:val="284"/>
        </w:trPr>
        <w:tc>
          <w:tcPr>
            <w:tcW w:w="2321" w:type="dxa"/>
            <w:gridSpan w:val="2"/>
            <w:shd w:val="clear" w:color="auto" w:fill="F2F2F2" w:themeFill="background1" w:themeFillShade="F2"/>
          </w:tcPr>
          <w:p w14:paraId="0FB46AE5" w14:textId="63D01558" w:rsidR="003A0673" w:rsidRPr="0068441F" w:rsidRDefault="00B97361" w:rsidP="00A01F28">
            <w:pPr>
              <w:pStyle w:val="NoSpacing"/>
              <w:rPr>
                <w:sz w:val="20"/>
                <w:szCs w:val="20"/>
              </w:rPr>
            </w:pPr>
            <w:r>
              <w:rPr>
                <w:sz w:val="20"/>
                <w:szCs w:val="20"/>
              </w:rPr>
              <w:t>9</w:t>
            </w:r>
            <w:r w:rsidR="0023415A" w:rsidRPr="0068441F">
              <w:rPr>
                <w:sz w:val="20"/>
                <w:szCs w:val="20"/>
              </w:rPr>
              <w:t>.4</w:t>
            </w:r>
          </w:p>
        </w:tc>
        <w:tc>
          <w:tcPr>
            <w:tcW w:w="7940" w:type="dxa"/>
            <w:gridSpan w:val="6"/>
            <w:shd w:val="clear" w:color="auto" w:fill="F2F2F2" w:themeFill="background1" w:themeFillShade="F2"/>
          </w:tcPr>
          <w:p w14:paraId="17759BE0" w14:textId="77777777" w:rsidR="003A0673" w:rsidRPr="0068441F" w:rsidRDefault="003A0673" w:rsidP="000A08A3">
            <w:pPr>
              <w:pStyle w:val="NoSpacing"/>
            </w:pPr>
            <w:r w:rsidRPr="0068441F">
              <w:t>Ongoing training and development</w:t>
            </w:r>
          </w:p>
        </w:tc>
      </w:tr>
      <w:tr w:rsidR="00A01F28" w:rsidRPr="00AA3128" w14:paraId="172422BB" w14:textId="77777777" w:rsidTr="00BB03D3">
        <w:trPr>
          <w:trHeight w:val="284"/>
        </w:trPr>
        <w:tc>
          <w:tcPr>
            <w:tcW w:w="10261" w:type="dxa"/>
            <w:gridSpan w:val="8"/>
            <w:tcBorders>
              <w:bottom w:val="single" w:sz="4" w:space="0" w:color="808080" w:themeColor="background1" w:themeShade="80"/>
            </w:tcBorders>
            <w:shd w:val="clear" w:color="auto" w:fill="auto"/>
          </w:tcPr>
          <w:p w14:paraId="3DF39732" w14:textId="5CC391C5" w:rsidR="00A01F28" w:rsidRPr="0068441F" w:rsidRDefault="00B97361" w:rsidP="001F4E2B">
            <w:pPr>
              <w:pStyle w:val="NoSpacing"/>
              <w:jc w:val="both"/>
            </w:pPr>
            <w:r>
              <w:t>9</w:t>
            </w:r>
            <w:r w:rsidR="0023415A" w:rsidRPr="0068441F">
              <w:t>.4</w:t>
            </w:r>
            <w:r w:rsidR="007455F7" w:rsidRPr="0068441F">
              <w:t xml:space="preserve">.1 </w:t>
            </w:r>
            <w:r w:rsidR="00B9711B" w:rsidRPr="0068441F">
              <w:t>The Provid</w:t>
            </w:r>
            <w:r w:rsidR="00FA50D5" w:rsidRPr="0068441F">
              <w:t xml:space="preserve">er will ensure a clear, comprehensive training and development plan </w:t>
            </w:r>
            <w:r w:rsidR="00945448" w:rsidRPr="0068441F">
              <w:t xml:space="preserve">is </w:t>
            </w:r>
            <w:r w:rsidR="00FA50D5" w:rsidRPr="0068441F">
              <w:t xml:space="preserve">in place that drives </w:t>
            </w:r>
            <w:r w:rsidR="00867203" w:rsidRPr="0068441F">
              <w:t xml:space="preserve">continuous staff </w:t>
            </w:r>
            <w:r w:rsidR="00945448" w:rsidRPr="0068441F">
              <w:t xml:space="preserve">development and improvement.  It is expected that the training and support provided </w:t>
            </w:r>
            <w:r w:rsidR="00776F76" w:rsidRPr="0068441F">
              <w:t xml:space="preserve">to the core </w:t>
            </w:r>
            <w:r w:rsidR="0029291A" w:rsidRPr="0068441F">
              <w:t xml:space="preserve">staff, </w:t>
            </w:r>
            <w:r w:rsidR="00776F76" w:rsidRPr="0068441F">
              <w:t xml:space="preserve">by the specialist function, will be reflected in the Provider’s education and training programme.  The Provider will work closely with the Commissioner </w:t>
            </w:r>
            <w:r w:rsidR="000B36CD" w:rsidRPr="0068441F">
              <w:t xml:space="preserve">with regard to </w:t>
            </w:r>
            <w:r w:rsidR="006A589C" w:rsidRPr="0068441F">
              <w:t xml:space="preserve">specific </w:t>
            </w:r>
            <w:r w:rsidR="00402C6B" w:rsidRPr="0068441F">
              <w:t xml:space="preserve">areas of </w:t>
            </w:r>
            <w:r w:rsidR="00564875" w:rsidRPr="0068441F">
              <w:t xml:space="preserve">staff </w:t>
            </w:r>
            <w:r w:rsidR="00402C6B" w:rsidRPr="0068441F">
              <w:t xml:space="preserve">need </w:t>
            </w:r>
            <w:r w:rsidR="006A589C" w:rsidRPr="0068441F">
              <w:t xml:space="preserve">i.e. </w:t>
            </w:r>
            <w:r w:rsidR="000D0133" w:rsidRPr="0068441F">
              <w:t>s</w:t>
            </w:r>
            <w:r w:rsidR="00402C6B" w:rsidRPr="0068441F">
              <w:t xml:space="preserve">kill set </w:t>
            </w:r>
            <w:r w:rsidR="008B5863" w:rsidRPr="0068441F">
              <w:t xml:space="preserve">shortages </w:t>
            </w:r>
            <w:r w:rsidR="00E918AD" w:rsidRPr="0068441F">
              <w:t xml:space="preserve">in </w:t>
            </w:r>
            <w:r w:rsidR="00402C6B" w:rsidRPr="0068441F">
              <w:t>particular staff groups</w:t>
            </w:r>
            <w:r w:rsidR="008B5863" w:rsidRPr="0068441F">
              <w:t xml:space="preserve">.  These discussions will </w:t>
            </w:r>
            <w:r w:rsidR="00564875" w:rsidRPr="0068441F">
              <w:t xml:space="preserve">consider </w:t>
            </w:r>
            <w:r w:rsidR="003B0AE7" w:rsidRPr="0068441F">
              <w:t xml:space="preserve">options in terms of </w:t>
            </w:r>
            <w:r w:rsidR="000D0133" w:rsidRPr="0068441F">
              <w:t xml:space="preserve">future developments and </w:t>
            </w:r>
            <w:r w:rsidR="00BF25EE" w:rsidRPr="0068441F">
              <w:t>local innovation, as well as consider the wider Kent and Medway position regarding workforce developments.</w:t>
            </w:r>
          </w:p>
          <w:p w14:paraId="4350EE58" w14:textId="77777777" w:rsidR="006F1E45" w:rsidRPr="0068441F" w:rsidRDefault="006F1E45" w:rsidP="001F4E2B">
            <w:pPr>
              <w:pStyle w:val="NoSpacing"/>
              <w:jc w:val="both"/>
            </w:pPr>
          </w:p>
          <w:p w14:paraId="0070C474" w14:textId="77777777" w:rsidR="006F1E45" w:rsidRPr="0068441F" w:rsidRDefault="006F1E45" w:rsidP="006F1E45">
            <w:pPr>
              <w:pStyle w:val="NoSpacing"/>
              <w:jc w:val="both"/>
            </w:pPr>
            <w:r w:rsidRPr="0068441F">
              <w:t xml:space="preserve">The Provider must make best use of professional skills and provide career pathways for all staff. </w:t>
            </w:r>
          </w:p>
          <w:p w14:paraId="012D5635" w14:textId="77777777" w:rsidR="006F1E45" w:rsidRPr="0068441F" w:rsidRDefault="006F1E45" w:rsidP="006F1E45">
            <w:pPr>
              <w:pStyle w:val="NoSpacing"/>
              <w:jc w:val="both"/>
            </w:pPr>
            <w:r w:rsidRPr="0068441F">
              <w:t xml:space="preserve">The Provider will work with other partner organisations to develop clear career pathways that promote integrated working.  The core focus of all staff will be to work effectively across organisational boundaries with a “One Team” approach working flexibly to prevent, reduce and delay the needs of patients/carers and take a holistic approach to the provision of health and care support.  </w:t>
            </w:r>
          </w:p>
          <w:p w14:paraId="2A676AD4" w14:textId="77777777" w:rsidR="00776B95" w:rsidRPr="0068441F" w:rsidRDefault="00776B95" w:rsidP="006F1E45">
            <w:pPr>
              <w:pStyle w:val="NoSpacing"/>
              <w:jc w:val="both"/>
            </w:pPr>
          </w:p>
          <w:p w14:paraId="5C7A22E0" w14:textId="593922B0" w:rsidR="00776B95" w:rsidRPr="0068441F" w:rsidRDefault="00776B95" w:rsidP="006F1E45">
            <w:pPr>
              <w:pStyle w:val="NoSpacing"/>
              <w:jc w:val="both"/>
            </w:pPr>
            <w:r w:rsidRPr="0068441F">
              <w:t>The Provider must ensure that all staff are appropriately skilled, experienced, registered (where necessary and appropriate) and competent to occupy their designated roles in line with the guidelines of their professional bodies (for example, the Royal College of Nursing, Royal Chartered Society of Physiotherapists).</w:t>
            </w:r>
          </w:p>
          <w:p w14:paraId="44FC1E53" w14:textId="77777777" w:rsidR="003B0AE7" w:rsidRPr="0068441F" w:rsidRDefault="003B0AE7" w:rsidP="00564875">
            <w:pPr>
              <w:pStyle w:val="NoSpacing"/>
            </w:pPr>
          </w:p>
        </w:tc>
      </w:tr>
    </w:tbl>
    <w:tbl>
      <w:tblPr>
        <w:tblStyle w:val="TableGrid1"/>
        <w:tblW w:w="0" w:type="auto"/>
        <w:tblInd w:w="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2552"/>
        <w:gridCol w:w="7709"/>
      </w:tblGrid>
      <w:tr w:rsidR="00916A4D" w:rsidRPr="00AA3128" w14:paraId="2F1CD092" w14:textId="77777777" w:rsidTr="003C677C">
        <w:trPr>
          <w:trHeight w:val="284"/>
        </w:trPr>
        <w:tc>
          <w:tcPr>
            <w:tcW w:w="2552" w:type="dxa"/>
            <w:tcBorders>
              <w:bottom w:val="single" w:sz="4" w:space="0" w:color="808080" w:themeColor="background1" w:themeShade="80"/>
            </w:tcBorders>
            <w:shd w:val="clear" w:color="auto" w:fill="BFBFBF" w:themeFill="background1" w:themeFillShade="BF"/>
          </w:tcPr>
          <w:p w14:paraId="64163367" w14:textId="2B261C3A" w:rsidR="00916A4D" w:rsidRPr="00725C97" w:rsidRDefault="00727156" w:rsidP="006E7554">
            <w:pPr>
              <w:pStyle w:val="NoSpacing"/>
              <w:jc w:val="both"/>
              <w:rPr>
                <w:b/>
              </w:rPr>
            </w:pPr>
            <w:r>
              <w:rPr>
                <w:b/>
              </w:rPr>
              <w:t>10</w:t>
            </w:r>
            <w:r w:rsidR="00916A4D">
              <w:rPr>
                <w:b/>
              </w:rPr>
              <w:t>.0</w:t>
            </w:r>
          </w:p>
        </w:tc>
        <w:tc>
          <w:tcPr>
            <w:tcW w:w="7709" w:type="dxa"/>
            <w:tcBorders>
              <w:bottom w:val="single" w:sz="4" w:space="0" w:color="808080" w:themeColor="background1" w:themeShade="80"/>
            </w:tcBorders>
            <w:shd w:val="clear" w:color="auto" w:fill="BFBFBF" w:themeFill="background1" w:themeFillShade="BF"/>
          </w:tcPr>
          <w:p w14:paraId="42BEDC78" w14:textId="77777777" w:rsidR="00916A4D" w:rsidRPr="00725C97" w:rsidRDefault="00916A4D" w:rsidP="006E7554">
            <w:pPr>
              <w:pStyle w:val="NoSpacing"/>
              <w:jc w:val="both"/>
              <w:rPr>
                <w:b/>
              </w:rPr>
            </w:pPr>
            <w:r w:rsidRPr="00725C97">
              <w:rPr>
                <w:b/>
              </w:rPr>
              <w:t>Business Continuity and Resilience</w:t>
            </w:r>
          </w:p>
        </w:tc>
      </w:tr>
      <w:tr w:rsidR="00916A4D" w:rsidRPr="00AA3128" w14:paraId="759003CD" w14:textId="77777777" w:rsidTr="003C677C">
        <w:trPr>
          <w:trHeight w:val="284"/>
        </w:trPr>
        <w:tc>
          <w:tcPr>
            <w:tcW w:w="2552" w:type="dxa"/>
            <w:shd w:val="clear" w:color="auto" w:fill="F2F2F2" w:themeFill="background1" w:themeFillShade="F2"/>
          </w:tcPr>
          <w:p w14:paraId="7F7A36DE" w14:textId="6FE635D6" w:rsidR="00916A4D" w:rsidRDefault="00727156" w:rsidP="006E7554">
            <w:pPr>
              <w:pStyle w:val="NoSpacing"/>
              <w:jc w:val="both"/>
            </w:pPr>
            <w:r>
              <w:t>10</w:t>
            </w:r>
            <w:r w:rsidR="00916A4D">
              <w:t>.1</w:t>
            </w:r>
          </w:p>
        </w:tc>
        <w:tc>
          <w:tcPr>
            <w:tcW w:w="7709" w:type="dxa"/>
            <w:shd w:val="clear" w:color="auto" w:fill="F2F2F2" w:themeFill="background1" w:themeFillShade="F2"/>
          </w:tcPr>
          <w:p w14:paraId="0E97EDF2" w14:textId="77777777" w:rsidR="00916A4D" w:rsidRDefault="00916A4D" w:rsidP="006E7554">
            <w:pPr>
              <w:pStyle w:val="NoSpacing"/>
              <w:jc w:val="both"/>
            </w:pPr>
            <w:r>
              <w:t>Continuity and resilience</w:t>
            </w:r>
          </w:p>
        </w:tc>
      </w:tr>
      <w:tr w:rsidR="00916A4D" w:rsidRPr="00AA3128" w14:paraId="0B3949B6" w14:textId="77777777" w:rsidTr="006E7554">
        <w:trPr>
          <w:trHeight w:val="284"/>
        </w:trPr>
        <w:tc>
          <w:tcPr>
            <w:tcW w:w="10261" w:type="dxa"/>
            <w:gridSpan w:val="2"/>
            <w:shd w:val="clear" w:color="auto" w:fill="auto"/>
          </w:tcPr>
          <w:p w14:paraId="30EEB3BA" w14:textId="2F9D0358" w:rsidR="00916A4D" w:rsidRPr="00725C97" w:rsidRDefault="00916A4D" w:rsidP="006E7554">
            <w:pPr>
              <w:jc w:val="both"/>
              <w:rPr>
                <w:rFonts w:asciiTheme="minorHAnsi" w:hAnsiTheme="minorHAnsi"/>
                <w:sz w:val="22"/>
                <w:szCs w:val="22"/>
              </w:rPr>
            </w:pPr>
            <w:r w:rsidRPr="00725C97">
              <w:rPr>
                <w:rFonts w:asciiTheme="minorHAnsi" w:hAnsiTheme="minorHAnsi" w:cs="Arial"/>
                <w:sz w:val="22"/>
                <w:szCs w:val="22"/>
              </w:rPr>
              <w:t>In addition to any other r</w:t>
            </w:r>
            <w:r>
              <w:rPr>
                <w:rFonts w:asciiTheme="minorHAnsi" w:hAnsiTheme="minorHAnsi" w:cs="Arial"/>
                <w:sz w:val="22"/>
                <w:szCs w:val="22"/>
              </w:rPr>
              <w:t xml:space="preserve">equirements within the Contract, </w:t>
            </w:r>
            <w:r w:rsidRPr="00725C97">
              <w:rPr>
                <w:rFonts w:asciiTheme="minorHAnsi" w:hAnsiTheme="minorHAnsi" w:cs="Arial"/>
                <w:sz w:val="22"/>
                <w:szCs w:val="22"/>
              </w:rPr>
              <w:t xml:space="preserve">the </w:t>
            </w:r>
            <w:r>
              <w:rPr>
                <w:rFonts w:asciiTheme="minorHAnsi" w:hAnsiTheme="minorHAnsi" w:cs="Arial"/>
                <w:sz w:val="22"/>
                <w:szCs w:val="22"/>
              </w:rPr>
              <w:t>P</w:t>
            </w:r>
            <w:r w:rsidRPr="00725C97">
              <w:rPr>
                <w:rFonts w:asciiTheme="minorHAnsi" w:hAnsiTheme="minorHAnsi" w:cs="Arial"/>
                <w:sz w:val="22"/>
                <w:szCs w:val="22"/>
              </w:rPr>
              <w:t xml:space="preserve">rovider shall maintain an up to date and tested emergency preparedness response plan which: </w:t>
            </w:r>
          </w:p>
          <w:p w14:paraId="5071C1E8" w14:textId="18BCCD41" w:rsidR="00916A4D" w:rsidRPr="00725C97" w:rsidRDefault="00916A4D" w:rsidP="00916A4D">
            <w:pPr>
              <w:pStyle w:val="ListParagraph"/>
              <w:numPr>
                <w:ilvl w:val="0"/>
                <w:numId w:val="37"/>
              </w:numPr>
              <w:jc w:val="both"/>
              <w:rPr>
                <w:rFonts w:asciiTheme="minorHAnsi" w:hAnsiTheme="minorHAnsi" w:cs="Arial"/>
                <w:sz w:val="22"/>
                <w:szCs w:val="22"/>
              </w:rPr>
            </w:pPr>
            <w:r>
              <w:rPr>
                <w:rFonts w:asciiTheme="minorHAnsi" w:hAnsiTheme="minorHAnsi" w:cs="Arial"/>
                <w:sz w:val="22"/>
                <w:szCs w:val="22"/>
              </w:rPr>
              <w:t>D</w:t>
            </w:r>
            <w:r w:rsidRPr="00725C97">
              <w:rPr>
                <w:rFonts w:asciiTheme="minorHAnsi" w:hAnsiTheme="minorHAnsi" w:cs="Arial"/>
                <w:sz w:val="22"/>
                <w:szCs w:val="22"/>
              </w:rPr>
              <w:t>escribes the approach to business continuity and service resilience, including their underpinning governance, infrastructure, ICT, Esta</w:t>
            </w:r>
            <w:r>
              <w:rPr>
                <w:rFonts w:asciiTheme="minorHAnsi" w:hAnsiTheme="minorHAnsi" w:cs="Arial"/>
                <w:sz w:val="22"/>
                <w:szCs w:val="22"/>
              </w:rPr>
              <w:t>tes and workforce arrangements</w:t>
            </w:r>
          </w:p>
          <w:p w14:paraId="3728CB3B" w14:textId="3AF124E3" w:rsidR="00916A4D" w:rsidRPr="00725C97" w:rsidRDefault="00916A4D" w:rsidP="00916A4D">
            <w:pPr>
              <w:pStyle w:val="ListParagraph"/>
              <w:numPr>
                <w:ilvl w:val="0"/>
                <w:numId w:val="37"/>
              </w:numPr>
              <w:jc w:val="both"/>
              <w:rPr>
                <w:rFonts w:asciiTheme="minorHAnsi" w:hAnsiTheme="minorHAnsi" w:cs="Arial"/>
                <w:sz w:val="22"/>
                <w:szCs w:val="22"/>
              </w:rPr>
            </w:pPr>
            <w:r>
              <w:rPr>
                <w:rFonts w:asciiTheme="minorHAnsi" w:hAnsiTheme="minorHAnsi" w:cs="Arial"/>
                <w:sz w:val="22"/>
                <w:szCs w:val="22"/>
              </w:rPr>
              <w:t>D</w:t>
            </w:r>
            <w:r w:rsidRPr="00725C97">
              <w:rPr>
                <w:rFonts w:asciiTheme="minorHAnsi" w:hAnsiTheme="minorHAnsi" w:cs="Arial"/>
                <w:sz w:val="22"/>
                <w:szCs w:val="22"/>
              </w:rPr>
              <w:t>ocuments in detail the arrangements they will make to ensure service continuity and resilience from the Services Commencement Date and througho</w:t>
            </w:r>
            <w:r>
              <w:rPr>
                <w:rFonts w:asciiTheme="minorHAnsi" w:hAnsiTheme="minorHAnsi" w:cs="Arial"/>
                <w:sz w:val="22"/>
                <w:szCs w:val="22"/>
              </w:rPr>
              <w:t>ut the life of the Contract</w:t>
            </w:r>
          </w:p>
          <w:p w14:paraId="2B9B9FCA" w14:textId="77777777" w:rsidR="00916A4D" w:rsidRDefault="00916A4D" w:rsidP="00916A4D">
            <w:pPr>
              <w:pStyle w:val="ListParagraph"/>
              <w:numPr>
                <w:ilvl w:val="0"/>
                <w:numId w:val="37"/>
              </w:numPr>
              <w:jc w:val="both"/>
              <w:rPr>
                <w:rFonts w:asciiTheme="minorHAnsi" w:hAnsiTheme="minorHAnsi" w:cs="Arial"/>
                <w:sz w:val="22"/>
                <w:szCs w:val="22"/>
              </w:rPr>
            </w:pPr>
            <w:r>
              <w:rPr>
                <w:rFonts w:asciiTheme="minorHAnsi" w:hAnsiTheme="minorHAnsi" w:cs="Arial"/>
                <w:sz w:val="22"/>
                <w:szCs w:val="22"/>
              </w:rPr>
              <w:t>E</w:t>
            </w:r>
            <w:r w:rsidRPr="00725C97">
              <w:rPr>
                <w:rFonts w:asciiTheme="minorHAnsi" w:hAnsiTheme="minorHAnsi" w:cs="Arial"/>
                <w:sz w:val="22"/>
                <w:szCs w:val="22"/>
              </w:rPr>
              <w:t>xplains how they intend to participate in local emergency pla</w:t>
            </w:r>
            <w:r>
              <w:rPr>
                <w:rFonts w:asciiTheme="minorHAnsi" w:hAnsiTheme="minorHAnsi" w:cs="Arial"/>
                <w:sz w:val="22"/>
                <w:szCs w:val="22"/>
              </w:rPr>
              <w:t>nning and response arrangements</w:t>
            </w:r>
          </w:p>
          <w:p w14:paraId="33096A21" w14:textId="1B050B9F" w:rsidR="00916A4D" w:rsidRPr="00725C97" w:rsidRDefault="00916A4D" w:rsidP="00916A4D">
            <w:pPr>
              <w:pStyle w:val="ListParagraph"/>
              <w:jc w:val="both"/>
              <w:rPr>
                <w:rFonts w:asciiTheme="minorHAnsi" w:hAnsiTheme="minorHAnsi" w:cs="Arial"/>
                <w:sz w:val="22"/>
                <w:szCs w:val="22"/>
              </w:rPr>
            </w:pPr>
          </w:p>
        </w:tc>
      </w:tr>
    </w:tbl>
    <w:tbl>
      <w:tblPr>
        <w:tblStyle w:val="TableGrid2"/>
        <w:tblW w:w="0" w:type="auto"/>
        <w:tblInd w:w="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2552"/>
        <w:gridCol w:w="7709"/>
      </w:tblGrid>
      <w:tr w:rsidR="001338F4" w:rsidRPr="00725C97" w14:paraId="264B31D8" w14:textId="77777777" w:rsidTr="003C677C">
        <w:trPr>
          <w:trHeight w:val="284"/>
        </w:trPr>
        <w:tc>
          <w:tcPr>
            <w:tcW w:w="2552" w:type="dxa"/>
            <w:shd w:val="clear" w:color="auto" w:fill="A6A6A6" w:themeFill="background1" w:themeFillShade="A6"/>
          </w:tcPr>
          <w:p w14:paraId="45CAB57D" w14:textId="59ABACCE" w:rsidR="001338F4" w:rsidRPr="00725C97" w:rsidRDefault="00727156" w:rsidP="006E7554">
            <w:pPr>
              <w:pStyle w:val="NoSpacing"/>
              <w:jc w:val="both"/>
              <w:rPr>
                <w:b/>
              </w:rPr>
            </w:pPr>
            <w:r>
              <w:rPr>
                <w:b/>
              </w:rPr>
              <w:lastRenderedPageBreak/>
              <w:t>11</w:t>
            </w:r>
            <w:r w:rsidR="001338F4" w:rsidRPr="00725C97">
              <w:rPr>
                <w:b/>
              </w:rPr>
              <w:t>.0</w:t>
            </w:r>
            <w:r w:rsidR="001338F4" w:rsidRPr="00725C97">
              <w:rPr>
                <w:b/>
              </w:rPr>
              <w:tab/>
            </w:r>
          </w:p>
        </w:tc>
        <w:tc>
          <w:tcPr>
            <w:tcW w:w="7709" w:type="dxa"/>
            <w:shd w:val="clear" w:color="auto" w:fill="A6A6A6" w:themeFill="background1" w:themeFillShade="A6"/>
          </w:tcPr>
          <w:p w14:paraId="0CA16277" w14:textId="77777777" w:rsidR="001338F4" w:rsidRPr="00725C97" w:rsidRDefault="001338F4" w:rsidP="006E7554">
            <w:pPr>
              <w:pStyle w:val="NoSpacing"/>
              <w:jc w:val="both"/>
              <w:rPr>
                <w:b/>
              </w:rPr>
            </w:pPr>
            <w:r w:rsidRPr="00725C97">
              <w:rPr>
                <w:b/>
              </w:rPr>
              <w:t>Sustainability</w:t>
            </w:r>
          </w:p>
        </w:tc>
      </w:tr>
      <w:tr w:rsidR="001338F4" w14:paraId="7A289A17" w14:textId="77777777" w:rsidTr="003C677C">
        <w:trPr>
          <w:trHeight w:val="284"/>
        </w:trPr>
        <w:tc>
          <w:tcPr>
            <w:tcW w:w="2552" w:type="dxa"/>
            <w:shd w:val="clear" w:color="auto" w:fill="F2F2F2" w:themeFill="background1" w:themeFillShade="F2"/>
          </w:tcPr>
          <w:p w14:paraId="2DC3F14E" w14:textId="0D723315" w:rsidR="001338F4" w:rsidRDefault="00727156" w:rsidP="006E7554">
            <w:pPr>
              <w:pStyle w:val="NoSpacing"/>
              <w:jc w:val="both"/>
            </w:pPr>
            <w:r>
              <w:t>11</w:t>
            </w:r>
            <w:r w:rsidR="001338F4">
              <w:t>.1</w:t>
            </w:r>
          </w:p>
        </w:tc>
        <w:tc>
          <w:tcPr>
            <w:tcW w:w="7709" w:type="dxa"/>
            <w:shd w:val="clear" w:color="auto" w:fill="F2F2F2" w:themeFill="background1" w:themeFillShade="F2"/>
          </w:tcPr>
          <w:p w14:paraId="510CFBE6" w14:textId="77777777" w:rsidR="001338F4" w:rsidRDefault="001338F4" w:rsidP="006E7554">
            <w:pPr>
              <w:pStyle w:val="NoSpacing"/>
              <w:jc w:val="both"/>
            </w:pPr>
            <w:r>
              <w:t>Sustainability</w:t>
            </w:r>
          </w:p>
        </w:tc>
      </w:tr>
      <w:tr w:rsidR="001338F4" w14:paraId="2B1ECDC0" w14:textId="77777777" w:rsidTr="006E7554">
        <w:trPr>
          <w:trHeight w:val="284"/>
        </w:trPr>
        <w:tc>
          <w:tcPr>
            <w:tcW w:w="10261" w:type="dxa"/>
            <w:gridSpan w:val="2"/>
            <w:shd w:val="clear" w:color="auto" w:fill="auto"/>
          </w:tcPr>
          <w:p w14:paraId="57C7FAFE" w14:textId="5E64A709" w:rsidR="001338F4" w:rsidRDefault="001338F4" w:rsidP="006E7554">
            <w:pPr>
              <w:pStyle w:val="NoSpacing"/>
              <w:jc w:val="both"/>
            </w:pPr>
            <w:r>
              <w:t>In addition to any other requirements within the Contract, the Provider must manage its services to deliver wider social benefits by taking reasonable steps to minimise its adverse impact on the environment and maximise the economic and social opportunities, and report their actions to commissioners, to support commissioners to comply with the Public Services (Social Value) Act 2012.</w:t>
            </w:r>
          </w:p>
          <w:p w14:paraId="02AC6802" w14:textId="77777777" w:rsidR="001338F4" w:rsidRDefault="001338F4" w:rsidP="006E7554">
            <w:pPr>
              <w:pStyle w:val="NoSpacing"/>
              <w:jc w:val="both"/>
            </w:pPr>
          </w:p>
        </w:tc>
      </w:tr>
    </w:tbl>
    <w:tbl>
      <w:tblPr>
        <w:tblStyle w:val="TableGrid"/>
        <w:tblW w:w="0" w:type="auto"/>
        <w:tblInd w:w="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2552"/>
        <w:gridCol w:w="7709"/>
      </w:tblGrid>
      <w:tr w:rsidR="00D85D53" w:rsidRPr="00AE642F" w14:paraId="485F2FEA" w14:textId="77777777" w:rsidTr="003C677C">
        <w:trPr>
          <w:trHeight w:val="284"/>
        </w:trPr>
        <w:tc>
          <w:tcPr>
            <w:tcW w:w="2552" w:type="dxa"/>
            <w:tcBorders>
              <w:bottom w:val="single" w:sz="4" w:space="0" w:color="808080" w:themeColor="background1" w:themeShade="80"/>
            </w:tcBorders>
            <w:shd w:val="clear" w:color="auto" w:fill="BFBFBF" w:themeFill="background1" w:themeFillShade="BF"/>
          </w:tcPr>
          <w:p w14:paraId="6B973083" w14:textId="6A6052F8" w:rsidR="00D85D53" w:rsidRPr="00AE642F" w:rsidRDefault="00727156" w:rsidP="001F4E2B">
            <w:pPr>
              <w:pStyle w:val="NoSpacing"/>
              <w:jc w:val="both"/>
              <w:rPr>
                <w:b/>
              </w:rPr>
            </w:pPr>
            <w:r>
              <w:rPr>
                <w:b/>
              </w:rPr>
              <w:t>12</w:t>
            </w:r>
            <w:r w:rsidR="00AE642F">
              <w:rPr>
                <w:b/>
              </w:rPr>
              <w:t>.0</w:t>
            </w:r>
          </w:p>
        </w:tc>
        <w:tc>
          <w:tcPr>
            <w:tcW w:w="7709" w:type="dxa"/>
            <w:tcBorders>
              <w:bottom w:val="single" w:sz="4" w:space="0" w:color="808080" w:themeColor="background1" w:themeShade="80"/>
            </w:tcBorders>
            <w:shd w:val="clear" w:color="auto" w:fill="BFBFBF" w:themeFill="background1" w:themeFillShade="BF"/>
          </w:tcPr>
          <w:p w14:paraId="4D797A8C" w14:textId="2A399143" w:rsidR="00D85D53" w:rsidRPr="00AE642F" w:rsidRDefault="00AE642F" w:rsidP="001F4E2B">
            <w:pPr>
              <w:pStyle w:val="NoSpacing"/>
              <w:jc w:val="both"/>
              <w:rPr>
                <w:b/>
              </w:rPr>
            </w:pPr>
            <w:r w:rsidRPr="00AE642F">
              <w:rPr>
                <w:b/>
              </w:rPr>
              <w:t>Mobilisation Requirements</w:t>
            </w:r>
          </w:p>
        </w:tc>
      </w:tr>
      <w:tr w:rsidR="00D85D53" w:rsidRPr="00AA3128" w14:paraId="75785E09" w14:textId="77777777" w:rsidTr="003C677C">
        <w:trPr>
          <w:trHeight w:val="284"/>
        </w:trPr>
        <w:tc>
          <w:tcPr>
            <w:tcW w:w="2552" w:type="dxa"/>
            <w:shd w:val="clear" w:color="auto" w:fill="D9D9D9" w:themeFill="background1" w:themeFillShade="D9"/>
          </w:tcPr>
          <w:p w14:paraId="23CC70CB" w14:textId="129D33E8" w:rsidR="00D85D53" w:rsidRDefault="00727156" w:rsidP="001F4E2B">
            <w:pPr>
              <w:pStyle w:val="NoSpacing"/>
              <w:jc w:val="both"/>
            </w:pPr>
            <w:r>
              <w:t>12</w:t>
            </w:r>
            <w:r w:rsidR="00AE642F">
              <w:t>.1</w:t>
            </w:r>
          </w:p>
        </w:tc>
        <w:tc>
          <w:tcPr>
            <w:tcW w:w="7709" w:type="dxa"/>
            <w:shd w:val="clear" w:color="auto" w:fill="D9D9D9" w:themeFill="background1" w:themeFillShade="D9"/>
          </w:tcPr>
          <w:p w14:paraId="427DF6F8" w14:textId="64D4C781" w:rsidR="00D85D53" w:rsidRDefault="00C735E9" w:rsidP="001F4E2B">
            <w:pPr>
              <w:pStyle w:val="NoSpacing"/>
              <w:jc w:val="both"/>
            </w:pPr>
            <w:r>
              <w:t>Mobilisation requirements</w:t>
            </w:r>
          </w:p>
        </w:tc>
      </w:tr>
      <w:tr w:rsidR="00B57C3B" w:rsidRPr="00AA3128" w14:paraId="10F483DA" w14:textId="77777777" w:rsidTr="00931F94">
        <w:trPr>
          <w:trHeight w:val="284"/>
        </w:trPr>
        <w:tc>
          <w:tcPr>
            <w:tcW w:w="10261" w:type="dxa"/>
            <w:gridSpan w:val="2"/>
            <w:shd w:val="clear" w:color="auto" w:fill="auto"/>
          </w:tcPr>
          <w:p w14:paraId="5BCEA928" w14:textId="77777777" w:rsidR="00BC5953" w:rsidRDefault="00BC5953" w:rsidP="00BC5953">
            <w:pPr>
              <w:pStyle w:val="NoSpacing"/>
              <w:jc w:val="both"/>
            </w:pPr>
            <w:r>
              <w:t xml:space="preserve">For the avoidance of doubt the following requirements in this section are in addition to any other requirements within the Contract (and where there is any inconsistency the more onerous requirements will apply). </w:t>
            </w:r>
          </w:p>
          <w:p w14:paraId="223C4DEE" w14:textId="77777777" w:rsidR="00BC5953" w:rsidRDefault="00BC5953" w:rsidP="00BC5953">
            <w:pPr>
              <w:pStyle w:val="NoSpacing"/>
              <w:jc w:val="both"/>
            </w:pPr>
          </w:p>
          <w:p w14:paraId="7E867A99" w14:textId="77777777" w:rsidR="00BC5953" w:rsidRDefault="00BC5953" w:rsidP="00BC5953">
            <w:pPr>
              <w:pStyle w:val="NoSpacing"/>
              <w:jc w:val="both"/>
            </w:pPr>
            <w:r>
              <w:t>The Provider must mobilise services and be ready to operate services from the relevant agreed Service Commencement Date.</w:t>
            </w:r>
          </w:p>
          <w:p w14:paraId="081A494E" w14:textId="77777777" w:rsidR="00BC5953" w:rsidRDefault="00BC5953" w:rsidP="00BC5953">
            <w:pPr>
              <w:pStyle w:val="NoSpacing"/>
              <w:jc w:val="both"/>
            </w:pPr>
          </w:p>
          <w:p w14:paraId="737AE36A" w14:textId="51FA20F3" w:rsidR="00BC5953" w:rsidRPr="00293A7A" w:rsidRDefault="00727156" w:rsidP="00BC5953">
            <w:pPr>
              <w:pStyle w:val="NoSpacing"/>
              <w:jc w:val="both"/>
              <w:rPr>
                <w:b/>
              </w:rPr>
            </w:pPr>
            <w:r>
              <w:rPr>
                <w:b/>
              </w:rPr>
              <w:t>12</w:t>
            </w:r>
            <w:r w:rsidR="00293A7A">
              <w:rPr>
                <w:b/>
              </w:rPr>
              <w:t xml:space="preserve">.1.1 </w:t>
            </w:r>
            <w:r w:rsidR="00BC5953" w:rsidRPr="00293A7A">
              <w:rPr>
                <w:b/>
              </w:rPr>
              <w:t xml:space="preserve">Mobilisation Planning and Control </w:t>
            </w:r>
          </w:p>
          <w:p w14:paraId="7E992034" w14:textId="77777777" w:rsidR="00BC5953" w:rsidRDefault="00BC5953" w:rsidP="00BC5953">
            <w:pPr>
              <w:pStyle w:val="NoSpacing"/>
              <w:jc w:val="both"/>
            </w:pPr>
            <w:r>
              <w:t>The Provider must (and these will also be captured in the Contract e.g. in transition arrangements under the Contract):</w:t>
            </w:r>
          </w:p>
          <w:p w14:paraId="537578CE" w14:textId="6B2B1B91" w:rsidR="00BC5953" w:rsidRDefault="00BC5953" w:rsidP="0061664D">
            <w:pPr>
              <w:pStyle w:val="NoSpacing"/>
              <w:ind w:left="369" w:hanging="369"/>
              <w:jc w:val="both"/>
            </w:pPr>
          </w:p>
          <w:p w14:paraId="5CA851DF" w14:textId="03D9B02F" w:rsidR="00BC5953" w:rsidRDefault="00BC5953" w:rsidP="0061664D">
            <w:pPr>
              <w:pStyle w:val="NoSpacing"/>
              <w:ind w:left="369" w:hanging="369"/>
              <w:jc w:val="both"/>
            </w:pPr>
            <w:r>
              <w:t>•</w:t>
            </w:r>
            <w:r>
              <w:tab/>
            </w:r>
            <w:r w:rsidR="00793DEF">
              <w:t>P</w:t>
            </w:r>
            <w:r>
              <w:t>rovide a robust project and resource plan for mobilisation, which identifies the approach to mobilisation, the critical milestones and any resources required, including commissioner resources and those from the incumbent service provider(s). NO charges, fees or other costs will be payable to the Provider by the CCG for the provision of the Mobilisation of Services (including where additional Mobilisation Services are required</w:t>
            </w:r>
            <w:r w:rsidR="00793DEF">
              <w:t xml:space="preserve"> during the mobilisation phase </w:t>
            </w:r>
            <w:r>
              <w:t xml:space="preserve"> </w:t>
            </w:r>
          </w:p>
          <w:p w14:paraId="38DD1AD3" w14:textId="46AA8FD6" w:rsidR="005F6EE4" w:rsidRDefault="005B5A35" w:rsidP="005B5A35">
            <w:pPr>
              <w:pStyle w:val="NoSpacing"/>
              <w:numPr>
                <w:ilvl w:val="0"/>
                <w:numId w:val="42"/>
              </w:numPr>
              <w:ind w:left="369" w:hanging="369"/>
              <w:jc w:val="both"/>
            </w:pPr>
            <w:r>
              <w:t xml:space="preserve">Jointly agree a staff engagement plan to ensure all current clinical staff </w:t>
            </w:r>
            <w:proofErr w:type="gramStart"/>
            <w:r>
              <w:t>are</w:t>
            </w:r>
            <w:proofErr w:type="gramEnd"/>
            <w:r>
              <w:t xml:space="preserve"> updated on changes in a planned way.  Engagement plan to be signed of between Commissioner and new provider.</w:t>
            </w:r>
            <w:r w:rsidR="0017585F">
              <w:t xml:space="preserve"> </w:t>
            </w:r>
          </w:p>
          <w:p w14:paraId="4059CC73" w14:textId="196146FB" w:rsidR="00BC5953" w:rsidRDefault="00BC5953" w:rsidP="0061664D">
            <w:pPr>
              <w:pStyle w:val="NoSpacing"/>
              <w:ind w:left="369" w:hanging="369"/>
              <w:jc w:val="both"/>
            </w:pPr>
            <w:r>
              <w:t>•</w:t>
            </w:r>
            <w:r>
              <w:tab/>
            </w:r>
            <w:r w:rsidR="005F6EE4">
              <w:t xml:space="preserve">Ensure </w:t>
            </w:r>
            <w:r>
              <w:t xml:space="preserve">the necessary </w:t>
            </w:r>
            <w:r w:rsidR="005F6EE4">
              <w:t>p</w:t>
            </w:r>
            <w:r>
              <w:t>ersonnel attend the Mobilisation Governance Structure</w:t>
            </w:r>
            <w:r w:rsidR="00793DEF">
              <w:t xml:space="preserve"> meetings as set out by the CCG</w:t>
            </w:r>
          </w:p>
          <w:p w14:paraId="5CF6CE0B" w14:textId="77777777" w:rsidR="00793DEF" w:rsidRDefault="00BC5953" w:rsidP="00793DEF">
            <w:pPr>
              <w:pStyle w:val="NoSpacing"/>
              <w:ind w:left="369" w:hanging="369"/>
              <w:jc w:val="both"/>
            </w:pPr>
            <w:r>
              <w:t>•</w:t>
            </w:r>
            <w:r>
              <w:tab/>
            </w:r>
            <w:r w:rsidR="00793DEF">
              <w:t>F</w:t>
            </w:r>
            <w:r>
              <w:t>ully co-operate with the CCG and the Former Supplier in respect of Mobilisatio</w:t>
            </w:r>
            <w:r w:rsidR="00793DEF">
              <w:t>n during the Mobilisation Phase</w:t>
            </w:r>
          </w:p>
          <w:p w14:paraId="4B64035C" w14:textId="034B5936" w:rsidR="00793DEF" w:rsidRDefault="00BC5953" w:rsidP="00793DEF">
            <w:pPr>
              <w:pStyle w:val="NoSpacing"/>
              <w:ind w:left="369" w:hanging="369"/>
              <w:jc w:val="both"/>
            </w:pPr>
            <w:r>
              <w:t>•</w:t>
            </w:r>
            <w:r>
              <w:tab/>
            </w:r>
            <w:r w:rsidR="00793DEF">
              <w:t>I</w:t>
            </w:r>
            <w:r>
              <w:t>dentify significant risks, dependencies and constraints, such as the need for a transfer under TUPE, the need to be permitted to join the NHS pension scheme, the need for CQC registrations, access and licences for premises or ICT or any risks due to the number or qualifications of staff needed for the Services. Selected Bidders must explain how risks, dependencies and constraints will be communicated and managed or mitigated</w:t>
            </w:r>
          </w:p>
          <w:p w14:paraId="0C613CD8" w14:textId="56E1B551" w:rsidR="00BC5953" w:rsidRDefault="00793DEF" w:rsidP="00793DEF">
            <w:pPr>
              <w:pStyle w:val="NoSpacing"/>
              <w:tabs>
                <w:tab w:val="left" w:pos="369"/>
              </w:tabs>
              <w:ind w:left="369" w:hanging="369"/>
              <w:jc w:val="both"/>
            </w:pPr>
            <w:r>
              <w:t xml:space="preserve"> </w:t>
            </w:r>
            <w:r w:rsidR="00BC5953">
              <w:t>•</w:t>
            </w:r>
            <w:r w:rsidR="00BC5953">
              <w:tab/>
            </w:r>
            <w:r>
              <w:t>P</w:t>
            </w:r>
            <w:r w:rsidR="00BC5953">
              <w:t>rovide appropriate leadership, governance, control, assurance and reporting for their mobilisation project, including moving from mobilisation to the business as usual governance for the Contract</w:t>
            </w:r>
          </w:p>
          <w:p w14:paraId="70FF5B7B" w14:textId="359B342C" w:rsidR="00BC5953" w:rsidRDefault="00BC5953" w:rsidP="00793DEF">
            <w:pPr>
              <w:pStyle w:val="NoSpacing"/>
              <w:tabs>
                <w:tab w:val="left" w:pos="369"/>
              </w:tabs>
              <w:jc w:val="both"/>
            </w:pPr>
            <w:r>
              <w:t>•</w:t>
            </w:r>
            <w:r>
              <w:tab/>
            </w:r>
            <w:r w:rsidR="00793DEF">
              <w:t>E</w:t>
            </w:r>
            <w:r>
              <w:t>nsure that any subcontractor mobilisation will be governed and manage</w:t>
            </w:r>
            <w:r w:rsidR="00793DEF">
              <w:t>d within their overall project.</w:t>
            </w:r>
          </w:p>
          <w:p w14:paraId="0F656743" w14:textId="77777777" w:rsidR="00BC5953" w:rsidRDefault="00BC5953" w:rsidP="00BC5953">
            <w:pPr>
              <w:pStyle w:val="NoSpacing"/>
              <w:jc w:val="both"/>
            </w:pPr>
          </w:p>
          <w:p w14:paraId="40372645" w14:textId="42A38C21" w:rsidR="00BC5953" w:rsidRPr="00793DEF" w:rsidRDefault="00727156" w:rsidP="00BC5953">
            <w:pPr>
              <w:pStyle w:val="NoSpacing"/>
              <w:jc w:val="both"/>
              <w:rPr>
                <w:b/>
              </w:rPr>
            </w:pPr>
            <w:r>
              <w:rPr>
                <w:b/>
              </w:rPr>
              <w:t>12</w:t>
            </w:r>
            <w:r w:rsidR="00793DEF" w:rsidRPr="00793DEF">
              <w:rPr>
                <w:b/>
              </w:rPr>
              <w:t xml:space="preserve">.1.2 </w:t>
            </w:r>
            <w:r w:rsidR="00BC5953" w:rsidRPr="00793DEF">
              <w:rPr>
                <w:b/>
              </w:rPr>
              <w:t xml:space="preserve">Mobilisation  - Staffing and Workforce </w:t>
            </w:r>
          </w:p>
          <w:p w14:paraId="1EC3EFFF" w14:textId="77777777" w:rsidR="00BC5953" w:rsidRDefault="00BC5953" w:rsidP="00BC5953">
            <w:pPr>
              <w:pStyle w:val="NoSpacing"/>
              <w:jc w:val="both"/>
            </w:pPr>
            <w:r>
              <w:t>The Provider must (and these will also be captured in the Contract e.g. in transition arrangements under the Contract)</w:t>
            </w:r>
          </w:p>
          <w:p w14:paraId="5DDAD5B0" w14:textId="77777777" w:rsidR="00BC5953" w:rsidRDefault="00BC5953" w:rsidP="00BC5953">
            <w:pPr>
              <w:pStyle w:val="NoSpacing"/>
              <w:jc w:val="both"/>
            </w:pPr>
          </w:p>
          <w:p w14:paraId="2F44A8CA" w14:textId="5A5E2CEA" w:rsidR="00BC5953" w:rsidRDefault="00793DEF" w:rsidP="00793DEF">
            <w:pPr>
              <w:pStyle w:val="NoSpacing"/>
              <w:tabs>
                <w:tab w:val="left" w:pos="510"/>
              </w:tabs>
              <w:ind w:left="510" w:hanging="510"/>
              <w:jc w:val="both"/>
            </w:pPr>
            <w:r>
              <w:t>•</w:t>
            </w:r>
            <w:r>
              <w:tab/>
              <w:t>T</w:t>
            </w:r>
            <w:r w:rsidR="00BC5953">
              <w:t>ake appropriate advice and be able to demonstrate on contract award that that advice has been taken on the l</w:t>
            </w:r>
            <w:r>
              <w:t>egal basis for staff transfers</w:t>
            </w:r>
          </w:p>
          <w:p w14:paraId="03DF57AE" w14:textId="30D67D8A" w:rsidR="00BC5953" w:rsidRDefault="00BC5953" w:rsidP="00FC2038">
            <w:pPr>
              <w:pStyle w:val="NoSpacing"/>
              <w:tabs>
                <w:tab w:val="left" w:pos="510"/>
              </w:tabs>
              <w:ind w:left="510" w:hanging="510"/>
              <w:jc w:val="both"/>
            </w:pPr>
            <w:r>
              <w:t>•</w:t>
            </w:r>
            <w:r>
              <w:tab/>
            </w:r>
            <w:r w:rsidR="00793DEF">
              <w:t>D</w:t>
            </w:r>
            <w:r>
              <w:t>emonstrate that they will affect transfers in accordance wit</w:t>
            </w:r>
            <w:r w:rsidR="00793DEF">
              <w:t>h Schedule 9.0 of the Contract</w:t>
            </w:r>
          </w:p>
          <w:p w14:paraId="2A334F68" w14:textId="75953EE5" w:rsidR="00BC5953" w:rsidRDefault="00BC5953" w:rsidP="00793DEF">
            <w:pPr>
              <w:pStyle w:val="NoSpacing"/>
              <w:tabs>
                <w:tab w:val="left" w:pos="510"/>
              </w:tabs>
              <w:ind w:left="510" w:hanging="510"/>
              <w:jc w:val="both"/>
            </w:pPr>
            <w:r>
              <w:t>•</w:t>
            </w:r>
            <w:r>
              <w:tab/>
            </w:r>
            <w:r w:rsidR="00FC2038">
              <w:t>C</w:t>
            </w:r>
            <w:r>
              <w:t xml:space="preserve">ommunicate and consult with staff and managers and staff representatives for those who may be affected as part of the </w:t>
            </w:r>
            <w:r w:rsidR="00FC2038">
              <w:t>mobilisation to the new service</w:t>
            </w:r>
            <w:r>
              <w:t xml:space="preserve"> </w:t>
            </w:r>
          </w:p>
          <w:p w14:paraId="0D7A0E2B" w14:textId="25F1E449" w:rsidR="00BC5953" w:rsidRDefault="00BC5953" w:rsidP="00793DEF">
            <w:pPr>
              <w:pStyle w:val="NoSpacing"/>
              <w:tabs>
                <w:tab w:val="left" w:pos="510"/>
              </w:tabs>
              <w:ind w:left="510" w:hanging="510"/>
              <w:jc w:val="both"/>
            </w:pPr>
            <w:r>
              <w:t>•</w:t>
            </w:r>
            <w:r>
              <w:tab/>
            </w:r>
            <w:r w:rsidR="00FC2038">
              <w:t>M</w:t>
            </w:r>
            <w:r>
              <w:t xml:space="preserve">aintain a safe and well led </w:t>
            </w:r>
            <w:r w:rsidR="00FC2038">
              <w:t>s</w:t>
            </w:r>
            <w:r>
              <w:t>ervices</w:t>
            </w:r>
            <w:r w:rsidR="00FC2038">
              <w:t xml:space="preserve"> during mobilisation and beyond</w:t>
            </w:r>
          </w:p>
          <w:p w14:paraId="1E7E42BE" w14:textId="1FDB7955" w:rsidR="00BC5953" w:rsidRPr="007F168E" w:rsidRDefault="00BC5953" w:rsidP="00793DEF">
            <w:pPr>
              <w:pStyle w:val="NoSpacing"/>
              <w:tabs>
                <w:tab w:val="left" w:pos="510"/>
              </w:tabs>
              <w:ind w:left="510" w:hanging="510"/>
              <w:jc w:val="both"/>
            </w:pPr>
            <w:r>
              <w:lastRenderedPageBreak/>
              <w:t>•</w:t>
            </w:r>
            <w:r>
              <w:tab/>
            </w:r>
            <w:r w:rsidR="00FC2038">
              <w:t>M</w:t>
            </w:r>
            <w:r>
              <w:t xml:space="preserve">aintain safe staffing levels and work with existing providers and partner organisations to ensure that there are sufficient, appropriate skilled and qualified staff during mobilisation and from the </w:t>
            </w:r>
            <w:r w:rsidR="00FC2038">
              <w:t>s</w:t>
            </w:r>
            <w:r>
              <w:t xml:space="preserve">ervice </w:t>
            </w:r>
            <w:r w:rsidR="007F168E">
              <w:t>c</w:t>
            </w:r>
            <w:r w:rsidRPr="007F168E">
              <w:t xml:space="preserve">ommencement </w:t>
            </w:r>
            <w:r w:rsidR="007F168E">
              <w:t>d</w:t>
            </w:r>
            <w:r w:rsidRPr="007F168E">
              <w:t xml:space="preserve">ate, both in the </w:t>
            </w:r>
            <w:r w:rsidR="007F168E">
              <w:t xml:space="preserve">services </w:t>
            </w:r>
            <w:r w:rsidRPr="007F168E">
              <w:t>and i</w:t>
            </w:r>
            <w:r w:rsidR="007F168E">
              <w:t>n the mobilisation project team</w:t>
            </w:r>
            <w:r w:rsidRPr="007F168E">
              <w:t xml:space="preserve"> </w:t>
            </w:r>
          </w:p>
          <w:p w14:paraId="6CD3328F" w14:textId="4A2B9E04" w:rsidR="00BC5953" w:rsidRDefault="00BC5953" w:rsidP="00793DEF">
            <w:pPr>
              <w:pStyle w:val="NoSpacing"/>
              <w:tabs>
                <w:tab w:val="left" w:pos="510"/>
              </w:tabs>
              <w:ind w:left="510" w:hanging="510"/>
              <w:jc w:val="both"/>
            </w:pPr>
            <w:r>
              <w:t>•</w:t>
            </w:r>
            <w:r>
              <w:tab/>
            </w:r>
            <w:r w:rsidR="007F168E">
              <w:t>W</w:t>
            </w:r>
            <w:r>
              <w:t xml:space="preserve">ork with existing employers where there is a TUPE transfer, so that risks to safe delivery of Services are </w:t>
            </w:r>
            <w:r w:rsidR="007F168E">
              <w:t>identified and mitigated</w:t>
            </w:r>
          </w:p>
          <w:p w14:paraId="7D479959" w14:textId="42BAC3D8" w:rsidR="00BC5953" w:rsidRDefault="00BC5953" w:rsidP="00793DEF">
            <w:pPr>
              <w:pStyle w:val="NoSpacing"/>
              <w:tabs>
                <w:tab w:val="left" w:pos="510"/>
              </w:tabs>
              <w:ind w:left="510" w:hanging="510"/>
              <w:jc w:val="both"/>
            </w:pPr>
            <w:r>
              <w:t>•</w:t>
            </w:r>
            <w:r>
              <w:tab/>
            </w:r>
            <w:r w:rsidR="007F168E">
              <w:t>U</w:t>
            </w:r>
            <w:r>
              <w:t xml:space="preserve">ndertake induction, training and development activities for all staff transferring under TUPE or starting newly with the Services; </w:t>
            </w:r>
          </w:p>
          <w:p w14:paraId="3ED2DFD9" w14:textId="4D29373E" w:rsidR="00BC5953" w:rsidRDefault="00BC5953" w:rsidP="00793DEF">
            <w:pPr>
              <w:pStyle w:val="NoSpacing"/>
              <w:tabs>
                <w:tab w:val="left" w:pos="510"/>
              </w:tabs>
              <w:ind w:left="510" w:hanging="510"/>
              <w:jc w:val="both"/>
            </w:pPr>
            <w:r>
              <w:t>•</w:t>
            </w:r>
            <w:r>
              <w:tab/>
            </w:r>
            <w:r w:rsidR="007F168E">
              <w:t>E</w:t>
            </w:r>
            <w:r>
              <w:t xml:space="preserve">nsure that any new staff or contractors have appropriate screening or pre-employment checks before participating in the mobilisation </w:t>
            </w:r>
            <w:r w:rsidR="007F168E">
              <w:t>project or service delivery</w:t>
            </w:r>
          </w:p>
          <w:p w14:paraId="3AE24CB1" w14:textId="48AB767D" w:rsidR="00BC5953" w:rsidRDefault="00BC5953" w:rsidP="00793DEF">
            <w:pPr>
              <w:pStyle w:val="NoSpacing"/>
              <w:tabs>
                <w:tab w:val="left" w:pos="510"/>
              </w:tabs>
              <w:ind w:left="510" w:hanging="510"/>
              <w:jc w:val="both"/>
            </w:pPr>
            <w:r>
              <w:t>•</w:t>
            </w:r>
            <w:r>
              <w:tab/>
            </w:r>
            <w:r w:rsidR="007F168E">
              <w:t>U</w:t>
            </w:r>
            <w:r>
              <w:t>ndertake due diligence activities on any transferring staff, contractors or agency workers.</w:t>
            </w:r>
          </w:p>
          <w:p w14:paraId="16A4F95F" w14:textId="77777777" w:rsidR="00BC5953" w:rsidRDefault="00BC5953" w:rsidP="00793DEF">
            <w:pPr>
              <w:pStyle w:val="NoSpacing"/>
              <w:tabs>
                <w:tab w:val="left" w:pos="510"/>
              </w:tabs>
              <w:ind w:left="510" w:hanging="510"/>
              <w:jc w:val="both"/>
            </w:pPr>
          </w:p>
          <w:p w14:paraId="4E33CB2F" w14:textId="3B1135CA" w:rsidR="00BC5953" w:rsidRPr="007F168E" w:rsidRDefault="00727156" w:rsidP="00BC5953">
            <w:pPr>
              <w:pStyle w:val="NoSpacing"/>
              <w:jc w:val="both"/>
              <w:rPr>
                <w:b/>
              </w:rPr>
            </w:pPr>
            <w:r>
              <w:rPr>
                <w:b/>
              </w:rPr>
              <w:t>12</w:t>
            </w:r>
            <w:r w:rsidR="007F168E">
              <w:rPr>
                <w:b/>
              </w:rPr>
              <w:t xml:space="preserve">.1.3 </w:t>
            </w:r>
            <w:r w:rsidR="00BC5953" w:rsidRPr="007F168E">
              <w:rPr>
                <w:b/>
              </w:rPr>
              <w:t xml:space="preserve">Mobilisation  - Estates and Infrastructure </w:t>
            </w:r>
          </w:p>
          <w:p w14:paraId="3406B0CD" w14:textId="77777777" w:rsidR="00BC5953" w:rsidRDefault="00BC5953" w:rsidP="00BC5953">
            <w:pPr>
              <w:pStyle w:val="NoSpacing"/>
              <w:jc w:val="both"/>
            </w:pPr>
            <w:r>
              <w:t>The Provider must:</w:t>
            </w:r>
          </w:p>
          <w:p w14:paraId="0AF426CC" w14:textId="79903079" w:rsidR="00BC5953" w:rsidRDefault="00BC5953" w:rsidP="00EC242F">
            <w:pPr>
              <w:pStyle w:val="NoSpacing"/>
              <w:tabs>
                <w:tab w:val="left" w:pos="510"/>
              </w:tabs>
              <w:ind w:left="510" w:hanging="510"/>
              <w:jc w:val="both"/>
            </w:pPr>
            <w:r>
              <w:t>•</w:t>
            </w:r>
            <w:r>
              <w:tab/>
            </w:r>
            <w:r w:rsidR="007F168E">
              <w:t>E</w:t>
            </w:r>
            <w:r>
              <w:t xml:space="preserve">nsure that they have continued access to premises and IT to be able to deliver the Services from the Service Commencement Date and thereafter; </w:t>
            </w:r>
          </w:p>
          <w:p w14:paraId="5381221F" w14:textId="47F4B929" w:rsidR="00BC5953" w:rsidRDefault="00BC5953" w:rsidP="00EC242F">
            <w:pPr>
              <w:pStyle w:val="NoSpacing"/>
              <w:tabs>
                <w:tab w:val="left" w:pos="510"/>
              </w:tabs>
              <w:ind w:left="510" w:hanging="510"/>
              <w:jc w:val="both"/>
            </w:pPr>
            <w:r>
              <w:t>•</w:t>
            </w:r>
            <w:r>
              <w:tab/>
            </w:r>
            <w:r w:rsidR="007F168E">
              <w:t>H</w:t>
            </w:r>
            <w:r>
              <w:t xml:space="preserve">ave the Information Management &amp; Technology systems, services, hardware, software, infrastructure and security arrangements in place to deliver and report on Services from the Service Commencement Date; and </w:t>
            </w:r>
          </w:p>
          <w:p w14:paraId="1C06DA14" w14:textId="7380BBDB" w:rsidR="00BC5953" w:rsidRDefault="00BC5953" w:rsidP="00EC242F">
            <w:pPr>
              <w:pStyle w:val="NoSpacing"/>
              <w:tabs>
                <w:tab w:val="left" w:pos="510"/>
              </w:tabs>
              <w:ind w:left="510" w:hanging="510"/>
              <w:jc w:val="both"/>
            </w:pPr>
            <w:r>
              <w:t>•</w:t>
            </w:r>
            <w:r>
              <w:tab/>
            </w:r>
            <w:r w:rsidR="007F168E">
              <w:t>P</w:t>
            </w:r>
            <w:r>
              <w:t xml:space="preserve">rovide the Services from the Service Commencement Date using the estates mandated in the Contract (add relevant section). Where estates and facilities for non-clinical or administrative functions are required the Provider will ensure that they will deliver services from safe, secure and appropriate buildings. </w:t>
            </w:r>
          </w:p>
          <w:p w14:paraId="4DE8EA6F" w14:textId="77777777" w:rsidR="00BC5953" w:rsidRDefault="00BC5953" w:rsidP="00EC242F">
            <w:pPr>
              <w:pStyle w:val="NoSpacing"/>
              <w:tabs>
                <w:tab w:val="left" w:pos="510"/>
              </w:tabs>
              <w:ind w:left="510" w:hanging="510"/>
              <w:jc w:val="both"/>
            </w:pPr>
          </w:p>
          <w:p w14:paraId="7B7694DD" w14:textId="253B7EED" w:rsidR="00BC5953" w:rsidRPr="00EC242F" w:rsidRDefault="00727156" w:rsidP="00BC5953">
            <w:pPr>
              <w:pStyle w:val="NoSpacing"/>
              <w:jc w:val="both"/>
              <w:rPr>
                <w:b/>
              </w:rPr>
            </w:pPr>
            <w:r>
              <w:rPr>
                <w:b/>
              </w:rPr>
              <w:t>12</w:t>
            </w:r>
            <w:r w:rsidR="00EC242F" w:rsidRPr="00EC242F">
              <w:rPr>
                <w:b/>
              </w:rPr>
              <w:t xml:space="preserve">.1.4 </w:t>
            </w:r>
            <w:r w:rsidR="00BC5953" w:rsidRPr="00EC242F">
              <w:rPr>
                <w:b/>
              </w:rPr>
              <w:t xml:space="preserve">Mobilisation  - Stakeholders, Patients and Carers </w:t>
            </w:r>
          </w:p>
          <w:p w14:paraId="39AFF2CC" w14:textId="77777777" w:rsidR="00BC5953" w:rsidRDefault="00BC5953" w:rsidP="00BC5953">
            <w:pPr>
              <w:pStyle w:val="NoSpacing"/>
              <w:jc w:val="both"/>
            </w:pPr>
            <w:r>
              <w:t xml:space="preserve">The Provider must: </w:t>
            </w:r>
          </w:p>
          <w:p w14:paraId="29B987AF" w14:textId="28743CF4" w:rsidR="00BC5953" w:rsidRDefault="00BC5953" w:rsidP="004569D3">
            <w:pPr>
              <w:pStyle w:val="NoSpacing"/>
              <w:numPr>
                <w:ilvl w:val="0"/>
                <w:numId w:val="36"/>
              </w:numPr>
              <w:ind w:left="510" w:hanging="510"/>
              <w:jc w:val="both"/>
            </w:pPr>
            <w:r>
              <w:t xml:space="preserve">Communicate with stakeholders, service users, patients and carers in the period before and after the </w:t>
            </w:r>
            <w:r w:rsidR="004569D3">
              <w:t>s</w:t>
            </w:r>
            <w:r>
              <w:t xml:space="preserve">ervice </w:t>
            </w:r>
            <w:r w:rsidR="004569D3">
              <w:t>c</w:t>
            </w:r>
            <w:r>
              <w:t xml:space="preserve">ommencement </w:t>
            </w:r>
            <w:r w:rsidR="004569D3">
              <w:t>d</w:t>
            </w:r>
            <w:r>
              <w:t xml:space="preserve">ate, to ensure that they are informed about any changes to </w:t>
            </w:r>
            <w:r w:rsidR="004569D3">
              <w:t>s</w:t>
            </w:r>
            <w:r>
              <w:t xml:space="preserve">ervices.  </w:t>
            </w:r>
          </w:p>
          <w:p w14:paraId="4D971ABE" w14:textId="77777777" w:rsidR="00BC5953" w:rsidRDefault="00BC5953" w:rsidP="00BC5953">
            <w:pPr>
              <w:pStyle w:val="NoSpacing"/>
              <w:jc w:val="both"/>
            </w:pPr>
          </w:p>
          <w:p w14:paraId="51A649BC" w14:textId="394E68E4" w:rsidR="00BC5953" w:rsidRPr="004569D3" w:rsidRDefault="00727156" w:rsidP="00BC5953">
            <w:pPr>
              <w:pStyle w:val="NoSpacing"/>
              <w:jc w:val="both"/>
              <w:rPr>
                <w:b/>
              </w:rPr>
            </w:pPr>
            <w:r>
              <w:rPr>
                <w:b/>
              </w:rPr>
              <w:t>12</w:t>
            </w:r>
            <w:r w:rsidR="004569D3" w:rsidRPr="004569D3">
              <w:rPr>
                <w:b/>
              </w:rPr>
              <w:t xml:space="preserve">.1.5 </w:t>
            </w:r>
            <w:r w:rsidR="00BC5953" w:rsidRPr="004569D3">
              <w:rPr>
                <w:b/>
              </w:rPr>
              <w:t xml:space="preserve">Mobilisation - Business Continuity, Resilience and Risk </w:t>
            </w:r>
          </w:p>
          <w:p w14:paraId="67150697" w14:textId="77777777" w:rsidR="00BC5953" w:rsidRDefault="00BC5953" w:rsidP="00BC5953">
            <w:pPr>
              <w:pStyle w:val="NoSpacing"/>
              <w:jc w:val="both"/>
            </w:pPr>
            <w:r>
              <w:t>The Provider must:</w:t>
            </w:r>
          </w:p>
          <w:p w14:paraId="2E0A58D1" w14:textId="551ABC80" w:rsidR="00BC5953" w:rsidRDefault="00BC5953" w:rsidP="004569D3">
            <w:pPr>
              <w:pStyle w:val="NoSpacing"/>
              <w:ind w:left="510" w:hanging="510"/>
              <w:jc w:val="both"/>
            </w:pPr>
            <w:r>
              <w:t>•</w:t>
            </w:r>
            <w:r>
              <w:tab/>
            </w:r>
            <w:r w:rsidR="004569D3">
              <w:t>H</w:t>
            </w:r>
            <w:r>
              <w:t xml:space="preserve">ave appropriate business continuity and resilience arrangements in place from the </w:t>
            </w:r>
            <w:r w:rsidR="00344BFB">
              <w:t>service commencement date</w:t>
            </w:r>
            <w:r>
              <w:t xml:space="preserve"> </w:t>
            </w:r>
          </w:p>
          <w:p w14:paraId="5DFE0425" w14:textId="079DBF3C" w:rsidR="00BC5953" w:rsidRDefault="00BC5953" w:rsidP="004569D3">
            <w:pPr>
              <w:pStyle w:val="NoSpacing"/>
              <w:ind w:left="510" w:hanging="510"/>
              <w:jc w:val="both"/>
            </w:pPr>
            <w:r>
              <w:t>•</w:t>
            </w:r>
            <w:r>
              <w:tab/>
            </w:r>
            <w:r w:rsidR="00344BFB">
              <w:t>H</w:t>
            </w:r>
            <w:r>
              <w:t xml:space="preserve">ave appropriate risk management systems in place for the </w:t>
            </w:r>
            <w:r w:rsidR="00344BFB">
              <w:t>s</w:t>
            </w:r>
            <w:r>
              <w:t xml:space="preserve">ervice </w:t>
            </w:r>
            <w:r w:rsidR="00344BFB">
              <w:t>c</w:t>
            </w:r>
            <w:r>
              <w:t xml:space="preserve">ommencement </w:t>
            </w:r>
            <w:r w:rsidR="00344BFB">
              <w:t>d</w:t>
            </w:r>
            <w:r>
              <w:t xml:space="preserve">ate. </w:t>
            </w:r>
          </w:p>
          <w:p w14:paraId="51F690A1" w14:textId="77777777" w:rsidR="00C735E9" w:rsidRDefault="00C735E9" w:rsidP="00BC5953">
            <w:pPr>
              <w:pStyle w:val="NoSpacing"/>
              <w:jc w:val="both"/>
            </w:pPr>
          </w:p>
          <w:p w14:paraId="72D4D8EF" w14:textId="4D8CE7C4" w:rsidR="00BC5953" w:rsidRPr="00344BFB" w:rsidRDefault="00727156" w:rsidP="00BC5953">
            <w:pPr>
              <w:pStyle w:val="NoSpacing"/>
              <w:jc w:val="both"/>
              <w:rPr>
                <w:b/>
              </w:rPr>
            </w:pPr>
            <w:r>
              <w:rPr>
                <w:b/>
              </w:rPr>
              <w:t>12</w:t>
            </w:r>
            <w:r w:rsidR="00344BFB" w:rsidRPr="00344BFB">
              <w:rPr>
                <w:b/>
              </w:rPr>
              <w:t>.1.</w:t>
            </w:r>
            <w:r w:rsidR="00CC0B1B">
              <w:rPr>
                <w:b/>
              </w:rPr>
              <w:t>6</w:t>
            </w:r>
            <w:r w:rsidR="00344BFB" w:rsidRPr="00344BFB">
              <w:rPr>
                <w:b/>
              </w:rPr>
              <w:t xml:space="preserve"> </w:t>
            </w:r>
            <w:r w:rsidR="00BC5953" w:rsidRPr="00344BFB">
              <w:rPr>
                <w:b/>
              </w:rPr>
              <w:t xml:space="preserve">Mobilisation - Legal and Commercial </w:t>
            </w:r>
          </w:p>
          <w:p w14:paraId="28E89F2C" w14:textId="0CE0CD59" w:rsidR="00BC5953" w:rsidRDefault="00BC5953" w:rsidP="00BC5953">
            <w:pPr>
              <w:pStyle w:val="NoSpacing"/>
              <w:jc w:val="both"/>
            </w:pPr>
            <w:r>
              <w:t>The Provider must:</w:t>
            </w:r>
          </w:p>
          <w:p w14:paraId="7F2F1C65" w14:textId="5CEFFBB3" w:rsidR="00BC5953" w:rsidRDefault="00BC5953" w:rsidP="00344BFB">
            <w:pPr>
              <w:pStyle w:val="NoSpacing"/>
              <w:ind w:left="510" w:hanging="510"/>
              <w:jc w:val="both"/>
            </w:pPr>
            <w:r>
              <w:t>•</w:t>
            </w:r>
            <w:r>
              <w:tab/>
            </w:r>
            <w:r w:rsidR="00344BFB">
              <w:t>E</w:t>
            </w:r>
            <w:r>
              <w:t xml:space="preserve">nsure that any sub-contractor agreements, alliance agreements or integration agreements are signed and in place for the </w:t>
            </w:r>
            <w:r w:rsidR="00344BFB">
              <w:t>s</w:t>
            </w:r>
            <w:r>
              <w:t xml:space="preserve">ervice </w:t>
            </w:r>
            <w:r w:rsidR="00344BFB">
              <w:t>c</w:t>
            </w:r>
            <w:r>
              <w:t xml:space="preserve">ommencement </w:t>
            </w:r>
            <w:r w:rsidR="00344BFB">
              <w:t>d</w:t>
            </w:r>
            <w:r>
              <w:t>ate</w:t>
            </w:r>
          </w:p>
          <w:p w14:paraId="4D613E7C" w14:textId="312FDB00" w:rsidR="00BC5953" w:rsidRDefault="00BC5953" w:rsidP="00344BFB">
            <w:pPr>
              <w:pStyle w:val="NoSpacing"/>
              <w:ind w:left="510" w:hanging="510"/>
              <w:jc w:val="both"/>
            </w:pPr>
            <w:r>
              <w:t>•</w:t>
            </w:r>
            <w:r>
              <w:tab/>
            </w:r>
            <w:r w:rsidR="00344BFB">
              <w:t>U</w:t>
            </w:r>
            <w:r>
              <w:t xml:space="preserve">nderstand the nature of contracts for staff, services, infrastructure and estates, and have arrangements in place to continue those contracts at </w:t>
            </w:r>
            <w:r w:rsidR="00EA277E">
              <w:t>s</w:t>
            </w:r>
            <w:r>
              <w:t xml:space="preserve">ervice </w:t>
            </w:r>
            <w:r w:rsidR="00EA277E">
              <w:t>c</w:t>
            </w:r>
            <w:r>
              <w:t xml:space="preserve">ommencement date or to replace them before the </w:t>
            </w:r>
            <w:r w:rsidR="00EA277E">
              <w:t>s</w:t>
            </w:r>
            <w:r>
              <w:t xml:space="preserve">ervice </w:t>
            </w:r>
            <w:r w:rsidR="00EA277E">
              <w:t>c</w:t>
            </w:r>
            <w:r>
              <w:t xml:space="preserve">ommencement </w:t>
            </w:r>
            <w:r w:rsidR="00EA277E">
              <w:t>d</w:t>
            </w:r>
            <w:r>
              <w:t xml:space="preserve">ate, so that service delivery is not adversely affected. </w:t>
            </w:r>
          </w:p>
          <w:p w14:paraId="68C2B707" w14:textId="7B17587C" w:rsidR="00B57C3B" w:rsidRDefault="00344BFB" w:rsidP="00C735E9">
            <w:pPr>
              <w:pStyle w:val="NoSpacing"/>
              <w:tabs>
                <w:tab w:val="left" w:pos="6075"/>
              </w:tabs>
              <w:ind w:left="510" w:hanging="510"/>
              <w:jc w:val="both"/>
            </w:pPr>
            <w:r>
              <w:tab/>
            </w:r>
          </w:p>
        </w:tc>
      </w:tr>
    </w:tbl>
    <w:p w14:paraId="60552BD6" w14:textId="77777777" w:rsidR="001E7AD9" w:rsidRPr="00111285" w:rsidRDefault="001E7AD9" w:rsidP="001E7AD9">
      <w:pPr>
        <w:pStyle w:val="NoSpacing"/>
      </w:pPr>
    </w:p>
    <w:sectPr w:rsidR="001E7AD9" w:rsidRPr="00111285" w:rsidSect="00840D2E">
      <w:headerReference w:type="even" r:id="rId20"/>
      <w:headerReference w:type="default" r:id="rId21"/>
      <w:footerReference w:type="even" r:id="rId22"/>
      <w:footerReference w:type="default" r:id="rId23"/>
      <w:headerReference w:type="first" r:id="rId24"/>
      <w:footerReference w:type="first" r:id="rId25"/>
      <w:pgSz w:w="11906" w:h="16838" w:code="9"/>
      <w:pgMar w:top="1134" w:right="851" w:bottom="851" w:left="851"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1E31A" w14:textId="77777777" w:rsidR="00605F78" w:rsidRDefault="00605F78" w:rsidP="00D0640B">
      <w:r>
        <w:separator/>
      </w:r>
    </w:p>
  </w:endnote>
  <w:endnote w:type="continuationSeparator" w:id="0">
    <w:p w14:paraId="598B4D74" w14:textId="77777777" w:rsidR="00605F78" w:rsidRDefault="00605F78" w:rsidP="00D0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ED966" w14:textId="77777777" w:rsidR="008234A0" w:rsidRDefault="00823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z w:val="20"/>
        <w:szCs w:val="20"/>
      </w:rPr>
      <w:id w:val="-1737468436"/>
      <w:docPartObj>
        <w:docPartGallery w:val="Page Numbers (Bottom of Page)"/>
        <w:docPartUnique/>
      </w:docPartObj>
    </w:sdtPr>
    <w:sdtEndPr>
      <w:rPr>
        <w:noProof/>
      </w:rPr>
    </w:sdtEndPr>
    <w:sdtContent>
      <w:p w14:paraId="416A9D7E" w14:textId="1DFC8D8C" w:rsidR="008234A0" w:rsidRPr="0019444F" w:rsidRDefault="008234A0">
        <w:pPr>
          <w:pStyle w:val="Footer"/>
          <w:jc w:val="center"/>
          <w:rPr>
            <w:color w:val="808080" w:themeColor="background1" w:themeShade="80"/>
            <w:sz w:val="20"/>
            <w:szCs w:val="20"/>
          </w:rPr>
        </w:pPr>
        <w:r w:rsidRPr="0019444F">
          <w:rPr>
            <w:color w:val="808080" w:themeColor="background1" w:themeShade="80"/>
            <w:sz w:val="20"/>
            <w:szCs w:val="20"/>
          </w:rPr>
          <w:fldChar w:fldCharType="begin"/>
        </w:r>
        <w:r w:rsidRPr="0019444F">
          <w:rPr>
            <w:color w:val="808080" w:themeColor="background1" w:themeShade="80"/>
            <w:sz w:val="20"/>
            <w:szCs w:val="20"/>
          </w:rPr>
          <w:instrText xml:space="preserve"> PAGE   \* MERGEFORMAT </w:instrText>
        </w:r>
        <w:r w:rsidRPr="0019444F">
          <w:rPr>
            <w:color w:val="808080" w:themeColor="background1" w:themeShade="80"/>
            <w:sz w:val="20"/>
            <w:szCs w:val="20"/>
          </w:rPr>
          <w:fldChar w:fldCharType="separate"/>
        </w:r>
        <w:r w:rsidR="004D1D46">
          <w:rPr>
            <w:noProof/>
            <w:color w:val="808080" w:themeColor="background1" w:themeShade="80"/>
            <w:sz w:val="20"/>
            <w:szCs w:val="20"/>
          </w:rPr>
          <w:t>1</w:t>
        </w:r>
        <w:r w:rsidRPr="0019444F">
          <w:rPr>
            <w:noProof/>
            <w:color w:val="808080" w:themeColor="background1" w:themeShade="80"/>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1AA73" w14:textId="77777777" w:rsidR="008234A0" w:rsidRDefault="00823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6D0C" w14:textId="77777777" w:rsidR="00605F78" w:rsidRDefault="00605F78" w:rsidP="00D0640B">
      <w:r>
        <w:separator/>
      </w:r>
    </w:p>
  </w:footnote>
  <w:footnote w:type="continuationSeparator" w:id="0">
    <w:p w14:paraId="26DA785A" w14:textId="77777777" w:rsidR="00605F78" w:rsidRDefault="00605F78" w:rsidP="00D06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B214" w14:textId="6C467BAD" w:rsidR="008234A0" w:rsidRDefault="008234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87AB0" w14:textId="3B0D0D5E" w:rsidR="008234A0" w:rsidRPr="00026A1D" w:rsidRDefault="00605F78" w:rsidP="00D0640B">
    <w:pPr>
      <w:pStyle w:val="Header"/>
      <w:tabs>
        <w:tab w:val="clear" w:pos="4513"/>
        <w:tab w:val="clear" w:pos="9026"/>
        <w:tab w:val="center" w:pos="4820"/>
        <w:tab w:val="right" w:pos="9356"/>
      </w:tabs>
      <w:rPr>
        <w:rFonts w:asciiTheme="minorHAnsi" w:hAnsiTheme="minorHAnsi"/>
        <w:sz w:val="20"/>
        <w:szCs w:val="20"/>
      </w:rPr>
    </w:pPr>
    <w:sdt>
      <w:sdtPr>
        <w:rPr>
          <w:rFonts w:asciiTheme="minorHAnsi" w:hAnsiTheme="minorHAnsi"/>
          <w:color w:val="808080" w:themeColor="background1" w:themeShade="80"/>
          <w:sz w:val="20"/>
          <w:szCs w:val="20"/>
        </w:rPr>
        <w:id w:val="1343276905"/>
        <w:docPartObj>
          <w:docPartGallery w:val="Watermarks"/>
          <w:docPartUnique/>
        </w:docPartObj>
      </w:sdtPr>
      <w:sdtEndPr/>
      <w:sdtContent>
        <w:r>
          <w:rPr>
            <w:rFonts w:asciiTheme="minorHAnsi" w:hAnsiTheme="minorHAnsi"/>
            <w:noProof/>
            <w:color w:val="808080" w:themeColor="background1" w:themeShade="80"/>
            <w:sz w:val="20"/>
            <w:szCs w:val="20"/>
            <w:lang w:val="en-US" w:eastAsia="zh-TW"/>
          </w:rPr>
          <w:pict w14:anchorId="0CBDB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234A0" w:rsidRPr="00026A1D">
      <w:rPr>
        <w:rFonts w:asciiTheme="minorHAnsi" w:hAnsiTheme="minorHAnsi"/>
        <w:noProof/>
        <w:color w:val="808080" w:themeColor="background1" w:themeShade="80"/>
        <w:sz w:val="20"/>
        <w:szCs w:val="20"/>
        <w:lang w:eastAsia="en-GB"/>
      </w:rPr>
      <w:drawing>
        <wp:anchor distT="0" distB="0" distL="114300" distR="114300" simplePos="0" relativeHeight="251657216" behindDoc="1" locked="0" layoutInCell="1" allowOverlap="1" wp14:anchorId="23928BB6" wp14:editId="4806839B">
          <wp:simplePos x="0" y="0"/>
          <wp:positionH relativeFrom="column">
            <wp:posOffset>5403215</wp:posOffset>
          </wp:positionH>
          <wp:positionV relativeFrom="paragraph">
            <wp:posOffset>-307340</wp:posOffset>
          </wp:positionV>
          <wp:extent cx="1294130" cy="55816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4A0" w:rsidRPr="00026A1D">
      <w:rPr>
        <w:rFonts w:asciiTheme="minorHAnsi" w:hAnsiTheme="minorHAnsi"/>
        <w:color w:val="808080" w:themeColor="background1" w:themeShade="80"/>
        <w:sz w:val="20"/>
        <w:szCs w:val="20"/>
      </w:rPr>
      <w:t>Version: 0.1. 08/09/2017</w:t>
    </w:r>
    <w:r w:rsidR="008234A0" w:rsidRPr="00026A1D">
      <w:rPr>
        <w:rFonts w:asciiTheme="minorHAnsi" w:hAnsiTheme="minorHAnsi"/>
        <w:color w:val="808080" w:themeColor="background1" w:themeShade="80"/>
        <w:sz w:val="20"/>
        <w:szCs w:val="20"/>
      </w:rPr>
      <w:tab/>
      <w:t>Service Specification</w:t>
    </w:r>
    <w:r w:rsidR="008234A0" w:rsidRPr="00026A1D">
      <w:rPr>
        <w:rFonts w:asciiTheme="minorHAnsi" w:hAnsiTheme="minorHAnsi"/>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5970D" w14:textId="1E7AE8ED" w:rsidR="008234A0" w:rsidRDefault="008234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A46"/>
    <w:multiLevelType w:val="hybridMultilevel"/>
    <w:tmpl w:val="D504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0771BB"/>
    <w:multiLevelType w:val="hybridMultilevel"/>
    <w:tmpl w:val="D8BC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30508"/>
    <w:multiLevelType w:val="hybridMultilevel"/>
    <w:tmpl w:val="4886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20780D"/>
    <w:multiLevelType w:val="hybridMultilevel"/>
    <w:tmpl w:val="55284556"/>
    <w:lvl w:ilvl="0" w:tplc="86D07C8A">
      <w:start w:val="3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22F5E"/>
    <w:multiLevelType w:val="hybridMultilevel"/>
    <w:tmpl w:val="BD7CE20A"/>
    <w:lvl w:ilvl="0" w:tplc="DB0A8DFE">
      <w:start w:val="3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BA04F9"/>
    <w:multiLevelType w:val="hybridMultilevel"/>
    <w:tmpl w:val="EF64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5A59EA"/>
    <w:multiLevelType w:val="hybridMultilevel"/>
    <w:tmpl w:val="8268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A80F61"/>
    <w:multiLevelType w:val="hybridMultilevel"/>
    <w:tmpl w:val="7C2E6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6D21859"/>
    <w:multiLevelType w:val="hybridMultilevel"/>
    <w:tmpl w:val="87BA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BA1710"/>
    <w:multiLevelType w:val="hybridMultilevel"/>
    <w:tmpl w:val="043C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7A3851"/>
    <w:multiLevelType w:val="hybridMultilevel"/>
    <w:tmpl w:val="5D56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520147"/>
    <w:multiLevelType w:val="hybridMultilevel"/>
    <w:tmpl w:val="771CCA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B8110B"/>
    <w:multiLevelType w:val="hybridMultilevel"/>
    <w:tmpl w:val="F416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563884"/>
    <w:multiLevelType w:val="hybridMultilevel"/>
    <w:tmpl w:val="A702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CE73A0"/>
    <w:multiLevelType w:val="hybridMultilevel"/>
    <w:tmpl w:val="0A1AF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ACE6E67"/>
    <w:multiLevelType w:val="hybridMultilevel"/>
    <w:tmpl w:val="4E90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372D0"/>
    <w:multiLevelType w:val="hybridMultilevel"/>
    <w:tmpl w:val="FB20BE5C"/>
    <w:lvl w:ilvl="0" w:tplc="FC3048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BBD0F0D"/>
    <w:multiLevelType w:val="hybridMultilevel"/>
    <w:tmpl w:val="1E6C76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3C4A1963"/>
    <w:multiLevelType w:val="hybridMultilevel"/>
    <w:tmpl w:val="42B21378"/>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
    <w:nsid w:val="3EF87771"/>
    <w:multiLevelType w:val="hybridMultilevel"/>
    <w:tmpl w:val="EE4C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B63905"/>
    <w:multiLevelType w:val="hybridMultilevel"/>
    <w:tmpl w:val="4FE0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6D2910"/>
    <w:multiLevelType w:val="hybridMultilevel"/>
    <w:tmpl w:val="A486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8A6A8D"/>
    <w:multiLevelType w:val="multilevel"/>
    <w:tmpl w:val="EFF8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F938C7"/>
    <w:multiLevelType w:val="hybridMultilevel"/>
    <w:tmpl w:val="2038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42223C"/>
    <w:multiLevelType w:val="hybridMultilevel"/>
    <w:tmpl w:val="2492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D3562B"/>
    <w:multiLevelType w:val="hybridMultilevel"/>
    <w:tmpl w:val="A0D6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AE5718B"/>
    <w:multiLevelType w:val="hybridMultilevel"/>
    <w:tmpl w:val="74ECFB8A"/>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7">
    <w:nsid w:val="4BE71784"/>
    <w:multiLevelType w:val="hybridMultilevel"/>
    <w:tmpl w:val="CAE0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0F0D67"/>
    <w:multiLevelType w:val="hybridMultilevel"/>
    <w:tmpl w:val="D50EF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5573DE9"/>
    <w:multiLevelType w:val="hybridMultilevel"/>
    <w:tmpl w:val="CF6C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6153E3"/>
    <w:multiLevelType w:val="hybridMultilevel"/>
    <w:tmpl w:val="D74E7C3A"/>
    <w:lvl w:ilvl="0" w:tplc="8854A1E4">
      <w:numFmt w:val="bullet"/>
      <w:lvlText w:val="•"/>
      <w:lvlJc w:val="left"/>
      <w:pPr>
        <w:ind w:left="394" w:hanging="360"/>
      </w:pPr>
      <w:rPr>
        <w:rFonts w:hint="default"/>
        <w:lang w:val="en-US" w:eastAsia="en-US" w:bidi="en-US"/>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1">
    <w:nsid w:val="5CFA3718"/>
    <w:multiLevelType w:val="hybridMultilevel"/>
    <w:tmpl w:val="A9825D2C"/>
    <w:lvl w:ilvl="0" w:tplc="FC3048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43B680F"/>
    <w:multiLevelType w:val="hybridMultilevel"/>
    <w:tmpl w:val="E1F63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51B7B3F"/>
    <w:multiLevelType w:val="hybridMultilevel"/>
    <w:tmpl w:val="FC90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CD0117"/>
    <w:multiLevelType w:val="hybridMultilevel"/>
    <w:tmpl w:val="EF20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857E1B"/>
    <w:multiLevelType w:val="hybridMultilevel"/>
    <w:tmpl w:val="6456B3EE"/>
    <w:lvl w:ilvl="0" w:tplc="5FA0DCFA">
      <w:start w:val="1"/>
      <w:numFmt w:val="bullet"/>
      <w:lvlText w:val="•"/>
      <w:lvlJc w:val="left"/>
      <w:pPr>
        <w:tabs>
          <w:tab w:val="num" w:pos="720"/>
        </w:tabs>
        <w:ind w:left="720" w:hanging="360"/>
      </w:pPr>
      <w:rPr>
        <w:rFonts w:ascii="Arial" w:hAnsi="Arial" w:hint="default"/>
      </w:rPr>
    </w:lvl>
    <w:lvl w:ilvl="1" w:tplc="F52C476C" w:tentative="1">
      <w:start w:val="1"/>
      <w:numFmt w:val="bullet"/>
      <w:lvlText w:val="•"/>
      <w:lvlJc w:val="left"/>
      <w:pPr>
        <w:tabs>
          <w:tab w:val="num" w:pos="1440"/>
        </w:tabs>
        <w:ind w:left="1440" w:hanging="360"/>
      </w:pPr>
      <w:rPr>
        <w:rFonts w:ascii="Arial" w:hAnsi="Arial" w:hint="default"/>
      </w:rPr>
    </w:lvl>
    <w:lvl w:ilvl="2" w:tplc="6830972A" w:tentative="1">
      <w:start w:val="1"/>
      <w:numFmt w:val="bullet"/>
      <w:lvlText w:val="•"/>
      <w:lvlJc w:val="left"/>
      <w:pPr>
        <w:tabs>
          <w:tab w:val="num" w:pos="2160"/>
        </w:tabs>
        <w:ind w:left="2160" w:hanging="360"/>
      </w:pPr>
      <w:rPr>
        <w:rFonts w:ascii="Arial" w:hAnsi="Arial" w:hint="default"/>
      </w:rPr>
    </w:lvl>
    <w:lvl w:ilvl="3" w:tplc="B3E63484" w:tentative="1">
      <w:start w:val="1"/>
      <w:numFmt w:val="bullet"/>
      <w:lvlText w:val="•"/>
      <w:lvlJc w:val="left"/>
      <w:pPr>
        <w:tabs>
          <w:tab w:val="num" w:pos="2880"/>
        </w:tabs>
        <w:ind w:left="2880" w:hanging="360"/>
      </w:pPr>
      <w:rPr>
        <w:rFonts w:ascii="Arial" w:hAnsi="Arial" w:hint="default"/>
      </w:rPr>
    </w:lvl>
    <w:lvl w:ilvl="4" w:tplc="187459D0" w:tentative="1">
      <w:start w:val="1"/>
      <w:numFmt w:val="bullet"/>
      <w:lvlText w:val="•"/>
      <w:lvlJc w:val="left"/>
      <w:pPr>
        <w:tabs>
          <w:tab w:val="num" w:pos="3600"/>
        </w:tabs>
        <w:ind w:left="3600" w:hanging="360"/>
      </w:pPr>
      <w:rPr>
        <w:rFonts w:ascii="Arial" w:hAnsi="Arial" w:hint="default"/>
      </w:rPr>
    </w:lvl>
    <w:lvl w:ilvl="5" w:tplc="F36E47D2" w:tentative="1">
      <w:start w:val="1"/>
      <w:numFmt w:val="bullet"/>
      <w:lvlText w:val="•"/>
      <w:lvlJc w:val="left"/>
      <w:pPr>
        <w:tabs>
          <w:tab w:val="num" w:pos="4320"/>
        </w:tabs>
        <w:ind w:left="4320" w:hanging="360"/>
      </w:pPr>
      <w:rPr>
        <w:rFonts w:ascii="Arial" w:hAnsi="Arial" w:hint="default"/>
      </w:rPr>
    </w:lvl>
    <w:lvl w:ilvl="6" w:tplc="905EF93C" w:tentative="1">
      <w:start w:val="1"/>
      <w:numFmt w:val="bullet"/>
      <w:lvlText w:val="•"/>
      <w:lvlJc w:val="left"/>
      <w:pPr>
        <w:tabs>
          <w:tab w:val="num" w:pos="5040"/>
        </w:tabs>
        <w:ind w:left="5040" w:hanging="360"/>
      </w:pPr>
      <w:rPr>
        <w:rFonts w:ascii="Arial" w:hAnsi="Arial" w:hint="default"/>
      </w:rPr>
    </w:lvl>
    <w:lvl w:ilvl="7" w:tplc="11EA7A2E" w:tentative="1">
      <w:start w:val="1"/>
      <w:numFmt w:val="bullet"/>
      <w:lvlText w:val="•"/>
      <w:lvlJc w:val="left"/>
      <w:pPr>
        <w:tabs>
          <w:tab w:val="num" w:pos="5760"/>
        </w:tabs>
        <w:ind w:left="5760" w:hanging="360"/>
      </w:pPr>
      <w:rPr>
        <w:rFonts w:ascii="Arial" w:hAnsi="Arial" w:hint="default"/>
      </w:rPr>
    </w:lvl>
    <w:lvl w:ilvl="8" w:tplc="D804AF56" w:tentative="1">
      <w:start w:val="1"/>
      <w:numFmt w:val="bullet"/>
      <w:lvlText w:val="•"/>
      <w:lvlJc w:val="left"/>
      <w:pPr>
        <w:tabs>
          <w:tab w:val="num" w:pos="6480"/>
        </w:tabs>
        <w:ind w:left="6480" w:hanging="360"/>
      </w:pPr>
      <w:rPr>
        <w:rFonts w:ascii="Arial" w:hAnsi="Arial" w:hint="default"/>
      </w:rPr>
    </w:lvl>
  </w:abstractNum>
  <w:abstractNum w:abstractNumId="36">
    <w:nsid w:val="69D00D29"/>
    <w:multiLevelType w:val="hybridMultilevel"/>
    <w:tmpl w:val="3A5A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9D55351"/>
    <w:multiLevelType w:val="hybridMultilevel"/>
    <w:tmpl w:val="2B9C7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CF77BB7"/>
    <w:multiLevelType w:val="hybridMultilevel"/>
    <w:tmpl w:val="D49014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9">
    <w:nsid w:val="769B7455"/>
    <w:multiLevelType w:val="hybridMultilevel"/>
    <w:tmpl w:val="4DF4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8124AA"/>
    <w:multiLevelType w:val="hybridMultilevel"/>
    <w:tmpl w:val="D2745A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E223CE5"/>
    <w:multiLevelType w:val="hybridMultilevel"/>
    <w:tmpl w:val="B2A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31"/>
  </w:num>
  <w:num w:numId="5">
    <w:abstractNumId w:val="13"/>
  </w:num>
  <w:num w:numId="6">
    <w:abstractNumId w:val="1"/>
  </w:num>
  <w:num w:numId="7">
    <w:abstractNumId w:val="32"/>
  </w:num>
  <w:num w:numId="8">
    <w:abstractNumId w:val="37"/>
  </w:num>
  <w:num w:numId="9">
    <w:abstractNumId w:val="30"/>
  </w:num>
  <w:num w:numId="10">
    <w:abstractNumId w:val="0"/>
  </w:num>
  <w:num w:numId="11">
    <w:abstractNumId w:val="36"/>
  </w:num>
  <w:num w:numId="12">
    <w:abstractNumId w:val="2"/>
  </w:num>
  <w:num w:numId="13">
    <w:abstractNumId w:val="25"/>
  </w:num>
  <w:num w:numId="14">
    <w:abstractNumId w:val="35"/>
  </w:num>
  <w:num w:numId="15">
    <w:abstractNumId w:val="38"/>
  </w:num>
  <w:num w:numId="16">
    <w:abstractNumId w:val="15"/>
  </w:num>
  <w:num w:numId="17">
    <w:abstractNumId w:val="22"/>
  </w:num>
  <w:num w:numId="18">
    <w:abstractNumId w:val="39"/>
  </w:num>
  <w:num w:numId="19">
    <w:abstractNumId w:val="12"/>
  </w:num>
  <w:num w:numId="20">
    <w:abstractNumId w:val="41"/>
  </w:num>
  <w:num w:numId="21">
    <w:abstractNumId w:val="7"/>
  </w:num>
  <w:num w:numId="22">
    <w:abstractNumId w:val="33"/>
  </w:num>
  <w:num w:numId="23">
    <w:abstractNumId w:val="23"/>
  </w:num>
  <w:num w:numId="24">
    <w:abstractNumId w:val="8"/>
  </w:num>
  <w:num w:numId="25">
    <w:abstractNumId w:val="20"/>
  </w:num>
  <w:num w:numId="26">
    <w:abstractNumId w:val="18"/>
  </w:num>
  <w:num w:numId="27">
    <w:abstractNumId w:val="26"/>
  </w:num>
  <w:num w:numId="28">
    <w:abstractNumId w:val="27"/>
  </w:num>
  <w:num w:numId="29">
    <w:abstractNumId w:val="5"/>
  </w:num>
  <w:num w:numId="30">
    <w:abstractNumId w:val="40"/>
  </w:num>
  <w:num w:numId="31">
    <w:abstractNumId w:val="11"/>
  </w:num>
  <w:num w:numId="32">
    <w:abstractNumId w:val="14"/>
  </w:num>
  <w:num w:numId="33">
    <w:abstractNumId w:val="9"/>
  </w:num>
  <w:num w:numId="34">
    <w:abstractNumId w:val="24"/>
  </w:num>
  <w:num w:numId="35">
    <w:abstractNumId w:val="17"/>
  </w:num>
  <w:num w:numId="36">
    <w:abstractNumId w:val="10"/>
  </w:num>
  <w:num w:numId="37">
    <w:abstractNumId w:val="19"/>
  </w:num>
  <w:num w:numId="38">
    <w:abstractNumId w:val="34"/>
  </w:num>
  <w:num w:numId="39">
    <w:abstractNumId w:val="21"/>
  </w:num>
  <w:num w:numId="40">
    <w:abstractNumId w:val="28"/>
  </w:num>
  <w:num w:numId="41">
    <w:abstractNumId w:val="2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gutterAtTop/>
  <w:hideSpellingErrors/>
  <w:hideGrammaticalError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0B"/>
    <w:rsid w:val="00000384"/>
    <w:rsid w:val="00000B11"/>
    <w:rsid w:val="0000167A"/>
    <w:rsid w:val="00002142"/>
    <w:rsid w:val="0000220C"/>
    <w:rsid w:val="0000238B"/>
    <w:rsid w:val="00002DC1"/>
    <w:rsid w:val="00002F4F"/>
    <w:rsid w:val="0000341C"/>
    <w:rsid w:val="00003792"/>
    <w:rsid w:val="000039D1"/>
    <w:rsid w:val="0000454D"/>
    <w:rsid w:val="000047A0"/>
    <w:rsid w:val="0000540F"/>
    <w:rsid w:val="000067D8"/>
    <w:rsid w:val="000070B2"/>
    <w:rsid w:val="000073CE"/>
    <w:rsid w:val="00007535"/>
    <w:rsid w:val="000076FB"/>
    <w:rsid w:val="00010C29"/>
    <w:rsid w:val="000118F2"/>
    <w:rsid w:val="000126D4"/>
    <w:rsid w:val="00014168"/>
    <w:rsid w:val="00014D57"/>
    <w:rsid w:val="00017CFA"/>
    <w:rsid w:val="00017F9B"/>
    <w:rsid w:val="00020CE1"/>
    <w:rsid w:val="00021AD8"/>
    <w:rsid w:val="000229E2"/>
    <w:rsid w:val="00023023"/>
    <w:rsid w:val="0002370F"/>
    <w:rsid w:val="00023C6F"/>
    <w:rsid w:val="000241D7"/>
    <w:rsid w:val="00024692"/>
    <w:rsid w:val="00025424"/>
    <w:rsid w:val="000257BB"/>
    <w:rsid w:val="00026054"/>
    <w:rsid w:val="00026A1D"/>
    <w:rsid w:val="00026B58"/>
    <w:rsid w:val="000307FA"/>
    <w:rsid w:val="000330BD"/>
    <w:rsid w:val="00034FD9"/>
    <w:rsid w:val="0003594E"/>
    <w:rsid w:val="000362D2"/>
    <w:rsid w:val="00037466"/>
    <w:rsid w:val="000400EF"/>
    <w:rsid w:val="00040169"/>
    <w:rsid w:val="00040B03"/>
    <w:rsid w:val="0004124F"/>
    <w:rsid w:val="00041866"/>
    <w:rsid w:val="000429AB"/>
    <w:rsid w:val="00044125"/>
    <w:rsid w:val="00044CEE"/>
    <w:rsid w:val="00045868"/>
    <w:rsid w:val="00045AEA"/>
    <w:rsid w:val="00045EA2"/>
    <w:rsid w:val="00046617"/>
    <w:rsid w:val="00047860"/>
    <w:rsid w:val="000511BB"/>
    <w:rsid w:val="000519E6"/>
    <w:rsid w:val="000529C9"/>
    <w:rsid w:val="00054267"/>
    <w:rsid w:val="00054804"/>
    <w:rsid w:val="00054EB3"/>
    <w:rsid w:val="00054F79"/>
    <w:rsid w:val="00055A81"/>
    <w:rsid w:val="00056B04"/>
    <w:rsid w:val="00056FC8"/>
    <w:rsid w:val="00057174"/>
    <w:rsid w:val="00060472"/>
    <w:rsid w:val="0006080C"/>
    <w:rsid w:val="0006114A"/>
    <w:rsid w:val="000624F6"/>
    <w:rsid w:val="000626E2"/>
    <w:rsid w:val="00062772"/>
    <w:rsid w:val="00063BCA"/>
    <w:rsid w:val="0006445B"/>
    <w:rsid w:val="0006528B"/>
    <w:rsid w:val="0006539E"/>
    <w:rsid w:val="0006559F"/>
    <w:rsid w:val="0006571A"/>
    <w:rsid w:val="00065E87"/>
    <w:rsid w:val="000668DF"/>
    <w:rsid w:val="00067D1D"/>
    <w:rsid w:val="00070234"/>
    <w:rsid w:val="00070839"/>
    <w:rsid w:val="000711D1"/>
    <w:rsid w:val="0007180F"/>
    <w:rsid w:val="000723D8"/>
    <w:rsid w:val="00072EFC"/>
    <w:rsid w:val="00072F10"/>
    <w:rsid w:val="00074629"/>
    <w:rsid w:val="000748F6"/>
    <w:rsid w:val="00074DE5"/>
    <w:rsid w:val="00075646"/>
    <w:rsid w:val="0007666D"/>
    <w:rsid w:val="00077567"/>
    <w:rsid w:val="00080C6C"/>
    <w:rsid w:val="00080E0A"/>
    <w:rsid w:val="00081E08"/>
    <w:rsid w:val="000837D5"/>
    <w:rsid w:val="0008427A"/>
    <w:rsid w:val="0008449F"/>
    <w:rsid w:val="00084EBE"/>
    <w:rsid w:val="0008527B"/>
    <w:rsid w:val="00085733"/>
    <w:rsid w:val="0008585E"/>
    <w:rsid w:val="000873BC"/>
    <w:rsid w:val="00090254"/>
    <w:rsid w:val="00090D8A"/>
    <w:rsid w:val="00091968"/>
    <w:rsid w:val="00091A4E"/>
    <w:rsid w:val="00091EBA"/>
    <w:rsid w:val="00093C49"/>
    <w:rsid w:val="0009584C"/>
    <w:rsid w:val="00095B73"/>
    <w:rsid w:val="00096D6B"/>
    <w:rsid w:val="00097554"/>
    <w:rsid w:val="000A01BF"/>
    <w:rsid w:val="000A08A3"/>
    <w:rsid w:val="000A0911"/>
    <w:rsid w:val="000A1B33"/>
    <w:rsid w:val="000A20C0"/>
    <w:rsid w:val="000A27E3"/>
    <w:rsid w:val="000A2939"/>
    <w:rsid w:val="000A3070"/>
    <w:rsid w:val="000A30CF"/>
    <w:rsid w:val="000A3786"/>
    <w:rsid w:val="000A3A09"/>
    <w:rsid w:val="000A4E7A"/>
    <w:rsid w:val="000A5400"/>
    <w:rsid w:val="000A61D6"/>
    <w:rsid w:val="000A7900"/>
    <w:rsid w:val="000B0836"/>
    <w:rsid w:val="000B3016"/>
    <w:rsid w:val="000B36CD"/>
    <w:rsid w:val="000B3AAF"/>
    <w:rsid w:val="000B4995"/>
    <w:rsid w:val="000B4B6D"/>
    <w:rsid w:val="000B4B8F"/>
    <w:rsid w:val="000B4CCC"/>
    <w:rsid w:val="000B5DB0"/>
    <w:rsid w:val="000B6DD2"/>
    <w:rsid w:val="000B6DFB"/>
    <w:rsid w:val="000B7811"/>
    <w:rsid w:val="000B7F3A"/>
    <w:rsid w:val="000C03B8"/>
    <w:rsid w:val="000C042C"/>
    <w:rsid w:val="000C07B3"/>
    <w:rsid w:val="000C0CE2"/>
    <w:rsid w:val="000C1315"/>
    <w:rsid w:val="000C14B6"/>
    <w:rsid w:val="000C1DD6"/>
    <w:rsid w:val="000C21F1"/>
    <w:rsid w:val="000C275D"/>
    <w:rsid w:val="000C3295"/>
    <w:rsid w:val="000C40B6"/>
    <w:rsid w:val="000C4C6B"/>
    <w:rsid w:val="000C4FCA"/>
    <w:rsid w:val="000C5121"/>
    <w:rsid w:val="000C5DDC"/>
    <w:rsid w:val="000C685C"/>
    <w:rsid w:val="000C6E31"/>
    <w:rsid w:val="000C7446"/>
    <w:rsid w:val="000D0133"/>
    <w:rsid w:val="000D1D2F"/>
    <w:rsid w:val="000D26DC"/>
    <w:rsid w:val="000D270D"/>
    <w:rsid w:val="000D2798"/>
    <w:rsid w:val="000D2B3A"/>
    <w:rsid w:val="000D458E"/>
    <w:rsid w:val="000D49A5"/>
    <w:rsid w:val="000D4F7A"/>
    <w:rsid w:val="000D57C2"/>
    <w:rsid w:val="000D6112"/>
    <w:rsid w:val="000D64EC"/>
    <w:rsid w:val="000D7019"/>
    <w:rsid w:val="000D759C"/>
    <w:rsid w:val="000D79B5"/>
    <w:rsid w:val="000D7F0C"/>
    <w:rsid w:val="000E0A9B"/>
    <w:rsid w:val="000E13B7"/>
    <w:rsid w:val="000E27DF"/>
    <w:rsid w:val="000E4869"/>
    <w:rsid w:val="000E5129"/>
    <w:rsid w:val="000E5932"/>
    <w:rsid w:val="000E5A7A"/>
    <w:rsid w:val="000E5CA3"/>
    <w:rsid w:val="000E653F"/>
    <w:rsid w:val="000E679C"/>
    <w:rsid w:val="000E7262"/>
    <w:rsid w:val="000E7958"/>
    <w:rsid w:val="000F1D3A"/>
    <w:rsid w:val="000F25BE"/>
    <w:rsid w:val="000F3B01"/>
    <w:rsid w:val="000F4142"/>
    <w:rsid w:val="000F4CA0"/>
    <w:rsid w:val="000F59FB"/>
    <w:rsid w:val="000F5B03"/>
    <w:rsid w:val="000F5EE7"/>
    <w:rsid w:val="000F5F4A"/>
    <w:rsid w:val="000F6924"/>
    <w:rsid w:val="000F7047"/>
    <w:rsid w:val="000F728B"/>
    <w:rsid w:val="00101743"/>
    <w:rsid w:val="00101D40"/>
    <w:rsid w:val="00101ECB"/>
    <w:rsid w:val="0010210B"/>
    <w:rsid w:val="00102139"/>
    <w:rsid w:val="00102533"/>
    <w:rsid w:val="00102B83"/>
    <w:rsid w:val="001035E9"/>
    <w:rsid w:val="00103B7E"/>
    <w:rsid w:val="00104387"/>
    <w:rsid w:val="00104A7D"/>
    <w:rsid w:val="0010518B"/>
    <w:rsid w:val="00105964"/>
    <w:rsid w:val="00105A5C"/>
    <w:rsid w:val="00106A73"/>
    <w:rsid w:val="00107BB6"/>
    <w:rsid w:val="0011006A"/>
    <w:rsid w:val="0011062B"/>
    <w:rsid w:val="00110BBE"/>
    <w:rsid w:val="0011192B"/>
    <w:rsid w:val="00112553"/>
    <w:rsid w:val="001128DD"/>
    <w:rsid w:val="00113294"/>
    <w:rsid w:val="0011384C"/>
    <w:rsid w:val="00113ABA"/>
    <w:rsid w:val="001154E2"/>
    <w:rsid w:val="00115AB7"/>
    <w:rsid w:val="00116250"/>
    <w:rsid w:val="00117539"/>
    <w:rsid w:val="00117ED1"/>
    <w:rsid w:val="0012038F"/>
    <w:rsid w:val="001204B6"/>
    <w:rsid w:val="001206E9"/>
    <w:rsid w:val="00120856"/>
    <w:rsid w:val="001214D5"/>
    <w:rsid w:val="001218AB"/>
    <w:rsid w:val="00121ACF"/>
    <w:rsid w:val="001225E3"/>
    <w:rsid w:val="00122AE0"/>
    <w:rsid w:val="001245CD"/>
    <w:rsid w:val="00124B72"/>
    <w:rsid w:val="00125553"/>
    <w:rsid w:val="001255B3"/>
    <w:rsid w:val="00125D29"/>
    <w:rsid w:val="00125D34"/>
    <w:rsid w:val="00126096"/>
    <w:rsid w:val="00126945"/>
    <w:rsid w:val="00126BC6"/>
    <w:rsid w:val="00127261"/>
    <w:rsid w:val="0012741F"/>
    <w:rsid w:val="0012778F"/>
    <w:rsid w:val="00127A2B"/>
    <w:rsid w:val="00130557"/>
    <w:rsid w:val="001308A8"/>
    <w:rsid w:val="001308BE"/>
    <w:rsid w:val="00130D7F"/>
    <w:rsid w:val="00130F3B"/>
    <w:rsid w:val="001312D7"/>
    <w:rsid w:val="00131B77"/>
    <w:rsid w:val="001322AC"/>
    <w:rsid w:val="00132561"/>
    <w:rsid w:val="001331AE"/>
    <w:rsid w:val="00133850"/>
    <w:rsid w:val="001338F4"/>
    <w:rsid w:val="001341A3"/>
    <w:rsid w:val="00134965"/>
    <w:rsid w:val="00134E3E"/>
    <w:rsid w:val="00135F27"/>
    <w:rsid w:val="00135FE6"/>
    <w:rsid w:val="00136850"/>
    <w:rsid w:val="00137CCA"/>
    <w:rsid w:val="0014095A"/>
    <w:rsid w:val="001410A3"/>
    <w:rsid w:val="00141B86"/>
    <w:rsid w:val="00141E6C"/>
    <w:rsid w:val="0014255E"/>
    <w:rsid w:val="0014288F"/>
    <w:rsid w:val="00142EC8"/>
    <w:rsid w:val="00145317"/>
    <w:rsid w:val="00145345"/>
    <w:rsid w:val="00145D3E"/>
    <w:rsid w:val="00145DB8"/>
    <w:rsid w:val="001468D4"/>
    <w:rsid w:val="00150738"/>
    <w:rsid w:val="00150822"/>
    <w:rsid w:val="00150F20"/>
    <w:rsid w:val="00152038"/>
    <w:rsid w:val="001520A8"/>
    <w:rsid w:val="001521F3"/>
    <w:rsid w:val="00152490"/>
    <w:rsid w:val="00153DC1"/>
    <w:rsid w:val="0015408D"/>
    <w:rsid w:val="001560E2"/>
    <w:rsid w:val="00156711"/>
    <w:rsid w:val="0015690F"/>
    <w:rsid w:val="0015710F"/>
    <w:rsid w:val="001578F3"/>
    <w:rsid w:val="0016005D"/>
    <w:rsid w:val="00160183"/>
    <w:rsid w:val="00160C6D"/>
    <w:rsid w:val="00161AA7"/>
    <w:rsid w:val="00161F08"/>
    <w:rsid w:val="00164426"/>
    <w:rsid w:val="00164D2D"/>
    <w:rsid w:val="00164E03"/>
    <w:rsid w:val="0016552F"/>
    <w:rsid w:val="00165C45"/>
    <w:rsid w:val="0016793F"/>
    <w:rsid w:val="00167DC4"/>
    <w:rsid w:val="00170232"/>
    <w:rsid w:val="001705E6"/>
    <w:rsid w:val="001708FB"/>
    <w:rsid w:val="00170E2C"/>
    <w:rsid w:val="00171919"/>
    <w:rsid w:val="0017221E"/>
    <w:rsid w:val="001728E4"/>
    <w:rsid w:val="00172BCB"/>
    <w:rsid w:val="00172CD9"/>
    <w:rsid w:val="001730C1"/>
    <w:rsid w:val="00173BB2"/>
    <w:rsid w:val="00173F22"/>
    <w:rsid w:val="00174C0C"/>
    <w:rsid w:val="00174D2F"/>
    <w:rsid w:val="0017585F"/>
    <w:rsid w:val="00177719"/>
    <w:rsid w:val="00177A3D"/>
    <w:rsid w:val="00177A47"/>
    <w:rsid w:val="00180099"/>
    <w:rsid w:val="00181080"/>
    <w:rsid w:val="00181877"/>
    <w:rsid w:val="001818CF"/>
    <w:rsid w:val="00181C0D"/>
    <w:rsid w:val="001824FB"/>
    <w:rsid w:val="00182BC9"/>
    <w:rsid w:val="0018346A"/>
    <w:rsid w:val="001837AB"/>
    <w:rsid w:val="00184063"/>
    <w:rsid w:val="00186510"/>
    <w:rsid w:val="00186595"/>
    <w:rsid w:val="00186970"/>
    <w:rsid w:val="00186F61"/>
    <w:rsid w:val="001876AE"/>
    <w:rsid w:val="00193EC8"/>
    <w:rsid w:val="0019444F"/>
    <w:rsid w:val="00195171"/>
    <w:rsid w:val="00195447"/>
    <w:rsid w:val="001959A6"/>
    <w:rsid w:val="00197A23"/>
    <w:rsid w:val="00197F64"/>
    <w:rsid w:val="001A176C"/>
    <w:rsid w:val="001A32F2"/>
    <w:rsid w:val="001A39FD"/>
    <w:rsid w:val="001A59F3"/>
    <w:rsid w:val="001A6571"/>
    <w:rsid w:val="001A6D55"/>
    <w:rsid w:val="001A6E51"/>
    <w:rsid w:val="001A758C"/>
    <w:rsid w:val="001B01B8"/>
    <w:rsid w:val="001B1242"/>
    <w:rsid w:val="001B1366"/>
    <w:rsid w:val="001B168D"/>
    <w:rsid w:val="001B2B10"/>
    <w:rsid w:val="001B3395"/>
    <w:rsid w:val="001B34F1"/>
    <w:rsid w:val="001B3EFD"/>
    <w:rsid w:val="001B4A78"/>
    <w:rsid w:val="001B4CA5"/>
    <w:rsid w:val="001B4E6C"/>
    <w:rsid w:val="001B55CD"/>
    <w:rsid w:val="001B6E35"/>
    <w:rsid w:val="001B6E49"/>
    <w:rsid w:val="001B747B"/>
    <w:rsid w:val="001C17F0"/>
    <w:rsid w:val="001C1D5F"/>
    <w:rsid w:val="001C1ED8"/>
    <w:rsid w:val="001C3B58"/>
    <w:rsid w:val="001C4415"/>
    <w:rsid w:val="001C4537"/>
    <w:rsid w:val="001C488F"/>
    <w:rsid w:val="001C5106"/>
    <w:rsid w:val="001C51A6"/>
    <w:rsid w:val="001C529B"/>
    <w:rsid w:val="001C6125"/>
    <w:rsid w:val="001C6A54"/>
    <w:rsid w:val="001C6AD5"/>
    <w:rsid w:val="001C6F4A"/>
    <w:rsid w:val="001C71C3"/>
    <w:rsid w:val="001D0525"/>
    <w:rsid w:val="001D16D0"/>
    <w:rsid w:val="001D241A"/>
    <w:rsid w:val="001D2602"/>
    <w:rsid w:val="001D32D3"/>
    <w:rsid w:val="001D3BA8"/>
    <w:rsid w:val="001D4332"/>
    <w:rsid w:val="001D4893"/>
    <w:rsid w:val="001D4C51"/>
    <w:rsid w:val="001D5193"/>
    <w:rsid w:val="001D5617"/>
    <w:rsid w:val="001D59BC"/>
    <w:rsid w:val="001D663B"/>
    <w:rsid w:val="001D6FA7"/>
    <w:rsid w:val="001D75E8"/>
    <w:rsid w:val="001D7805"/>
    <w:rsid w:val="001D7A41"/>
    <w:rsid w:val="001D7DBF"/>
    <w:rsid w:val="001E02CE"/>
    <w:rsid w:val="001E0942"/>
    <w:rsid w:val="001E2B4B"/>
    <w:rsid w:val="001E3757"/>
    <w:rsid w:val="001E3858"/>
    <w:rsid w:val="001E40F8"/>
    <w:rsid w:val="001E66CC"/>
    <w:rsid w:val="001E76ED"/>
    <w:rsid w:val="001E78A0"/>
    <w:rsid w:val="001E7AD9"/>
    <w:rsid w:val="001E7C46"/>
    <w:rsid w:val="001E7E19"/>
    <w:rsid w:val="001F039A"/>
    <w:rsid w:val="001F03CB"/>
    <w:rsid w:val="001F2364"/>
    <w:rsid w:val="001F2A24"/>
    <w:rsid w:val="001F2E49"/>
    <w:rsid w:val="001F3125"/>
    <w:rsid w:val="001F33DA"/>
    <w:rsid w:val="001F419D"/>
    <w:rsid w:val="001F4E2B"/>
    <w:rsid w:val="001F5BC1"/>
    <w:rsid w:val="001F5DB1"/>
    <w:rsid w:val="001F6C88"/>
    <w:rsid w:val="001F7F7B"/>
    <w:rsid w:val="00200BEC"/>
    <w:rsid w:val="00201903"/>
    <w:rsid w:val="00201D50"/>
    <w:rsid w:val="00204216"/>
    <w:rsid w:val="00204816"/>
    <w:rsid w:val="00204C2F"/>
    <w:rsid w:val="00204E22"/>
    <w:rsid w:val="00205147"/>
    <w:rsid w:val="00205605"/>
    <w:rsid w:val="00205D64"/>
    <w:rsid w:val="00206A8E"/>
    <w:rsid w:val="002108D3"/>
    <w:rsid w:val="002115A0"/>
    <w:rsid w:val="00211DD9"/>
    <w:rsid w:val="00212BD1"/>
    <w:rsid w:val="00213376"/>
    <w:rsid w:val="00214565"/>
    <w:rsid w:val="002145BD"/>
    <w:rsid w:val="002145BE"/>
    <w:rsid w:val="0021477F"/>
    <w:rsid w:val="00214DF1"/>
    <w:rsid w:val="00215146"/>
    <w:rsid w:val="0021583A"/>
    <w:rsid w:val="00215C9E"/>
    <w:rsid w:val="002176F5"/>
    <w:rsid w:val="00220992"/>
    <w:rsid w:val="00221271"/>
    <w:rsid w:val="002224C9"/>
    <w:rsid w:val="0022320F"/>
    <w:rsid w:val="00223781"/>
    <w:rsid w:val="0022384A"/>
    <w:rsid w:val="00224A3C"/>
    <w:rsid w:val="002252F2"/>
    <w:rsid w:val="00225970"/>
    <w:rsid w:val="00227FEE"/>
    <w:rsid w:val="0023028D"/>
    <w:rsid w:val="0023077D"/>
    <w:rsid w:val="00230E3D"/>
    <w:rsid w:val="002317F3"/>
    <w:rsid w:val="00231900"/>
    <w:rsid w:val="00232359"/>
    <w:rsid w:val="0023415A"/>
    <w:rsid w:val="0023531F"/>
    <w:rsid w:val="002356AC"/>
    <w:rsid w:val="0023577B"/>
    <w:rsid w:val="002357CB"/>
    <w:rsid w:val="00235BAE"/>
    <w:rsid w:val="002364D4"/>
    <w:rsid w:val="00236B25"/>
    <w:rsid w:val="00236B31"/>
    <w:rsid w:val="00240E13"/>
    <w:rsid w:val="0024157B"/>
    <w:rsid w:val="00241CD0"/>
    <w:rsid w:val="002425B6"/>
    <w:rsid w:val="00242CE5"/>
    <w:rsid w:val="002446AE"/>
    <w:rsid w:val="0024476A"/>
    <w:rsid w:val="00244846"/>
    <w:rsid w:val="00244D04"/>
    <w:rsid w:val="00246084"/>
    <w:rsid w:val="00247185"/>
    <w:rsid w:val="00250444"/>
    <w:rsid w:val="0025052C"/>
    <w:rsid w:val="002513F8"/>
    <w:rsid w:val="00251506"/>
    <w:rsid w:val="002515D6"/>
    <w:rsid w:val="002519DF"/>
    <w:rsid w:val="00251A4A"/>
    <w:rsid w:val="00251BB4"/>
    <w:rsid w:val="002526FD"/>
    <w:rsid w:val="00252858"/>
    <w:rsid w:val="00253F38"/>
    <w:rsid w:val="00254180"/>
    <w:rsid w:val="00254F86"/>
    <w:rsid w:val="00255362"/>
    <w:rsid w:val="00255765"/>
    <w:rsid w:val="00255B7F"/>
    <w:rsid w:val="002603A1"/>
    <w:rsid w:val="002604E4"/>
    <w:rsid w:val="00260AA6"/>
    <w:rsid w:val="00260CA9"/>
    <w:rsid w:val="00261FC5"/>
    <w:rsid w:val="00262146"/>
    <w:rsid w:val="00262184"/>
    <w:rsid w:val="0026257F"/>
    <w:rsid w:val="00262B16"/>
    <w:rsid w:val="00262BE8"/>
    <w:rsid w:val="00264A1E"/>
    <w:rsid w:val="00265B31"/>
    <w:rsid w:val="00266630"/>
    <w:rsid w:val="00267746"/>
    <w:rsid w:val="00267CD6"/>
    <w:rsid w:val="00267E3F"/>
    <w:rsid w:val="00270513"/>
    <w:rsid w:val="002706E6"/>
    <w:rsid w:val="00271188"/>
    <w:rsid w:val="002714E6"/>
    <w:rsid w:val="00271700"/>
    <w:rsid w:val="00271E1F"/>
    <w:rsid w:val="002721CB"/>
    <w:rsid w:val="00274314"/>
    <w:rsid w:val="00274CC1"/>
    <w:rsid w:val="00275256"/>
    <w:rsid w:val="00275F9B"/>
    <w:rsid w:val="00276489"/>
    <w:rsid w:val="0027693A"/>
    <w:rsid w:val="002776C7"/>
    <w:rsid w:val="00281A8D"/>
    <w:rsid w:val="002822B2"/>
    <w:rsid w:val="00283739"/>
    <w:rsid w:val="00283D5C"/>
    <w:rsid w:val="0028659D"/>
    <w:rsid w:val="002868AF"/>
    <w:rsid w:val="00286B99"/>
    <w:rsid w:val="00286CC1"/>
    <w:rsid w:val="00286E14"/>
    <w:rsid w:val="00287078"/>
    <w:rsid w:val="002873B6"/>
    <w:rsid w:val="00287B42"/>
    <w:rsid w:val="002918E0"/>
    <w:rsid w:val="0029223D"/>
    <w:rsid w:val="00292865"/>
    <w:rsid w:val="0029291A"/>
    <w:rsid w:val="00293098"/>
    <w:rsid w:val="00293828"/>
    <w:rsid w:val="00293964"/>
    <w:rsid w:val="00293A7A"/>
    <w:rsid w:val="00293C55"/>
    <w:rsid w:val="00294074"/>
    <w:rsid w:val="002947A3"/>
    <w:rsid w:val="00294ADB"/>
    <w:rsid w:val="00294B14"/>
    <w:rsid w:val="0029503B"/>
    <w:rsid w:val="0029526A"/>
    <w:rsid w:val="00295545"/>
    <w:rsid w:val="0029657E"/>
    <w:rsid w:val="002977DA"/>
    <w:rsid w:val="002A001F"/>
    <w:rsid w:val="002A033C"/>
    <w:rsid w:val="002A0A1B"/>
    <w:rsid w:val="002A0BD8"/>
    <w:rsid w:val="002A14F4"/>
    <w:rsid w:val="002A1E46"/>
    <w:rsid w:val="002A2591"/>
    <w:rsid w:val="002A339C"/>
    <w:rsid w:val="002A404B"/>
    <w:rsid w:val="002A4789"/>
    <w:rsid w:val="002A59DC"/>
    <w:rsid w:val="002A70C8"/>
    <w:rsid w:val="002A7880"/>
    <w:rsid w:val="002A7A28"/>
    <w:rsid w:val="002B0507"/>
    <w:rsid w:val="002B10C0"/>
    <w:rsid w:val="002B1267"/>
    <w:rsid w:val="002B1A64"/>
    <w:rsid w:val="002B22DF"/>
    <w:rsid w:val="002B3D39"/>
    <w:rsid w:val="002B3FBF"/>
    <w:rsid w:val="002B4470"/>
    <w:rsid w:val="002B4B1F"/>
    <w:rsid w:val="002B50FF"/>
    <w:rsid w:val="002B5239"/>
    <w:rsid w:val="002B564D"/>
    <w:rsid w:val="002B7EFC"/>
    <w:rsid w:val="002C040D"/>
    <w:rsid w:val="002C055C"/>
    <w:rsid w:val="002C0EAC"/>
    <w:rsid w:val="002C2800"/>
    <w:rsid w:val="002C3B6F"/>
    <w:rsid w:val="002C3ED1"/>
    <w:rsid w:val="002C51B8"/>
    <w:rsid w:val="002C524B"/>
    <w:rsid w:val="002C525F"/>
    <w:rsid w:val="002C5292"/>
    <w:rsid w:val="002C53C5"/>
    <w:rsid w:val="002C6073"/>
    <w:rsid w:val="002C6334"/>
    <w:rsid w:val="002C66B2"/>
    <w:rsid w:val="002C7B92"/>
    <w:rsid w:val="002D0DF4"/>
    <w:rsid w:val="002D1BA1"/>
    <w:rsid w:val="002D385F"/>
    <w:rsid w:val="002D4BFB"/>
    <w:rsid w:val="002D544D"/>
    <w:rsid w:val="002D5DA8"/>
    <w:rsid w:val="002D6696"/>
    <w:rsid w:val="002D7038"/>
    <w:rsid w:val="002D770E"/>
    <w:rsid w:val="002D788C"/>
    <w:rsid w:val="002D7945"/>
    <w:rsid w:val="002D7C9A"/>
    <w:rsid w:val="002E0AA2"/>
    <w:rsid w:val="002E1E88"/>
    <w:rsid w:val="002E2A7F"/>
    <w:rsid w:val="002E36A7"/>
    <w:rsid w:val="002E3C23"/>
    <w:rsid w:val="002E41C3"/>
    <w:rsid w:val="002E4B2E"/>
    <w:rsid w:val="002E4E29"/>
    <w:rsid w:val="002E79E4"/>
    <w:rsid w:val="002E7CA7"/>
    <w:rsid w:val="002E7CD1"/>
    <w:rsid w:val="002F00E1"/>
    <w:rsid w:val="002F0CBE"/>
    <w:rsid w:val="002F1446"/>
    <w:rsid w:val="002F23BC"/>
    <w:rsid w:val="002F29C8"/>
    <w:rsid w:val="002F2CCB"/>
    <w:rsid w:val="002F31F5"/>
    <w:rsid w:val="002F329B"/>
    <w:rsid w:val="002F4F15"/>
    <w:rsid w:val="002F5043"/>
    <w:rsid w:val="002F5C69"/>
    <w:rsid w:val="002F6B11"/>
    <w:rsid w:val="002F6B78"/>
    <w:rsid w:val="002F731C"/>
    <w:rsid w:val="002F78B7"/>
    <w:rsid w:val="0030008A"/>
    <w:rsid w:val="003004F4"/>
    <w:rsid w:val="00300C33"/>
    <w:rsid w:val="00300E8E"/>
    <w:rsid w:val="00301A3E"/>
    <w:rsid w:val="00301FB4"/>
    <w:rsid w:val="0030273E"/>
    <w:rsid w:val="003035DE"/>
    <w:rsid w:val="00303D1B"/>
    <w:rsid w:val="00304163"/>
    <w:rsid w:val="00305D6C"/>
    <w:rsid w:val="00305E92"/>
    <w:rsid w:val="003063FF"/>
    <w:rsid w:val="00306A4F"/>
    <w:rsid w:val="00307462"/>
    <w:rsid w:val="0031004E"/>
    <w:rsid w:val="00310155"/>
    <w:rsid w:val="00311621"/>
    <w:rsid w:val="00312698"/>
    <w:rsid w:val="00312D6F"/>
    <w:rsid w:val="00313EDE"/>
    <w:rsid w:val="0031409E"/>
    <w:rsid w:val="00314C49"/>
    <w:rsid w:val="00315113"/>
    <w:rsid w:val="0031519D"/>
    <w:rsid w:val="00315218"/>
    <w:rsid w:val="003153DC"/>
    <w:rsid w:val="0031543D"/>
    <w:rsid w:val="00315F88"/>
    <w:rsid w:val="0031609F"/>
    <w:rsid w:val="003168B8"/>
    <w:rsid w:val="00316EF9"/>
    <w:rsid w:val="003171BE"/>
    <w:rsid w:val="00317438"/>
    <w:rsid w:val="00317E4C"/>
    <w:rsid w:val="00320706"/>
    <w:rsid w:val="003209C8"/>
    <w:rsid w:val="00321168"/>
    <w:rsid w:val="00321C8B"/>
    <w:rsid w:val="00322408"/>
    <w:rsid w:val="003225C9"/>
    <w:rsid w:val="00322625"/>
    <w:rsid w:val="0032376C"/>
    <w:rsid w:val="003242D3"/>
    <w:rsid w:val="003243E4"/>
    <w:rsid w:val="00324518"/>
    <w:rsid w:val="0032499B"/>
    <w:rsid w:val="00324D56"/>
    <w:rsid w:val="00324DB7"/>
    <w:rsid w:val="00325837"/>
    <w:rsid w:val="00325AE3"/>
    <w:rsid w:val="003263FB"/>
    <w:rsid w:val="00326B67"/>
    <w:rsid w:val="00327090"/>
    <w:rsid w:val="003275F6"/>
    <w:rsid w:val="00327631"/>
    <w:rsid w:val="00327DA2"/>
    <w:rsid w:val="00327FF3"/>
    <w:rsid w:val="003301EB"/>
    <w:rsid w:val="00330BFB"/>
    <w:rsid w:val="00331614"/>
    <w:rsid w:val="003316F4"/>
    <w:rsid w:val="003324F0"/>
    <w:rsid w:val="00332918"/>
    <w:rsid w:val="003329F1"/>
    <w:rsid w:val="00333B8D"/>
    <w:rsid w:val="00334941"/>
    <w:rsid w:val="00334D10"/>
    <w:rsid w:val="003368C2"/>
    <w:rsid w:val="00336CFB"/>
    <w:rsid w:val="00337736"/>
    <w:rsid w:val="00340137"/>
    <w:rsid w:val="00341DA2"/>
    <w:rsid w:val="00341E0B"/>
    <w:rsid w:val="00342389"/>
    <w:rsid w:val="00342658"/>
    <w:rsid w:val="003433E2"/>
    <w:rsid w:val="00344BFB"/>
    <w:rsid w:val="00345267"/>
    <w:rsid w:val="003455C3"/>
    <w:rsid w:val="00346753"/>
    <w:rsid w:val="00347856"/>
    <w:rsid w:val="00347FA0"/>
    <w:rsid w:val="00350B8A"/>
    <w:rsid w:val="003510DB"/>
    <w:rsid w:val="003527F1"/>
    <w:rsid w:val="00353638"/>
    <w:rsid w:val="00353EC2"/>
    <w:rsid w:val="00354A01"/>
    <w:rsid w:val="0035513C"/>
    <w:rsid w:val="0035658F"/>
    <w:rsid w:val="00356986"/>
    <w:rsid w:val="003573FA"/>
    <w:rsid w:val="0035751A"/>
    <w:rsid w:val="0036022B"/>
    <w:rsid w:val="00361A54"/>
    <w:rsid w:val="00361AB0"/>
    <w:rsid w:val="003641C2"/>
    <w:rsid w:val="003641E8"/>
    <w:rsid w:val="00364E63"/>
    <w:rsid w:val="0036549B"/>
    <w:rsid w:val="0036571A"/>
    <w:rsid w:val="00365BD0"/>
    <w:rsid w:val="00365CA1"/>
    <w:rsid w:val="003661D9"/>
    <w:rsid w:val="0036738B"/>
    <w:rsid w:val="00367A34"/>
    <w:rsid w:val="003707E6"/>
    <w:rsid w:val="00370AAC"/>
    <w:rsid w:val="00372594"/>
    <w:rsid w:val="0037295B"/>
    <w:rsid w:val="00373122"/>
    <w:rsid w:val="003733B0"/>
    <w:rsid w:val="00373923"/>
    <w:rsid w:val="003740AD"/>
    <w:rsid w:val="00374F8C"/>
    <w:rsid w:val="00374FCD"/>
    <w:rsid w:val="00375382"/>
    <w:rsid w:val="003754BC"/>
    <w:rsid w:val="00375ADC"/>
    <w:rsid w:val="00376A96"/>
    <w:rsid w:val="00376DB4"/>
    <w:rsid w:val="00376E01"/>
    <w:rsid w:val="00377524"/>
    <w:rsid w:val="00377978"/>
    <w:rsid w:val="003804A4"/>
    <w:rsid w:val="00380BF9"/>
    <w:rsid w:val="00381AD2"/>
    <w:rsid w:val="00382E34"/>
    <w:rsid w:val="00383321"/>
    <w:rsid w:val="00383346"/>
    <w:rsid w:val="003838FA"/>
    <w:rsid w:val="003853E9"/>
    <w:rsid w:val="003861AE"/>
    <w:rsid w:val="00387D9B"/>
    <w:rsid w:val="00390232"/>
    <w:rsid w:val="003902C4"/>
    <w:rsid w:val="00390501"/>
    <w:rsid w:val="00391067"/>
    <w:rsid w:val="003913E9"/>
    <w:rsid w:val="003914B3"/>
    <w:rsid w:val="00391FBB"/>
    <w:rsid w:val="003922EF"/>
    <w:rsid w:val="00392987"/>
    <w:rsid w:val="00392A8B"/>
    <w:rsid w:val="00392FBA"/>
    <w:rsid w:val="00393206"/>
    <w:rsid w:val="00393A3F"/>
    <w:rsid w:val="00393B46"/>
    <w:rsid w:val="003951B1"/>
    <w:rsid w:val="00395645"/>
    <w:rsid w:val="003A058D"/>
    <w:rsid w:val="003A0673"/>
    <w:rsid w:val="003A08AD"/>
    <w:rsid w:val="003A1AFF"/>
    <w:rsid w:val="003A2107"/>
    <w:rsid w:val="003A530F"/>
    <w:rsid w:val="003A56E6"/>
    <w:rsid w:val="003A6328"/>
    <w:rsid w:val="003A66E7"/>
    <w:rsid w:val="003A6966"/>
    <w:rsid w:val="003A71DE"/>
    <w:rsid w:val="003B0AE7"/>
    <w:rsid w:val="003B212D"/>
    <w:rsid w:val="003B3341"/>
    <w:rsid w:val="003B36CC"/>
    <w:rsid w:val="003B36EE"/>
    <w:rsid w:val="003B393A"/>
    <w:rsid w:val="003B3B99"/>
    <w:rsid w:val="003B3F27"/>
    <w:rsid w:val="003B47BB"/>
    <w:rsid w:val="003B5DE3"/>
    <w:rsid w:val="003B72BE"/>
    <w:rsid w:val="003B7649"/>
    <w:rsid w:val="003C00F0"/>
    <w:rsid w:val="003C0A28"/>
    <w:rsid w:val="003C1B2D"/>
    <w:rsid w:val="003C1C9E"/>
    <w:rsid w:val="003C3554"/>
    <w:rsid w:val="003C3717"/>
    <w:rsid w:val="003C50D9"/>
    <w:rsid w:val="003C5712"/>
    <w:rsid w:val="003C5775"/>
    <w:rsid w:val="003C5933"/>
    <w:rsid w:val="003C6370"/>
    <w:rsid w:val="003C641D"/>
    <w:rsid w:val="003C661B"/>
    <w:rsid w:val="003C677C"/>
    <w:rsid w:val="003C6A02"/>
    <w:rsid w:val="003C6F2E"/>
    <w:rsid w:val="003C75A4"/>
    <w:rsid w:val="003C7990"/>
    <w:rsid w:val="003C7F33"/>
    <w:rsid w:val="003D01D6"/>
    <w:rsid w:val="003D0374"/>
    <w:rsid w:val="003D05E4"/>
    <w:rsid w:val="003D064A"/>
    <w:rsid w:val="003D139B"/>
    <w:rsid w:val="003D1742"/>
    <w:rsid w:val="003D2950"/>
    <w:rsid w:val="003D3125"/>
    <w:rsid w:val="003D406D"/>
    <w:rsid w:val="003D4266"/>
    <w:rsid w:val="003D4478"/>
    <w:rsid w:val="003D4FDA"/>
    <w:rsid w:val="003D5222"/>
    <w:rsid w:val="003D581F"/>
    <w:rsid w:val="003D5842"/>
    <w:rsid w:val="003D67E2"/>
    <w:rsid w:val="003D7D08"/>
    <w:rsid w:val="003E033A"/>
    <w:rsid w:val="003E06FC"/>
    <w:rsid w:val="003E23F7"/>
    <w:rsid w:val="003E2717"/>
    <w:rsid w:val="003E28E6"/>
    <w:rsid w:val="003E2C0A"/>
    <w:rsid w:val="003E358A"/>
    <w:rsid w:val="003E4553"/>
    <w:rsid w:val="003E4CC6"/>
    <w:rsid w:val="003E54B0"/>
    <w:rsid w:val="003E54CE"/>
    <w:rsid w:val="003E6DE1"/>
    <w:rsid w:val="003F002B"/>
    <w:rsid w:val="003F10D5"/>
    <w:rsid w:val="003F273C"/>
    <w:rsid w:val="003F299D"/>
    <w:rsid w:val="003F35E3"/>
    <w:rsid w:val="003F36C4"/>
    <w:rsid w:val="003F41EB"/>
    <w:rsid w:val="003F6067"/>
    <w:rsid w:val="003F6CB0"/>
    <w:rsid w:val="003F7ADB"/>
    <w:rsid w:val="003F7FDC"/>
    <w:rsid w:val="00400277"/>
    <w:rsid w:val="004002E6"/>
    <w:rsid w:val="004013D2"/>
    <w:rsid w:val="00401BA0"/>
    <w:rsid w:val="00402115"/>
    <w:rsid w:val="00402C6B"/>
    <w:rsid w:val="00402E99"/>
    <w:rsid w:val="00403196"/>
    <w:rsid w:val="0040328E"/>
    <w:rsid w:val="00405D94"/>
    <w:rsid w:val="00405DDB"/>
    <w:rsid w:val="00406CBB"/>
    <w:rsid w:val="004073F0"/>
    <w:rsid w:val="00407913"/>
    <w:rsid w:val="00407F58"/>
    <w:rsid w:val="00410683"/>
    <w:rsid w:val="00410F3E"/>
    <w:rsid w:val="004118AB"/>
    <w:rsid w:val="00411975"/>
    <w:rsid w:val="00411DE0"/>
    <w:rsid w:val="00412599"/>
    <w:rsid w:val="00413A40"/>
    <w:rsid w:val="004149AE"/>
    <w:rsid w:val="00415010"/>
    <w:rsid w:val="00415C24"/>
    <w:rsid w:val="004163E4"/>
    <w:rsid w:val="004168E6"/>
    <w:rsid w:val="00416989"/>
    <w:rsid w:val="00416FD1"/>
    <w:rsid w:val="004222C7"/>
    <w:rsid w:val="00423832"/>
    <w:rsid w:val="00425649"/>
    <w:rsid w:val="00426027"/>
    <w:rsid w:val="0042619F"/>
    <w:rsid w:val="00427838"/>
    <w:rsid w:val="00427AC2"/>
    <w:rsid w:val="004300EA"/>
    <w:rsid w:val="004321AB"/>
    <w:rsid w:val="00433DB7"/>
    <w:rsid w:val="0043428A"/>
    <w:rsid w:val="0043473C"/>
    <w:rsid w:val="004354AE"/>
    <w:rsid w:val="004354C8"/>
    <w:rsid w:val="004355AD"/>
    <w:rsid w:val="0043592C"/>
    <w:rsid w:val="00436131"/>
    <w:rsid w:val="00437149"/>
    <w:rsid w:val="004372E7"/>
    <w:rsid w:val="0044012E"/>
    <w:rsid w:val="0044113A"/>
    <w:rsid w:val="00441A81"/>
    <w:rsid w:val="00442CD9"/>
    <w:rsid w:val="004447F7"/>
    <w:rsid w:val="00445D95"/>
    <w:rsid w:val="004460CC"/>
    <w:rsid w:val="00446B53"/>
    <w:rsid w:val="00447A05"/>
    <w:rsid w:val="00450029"/>
    <w:rsid w:val="00450E35"/>
    <w:rsid w:val="00451075"/>
    <w:rsid w:val="0045231D"/>
    <w:rsid w:val="00452589"/>
    <w:rsid w:val="004526F5"/>
    <w:rsid w:val="004526FC"/>
    <w:rsid w:val="00453FB9"/>
    <w:rsid w:val="00453FF8"/>
    <w:rsid w:val="0045484D"/>
    <w:rsid w:val="00454856"/>
    <w:rsid w:val="00454D22"/>
    <w:rsid w:val="00454FB0"/>
    <w:rsid w:val="004569D3"/>
    <w:rsid w:val="00457730"/>
    <w:rsid w:val="00457F21"/>
    <w:rsid w:val="00460293"/>
    <w:rsid w:val="00460635"/>
    <w:rsid w:val="00460E35"/>
    <w:rsid w:val="00461469"/>
    <w:rsid w:val="00461E89"/>
    <w:rsid w:val="00461EFE"/>
    <w:rsid w:val="0046316E"/>
    <w:rsid w:val="004632A3"/>
    <w:rsid w:val="00463708"/>
    <w:rsid w:val="00464497"/>
    <w:rsid w:val="0046489E"/>
    <w:rsid w:val="00465D77"/>
    <w:rsid w:val="00466332"/>
    <w:rsid w:val="00466778"/>
    <w:rsid w:val="00466A7E"/>
    <w:rsid w:val="004674FB"/>
    <w:rsid w:val="004676D1"/>
    <w:rsid w:val="004677FA"/>
    <w:rsid w:val="004707D1"/>
    <w:rsid w:val="00470ADC"/>
    <w:rsid w:val="004710CA"/>
    <w:rsid w:val="004716CF"/>
    <w:rsid w:val="00472986"/>
    <w:rsid w:val="004736D1"/>
    <w:rsid w:val="0047373D"/>
    <w:rsid w:val="00473FAE"/>
    <w:rsid w:val="0047455E"/>
    <w:rsid w:val="0047490E"/>
    <w:rsid w:val="004757FC"/>
    <w:rsid w:val="004766A7"/>
    <w:rsid w:val="00476769"/>
    <w:rsid w:val="00480021"/>
    <w:rsid w:val="00480685"/>
    <w:rsid w:val="0048159D"/>
    <w:rsid w:val="00482142"/>
    <w:rsid w:val="0048287B"/>
    <w:rsid w:val="00483491"/>
    <w:rsid w:val="00483FDD"/>
    <w:rsid w:val="00484878"/>
    <w:rsid w:val="00484F56"/>
    <w:rsid w:val="004855C9"/>
    <w:rsid w:val="004861F4"/>
    <w:rsid w:val="004901F6"/>
    <w:rsid w:val="004909FE"/>
    <w:rsid w:val="00490FA0"/>
    <w:rsid w:val="0049154D"/>
    <w:rsid w:val="00491905"/>
    <w:rsid w:val="00492278"/>
    <w:rsid w:val="00492AD6"/>
    <w:rsid w:val="00493A03"/>
    <w:rsid w:val="004945DF"/>
    <w:rsid w:val="0049524F"/>
    <w:rsid w:val="004957B4"/>
    <w:rsid w:val="00496C24"/>
    <w:rsid w:val="004974DC"/>
    <w:rsid w:val="004A01F4"/>
    <w:rsid w:val="004A0324"/>
    <w:rsid w:val="004A0CF8"/>
    <w:rsid w:val="004A18F0"/>
    <w:rsid w:val="004A5583"/>
    <w:rsid w:val="004A5A2D"/>
    <w:rsid w:val="004A607A"/>
    <w:rsid w:val="004A6F96"/>
    <w:rsid w:val="004A70C3"/>
    <w:rsid w:val="004A778D"/>
    <w:rsid w:val="004A7A6A"/>
    <w:rsid w:val="004A7E6D"/>
    <w:rsid w:val="004B03AC"/>
    <w:rsid w:val="004B0531"/>
    <w:rsid w:val="004B1126"/>
    <w:rsid w:val="004B1E95"/>
    <w:rsid w:val="004B226E"/>
    <w:rsid w:val="004B3298"/>
    <w:rsid w:val="004B3D43"/>
    <w:rsid w:val="004B42E4"/>
    <w:rsid w:val="004B7142"/>
    <w:rsid w:val="004C02C3"/>
    <w:rsid w:val="004C0BAE"/>
    <w:rsid w:val="004C1190"/>
    <w:rsid w:val="004C2368"/>
    <w:rsid w:val="004C26E9"/>
    <w:rsid w:val="004C2C2E"/>
    <w:rsid w:val="004C494E"/>
    <w:rsid w:val="004C4E7F"/>
    <w:rsid w:val="004C5C59"/>
    <w:rsid w:val="004C5E0B"/>
    <w:rsid w:val="004C624B"/>
    <w:rsid w:val="004C6E64"/>
    <w:rsid w:val="004C71DC"/>
    <w:rsid w:val="004D00F7"/>
    <w:rsid w:val="004D1639"/>
    <w:rsid w:val="004D1D46"/>
    <w:rsid w:val="004D21D1"/>
    <w:rsid w:val="004D24B8"/>
    <w:rsid w:val="004D29C5"/>
    <w:rsid w:val="004D3335"/>
    <w:rsid w:val="004D34B1"/>
    <w:rsid w:val="004D357A"/>
    <w:rsid w:val="004D39E4"/>
    <w:rsid w:val="004D613F"/>
    <w:rsid w:val="004D616B"/>
    <w:rsid w:val="004D6730"/>
    <w:rsid w:val="004D72C5"/>
    <w:rsid w:val="004D72E6"/>
    <w:rsid w:val="004D7311"/>
    <w:rsid w:val="004D78E1"/>
    <w:rsid w:val="004E0441"/>
    <w:rsid w:val="004E0D8A"/>
    <w:rsid w:val="004E1F1E"/>
    <w:rsid w:val="004E2615"/>
    <w:rsid w:val="004E2CE1"/>
    <w:rsid w:val="004E453C"/>
    <w:rsid w:val="004E489F"/>
    <w:rsid w:val="004E6030"/>
    <w:rsid w:val="004E6DD7"/>
    <w:rsid w:val="004E73DD"/>
    <w:rsid w:val="004F34D9"/>
    <w:rsid w:val="004F3BEE"/>
    <w:rsid w:val="004F3F3D"/>
    <w:rsid w:val="004F4242"/>
    <w:rsid w:val="004F624A"/>
    <w:rsid w:val="004F63FF"/>
    <w:rsid w:val="004F648B"/>
    <w:rsid w:val="004F6720"/>
    <w:rsid w:val="004F7954"/>
    <w:rsid w:val="004F7B8D"/>
    <w:rsid w:val="00500B77"/>
    <w:rsid w:val="00501A9E"/>
    <w:rsid w:val="00501E5D"/>
    <w:rsid w:val="0050206F"/>
    <w:rsid w:val="0050261F"/>
    <w:rsid w:val="00503102"/>
    <w:rsid w:val="00503401"/>
    <w:rsid w:val="00503527"/>
    <w:rsid w:val="0050352D"/>
    <w:rsid w:val="00504274"/>
    <w:rsid w:val="00504F1F"/>
    <w:rsid w:val="00505345"/>
    <w:rsid w:val="005056F4"/>
    <w:rsid w:val="00505EA7"/>
    <w:rsid w:val="0050645B"/>
    <w:rsid w:val="005068B9"/>
    <w:rsid w:val="005117C0"/>
    <w:rsid w:val="00512365"/>
    <w:rsid w:val="005126D7"/>
    <w:rsid w:val="00513D49"/>
    <w:rsid w:val="005142E4"/>
    <w:rsid w:val="00516401"/>
    <w:rsid w:val="005200E3"/>
    <w:rsid w:val="00520326"/>
    <w:rsid w:val="00520B4A"/>
    <w:rsid w:val="00520C7C"/>
    <w:rsid w:val="00520FBF"/>
    <w:rsid w:val="00521A80"/>
    <w:rsid w:val="00521B56"/>
    <w:rsid w:val="00521F73"/>
    <w:rsid w:val="00522F81"/>
    <w:rsid w:val="00523108"/>
    <w:rsid w:val="00523488"/>
    <w:rsid w:val="00523720"/>
    <w:rsid w:val="00523ABD"/>
    <w:rsid w:val="00523CA6"/>
    <w:rsid w:val="00523EA7"/>
    <w:rsid w:val="0052413B"/>
    <w:rsid w:val="005243C3"/>
    <w:rsid w:val="00524F30"/>
    <w:rsid w:val="00526DDD"/>
    <w:rsid w:val="00526E03"/>
    <w:rsid w:val="0052734D"/>
    <w:rsid w:val="005277DC"/>
    <w:rsid w:val="0052798A"/>
    <w:rsid w:val="005302F3"/>
    <w:rsid w:val="005311DB"/>
    <w:rsid w:val="00532B59"/>
    <w:rsid w:val="00532BDD"/>
    <w:rsid w:val="005333D2"/>
    <w:rsid w:val="00533516"/>
    <w:rsid w:val="005337E5"/>
    <w:rsid w:val="0053404D"/>
    <w:rsid w:val="00534340"/>
    <w:rsid w:val="00534371"/>
    <w:rsid w:val="00535610"/>
    <w:rsid w:val="0054002E"/>
    <w:rsid w:val="00540F2B"/>
    <w:rsid w:val="00541B7D"/>
    <w:rsid w:val="005432FD"/>
    <w:rsid w:val="005433BE"/>
    <w:rsid w:val="005434FC"/>
    <w:rsid w:val="00545782"/>
    <w:rsid w:val="00545F8D"/>
    <w:rsid w:val="005469F1"/>
    <w:rsid w:val="005476A3"/>
    <w:rsid w:val="00551237"/>
    <w:rsid w:val="00551B69"/>
    <w:rsid w:val="0055268F"/>
    <w:rsid w:val="0055290E"/>
    <w:rsid w:val="00554753"/>
    <w:rsid w:val="00554C61"/>
    <w:rsid w:val="00556A49"/>
    <w:rsid w:val="0056057D"/>
    <w:rsid w:val="00560ED6"/>
    <w:rsid w:val="00561877"/>
    <w:rsid w:val="005627FD"/>
    <w:rsid w:val="00562BEE"/>
    <w:rsid w:val="00563309"/>
    <w:rsid w:val="00563C2D"/>
    <w:rsid w:val="00563D3F"/>
    <w:rsid w:val="00564875"/>
    <w:rsid w:val="0056532D"/>
    <w:rsid w:val="00565ED6"/>
    <w:rsid w:val="00565F0E"/>
    <w:rsid w:val="00566167"/>
    <w:rsid w:val="0056655F"/>
    <w:rsid w:val="0056732F"/>
    <w:rsid w:val="00567B56"/>
    <w:rsid w:val="00567C3D"/>
    <w:rsid w:val="00570516"/>
    <w:rsid w:val="00570E02"/>
    <w:rsid w:val="00570FA9"/>
    <w:rsid w:val="0057135A"/>
    <w:rsid w:val="00572910"/>
    <w:rsid w:val="00572D92"/>
    <w:rsid w:val="0057323F"/>
    <w:rsid w:val="005747AD"/>
    <w:rsid w:val="00576CF4"/>
    <w:rsid w:val="00577BE8"/>
    <w:rsid w:val="0058046F"/>
    <w:rsid w:val="00581E78"/>
    <w:rsid w:val="005821BE"/>
    <w:rsid w:val="005826EB"/>
    <w:rsid w:val="00582C83"/>
    <w:rsid w:val="005836F2"/>
    <w:rsid w:val="00583731"/>
    <w:rsid w:val="00583BCB"/>
    <w:rsid w:val="00584F4F"/>
    <w:rsid w:val="0058518B"/>
    <w:rsid w:val="005862A6"/>
    <w:rsid w:val="00586A5B"/>
    <w:rsid w:val="00586FE0"/>
    <w:rsid w:val="005870A1"/>
    <w:rsid w:val="005903B0"/>
    <w:rsid w:val="00590721"/>
    <w:rsid w:val="00590FC6"/>
    <w:rsid w:val="0059326C"/>
    <w:rsid w:val="00593509"/>
    <w:rsid w:val="00593641"/>
    <w:rsid w:val="00593935"/>
    <w:rsid w:val="00594708"/>
    <w:rsid w:val="00595D43"/>
    <w:rsid w:val="005962D1"/>
    <w:rsid w:val="005979ED"/>
    <w:rsid w:val="005A14EC"/>
    <w:rsid w:val="005A2745"/>
    <w:rsid w:val="005A45EB"/>
    <w:rsid w:val="005A4BB8"/>
    <w:rsid w:val="005A501D"/>
    <w:rsid w:val="005A54DB"/>
    <w:rsid w:val="005A6078"/>
    <w:rsid w:val="005A6A2E"/>
    <w:rsid w:val="005A7B88"/>
    <w:rsid w:val="005B05C2"/>
    <w:rsid w:val="005B0C86"/>
    <w:rsid w:val="005B10FA"/>
    <w:rsid w:val="005B1AAD"/>
    <w:rsid w:val="005B307F"/>
    <w:rsid w:val="005B40DA"/>
    <w:rsid w:val="005B44BD"/>
    <w:rsid w:val="005B5554"/>
    <w:rsid w:val="005B5A35"/>
    <w:rsid w:val="005B6835"/>
    <w:rsid w:val="005B6948"/>
    <w:rsid w:val="005B69D5"/>
    <w:rsid w:val="005B6D5E"/>
    <w:rsid w:val="005B6E39"/>
    <w:rsid w:val="005B7353"/>
    <w:rsid w:val="005B7C9D"/>
    <w:rsid w:val="005C0608"/>
    <w:rsid w:val="005C109D"/>
    <w:rsid w:val="005C14C9"/>
    <w:rsid w:val="005C1B48"/>
    <w:rsid w:val="005C29F8"/>
    <w:rsid w:val="005C2E42"/>
    <w:rsid w:val="005C2F52"/>
    <w:rsid w:val="005C3228"/>
    <w:rsid w:val="005C38BA"/>
    <w:rsid w:val="005C4DDD"/>
    <w:rsid w:val="005C4FE4"/>
    <w:rsid w:val="005C5D4D"/>
    <w:rsid w:val="005C61B9"/>
    <w:rsid w:val="005D1381"/>
    <w:rsid w:val="005D2812"/>
    <w:rsid w:val="005D35E6"/>
    <w:rsid w:val="005D46F0"/>
    <w:rsid w:val="005D53E5"/>
    <w:rsid w:val="005D59F6"/>
    <w:rsid w:val="005D5A44"/>
    <w:rsid w:val="005D5FE5"/>
    <w:rsid w:val="005D644C"/>
    <w:rsid w:val="005E081B"/>
    <w:rsid w:val="005E13B3"/>
    <w:rsid w:val="005E1531"/>
    <w:rsid w:val="005E192D"/>
    <w:rsid w:val="005E21AB"/>
    <w:rsid w:val="005E2A9E"/>
    <w:rsid w:val="005E2B9F"/>
    <w:rsid w:val="005E3F3F"/>
    <w:rsid w:val="005E3FFC"/>
    <w:rsid w:val="005E4270"/>
    <w:rsid w:val="005E42E6"/>
    <w:rsid w:val="005E5307"/>
    <w:rsid w:val="005E6A17"/>
    <w:rsid w:val="005E745E"/>
    <w:rsid w:val="005E76F2"/>
    <w:rsid w:val="005F020D"/>
    <w:rsid w:val="005F068A"/>
    <w:rsid w:val="005F0CEA"/>
    <w:rsid w:val="005F0D7F"/>
    <w:rsid w:val="005F1A34"/>
    <w:rsid w:val="005F2810"/>
    <w:rsid w:val="005F384D"/>
    <w:rsid w:val="005F3B80"/>
    <w:rsid w:val="005F4A7E"/>
    <w:rsid w:val="005F563A"/>
    <w:rsid w:val="005F56E4"/>
    <w:rsid w:val="005F69E4"/>
    <w:rsid w:val="005F6EE4"/>
    <w:rsid w:val="005F70B6"/>
    <w:rsid w:val="005F74D7"/>
    <w:rsid w:val="00600EE1"/>
    <w:rsid w:val="006015E8"/>
    <w:rsid w:val="006018E9"/>
    <w:rsid w:val="00602256"/>
    <w:rsid w:val="00602A83"/>
    <w:rsid w:val="00602E14"/>
    <w:rsid w:val="00603145"/>
    <w:rsid w:val="00603401"/>
    <w:rsid w:val="00604F5D"/>
    <w:rsid w:val="00604FA4"/>
    <w:rsid w:val="00605F78"/>
    <w:rsid w:val="00606689"/>
    <w:rsid w:val="00607575"/>
    <w:rsid w:val="00607ABE"/>
    <w:rsid w:val="00610371"/>
    <w:rsid w:val="006115F7"/>
    <w:rsid w:val="00611F2B"/>
    <w:rsid w:val="006125A1"/>
    <w:rsid w:val="0061278A"/>
    <w:rsid w:val="006133E9"/>
    <w:rsid w:val="0061390E"/>
    <w:rsid w:val="00614C4E"/>
    <w:rsid w:val="00615F1F"/>
    <w:rsid w:val="0061664D"/>
    <w:rsid w:val="00616B16"/>
    <w:rsid w:val="006171ED"/>
    <w:rsid w:val="006174D5"/>
    <w:rsid w:val="00621B80"/>
    <w:rsid w:val="006227A1"/>
    <w:rsid w:val="00623073"/>
    <w:rsid w:val="00623B9C"/>
    <w:rsid w:val="00625351"/>
    <w:rsid w:val="00626619"/>
    <w:rsid w:val="00627B67"/>
    <w:rsid w:val="00630651"/>
    <w:rsid w:val="00630BEA"/>
    <w:rsid w:val="00630E2B"/>
    <w:rsid w:val="00632863"/>
    <w:rsid w:val="00632C7E"/>
    <w:rsid w:val="006342A8"/>
    <w:rsid w:val="00635CA4"/>
    <w:rsid w:val="00635FAC"/>
    <w:rsid w:val="00636608"/>
    <w:rsid w:val="0063699E"/>
    <w:rsid w:val="00637299"/>
    <w:rsid w:val="00640794"/>
    <w:rsid w:val="00640C5B"/>
    <w:rsid w:val="00640DF0"/>
    <w:rsid w:val="00642184"/>
    <w:rsid w:val="00643C8D"/>
    <w:rsid w:val="00643D4D"/>
    <w:rsid w:val="006440A1"/>
    <w:rsid w:val="0064440B"/>
    <w:rsid w:val="00644BF4"/>
    <w:rsid w:val="00651493"/>
    <w:rsid w:val="00651CFB"/>
    <w:rsid w:val="00652068"/>
    <w:rsid w:val="00653ED9"/>
    <w:rsid w:val="0065404F"/>
    <w:rsid w:val="00655615"/>
    <w:rsid w:val="0065564F"/>
    <w:rsid w:val="006565FE"/>
    <w:rsid w:val="00656643"/>
    <w:rsid w:val="0065718D"/>
    <w:rsid w:val="006575A5"/>
    <w:rsid w:val="00660CAA"/>
    <w:rsid w:val="00660F62"/>
    <w:rsid w:val="00660F7B"/>
    <w:rsid w:val="006615F4"/>
    <w:rsid w:val="006622A1"/>
    <w:rsid w:val="006628E5"/>
    <w:rsid w:val="00662D90"/>
    <w:rsid w:val="0066514C"/>
    <w:rsid w:val="00665E77"/>
    <w:rsid w:val="00666284"/>
    <w:rsid w:val="006667AE"/>
    <w:rsid w:val="00666D25"/>
    <w:rsid w:val="006675E3"/>
    <w:rsid w:val="006702D3"/>
    <w:rsid w:val="00670ABE"/>
    <w:rsid w:val="00671718"/>
    <w:rsid w:val="00671ACD"/>
    <w:rsid w:val="00671D69"/>
    <w:rsid w:val="00672264"/>
    <w:rsid w:val="0067357C"/>
    <w:rsid w:val="00675A66"/>
    <w:rsid w:val="006769A8"/>
    <w:rsid w:val="00677C26"/>
    <w:rsid w:val="00677CB0"/>
    <w:rsid w:val="00680048"/>
    <w:rsid w:val="006800B4"/>
    <w:rsid w:val="0068107B"/>
    <w:rsid w:val="00681432"/>
    <w:rsid w:val="006817FE"/>
    <w:rsid w:val="00681A00"/>
    <w:rsid w:val="006822D6"/>
    <w:rsid w:val="00682866"/>
    <w:rsid w:val="00682942"/>
    <w:rsid w:val="0068441F"/>
    <w:rsid w:val="00684AEB"/>
    <w:rsid w:val="006851E3"/>
    <w:rsid w:val="00686C7A"/>
    <w:rsid w:val="00687131"/>
    <w:rsid w:val="00687EAE"/>
    <w:rsid w:val="0069136B"/>
    <w:rsid w:val="006914E0"/>
    <w:rsid w:val="00691750"/>
    <w:rsid w:val="00691958"/>
    <w:rsid w:val="006924B0"/>
    <w:rsid w:val="0069266A"/>
    <w:rsid w:val="00692AD0"/>
    <w:rsid w:val="00693E99"/>
    <w:rsid w:val="00696155"/>
    <w:rsid w:val="00697B2D"/>
    <w:rsid w:val="00697DDC"/>
    <w:rsid w:val="006A0C72"/>
    <w:rsid w:val="006A172A"/>
    <w:rsid w:val="006A18F9"/>
    <w:rsid w:val="006A1982"/>
    <w:rsid w:val="006A1E56"/>
    <w:rsid w:val="006A2559"/>
    <w:rsid w:val="006A3199"/>
    <w:rsid w:val="006A3AD3"/>
    <w:rsid w:val="006A49F0"/>
    <w:rsid w:val="006A5769"/>
    <w:rsid w:val="006A589C"/>
    <w:rsid w:val="006A7435"/>
    <w:rsid w:val="006A754C"/>
    <w:rsid w:val="006A79F9"/>
    <w:rsid w:val="006B0105"/>
    <w:rsid w:val="006B0488"/>
    <w:rsid w:val="006B0D5F"/>
    <w:rsid w:val="006B0D9C"/>
    <w:rsid w:val="006B0ED4"/>
    <w:rsid w:val="006B12A1"/>
    <w:rsid w:val="006B1358"/>
    <w:rsid w:val="006B1558"/>
    <w:rsid w:val="006B270E"/>
    <w:rsid w:val="006B270F"/>
    <w:rsid w:val="006B4082"/>
    <w:rsid w:val="006B547B"/>
    <w:rsid w:val="006B54A1"/>
    <w:rsid w:val="006B611D"/>
    <w:rsid w:val="006B63EF"/>
    <w:rsid w:val="006B64FC"/>
    <w:rsid w:val="006B69DA"/>
    <w:rsid w:val="006B6A55"/>
    <w:rsid w:val="006B6BA5"/>
    <w:rsid w:val="006B6CD2"/>
    <w:rsid w:val="006B7C9A"/>
    <w:rsid w:val="006C0452"/>
    <w:rsid w:val="006C0577"/>
    <w:rsid w:val="006C07A9"/>
    <w:rsid w:val="006C0D8C"/>
    <w:rsid w:val="006C1105"/>
    <w:rsid w:val="006C165E"/>
    <w:rsid w:val="006C17B0"/>
    <w:rsid w:val="006C21EF"/>
    <w:rsid w:val="006C2350"/>
    <w:rsid w:val="006C2E8C"/>
    <w:rsid w:val="006C32DC"/>
    <w:rsid w:val="006C347B"/>
    <w:rsid w:val="006C3B7E"/>
    <w:rsid w:val="006C5056"/>
    <w:rsid w:val="006C5235"/>
    <w:rsid w:val="006C64EE"/>
    <w:rsid w:val="006C6ED6"/>
    <w:rsid w:val="006C707D"/>
    <w:rsid w:val="006C72DC"/>
    <w:rsid w:val="006C72E9"/>
    <w:rsid w:val="006C773B"/>
    <w:rsid w:val="006D0562"/>
    <w:rsid w:val="006D07C3"/>
    <w:rsid w:val="006D1161"/>
    <w:rsid w:val="006D14C8"/>
    <w:rsid w:val="006D238B"/>
    <w:rsid w:val="006D2466"/>
    <w:rsid w:val="006D37C9"/>
    <w:rsid w:val="006D3CE6"/>
    <w:rsid w:val="006D4A89"/>
    <w:rsid w:val="006D5547"/>
    <w:rsid w:val="006D62B6"/>
    <w:rsid w:val="006D7625"/>
    <w:rsid w:val="006D774E"/>
    <w:rsid w:val="006D7920"/>
    <w:rsid w:val="006D7D15"/>
    <w:rsid w:val="006E0BF0"/>
    <w:rsid w:val="006E23D4"/>
    <w:rsid w:val="006E331C"/>
    <w:rsid w:val="006E3D1B"/>
    <w:rsid w:val="006E441D"/>
    <w:rsid w:val="006E467B"/>
    <w:rsid w:val="006E5598"/>
    <w:rsid w:val="006E566D"/>
    <w:rsid w:val="006E5B2C"/>
    <w:rsid w:val="006E5FC6"/>
    <w:rsid w:val="006E72A6"/>
    <w:rsid w:val="006E7554"/>
    <w:rsid w:val="006E7EBE"/>
    <w:rsid w:val="006F0453"/>
    <w:rsid w:val="006F096D"/>
    <w:rsid w:val="006F131C"/>
    <w:rsid w:val="006F1921"/>
    <w:rsid w:val="006F19C2"/>
    <w:rsid w:val="006F1E45"/>
    <w:rsid w:val="006F2C26"/>
    <w:rsid w:val="006F2E0A"/>
    <w:rsid w:val="006F3E5B"/>
    <w:rsid w:val="006F459B"/>
    <w:rsid w:val="006F5142"/>
    <w:rsid w:val="006F5B9A"/>
    <w:rsid w:val="006F5D43"/>
    <w:rsid w:val="006F5DED"/>
    <w:rsid w:val="006F5F64"/>
    <w:rsid w:val="006F6D69"/>
    <w:rsid w:val="006F6F44"/>
    <w:rsid w:val="006F7258"/>
    <w:rsid w:val="006F7914"/>
    <w:rsid w:val="0070186A"/>
    <w:rsid w:val="0070237A"/>
    <w:rsid w:val="00702E05"/>
    <w:rsid w:val="007045A0"/>
    <w:rsid w:val="0070585B"/>
    <w:rsid w:val="00705CB4"/>
    <w:rsid w:val="00705E45"/>
    <w:rsid w:val="007067FB"/>
    <w:rsid w:val="00706D80"/>
    <w:rsid w:val="00707FB5"/>
    <w:rsid w:val="0071006A"/>
    <w:rsid w:val="00710718"/>
    <w:rsid w:val="00710834"/>
    <w:rsid w:val="00711ABC"/>
    <w:rsid w:val="00711DF2"/>
    <w:rsid w:val="0071320C"/>
    <w:rsid w:val="0071443D"/>
    <w:rsid w:val="00716AB6"/>
    <w:rsid w:val="00716B71"/>
    <w:rsid w:val="00720053"/>
    <w:rsid w:val="00720113"/>
    <w:rsid w:val="00720680"/>
    <w:rsid w:val="00720E5C"/>
    <w:rsid w:val="00721456"/>
    <w:rsid w:val="0072155A"/>
    <w:rsid w:val="0072217A"/>
    <w:rsid w:val="007224AA"/>
    <w:rsid w:val="007229EB"/>
    <w:rsid w:val="00723330"/>
    <w:rsid w:val="0072371B"/>
    <w:rsid w:val="00723A9B"/>
    <w:rsid w:val="007240AD"/>
    <w:rsid w:val="00725428"/>
    <w:rsid w:val="007256F7"/>
    <w:rsid w:val="00725761"/>
    <w:rsid w:val="007260C7"/>
    <w:rsid w:val="007267BE"/>
    <w:rsid w:val="00726F3A"/>
    <w:rsid w:val="00727156"/>
    <w:rsid w:val="00727470"/>
    <w:rsid w:val="00727547"/>
    <w:rsid w:val="00730F97"/>
    <w:rsid w:val="007322BF"/>
    <w:rsid w:val="00732758"/>
    <w:rsid w:val="00732868"/>
    <w:rsid w:val="00732A74"/>
    <w:rsid w:val="00734546"/>
    <w:rsid w:val="00734593"/>
    <w:rsid w:val="00735B60"/>
    <w:rsid w:val="00735F24"/>
    <w:rsid w:val="007365DC"/>
    <w:rsid w:val="00740694"/>
    <w:rsid w:val="00742105"/>
    <w:rsid w:val="00742F89"/>
    <w:rsid w:val="007435A4"/>
    <w:rsid w:val="007452F0"/>
    <w:rsid w:val="007455F7"/>
    <w:rsid w:val="007461C9"/>
    <w:rsid w:val="00746545"/>
    <w:rsid w:val="00746B02"/>
    <w:rsid w:val="0074797D"/>
    <w:rsid w:val="0075097B"/>
    <w:rsid w:val="00750AF7"/>
    <w:rsid w:val="00750D8A"/>
    <w:rsid w:val="00751E65"/>
    <w:rsid w:val="00752220"/>
    <w:rsid w:val="00752995"/>
    <w:rsid w:val="00752C04"/>
    <w:rsid w:val="00752E49"/>
    <w:rsid w:val="00753BB3"/>
    <w:rsid w:val="00753FB3"/>
    <w:rsid w:val="0075414D"/>
    <w:rsid w:val="00754EF5"/>
    <w:rsid w:val="007557D6"/>
    <w:rsid w:val="00755ACD"/>
    <w:rsid w:val="007560D6"/>
    <w:rsid w:val="0075650D"/>
    <w:rsid w:val="007565CC"/>
    <w:rsid w:val="00756E97"/>
    <w:rsid w:val="0075726D"/>
    <w:rsid w:val="007573C6"/>
    <w:rsid w:val="00757FD9"/>
    <w:rsid w:val="00760664"/>
    <w:rsid w:val="007606A9"/>
    <w:rsid w:val="00760D95"/>
    <w:rsid w:val="00761DA3"/>
    <w:rsid w:val="00763905"/>
    <w:rsid w:val="00764337"/>
    <w:rsid w:val="007661A0"/>
    <w:rsid w:val="00767262"/>
    <w:rsid w:val="00770F33"/>
    <w:rsid w:val="0077117E"/>
    <w:rsid w:val="0077141E"/>
    <w:rsid w:val="00771543"/>
    <w:rsid w:val="00772D99"/>
    <w:rsid w:val="00773461"/>
    <w:rsid w:val="00773533"/>
    <w:rsid w:val="007739E1"/>
    <w:rsid w:val="007746BC"/>
    <w:rsid w:val="00774B7C"/>
    <w:rsid w:val="007756FE"/>
    <w:rsid w:val="00776B95"/>
    <w:rsid w:val="00776C45"/>
    <w:rsid w:val="00776F76"/>
    <w:rsid w:val="00777020"/>
    <w:rsid w:val="007800B7"/>
    <w:rsid w:val="007810F5"/>
    <w:rsid w:val="0078288F"/>
    <w:rsid w:val="00782BF3"/>
    <w:rsid w:val="00782C28"/>
    <w:rsid w:val="007833BE"/>
    <w:rsid w:val="0078412C"/>
    <w:rsid w:val="00785DCE"/>
    <w:rsid w:val="0078677D"/>
    <w:rsid w:val="00787E7A"/>
    <w:rsid w:val="007915C0"/>
    <w:rsid w:val="00791F3D"/>
    <w:rsid w:val="00792170"/>
    <w:rsid w:val="007927CE"/>
    <w:rsid w:val="00793303"/>
    <w:rsid w:val="00793821"/>
    <w:rsid w:val="00793DEF"/>
    <w:rsid w:val="00794052"/>
    <w:rsid w:val="0079541E"/>
    <w:rsid w:val="00795BD8"/>
    <w:rsid w:val="007966DA"/>
    <w:rsid w:val="007969DC"/>
    <w:rsid w:val="0079700A"/>
    <w:rsid w:val="00797B2F"/>
    <w:rsid w:val="007A0ADD"/>
    <w:rsid w:val="007A1490"/>
    <w:rsid w:val="007A2AD3"/>
    <w:rsid w:val="007A2ED8"/>
    <w:rsid w:val="007A37A7"/>
    <w:rsid w:val="007A3D62"/>
    <w:rsid w:val="007A5C3C"/>
    <w:rsid w:val="007A63A9"/>
    <w:rsid w:val="007A741A"/>
    <w:rsid w:val="007A741D"/>
    <w:rsid w:val="007A7DC7"/>
    <w:rsid w:val="007B033C"/>
    <w:rsid w:val="007B1F56"/>
    <w:rsid w:val="007B2FDF"/>
    <w:rsid w:val="007B597C"/>
    <w:rsid w:val="007B68F4"/>
    <w:rsid w:val="007B6F55"/>
    <w:rsid w:val="007B791D"/>
    <w:rsid w:val="007B7938"/>
    <w:rsid w:val="007C6C1A"/>
    <w:rsid w:val="007C7603"/>
    <w:rsid w:val="007D0AB3"/>
    <w:rsid w:val="007D483C"/>
    <w:rsid w:val="007D489E"/>
    <w:rsid w:val="007D51FD"/>
    <w:rsid w:val="007D52A2"/>
    <w:rsid w:val="007D68FB"/>
    <w:rsid w:val="007D7B73"/>
    <w:rsid w:val="007E143B"/>
    <w:rsid w:val="007E219D"/>
    <w:rsid w:val="007E2DBA"/>
    <w:rsid w:val="007E42B5"/>
    <w:rsid w:val="007E4B56"/>
    <w:rsid w:val="007E4ECF"/>
    <w:rsid w:val="007E53E6"/>
    <w:rsid w:val="007E70FB"/>
    <w:rsid w:val="007E742C"/>
    <w:rsid w:val="007E74AE"/>
    <w:rsid w:val="007E7B82"/>
    <w:rsid w:val="007E7CD0"/>
    <w:rsid w:val="007F08AA"/>
    <w:rsid w:val="007F0F69"/>
    <w:rsid w:val="007F1274"/>
    <w:rsid w:val="007F168E"/>
    <w:rsid w:val="007F18E8"/>
    <w:rsid w:val="007F19C3"/>
    <w:rsid w:val="007F2E07"/>
    <w:rsid w:val="007F31C1"/>
    <w:rsid w:val="007F36FC"/>
    <w:rsid w:val="007F3E20"/>
    <w:rsid w:val="007F483D"/>
    <w:rsid w:val="007F4A60"/>
    <w:rsid w:val="007F588A"/>
    <w:rsid w:val="007F6EB6"/>
    <w:rsid w:val="007F789F"/>
    <w:rsid w:val="007F7A53"/>
    <w:rsid w:val="00800393"/>
    <w:rsid w:val="00800773"/>
    <w:rsid w:val="00801162"/>
    <w:rsid w:val="00801502"/>
    <w:rsid w:val="00802D64"/>
    <w:rsid w:val="00803531"/>
    <w:rsid w:val="008046AA"/>
    <w:rsid w:val="00804D9F"/>
    <w:rsid w:val="00805699"/>
    <w:rsid w:val="0080583A"/>
    <w:rsid w:val="00805BA1"/>
    <w:rsid w:val="0080657B"/>
    <w:rsid w:val="00807772"/>
    <w:rsid w:val="00807853"/>
    <w:rsid w:val="00810BC6"/>
    <w:rsid w:val="008117DB"/>
    <w:rsid w:val="00812011"/>
    <w:rsid w:val="008129A5"/>
    <w:rsid w:val="008136C9"/>
    <w:rsid w:val="008149BD"/>
    <w:rsid w:val="00814CCD"/>
    <w:rsid w:val="00815572"/>
    <w:rsid w:val="008155E0"/>
    <w:rsid w:val="00815AE2"/>
    <w:rsid w:val="00815E14"/>
    <w:rsid w:val="00817857"/>
    <w:rsid w:val="00820E01"/>
    <w:rsid w:val="00821117"/>
    <w:rsid w:val="0082120B"/>
    <w:rsid w:val="00821223"/>
    <w:rsid w:val="00821DFB"/>
    <w:rsid w:val="008234A0"/>
    <w:rsid w:val="0082384F"/>
    <w:rsid w:val="00823DBF"/>
    <w:rsid w:val="00824436"/>
    <w:rsid w:val="00824762"/>
    <w:rsid w:val="00824DA2"/>
    <w:rsid w:val="008264A5"/>
    <w:rsid w:val="008319BD"/>
    <w:rsid w:val="00832A1D"/>
    <w:rsid w:val="00832B76"/>
    <w:rsid w:val="0083410E"/>
    <w:rsid w:val="00834282"/>
    <w:rsid w:val="00834940"/>
    <w:rsid w:val="00835284"/>
    <w:rsid w:val="008360F6"/>
    <w:rsid w:val="00836488"/>
    <w:rsid w:val="0083726B"/>
    <w:rsid w:val="00837974"/>
    <w:rsid w:val="0083799A"/>
    <w:rsid w:val="00840D2E"/>
    <w:rsid w:val="00840EED"/>
    <w:rsid w:val="00841155"/>
    <w:rsid w:val="008426CE"/>
    <w:rsid w:val="00842976"/>
    <w:rsid w:val="00842A67"/>
    <w:rsid w:val="0084318E"/>
    <w:rsid w:val="00844112"/>
    <w:rsid w:val="008451F4"/>
    <w:rsid w:val="008455AE"/>
    <w:rsid w:val="00845723"/>
    <w:rsid w:val="00845DE7"/>
    <w:rsid w:val="008461AE"/>
    <w:rsid w:val="008472AB"/>
    <w:rsid w:val="008475B1"/>
    <w:rsid w:val="00850BCE"/>
    <w:rsid w:val="00850DCC"/>
    <w:rsid w:val="00850FF1"/>
    <w:rsid w:val="008516CF"/>
    <w:rsid w:val="00851E67"/>
    <w:rsid w:val="0085241B"/>
    <w:rsid w:val="0085282A"/>
    <w:rsid w:val="00852D83"/>
    <w:rsid w:val="00852E3B"/>
    <w:rsid w:val="00852E70"/>
    <w:rsid w:val="00853FD9"/>
    <w:rsid w:val="00853FE9"/>
    <w:rsid w:val="00854400"/>
    <w:rsid w:val="008545E3"/>
    <w:rsid w:val="008552E7"/>
    <w:rsid w:val="008571F0"/>
    <w:rsid w:val="0086006F"/>
    <w:rsid w:val="00862556"/>
    <w:rsid w:val="008642D9"/>
    <w:rsid w:val="008643CD"/>
    <w:rsid w:val="00864D99"/>
    <w:rsid w:val="00866722"/>
    <w:rsid w:val="00866EB0"/>
    <w:rsid w:val="00866F5B"/>
    <w:rsid w:val="0086700D"/>
    <w:rsid w:val="00867203"/>
    <w:rsid w:val="008706FD"/>
    <w:rsid w:val="00870BD3"/>
    <w:rsid w:val="008711DC"/>
    <w:rsid w:val="00871F52"/>
    <w:rsid w:val="00872044"/>
    <w:rsid w:val="00872324"/>
    <w:rsid w:val="00872924"/>
    <w:rsid w:val="00872B86"/>
    <w:rsid w:val="00872C11"/>
    <w:rsid w:val="00873354"/>
    <w:rsid w:val="00873B20"/>
    <w:rsid w:val="00873E42"/>
    <w:rsid w:val="008742CF"/>
    <w:rsid w:val="00875461"/>
    <w:rsid w:val="0087616F"/>
    <w:rsid w:val="00876FA2"/>
    <w:rsid w:val="0087730E"/>
    <w:rsid w:val="008777C0"/>
    <w:rsid w:val="00881B12"/>
    <w:rsid w:val="00883C2D"/>
    <w:rsid w:val="00884328"/>
    <w:rsid w:val="008859C7"/>
    <w:rsid w:val="0088630E"/>
    <w:rsid w:val="0088667F"/>
    <w:rsid w:val="008868D4"/>
    <w:rsid w:val="00886E84"/>
    <w:rsid w:val="00887225"/>
    <w:rsid w:val="00891C91"/>
    <w:rsid w:val="00891FB1"/>
    <w:rsid w:val="0089210A"/>
    <w:rsid w:val="00893972"/>
    <w:rsid w:val="008948C6"/>
    <w:rsid w:val="0089533B"/>
    <w:rsid w:val="00895CD6"/>
    <w:rsid w:val="0089704C"/>
    <w:rsid w:val="0089773F"/>
    <w:rsid w:val="008979F7"/>
    <w:rsid w:val="00897C98"/>
    <w:rsid w:val="008A0858"/>
    <w:rsid w:val="008A0E57"/>
    <w:rsid w:val="008A103D"/>
    <w:rsid w:val="008A135D"/>
    <w:rsid w:val="008A3016"/>
    <w:rsid w:val="008A325F"/>
    <w:rsid w:val="008A34F9"/>
    <w:rsid w:val="008A47A0"/>
    <w:rsid w:val="008A4FF7"/>
    <w:rsid w:val="008A57AD"/>
    <w:rsid w:val="008A67E7"/>
    <w:rsid w:val="008A6B83"/>
    <w:rsid w:val="008A6DCE"/>
    <w:rsid w:val="008A745E"/>
    <w:rsid w:val="008B0C33"/>
    <w:rsid w:val="008B20D6"/>
    <w:rsid w:val="008B22A4"/>
    <w:rsid w:val="008B22C5"/>
    <w:rsid w:val="008B2459"/>
    <w:rsid w:val="008B388E"/>
    <w:rsid w:val="008B3AF8"/>
    <w:rsid w:val="008B464D"/>
    <w:rsid w:val="008B5863"/>
    <w:rsid w:val="008B5B4B"/>
    <w:rsid w:val="008B6266"/>
    <w:rsid w:val="008B6475"/>
    <w:rsid w:val="008B6C54"/>
    <w:rsid w:val="008B7773"/>
    <w:rsid w:val="008B7A4C"/>
    <w:rsid w:val="008C084C"/>
    <w:rsid w:val="008C12F0"/>
    <w:rsid w:val="008C16B7"/>
    <w:rsid w:val="008C270B"/>
    <w:rsid w:val="008C3AD1"/>
    <w:rsid w:val="008C3E15"/>
    <w:rsid w:val="008C408A"/>
    <w:rsid w:val="008C4CBA"/>
    <w:rsid w:val="008C6C2D"/>
    <w:rsid w:val="008C7E2E"/>
    <w:rsid w:val="008D0E48"/>
    <w:rsid w:val="008D145E"/>
    <w:rsid w:val="008D14A8"/>
    <w:rsid w:val="008D1C63"/>
    <w:rsid w:val="008D24D5"/>
    <w:rsid w:val="008D25D6"/>
    <w:rsid w:val="008D4D07"/>
    <w:rsid w:val="008D55A1"/>
    <w:rsid w:val="008D59E7"/>
    <w:rsid w:val="008D6E9E"/>
    <w:rsid w:val="008D708E"/>
    <w:rsid w:val="008D78D2"/>
    <w:rsid w:val="008D7AE0"/>
    <w:rsid w:val="008D7B45"/>
    <w:rsid w:val="008D7EAA"/>
    <w:rsid w:val="008E0F25"/>
    <w:rsid w:val="008E1042"/>
    <w:rsid w:val="008E1524"/>
    <w:rsid w:val="008E167B"/>
    <w:rsid w:val="008E27D7"/>
    <w:rsid w:val="008E3502"/>
    <w:rsid w:val="008E3C5C"/>
    <w:rsid w:val="008E4535"/>
    <w:rsid w:val="008E4C0E"/>
    <w:rsid w:val="008E5116"/>
    <w:rsid w:val="008E5C0A"/>
    <w:rsid w:val="008E5F44"/>
    <w:rsid w:val="008E6171"/>
    <w:rsid w:val="008E75EE"/>
    <w:rsid w:val="008F0170"/>
    <w:rsid w:val="008F070C"/>
    <w:rsid w:val="008F1546"/>
    <w:rsid w:val="008F199F"/>
    <w:rsid w:val="008F1E03"/>
    <w:rsid w:val="008F23CE"/>
    <w:rsid w:val="008F323B"/>
    <w:rsid w:val="008F3B8E"/>
    <w:rsid w:val="008F4021"/>
    <w:rsid w:val="008F511B"/>
    <w:rsid w:val="008F5B5F"/>
    <w:rsid w:val="008F5CEA"/>
    <w:rsid w:val="008F60A4"/>
    <w:rsid w:val="008F60B9"/>
    <w:rsid w:val="008F672C"/>
    <w:rsid w:val="008F6B0B"/>
    <w:rsid w:val="008F7237"/>
    <w:rsid w:val="008F76CB"/>
    <w:rsid w:val="008F79BF"/>
    <w:rsid w:val="009013AC"/>
    <w:rsid w:val="00901D42"/>
    <w:rsid w:val="0090383F"/>
    <w:rsid w:val="00903FC9"/>
    <w:rsid w:val="00904F77"/>
    <w:rsid w:val="009055E2"/>
    <w:rsid w:val="00905C69"/>
    <w:rsid w:val="0090617A"/>
    <w:rsid w:val="009069E4"/>
    <w:rsid w:val="009072D9"/>
    <w:rsid w:val="009107B1"/>
    <w:rsid w:val="0091105F"/>
    <w:rsid w:val="00911216"/>
    <w:rsid w:val="009121A0"/>
    <w:rsid w:val="009134BB"/>
    <w:rsid w:val="0091408A"/>
    <w:rsid w:val="00914A9A"/>
    <w:rsid w:val="00914EBD"/>
    <w:rsid w:val="00915004"/>
    <w:rsid w:val="00915993"/>
    <w:rsid w:val="00915EDB"/>
    <w:rsid w:val="009163E3"/>
    <w:rsid w:val="009169CE"/>
    <w:rsid w:val="00916A4D"/>
    <w:rsid w:val="00916B35"/>
    <w:rsid w:val="00916C4C"/>
    <w:rsid w:val="00917150"/>
    <w:rsid w:val="00917787"/>
    <w:rsid w:val="00917A7D"/>
    <w:rsid w:val="00917B2A"/>
    <w:rsid w:val="00920123"/>
    <w:rsid w:val="00920872"/>
    <w:rsid w:val="00921630"/>
    <w:rsid w:val="0092211F"/>
    <w:rsid w:val="0092250A"/>
    <w:rsid w:val="00924547"/>
    <w:rsid w:val="00924CC3"/>
    <w:rsid w:val="009254F9"/>
    <w:rsid w:val="00925997"/>
    <w:rsid w:val="00925D7E"/>
    <w:rsid w:val="00926C13"/>
    <w:rsid w:val="0092795D"/>
    <w:rsid w:val="009305D3"/>
    <w:rsid w:val="00930C75"/>
    <w:rsid w:val="00931537"/>
    <w:rsid w:val="0093195C"/>
    <w:rsid w:val="00931B8B"/>
    <w:rsid w:val="00931F94"/>
    <w:rsid w:val="0093257C"/>
    <w:rsid w:val="009328F7"/>
    <w:rsid w:val="009335A3"/>
    <w:rsid w:val="00933BBF"/>
    <w:rsid w:val="00933F34"/>
    <w:rsid w:val="0093497A"/>
    <w:rsid w:val="00935403"/>
    <w:rsid w:val="009378D9"/>
    <w:rsid w:val="0093797B"/>
    <w:rsid w:val="00937D62"/>
    <w:rsid w:val="0094010C"/>
    <w:rsid w:val="00941961"/>
    <w:rsid w:val="00941AE8"/>
    <w:rsid w:val="009420D4"/>
    <w:rsid w:val="00942D49"/>
    <w:rsid w:val="00943106"/>
    <w:rsid w:val="00943CEB"/>
    <w:rsid w:val="00944BAB"/>
    <w:rsid w:val="00944D34"/>
    <w:rsid w:val="009452A2"/>
    <w:rsid w:val="00945448"/>
    <w:rsid w:val="00945651"/>
    <w:rsid w:val="009458A6"/>
    <w:rsid w:val="00945B93"/>
    <w:rsid w:val="00946A96"/>
    <w:rsid w:val="00947949"/>
    <w:rsid w:val="00947F77"/>
    <w:rsid w:val="009500FC"/>
    <w:rsid w:val="00950688"/>
    <w:rsid w:val="00950797"/>
    <w:rsid w:val="00950F7A"/>
    <w:rsid w:val="0095152C"/>
    <w:rsid w:val="00951725"/>
    <w:rsid w:val="00951EB6"/>
    <w:rsid w:val="0095242D"/>
    <w:rsid w:val="009539A0"/>
    <w:rsid w:val="00953D75"/>
    <w:rsid w:val="00955E07"/>
    <w:rsid w:val="00956554"/>
    <w:rsid w:val="00957610"/>
    <w:rsid w:val="009607C5"/>
    <w:rsid w:val="00960807"/>
    <w:rsid w:val="0096107F"/>
    <w:rsid w:val="0096297A"/>
    <w:rsid w:val="00962C7A"/>
    <w:rsid w:val="00963390"/>
    <w:rsid w:val="00963D0B"/>
    <w:rsid w:val="00964B3E"/>
    <w:rsid w:val="00964D92"/>
    <w:rsid w:val="00965120"/>
    <w:rsid w:val="009653FE"/>
    <w:rsid w:val="00965573"/>
    <w:rsid w:val="00965EEB"/>
    <w:rsid w:val="00966319"/>
    <w:rsid w:val="00966E0A"/>
    <w:rsid w:val="00967366"/>
    <w:rsid w:val="00967A9D"/>
    <w:rsid w:val="0097058F"/>
    <w:rsid w:val="0097192D"/>
    <w:rsid w:val="00972252"/>
    <w:rsid w:val="009732E5"/>
    <w:rsid w:val="00973364"/>
    <w:rsid w:val="009736C3"/>
    <w:rsid w:val="0097376E"/>
    <w:rsid w:val="00974545"/>
    <w:rsid w:val="00976B4E"/>
    <w:rsid w:val="009772DF"/>
    <w:rsid w:val="00977C68"/>
    <w:rsid w:val="009807D2"/>
    <w:rsid w:val="00980C5D"/>
    <w:rsid w:val="00981E4A"/>
    <w:rsid w:val="0098200A"/>
    <w:rsid w:val="009826D2"/>
    <w:rsid w:val="0098297D"/>
    <w:rsid w:val="00983B9A"/>
    <w:rsid w:val="009851E5"/>
    <w:rsid w:val="00985620"/>
    <w:rsid w:val="00985D8F"/>
    <w:rsid w:val="00990D50"/>
    <w:rsid w:val="00991FD5"/>
    <w:rsid w:val="0099358F"/>
    <w:rsid w:val="009935A7"/>
    <w:rsid w:val="0099581E"/>
    <w:rsid w:val="0099596D"/>
    <w:rsid w:val="00995A04"/>
    <w:rsid w:val="00996964"/>
    <w:rsid w:val="009977F8"/>
    <w:rsid w:val="009A0161"/>
    <w:rsid w:val="009A0F96"/>
    <w:rsid w:val="009A17BD"/>
    <w:rsid w:val="009A1CDA"/>
    <w:rsid w:val="009A2AC5"/>
    <w:rsid w:val="009A350C"/>
    <w:rsid w:val="009A408F"/>
    <w:rsid w:val="009A5E5B"/>
    <w:rsid w:val="009A61F2"/>
    <w:rsid w:val="009A63B2"/>
    <w:rsid w:val="009A72D4"/>
    <w:rsid w:val="009B026F"/>
    <w:rsid w:val="009B05AA"/>
    <w:rsid w:val="009B07F4"/>
    <w:rsid w:val="009B0ACE"/>
    <w:rsid w:val="009B0AF0"/>
    <w:rsid w:val="009B17DA"/>
    <w:rsid w:val="009B1B96"/>
    <w:rsid w:val="009B1EC6"/>
    <w:rsid w:val="009B2802"/>
    <w:rsid w:val="009B3B1F"/>
    <w:rsid w:val="009B3EB0"/>
    <w:rsid w:val="009B40A9"/>
    <w:rsid w:val="009B4D23"/>
    <w:rsid w:val="009B4FAC"/>
    <w:rsid w:val="009B50DD"/>
    <w:rsid w:val="009B51BE"/>
    <w:rsid w:val="009B584D"/>
    <w:rsid w:val="009B5A05"/>
    <w:rsid w:val="009B5B05"/>
    <w:rsid w:val="009B5E24"/>
    <w:rsid w:val="009B61C9"/>
    <w:rsid w:val="009B72E8"/>
    <w:rsid w:val="009B78B8"/>
    <w:rsid w:val="009C0AF7"/>
    <w:rsid w:val="009C11D4"/>
    <w:rsid w:val="009C1F4E"/>
    <w:rsid w:val="009C25AB"/>
    <w:rsid w:val="009C2C26"/>
    <w:rsid w:val="009C2C42"/>
    <w:rsid w:val="009C3E4A"/>
    <w:rsid w:val="009C4373"/>
    <w:rsid w:val="009C44F1"/>
    <w:rsid w:val="009C5E0A"/>
    <w:rsid w:val="009C5E73"/>
    <w:rsid w:val="009C6614"/>
    <w:rsid w:val="009C6915"/>
    <w:rsid w:val="009C7CFF"/>
    <w:rsid w:val="009C7FB8"/>
    <w:rsid w:val="009D089D"/>
    <w:rsid w:val="009D0B13"/>
    <w:rsid w:val="009D2AD6"/>
    <w:rsid w:val="009D3B96"/>
    <w:rsid w:val="009D3CA0"/>
    <w:rsid w:val="009D40C6"/>
    <w:rsid w:val="009D41AF"/>
    <w:rsid w:val="009D5973"/>
    <w:rsid w:val="009D5BC0"/>
    <w:rsid w:val="009D6415"/>
    <w:rsid w:val="009E0867"/>
    <w:rsid w:val="009E0AEB"/>
    <w:rsid w:val="009E12C7"/>
    <w:rsid w:val="009E21D7"/>
    <w:rsid w:val="009E2430"/>
    <w:rsid w:val="009E3AD3"/>
    <w:rsid w:val="009E3DB5"/>
    <w:rsid w:val="009E5C9A"/>
    <w:rsid w:val="009E6071"/>
    <w:rsid w:val="009E7480"/>
    <w:rsid w:val="009F0D89"/>
    <w:rsid w:val="009F0E11"/>
    <w:rsid w:val="009F15B8"/>
    <w:rsid w:val="009F1E92"/>
    <w:rsid w:val="009F24DB"/>
    <w:rsid w:val="009F31B9"/>
    <w:rsid w:val="009F3343"/>
    <w:rsid w:val="009F3772"/>
    <w:rsid w:val="009F43A7"/>
    <w:rsid w:val="009F48C3"/>
    <w:rsid w:val="009F4D64"/>
    <w:rsid w:val="009F64B5"/>
    <w:rsid w:val="00A00101"/>
    <w:rsid w:val="00A0035D"/>
    <w:rsid w:val="00A00C45"/>
    <w:rsid w:val="00A00C51"/>
    <w:rsid w:val="00A00CB4"/>
    <w:rsid w:val="00A00E61"/>
    <w:rsid w:val="00A01F28"/>
    <w:rsid w:val="00A01FEE"/>
    <w:rsid w:val="00A0246B"/>
    <w:rsid w:val="00A02540"/>
    <w:rsid w:val="00A029BE"/>
    <w:rsid w:val="00A03399"/>
    <w:rsid w:val="00A049B2"/>
    <w:rsid w:val="00A05BE4"/>
    <w:rsid w:val="00A05FCE"/>
    <w:rsid w:val="00A06095"/>
    <w:rsid w:val="00A06DD2"/>
    <w:rsid w:val="00A1037A"/>
    <w:rsid w:val="00A10459"/>
    <w:rsid w:val="00A10D92"/>
    <w:rsid w:val="00A11260"/>
    <w:rsid w:val="00A11351"/>
    <w:rsid w:val="00A116DA"/>
    <w:rsid w:val="00A119EE"/>
    <w:rsid w:val="00A11B9B"/>
    <w:rsid w:val="00A11E69"/>
    <w:rsid w:val="00A12224"/>
    <w:rsid w:val="00A123BE"/>
    <w:rsid w:val="00A12970"/>
    <w:rsid w:val="00A12D4B"/>
    <w:rsid w:val="00A13150"/>
    <w:rsid w:val="00A13268"/>
    <w:rsid w:val="00A139F1"/>
    <w:rsid w:val="00A145C7"/>
    <w:rsid w:val="00A16565"/>
    <w:rsid w:val="00A16D7A"/>
    <w:rsid w:val="00A17445"/>
    <w:rsid w:val="00A17559"/>
    <w:rsid w:val="00A20AF7"/>
    <w:rsid w:val="00A229C4"/>
    <w:rsid w:val="00A22B5B"/>
    <w:rsid w:val="00A22E59"/>
    <w:rsid w:val="00A231B3"/>
    <w:rsid w:val="00A24990"/>
    <w:rsid w:val="00A25167"/>
    <w:rsid w:val="00A252F9"/>
    <w:rsid w:val="00A25BBE"/>
    <w:rsid w:val="00A25D91"/>
    <w:rsid w:val="00A33713"/>
    <w:rsid w:val="00A34051"/>
    <w:rsid w:val="00A3483A"/>
    <w:rsid w:val="00A34E99"/>
    <w:rsid w:val="00A3571B"/>
    <w:rsid w:val="00A35917"/>
    <w:rsid w:val="00A35FD9"/>
    <w:rsid w:val="00A371A9"/>
    <w:rsid w:val="00A37481"/>
    <w:rsid w:val="00A37A83"/>
    <w:rsid w:val="00A4014F"/>
    <w:rsid w:val="00A4035B"/>
    <w:rsid w:val="00A411E8"/>
    <w:rsid w:val="00A41AEA"/>
    <w:rsid w:val="00A42102"/>
    <w:rsid w:val="00A4249D"/>
    <w:rsid w:val="00A42BD9"/>
    <w:rsid w:val="00A4346A"/>
    <w:rsid w:val="00A44B5F"/>
    <w:rsid w:val="00A44E8E"/>
    <w:rsid w:val="00A45518"/>
    <w:rsid w:val="00A45DA4"/>
    <w:rsid w:val="00A4645D"/>
    <w:rsid w:val="00A46BA5"/>
    <w:rsid w:val="00A46ED4"/>
    <w:rsid w:val="00A4731F"/>
    <w:rsid w:val="00A47E7D"/>
    <w:rsid w:val="00A5313F"/>
    <w:rsid w:val="00A536B9"/>
    <w:rsid w:val="00A545D8"/>
    <w:rsid w:val="00A54D49"/>
    <w:rsid w:val="00A564C8"/>
    <w:rsid w:val="00A5680A"/>
    <w:rsid w:val="00A56F84"/>
    <w:rsid w:val="00A6004A"/>
    <w:rsid w:val="00A60A8F"/>
    <w:rsid w:val="00A60D9C"/>
    <w:rsid w:val="00A610F5"/>
    <w:rsid w:val="00A61277"/>
    <w:rsid w:val="00A612F7"/>
    <w:rsid w:val="00A623C4"/>
    <w:rsid w:val="00A63D13"/>
    <w:rsid w:val="00A6517E"/>
    <w:rsid w:val="00A66615"/>
    <w:rsid w:val="00A66DAF"/>
    <w:rsid w:val="00A671A2"/>
    <w:rsid w:val="00A71544"/>
    <w:rsid w:val="00A71C53"/>
    <w:rsid w:val="00A728CE"/>
    <w:rsid w:val="00A733AF"/>
    <w:rsid w:val="00A7387D"/>
    <w:rsid w:val="00A74A02"/>
    <w:rsid w:val="00A75AEE"/>
    <w:rsid w:val="00A75B59"/>
    <w:rsid w:val="00A7639E"/>
    <w:rsid w:val="00A76DB7"/>
    <w:rsid w:val="00A7723E"/>
    <w:rsid w:val="00A774CF"/>
    <w:rsid w:val="00A80091"/>
    <w:rsid w:val="00A8146F"/>
    <w:rsid w:val="00A81B7B"/>
    <w:rsid w:val="00A82140"/>
    <w:rsid w:val="00A82CE6"/>
    <w:rsid w:val="00A82DDA"/>
    <w:rsid w:val="00A83D2A"/>
    <w:rsid w:val="00A84487"/>
    <w:rsid w:val="00A84606"/>
    <w:rsid w:val="00A84962"/>
    <w:rsid w:val="00A84B06"/>
    <w:rsid w:val="00A86D04"/>
    <w:rsid w:val="00A86E99"/>
    <w:rsid w:val="00A874EC"/>
    <w:rsid w:val="00A87C55"/>
    <w:rsid w:val="00A90126"/>
    <w:rsid w:val="00A90D46"/>
    <w:rsid w:val="00A91597"/>
    <w:rsid w:val="00A918B8"/>
    <w:rsid w:val="00A91E35"/>
    <w:rsid w:val="00A92414"/>
    <w:rsid w:val="00A92ED8"/>
    <w:rsid w:val="00A9326F"/>
    <w:rsid w:val="00A93CA2"/>
    <w:rsid w:val="00A9467E"/>
    <w:rsid w:val="00A95373"/>
    <w:rsid w:val="00A96089"/>
    <w:rsid w:val="00A96BB7"/>
    <w:rsid w:val="00A97EF7"/>
    <w:rsid w:val="00AA037D"/>
    <w:rsid w:val="00AA0C29"/>
    <w:rsid w:val="00AA1F2A"/>
    <w:rsid w:val="00AA2B6E"/>
    <w:rsid w:val="00AA3083"/>
    <w:rsid w:val="00AA3128"/>
    <w:rsid w:val="00AA3EF3"/>
    <w:rsid w:val="00AA43C9"/>
    <w:rsid w:val="00AA4459"/>
    <w:rsid w:val="00AA4CF5"/>
    <w:rsid w:val="00AA510D"/>
    <w:rsid w:val="00AA51D2"/>
    <w:rsid w:val="00AA54B2"/>
    <w:rsid w:val="00AA6D07"/>
    <w:rsid w:val="00AA7289"/>
    <w:rsid w:val="00AB01D7"/>
    <w:rsid w:val="00AB0A83"/>
    <w:rsid w:val="00AB0ABC"/>
    <w:rsid w:val="00AB0F28"/>
    <w:rsid w:val="00AB1E61"/>
    <w:rsid w:val="00AB2624"/>
    <w:rsid w:val="00AB49BD"/>
    <w:rsid w:val="00AB4FC0"/>
    <w:rsid w:val="00AB5913"/>
    <w:rsid w:val="00AB5E2C"/>
    <w:rsid w:val="00AB6021"/>
    <w:rsid w:val="00AB67F1"/>
    <w:rsid w:val="00AB6BF2"/>
    <w:rsid w:val="00AB785F"/>
    <w:rsid w:val="00AC0E77"/>
    <w:rsid w:val="00AC10F0"/>
    <w:rsid w:val="00AC1CA8"/>
    <w:rsid w:val="00AC1E45"/>
    <w:rsid w:val="00AC2FB1"/>
    <w:rsid w:val="00AC3641"/>
    <w:rsid w:val="00AC37E0"/>
    <w:rsid w:val="00AC4E5A"/>
    <w:rsid w:val="00AC53ED"/>
    <w:rsid w:val="00AC59C7"/>
    <w:rsid w:val="00AC6891"/>
    <w:rsid w:val="00AC6E0C"/>
    <w:rsid w:val="00AC6F89"/>
    <w:rsid w:val="00AC7551"/>
    <w:rsid w:val="00AD0228"/>
    <w:rsid w:val="00AD042F"/>
    <w:rsid w:val="00AD2395"/>
    <w:rsid w:val="00AD3823"/>
    <w:rsid w:val="00AD3DAC"/>
    <w:rsid w:val="00AD4083"/>
    <w:rsid w:val="00AD441D"/>
    <w:rsid w:val="00AD44BE"/>
    <w:rsid w:val="00AD4F73"/>
    <w:rsid w:val="00AD4F9F"/>
    <w:rsid w:val="00AD5638"/>
    <w:rsid w:val="00AD6B70"/>
    <w:rsid w:val="00AD761D"/>
    <w:rsid w:val="00AE1FD6"/>
    <w:rsid w:val="00AE220D"/>
    <w:rsid w:val="00AE2CA2"/>
    <w:rsid w:val="00AE31DE"/>
    <w:rsid w:val="00AE3844"/>
    <w:rsid w:val="00AE3FE9"/>
    <w:rsid w:val="00AE4061"/>
    <w:rsid w:val="00AE5453"/>
    <w:rsid w:val="00AE5E17"/>
    <w:rsid w:val="00AE642F"/>
    <w:rsid w:val="00AE71B4"/>
    <w:rsid w:val="00AE745C"/>
    <w:rsid w:val="00AE7A20"/>
    <w:rsid w:val="00AE7D2C"/>
    <w:rsid w:val="00AF073C"/>
    <w:rsid w:val="00AF1CCE"/>
    <w:rsid w:val="00AF2287"/>
    <w:rsid w:val="00AF2C36"/>
    <w:rsid w:val="00AF322B"/>
    <w:rsid w:val="00AF3BED"/>
    <w:rsid w:val="00AF4890"/>
    <w:rsid w:val="00AF5050"/>
    <w:rsid w:val="00AF58C2"/>
    <w:rsid w:val="00AF58D0"/>
    <w:rsid w:val="00AF6BA1"/>
    <w:rsid w:val="00AF72F3"/>
    <w:rsid w:val="00B00599"/>
    <w:rsid w:val="00B00A12"/>
    <w:rsid w:val="00B00A61"/>
    <w:rsid w:val="00B012BD"/>
    <w:rsid w:val="00B01504"/>
    <w:rsid w:val="00B019AC"/>
    <w:rsid w:val="00B01D28"/>
    <w:rsid w:val="00B01D85"/>
    <w:rsid w:val="00B02D6A"/>
    <w:rsid w:val="00B03723"/>
    <w:rsid w:val="00B03E90"/>
    <w:rsid w:val="00B052AE"/>
    <w:rsid w:val="00B055A8"/>
    <w:rsid w:val="00B05A97"/>
    <w:rsid w:val="00B05D86"/>
    <w:rsid w:val="00B066A2"/>
    <w:rsid w:val="00B06A43"/>
    <w:rsid w:val="00B06B69"/>
    <w:rsid w:val="00B07782"/>
    <w:rsid w:val="00B07B98"/>
    <w:rsid w:val="00B07EB9"/>
    <w:rsid w:val="00B11723"/>
    <w:rsid w:val="00B11EDA"/>
    <w:rsid w:val="00B1209C"/>
    <w:rsid w:val="00B124F9"/>
    <w:rsid w:val="00B12F09"/>
    <w:rsid w:val="00B13BB1"/>
    <w:rsid w:val="00B13FE7"/>
    <w:rsid w:val="00B1425C"/>
    <w:rsid w:val="00B14479"/>
    <w:rsid w:val="00B14CA8"/>
    <w:rsid w:val="00B14CFB"/>
    <w:rsid w:val="00B15073"/>
    <w:rsid w:val="00B15ECA"/>
    <w:rsid w:val="00B1730C"/>
    <w:rsid w:val="00B17BD2"/>
    <w:rsid w:val="00B20A83"/>
    <w:rsid w:val="00B20B6A"/>
    <w:rsid w:val="00B21008"/>
    <w:rsid w:val="00B21110"/>
    <w:rsid w:val="00B21169"/>
    <w:rsid w:val="00B2227B"/>
    <w:rsid w:val="00B223BE"/>
    <w:rsid w:val="00B225B3"/>
    <w:rsid w:val="00B2324C"/>
    <w:rsid w:val="00B244F3"/>
    <w:rsid w:val="00B2474E"/>
    <w:rsid w:val="00B2558D"/>
    <w:rsid w:val="00B257A0"/>
    <w:rsid w:val="00B25837"/>
    <w:rsid w:val="00B263B7"/>
    <w:rsid w:val="00B2680F"/>
    <w:rsid w:val="00B26B22"/>
    <w:rsid w:val="00B30A86"/>
    <w:rsid w:val="00B32654"/>
    <w:rsid w:val="00B34177"/>
    <w:rsid w:val="00B34ACD"/>
    <w:rsid w:val="00B354B9"/>
    <w:rsid w:val="00B356E4"/>
    <w:rsid w:val="00B357A7"/>
    <w:rsid w:val="00B36395"/>
    <w:rsid w:val="00B363F5"/>
    <w:rsid w:val="00B37D63"/>
    <w:rsid w:val="00B37F01"/>
    <w:rsid w:val="00B4032F"/>
    <w:rsid w:val="00B4174E"/>
    <w:rsid w:val="00B441FE"/>
    <w:rsid w:val="00B44E79"/>
    <w:rsid w:val="00B45107"/>
    <w:rsid w:val="00B455A1"/>
    <w:rsid w:val="00B460DB"/>
    <w:rsid w:val="00B465BA"/>
    <w:rsid w:val="00B46AD0"/>
    <w:rsid w:val="00B47600"/>
    <w:rsid w:val="00B500E3"/>
    <w:rsid w:val="00B52498"/>
    <w:rsid w:val="00B52720"/>
    <w:rsid w:val="00B53CA5"/>
    <w:rsid w:val="00B53DCC"/>
    <w:rsid w:val="00B54BE6"/>
    <w:rsid w:val="00B54E8C"/>
    <w:rsid w:val="00B55040"/>
    <w:rsid w:val="00B55E8A"/>
    <w:rsid w:val="00B55F1A"/>
    <w:rsid w:val="00B569A0"/>
    <w:rsid w:val="00B56D86"/>
    <w:rsid w:val="00B579B5"/>
    <w:rsid w:val="00B57C3B"/>
    <w:rsid w:val="00B57C63"/>
    <w:rsid w:val="00B600DD"/>
    <w:rsid w:val="00B61647"/>
    <w:rsid w:val="00B61B4F"/>
    <w:rsid w:val="00B62F7C"/>
    <w:rsid w:val="00B632ED"/>
    <w:rsid w:val="00B63B4E"/>
    <w:rsid w:val="00B6477C"/>
    <w:rsid w:val="00B649EC"/>
    <w:rsid w:val="00B64B46"/>
    <w:rsid w:val="00B65C91"/>
    <w:rsid w:val="00B6605E"/>
    <w:rsid w:val="00B66D55"/>
    <w:rsid w:val="00B66F6B"/>
    <w:rsid w:val="00B670D2"/>
    <w:rsid w:val="00B676D7"/>
    <w:rsid w:val="00B67777"/>
    <w:rsid w:val="00B70418"/>
    <w:rsid w:val="00B708B5"/>
    <w:rsid w:val="00B71D58"/>
    <w:rsid w:val="00B71D9D"/>
    <w:rsid w:val="00B71E1F"/>
    <w:rsid w:val="00B72213"/>
    <w:rsid w:val="00B7221C"/>
    <w:rsid w:val="00B72D93"/>
    <w:rsid w:val="00B73ED4"/>
    <w:rsid w:val="00B75574"/>
    <w:rsid w:val="00B7557C"/>
    <w:rsid w:val="00B75DAC"/>
    <w:rsid w:val="00B77751"/>
    <w:rsid w:val="00B80A57"/>
    <w:rsid w:val="00B80D4C"/>
    <w:rsid w:val="00B80D81"/>
    <w:rsid w:val="00B8153F"/>
    <w:rsid w:val="00B8367E"/>
    <w:rsid w:val="00B838B8"/>
    <w:rsid w:val="00B83CFD"/>
    <w:rsid w:val="00B84B2A"/>
    <w:rsid w:val="00B84C0C"/>
    <w:rsid w:val="00B8552D"/>
    <w:rsid w:val="00B868BA"/>
    <w:rsid w:val="00B86F8F"/>
    <w:rsid w:val="00B90583"/>
    <w:rsid w:val="00B90A60"/>
    <w:rsid w:val="00B9134F"/>
    <w:rsid w:val="00B91769"/>
    <w:rsid w:val="00B91FE6"/>
    <w:rsid w:val="00B92FD5"/>
    <w:rsid w:val="00B94135"/>
    <w:rsid w:val="00B94A99"/>
    <w:rsid w:val="00B96400"/>
    <w:rsid w:val="00B9711B"/>
    <w:rsid w:val="00B97357"/>
    <w:rsid w:val="00B97361"/>
    <w:rsid w:val="00B9778D"/>
    <w:rsid w:val="00BA074E"/>
    <w:rsid w:val="00BA12FA"/>
    <w:rsid w:val="00BA4027"/>
    <w:rsid w:val="00BA4BC7"/>
    <w:rsid w:val="00BA5409"/>
    <w:rsid w:val="00BA57D3"/>
    <w:rsid w:val="00BA61E1"/>
    <w:rsid w:val="00BA66A9"/>
    <w:rsid w:val="00BA6BEF"/>
    <w:rsid w:val="00BA70B6"/>
    <w:rsid w:val="00BA7A65"/>
    <w:rsid w:val="00BB010F"/>
    <w:rsid w:val="00BB03A1"/>
    <w:rsid w:val="00BB03D3"/>
    <w:rsid w:val="00BB0795"/>
    <w:rsid w:val="00BB09E2"/>
    <w:rsid w:val="00BB256B"/>
    <w:rsid w:val="00BB281A"/>
    <w:rsid w:val="00BB28D3"/>
    <w:rsid w:val="00BB3480"/>
    <w:rsid w:val="00BB3D48"/>
    <w:rsid w:val="00BB4FBF"/>
    <w:rsid w:val="00BB5FDC"/>
    <w:rsid w:val="00BC09FD"/>
    <w:rsid w:val="00BC1A1C"/>
    <w:rsid w:val="00BC1CBE"/>
    <w:rsid w:val="00BC27DA"/>
    <w:rsid w:val="00BC2C94"/>
    <w:rsid w:val="00BC38E8"/>
    <w:rsid w:val="00BC3FF8"/>
    <w:rsid w:val="00BC40C6"/>
    <w:rsid w:val="00BC4724"/>
    <w:rsid w:val="00BC5186"/>
    <w:rsid w:val="00BC5953"/>
    <w:rsid w:val="00BC5B60"/>
    <w:rsid w:val="00BC6723"/>
    <w:rsid w:val="00BD1599"/>
    <w:rsid w:val="00BD1743"/>
    <w:rsid w:val="00BD2178"/>
    <w:rsid w:val="00BD33E1"/>
    <w:rsid w:val="00BD343C"/>
    <w:rsid w:val="00BD361B"/>
    <w:rsid w:val="00BD4344"/>
    <w:rsid w:val="00BD4AC5"/>
    <w:rsid w:val="00BD5B97"/>
    <w:rsid w:val="00BD65E5"/>
    <w:rsid w:val="00BD6A07"/>
    <w:rsid w:val="00BD6F8C"/>
    <w:rsid w:val="00BD71A5"/>
    <w:rsid w:val="00BD73B1"/>
    <w:rsid w:val="00BE08B7"/>
    <w:rsid w:val="00BE0BF5"/>
    <w:rsid w:val="00BE2111"/>
    <w:rsid w:val="00BE2453"/>
    <w:rsid w:val="00BE245B"/>
    <w:rsid w:val="00BE2E04"/>
    <w:rsid w:val="00BE3158"/>
    <w:rsid w:val="00BE378B"/>
    <w:rsid w:val="00BE467B"/>
    <w:rsid w:val="00BE61AC"/>
    <w:rsid w:val="00BE668C"/>
    <w:rsid w:val="00BE67D0"/>
    <w:rsid w:val="00BE7B6B"/>
    <w:rsid w:val="00BF0DB7"/>
    <w:rsid w:val="00BF16EE"/>
    <w:rsid w:val="00BF1D33"/>
    <w:rsid w:val="00BF210F"/>
    <w:rsid w:val="00BF2551"/>
    <w:rsid w:val="00BF25D1"/>
    <w:rsid w:val="00BF25EE"/>
    <w:rsid w:val="00BF3932"/>
    <w:rsid w:val="00BF3AA2"/>
    <w:rsid w:val="00BF625F"/>
    <w:rsid w:val="00BF70C8"/>
    <w:rsid w:val="00BF70D3"/>
    <w:rsid w:val="00BF780E"/>
    <w:rsid w:val="00BF7871"/>
    <w:rsid w:val="00C00986"/>
    <w:rsid w:val="00C00B6F"/>
    <w:rsid w:val="00C0215C"/>
    <w:rsid w:val="00C032AC"/>
    <w:rsid w:val="00C0386D"/>
    <w:rsid w:val="00C04FA2"/>
    <w:rsid w:val="00C0535E"/>
    <w:rsid w:val="00C0587B"/>
    <w:rsid w:val="00C0590B"/>
    <w:rsid w:val="00C05B1B"/>
    <w:rsid w:val="00C05B75"/>
    <w:rsid w:val="00C05EB7"/>
    <w:rsid w:val="00C0654E"/>
    <w:rsid w:val="00C065B3"/>
    <w:rsid w:val="00C065C5"/>
    <w:rsid w:val="00C06780"/>
    <w:rsid w:val="00C0698C"/>
    <w:rsid w:val="00C07620"/>
    <w:rsid w:val="00C079A4"/>
    <w:rsid w:val="00C07C62"/>
    <w:rsid w:val="00C10924"/>
    <w:rsid w:val="00C1234A"/>
    <w:rsid w:val="00C1292B"/>
    <w:rsid w:val="00C1333C"/>
    <w:rsid w:val="00C149E6"/>
    <w:rsid w:val="00C14BF3"/>
    <w:rsid w:val="00C1577C"/>
    <w:rsid w:val="00C1601D"/>
    <w:rsid w:val="00C17267"/>
    <w:rsid w:val="00C179E4"/>
    <w:rsid w:val="00C20077"/>
    <w:rsid w:val="00C20390"/>
    <w:rsid w:val="00C21CCB"/>
    <w:rsid w:val="00C2270E"/>
    <w:rsid w:val="00C23B06"/>
    <w:rsid w:val="00C23B09"/>
    <w:rsid w:val="00C23B63"/>
    <w:rsid w:val="00C23CF3"/>
    <w:rsid w:val="00C24902"/>
    <w:rsid w:val="00C24BBE"/>
    <w:rsid w:val="00C25467"/>
    <w:rsid w:val="00C2667F"/>
    <w:rsid w:val="00C26896"/>
    <w:rsid w:val="00C272B7"/>
    <w:rsid w:val="00C278D3"/>
    <w:rsid w:val="00C27C7C"/>
    <w:rsid w:val="00C27CBF"/>
    <w:rsid w:val="00C30798"/>
    <w:rsid w:val="00C30A41"/>
    <w:rsid w:val="00C32187"/>
    <w:rsid w:val="00C32419"/>
    <w:rsid w:val="00C32554"/>
    <w:rsid w:val="00C3260A"/>
    <w:rsid w:val="00C32DD4"/>
    <w:rsid w:val="00C33279"/>
    <w:rsid w:val="00C33F6D"/>
    <w:rsid w:val="00C34300"/>
    <w:rsid w:val="00C346D9"/>
    <w:rsid w:val="00C36DAB"/>
    <w:rsid w:val="00C378EB"/>
    <w:rsid w:val="00C37F6A"/>
    <w:rsid w:val="00C4015A"/>
    <w:rsid w:val="00C409A4"/>
    <w:rsid w:val="00C40C43"/>
    <w:rsid w:val="00C40F24"/>
    <w:rsid w:val="00C42BFB"/>
    <w:rsid w:val="00C42DCC"/>
    <w:rsid w:val="00C433E4"/>
    <w:rsid w:val="00C43731"/>
    <w:rsid w:val="00C43D12"/>
    <w:rsid w:val="00C43F30"/>
    <w:rsid w:val="00C4577B"/>
    <w:rsid w:val="00C46167"/>
    <w:rsid w:val="00C47458"/>
    <w:rsid w:val="00C475BF"/>
    <w:rsid w:val="00C477BE"/>
    <w:rsid w:val="00C5002F"/>
    <w:rsid w:val="00C51D2C"/>
    <w:rsid w:val="00C521FE"/>
    <w:rsid w:val="00C52481"/>
    <w:rsid w:val="00C528AD"/>
    <w:rsid w:val="00C52F9F"/>
    <w:rsid w:val="00C54C17"/>
    <w:rsid w:val="00C55227"/>
    <w:rsid w:val="00C560E0"/>
    <w:rsid w:val="00C567EE"/>
    <w:rsid w:val="00C571EC"/>
    <w:rsid w:val="00C57460"/>
    <w:rsid w:val="00C60E0B"/>
    <w:rsid w:val="00C62B73"/>
    <w:rsid w:val="00C63AF5"/>
    <w:rsid w:val="00C63F68"/>
    <w:rsid w:val="00C64063"/>
    <w:rsid w:val="00C64CE8"/>
    <w:rsid w:val="00C657E4"/>
    <w:rsid w:val="00C6611F"/>
    <w:rsid w:val="00C66618"/>
    <w:rsid w:val="00C66810"/>
    <w:rsid w:val="00C66930"/>
    <w:rsid w:val="00C66C6A"/>
    <w:rsid w:val="00C67008"/>
    <w:rsid w:val="00C672BD"/>
    <w:rsid w:val="00C67580"/>
    <w:rsid w:val="00C67820"/>
    <w:rsid w:val="00C6798B"/>
    <w:rsid w:val="00C7237F"/>
    <w:rsid w:val="00C72F27"/>
    <w:rsid w:val="00C735E9"/>
    <w:rsid w:val="00C74FCC"/>
    <w:rsid w:val="00C75360"/>
    <w:rsid w:val="00C75968"/>
    <w:rsid w:val="00C75B44"/>
    <w:rsid w:val="00C75EA3"/>
    <w:rsid w:val="00C767A9"/>
    <w:rsid w:val="00C77421"/>
    <w:rsid w:val="00C77881"/>
    <w:rsid w:val="00C77E83"/>
    <w:rsid w:val="00C80424"/>
    <w:rsid w:val="00C80C0B"/>
    <w:rsid w:val="00C81F3A"/>
    <w:rsid w:val="00C821EF"/>
    <w:rsid w:val="00C82CCD"/>
    <w:rsid w:val="00C83E36"/>
    <w:rsid w:val="00C85AA3"/>
    <w:rsid w:val="00C85BD9"/>
    <w:rsid w:val="00C86082"/>
    <w:rsid w:val="00C864AB"/>
    <w:rsid w:val="00C86628"/>
    <w:rsid w:val="00C86872"/>
    <w:rsid w:val="00C87591"/>
    <w:rsid w:val="00C87AA4"/>
    <w:rsid w:val="00C9078B"/>
    <w:rsid w:val="00C90C21"/>
    <w:rsid w:val="00C9274C"/>
    <w:rsid w:val="00C93E88"/>
    <w:rsid w:val="00C94331"/>
    <w:rsid w:val="00C945F8"/>
    <w:rsid w:val="00C945FB"/>
    <w:rsid w:val="00C95AE8"/>
    <w:rsid w:val="00C97375"/>
    <w:rsid w:val="00C9781C"/>
    <w:rsid w:val="00C97DDE"/>
    <w:rsid w:val="00CA012B"/>
    <w:rsid w:val="00CA04FC"/>
    <w:rsid w:val="00CA062C"/>
    <w:rsid w:val="00CA0930"/>
    <w:rsid w:val="00CA19CF"/>
    <w:rsid w:val="00CA1B8D"/>
    <w:rsid w:val="00CA2199"/>
    <w:rsid w:val="00CA25E7"/>
    <w:rsid w:val="00CA346E"/>
    <w:rsid w:val="00CA371E"/>
    <w:rsid w:val="00CA3E6D"/>
    <w:rsid w:val="00CA4020"/>
    <w:rsid w:val="00CA4B39"/>
    <w:rsid w:val="00CA4C32"/>
    <w:rsid w:val="00CA4E25"/>
    <w:rsid w:val="00CA512A"/>
    <w:rsid w:val="00CA60D1"/>
    <w:rsid w:val="00CA6382"/>
    <w:rsid w:val="00CB11C0"/>
    <w:rsid w:val="00CB1470"/>
    <w:rsid w:val="00CB280F"/>
    <w:rsid w:val="00CB2B73"/>
    <w:rsid w:val="00CB3276"/>
    <w:rsid w:val="00CB5CA8"/>
    <w:rsid w:val="00CB68C4"/>
    <w:rsid w:val="00CB73B1"/>
    <w:rsid w:val="00CB7879"/>
    <w:rsid w:val="00CC0B1B"/>
    <w:rsid w:val="00CC15A3"/>
    <w:rsid w:val="00CC44EB"/>
    <w:rsid w:val="00CC4A80"/>
    <w:rsid w:val="00CC4B32"/>
    <w:rsid w:val="00CC4E9E"/>
    <w:rsid w:val="00CC561B"/>
    <w:rsid w:val="00CC61B2"/>
    <w:rsid w:val="00CC6DDE"/>
    <w:rsid w:val="00CC7D6F"/>
    <w:rsid w:val="00CD0E01"/>
    <w:rsid w:val="00CD0E53"/>
    <w:rsid w:val="00CD1FB1"/>
    <w:rsid w:val="00CD40A1"/>
    <w:rsid w:val="00CD5202"/>
    <w:rsid w:val="00CD5ECC"/>
    <w:rsid w:val="00CD61B1"/>
    <w:rsid w:val="00CE0394"/>
    <w:rsid w:val="00CE0B39"/>
    <w:rsid w:val="00CE0E8B"/>
    <w:rsid w:val="00CE0EAE"/>
    <w:rsid w:val="00CE1EC5"/>
    <w:rsid w:val="00CE22BE"/>
    <w:rsid w:val="00CE2D8A"/>
    <w:rsid w:val="00CE2F50"/>
    <w:rsid w:val="00CE448E"/>
    <w:rsid w:val="00CE4B0F"/>
    <w:rsid w:val="00CE71F9"/>
    <w:rsid w:val="00CE77F5"/>
    <w:rsid w:val="00CF18E8"/>
    <w:rsid w:val="00CF1B51"/>
    <w:rsid w:val="00CF1C62"/>
    <w:rsid w:val="00CF2678"/>
    <w:rsid w:val="00CF28C1"/>
    <w:rsid w:val="00CF52AF"/>
    <w:rsid w:val="00CF5D13"/>
    <w:rsid w:val="00CF5D64"/>
    <w:rsid w:val="00CF7272"/>
    <w:rsid w:val="00CF730C"/>
    <w:rsid w:val="00CF7D18"/>
    <w:rsid w:val="00D0092A"/>
    <w:rsid w:val="00D0112B"/>
    <w:rsid w:val="00D0150A"/>
    <w:rsid w:val="00D01714"/>
    <w:rsid w:val="00D01A44"/>
    <w:rsid w:val="00D03036"/>
    <w:rsid w:val="00D0322E"/>
    <w:rsid w:val="00D03766"/>
    <w:rsid w:val="00D0419D"/>
    <w:rsid w:val="00D045C9"/>
    <w:rsid w:val="00D04F46"/>
    <w:rsid w:val="00D0640B"/>
    <w:rsid w:val="00D073A2"/>
    <w:rsid w:val="00D0746B"/>
    <w:rsid w:val="00D10C16"/>
    <w:rsid w:val="00D11BD7"/>
    <w:rsid w:val="00D1217B"/>
    <w:rsid w:val="00D13F2A"/>
    <w:rsid w:val="00D142BA"/>
    <w:rsid w:val="00D1443D"/>
    <w:rsid w:val="00D146B4"/>
    <w:rsid w:val="00D1638A"/>
    <w:rsid w:val="00D1650B"/>
    <w:rsid w:val="00D168DF"/>
    <w:rsid w:val="00D16D1A"/>
    <w:rsid w:val="00D16D38"/>
    <w:rsid w:val="00D20BE3"/>
    <w:rsid w:val="00D2160B"/>
    <w:rsid w:val="00D21FB8"/>
    <w:rsid w:val="00D2216F"/>
    <w:rsid w:val="00D22393"/>
    <w:rsid w:val="00D2336B"/>
    <w:rsid w:val="00D23B38"/>
    <w:rsid w:val="00D24135"/>
    <w:rsid w:val="00D24835"/>
    <w:rsid w:val="00D25152"/>
    <w:rsid w:val="00D25FED"/>
    <w:rsid w:val="00D26432"/>
    <w:rsid w:val="00D2653B"/>
    <w:rsid w:val="00D26B93"/>
    <w:rsid w:val="00D27D89"/>
    <w:rsid w:val="00D303AE"/>
    <w:rsid w:val="00D305F0"/>
    <w:rsid w:val="00D3127F"/>
    <w:rsid w:val="00D3134B"/>
    <w:rsid w:val="00D313B8"/>
    <w:rsid w:val="00D31A9F"/>
    <w:rsid w:val="00D32365"/>
    <w:rsid w:val="00D335E6"/>
    <w:rsid w:val="00D33CFF"/>
    <w:rsid w:val="00D33D56"/>
    <w:rsid w:val="00D34BBC"/>
    <w:rsid w:val="00D35BE2"/>
    <w:rsid w:val="00D370BC"/>
    <w:rsid w:val="00D37559"/>
    <w:rsid w:val="00D37B1B"/>
    <w:rsid w:val="00D4114E"/>
    <w:rsid w:val="00D41B1E"/>
    <w:rsid w:val="00D41F5C"/>
    <w:rsid w:val="00D423D4"/>
    <w:rsid w:val="00D42BFD"/>
    <w:rsid w:val="00D42CCD"/>
    <w:rsid w:val="00D42E6C"/>
    <w:rsid w:val="00D43284"/>
    <w:rsid w:val="00D43CC7"/>
    <w:rsid w:val="00D43E1B"/>
    <w:rsid w:val="00D442C9"/>
    <w:rsid w:val="00D44F6C"/>
    <w:rsid w:val="00D44FCB"/>
    <w:rsid w:val="00D457B2"/>
    <w:rsid w:val="00D45DB7"/>
    <w:rsid w:val="00D465F9"/>
    <w:rsid w:val="00D4697B"/>
    <w:rsid w:val="00D4709E"/>
    <w:rsid w:val="00D47556"/>
    <w:rsid w:val="00D47DB3"/>
    <w:rsid w:val="00D50DF9"/>
    <w:rsid w:val="00D52043"/>
    <w:rsid w:val="00D54DFA"/>
    <w:rsid w:val="00D54EB7"/>
    <w:rsid w:val="00D57154"/>
    <w:rsid w:val="00D57290"/>
    <w:rsid w:val="00D57438"/>
    <w:rsid w:val="00D57724"/>
    <w:rsid w:val="00D5787A"/>
    <w:rsid w:val="00D578E6"/>
    <w:rsid w:val="00D57EFC"/>
    <w:rsid w:val="00D60BAD"/>
    <w:rsid w:val="00D60D32"/>
    <w:rsid w:val="00D6182A"/>
    <w:rsid w:val="00D61A79"/>
    <w:rsid w:val="00D628E4"/>
    <w:rsid w:val="00D62A80"/>
    <w:rsid w:val="00D6388D"/>
    <w:rsid w:val="00D6393A"/>
    <w:rsid w:val="00D6424D"/>
    <w:rsid w:val="00D646AB"/>
    <w:rsid w:val="00D64AA1"/>
    <w:rsid w:val="00D65B64"/>
    <w:rsid w:val="00D65CCB"/>
    <w:rsid w:val="00D65D3A"/>
    <w:rsid w:val="00D66010"/>
    <w:rsid w:val="00D66466"/>
    <w:rsid w:val="00D66782"/>
    <w:rsid w:val="00D67467"/>
    <w:rsid w:val="00D67D04"/>
    <w:rsid w:val="00D67D64"/>
    <w:rsid w:val="00D711C9"/>
    <w:rsid w:val="00D731AF"/>
    <w:rsid w:val="00D73346"/>
    <w:rsid w:val="00D74024"/>
    <w:rsid w:val="00D741F2"/>
    <w:rsid w:val="00D74886"/>
    <w:rsid w:val="00D74C5F"/>
    <w:rsid w:val="00D74E12"/>
    <w:rsid w:val="00D75174"/>
    <w:rsid w:val="00D75C18"/>
    <w:rsid w:val="00D76B9B"/>
    <w:rsid w:val="00D80664"/>
    <w:rsid w:val="00D80A56"/>
    <w:rsid w:val="00D80D8F"/>
    <w:rsid w:val="00D81025"/>
    <w:rsid w:val="00D81A51"/>
    <w:rsid w:val="00D81FCD"/>
    <w:rsid w:val="00D82437"/>
    <w:rsid w:val="00D82A81"/>
    <w:rsid w:val="00D82A8B"/>
    <w:rsid w:val="00D83542"/>
    <w:rsid w:val="00D83BBC"/>
    <w:rsid w:val="00D85144"/>
    <w:rsid w:val="00D8589D"/>
    <w:rsid w:val="00D859B1"/>
    <w:rsid w:val="00D85D53"/>
    <w:rsid w:val="00D86133"/>
    <w:rsid w:val="00D861D4"/>
    <w:rsid w:val="00D86201"/>
    <w:rsid w:val="00D86E1E"/>
    <w:rsid w:val="00D87625"/>
    <w:rsid w:val="00D878A9"/>
    <w:rsid w:val="00D906BD"/>
    <w:rsid w:val="00D90AAF"/>
    <w:rsid w:val="00D91424"/>
    <w:rsid w:val="00D9170B"/>
    <w:rsid w:val="00D9177B"/>
    <w:rsid w:val="00D91D26"/>
    <w:rsid w:val="00D922A9"/>
    <w:rsid w:val="00D923AC"/>
    <w:rsid w:val="00D929F0"/>
    <w:rsid w:val="00D938EE"/>
    <w:rsid w:val="00D93EFD"/>
    <w:rsid w:val="00D93F66"/>
    <w:rsid w:val="00D945A9"/>
    <w:rsid w:val="00D949DA"/>
    <w:rsid w:val="00D94F1F"/>
    <w:rsid w:val="00D95DB0"/>
    <w:rsid w:val="00D9679E"/>
    <w:rsid w:val="00D96947"/>
    <w:rsid w:val="00D96CE1"/>
    <w:rsid w:val="00D96CE5"/>
    <w:rsid w:val="00D97085"/>
    <w:rsid w:val="00DA051C"/>
    <w:rsid w:val="00DA0B40"/>
    <w:rsid w:val="00DA0DE6"/>
    <w:rsid w:val="00DA1440"/>
    <w:rsid w:val="00DA1B12"/>
    <w:rsid w:val="00DA2805"/>
    <w:rsid w:val="00DA2921"/>
    <w:rsid w:val="00DA2DA8"/>
    <w:rsid w:val="00DA4AA3"/>
    <w:rsid w:val="00DA63A7"/>
    <w:rsid w:val="00DA66C3"/>
    <w:rsid w:val="00DA6A89"/>
    <w:rsid w:val="00DA7658"/>
    <w:rsid w:val="00DA77A6"/>
    <w:rsid w:val="00DA7A10"/>
    <w:rsid w:val="00DA7FB8"/>
    <w:rsid w:val="00DB030A"/>
    <w:rsid w:val="00DB06EA"/>
    <w:rsid w:val="00DB1386"/>
    <w:rsid w:val="00DB149F"/>
    <w:rsid w:val="00DB29A6"/>
    <w:rsid w:val="00DB2BC3"/>
    <w:rsid w:val="00DB2DF6"/>
    <w:rsid w:val="00DB3645"/>
    <w:rsid w:val="00DB4F7A"/>
    <w:rsid w:val="00DB587E"/>
    <w:rsid w:val="00DB5A07"/>
    <w:rsid w:val="00DB6960"/>
    <w:rsid w:val="00DB69BC"/>
    <w:rsid w:val="00DB69F1"/>
    <w:rsid w:val="00DB6D8F"/>
    <w:rsid w:val="00DB73F0"/>
    <w:rsid w:val="00DB78E1"/>
    <w:rsid w:val="00DB7C0F"/>
    <w:rsid w:val="00DC1076"/>
    <w:rsid w:val="00DC20DC"/>
    <w:rsid w:val="00DC225A"/>
    <w:rsid w:val="00DC2EB3"/>
    <w:rsid w:val="00DC3BE7"/>
    <w:rsid w:val="00DC4064"/>
    <w:rsid w:val="00DC4551"/>
    <w:rsid w:val="00DC4964"/>
    <w:rsid w:val="00DC4CDD"/>
    <w:rsid w:val="00DC548F"/>
    <w:rsid w:val="00DC5A5F"/>
    <w:rsid w:val="00DC5B2C"/>
    <w:rsid w:val="00DC6B18"/>
    <w:rsid w:val="00DC71CE"/>
    <w:rsid w:val="00DC72A9"/>
    <w:rsid w:val="00DC74A9"/>
    <w:rsid w:val="00DC74ED"/>
    <w:rsid w:val="00DC75D2"/>
    <w:rsid w:val="00DD0BBA"/>
    <w:rsid w:val="00DD139B"/>
    <w:rsid w:val="00DD186D"/>
    <w:rsid w:val="00DD18A0"/>
    <w:rsid w:val="00DD1DEF"/>
    <w:rsid w:val="00DD3781"/>
    <w:rsid w:val="00DD3783"/>
    <w:rsid w:val="00DD618B"/>
    <w:rsid w:val="00DD6470"/>
    <w:rsid w:val="00DD6523"/>
    <w:rsid w:val="00DD6EB2"/>
    <w:rsid w:val="00DE1978"/>
    <w:rsid w:val="00DE1ADE"/>
    <w:rsid w:val="00DE2215"/>
    <w:rsid w:val="00DE2589"/>
    <w:rsid w:val="00DE2F0D"/>
    <w:rsid w:val="00DE3327"/>
    <w:rsid w:val="00DE4105"/>
    <w:rsid w:val="00DE4DF5"/>
    <w:rsid w:val="00DE5DD2"/>
    <w:rsid w:val="00DE61FB"/>
    <w:rsid w:val="00DE69CA"/>
    <w:rsid w:val="00DE7105"/>
    <w:rsid w:val="00DE7587"/>
    <w:rsid w:val="00DE7AF4"/>
    <w:rsid w:val="00DE7D00"/>
    <w:rsid w:val="00DF24A0"/>
    <w:rsid w:val="00DF2B0B"/>
    <w:rsid w:val="00DF2CDC"/>
    <w:rsid w:val="00DF3162"/>
    <w:rsid w:val="00DF3667"/>
    <w:rsid w:val="00DF4D6B"/>
    <w:rsid w:val="00DF6159"/>
    <w:rsid w:val="00DF646D"/>
    <w:rsid w:val="00DF65F1"/>
    <w:rsid w:val="00DF6732"/>
    <w:rsid w:val="00DF6AAE"/>
    <w:rsid w:val="00DF7E9E"/>
    <w:rsid w:val="00E0005B"/>
    <w:rsid w:val="00E00248"/>
    <w:rsid w:val="00E00534"/>
    <w:rsid w:val="00E01E8E"/>
    <w:rsid w:val="00E02576"/>
    <w:rsid w:val="00E02CF2"/>
    <w:rsid w:val="00E03975"/>
    <w:rsid w:val="00E039A0"/>
    <w:rsid w:val="00E05038"/>
    <w:rsid w:val="00E0510F"/>
    <w:rsid w:val="00E05120"/>
    <w:rsid w:val="00E05469"/>
    <w:rsid w:val="00E0559C"/>
    <w:rsid w:val="00E0571F"/>
    <w:rsid w:val="00E05882"/>
    <w:rsid w:val="00E05B6A"/>
    <w:rsid w:val="00E05ED2"/>
    <w:rsid w:val="00E05FCD"/>
    <w:rsid w:val="00E06416"/>
    <w:rsid w:val="00E06BD2"/>
    <w:rsid w:val="00E10A2F"/>
    <w:rsid w:val="00E114BB"/>
    <w:rsid w:val="00E116F3"/>
    <w:rsid w:val="00E11EC6"/>
    <w:rsid w:val="00E12E4E"/>
    <w:rsid w:val="00E1334A"/>
    <w:rsid w:val="00E1424E"/>
    <w:rsid w:val="00E1455A"/>
    <w:rsid w:val="00E15F3E"/>
    <w:rsid w:val="00E210E3"/>
    <w:rsid w:val="00E212A3"/>
    <w:rsid w:val="00E214C2"/>
    <w:rsid w:val="00E21D19"/>
    <w:rsid w:val="00E22012"/>
    <w:rsid w:val="00E2221B"/>
    <w:rsid w:val="00E22425"/>
    <w:rsid w:val="00E22CAC"/>
    <w:rsid w:val="00E22E4C"/>
    <w:rsid w:val="00E247F3"/>
    <w:rsid w:val="00E25360"/>
    <w:rsid w:val="00E2545F"/>
    <w:rsid w:val="00E25B27"/>
    <w:rsid w:val="00E26353"/>
    <w:rsid w:val="00E26B9A"/>
    <w:rsid w:val="00E26CA5"/>
    <w:rsid w:val="00E27A63"/>
    <w:rsid w:val="00E30DB5"/>
    <w:rsid w:val="00E317A4"/>
    <w:rsid w:val="00E31E30"/>
    <w:rsid w:val="00E32BE9"/>
    <w:rsid w:val="00E32E5B"/>
    <w:rsid w:val="00E330AA"/>
    <w:rsid w:val="00E33A05"/>
    <w:rsid w:val="00E344C8"/>
    <w:rsid w:val="00E35109"/>
    <w:rsid w:val="00E353DA"/>
    <w:rsid w:val="00E3657C"/>
    <w:rsid w:val="00E37C65"/>
    <w:rsid w:val="00E37F91"/>
    <w:rsid w:val="00E408C0"/>
    <w:rsid w:val="00E40913"/>
    <w:rsid w:val="00E40D7F"/>
    <w:rsid w:val="00E43FD1"/>
    <w:rsid w:val="00E443E5"/>
    <w:rsid w:val="00E443F0"/>
    <w:rsid w:val="00E4486F"/>
    <w:rsid w:val="00E4528A"/>
    <w:rsid w:val="00E45F76"/>
    <w:rsid w:val="00E46074"/>
    <w:rsid w:val="00E464AF"/>
    <w:rsid w:val="00E4680B"/>
    <w:rsid w:val="00E47C27"/>
    <w:rsid w:val="00E47D80"/>
    <w:rsid w:val="00E500E9"/>
    <w:rsid w:val="00E5162F"/>
    <w:rsid w:val="00E52586"/>
    <w:rsid w:val="00E534D6"/>
    <w:rsid w:val="00E54445"/>
    <w:rsid w:val="00E54C64"/>
    <w:rsid w:val="00E55B38"/>
    <w:rsid w:val="00E60321"/>
    <w:rsid w:val="00E60A81"/>
    <w:rsid w:val="00E615BD"/>
    <w:rsid w:val="00E61AE2"/>
    <w:rsid w:val="00E61BB3"/>
    <w:rsid w:val="00E6238A"/>
    <w:rsid w:val="00E62E65"/>
    <w:rsid w:val="00E631B4"/>
    <w:rsid w:val="00E63261"/>
    <w:rsid w:val="00E6373B"/>
    <w:rsid w:val="00E63775"/>
    <w:rsid w:val="00E63D9F"/>
    <w:rsid w:val="00E63E5F"/>
    <w:rsid w:val="00E65049"/>
    <w:rsid w:val="00E656BF"/>
    <w:rsid w:val="00E65DE2"/>
    <w:rsid w:val="00E65F6E"/>
    <w:rsid w:val="00E663D6"/>
    <w:rsid w:val="00E66EBE"/>
    <w:rsid w:val="00E66F80"/>
    <w:rsid w:val="00E7018C"/>
    <w:rsid w:val="00E70BC0"/>
    <w:rsid w:val="00E70DD2"/>
    <w:rsid w:val="00E7180B"/>
    <w:rsid w:val="00E730E0"/>
    <w:rsid w:val="00E73533"/>
    <w:rsid w:val="00E73D01"/>
    <w:rsid w:val="00E73F38"/>
    <w:rsid w:val="00E74001"/>
    <w:rsid w:val="00E743EA"/>
    <w:rsid w:val="00E75400"/>
    <w:rsid w:val="00E75BAC"/>
    <w:rsid w:val="00E75E77"/>
    <w:rsid w:val="00E75ECB"/>
    <w:rsid w:val="00E76B3C"/>
    <w:rsid w:val="00E77DF0"/>
    <w:rsid w:val="00E80451"/>
    <w:rsid w:val="00E818B7"/>
    <w:rsid w:val="00E81C9A"/>
    <w:rsid w:val="00E8261A"/>
    <w:rsid w:val="00E828D4"/>
    <w:rsid w:val="00E83240"/>
    <w:rsid w:val="00E83A3F"/>
    <w:rsid w:val="00E83ED3"/>
    <w:rsid w:val="00E84487"/>
    <w:rsid w:val="00E8519A"/>
    <w:rsid w:val="00E86D90"/>
    <w:rsid w:val="00E90810"/>
    <w:rsid w:val="00E90C60"/>
    <w:rsid w:val="00E915DA"/>
    <w:rsid w:val="00E918AD"/>
    <w:rsid w:val="00E92DCE"/>
    <w:rsid w:val="00E94330"/>
    <w:rsid w:val="00E94982"/>
    <w:rsid w:val="00E94A58"/>
    <w:rsid w:val="00E94D80"/>
    <w:rsid w:val="00E94ED4"/>
    <w:rsid w:val="00E95163"/>
    <w:rsid w:val="00E9701D"/>
    <w:rsid w:val="00E9720B"/>
    <w:rsid w:val="00E97367"/>
    <w:rsid w:val="00EA080B"/>
    <w:rsid w:val="00EA277E"/>
    <w:rsid w:val="00EA27B3"/>
    <w:rsid w:val="00EA2E5E"/>
    <w:rsid w:val="00EA3BF5"/>
    <w:rsid w:val="00EA3C33"/>
    <w:rsid w:val="00EA4489"/>
    <w:rsid w:val="00EA44E4"/>
    <w:rsid w:val="00EA45CE"/>
    <w:rsid w:val="00EA4883"/>
    <w:rsid w:val="00EA4B2E"/>
    <w:rsid w:val="00EA4C49"/>
    <w:rsid w:val="00EA5137"/>
    <w:rsid w:val="00EA60E3"/>
    <w:rsid w:val="00EA7A47"/>
    <w:rsid w:val="00EA7BB7"/>
    <w:rsid w:val="00EB1167"/>
    <w:rsid w:val="00EB13F0"/>
    <w:rsid w:val="00EB2401"/>
    <w:rsid w:val="00EB36E1"/>
    <w:rsid w:val="00EB416C"/>
    <w:rsid w:val="00EB41B5"/>
    <w:rsid w:val="00EB4BAD"/>
    <w:rsid w:val="00EB4DD3"/>
    <w:rsid w:val="00EB5129"/>
    <w:rsid w:val="00EB56BE"/>
    <w:rsid w:val="00EB5EFA"/>
    <w:rsid w:val="00EB5FA4"/>
    <w:rsid w:val="00EB640B"/>
    <w:rsid w:val="00EB6579"/>
    <w:rsid w:val="00EB66BA"/>
    <w:rsid w:val="00EB6A05"/>
    <w:rsid w:val="00EB7144"/>
    <w:rsid w:val="00EB73CB"/>
    <w:rsid w:val="00EB77AC"/>
    <w:rsid w:val="00EB7AF2"/>
    <w:rsid w:val="00EC0CA7"/>
    <w:rsid w:val="00EC1876"/>
    <w:rsid w:val="00EC215C"/>
    <w:rsid w:val="00EC242F"/>
    <w:rsid w:val="00EC2564"/>
    <w:rsid w:val="00EC2590"/>
    <w:rsid w:val="00EC29B7"/>
    <w:rsid w:val="00EC3442"/>
    <w:rsid w:val="00EC54E0"/>
    <w:rsid w:val="00EC5B43"/>
    <w:rsid w:val="00EC60F6"/>
    <w:rsid w:val="00EC6E87"/>
    <w:rsid w:val="00EC7021"/>
    <w:rsid w:val="00EC730C"/>
    <w:rsid w:val="00ED0A93"/>
    <w:rsid w:val="00ED11EF"/>
    <w:rsid w:val="00ED11FF"/>
    <w:rsid w:val="00ED1393"/>
    <w:rsid w:val="00ED2BA5"/>
    <w:rsid w:val="00ED3270"/>
    <w:rsid w:val="00ED33D2"/>
    <w:rsid w:val="00ED3D48"/>
    <w:rsid w:val="00ED4019"/>
    <w:rsid w:val="00ED47FC"/>
    <w:rsid w:val="00ED4F2B"/>
    <w:rsid w:val="00ED556E"/>
    <w:rsid w:val="00EE0393"/>
    <w:rsid w:val="00EE1542"/>
    <w:rsid w:val="00EE3005"/>
    <w:rsid w:val="00EE3727"/>
    <w:rsid w:val="00EE3C7D"/>
    <w:rsid w:val="00EE3FDE"/>
    <w:rsid w:val="00EE429F"/>
    <w:rsid w:val="00EE47BC"/>
    <w:rsid w:val="00EE47E5"/>
    <w:rsid w:val="00EE5784"/>
    <w:rsid w:val="00EE5CE8"/>
    <w:rsid w:val="00EE63AD"/>
    <w:rsid w:val="00EE793E"/>
    <w:rsid w:val="00EF039A"/>
    <w:rsid w:val="00EF0C70"/>
    <w:rsid w:val="00EF0D1F"/>
    <w:rsid w:val="00EF13C7"/>
    <w:rsid w:val="00EF1490"/>
    <w:rsid w:val="00EF1759"/>
    <w:rsid w:val="00EF1B3F"/>
    <w:rsid w:val="00EF2D87"/>
    <w:rsid w:val="00EF2F54"/>
    <w:rsid w:val="00EF37B7"/>
    <w:rsid w:val="00EF3FCD"/>
    <w:rsid w:val="00EF443C"/>
    <w:rsid w:val="00EF5E74"/>
    <w:rsid w:val="00EF616B"/>
    <w:rsid w:val="00EF674A"/>
    <w:rsid w:val="00EF6CF8"/>
    <w:rsid w:val="00EF6E89"/>
    <w:rsid w:val="00EF708A"/>
    <w:rsid w:val="00F00630"/>
    <w:rsid w:val="00F00C52"/>
    <w:rsid w:val="00F0118E"/>
    <w:rsid w:val="00F01192"/>
    <w:rsid w:val="00F01E41"/>
    <w:rsid w:val="00F03E25"/>
    <w:rsid w:val="00F0421B"/>
    <w:rsid w:val="00F0454E"/>
    <w:rsid w:val="00F04C65"/>
    <w:rsid w:val="00F0579F"/>
    <w:rsid w:val="00F0621C"/>
    <w:rsid w:val="00F064E3"/>
    <w:rsid w:val="00F07686"/>
    <w:rsid w:val="00F109AA"/>
    <w:rsid w:val="00F10AF3"/>
    <w:rsid w:val="00F1109F"/>
    <w:rsid w:val="00F115F8"/>
    <w:rsid w:val="00F11ADC"/>
    <w:rsid w:val="00F11DE0"/>
    <w:rsid w:val="00F12D59"/>
    <w:rsid w:val="00F13AA6"/>
    <w:rsid w:val="00F13D73"/>
    <w:rsid w:val="00F14766"/>
    <w:rsid w:val="00F147F3"/>
    <w:rsid w:val="00F15F3B"/>
    <w:rsid w:val="00F16CFA"/>
    <w:rsid w:val="00F16F15"/>
    <w:rsid w:val="00F17528"/>
    <w:rsid w:val="00F21419"/>
    <w:rsid w:val="00F22195"/>
    <w:rsid w:val="00F23FD2"/>
    <w:rsid w:val="00F24699"/>
    <w:rsid w:val="00F24851"/>
    <w:rsid w:val="00F257A3"/>
    <w:rsid w:val="00F25BE6"/>
    <w:rsid w:val="00F2600F"/>
    <w:rsid w:val="00F2605D"/>
    <w:rsid w:val="00F26434"/>
    <w:rsid w:val="00F26741"/>
    <w:rsid w:val="00F27707"/>
    <w:rsid w:val="00F27FEA"/>
    <w:rsid w:val="00F30065"/>
    <w:rsid w:val="00F30E74"/>
    <w:rsid w:val="00F30FE8"/>
    <w:rsid w:val="00F32158"/>
    <w:rsid w:val="00F321AB"/>
    <w:rsid w:val="00F32B42"/>
    <w:rsid w:val="00F33464"/>
    <w:rsid w:val="00F3413C"/>
    <w:rsid w:val="00F3427F"/>
    <w:rsid w:val="00F34696"/>
    <w:rsid w:val="00F3488E"/>
    <w:rsid w:val="00F34F26"/>
    <w:rsid w:val="00F35CF5"/>
    <w:rsid w:val="00F362D0"/>
    <w:rsid w:val="00F424F5"/>
    <w:rsid w:val="00F43E50"/>
    <w:rsid w:val="00F441EE"/>
    <w:rsid w:val="00F4474D"/>
    <w:rsid w:val="00F4478C"/>
    <w:rsid w:val="00F478DD"/>
    <w:rsid w:val="00F47922"/>
    <w:rsid w:val="00F50E11"/>
    <w:rsid w:val="00F5142C"/>
    <w:rsid w:val="00F51AF4"/>
    <w:rsid w:val="00F51B27"/>
    <w:rsid w:val="00F52983"/>
    <w:rsid w:val="00F54413"/>
    <w:rsid w:val="00F57A29"/>
    <w:rsid w:val="00F57B70"/>
    <w:rsid w:val="00F60719"/>
    <w:rsid w:val="00F60A71"/>
    <w:rsid w:val="00F60E8A"/>
    <w:rsid w:val="00F6110E"/>
    <w:rsid w:val="00F6260F"/>
    <w:rsid w:val="00F62E9B"/>
    <w:rsid w:val="00F63C2D"/>
    <w:rsid w:val="00F64F5A"/>
    <w:rsid w:val="00F65983"/>
    <w:rsid w:val="00F66D15"/>
    <w:rsid w:val="00F67A34"/>
    <w:rsid w:val="00F67B3E"/>
    <w:rsid w:val="00F7132A"/>
    <w:rsid w:val="00F717A4"/>
    <w:rsid w:val="00F71EA6"/>
    <w:rsid w:val="00F72289"/>
    <w:rsid w:val="00F72A62"/>
    <w:rsid w:val="00F73920"/>
    <w:rsid w:val="00F745B3"/>
    <w:rsid w:val="00F752FE"/>
    <w:rsid w:val="00F75BE1"/>
    <w:rsid w:val="00F76CE5"/>
    <w:rsid w:val="00F80512"/>
    <w:rsid w:val="00F80C97"/>
    <w:rsid w:val="00F80EB7"/>
    <w:rsid w:val="00F8198A"/>
    <w:rsid w:val="00F82328"/>
    <w:rsid w:val="00F8247A"/>
    <w:rsid w:val="00F83033"/>
    <w:rsid w:val="00F83177"/>
    <w:rsid w:val="00F8334F"/>
    <w:rsid w:val="00F833BE"/>
    <w:rsid w:val="00F84510"/>
    <w:rsid w:val="00F853FB"/>
    <w:rsid w:val="00F857B2"/>
    <w:rsid w:val="00F863B0"/>
    <w:rsid w:val="00F8752F"/>
    <w:rsid w:val="00F90AE6"/>
    <w:rsid w:val="00F90BF9"/>
    <w:rsid w:val="00F92B5A"/>
    <w:rsid w:val="00F939DE"/>
    <w:rsid w:val="00F93D85"/>
    <w:rsid w:val="00F9497B"/>
    <w:rsid w:val="00F94A79"/>
    <w:rsid w:val="00F94B4C"/>
    <w:rsid w:val="00F95B63"/>
    <w:rsid w:val="00F95BAC"/>
    <w:rsid w:val="00F95E7A"/>
    <w:rsid w:val="00F967C2"/>
    <w:rsid w:val="00F96EE5"/>
    <w:rsid w:val="00F9711A"/>
    <w:rsid w:val="00FA0128"/>
    <w:rsid w:val="00FA09F9"/>
    <w:rsid w:val="00FA182B"/>
    <w:rsid w:val="00FA1AEB"/>
    <w:rsid w:val="00FA2E2D"/>
    <w:rsid w:val="00FA3451"/>
    <w:rsid w:val="00FA34C7"/>
    <w:rsid w:val="00FA38D5"/>
    <w:rsid w:val="00FA3E60"/>
    <w:rsid w:val="00FA4045"/>
    <w:rsid w:val="00FA4EB6"/>
    <w:rsid w:val="00FA50D5"/>
    <w:rsid w:val="00FA53EA"/>
    <w:rsid w:val="00FA54FC"/>
    <w:rsid w:val="00FA754F"/>
    <w:rsid w:val="00FB0B83"/>
    <w:rsid w:val="00FB240D"/>
    <w:rsid w:val="00FB3508"/>
    <w:rsid w:val="00FB3B55"/>
    <w:rsid w:val="00FB440E"/>
    <w:rsid w:val="00FB4768"/>
    <w:rsid w:val="00FB4FBA"/>
    <w:rsid w:val="00FB51EB"/>
    <w:rsid w:val="00FB577B"/>
    <w:rsid w:val="00FB6180"/>
    <w:rsid w:val="00FB63F3"/>
    <w:rsid w:val="00FB63F5"/>
    <w:rsid w:val="00FB68EA"/>
    <w:rsid w:val="00FB6E1E"/>
    <w:rsid w:val="00FB6E89"/>
    <w:rsid w:val="00FC0B08"/>
    <w:rsid w:val="00FC0E48"/>
    <w:rsid w:val="00FC1229"/>
    <w:rsid w:val="00FC2038"/>
    <w:rsid w:val="00FC22C8"/>
    <w:rsid w:val="00FC26D0"/>
    <w:rsid w:val="00FC2A37"/>
    <w:rsid w:val="00FC2FB1"/>
    <w:rsid w:val="00FC46B3"/>
    <w:rsid w:val="00FC4DBD"/>
    <w:rsid w:val="00FC517F"/>
    <w:rsid w:val="00FC5636"/>
    <w:rsid w:val="00FC57AB"/>
    <w:rsid w:val="00FC611B"/>
    <w:rsid w:val="00FC62AE"/>
    <w:rsid w:val="00FC6344"/>
    <w:rsid w:val="00FC6831"/>
    <w:rsid w:val="00FC7917"/>
    <w:rsid w:val="00FD0023"/>
    <w:rsid w:val="00FD00AF"/>
    <w:rsid w:val="00FD01E1"/>
    <w:rsid w:val="00FD046D"/>
    <w:rsid w:val="00FD0898"/>
    <w:rsid w:val="00FD11AD"/>
    <w:rsid w:val="00FD1994"/>
    <w:rsid w:val="00FD1B03"/>
    <w:rsid w:val="00FD2585"/>
    <w:rsid w:val="00FD278F"/>
    <w:rsid w:val="00FD2824"/>
    <w:rsid w:val="00FD3A26"/>
    <w:rsid w:val="00FD3B36"/>
    <w:rsid w:val="00FD421E"/>
    <w:rsid w:val="00FD533E"/>
    <w:rsid w:val="00FD5AF2"/>
    <w:rsid w:val="00FD5C7F"/>
    <w:rsid w:val="00FD63C1"/>
    <w:rsid w:val="00FD64C4"/>
    <w:rsid w:val="00FD798B"/>
    <w:rsid w:val="00FE093E"/>
    <w:rsid w:val="00FE12C8"/>
    <w:rsid w:val="00FE1AC0"/>
    <w:rsid w:val="00FE3054"/>
    <w:rsid w:val="00FE3096"/>
    <w:rsid w:val="00FE3149"/>
    <w:rsid w:val="00FE3B1C"/>
    <w:rsid w:val="00FE3F88"/>
    <w:rsid w:val="00FE5D8F"/>
    <w:rsid w:val="00FE6EB2"/>
    <w:rsid w:val="00FE7A68"/>
    <w:rsid w:val="00FF02D1"/>
    <w:rsid w:val="00FF057F"/>
    <w:rsid w:val="00FF0681"/>
    <w:rsid w:val="00FF0888"/>
    <w:rsid w:val="00FF154C"/>
    <w:rsid w:val="00FF27A9"/>
    <w:rsid w:val="00FF39D2"/>
    <w:rsid w:val="00FF3DBC"/>
    <w:rsid w:val="00FF3E9B"/>
    <w:rsid w:val="00FF420A"/>
    <w:rsid w:val="00FF42E2"/>
    <w:rsid w:val="00FF4757"/>
    <w:rsid w:val="00FF5531"/>
    <w:rsid w:val="00FF68DF"/>
    <w:rsid w:val="00FF7146"/>
    <w:rsid w:val="00FF7277"/>
    <w:rsid w:val="00FF7774"/>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69E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D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0B"/>
    <w:pPr>
      <w:tabs>
        <w:tab w:val="center" w:pos="4513"/>
        <w:tab w:val="right" w:pos="9026"/>
      </w:tabs>
    </w:pPr>
  </w:style>
  <w:style w:type="character" w:customStyle="1" w:styleId="HeaderChar">
    <w:name w:val="Header Char"/>
    <w:basedOn w:val="DefaultParagraphFont"/>
    <w:link w:val="Header"/>
    <w:uiPriority w:val="99"/>
    <w:rsid w:val="00D0640B"/>
  </w:style>
  <w:style w:type="paragraph" w:styleId="Footer">
    <w:name w:val="footer"/>
    <w:basedOn w:val="Normal"/>
    <w:link w:val="FooterChar"/>
    <w:uiPriority w:val="99"/>
    <w:unhideWhenUsed/>
    <w:rsid w:val="00D0640B"/>
    <w:pPr>
      <w:tabs>
        <w:tab w:val="center" w:pos="4513"/>
        <w:tab w:val="right" w:pos="9026"/>
      </w:tabs>
    </w:pPr>
  </w:style>
  <w:style w:type="character" w:customStyle="1" w:styleId="FooterChar">
    <w:name w:val="Footer Char"/>
    <w:basedOn w:val="DefaultParagraphFont"/>
    <w:link w:val="Footer"/>
    <w:uiPriority w:val="99"/>
    <w:rsid w:val="00D0640B"/>
  </w:style>
  <w:style w:type="paragraph" w:styleId="BalloonText">
    <w:name w:val="Balloon Text"/>
    <w:basedOn w:val="Normal"/>
    <w:link w:val="BalloonTextChar"/>
    <w:uiPriority w:val="99"/>
    <w:semiHidden/>
    <w:unhideWhenUsed/>
    <w:rsid w:val="00D0640B"/>
    <w:rPr>
      <w:rFonts w:ascii="Tahoma" w:hAnsi="Tahoma" w:cs="Tahoma"/>
      <w:sz w:val="16"/>
      <w:szCs w:val="16"/>
    </w:rPr>
  </w:style>
  <w:style w:type="character" w:customStyle="1" w:styleId="BalloonTextChar">
    <w:name w:val="Balloon Text Char"/>
    <w:basedOn w:val="DefaultParagraphFont"/>
    <w:link w:val="BalloonText"/>
    <w:uiPriority w:val="99"/>
    <w:semiHidden/>
    <w:rsid w:val="00D0640B"/>
    <w:rPr>
      <w:rFonts w:ascii="Tahoma" w:hAnsi="Tahoma" w:cs="Tahoma"/>
      <w:sz w:val="16"/>
      <w:szCs w:val="16"/>
    </w:rPr>
  </w:style>
  <w:style w:type="paragraph" w:styleId="NoSpacing">
    <w:name w:val="No Spacing"/>
    <w:link w:val="NoSpacingChar"/>
    <w:uiPriority w:val="1"/>
    <w:qFormat/>
    <w:rsid w:val="00D0640B"/>
    <w:pPr>
      <w:spacing w:after="0" w:line="240" w:lineRule="auto"/>
    </w:pPr>
  </w:style>
  <w:style w:type="table" w:styleId="TableGrid">
    <w:name w:val="Table Grid"/>
    <w:basedOn w:val="TableNormal"/>
    <w:uiPriority w:val="59"/>
    <w:rsid w:val="002E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261FC5"/>
    <w:pPr>
      <w:spacing w:after="160" w:line="240" w:lineRule="exact"/>
    </w:pPr>
    <w:rPr>
      <w:rFonts w:ascii="Verdana" w:hAnsi="Verdana"/>
      <w:sz w:val="20"/>
      <w:szCs w:val="20"/>
      <w:lang w:val="en-US"/>
    </w:rPr>
  </w:style>
  <w:style w:type="character" w:customStyle="1" w:styleId="NoSpacingChar">
    <w:name w:val="No Spacing Char"/>
    <w:basedOn w:val="DefaultParagraphFont"/>
    <w:link w:val="NoSpacing"/>
    <w:uiPriority w:val="1"/>
    <w:rsid w:val="00D073A2"/>
  </w:style>
  <w:style w:type="paragraph" w:customStyle="1" w:styleId="Default">
    <w:name w:val="Default"/>
    <w:rsid w:val="008D25D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aliases w:val="lev2 list"/>
    <w:basedOn w:val="Normal"/>
    <w:link w:val="ListParagraphChar"/>
    <w:uiPriority w:val="34"/>
    <w:qFormat/>
    <w:rsid w:val="000A20C0"/>
    <w:pPr>
      <w:ind w:left="720"/>
      <w:contextualSpacing/>
    </w:pPr>
  </w:style>
  <w:style w:type="paragraph" w:customStyle="1" w:styleId="TableParagraph">
    <w:name w:val="Table Paragraph"/>
    <w:basedOn w:val="Normal"/>
    <w:uiPriority w:val="1"/>
    <w:qFormat/>
    <w:rsid w:val="00840EED"/>
    <w:pPr>
      <w:widowControl w:val="0"/>
      <w:autoSpaceDE w:val="0"/>
      <w:autoSpaceDN w:val="0"/>
      <w:ind w:left="107"/>
    </w:pPr>
    <w:rPr>
      <w:rFonts w:eastAsia="Arial" w:cs="Arial"/>
      <w:sz w:val="22"/>
      <w:szCs w:val="22"/>
      <w:lang w:val="en-US" w:bidi="en-US"/>
    </w:rPr>
  </w:style>
  <w:style w:type="paragraph" w:styleId="BodyText">
    <w:name w:val="Body Text"/>
    <w:basedOn w:val="Normal"/>
    <w:link w:val="BodyTextChar"/>
    <w:uiPriority w:val="99"/>
    <w:semiHidden/>
    <w:unhideWhenUsed/>
    <w:rsid w:val="004D72C5"/>
    <w:pPr>
      <w:spacing w:after="120"/>
    </w:pPr>
  </w:style>
  <w:style w:type="character" w:customStyle="1" w:styleId="BodyTextChar">
    <w:name w:val="Body Text Char"/>
    <w:basedOn w:val="DefaultParagraphFont"/>
    <w:link w:val="BodyText"/>
    <w:uiPriority w:val="99"/>
    <w:semiHidden/>
    <w:rsid w:val="004D72C5"/>
    <w:rPr>
      <w:rFonts w:ascii="Arial" w:eastAsia="Times New Roman" w:hAnsi="Arial" w:cs="Times New Roman"/>
      <w:sz w:val="24"/>
      <w:szCs w:val="24"/>
    </w:rPr>
  </w:style>
  <w:style w:type="paragraph" w:styleId="CommentText">
    <w:name w:val="annotation text"/>
    <w:basedOn w:val="Normal"/>
    <w:link w:val="CommentTextChar"/>
    <w:uiPriority w:val="99"/>
    <w:semiHidden/>
    <w:unhideWhenUsed/>
    <w:rsid w:val="00322625"/>
    <w:rPr>
      <w:sz w:val="20"/>
      <w:szCs w:val="20"/>
    </w:rPr>
  </w:style>
  <w:style w:type="character" w:customStyle="1" w:styleId="CommentTextChar">
    <w:name w:val="Comment Text Char"/>
    <w:basedOn w:val="DefaultParagraphFont"/>
    <w:link w:val="CommentText"/>
    <w:uiPriority w:val="99"/>
    <w:semiHidden/>
    <w:rsid w:val="00322625"/>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22625"/>
    <w:rPr>
      <w:sz w:val="16"/>
      <w:szCs w:val="16"/>
    </w:rPr>
  </w:style>
  <w:style w:type="paragraph" w:styleId="CommentSubject">
    <w:name w:val="annotation subject"/>
    <w:basedOn w:val="CommentText"/>
    <w:next w:val="CommentText"/>
    <w:link w:val="CommentSubjectChar"/>
    <w:uiPriority w:val="99"/>
    <w:semiHidden/>
    <w:unhideWhenUsed/>
    <w:rsid w:val="00BC6723"/>
    <w:rPr>
      <w:b/>
      <w:bCs/>
    </w:rPr>
  </w:style>
  <w:style w:type="character" w:customStyle="1" w:styleId="CommentSubjectChar">
    <w:name w:val="Comment Subject Char"/>
    <w:basedOn w:val="CommentTextChar"/>
    <w:link w:val="CommentSubject"/>
    <w:uiPriority w:val="99"/>
    <w:semiHidden/>
    <w:rsid w:val="00BC6723"/>
    <w:rPr>
      <w:rFonts w:ascii="Arial" w:eastAsia="Times New Roman" w:hAnsi="Arial" w:cs="Times New Roman"/>
      <w:b/>
      <w:bCs/>
      <w:sz w:val="20"/>
      <w:szCs w:val="20"/>
    </w:rPr>
  </w:style>
  <w:style w:type="character" w:styleId="Hyperlink">
    <w:name w:val="Hyperlink"/>
    <w:basedOn w:val="DefaultParagraphFont"/>
    <w:uiPriority w:val="99"/>
    <w:unhideWhenUsed/>
    <w:rsid w:val="00A11E69"/>
    <w:rPr>
      <w:color w:val="0000FF" w:themeColor="hyperlink"/>
      <w:u w:val="single"/>
    </w:rPr>
  </w:style>
  <w:style w:type="character" w:styleId="FollowedHyperlink">
    <w:name w:val="FollowedHyperlink"/>
    <w:basedOn w:val="DefaultParagraphFont"/>
    <w:uiPriority w:val="99"/>
    <w:semiHidden/>
    <w:unhideWhenUsed/>
    <w:rsid w:val="008F76CB"/>
    <w:rPr>
      <w:color w:val="800080" w:themeColor="followedHyperlink"/>
      <w:u w:val="single"/>
    </w:rPr>
  </w:style>
  <w:style w:type="table" w:customStyle="1" w:styleId="TableGrid1">
    <w:name w:val="Table Grid1"/>
    <w:basedOn w:val="TableNormal"/>
    <w:next w:val="TableGrid"/>
    <w:uiPriority w:val="59"/>
    <w:rsid w:val="0091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v2 list Char"/>
    <w:link w:val="ListParagraph"/>
    <w:uiPriority w:val="34"/>
    <w:locked/>
    <w:rsid w:val="00916A4D"/>
    <w:rPr>
      <w:rFonts w:ascii="Arial" w:eastAsia="Times New Roman" w:hAnsi="Arial" w:cs="Times New Roman"/>
      <w:sz w:val="24"/>
      <w:szCs w:val="24"/>
    </w:rPr>
  </w:style>
  <w:style w:type="table" w:customStyle="1" w:styleId="TableGrid2">
    <w:name w:val="Table Grid2"/>
    <w:basedOn w:val="TableNormal"/>
    <w:next w:val="TableGrid"/>
    <w:uiPriority w:val="59"/>
    <w:rsid w:val="0013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D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0B"/>
    <w:pPr>
      <w:tabs>
        <w:tab w:val="center" w:pos="4513"/>
        <w:tab w:val="right" w:pos="9026"/>
      </w:tabs>
    </w:pPr>
  </w:style>
  <w:style w:type="character" w:customStyle="1" w:styleId="HeaderChar">
    <w:name w:val="Header Char"/>
    <w:basedOn w:val="DefaultParagraphFont"/>
    <w:link w:val="Header"/>
    <w:uiPriority w:val="99"/>
    <w:rsid w:val="00D0640B"/>
  </w:style>
  <w:style w:type="paragraph" w:styleId="Footer">
    <w:name w:val="footer"/>
    <w:basedOn w:val="Normal"/>
    <w:link w:val="FooterChar"/>
    <w:uiPriority w:val="99"/>
    <w:unhideWhenUsed/>
    <w:rsid w:val="00D0640B"/>
    <w:pPr>
      <w:tabs>
        <w:tab w:val="center" w:pos="4513"/>
        <w:tab w:val="right" w:pos="9026"/>
      </w:tabs>
    </w:pPr>
  </w:style>
  <w:style w:type="character" w:customStyle="1" w:styleId="FooterChar">
    <w:name w:val="Footer Char"/>
    <w:basedOn w:val="DefaultParagraphFont"/>
    <w:link w:val="Footer"/>
    <w:uiPriority w:val="99"/>
    <w:rsid w:val="00D0640B"/>
  </w:style>
  <w:style w:type="paragraph" w:styleId="BalloonText">
    <w:name w:val="Balloon Text"/>
    <w:basedOn w:val="Normal"/>
    <w:link w:val="BalloonTextChar"/>
    <w:uiPriority w:val="99"/>
    <w:semiHidden/>
    <w:unhideWhenUsed/>
    <w:rsid w:val="00D0640B"/>
    <w:rPr>
      <w:rFonts w:ascii="Tahoma" w:hAnsi="Tahoma" w:cs="Tahoma"/>
      <w:sz w:val="16"/>
      <w:szCs w:val="16"/>
    </w:rPr>
  </w:style>
  <w:style w:type="character" w:customStyle="1" w:styleId="BalloonTextChar">
    <w:name w:val="Balloon Text Char"/>
    <w:basedOn w:val="DefaultParagraphFont"/>
    <w:link w:val="BalloonText"/>
    <w:uiPriority w:val="99"/>
    <w:semiHidden/>
    <w:rsid w:val="00D0640B"/>
    <w:rPr>
      <w:rFonts w:ascii="Tahoma" w:hAnsi="Tahoma" w:cs="Tahoma"/>
      <w:sz w:val="16"/>
      <w:szCs w:val="16"/>
    </w:rPr>
  </w:style>
  <w:style w:type="paragraph" w:styleId="NoSpacing">
    <w:name w:val="No Spacing"/>
    <w:link w:val="NoSpacingChar"/>
    <w:uiPriority w:val="1"/>
    <w:qFormat/>
    <w:rsid w:val="00D0640B"/>
    <w:pPr>
      <w:spacing w:after="0" w:line="240" w:lineRule="auto"/>
    </w:pPr>
  </w:style>
  <w:style w:type="table" w:styleId="TableGrid">
    <w:name w:val="Table Grid"/>
    <w:basedOn w:val="TableNormal"/>
    <w:uiPriority w:val="59"/>
    <w:rsid w:val="002E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261FC5"/>
    <w:pPr>
      <w:spacing w:after="160" w:line="240" w:lineRule="exact"/>
    </w:pPr>
    <w:rPr>
      <w:rFonts w:ascii="Verdana" w:hAnsi="Verdana"/>
      <w:sz w:val="20"/>
      <w:szCs w:val="20"/>
      <w:lang w:val="en-US"/>
    </w:rPr>
  </w:style>
  <w:style w:type="character" w:customStyle="1" w:styleId="NoSpacingChar">
    <w:name w:val="No Spacing Char"/>
    <w:basedOn w:val="DefaultParagraphFont"/>
    <w:link w:val="NoSpacing"/>
    <w:uiPriority w:val="1"/>
    <w:rsid w:val="00D073A2"/>
  </w:style>
  <w:style w:type="paragraph" w:customStyle="1" w:styleId="Default">
    <w:name w:val="Default"/>
    <w:rsid w:val="008D25D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aliases w:val="lev2 list"/>
    <w:basedOn w:val="Normal"/>
    <w:link w:val="ListParagraphChar"/>
    <w:uiPriority w:val="34"/>
    <w:qFormat/>
    <w:rsid w:val="000A20C0"/>
    <w:pPr>
      <w:ind w:left="720"/>
      <w:contextualSpacing/>
    </w:pPr>
  </w:style>
  <w:style w:type="paragraph" w:customStyle="1" w:styleId="TableParagraph">
    <w:name w:val="Table Paragraph"/>
    <w:basedOn w:val="Normal"/>
    <w:uiPriority w:val="1"/>
    <w:qFormat/>
    <w:rsid w:val="00840EED"/>
    <w:pPr>
      <w:widowControl w:val="0"/>
      <w:autoSpaceDE w:val="0"/>
      <w:autoSpaceDN w:val="0"/>
      <w:ind w:left="107"/>
    </w:pPr>
    <w:rPr>
      <w:rFonts w:eastAsia="Arial" w:cs="Arial"/>
      <w:sz w:val="22"/>
      <w:szCs w:val="22"/>
      <w:lang w:val="en-US" w:bidi="en-US"/>
    </w:rPr>
  </w:style>
  <w:style w:type="paragraph" w:styleId="BodyText">
    <w:name w:val="Body Text"/>
    <w:basedOn w:val="Normal"/>
    <w:link w:val="BodyTextChar"/>
    <w:uiPriority w:val="99"/>
    <w:semiHidden/>
    <w:unhideWhenUsed/>
    <w:rsid w:val="004D72C5"/>
    <w:pPr>
      <w:spacing w:after="120"/>
    </w:pPr>
  </w:style>
  <w:style w:type="character" w:customStyle="1" w:styleId="BodyTextChar">
    <w:name w:val="Body Text Char"/>
    <w:basedOn w:val="DefaultParagraphFont"/>
    <w:link w:val="BodyText"/>
    <w:uiPriority w:val="99"/>
    <w:semiHidden/>
    <w:rsid w:val="004D72C5"/>
    <w:rPr>
      <w:rFonts w:ascii="Arial" w:eastAsia="Times New Roman" w:hAnsi="Arial" w:cs="Times New Roman"/>
      <w:sz w:val="24"/>
      <w:szCs w:val="24"/>
    </w:rPr>
  </w:style>
  <w:style w:type="paragraph" w:styleId="CommentText">
    <w:name w:val="annotation text"/>
    <w:basedOn w:val="Normal"/>
    <w:link w:val="CommentTextChar"/>
    <w:uiPriority w:val="99"/>
    <w:semiHidden/>
    <w:unhideWhenUsed/>
    <w:rsid w:val="00322625"/>
    <w:rPr>
      <w:sz w:val="20"/>
      <w:szCs w:val="20"/>
    </w:rPr>
  </w:style>
  <w:style w:type="character" w:customStyle="1" w:styleId="CommentTextChar">
    <w:name w:val="Comment Text Char"/>
    <w:basedOn w:val="DefaultParagraphFont"/>
    <w:link w:val="CommentText"/>
    <w:uiPriority w:val="99"/>
    <w:semiHidden/>
    <w:rsid w:val="00322625"/>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22625"/>
    <w:rPr>
      <w:sz w:val="16"/>
      <w:szCs w:val="16"/>
    </w:rPr>
  </w:style>
  <w:style w:type="paragraph" w:styleId="CommentSubject">
    <w:name w:val="annotation subject"/>
    <w:basedOn w:val="CommentText"/>
    <w:next w:val="CommentText"/>
    <w:link w:val="CommentSubjectChar"/>
    <w:uiPriority w:val="99"/>
    <w:semiHidden/>
    <w:unhideWhenUsed/>
    <w:rsid w:val="00BC6723"/>
    <w:rPr>
      <w:b/>
      <w:bCs/>
    </w:rPr>
  </w:style>
  <w:style w:type="character" w:customStyle="1" w:styleId="CommentSubjectChar">
    <w:name w:val="Comment Subject Char"/>
    <w:basedOn w:val="CommentTextChar"/>
    <w:link w:val="CommentSubject"/>
    <w:uiPriority w:val="99"/>
    <w:semiHidden/>
    <w:rsid w:val="00BC6723"/>
    <w:rPr>
      <w:rFonts w:ascii="Arial" w:eastAsia="Times New Roman" w:hAnsi="Arial" w:cs="Times New Roman"/>
      <w:b/>
      <w:bCs/>
      <w:sz w:val="20"/>
      <w:szCs w:val="20"/>
    </w:rPr>
  </w:style>
  <w:style w:type="character" w:styleId="Hyperlink">
    <w:name w:val="Hyperlink"/>
    <w:basedOn w:val="DefaultParagraphFont"/>
    <w:uiPriority w:val="99"/>
    <w:unhideWhenUsed/>
    <w:rsid w:val="00A11E69"/>
    <w:rPr>
      <w:color w:val="0000FF" w:themeColor="hyperlink"/>
      <w:u w:val="single"/>
    </w:rPr>
  </w:style>
  <w:style w:type="character" w:styleId="FollowedHyperlink">
    <w:name w:val="FollowedHyperlink"/>
    <w:basedOn w:val="DefaultParagraphFont"/>
    <w:uiPriority w:val="99"/>
    <w:semiHidden/>
    <w:unhideWhenUsed/>
    <w:rsid w:val="008F76CB"/>
    <w:rPr>
      <w:color w:val="800080" w:themeColor="followedHyperlink"/>
      <w:u w:val="single"/>
    </w:rPr>
  </w:style>
  <w:style w:type="table" w:customStyle="1" w:styleId="TableGrid1">
    <w:name w:val="Table Grid1"/>
    <w:basedOn w:val="TableNormal"/>
    <w:next w:val="TableGrid"/>
    <w:uiPriority w:val="59"/>
    <w:rsid w:val="0091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v2 list Char"/>
    <w:link w:val="ListParagraph"/>
    <w:uiPriority w:val="34"/>
    <w:locked/>
    <w:rsid w:val="00916A4D"/>
    <w:rPr>
      <w:rFonts w:ascii="Arial" w:eastAsia="Times New Roman" w:hAnsi="Arial" w:cs="Times New Roman"/>
      <w:sz w:val="24"/>
      <w:szCs w:val="24"/>
    </w:rPr>
  </w:style>
  <w:style w:type="table" w:customStyle="1" w:styleId="TableGrid2">
    <w:name w:val="Table Grid2"/>
    <w:basedOn w:val="TableNormal"/>
    <w:next w:val="TableGrid"/>
    <w:uiPriority w:val="59"/>
    <w:rsid w:val="0013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383781">
      <w:bodyDiv w:val="1"/>
      <w:marLeft w:val="0"/>
      <w:marRight w:val="0"/>
      <w:marTop w:val="0"/>
      <w:marBottom w:val="0"/>
      <w:divBdr>
        <w:top w:val="none" w:sz="0" w:space="0" w:color="auto"/>
        <w:left w:val="none" w:sz="0" w:space="0" w:color="auto"/>
        <w:bottom w:val="none" w:sz="0" w:space="0" w:color="auto"/>
        <w:right w:val="none" w:sz="0" w:space="0" w:color="auto"/>
      </w:divBdr>
      <w:divsChild>
        <w:div w:id="1381244352">
          <w:marLeft w:val="0"/>
          <w:marRight w:val="0"/>
          <w:marTop w:val="300"/>
          <w:marBottom w:val="300"/>
          <w:divBdr>
            <w:top w:val="single" w:sz="6" w:space="15" w:color="C0C0C0"/>
            <w:left w:val="single" w:sz="6" w:space="15" w:color="C0C0C0"/>
            <w:bottom w:val="single" w:sz="6" w:space="15" w:color="C0C0C0"/>
            <w:right w:val="single" w:sz="6" w:space="15" w:color="C0C0C0"/>
          </w:divBdr>
          <w:divsChild>
            <w:div w:id="495338006">
              <w:marLeft w:val="0"/>
              <w:marRight w:val="0"/>
              <w:marTop w:val="0"/>
              <w:marBottom w:val="0"/>
              <w:divBdr>
                <w:top w:val="none" w:sz="0" w:space="0" w:color="auto"/>
                <w:left w:val="none" w:sz="0" w:space="0" w:color="auto"/>
                <w:bottom w:val="none" w:sz="0" w:space="0" w:color="auto"/>
                <w:right w:val="none" w:sz="0" w:space="0" w:color="auto"/>
              </w:divBdr>
              <w:divsChild>
                <w:div w:id="398747673">
                  <w:marLeft w:val="0"/>
                  <w:marRight w:val="0"/>
                  <w:marTop w:val="0"/>
                  <w:marBottom w:val="0"/>
                  <w:divBdr>
                    <w:top w:val="none" w:sz="0" w:space="0" w:color="auto"/>
                    <w:left w:val="none" w:sz="0" w:space="0" w:color="auto"/>
                    <w:bottom w:val="none" w:sz="0" w:space="0" w:color="auto"/>
                    <w:right w:val="none" w:sz="0" w:space="0" w:color="auto"/>
                  </w:divBdr>
                  <w:divsChild>
                    <w:div w:id="1828739809">
                      <w:marLeft w:val="0"/>
                      <w:marRight w:val="0"/>
                      <w:marTop w:val="0"/>
                      <w:marBottom w:val="0"/>
                      <w:divBdr>
                        <w:top w:val="none" w:sz="0" w:space="0" w:color="auto"/>
                        <w:left w:val="none" w:sz="0" w:space="0" w:color="auto"/>
                        <w:bottom w:val="none" w:sz="0" w:space="0" w:color="auto"/>
                        <w:right w:val="none" w:sz="0" w:space="0" w:color="auto"/>
                      </w:divBdr>
                      <w:divsChild>
                        <w:div w:id="15933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87160">
      <w:bodyDiv w:val="1"/>
      <w:marLeft w:val="0"/>
      <w:marRight w:val="0"/>
      <w:marTop w:val="0"/>
      <w:marBottom w:val="0"/>
      <w:divBdr>
        <w:top w:val="none" w:sz="0" w:space="0" w:color="auto"/>
        <w:left w:val="none" w:sz="0" w:space="0" w:color="auto"/>
        <w:bottom w:val="none" w:sz="0" w:space="0" w:color="auto"/>
        <w:right w:val="none" w:sz="0" w:space="0" w:color="auto"/>
      </w:divBdr>
      <w:divsChild>
        <w:div w:id="27633047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cqc.org.uk/usingcareservices/essentialstandardsofqualityandsafety.cf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edwayjsna.info/jsna-appendices-other.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medwayjsna.info/" TargetMode="External"/><Relationship Id="rId23" Type="http://schemas.openxmlformats.org/officeDocument/2006/relationships/footer" Target="footer2.xml"/><Relationship Id="rId10" Type="http://schemas.microsoft.com/office/2007/relationships/stylesWithEffects" Target="stylesWithEffects.xml"/><Relationship Id="rId19" Type="http://schemas.openxmlformats.org/officeDocument/2006/relationships/hyperlink" Target="http://www.medwayswaleformulary.co.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Default</Synchronization>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10006</Type>
    <SequenceNumber>104</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CG xmlns="89b70e76-7869-4396-907e-57270fc3cfa7">Medway</CCG>
    <TaxKeywordTaxHTField xmlns="a3bb9bf7-f30d-41b4-8fc9-31e240910f34">
      <Terms xmlns="http://schemas.microsoft.com/office/infopath/2007/PartnerControls"/>
    </TaxKeywordTaxHTField>
    <IconOverlay xmlns="http://schemas.microsoft.com/sharepoint/v4" xsi:nil="true"/>
    <TaxCatchAll xmlns="a3bb9bf7-f30d-41b4-8fc9-31e240910f3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1c6c060b-a8d5-4c04-ba24-3254307eb85d" local="false">
  <p:Name>Document Retention (30 years) </p:Name>
  <p:Description>The fundamental principle of retention/disposal criteria is to identify those file series which can be destroyed at pre-determined dates or which need to be retained for specific reasons. It aims to set down certain parameters for those files which fall in either of the above areas and the general guidelines detail those parameters.</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30</number>
            <property>Modified</property>
            <period>years</period>
          </formula>
          <action type="action" id="Microsoft.Office.RecordsManagement.PolicyFeatures.Expiration.Action.MoveToRecycleBin"/>
        </data>
      </p:CustomData>
    </p:PolicyItem>
  </p:PolicyItems>
</p:Policy>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KMC Document" ma:contentTypeID="0x010100D69BD41B3D3BD249B918A59F97003A5F00A7D2D12A21D5E14E87B73EAE1D6FB163" ma:contentTypeVersion="322" ma:contentTypeDescription="Create new document with associated metadata" ma:contentTypeScope="" ma:versionID="9aa26482b1521278dcb648fa59d2ccf7">
  <xsd:schema xmlns:xsd="http://www.w3.org/2001/XMLSchema" xmlns:xs="http://www.w3.org/2001/XMLSchema" xmlns:p="http://schemas.microsoft.com/office/2006/metadata/properties" xmlns:ns2="a3bb9bf7-f30d-41b4-8fc9-31e240910f34" xmlns:ns3="89b70e76-7869-4396-907e-57270fc3cfa7" xmlns:ns4="http://schemas.microsoft.com/sharepoint/v4" targetNamespace="http://schemas.microsoft.com/office/2006/metadata/properties" ma:root="true" ma:fieldsID="9c33934922ccc874e47e4b359125f6d6" ns2:_="" ns3:_="" ns4:_="">
    <xsd:import namespace="a3bb9bf7-f30d-41b4-8fc9-31e240910f34"/>
    <xsd:import namespace="89b70e76-7869-4396-907e-57270fc3cfa7"/>
    <xsd:import namespace="http://schemas.microsoft.com/sharepoint/v4"/>
    <xsd:element name="properties">
      <xsd:complexType>
        <xsd:sequence>
          <xsd:element name="documentManagement">
            <xsd:complexType>
              <xsd:all>
                <xsd:element ref="ns2:_dlc_Exempt" minOccurs="0"/>
                <xsd:element ref="ns2:_dlc_ExpireDateSaved" minOccurs="0"/>
                <xsd:element ref="ns2:_dlc_ExpireDate"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3:CCG"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b9bf7-f30d-41b4-8fc9-31e240910f34"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element name="_dlc_ExpireDateSaved" ma:index="9" nillable="true" ma:displayName="Original Expiration Date" ma:description=""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20b4f509-811e-41b5-9419-54197673dce4"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c2db0fa7-31e0-4cde-89f1-fe62254258f9}" ma:internalName="TaxCatchAll" ma:showField="CatchAllData" ma:web="c9eeb844-7786-4a75-8e83-37c05df00c8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c2db0fa7-31e0-4cde-89f1-fe62254258f9}" ma:internalName="TaxCatchAllLabel" ma:readOnly="true" ma:showField="CatchAllDataLabel" ma:web="c9eeb844-7786-4a75-8e83-37c05df00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b70e76-7869-4396-907e-57270fc3cfa7" elementFormDefault="qualified">
    <xsd:import namespace="http://schemas.microsoft.com/office/2006/documentManagement/types"/>
    <xsd:import namespace="http://schemas.microsoft.com/office/infopath/2007/PartnerControls"/>
    <xsd:element name="CCG" ma:index="18" nillable="true" ma:displayName="CCG" ma:internalName="CC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D46C-3927-4352-9E59-75DE8AEEC4E2}">
  <ds:schemaRefs>
    <ds:schemaRef ds:uri="http://schemas.microsoft.com/sharepoint/events"/>
  </ds:schemaRefs>
</ds:datastoreItem>
</file>

<file path=customXml/itemProps2.xml><?xml version="1.0" encoding="utf-8"?>
<ds:datastoreItem xmlns:ds="http://schemas.openxmlformats.org/officeDocument/2006/customXml" ds:itemID="{5A04BD1F-8CA3-4FC7-8AF0-D4FC0606FD17}">
  <ds:schemaRefs>
    <ds:schemaRef ds:uri="http://schemas.microsoft.com/office/2006/metadata/properties"/>
    <ds:schemaRef ds:uri="http://schemas.microsoft.com/office/infopath/2007/PartnerControls"/>
    <ds:schemaRef ds:uri="89b70e76-7869-4396-907e-57270fc3cfa7"/>
    <ds:schemaRef ds:uri="a3bb9bf7-f30d-41b4-8fc9-31e240910f34"/>
    <ds:schemaRef ds:uri="http://schemas.microsoft.com/sharepoint/v4"/>
  </ds:schemaRefs>
</ds:datastoreItem>
</file>

<file path=customXml/itemProps3.xml><?xml version="1.0" encoding="utf-8"?>
<ds:datastoreItem xmlns:ds="http://schemas.openxmlformats.org/officeDocument/2006/customXml" ds:itemID="{3C5E1828-B277-41A0-95E4-28DDA04A55EA}">
  <ds:schemaRefs>
    <ds:schemaRef ds:uri="http://schemas.microsoft.com/sharepoint/v3/contenttype/forms"/>
  </ds:schemaRefs>
</ds:datastoreItem>
</file>

<file path=customXml/itemProps4.xml><?xml version="1.0" encoding="utf-8"?>
<ds:datastoreItem xmlns:ds="http://schemas.openxmlformats.org/officeDocument/2006/customXml" ds:itemID="{C2FD95B1-57F1-45EA-8CDC-C7F07373ED5E}">
  <ds:schemaRefs>
    <ds:schemaRef ds:uri="office.server.policy"/>
  </ds:schemaRefs>
</ds:datastoreItem>
</file>

<file path=customXml/itemProps5.xml><?xml version="1.0" encoding="utf-8"?>
<ds:datastoreItem xmlns:ds="http://schemas.openxmlformats.org/officeDocument/2006/customXml" ds:itemID="{0F6595F8-CEC8-48B5-ADC9-F8CC8B4A6444}">
  <ds:schemaRefs>
    <ds:schemaRef ds:uri="http://schemas.microsoft.com/office/2006/metadata/customXsn"/>
  </ds:schemaRefs>
</ds:datastoreItem>
</file>

<file path=customXml/itemProps6.xml><?xml version="1.0" encoding="utf-8"?>
<ds:datastoreItem xmlns:ds="http://schemas.openxmlformats.org/officeDocument/2006/customXml" ds:itemID="{3F5FC9FF-1FAC-4948-96DE-F6145C23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b9bf7-f30d-41b4-8fc9-31e240910f34"/>
    <ds:schemaRef ds:uri="89b70e76-7869-4396-907e-57270fc3cf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1C0EDA8-F681-485E-A229-E879618D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13643</Words>
  <Characters>77769</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91230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Cahill</dc:creator>
  <cp:lastModifiedBy>Alice Donovan</cp:lastModifiedBy>
  <cp:revision>2</cp:revision>
  <cp:lastPrinted>2018-06-28T15:04:00Z</cp:lastPrinted>
  <dcterms:created xsi:type="dcterms:W3CDTF">2018-11-13T19:53:00Z</dcterms:created>
  <dcterms:modified xsi:type="dcterms:W3CDTF">2018-11-13T19:53:00Z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0x010100D69BD41B3D3BD249B918A59F97003A5F00A7D2D12A21D5E14E87B73EAE1D6FB163</vt:lpwstr>
  </property>
  <property fmtid="{D5CDD505-2E9C-101B-9397-08002B2CF9AE}" pid="3" name="TaxKeyword">
    <vt:lpwstr/>
  </property>
  <property fmtid="{D5CDD505-2E9C-101B-9397-08002B2CF9AE}" pid="4" name="_dlc_policyId">
    <vt:lpwstr/>
  </property>
  <property fmtid="{D5CDD505-2E9C-101B-9397-08002B2CF9AE}" pid="5" name="ItemRetentionFormula">
    <vt:lpwstr/>
  </property>
</Properties>
</file>