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0FE" w:rsidRDefault="00492B3E">
      <w:pPr>
        <w:pStyle w:val="Heading2"/>
      </w:pPr>
      <w:bookmarkStart w:id="0" w:name="_heading=h.gjdgxs" w:colFirst="0" w:colLast="0"/>
      <w:bookmarkEnd w:id="0"/>
      <w:r>
        <w:t>Order Form Template, Statement of Work Template and Call-Off Schedules</w:t>
      </w:r>
    </w:p>
    <w:p w:rsidR="00FB50FE" w:rsidRDefault="00FB50FE"/>
    <w:p w:rsidR="00FB50FE" w:rsidRDefault="00492B3E">
      <w:pPr>
        <w:pStyle w:val="Heading3"/>
      </w:pPr>
      <w:r>
        <w:t>Order Form</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Reference</w:t>
      </w:r>
      <w:r>
        <w:rPr>
          <w:rFonts w:ascii="Arial" w:eastAsia="Arial" w:hAnsi="Arial" w:cs="Arial"/>
          <w:color w:val="000000"/>
        </w:rPr>
        <w:t xml:space="preserve"> CCZN23A14</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Title</w:t>
      </w:r>
      <w:r>
        <w:rPr>
          <w:rFonts w:ascii="Arial" w:eastAsia="Arial" w:hAnsi="Arial" w:cs="Arial"/>
          <w:color w:val="000000"/>
        </w:rPr>
        <w:t>: Provision of Digital Drawdown - Salesforce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Contract Description:</w:t>
      </w:r>
      <w:r>
        <w:rPr>
          <w:rFonts w:ascii="Arial" w:eastAsia="Arial" w:hAnsi="Arial" w:cs="Arial"/>
          <w:color w:val="000000"/>
        </w:rPr>
        <w:t xml:space="preserve"> </w:t>
      </w:r>
      <w:r>
        <w:rPr>
          <w:rFonts w:ascii="Arial" w:eastAsia="Arial" w:hAnsi="Arial" w:cs="Arial"/>
          <w:color w:val="444746"/>
        </w:rPr>
        <w:t>This contract is for the provision of digital service for the development of Salesforce applications.</w:t>
      </w:r>
    </w:p>
    <w:p w:rsidR="00FB50FE" w:rsidRDefault="00492B3E">
      <w:pPr>
        <w:widowControl w:val="0"/>
        <w:pBdr>
          <w:top w:val="nil"/>
          <w:left w:val="nil"/>
          <w:bottom w:val="nil"/>
          <w:right w:val="nil"/>
          <w:between w:val="nil"/>
        </w:pBdr>
        <w:spacing w:before="120" w:after="120"/>
        <w:rPr>
          <w:rFonts w:ascii="Arial" w:eastAsia="Arial" w:hAnsi="Arial" w:cs="Arial"/>
          <w:color w:val="444746"/>
          <w:highlight w:val="white"/>
        </w:rPr>
      </w:pPr>
      <w:r>
        <w:rPr>
          <w:rFonts w:ascii="Arial" w:eastAsia="Arial" w:hAnsi="Arial" w:cs="Arial"/>
          <w:b/>
          <w:color w:val="000000"/>
        </w:rPr>
        <w:t>The Buyer</w:t>
      </w:r>
      <w:r>
        <w:rPr>
          <w:rFonts w:ascii="Arial" w:eastAsia="Arial" w:hAnsi="Arial" w:cs="Arial"/>
          <w:color w:val="444746"/>
        </w:rPr>
        <w:t>: Cabinet Office</w:t>
      </w:r>
      <w:r>
        <w:rPr>
          <w:rFonts w:ascii="Arial" w:eastAsia="Arial" w:hAnsi="Arial" w:cs="Arial"/>
          <w:color w:val="000000"/>
          <w:highlight w:val="white"/>
        </w:rPr>
        <w:t xml:space="preserve"> </w:t>
      </w:r>
    </w:p>
    <w:p w:rsidR="003471B2"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Buyer Address:</w:t>
      </w:r>
      <w:r>
        <w:rPr>
          <w:rFonts w:ascii="Arial" w:eastAsia="Arial" w:hAnsi="Arial" w:cs="Arial"/>
          <w:color w:val="000000"/>
        </w:rPr>
        <w:t xml:space="preserve"> </w:t>
      </w:r>
    </w:p>
    <w:p w:rsidR="00FB50FE" w:rsidRDefault="003471B2">
      <w:pPr>
        <w:widowControl w:val="0"/>
        <w:pBdr>
          <w:top w:val="nil"/>
          <w:left w:val="nil"/>
          <w:bottom w:val="nil"/>
          <w:right w:val="nil"/>
          <w:between w:val="nil"/>
        </w:pBdr>
        <w:spacing w:before="120" w:after="120"/>
        <w:rPr>
          <w:rFonts w:ascii="Arial" w:eastAsia="Arial" w:hAnsi="Arial" w:cs="Arial"/>
          <w:color w:val="000000"/>
        </w:rPr>
      </w:pPr>
      <w:bookmarkStart w:id="1" w:name="_Hlk149124196"/>
      <w:r w:rsidRPr="003471B2">
        <w:rPr>
          <w:rFonts w:ascii="Arial" w:eastAsia="Arial" w:hAnsi="Arial" w:cs="Arial"/>
          <w:b/>
          <w:color w:val="000000"/>
        </w:rPr>
        <w:t>REDACTED TEXT under FOIA Section 40, Personal Information</w:t>
      </w:r>
    </w:p>
    <w:bookmarkEnd w:id="1"/>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The Supplier:</w:t>
      </w:r>
      <w:r>
        <w:rPr>
          <w:rFonts w:ascii="Arial" w:eastAsia="Arial" w:hAnsi="Arial" w:cs="Arial"/>
          <w:color w:val="000000"/>
        </w:rPr>
        <w:t xml:space="preserve"> </w:t>
      </w:r>
      <w:proofErr w:type="spellStart"/>
      <w:r>
        <w:rPr>
          <w:rFonts w:ascii="Arial" w:eastAsia="Arial" w:hAnsi="Arial" w:cs="Arial"/>
          <w:color w:val="000000"/>
        </w:rPr>
        <w:t>Xansium</w:t>
      </w:r>
      <w:proofErr w:type="spellEnd"/>
      <w:r>
        <w:rPr>
          <w:rFonts w:ascii="Arial" w:eastAsia="Arial" w:hAnsi="Arial" w:cs="Arial"/>
          <w:color w:val="000000"/>
        </w:rPr>
        <w:t xml:space="preserve"> Consulting Ltd</w:t>
      </w:r>
    </w:p>
    <w:p w:rsidR="003471B2" w:rsidRDefault="00492B3E" w:rsidP="003471B2">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Supplier Address:</w:t>
      </w:r>
      <w:r>
        <w:rPr>
          <w:rFonts w:ascii="Arial" w:eastAsia="Arial" w:hAnsi="Arial" w:cs="Arial"/>
          <w:color w:val="000000"/>
        </w:rPr>
        <w:t xml:space="preserve"> </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Registration Number:</w:t>
      </w:r>
      <w:r>
        <w:rPr>
          <w:rFonts w:ascii="Arial" w:eastAsia="Arial" w:hAnsi="Arial" w:cs="Arial"/>
          <w:color w:val="000000"/>
        </w:rPr>
        <w:t xml:space="preserve"> </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DUNS Number:</w:t>
      </w:r>
      <w:r>
        <w:rPr>
          <w:rFonts w:ascii="Arial" w:eastAsia="Arial" w:hAnsi="Arial" w:cs="Arial"/>
          <w:color w:val="000000"/>
        </w:rPr>
        <w:t xml:space="preserve"> </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highlight w:val="yellow"/>
        </w:rPr>
      </w:pPr>
      <w:r>
        <w:rPr>
          <w:rFonts w:ascii="Arial" w:eastAsia="Arial" w:hAnsi="Arial" w:cs="Arial"/>
          <w:b/>
          <w:color w:val="000000"/>
        </w:rPr>
        <w:t>SID4GOV ID:</w:t>
      </w:r>
      <w:r>
        <w:rPr>
          <w:rFonts w:ascii="Arial" w:eastAsia="Arial" w:hAnsi="Arial" w:cs="Arial"/>
          <w:color w:val="000000"/>
        </w:rPr>
        <w:t xml:space="preserve"> </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3471B2" w:rsidRDefault="003471B2">
      <w:pPr>
        <w:widowControl w:val="0"/>
        <w:pBdr>
          <w:top w:val="nil"/>
          <w:left w:val="nil"/>
          <w:bottom w:val="nil"/>
          <w:right w:val="nil"/>
          <w:between w:val="nil"/>
        </w:pBdr>
        <w:spacing w:before="120" w:after="120"/>
        <w:rPr>
          <w:rFonts w:ascii="Arial" w:eastAsia="Arial" w:hAnsi="Arial" w:cs="Arial"/>
          <w:color w:val="000000"/>
        </w:rPr>
      </w:pP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pageBreakBefore/>
        <w:rPr>
          <w:sz w:val="24"/>
          <w:szCs w:val="24"/>
        </w:rPr>
      </w:pPr>
      <w:r>
        <w:rPr>
          <w:sz w:val="24"/>
          <w:szCs w:val="24"/>
        </w:rPr>
        <w:lastRenderedPageBreak/>
        <w:t>Applicable Framework Contract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This Order F</w:t>
      </w:r>
      <w:r>
        <w:rPr>
          <w:rFonts w:ascii="Arial" w:eastAsia="Arial" w:hAnsi="Arial" w:cs="Arial"/>
        </w:rPr>
        <w:t>orm is for the provision of the Call-Off Deliverables and dated</w:t>
      </w:r>
      <w:r>
        <w:rPr>
          <w:rFonts w:ascii="Arial" w:eastAsia="Arial" w:hAnsi="Arial" w:cs="Arial"/>
          <w:b/>
        </w:rPr>
        <w:t xml:space="preserve"> 5 October 2023</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It’s issued under the Framework Contract with the reference number RM1043.8 for the provision of Digital Outcomes Deliverables.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agree that when a Buyer seeks Deliverables from the Supplier under the Call-Off Contract, the Buyer and Supplier will agree and execute a Statement of Work (in the form of the template set out in Annex 1 to this Framework Schedule 6 (Order Form Template, Statement of Work Template and Call-Off Schedules).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Upon the execution of each Statement of Work it shall become incorporated into the Buyer and Supplier’s Call-Off Contract.</w:t>
      </w:r>
    </w:p>
    <w:p w:rsidR="00FB50FE" w:rsidRDefault="00492B3E">
      <w:pPr>
        <w:pStyle w:val="Heading4"/>
        <w:rPr>
          <w:sz w:val="24"/>
          <w:szCs w:val="24"/>
        </w:rPr>
      </w:pPr>
      <w:r>
        <w:rPr>
          <w:sz w:val="24"/>
          <w:szCs w:val="24"/>
        </w:rPr>
        <w:t>Call-Off Lot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Lot 1 – Digital Outcomes</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Call-Off Incorporated Terms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following documents are incorporated into this Call-Off Contract. Where numbers are missing we are not using those schedules. If the documents conflict, the following order of precedence applies:</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This Order Form </w:t>
      </w:r>
      <w:r>
        <w:rPr>
          <w:rFonts w:ascii="Arial" w:eastAsia="Arial" w:hAnsi="Arial" w:cs="Arial"/>
        </w:rPr>
        <w:t>includes</w:t>
      </w:r>
      <w:r>
        <w:rPr>
          <w:rFonts w:ascii="Arial" w:eastAsia="Arial" w:hAnsi="Arial" w:cs="Arial"/>
          <w:color w:val="000000"/>
        </w:rPr>
        <w:t xml:space="preserve"> the Call-Off Special Terms and Call-Off Special Schedules.</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1 (Definitions) RM1043.8</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Framework Special Terms</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The following Schedules in equal order of precedence:</w:t>
      </w:r>
    </w:p>
    <w:p w:rsidR="00FB50FE" w:rsidRDefault="00492B3E">
      <w:pPr>
        <w:widowControl w:val="0"/>
        <w:numPr>
          <w:ilvl w:val="0"/>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Schedules for RM1043.8</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2 (Variation Form)</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3 (Insurance Requirements)</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4 (Commercially Sensitive Information)</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Joint Schedule 6 (Key Subcontractors)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10 (Rectification Plan)</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11 (Processing Data) RM1043.8</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Joint Schedule 12 (Supply Chain Visibility) </w:t>
      </w:r>
    </w:p>
    <w:p w:rsidR="00FB50FE" w:rsidRDefault="00FB50FE">
      <w:pPr>
        <w:widowControl w:val="0"/>
        <w:pBdr>
          <w:top w:val="nil"/>
          <w:left w:val="nil"/>
          <w:bottom w:val="nil"/>
          <w:right w:val="nil"/>
          <w:between w:val="nil"/>
        </w:pBdr>
        <w:spacing w:before="120" w:after="120"/>
        <w:ind w:left="720"/>
        <w:rPr>
          <w:rFonts w:ascii="Arial" w:eastAsia="Arial" w:hAnsi="Arial" w:cs="Arial"/>
          <w:color w:val="000000"/>
        </w:rPr>
      </w:pPr>
    </w:p>
    <w:p w:rsidR="00FB50FE" w:rsidRDefault="00492B3E">
      <w:pPr>
        <w:pageBreakBefore/>
        <w:widowControl w:val="0"/>
        <w:numPr>
          <w:ilvl w:val="0"/>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lastRenderedPageBreak/>
        <w:t>Call-Off Schedules for RM1043.8</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1 (Transparency Reports)</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2 (Staff Transfer)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3 (Continuous Improvement)</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5 (Pricing Details and Expenses Policy)</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6 (Intellectual Property Rights and Additional Terms on Digital Deliverables)</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7 (Key Supplier Staff)</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8 (Business Continuity and Disaster Recovery)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10 (Exit Management)</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13 (Implementation Plan and Testing)</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14 (Service Levels and Balanced Scorecard)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15 (Call-Off Contract Management)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18 (Background Checks)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20 (Call-Off Specification)</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25 (Ethical Walls Agreement) </w:t>
      </w:r>
    </w:p>
    <w:p w:rsidR="00FB50FE" w:rsidRDefault="00492B3E">
      <w:pPr>
        <w:widowControl w:val="0"/>
        <w:numPr>
          <w:ilvl w:val="1"/>
          <w:numId w:val="6"/>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Call-Off Schedule 26 (Cyber Essentials Scheme) </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CCS Core Terms (version 3.0.11)</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Joint Schedule 5 (Corporate Social Responsibility) RM1043.8</w:t>
      </w:r>
    </w:p>
    <w:p w:rsidR="00FB50FE" w:rsidRDefault="00492B3E">
      <w:pPr>
        <w:widowControl w:val="0"/>
        <w:numPr>
          <w:ilvl w:val="0"/>
          <w:numId w:val="5"/>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Call-Off Schedule 4 (Call-Off Tender) as long as any parts of the Call-Off Tender that offer a better commercial position for the Buyer (as decided by the Buyer) take precedence over the documents above.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 other Supplier terms are part of the Call-Off Contract. That includes any terms written on the back of, added to this Order Form, or presented at the time of delivery.</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Call-Off Special Terms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following Special Terms are incorporated into this Call-Off Contract: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Special Term 1 – (replaced Call-Off Schedule 9 (Security)): </w:t>
      </w:r>
      <w:r>
        <w:rPr>
          <w:rFonts w:ascii="Arial" w:eastAsia="Arial" w:hAnsi="Arial" w:cs="Arial"/>
          <w:color w:val="000000"/>
        </w:rPr>
        <w:tab/>
      </w:r>
      <w:r>
        <w:rPr>
          <w:rFonts w:ascii="Arial" w:eastAsia="Arial" w:hAnsi="Arial" w:cs="Arial"/>
          <w:color w:val="000000"/>
        </w:rPr>
        <w:tab/>
      </w:r>
    </w:p>
    <w:p w:rsidR="00FB50FE" w:rsidRDefault="00492B3E">
      <w:pPr>
        <w:widowControl w:val="0"/>
        <w:numPr>
          <w:ilvl w:val="0"/>
          <w:numId w:val="4"/>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Security Management Schedule (Developer) v1.0</w:t>
      </w:r>
    </w:p>
    <w:p w:rsidR="00FB50FE" w:rsidRDefault="00492B3E">
      <w:pPr>
        <w:widowControl w:val="0"/>
        <w:numPr>
          <w:ilvl w:val="0"/>
          <w:numId w:val="4"/>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Security Management Plan v1.0</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rPr>
        <w:t>Call-Off Start Date:</w:t>
      </w:r>
      <w:r>
        <w:rPr>
          <w:rFonts w:ascii="Arial" w:eastAsia="Arial" w:hAnsi="Arial" w:cs="Arial"/>
        </w:rPr>
        <w:t xml:space="preserve"> 16 October 2023</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rPr>
        <w:t xml:space="preserve">Call-Off Expiry Date: </w:t>
      </w:r>
      <w:r>
        <w:rPr>
          <w:rFonts w:ascii="Arial" w:eastAsia="Arial" w:hAnsi="Arial" w:cs="Arial"/>
        </w:rPr>
        <w:t>15 October 2025</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Initial Period:</w:t>
      </w:r>
      <w:r>
        <w:rPr>
          <w:rFonts w:ascii="Arial" w:eastAsia="Arial" w:hAnsi="Arial" w:cs="Arial"/>
          <w:color w:val="000000"/>
        </w:rPr>
        <w:t xml:space="preserve"> 24 months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Optional Extension Period:</w:t>
      </w:r>
      <w:r>
        <w:rPr>
          <w:rFonts w:ascii="Arial" w:eastAsia="Arial" w:hAnsi="Arial" w:cs="Arial"/>
          <w:color w:val="000000"/>
        </w:rPr>
        <w:t xml:space="preserve"> 12 months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Minimum Notice Period for Extensions:</w:t>
      </w:r>
      <w:r>
        <w:rPr>
          <w:rFonts w:ascii="Arial" w:eastAsia="Arial" w:hAnsi="Arial" w:cs="Arial"/>
          <w:color w:val="000000"/>
        </w:rPr>
        <w:t xml:space="preserve"> 1 month</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lastRenderedPageBreak/>
        <w:t>Call-Off Contract Value:</w:t>
      </w:r>
      <w:r>
        <w:rPr>
          <w:rFonts w:ascii="Arial" w:eastAsia="Arial" w:hAnsi="Arial" w:cs="Arial"/>
          <w:color w:val="000000"/>
        </w:rPr>
        <w:t xml:space="preserve"> The contract value for the initial two (2) years is up to £</w:t>
      </w:r>
      <w:r>
        <w:rPr>
          <w:rFonts w:ascii="Arial" w:eastAsia="Arial" w:hAnsi="Arial" w:cs="Arial"/>
        </w:rPr>
        <w:t>2,000,000.00</w:t>
      </w:r>
      <w:r>
        <w:rPr>
          <w:rFonts w:ascii="Arial" w:eastAsia="Arial" w:hAnsi="Arial" w:cs="Arial"/>
          <w:color w:val="000000"/>
        </w:rPr>
        <w:t xml:space="preserve"> (up to a further estimated £1</w:t>
      </w:r>
      <w:r>
        <w:rPr>
          <w:rFonts w:ascii="Arial" w:eastAsia="Arial" w:hAnsi="Arial" w:cs="Arial"/>
        </w:rPr>
        <w:t xml:space="preserve">,000,000.00 </w:t>
      </w:r>
      <w:r>
        <w:rPr>
          <w:rFonts w:ascii="Arial" w:eastAsia="Arial" w:hAnsi="Arial" w:cs="Arial"/>
          <w:color w:val="000000"/>
        </w:rPr>
        <w:t>to accommodate any options to extend or vary the contract; this will be subject to further internal approval)</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Call-Off Deliverable</w:t>
      </w:r>
    </w:p>
    <w:p w:rsidR="00FB50FE" w:rsidRDefault="00492B3E">
      <w:pPr>
        <w:pStyle w:val="Heading4"/>
        <w:rPr>
          <w:b w:val="0"/>
          <w:sz w:val="24"/>
          <w:szCs w:val="24"/>
        </w:rPr>
      </w:pPr>
      <w:r>
        <w:rPr>
          <w:b w:val="0"/>
          <w:sz w:val="24"/>
          <w:szCs w:val="24"/>
        </w:rPr>
        <w:t>Option B: See details in Call-Off Schedule 20 (Call-Off Specification)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Warranty Period</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Supplier shall provide digital and Software Deliverables with a minimum warranty of at least 90 days against all obvious defects, and in relation to the warranties detailed in Paragraphs 4 (licensed Software warranty) and 9.6.2 (Specially Written Software and New IPRs) of Call-Off Schedule 6 (IPRs and Additional Terms on Digital Deliverables).</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Buyer’s Standards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Buyer’s additional Standards.</w:t>
      </w:r>
    </w:p>
    <w:p w:rsidR="00FB50FE" w:rsidRDefault="00492B3E">
      <w:pPr>
        <w:rPr>
          <w:rFonts w:ascii="Arial" w:eastAsia="Arial" w:hAnsi="Arial" w:cs="Arial"/>
        </w:rPr>
      </w:pPr>
      <w:r>
        <w:rPr>
          <w:rFonts w:ascii="Arial" w:eastAsia="Arial" w:hAnsi="Arial" w:cs="Arial"/>
        </w:rPr>
        <w:t>The Supplier is to meet the Standards referenced in the Statement of Requirement</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Cyber Essentials Scheme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Buyer requires the Supplier, in accordance with Call-Off Schedule 26 (Cyber Essentials Scheme) to provide a Cyber Essentials Plus Certificate prior to commencing the provision of any Deliverables under this Call-Off Contract.</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Maximum Liability</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limitation of liability for this Call-Off Contract is stated in Clause 11.2 of the Core Terms as amended by the Framework Award Form Special Terms.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The Estimated Year 1 Charges used to calculate liability in the first Contract Year is £1,000,000.00 Estimated Charges in the first 12 months of the Contract. </w:t>
      </w:r>
    </w:p>
    <w:p w:rsidR="00FB50FE" w:rsidRDefault="00492B3E">
      <w:pPr>
        <w:pStyle w:val="Heading4"/>
        <w:rPr>
          <w:sz w:val="24"/>
          <w:szCs w:val="24"/>
        </w:rPr>
      </w:pPr>
      <w:r>
        <w:rPr>
          <w:sz w:val="24"/>
          <w:szCs w:val="24"/>
        </w:rPr>
        <w:t>Call-Off Charges</w:t>
      </w:r>
    </w:p>
    <w:p w:rsidR="00FB50FE" w:rsidRDefault="00492B3E">
      <w:pPr>
        <w:widowControl w:val="0"/>
        <w:numPr>
          <w:ilvl w:val="0"/>
          <w:numId w:val="7"/>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Capped Time and Materials (CTM)</w:t>
      </w:r>
    </w:p>
    <w:p w:rsidR="00FB50FE" w:rsidRDefault="00492B3E">
      <w:pPr>
        <w:widowControl w:val="0"/>
        <w:numPr>
          <w:ilvl w:val="0"/>
          <w:numId w:val="7"/>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Incremental Fixed Price</w:t>
      </w:r>
    </w:p>
    <w:p w:rsidR="00FB50FE" w:rsidRDefault="00492B3E">
      <w:pPr>
        <w:widowControl w:val="0"/>
        <w:numPr>
          <w:ilvl w:val="0"/>
          <w:numId w:val="7"/>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Time and Materials (T&amp;M)</w:t>
      </w:r>
    </w:p>
    <w:p w:rsidR="00FB50FE" w:rsidRDefault="00492B3E">
      <w:pPr>
        <w:widowControl w:val="0"/>
        <w:numPr>
          <w:ilvl w:val="0"/>
          <w:numId w:val="7"/>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Fixed Price</w:t>
      </w:r>
    </w:p>
    <w:p w:rsidR="00FB50FE" w:rsidRDefault="00492B3E">
      <w:pPr>
        <w:widowControl w:val="0"/>
        <w:numPr>
          <w:ilvl w:val="0"/>
          <w:numId w:val="7"/>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A combination of two or more of the above Charging methods.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Where non-UK Supplier Staff (including Subcontractors) are used to provide any element of the Deliverables under this Call-Off Contract, the applicable rate card(s) </w:t>
      </w:r>
      <w:r>
        <w:rPr>
          <w:rFonts w:ascii="Arial" w:eastAsia="Arial" w:hAnsi="Arial" w:cs="Arial"/>
          <w:color w:val="000000"/>
        </w:rPr>
        <w:lastRenderedPageBreak/>
        <w:t>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All changes to the Charges must use procedures that are equivalent to those in Paragraph 4 in Framework Schedule 3 (Framework Prices).</w:t>
      </w:r>
    </w:p>
    <w:p w:rsidR="00FB50FE" w:rsidRDefault="00492B3E">
      <w:pPr>
        <w:pStyle w:val="Heading4"/>
        <w:rPr>
          <w:sz w:val="24"/>
          <w:szCs w:val="24"/>
        </w:rPr>
      </w:pPr>
      <w:r>
        <w:rPr>
          <w:sz w:val="24"/>
          <w:szCs w:val="24"/>
        </w:rPr>
        <w:t>Reimbursable Expenses</w:t>
      </w:r>
    </w:p>
    <w:p w:rsidR="00FB50FE" w:rsidRDefault="00492B3E">
      <w:pPr>
        <w:rPr>
          <w:rFonts w:ascii="Arial" w:eastAsia="Arial" w:hAnsi="Arial" w:cs="Arial"/>
        </w:rPr>
      </w:pPr>
      <w:r>
        <w:rPr>
          <w:rFonts w:ascii="Arial" w:eastAsia="Arial" w:hAnsi="Arial" w:cs="Arial"/>
        </w:rPr>
        <w:t>No expense reimbursement; unless agreed by the Buyer.</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Payment Method</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BACS</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spacing w:before="0"/>
        <w:rPr>
          <w:sz w:val="24"/>
          <w:szCs w:val="24"/>
        </w:rPr>
      </w:pPr>
      <w:r>
        <w:rPr>
          <w:sz w:val="24"/>
          <w:szCs w:val="24"/>
        </w:rPr>
        <w:t>Buyer’s Invoice Address</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3471B2" w:rsidRDefault="00492B3E" w:rsidP="003471B2">
      <w:pPr>
        <w:pStyle w:val="Heading4"/>
        <w:spacing w:before="0"/>
      </w:pPr>
      <w:r>
        <w:rPr>
          <w:sz w:val="24"/>
          <w:szCs w:val="24"/>
        </w:rPr>
        <w:t xml:space="preserve">Email address: </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492B3E">
      <w:pPr>
        <w:pStyle w:val="Heading4"/>
        <w:rPr>
          <w:sz w:val="24"/>
          <w:szCs w:val="24"/>
        </w:rPr>
      </w:pPr>
      <w:r>
        <w:rPr>
          <w:sz w:val="24"/>
          <w:szCs w:val="24"/>
        </w:rPr>
        <w:t>Buyer’s Authorised Representative</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FB50FE">
      <w:pPr>
        <w:widowControl w:val="0"/>
        <w:pBdr>
          <w:top w:val="nil"/>
          <w:left w:val="nil"/>
          <w:bottom w:val="nil"/>
          <w:right w:val="nil"/>
          <w:between w:val="nil"/>
        </w:pBdr>
        <w:spacing w:before="120" w:after="120"/>
        <w:ind w:left="357"/>
        <w:rPr>
          <w:rFonts w:ascii="Arial" w:eastAsia="Arial" w:hAnsi="Arial" w:cs="Arial"/>
          <w:color w:val="000000"/>
        </w:rPr>
      </w:pPr>
    </w:p>
    <w:p w:rsidR="00FB50FE" w:rsidRDefault="00492B3E">
      <w:pPr>
        <w:pStyle w:val="Heading4"/>
        <w:rPr>
          <w:sz w:val="24"/>
          <w:szCs w:val="24"/>
        </w:rPr>
      </w:pPr>
      <w:r>
        <w:rPr>
          <w:sz w:val="24"/>
          <w:szCs w:val="24"/>
        </w:rPr>
        <w:t>Buyer’s Environmental Policy</w:t>
      </w:r>
    </w:p>
    <w:p w:rsidR="00FB50FE" w:rsidRDefault="00D27ED4">
      <w:pPr>
        <w:rPr>
          <w:rFonts w:ascii="Arial" w:eastAsia="Arial" w:hAnsi="Arial" w:cs="Arial"/>
        </w:rPr>
      </w:pPr>
      <w:hyperlink r:id="rId8">
        <w:r w:rsidR="00492B3E">
          <w:rPr>
            <w:rFonts w:ascii="Arial" w:eastAsia="Arial" w:hAnsi="Arial" w:cs="Arial"/>
            <w:color w:val="1155CC"/>
            <w:u w:val="single"/>
          </w:rPr>
          <w:t>https://www.gov.uk/government/publications/cabinet-office-environmental-policy-statement</w:t>
        </w:r>
      </w:hyperlink>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Buyer’s Security Policy</w:t>
      </w:r>
    </w:p>
    <w:p w:rsidR="00FB50FE" w:rsidRDefault="00492B3E">
      <w:pPr>
        <w:rPr>
          <w:rFonts w:ascii="Arial" w:eastAsia="Arial" w:hAnsi="Arial" w:cs="Arial"/>
        </w:rPr>
      </w:pPr>
      <w:r>
        <w:rPr>
          <w:rFonts w:ascii="Arial" w:eastAsia="Arial" w:hAnsi="Arial" w:cs="Arial"/>
        </w:rPr>
        <w:t xml:space="preserve">Refer to the Security Management Schedule (Developer) v1.0 </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Supplier’s Authorised Representative</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Supplier’s Contract Manager</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Progress Report Frequency</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w:t>
      </w:r>
      <w:r>
        <w:rPr>
          <w:rFonts w:ascii="Arial" w:eastAsia="Arial" w:hAnsi="Arial" w:cs="Arial"/>
          <w:b/>
          <w:color w:val="000000"/>
        </w:rPr>
        <w:t>nsert</w:t>
      </w:r>
      <w:r>
        <w:rPr>
          <w:rFonts w:ascii="Arial" w:eastAsia="Arial" w:hAnsi="Arial" w:cs="Arial"/>
          <w:color w:val="000000"/>
        </w:rPr>
        <w:t xml:space="preserve"> </w:t>
      </w:r>
      <w:r>
        <w:rPr>
          <w:rFonts w:ascii="Arial" w:eastAsia="Arial" w:hAnsi="Arial" w:cs="Arial"/>
          <w:b/>
          <w:color w:val="000000"/>
        </w:rPr>
        <w:t>report</w:t>
      </w:r>
      <w:r>
        <w:rPr>
          <w:rFonts w:ascii="Arial" w:eastAsia="Arial" w:hAnsi="Arial" w:cs="Arial"/>
          <w:color w:val="000000"/>
        </w:rPr>
        <w:t xml:space="preserve"> </w:t>
      </w:r>
      <w:r>
        <w:rPr>
          <w:rFonts w:ascii="Arial" w:eastAsia="Arial" w:hAnsi="Arial" w:cs="Arial"/>
          <w:b/>
          <w:color w:val="000000"/>
        </w:rPr>
        <w:t>frequency</w:t>
      </w:r>
      <w:r>
        <w:rPr>
          <w:rFonts w:ascii="Arial" w:eastAsia="Arial" w:hAnsi="Arial" w:cs="Arial"/>
          <w:color w:val="000000"/>
        </w:rPr>
        <w:t>: On the first Working Day of each calendar month or as to be agreed.</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Progress Meeting Frequency</w:t>
      </w:r>
    </w:p>
    <w:p w:rsidR="00FB50FE" w:rsidRDefault="00492B3E">
      <w:pPr>
        <w:rPr>
          <w:rFonts w:ascii="Arial" w:eastAsia="Arial" w:hAnsi="Arial" w:cs="Arial"/>
        </w:rPr>
      </w:pPr>
      <w:r>
        <w:rPr>
          <w:rFonts w:ascii="Arial" w:eastAsia="Arial" w:hAnsi="Arial" w:cs="Arial"/>
        </w:rPr>
        <w:t>At least monthly unless advised otherwise by Buyer</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Key Staff</w:t>
      </w:r>
    </w:p>
    <w:p w:rsidR="003471B2" w:rsidRDefault="003471B2" w:rsidP="003471B2">
      <w:pPr>
        <w:widowControl w:val="0"/>
        <w:pBdr>
          <w:top w:val="nil"/>
          <w:left w:val="nil"/>
          <w:bottom w:val="nil"/>
          <w:right w:val="nil"/>
          <w:between w:val="nil"/>
        </w:pBdr>
        <w:spacing w:before="120" w:after="120"/>
        <w:rPr>
          <w:rFonts w:ascii="Arial" w:eastAsia="Arial" w:hAnsi="Arial" w:cs="Arial"/>
          <w:color w:val="000000"/>
        </w:rPr>
      </w:pPr>
      <w:r w:rsidRPr="003471B2">
        <w:rPr>
          <w:rFonts w:ascii="Arial" w:eastAsia="Arial" w:hAnsi="Arial" w:cs="Arial"/>
          <w:b/>
          <w:color w:val="000000"/>
        </w:rPr>
        <w:t>REDACTED TEXT under FOIA Section 40, Personal Information</w:t>
      </w:r>
    </w:p>
    <w:p w:rsidR="003471B2" w:rsidRPr="003471B2" w:rsidRDefault="003471B2" w:rsidP="003471B2">
      <w:pPr>
        <w:pStyle w:val="Standard"/>
      </w:pPr>
    </w:p>
    <w:p w:rsidR="00FB50FE" w:rsidRDefault="00492B3E">
      <w:pPr>
        <w:widowControl w:val="0"/>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b/>
          <w:color w:val="000000"/>
        </w:rPr>
        <w:t>*</w:t>
      </w:r>
      <w:r>
        <w:rPr>
          <w:rFonts w:ascii="Arial" w:eastAsia="Arial" w:hAnsi="Arial" w:cs="Arial"/>
          <w:color w:val="000000"/>
        </w:rPr>
        <w:t>Worker Engagement Route – to be determined at Statement of Works (including whether inside or outside IR35 and whether there is a requirement to issue a Status Determination Statement)</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Key Subcontractor(s)</w:t>
      </w:r>
    </w:p>
    <w:p w:rsidR="00FB50FE" w:rsidRDefault="003471B2">
      <w:pPr>
        <w:pStyle w:val="Heading4"/>
        <w:rPr>
          <w:sz w:val="24"/>
          <w:szCs w:val="24"/>
        </w:rPr>
      </w:pPr>
      <w:r w:rsidRPr="003471B2">
        <w:rPr>
          <w:noProof/>
        </w:rPr>
        <w:drawing>
          <wp:inline distT="0" distB="0" distL="0" distR="0">
            <wp:extent cx="5727700" cy="177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177603"/>
                    </a:xfrm>
                    <a:prstGeom prst="rect">
                      <a:avLst/>
                    </a:prstGeom>
                    <a:noFill/>
                    <a:ln>
                      <a:noFill/>
                    </a:ln>
                  </pic:spPr>
                </pic:pic>
              </a:graphicData>
            </a:graphic>
          </wp:inline>
        </w:drawing>
      </w:r>
    </w:p>
    <w:p w:rsidR="00FB50FE" w:rsidRDefault="00492B3E">
      <w:pPr>
        <w:pStyle w:val="Heading4"/>
        <w:rPr>
          <w:sz w:val="24"/>
          <w:szCs w:val="24"/>
        </w:rPr>
      </w:pPr>
      <w:r>
        <w:rPr>
          <w:sz w:val="24"/>
          <w:szCs w:val="24"/>
        </w:rPr>
        <w:t>Commercially Sensitive Information</w:t>
      </w:r>
    </w:p>
    <w:p w:rsidR="00B8181F" w:rsidRPr="00B8181F" w:rsidRDefault="00B8181F" w:rsidP="00B8181F">
      <w:pPr>
        <w:pStyle w:val="Standard"/>
      </w:pPr>
    </w:p>
    <w:p w:rsidR="00FB50FE" w:rsidRPr="00B8181F" w:rsidRDefault="00492B3E">
      <w:pPr>
        <w:widowControl w:val="0"/>
        <w:pBdr>
          <w:top w:val="nil"/>
          <w:left w:val="nil"/>
          <w:bottom w:val="nil"/>
          <w:right w:val="nil"/>
          <w:between w:val="nil"/>
        </w:pBdr>
        <w:spacing w:before="120" w:after="120"/>
        <w:rPr>
          <w:rFonts w:ascii="Arial" w:eastAsia="Arial" w:hAnsi="Arial" w:cs="Arial"/>
          <w:b/>
          <w:color w:val="000000"/>
        </w:rPr>
      </w:pPr>
      <w:r w:rsidRPr="00B8181F">
        <w:rPr>
          <w:rFonts w:ascii="Arial" w:eastAsia="Arial" w:hAnsi="Arial" w:cs="Arial"/>
          <w:b/>
          <w:color w:val="000000"/>
        </w:rPr>
        <w:t>Supplier’s Commercially Sensitive Information</w:t>
      </w:r>
    </w:p>
    <w:p w:rsidR="00B14D44" w:rsidRDefault="00B14D44" w:rsidP="00B14D44">
      <w:pPr>
        <w:pStyle w:val="Heading4"/>
        <w:rPr>
          <w:sz w:val="24"/>
          <w:szCs w:val="24"/>
        </w:rPr>
      </w:pPr>
      <w:r w:rsidRPr="003471B2">
        <w:rPr>
          <w:noProof/>
        </w:rPr>
        <w:drawing>
          <wp:inline distT="0" distB="0" distL="0" distR="0" wp14:anchorId="52A0A502" wp14:editId="77E719BC">
            <wp:extent cx="5727700" cy="177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177603"/>
                    </a:xfrm>
                    <a:prstGeom prst="rect">
                      <a:avLst/>
                    </a:prstGeom>
                    <a:noFill/>
                    <a:ln>
                      <a:noFill/>
                    </a:ln>
                  </pic:spPr>
                </pic:pic>
              </a:graphicData>
            </a:graphic>
          </wp:inline>
        </w:drawing>
      </w:r>
    </w:p>
    <w:p w:rsidR="00B14D44" w:rsidRDefault="00B14D44" w:rsidP="00B14D44">
      <w:pPr>
        <w:pStyle w:val="Heading4"/>
        <w:rPr>
          <w:sz w:val="24"/>
          <w:szCs w:val="24"/>
        </w:rPr>
      </w:pPr>
      <w:r>
        <w:rPr>
          <w:sz w:val="24"/>
          <w:szCs w:val="24"/>
        </w:rPr>
        <w:t>Commercially Sensitive Information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bookmarkStart w:id="2" w:name="_GoBack"/>
      <w:bookmarkEnd w:id="2"/>
    </w:p>
    <w:p w:rsidR="00FB50FE" w:rsidRDefault="00492B3E">
      <w:pPr>
        <w:pStyle w:val="Heading4"/>
        <w:rPr>
          <w:sz w:val="24"/>
          <w:szCs w:val="24"/>
        </w:rPr>
      </w:pPr>
      <w:r>
        <w:rPr>
          <w:sz w:val="24"/>
          <w:szCs w:val="24"/>
        </w:rPr>
        <w:t>Balanced Scorecard</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See Call-Off Schedule 14 (Service Levels and Balanced Scorecard)</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Material KPIs</w:t>
      </w:r>
    </w:p>
    <w:p w:rsidR="00FB50FE" w:rsidRDefault="00492B3E">
      <w:pPr>
        <w:widowControl w:val="0"/>
        <w:pBdr>
          <w:top w:val="nil"/>
          <w:left w:val="nil"/>
          <w:bottom w:val="nil"/>
          <w:right w:val="nil"/>
          <w:between w:val="nil"/>
        </w:pBdr>
        <w:spacing w:before="120" w:after="120"/>
        <w:rPr>
          <w:rFonts w:ascii="Arial" w:eastAsia="Arial" w:hAnsi="Arial" w:cs="Arial"/>
          <w:color w:val="000000"/>
          <w:highlight w:val="white"/>
        </w:rPr>
      </w:pPr>
      <w:r>
        <w:rPr>
          <w:rFonts w:ascii="Arial" w:eastAsia="Arial" w:hAnsi="Arial" w:cs="Arial"/>
          <w:color w:val="000000"/>
        </w:rPr>
        <w:t>The following Material KPIs shall apply to this Call-Off Contract in accordance with Call-Off Schedule 14 (Service Leve</w:t>
      </w:r>
      <w:r>
        <w:rPr>
          <w:rFonts w:ascii="Arial" w:eastAsia="Arial" w:hAnsi="Arial" w:cs="Arial"/>
          <w:color w:val="000000"/>
          <w:highlight w:val="white"/>
        </w:rPr>
        <w:t>ls and Balanced Scorecard) and as set out in Attachment 3 - Statement of Requirement:</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Service Credits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Not applicable</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Additional Insurances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Not applicable</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Guarantee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Not applicable</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t>Social Value Commitment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Supplier agrees, in providing the Deliverables and performing its obligations under the Call-Off Contract, that it will comply with the social value commitments in Call-Off Schedule 4 (Call-Off Tender)</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4"/>
        <w:rPr>
          <w:sz w:val="24"/>
          <w:szCs w:val="24"/>
        </w:rPr>
      </w:pPr>
      <w:r>
        <w:rPr>
          <w:sz w:val="24"/>
          <w:szCs w:val="24"/>
        </w:rPr>
        <w:lastRenderedPageBreak/>
        <w:t>Statement of Works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During the Call-Off Contract Period, the Buyer and Supplier may agree and execute completed Statement of Works. Upon execution of a Statement of Work the provisions detailed therein shall be incorporated into the Call-Off Contract to which this Order Form relates.</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For and on behalf of the Supplier:</w:t>
      </w:r>
    </w:p>
    <w:p w:rsidR="003F50B0" w:rsidRDefault="00492B3E" w:rsidP="003F50B0">
      <w:pPr>
        <w:jc w:val="both"/>
        <w:outlineLvl w:val="0"/>
        <w:rPr>
          <w:rFonts w:ascii="Arial" w:eastAsia="Arial" w:hAnsi="Arial" w:cs="Arial"/>
          <w:b/>
          <w:color w:val="000000"/>
          <w:sz w:val="22"/>
          <w:szCs w:val="22"/>
          <w:shd w:val="clear" w:color="auto" w:fill="FFFF00"/>
        </w:rPr>
      </w:pPr>
      <w:r>
        <w:rPr>
          <w:rFonts w:ascii="Arial" w:eastAsia="Arial" w:hAnsi="Arial" w:cs="Arial"/>
          <w:color w:val="000000"/>
        </w:rPr>
        <w:t>Signature</w:t>
      </w:r>
      <w:r w:rsidRPr="003F50B0">
        <w:rPr>
          <w:rFonts w:ascii="Arial" w:eastAsia="Arial" w:hAnsi="Arial" w:cs="Arial"/>
          <w:color w:val="000000"/>
        </w:rPr>
        <w:t>:</w:t>
      </w:r>
      <w:r w:rsidR="003F50B0" w:rsidRP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Name: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Role: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Date: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For and on behalf of the Buyer: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Signature: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Name: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Role: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Date:</w:t>
      </w:r>
      <w:r w:rsidR="003F50B0">
        <w:rPr>
          <w:rFonts w:ascii="Arial" w:eastAsia="Arial" w:hAnsi="Arial" w:cs="Arial"/>
          <w:color w:val="000000"/>
        </w:rPr>
        <w:t xml:space="preserve"> </w:t>
      </w:r>
      <w:r w:rsidR="003F50B0" w:rsidRPr="003F50B0">
        <w:rPr>
          <w:rFonts w:ascii="Arial" w:eastAsia="Arial" w:hAnsi="Arial" w:cs="Arial"/>
          <w:b/>
          <w:color w:val="000000"/>
        </w:rPr>
        <w:t>REDACTED TEXT under FOIA Section 40, Personal Information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Buyer</w:t>
      </w:r>
      <w:r>
        <w:rPr>
          <w:rFonts w:ascii="Arial" w:eastAsia="Arial" w:hAnsi="Arial" w:cs="Arial"/>
          <w:color w:val="000000"/>
        </w:rPr>
        <w:t xml:space="preserve"> </w:t>
      </w:r>
      <w:r>
        <w:rPr>
          <w:rFonts w:ascii="Arial" w:eastAsia="Arial" w:hAnsi="Arial" w:cs="Arial"/>
          <w:b/>
          <w:color w:val="000000"/>
        </w:rPr>
        <w:t>guidance</w:t>
      </w:r>
      <w:r>
        <w:rPr>
          <w:rFonts w:ascii="Arial" w:eastAsia="Arial" w:hAnsi="Arial" w:cs="Arial"/>
          <w:color w:val="000000"/>
        </w:rPr>
        <w:t>: execution by seal / deed where required by the Buyer</w:t>
      </w:r>
    </w:p>
    <w:p w:rsidR="00FB50FE" w:rsidRDefault="00492B3E">
      <w:pPr>
        <w:pStyle w:val="Heading3"/>
        <w:pageBreakBefore/>
        <w:jc w:val="center"/>
      </w:pPr>
      <w:r>
        <w:lastRenderedPageBreak/>
        <w:t>Appendix 1</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rPr>
        <w:t>Both parties shall agree a Statement of Works as set out in the template below - Annex 1 (Template Statement of Work)</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p w:rsidR="00FB50FE" w:rsidRDefault="00492B3E">
      <w:pPr>
        <w:pStyle w:val="Heading3"/>
        <w:pageBreakBefore/>
        <w:jc w:val="center"/>
      </w:pPr>
      <w:r>
        <w:lastRenderedPageBreak/>
        <w:t>Annex 1 (Template Statement of Work)</w:t>
      </w:r>
    </w:p>
    <w:p w:rsidR="00FB50FE" w:rsidRDefault="00492B3E">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rPr>
        <w:t>Statement of Works (SOW) Details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Upon execution, this SOW forms part of the Call-Off Contract (reference below).</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All SOWs must fall within the Specification and provisions of the Call-Off Contact.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details set out within this SOW apply only in relation to the Deliverables detailed herein and will not apply to any other SOWs executed or to be executed under this Call-Off Contract, unless otherwise agreed by the Parties in writing.</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 xml:space="preserve">Date of SOW: </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Title:</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Reference:</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Call-Off Contract Reference:</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Buyer:</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Supplier:</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Start Date:</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End Date:</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Duration of SOW:</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Key Personnel (Buyer):</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Key Personnel (Supplier):</w:t>
      </w:r>
    </w:p>
    <w:p w:rsidR="00FB50FE" w:rsidRDefault="00FB50FE">
      <w:pPr>
        <w:widowControl w:val="0"/>
        <w:pBdr>
          <w:top w:val="nil"/>
          <w:left w:val="nil"/>
          <w:bottom w:val="nil"/>
          <w:right w:val="nil"/>
          <w:between w:val="nil"/>
        </w:pBdr>
        <w:spacing w:before="120" w:after="120"/>
        <w:rPr>
          <w:rFonts w:ascii="Arial" w:eastAsia="Arial" w:hAnsi="Arial" w:cs="Arial"/>
          <w:b/>
          <w:color w:val="000000"/>
        </w:rPr>
      </w:pPr>
    </w:p>
    <w:p w:rsidR="00FB50FE" w:rsidRDefault="00492B3E">
      <w:pPr>
        <w:widowControl w:val="0"/>
        <w:pBdr>
          <w:top w:val="nil"/>
          <w:left w:val="nil"/>
          <w:bottom w:val="nil"/>
          <w:right w:val="nil"/>
          <w:between w:val="nil"/>
        </w:pBdr>
        <w:spacing w:before="120" w:after="120"/>
        <w:rPr>
          <w:rFonts w:ascii="Arial" w:eastAsia="Arial" w:hAnsi="Arial" w:cs="Arial"/>
          <w:b/>
          <w:color w:val="000000"/>
        </w:rPr>
      </w:pPr>
      <w:r>
        <w:rPr>
          <w:rFonts w:ascii="Arial" w:eastAsia="Arial" w:hAnsi="Arial" w:cs="Arial"/>
          <w:b/>
          <w:color w:val="000000"/>
        </w:rPr>
        <w:t>Subcontractors:</w:t>
      </w:r>
    </w:p>
    <w:p w:rsidR="00FB50FE" w:rsidRDefault="00FB50FE">
      <w:pPr>
        <w:pageBreakBefore/>
        <w:rPr>
          <w:rFonts w:ascii="Arial" w:eastAsia="Arial" w:hAnsi="Arial" w:cs="Arial"/>
        </w:rPr>
      </w:pPr>
    </w:p>
    <w:p w:rsidR="00FB50FE" w:rsidRDefault="00492B3E">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rPr>
        <w:t>Call-Off Contract Specification – Deliverables Context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Deliverables Background</w:t>
      </w:r>
      <w:r>
        <w:rPr>
          <w:rFonts w:ascii="Arial" w:eastAsia="Arial" w:hAnsi="Arial" w:cs="Arial"/>
          <w:color w:val="000000"/>
        </w:rPr>
        <w:t xml:space="preserve">: </w:t>
      </w:r>
      <w:r>
        <w:rPr>
          <w:rFonts w:ascii="Arial" w:eastAsia="Arial" w:hAnsi="Arial" w:cs="Arial"/>
          <w:b/>
          <w:color w:val="000000"/>
        </w:rPr>
        <w:t>Insert</w:t>
      </w:r>
      <w:r>
        <w:rPr>
          <w:rFonts w:ascii="Arial" w:eastAsia="Arial" w:hAnsi="Arial" w:cs="Arial"/>
          <w:color w:val="000000"/>
        </w:rPr>
        <w:t xml:space="preserve"> details of which elements of the Deliverables this SOW will address]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Delivery phase(s)</w:t>
      </w:r>
      <w:r>
        <w:rPr>
          <w:rFonts w:ascii="Arial" w:eastAsia="Arial" w:hAnsi="Arial" w:cs="Arial"/>
          <w:color w:val="000000"/>
        </w:rPr>
        <w:t xml:space="preserve">: </w:t>
      </w:r>
      <w:r>
        <w:rPr>
          <w:rFonts w:ascii="Arial" w:eastAsia="Arial" w:hAnsi="Arial" w:cs="Arial"/>
          <w:b/>
          <w:color w:val="000000"/>
        </w:rPr>
        <w:t>Insert</w:t>
      </w:r>
      <w:r>
        <w:rPr>
          <w:rFonts w:ascii="Arial" w:eastAsia="Arial" w:hAnsi="Arial" w:cs="Arial"/>
          <w:color w:val="000000"/>
        </w:rPr>
        <w:t xml:space="preserve"> item and nature of Delivery phase(s), for example, Discovery, Alpha, Beta or Live]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Overview of Requirement</w:t>
      </w:r>
      <w:r>
        <w:rPr>
          <w:rFonts w:ascii="Arial" w:eastAsia="Arial" w:hAnsi="Arial" w:cs="Arial"/>
          <w:color w:val="000000"/>
        </w:rPr>
        <w:t xml:space="preserve">: </w:t>
      </w:r>
      <w:r>
        <w:rPr>
          <w:rFonts w:ascii="Arial" w:eastAsia="Arial" w:hAnsi="Arial" w:cs="Arial"/>
          <w:b/>
          <w:color w:val="000000"/>
        </w:rPr>
        <w:t>Insert</w:t>
      </w:r>
      <w:r>
        <w:rPr>
          <w:rFonts w:ascii="Arial" w:eastAsia="Arial" w:hAnsi="Arial" w:cs="Arial"/>
          <w:color w:val="000000"/>
        </w:rPr>
        <w:t xml:space="preserve"> details including Release Type(s), for example Ad hoc, Inception, Calibration or Delivery]</w:t>
      </w:r>
    </w:p>
    <w:p w:rsidR="00FB50FE" w:rsidRDefault="00FB50FE">
      <w:pPr>
        <w:widowControl w:val="0"/>
        <w:pBdr>
          <w:top w:val="nil"/>
          <w:left w:val="nil"/>
          <w:bottom w:val="nil"/>
          <w:right w:val="nil"/>
          <w:between w:val="nil"/>
        </w:pBdr>
        <w:spacing w:before="120" w:after="120"/>
        <w:ind w:left="432"/>
        <w:rPr>
          <w:rFonts w:ascii="Arial" w:eastAsia="Arial" w:hAnsi="Arial" w:cs="Arial"/>
          <w:color w:val="000000"/>
        </w:rPr>
      </w:pPr>
    </w:p>
    <w:p w:rsidR="00FB50FE" w:rsidRDefault="00492B3E">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rPr>
        <w:t>Buyer Requirements – SOW Deliverables</w:t>
      </w:r>
    </w:p>
    <w:p w:rsidR="00FB50FE" w:rsidRDefault="00492B3E">
      <w:pPr>
        <w:widowControl w:val="0"/>
        <w:pBdr>
          <w:top w:val="nil"/>
          <w:left w:val="nil"/>
          <w:bottom w:val="nil"/>
          <w:right w:val="nil"/>
          <w:between w:val="nil"/>
        </w:pBdr>
        <w:spacing w:before="120" w:after="120"/>
        <w:ind w:left="357"/>
        <w:rPr>
          <w:rFonts w:ascii="Arial" w:eastAsia="Arial" w:hAnsi="Arial" w:cs="Arial"/>
          <w:color w:val="000000"/>
        </w:rPr>
      </w:pPr>
      <w:r>
        <w:rPr>
          <w:rFonts w:ascii="Arial" w:eastAsia="Arial" w:hAnsi="Arial" w:cs="Arial"/>
          <w:b/>
          <w:color w:val="000000"/>
        </w:rPr>
        <w:t>Outcome Description:</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tbl>
      <w:tblPr>
        <w:tblStyle w:val="a0"/>
        <w:tblW w:w="9072" w:type="dxa"/>
        <w:tblInd w:w="416" w:type="dxa"/>
        <w:tblLayout w:type="fixed"/>
        <w:tblLook w:val="0400" w:firstRow="0" w:lastRow="0" w:firstColumn="0" w:lastColumn="0" w:noHBand="0" w:noVBand="1"/>
      </w:tblPr>
      <w:tblGrid>
        <w:gridCol w:w="1276"/>
        <w:gridCol w:w="4110"/>
        <w:gridCol w:w="2693"/>
        <w:gridCol w:w="993"/>
      </w:tblGrid>
      <w:tr w:rsidR="00FB50FE">
        <w:tc>
          <w:tcPr>
            <w:tcW w:w="1276"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Milestone Ref</w:t>
            </w:r>
          </w:p>
        </w:tc>
        <w:tc>
          <w:tcPr>
            <w:tcW w:w="4110"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Milestone Description</w:t>
            </w:r>
          </w:p>
        </w:tc>
        <w:tc>
          <w:tcPr>
            <w:tcW w:w="2693"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Acceptance Criteria</w:t>
            </w:r>
          </w:p>
        </w:tc>
        <w:tc>
          <w:tcPr>
            <w:tcW w:w="993"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Due Date</w:t>
            </w:r>
          </w:p>
        </w:tc>
      </w:tr>
      <w:tr w:rsidR="00FB50FE">
        <w:tc>
          <w:tcPr>
            <w:tcW w:w="1276"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MS01</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r w:rsidR="00FB50FE">
        <w:tc>
          <w:tcPr>
            <w:tcW w:w="1276"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MS02</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bl>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Delivery Plan: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Dependencies: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Supplier Resource Plan:</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Security Applicable to SOW:</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color w:val="000000"/>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color w:val="000000"/>
        </w:rPr>
        <w:t>If different security requirements than those set out in Call-Off Schedule 9 (Security) apply under this SOW, these shall be detailed below and apply only to this SOW:</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t>Insert if necessary</w:t>
      </w:r>
      <w:r>
        <w:rPr>
          <w:rFonts w:ascii="Arial" w:eastAsia="Arial" w:hAnsi="Arial" w:cs="Arial"/>
          <w:color w:val="000000"/>
        </w:rPr>
        <w:t xml:space="preserve"> </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Cyber Essentials Scheme:</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color w:val="000000"/>
        </w:rPr>
        <w:t xml:space="preserve">The Buyer requires the Supplier to have and maintain a </w:t>
      </w:r>
      <w:r>
        <w:rPr>
          <w:rFonts w:ascii="Arial" w:eastAsia="Arial" w:hAnsi="Arial" w:cs="Arial"/>
          <w:b/>
          <w:color w:val="000000"/>
        </w:rPr>
        <w:t>Cyber Essentials Certificate OR Cyber Essentials Plus Certificate</w:t>
      </w:r>
      <w:r>
        <w:rPr>
          <w:rFonts w:ascii="Arial" w:eastAsia="Arial" w:hAnsi="Arial" w:cs="Arial"/>
          <w:color w:val="000000"/>
        </w:rPr>
        <w:t xml:space="preserve"> for the work undertaken under this SOW, in accordance with Call-Off Schedule 26 (Cyber Essentials Scheme).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Standards:</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t>insert</w:t>
      </w:r>
      <w:r>
        <w:rPr>
          <w:rFonts w:ascii="Arial" w:eastAsia="Arial" w:hAnsi="Arial" w:cs="Arial"/>
          <w:color w:val="000000"/>
        </w:rPr>
        <w:t xml:space="preserve"> any specific Standards applicable to this SOW</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Performance Management:</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lastRenderedPageBreak/>
        <w:t xml:space="preserve">insert </w:t>
      </w:r>
      <w:r>
        <w:rPr>
          <w:rFonts w:ascii="Arial" w:eastAsia="Arial" w:hAnsi="Arial" w:cs="Arial"/>
          <w:color w:val="000000"/>
        </w:rPr>
        <w:t>details of Material KPIs that have a material impact on Contract performance</w:t>
      </w:r>
    </w:p>
    <w:tbl>
      <w:tblPr>
        <w:tblStyle w:val="a1"/>
        <w:tblW w:w="9355" w:type="dxa"/>
        <w:tblInd w:w="279" w:type="dxa"/>
        <w:tblLayout w:type="fixed"/>
        <w:tblLook w:val="0400" w:firstRow="0" w:lastRow="0" w:firstColumn="0" w:lastColumn="0" w:noHBand="0" w:noVBand="1"/>
      </w:tblPr>
      <w:tblGrid>
        <w:gridCol w:w="3259"/>
        <w:gridCol w:w="2835"/>
        <w:gridCol w:w="3261"/>
      </w:tblGrid>
      <w:tr w:rsidR="00FB50FE">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Measured by</w:t>
            </w:r>
          </w:p>
        </w:tc>
      </w:tr>
      <w:tr w:rsidR="00FB50FE">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r w:rsidR="00FB50FE">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bl>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t>Insert</w:t>
      </w:r>
      <w:r>
        <w:rPr>
          <w:rFonts w:ascii="Arial" w:eastAsia="Arial" w:hAnsi="Arial" w:cs="Arial"/>
          <w:color w:val="000000"/>
        </w:rPr>
        <w:t xml:space="preserve"> Service Levels and/or KPIs – See Call-Off Schedule 14 (Service Levels and Balanced Scorecard)</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Additional Requirements:</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t>Annex</w:t>
      </w:r>
      <w:r>
        <w:rPr>
          <w:rFonts w:ascii="Arial" w:eastAsia="Arial" w:hAnsi="Arial" w:cs="Arial"/>
          <w:color w:val="000000"/>
        </w:rPr>
        <w:t xml:space="preserve"> </w:t>
      </w:r>
      <w:r>
        <w:rPr>
          <w:rFonts w:ascii="Arial" w:eastAsia="Arial" w:hAnsi="Arial" w:cs="Arial"/>
          <w:b/>
          <w:color w:val="000000"/>
        </w:rPr>
        <w:t>1</w:t>
      </w:r>
      <w:r>
        <w:rPr>
          <w:rFonts w:ascii="Arial" w:eastAsia="Arial" w:hAnsi="Arial" w:cs="Arial"/>
          <w:color w:val="000000"/>
        </w:rP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Key Supplier Staff:</w:t>
      </w:r>
    </w:p>
    <w:tbl>
      <w:tblPr>
        <w:tblStyle w:val="a2"/>
        <w:tblW w:w="9497" w:type="dxa"/>
        <w:tblInd w:w="279" w:type="dxa"/>
        <w:tblLayout w:type="fixed"/>
        <w:tblLook w:val="0400" w:firstRow="0" w:lastRow="0" w:firstColumn="0" w:lastColumn="0" w:noHBand="0" w:noVBand="1"/>
      </w:tblPr>
      <w:tblGrid>
        <w:gridCol w:w="1701"/>
        <w:gridCol w:w="1844"/>
        <w:gridCol w:w="2126"/>
        <w:gridCol w:w="3826"/>
      </w:tblGrid>
      <w:tr w:rsidR="00FB50FE">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Worker Engagement Route (incl. inside/outside IR35)</w:t>
            </w:r>
          </w:p>
        </w:tc>
      </w:tr>
      <w:tr w:rsidR="00FB50FE">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r w:rsidR="00FB50FE">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r w:rsidR="00FB50FE">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FB50FE">
            <w:pPr>
              <w:widowControl w:val="0"/>
              <w:pBdr>
                <w:top w:val="nil"/>
                <w:left w:val="nil"/>
                <w:bottom w:val="nil"/>
                <w:right w:val="nil"/>
                <w:between w:val="nil"/>
              </w:pBdr>
              <w:spacing w:before="120" w:after="120"/>
              <w:rPr>
                <w:rFonts w:ascii="Arial" w:eastAsia="Arial" w:hAnsi="Arial" w:cs="Arial"/>
                <w:color w:val="000000"/>
              </w:rPr>
            </w:pPr>
          </w:p>
        </w:tc>
      </w:tr>
    </w:tbl>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b/>
          <w:color w:val="000000"/>
        </w:rPr>
        <w:t>Indicate</w:t>
      </w:r>
      <w:r>
        <w:rPr>
          <w:rFonts w:ascii="Arial" w:eastAsia="Arial" w:hAnsi="Arial" w:cs="Arial"/>
          <w:color w:val="000000"/>
        </w:rPr>
        <w:t>: whether there is any requirement to issue a Status Determination Statement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SOW Reporting Requirements:</w:t>
      </w:r>
    </w:p>
    <w:p w:rsidR="00FB50FE" w:rsidRDefault="00492B3E">
      <w:pPr>
        <w:widowControl w:val="0"/>
        <w:pBdr>
          <w:top w:val="nil"/>
          <w:left w:val="nil"/>
          <w:bottom w:val="nil"/>
          <w:right w:val="nil"/>
          <w:between w:val="nil"/>
        </w:pBdr>
        <w:spacing w:before="120" w:after="120"/>
        <w:ind w:left="284"/>
        <w:rPr>
          <w:rFonts w:ascii="Arial" w:eastAsia="Arial" w:hAnsi="Arial" w:cs="Arial"/>
          <w:color w:val="000000"/>
        </w:rPr>
      </w:pPr>
      <w:r>
        <w:rPr>
          <w:rFonts w:ascii="Arial" w:eastAsia="Arial" w:hAnsi="Arial" w:cs="Arial"/>
          <w:color w:val="000000"/>
        </w:rPr>
        <w:t>Further to the Supplier providing the management information detailed in Call-Off Schedule 15 (Call Off Contract Management), the Supplier shall also provide the following additional management information under and applicable to this SOW only:</w:t>
      </w:r>
    </w:p>
    <w:tbl>
      <w:tblPr>
        <w:tblStyle w:val="a3"/>
        <w:tblW w:w="9355" w:type="dxa"/>
        <w:tblInd w:w="279" w:type="dxa"/>
        <w:tblLayout w:type="fixed"/>
        <w:tblLook w:val="0400" w:firstRow="0" w:lastRow="0" w:firstColumn="0" w:lastColumn="0" w:noHBand="0" w:noVBand="1"/>
      </w:tblPr>
      <w:tblGrid>
        <w:gridCol w:w="709"/>
        <w:gridCol w:w="2310"/>
        <w:gridCol w:w="3076"/>
        <w:gridCol w:w="3260"/>
      </w:tblGrid>
      <w:tr w:rsidR="00FB50F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Required regularity of Submission</w:t>
            </w:r>
          </w:p>
        </w:tc>
      </w:tr>
      <w:tr w:rsidR="00FB50F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insert</w:t>
            </w:r>
          </w:p>
        </w:tc>
      </w:tr>
      <w:tr w:rsidR="00FB50F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insert</w:t>
            </w:r>
          </w:p>
        </w:tc>
      </w:tr>
    </w:tbl>
    <w:p w:rsidR="00FB50FE" w:rsidRDefault="00492B3E">
      <w:pPr>
        <w:widowControl w:val="0"/>
        <w:pBdr>
          <w:top w:val="nil"/>
          <w:left w:val="nil"/>
          <w:bottom w:val="nil"/>
          <w:right w:val="nil"/>
          <w:between w:val="nil"/>
        </w:pBdr>
        <w:spacing w:before="120" w:after="120"/>
        <w:ind w:left="432"/>
        <w:rPr>
          <w:rFonts w:ascii="Arial" w:eastAsia="Arial" w:hAnsi="Arial" w:cs="Arial"/>
          <w:b/>
          <w:color w:val="000000"/>
        </w:rPr>
      </w:pPr>
      <w:r>
        <w:rPr>
          <w:rFonts w:ascii="Arial" w:eastAsia="Arial" w:hAnsi="Arial" w:cs="Arial"/>
          <w:b/>
          <w:color w:val="000000"/>
        </w:rPr>
        <w:t xml:space="preserve"> </w:t>
      </w:r>
    </w:p>
    <w:p w:rsidR="00FB50FE" w:rsidRDefault="00492B3E">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rPr>
        <w:t>Charges</w:t>
      </w:r>
    </w:p>
    <w:p w:rsidR="00FB50FE" w:rsidRDefault="00492B3E">
      <w:pPr>
        <w:widowControl w:val="0"/>
        <w:pBdr>
          <w:top w:val="nil"/>
          <w:left w:val="nil"/>
          <w:bottom w:val="nil"/>
          <w:right w:val="nil"/>
          <w:between w:val="nil"/>
        </w:pBdr>
        <w:spacing w:before="120" w:after="120"/>
        <w:ind w:left="357"/>
        <w:rPr>
          <w:rFonts w:ascii="Arial" w:eastAsia="Arial" w:hAnsi="Arial" w:cs="Arial"/>
          <w:color w:val="000000"/>
        </w:rPr>
      </w:pPr>
      <w:r>
        <w:rPr>
          <w:rFonts w:ascii="Arial" w:eastAsia="Arial" w:hAnsi="Arial" w:cs="Arial"/>
          <w:b/>
          <w:color w:val="000000"/>
        </w:rPr>
        <w:t>Call Off Contract Charges: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applicable charging method(s) for this SOW is:</w:t>
      </w:r>
    </w:p>
    <w:p w:rsidR="00FB50FE" w:rsidRDefault="00492B3E">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rPr>
        <w:lastRenderedPageBreak/>
        <w:t>Capped Time and Materials</w:t>
      </w:r>
    </w:p>
    <w:p w:rsidR="00FB50FE" w:rsidRDefault="00492B3E">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rPr>
        <w:t>Incremental Fixed Price</w:t>
      </w:r>
    </w:p>
    <w:p w:rsidR="00FB50FE" w:rsidRDefault="00492B3E">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rPr>
        <w:t>Time and Materials</w:t>
      </w:r>
    </w:p>
    <w:p w:rsidR="00FB50FE" w:rsidRDefault="00492B3E">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rPr>
        <w:t>Fixed Price</w:t>
      </w:r>
    </w:p>
    <w:p w:rsidR="00FB50FE" w:rsidRDefault="00492B3E">
      <w:pPr>
        <w:widowControl w:val="0"/>
        <w:numPr>
          <w:ilvl w:val="0"/>
          <w:numId w:val="1"/>
        </w:numPr>
        <w:pBdr>
          <w:top w:val="nil"/>
          <w:left w:val="nil"/>
          <w:bottom w:val="nil"/>
          <w:right w:val="nil"/>
          <w:between w:val="nil"/>
        </w:pBdr>
        <w:spacing w:before="120" w:after="120"/>
        <w:ind w:left="723"/>
        <w:rPr>
          <w:rFonts w:ascii="Arial" w:eastAsia="Arial" w:hAnsi="Arial" w:cs="Arial"/>
        </w:rPr>
      </w:pPr>
      <w:r>
        <w:rPr>
          <w:rFonts w:ascii="Arial" w:eastAsia="Arial" w:hAnsi="Arial" w:cs="Arial"/>
          <w:color w:val="000000"/>
        </w:rPr>
        <w:t>2 or more of the above charging methods</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b/>
          <w:color w:val="000000"/>
        </w:rPr>
        <w:t>Buyer</w:t>
      </w:r>
      <w:r>
        <w:rPr>
          <w:rFonts w:ascii="Arial" w:eastAsia="Arial" w:hAnsi="Arial" w:cs="Arial"/>
          <w:color w:val="000000"/>
        </w:rPr>
        <w:t xml:space="preserve"> to select as appropriate for this SOW</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color w:val="000000"/>
        </w:rPr>
        <w:t>The estimated maximum value of this SOW (irrespective of the selected charging method) is £</w:t>
      </w:r>
      <w:r>
        <w:rPr>
          <w:rFonts w:ascii="Arial" w:eastAsia="Arial" w:hAnsi="Arial" w:cs="Arial"/>
          <w:b/>
          <w:color w:val="000000"/>
        </w:rPr>
        <w:t>Insert</w:t>
      </w:r>
      <w:r>
        <w:rPr>
          <w:rFonts w:ascii="Arial" w:eastAsia="Arial" w:hAnsi="Arial" w:cs="Arial"/>
          <w:color w:val="000000"/>
        </w:rPr>
        <w:t xml:space="preserve"> </w:t>
      </w:r>
      <w:r>
        <w:rPr>
          <w:rFonts w:ascii="Arial" w:eastAsia="Arial" w:hAnsi="Arial" w:cs="Arial"/>
          <w:b/>
          <w:color w:val="000000"/>
        </w:rPr>
        <w:t>detail</w:t>
      </w:r>
      <w:r>
        <w:rPr>
          <w:rFonts w:ascii="Arial" w:eastAsia="Arial" w:hAnsi="Arial" w:cs="Arial"/>
          <w:color w:val="000000"/>
        </w:rPr>
        <w:t>]</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Rate Cards Applicable:</w:t>
      </w:r>
    </w:p>
    <w:p w:rsidR="00FB50FE" w:rsidRDefault="00492B3E">
      <w:pPr>
        <w:pageBreakBefore/>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b/>
          <w:color w:val="000000"/>
        </w:rPr>
        <w:lastRenderedPageBreak/>
        <w:t>Insert</w:t>
      </w:r>
      <w:r>
        <w:rPr>
          <w:rFonts w:ascii="Arial" w:eastAsia="Arial" w:hAnsi="Arial" w:cs="Arial"/>
          <w:color w:val="000000"/>
        </w:rPr>
        <w:t xml:space="preserve"> SOW applicable Supplier and Subcontractor rate cards from Call-Off Schedule 5 (Pricing Details and Expenses Policy), including details of any discounts that will be applied to the work undertaken under this SOW.</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Reimbursable Expenses:</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color w:val="000000"/>
        </w:rPr>
        <w:t xml:space="preserve">See Expenses Policy in Annex 1 to Call-Off Schedule 5 (Pricing Details and Expenses Policy) </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color w:val="000000"/>
        </w:rPr>
        <w:t>Reimbursable Expenses are capped at £ i</w:t>
      </w:r>
      <w:r>
        <w:rPr>
          <w:rFonts w:ascii="Arial" w:eastAsia="Arial" w:hAnsi="Arial" w:cs="Arial"/>
          <w:b/>
          <w:color w:val="000000"/>
        </w:rPr>
        <w:t>nsert</w:t>
      </w:r>
      <w:r>
        <w:rPr>
          <w:rFonts w:ascii="Arial" w:eastAsia="Arial" w:hAnsi="Arial" w:cs="Arial"/>
          <w:color w:val="000000"/>
        </w:rPr>
        <w:t xml:space="preserve"> </w:t>
      </w:r>
      <w:r>
        <w:rPr>
          <w:rFonts w:ascii="Arial" w:eastAsia="Arial" w:hAnsi="Arial" w:cs="Arial"/>
          <w:b/>
          <w:color w:val="000000"/>
        </w:rPr>
        <w:t>OR insert</w:t>
      </w:r>
      <w:r>
        <w:rPr>
          <w:rFonts w:ascii="Arial" w:eastAsia="Arial" w:hAnsi="Arial" w:cs="Arial"/>
          <w:color w:val="000000"/>
        </w:rPr>
        <w:t xml:space="preserve"> percent </w:t>
      </w:r>
      <w:r>
        <w:rPr>
          <w:rFonts w:ascii="Arial" w:eastAsia="Arial" w:hAnsi="Arial" w:cs="Arial"/>
          <w:b/>
          <w:color w:val="000000"/>
        </w:rPr>
        <w:t xml:space="preserve">X% </w:t>
      </w:r>
      <w:r>
        <w:rPr>
          <w:rFonts w:ascii="Arial" w:eastAsia="Arial" w:hAnsi="Arial" w:cs="Arial"/>
          <w:color w:val="000000"/>
        </w:rPr>
        <w:t>of the Charges payable under this Statement of Work.</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color w:val="000000"/>
        </w:rPr>
        <w:t>None</w:t>
      </w:r>
    </w:p>
    <w:p w:rsidR="00FB50FE" w:rsidRDefault="00492B3E">
      <w:pPr>
        <w:widowControl w:val="0"/>
        <w:pBdr>
          <w:top w:val="nil"/>
          <w:left w:val="nil"/>
          <w:bottom w:val="nil"/>
          <w:right w:val="nil"/>
          <w:between w:val="nil"/>
        </w:pBdr>
        <w:spacing w:before="120" w:after="120"/>
        <w:ind w:left="426"/>
        <w:rPr>
          <w:rFonts w:ascii="Arial" w:eastAsia="Arial" w:hAnsi="Arial" w:cs="Arial"/>
          <w:color w:val="000000"/>
        </w:rPr>
      </w:pPr>
      <w:r>
        <w:rPr>
          <w:rFonts w:ascii="Arial" w:eastAsia="Arial" w:hAnsi="Arial" w:cs="Arial"/>
          <w:b/>
          <w:color w:val="000000"/>
        </w:rPr>
        <w:t>Buyer</w:t>
      </w:r>
      <w:r>
        <w:rPr>
          <w:rFonts w:ascii="Arial" w:eastAsia="Arial" w:hAnsi="Arial" w:cs="Arial"/>
          <w:color w:val="000000"/>
        </w:rPr>
        <w:t xml:space="preserve"> to delete as appropriate for this SOW</w:t>
      </w:r>
    </w:p>
    <w:p w:rsidR="00FB50FE" w:rsidRDefault="00492B3E">
      <w:pPr>
        <w:widowControl w:val="0"/>
        <w:numPr>
          <w:ilvl w:val="0"/>
          <w:numId w:val="3"/>
        </w:numPr>
        <w:pBdr>
          <w:top w:val="nil"/>
          <w:left w:val="nil"/>
          <w:bottom w:val="nil"/>
          <w:right w:val="nil"/>
          <w:between w:val="nil"/>
        </w:pBdr>
        <w:spacing w:before="120" w:after="120"/>
        <w:rPr>
          <w:rFonts w:ascii="Arial" w:eastAsia="Arial" w:hAnsi="Arial" w:cs="Arial"/>
        </w:rPr>
      </w:pPr>
      <w:r>
        <w:rPr>
          <w:rFonts w:ascii="Arial" w:eastAsia="Arial" w:hAnsi="Arial" w:cs="Arial"/>
          <w:b/>
          <w:color w:val="000000"/>
        </w:rPr>
        <w:t>Signatures and Approvals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Agreement of this SOW</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BY SIGNING this Statement of Work, the Parties agree that it shall be incorporated into Appendix 1 of the Order Form and incorporated into the Call-Off Contract and be legally binding on the Parties:</w:t>
      </w:r>
    </w:p>
    <w:p w:rsidR="00FB50FE" w:rsidRDefault="00FB50FE">
      <w:pPr>
        <w:widowControl w:val="0"/>
        <w:pBdr>
          <w:top w:val="nil"/>
          <w:left w:val="nil"/>
          <w:bottom w:val="nil"/>
          <w:right w:val="nil"/>
          <w:between w:val="nil"/>
        </w:pBdr>
        <w:spacing w:before="120" w:after="120"/>
        <w:rPr>
          <w:rFonts w:ascii="Arial" w:eastAsia="Arial" w:hAnsi="Arial" w:cs="Arial"/>
        </w:rPr>
      </w:pP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For and on behalf of the Supplier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Name: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Title: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Date: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Signature: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For and on behalf of the Buyer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Name: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Title: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Date: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Signature:</w:t>
      </w:r>
    </w:p>
    <w:p w:rsidR="00FB50FE" w:rsidRDefault="00FB50FE">
      <w:pPr>
        <w:pBdr>
          <w:top w:val="nil"/>
          <w:left w:val="nil"/>
          <w:bottom w:val="nil"/>
          <w:right w:val="nil"/>
          <w:between w:val="nil"/>
        </w:pBdr>
        <w:spacing w:after="160"/>
        <w:rPr>
          <w:rFonts w:ascii="Arial" w:eastAsia="Arial" w:hAnsi="Arial" w:cs="Arial"/>
          <w:b/>
          <w:color w:val="000000"/>
        </w:rPr>
      </w:pPr>
    </w:p>
    <w:p w:rsidR="00FB50FE" w:rsidRDefault="00492B3E">
      <w:pPr>
        <w:pStyle w:val="Heading3"/>
        <w:pageBreakBefore/>
        <w:jc w:val="center"/>
      </w:pPr>
      <w:r>
        <w:lastRenderedPageBreak/>
        <w:t>Annex 1</w:t>
      </w:r>
    </w:p>
    <w:p w:rsidR="00FB50FE" w:rsidRDefault="00492B3E">
      <w:pPr>
        <w:pStyle w:val="Heading3"/>
      </w:pPr>
      <w:r>
        <w:t>Data Processing</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Prior to the execution of this Statement of Work, the Parties shall review Annex 1 of Joint Schedule 11 (Processing Data) and if the contents of Annex 1 do not adequately cover the Processor / Controller arrangements covered by this Statement of Work, Annex 1 shall be amended as set out below and the following table shall apply to the Processing activities undertaken under this Statement of Work only:</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Template Annex 1 of Joint Schedule 11 (Processing Data) Below</w:t>
      </w:r>
    </w:p>
    <w:p w:rsidR="00FB50FE" w:rsidRDefault="00FB50FE">
      <w:pPr>
        <w:widowControl w:val="0"/>
        <w:pBdr>
          <w:top w:val="nil"/>
          <w:left w:val="nil"/>
          <w:bottom w:val="nil"/>
          <w:right w:val="nil"/>
          <w:between w:val="nil"/>
        </w:pBdr>
        <w:spacing w:before="120" w:after="120"/>
        <w:rPr>
          <w:rFonts w:ascii="Arial" w:eastAsia="Arial" w:hAnsi="Arial" w:cs="Arial"/>
          <w:color w:val="000000"/>
        </w:rPr>
      </w:pPr>
    </w:p>
    <w:tbl>
      <w:tblPr>
        <w:tblStyle w:val="a4"/>
        <w:tblW w:w="9686" w:type="dxa"/>
        <w:tblInd w:w="-5" w:type="dxa"/>
        <w:tblLayout w:type="fixed"/>
        <w:tblLook w:val="0400" w:firstRow="0" w:lastRow="0" w:firstColumn="0" w:lastColumn="0" w:noHBand="0" w:noVBand="1"/>
      </w:tblPr>
      <w:tblGrid>
        <w:gridCol w:w="2693"/>
        <w:gridCol w:w="6993"/>
      </w:tblGrid>
      <w:tr w:rsidR="00FB50FE">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Details</w:t>
            </w:r>
          </w:p>
        </w:tc>
      </w:tr>
      <w:tr w:rsidR="00FB50FE">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The Relevant Authority is Controller and the Supplier is Processor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acknowledge that in accordance with paragraph 2 to paragraph 15 and for the purposes of the Data Protection Legislation, the Relevant Authority is the Controller and the Supplier is the Processor of the following Personal Data:</w:t>
            </w:r>
          </w:p>
          <w:p w:rsidR="00FB50FE" w:rsidRDefault="00492B3E">
            <w:pPr>
              <w:widowControl w:val="0"/>
              <w:numPr>
                <w:ilvl w:val="0"/>
                <w:numId w:val="2"/>
              </w:numPr>
              <w:pBdr>
                <w:top w:val="nil"/>
                <w:left w:val="nil"/>
                <w:bottom w:val="nil"/>
                <w:right w:val="nil"/>
                <w:between w:val="nil"/>
              </w:pBdr>
              <w:spacing w:before="120" w:after="120"/>
            </w:pPr>
            <w:r>
              <w:rPr>
                <w:rFonts w:ascii="Arial" w:eastAsia="Arial" w:hAnsi="Arial" w:cs="Arial"/>
                <w:b/>
                <w:color w:val="000000"/>
              </w:rPr>
              <w:t>Insert</w:t>
            </w:r>
            <w:r>
              <w:rPr>
                <w:rFonts w:ascii="Arial" w:eastAsia="Arial" w:hAnsi="Arial" w:cs="Arial"/>
                <w:color w:val="000000"/>
              </w:rPr>
              <w:t xml:space="preserve"> the scope of Personal Data for which the purposes and means of the Processing by the Supplier is determined by the Relevant Authority</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The Supplier is Controller and the Relevant Authority is Processor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acknowledge that for the purposes of the Data Protection Legislation, the Supplier is the Controller and the Relevant Authority is the Processor in accordance with paragraph 2 to paragraph 15 of the following Personal Data:</w:t>
            </w:r>
          </w:p>
          <w:p w:rsidR="00FB50FE" w:rsidRDefault="00492B3E">
            <w:pPr>
              <w:widowControl w:val="0"/>
              <w:numPr>
                <w:ilvl w:val="0"/>
                <w:numId w:val="2"/>
              </w:numPr>
              <w:pBdr>
                <w:top w:val="nil"/>
                <w:left w:val="nil"/>
                <w:bottom w:val="nil"/>
                <w:right w:val="nil"/>
                <w:between w:val="nil"/>
              </w:pBdr>
              <w:spacing w:before="120" w:after="120"/>
            </w:pPr>
            <w:r>
              <w:rPr>
                <w:rFonts w:ascii="Arial" w:eastAsia="Arial" w:hAnsi="Arial" w:cs="Arial"/>
                <w:b/>
                <w:color w:val="000000"/>
              </w:rPr>
              <w:t>Insert</w:t>
            </w:r>
            <w:r>
              <w:rPr>
                <w:rFonts w:ascii="Arial" w:eastAsia="Arial" w:hAnsi="Arial" w:cs="Arial"/>
                <w:color w:val="000000"/>
              </w:rPr>
              <w:t xml:space="preserve"> the scope of Personal Data which the purposes and means of the Processing by the Relevant Authority is determined by the Supplier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The Parties are Joint Controllers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acknowledge that they are Joint Controllers for the purposes of the Data Protection Legislation in respect of:</w:t>
            </w:r>
          </w:p>
          <w:p w:rsidR="00FB50FE" w:rsidRDefault="00492B3E">
            <w:pPr>
              <w:widowControl w:val="0"/>
              <w:numPr>
                <w:ilvl w:val="0"/>
                <w:numId w:val="2"/>
              </w:numPr>
              <w:pBdr>
                <w:top w:val="nil"/>
                <w:left w:val="nil"/>
                <w:bottom w:val="nil"/>
                <w:right w:val="nil"/>
                <w:between w:val="nil"/>
              </w:pBdr>
              <w:spacing w:before="120" w:after="120"/>
            </w:pPr>
            <w:r>
              <w:rPr>
                <w:rFonts w:ascii="Arial" w:eastAsia="Arial" w:hAnsi="Arial" w:cs="Arial"/>
                <w:b/>
                <w:color w:val="000000"/>
              </w:rPr>
              <w:t>insert</w:t>
            </w:r>
            <w:r>
              <w:rPr>
                <w:rFonts w:ascii="Arial" w:eastAsia="Arial" w:hAnsi="Arial" w:cs="Arial"/>
                <w:color w:val="000000"/>
              </w:rPr>
              <w:t xml:space="preserve"> the scope of Personal Data which the purposes and means of the Processing is determined by the both Parties together</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The Parties are Independent Controllers of Personal Data</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Parties acknowledge that they are Independent Controllers for the purposes of the Data Protection Legislation in respect of:</w:t>
            </w:r>
          </w:p>
          <w:p w:rsidR="00FB50FE" w:rsidRDefault="00492B3E">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Business contact details of Supplier Personnel for which the Supplier is the Controller,</w:t>
            </w:r>
          </w:p>
          <w:p w:rsidR="00FB50FE" w:rsidRDefault="00492B3E">
            <w:pPr>
              <w:widowControl w:val="0"/>
              <w:numPr>
                <w:ilvl w:val="0"/>
                <w:numId w:val="2"/>
              </w:numPr>
              <w:pBdr>
                <w:top w:val="nil"/>
                <w:left w:val="nil"/>
                <w:bottom w:val="nil"/>
                <w:right w:val="nil"/>
                <w:between w:val="nil"/>
              </w:pBdr>
              <w:spacing w:before="120" w:after="120"/>
              <w:rPr>
                <w:rFonts w:ascii="Arial" w:eastAsia="Arial" w:hAnsi="Arial" w:cs="Arial"/>
              </w:rPr>
            </w:pPr>
            <w:r>
              <w:rPr>
                <w:rFonts w:ascii="Arial" w:eastAsia="Arial" w:hAnsi="Arial" w:cs="Arial"/>
                <w:color w:val="000000"/>
              </w:rPr>
              <w:t xml:space="preserve">Business contact details of any directors, officers, employees, agents, consultants and contractors of Relevant </w:t>
            </w:r>
            <w:r>
              <w:rPr>
                <w:rFonts w:ascii="Arial" w:eastAsia="Arial" w:hAnsi="Arial" w:cs="Arial"/>
                <w:color w:val="000000"/>
              </w:rPr>
              <w:lastRenderedPageBreak/>
              <w:t>Authority (excluding the Supplier Personnel) engaged in the performance of the Relevant Authority’s duties under the Contract) for which the Relevant Authority is the Controller,</w:t>
            </w:r>
          </w:p>
          <w:p w:rsidR="00FB50FE" w:rsidRDefault="00492B3E">
            <w:pPr>
              <w:widowControl w:val="0"/>
              <w:numPr>
                <w:ilvl w:val="0"/>
                <w:numId w:val="2"/>
              </w:numPr>
              <w:pBdr>
                <w:top w:val="nil"/>
                <w:left w:val="nil"/>
                <w:bottom w:val="nil"/>
                <w:right w:val="nil"/>
                <w:between w:val="nil"/>
              </w:pBdr>
              <w:spacing w:before="120" w:after="120"/>
            </w:pPr>
            <w:r>
              <w:rPr>
                <w:rFonts w:ascii="Arial" w:eastAsia="Arial" w:hAnsi="Arial" w:cs="Arial"/>
                <w:b/>
                <w:color w:val="000000"/>
              </w:rPr>
              <w:t>Insert</w:t>
            </w:r>
            <w:r>
              <w:rPr>
                <w:rFonts w:ascii="Arial" w:eastAsia="Arial" w:hAnsi="Arial" w:cs="Arial"/>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Guidance</w:t>
            </w:r>
            <w:r>
              <w:rPr>
                <w:rFonts w:ascii="Arial" w:eastAsia="Arial" w:hAnsi="Arial" w:cs="Arial"/>
                <w:color w:val="000000"/>
              </w:rPr>
              <w:t xml:space="preserve"> where multiple relationships have been identified above, please address the below rows in the table for in respect of each relationship identified</w:t>
            </w:r>
          </w:p>
        </w:tc>
      </w:tr>
      <w:tr w:rsidR="00FB50FE">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Clearly set out the duration of the Processing including dates</w:t>
            </w:r>
          </w:p>
        </w:tc>
      </w:tr>
      <w:tr w:rsidR="00FB50FE">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Be as specific as possible, but make sure that you cover all intended purposes.</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The purpose might include: employment processing, statutory obligation, recruitment assessment etc.</w:t>
            </w:r>
          </w:p>
        </w:tc>
      </w:tr>
      <w:tr w:rsidR="00FB50FE">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Examples here include: name, address, date of birth, NI number, telephone number, pay, images, biometric data etc.</w:t>
            </w:r>
          </w:p>
        </w:tc>
      </w:tr>
      <w:tr w:rsidR="00FB50FE">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Examples include: Staff (including volunteers, agents, and temporary workers), customers/ clients, suppliers, patients, students / pupils, members of the public, users of a particular</w:t>
            </w:r>
            <w:r>
              <w:rPr>
                <w:rFonts w:ascii="Arial" w:eastAsia="Arial" w:hAnsi="Arial" w:cs="Arial"/>
                <w:color w:val="000000"/>
              </w:rPr>
              <w:br/>
              <w:t>website etc.</w:t>
            </w:r>
          </w:p>
        </w:tc>
      </w:tr>
      <w:tr w:rsidR="00FB50FE">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Plan for return and destruction of the data once the Processing is complete</w:t>
            </w:r>
          </w:p>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0FE" w:rsidRDefault="00492B3E">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Describe how long the data will be retained for, how it be returned or destroyed</w:t>
            </w:r>
          </w:p>
        </w:tc>
      </w:tr>
    </w:tbl>
    <w:p w:rsidR="00FB50FE" w:rsidRDefault="00FB50FE"/>
    <w:sectPr w:rsidR="00FB50FE">
      <w:headerReference w:type="default" r:id="rId10"/>
      <w:footerReference w:type="default" r:id="rId11"/>
      <w:pgSz w:w="11900" w:h="16840"/>
      <w:pgMar w:top="1440" w:right="1440" w:bottom="1440" w:left="1440"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ED4" w:rsidRDefault="00D27ED4">
      <w:r>
        <w:separator/>
      </w:r>
    </w:p>
  </w:endnote>
  <w:endnote w:type="continuationSeparator" w:id="0">
    <w:p w:rsidR="00D27ED4" w:rsidRDefault="00D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FE" w:rsidRDefault="00492B3E">
    <w:pPr>
      <w:widowControl w:val="0"/>
      <w:pBdr>
        <w:top w:val="nil"/>
        <w:left w:val="nil"/>
        <w:bottom w:val="nil"/>
        <w:right w:val="nil"/>
        <w:between w:val="nil"/>
      </w:pBdr>
      <w:tabs>
        <w:tab w:val="center" w:pos="4513"/>
        <w:tab w:val="right" w:pos="9026"/>
      </w:tabs>
      <w:ind w:right="360"/>
      <w:rPr>
        <w:rFonts w:ascii="Arial" w:eastAsia="Arial" w:hAnsi="Arial" w:cs="Arial"/>
        <w:color w:val="000000"/>
        <w:sz w:val="22"/>
        <w:szCs w:val="22"/>
      </w:rPr>
    </w:pPr>
    <w:r>
      <w:rPr>
        <w:rFonts w:ascii="Arial" w:eastAsia="Arial" w:hAnsi="Arial" w:cs="Arial"/>
        <w:color w:val="000000"/>
        <w:sz w:val="22"/>
        <w:szCs w:val="22"/>
      </w:rPr>
      <w:t>Framework Ref: RM1043.8 Digital Outcomes 6</w:t>
    </w:r>
    <w:r>
      <w:rPr>
        <w:noProof/>
      </w:rPr>
      <mc:AlternateContent>
        <mc:Choice Requires="wps">
          <w:drawing>
            <wp:anchor distT="0" distB="0" distL="114300" distR="114300" simplePos="0" relativeHeight="251658240" behindDoc="0" locked="0" layoutInCell="1" hidden="0" allowOverlap="1">
              <wp:simplePos x="0" y="0"/>
              <wp:positionH relativeFrom="column">
                <wp:posOffset>5715000</wp:posOffset>
              </wp:positionH>
              <wp:positionV relativeFrom="paragraph">
                <wp:posOffset>0</wp:posOffset>
              </wp:positionV>
              <wp:extent cx="0" cy="12700"/>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rsidR="00FB50FE" w:rsidRDefault="00492B3E">
                          <w:pPr>
                            <w:textDirection w:val="btLr"/>
                          </w:pPr>
                          <w:r>
                            <w:rPr>
                              <w:rFonts w:ascii="Arial" w:eastAsia="Arial" w:hAnsi="Arial" w:cs="Arial"/>
                              <w:color w:val="000000"/>
                              <w:sz w:val="22"/>
                            </w:rPr>
                            <w:t xml:space="preserve"> PAGE 1</w:t>
                          </w:r>
                        </w:p>
                      </w:txbxContent>
                    </wps:txbx>
                    <wps:bodyPr spcFirstLastPara="1" wrap="square" lIns="0" tIns="0" rIns="0" bIns="0" anchor="t" anchorCtr="0">
                      <a:noAutofit/>
                    </wps:bodyPr>
                  </wps:wsp>
                </a:graphicData>
              </a:graphic>
            </wp:anchor>
          </w:drawing>
        </mc:Choice>
        <mc:Fallback>
          <w:pict>
            <v:rect id="Rectangle 2" o:spid="_x0000_s1026" style="position:absolute;margin-left:450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" filled="f" stroked="f">
              <v:textbox inset="0,0,0,0">
                <w:txbxContent>
                  <w:p w:rsidR="00FB50FE" w:rsidRDefault="00492B3E">
                    <w:pPr>
                      <w:textDirection w:val="btLr"/>
                    </w:pPr>
                    <w:r>
                      <w:rPr>
                        <w:rFonts w:ascii="Arial" w:eastAsia="Arial" w:hAnsi="Arial" w:cs="Arial"/>
                        <w:color w:val="000000"/>
                        <w:sz w:val="22"/>
                      </w:rPr>
                      <w:t xml:space="preserve"> PAGE 1</w:t>
                    </w:r>
                  </w:p>
                </w:txbxContent>
              </v:textbox>
              <w10:wrap type="topAndBottom"/>
            </v:rect>
          </w:pict>
        </mc:Fallback>
      </mc:AlternateContent>
    </w:r>
  </w:p>
  <w:p w:rsidR="00FB50FE" w:rsidRDefault="00492B3E">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Project Version: v3.0</w:t>
    </w:r>
  </w:p>
  <w:p w:rsidR="00FB50FE" w:rsidRDefault="00492B3E">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ED4" w:rsidRDefault="00D27ED4">
      <w:r>
        <w:separator/>
      </w:r>
    </w:p>
  </w:footnote>
  <w:footnote w:type="continuationSeparator" w:id="0">
    <w:p w:rsidR="00D27ED4" w:rsidRDefault="00D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FE" w:rsidRDefault="00492B3E">
    <w:pPr>
      <w:widowControl w:val="0"/>
      <w:pBdr>
        <w:top w:val="nil"/>
        <w:left w:val="nil"/>
        <w:bottom w:val="nil"/>
        <w:right w:val="nil"/>
        <w:between w:val="nil"/>
      </w:pBdr>
      <w:tabs>
        <w:tab w:val="center" w:pos="4513"/>
        <w:tab w:val="right" w:pos="9026"/>
      </w:tabs>
      <w:rPr>
        <w:rFonts w:ascii="Arial" w:eastAsia="Arial" w:hAnsi="Arial" w:cs="Arial"/>
        <w:b/>
        <w:color w:val="000000"/>
        <w:sz w:val="22"/>
        <w:szCs w:val="22"/>
      </w:rPr>
    </w:pPr>
    <w:r>
      <w:rPr>
        <w:rFonts w:ascii="Arial" w:eastAsia="Arial" w:hAnsi="Arial" w:cs="Arial"/>
        <w:b/>
        <w:color w:val="000000"/>
        <w:sz w:val="22"/>
        <w:szCs w:val="22"/>
      </w:rPr>
      <w:t>Order Form Template, Statement of Work Template and Call-Off Schedules</w:t>
    </w:r>
  </w:p>
  <w:p w:rsidR="00FB50FE" w:rsidRDefault="00492B3E">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 xml:space="preserve">Call-Off Ref: </w:t>
    </w:r>
    <w:r>
      <w:rPr>
        <w:rFonts w:ascii="Quattrocento Sans" w:eastAsia="Quattrocento Sans" w:hAnsi="Quattrocento Sans" w:cs="Quattrocento Sans"/>
        <w:color w:val="181818"/>
        <w:sz w:val="21"/>
        <w:szCs w:val="21"/>
        <w:highlight w:val="white"/>
      </w:rPr>
      <w:t>CCZN23A14</w:t>
    </w:r>
  </w:p>
  <w:p w:rsidR="00FB50FE" w:rsidRDefault="00492B3E">
    <w:pPr>
      <w:widowControl w:val="0"/>
      <w:pBdr>
        <w:top w:val="nil"/>
        <w:left w:val="nil"/>
        <w:bottom w:val="nil"/>
        <w:right w:val="nil"/>
        <w:between w:val="nil"/>
      </w:pBdr>
      <w:tabs>
        <w:tab w:val="center" w:pos="4513"/>
        <w:tab w:val="right" w:pos="9026"/>
      </w:tabs>
      <w:rPr>
        <w:rFonts w:ascii="Arial" w:eastAsia="Arial" w:hAnsi="Arial" w:cs="Arial"/>
        <w:color w:val="000000"/>
        <w:sz w:val="22"/>
        <w:szCs w:val="22"/>
      </w:rPr>
    </w:pPr>
    <w:r>
      <w:rPr>
        <w:rFonts w:ascii="Arial" w:eastAsia="Arial" w:hAnsi="Arial" w:cs="Arial"/>
        <w:color w:val="000000"/>
        <w:sz w:val="22"/>
        <w:szCs w:val="22"/>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3B"/>
    <w:multiLevelType w:val="multilevel"/>
    <w:tmpl w:val="214A633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A1BB0"/>
    <w:multiLevelType w:val="multilevel"/>
    <w:tmpl w:val="C91CCCAE"/>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9838DF"/>
    <w:multiLevelType w:val="multilevel"/>
    <w:tmpl w:val="FD8EF642"/>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85C58"/>
    <w:multiLevelType w:val="multilevel"/>
    <w:tmpl w:val="D1AA1CC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7CF22C9"/>
    <w:multiLevelType w:val="multilevel"/>
    <w:tmpl w:val="77AA3F2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2918A4"/>
    <w:multiLevelType w:val="multilevel"/>
    <w:tmpl w:val="1996EE8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E87E82"/>
    <w:multiLevelType w:val="multilevel"/>
    <w:tmpl w:val="5104905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FE"/>
    <w:rsid w:val="002570F6"/>
    <w:rsid w:val="002B1EA6"/>
    <w:rsid w:val="003471B2"/>
    <w:rsid w:val="003F50B0"/>
    <w:rsid w:val="00492B3E"/>
    <w:rsid w:val="006520BA"/>
    <w:rsid w:val="00A758A1"/>
    <w:rsid w:val="00B14D44"/>
    <w:rsid w:val="00B8181F"/>
    <w:rsid w:val="00D27ED4"/>
    <w:rsid w:val="00FB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D0E51-43C7-425D-AC7D-837BB9AA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rPr>
      <w:rFonts w:ascii="Arial" w:eastAsia="F" w:hAnsi="Arial" w:cs="F"/>
      <w:b/>
      <w:sz w:val="28"/>
      <w:szCs w:val="26"/>
      <w:lang w:eastAsia="en-GB"/>
    </w:rPr>
  </w:style>
  <w:style w:type="character" w:customStyle="1" w:styleId="Heading3Char">
    <w:name w:val="Heading 3 Char"/>
    <w:basedOn w:val="DefaultParagraphFont"/>
    <w:rPr>
      <w:rFonts w:ascii="Arial" w:eastAsia="F" w:hAnsi="Arial" w:cs="F"/>
      <w:b/>
      <w:color w:val="000000"/>
      <w:lang w:eastAsia="en-GB"/>
    </w:rPr>
  </w:style>
  <w:style w:type="character" w:customStyle="1" w:styleId="Heading4Char">
    <w:name w:val="Heading 4 Char"/>
    <w:basedOn w:val="DefaultParagraphFont"/>
    <w:rPr>
      <w:rFonts w:ascii="Arial" w:eastAsia="F" w:hAnsi="Arial" w:cs="F"/>
      <w:b/>
      <w:iCs/>
      <w:color w:val="000000"/>
      <w:sz w:val="22"/>
      <w:szCs w:val="22"/>
      <w:lang w:eastAsia="en-GB"/>
    </w:rPr>
  </w:style>
  <w:style w:type="paragraph" w:customStyle="1" w:styleId="Standard">
    <w:name w:val="Standard"/>
    <w:pPr>
      <w:widowControl w:val="0"/>
      <w:suppressAutoHyphens/>
      <w:spacing w:before="120" w:after="120"/>
      <w:ind w:left="357"/>
    </w:pPr>
    <w:rPr>
      <w:rFonts w:ascii="Arial" w:hAnsi="Arial" w:cs="Arial"/>
      <w:sz w:val="22"/>
      <w:szCs w:val="22"/>
    </w:rPr>
  </w:style>
  <w:style w:type="paragraph" w:styleId="ListParagraph">
    <w:name w:val="List Paragraph"/>
    <w:basedOn w:val="Standard"/>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style>
  <w:style w:type="character" w:styleId="PageNumber">
    <w:name w:val="page numbe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44">
    <w:name w:val="WWNum44"/>
    <w:basedOn w:val="NoList"/>
  </w:style>
  <w:style w:type="numbering" w:customStyle="1" w:styleId="WWNum48">
    <w:name w:val="WWNum48"/>
    <w:basedOn w:val="NoList"/>
  </w:style>
  <w:style w:type="numbering" w:customStyle="1" w:styleId="WWNum50">
    <w:name w:val="WWNum50"/>
    <w:basedOn w:val="NoList"/>
  </w:style>
  <w:style w:type="numbering" w:customStyle="1" w:styleId="WWNum64">
    <w:name w:val="WWNum64"/>
    <w:basedOn w:val="NoList"/>
  </w:style>
  <w:style w:type="numbering" w:customStyle="1" w:styleId="WWNum65">
    <w:name w:val="WWNum65"/>
    <w:basedOn w:val="NoList"/>
  </w:style>
  <w:style w:type="numbering" w:customStyle="1" w:styleId="WWNum95">
    <w:name w:val="WWNum95"/>
    <w:basedOn w:val="NoLis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7KXnPTv+ctJqUqKD+vfkO7lrw==">CgMxLjAyCGguZ2pkZ3hzMgloLjMwajB6bGw4AGpLCjVzdWdnZXN0SWRJbXBvcnRhYzFlMWEzMS0zOTZlLTQ0ZDYtYTFhMi02YjA4ODI1ZmY5MTlfMRISQ2hyaXN0aW5lIENvbm5vbGx5ciExVE1qbmZpRks3U0lqOU9MMWU1U2h2anE4ekc0NkNHZ0w=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Christine Connolly</cp:lastModifiedBy>
  <cp:revision>4</cp:revision>
  <dcterms:created xsi:type="dcterms:W3CDTF">2023-10-16T11:57:00Z</dcterms:created>
  <dcterms:modified xsi:type="dcterms:W3CDTF">2023-10-25T10:13:00Z</dcterms:modified>
</cp:coreProperties>
</file>