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E06" w:rsidRPr="00D95205" w:rsidRDefault="00630E06" w:rsidP="00971087">
      <w:pPr>
        <w:autoSpaceDE w:val="0"/>
        <w:autoSpaceDN w:val="0"/>
        <w:adjustRightInd w:val="0"/>
        <w:spacing w:after="0" w:line="240" w:lineRule="auto"/>
        <w:jc w:val="center"/>
        <w:rPr>
          <w:rFonts w:cstheme="minorHAnsi"/>
          <w:b/>
          <w:color w:val="000000"/>
          <w:sz w:val="56"/>
          <w:szCs w:val="56"/>
        </w:rPr>
      </w:pPr>
    </w:p>
    <w:p w:rsidR="00630E06" w:rsidRPr="00D95205" w:rsidRDefault="00630E06" w:rsidP="00971087">
      <w:pPr>
        <w:autoSpaceDE w:val="0"/>
        <w:autoSpaceDN w:val="0"/>
        <w:adjustRightInd w:val="0"/>
        <w:spacing w:after="0" w:line="240" w:lineRule="auto"/>
        <w:jc w:val="center"/>
        <w:rPr>
          <w:rFonts w:cstheme="minorHAnsi"/>
          <w:b/>
          <w:color w:val="000000"/>
          <w:sz w:val="56"/>
          <w:szCs w:val="56"/>
        </w:rPr>
      </w:pPr>
    </w:p>
    <w:p w:rsidR="00630E06" w:rsidRPr="00D95205" w:rsidRDefault="00630E06" w:rsidP="00971087">
      <w:pPr>
        <w:autoSpaceDE w:val="0"/>
        <w:autoSpaceDN w:val="0"/>
        <w:adjustRightInd w:val="0"/>
        <w:spacing w:after="0" w:line="240" w:lineRule="auto"/>
        <w:jc w:val="center"/>
        <w:rPr>
          <w:rFonts w:cstheme="minorHAnsi"/>
          <w:b/>
          <w:color w:val="000000"/>
          <w:sz w:val="56"/>
          <w:szCs w:val="56"/>
        </w:rPr>
      </w:pPr>
    </w:p>
    <w:p w:rsidR="00630E06" w:rsidRPr="00D95205" w:rsidRDefault="00630E06" w:rsidP="00971087">
      <w:pPr>
        <w:autoSpaceDE w:val="0"/>
        <w:autoSpaceDN w:val="0"/>
        <w:adjustRightInd w:val="0"/>
        <w:spacing w:after="0" w:line="240" w:lineRule="auto"/>
        <w:jc w:val="center"/>
        <w:rPr>
          <w:rFonts w:cstheme="minorHAnsi"/>
          <w:b/>
          <w:color w:val="000000"/>
          <w:sz w:val="56"/>
          <w:szCs w:val="56"/>
        </w:rPr>
      </w:pPr>
    </w:p>
    <w:p w:rsidR="00194788" w:rsidRPr="00D95205" w:rsidRDefault="0058217D" w:rsidP="00971087">
      <w:pPr>
        <w:autoSpaceDE w:val="0"/>
        <w:autoSpaceDN w:val="0"/>
        <w:adjustRightInd w:val="0"/>
        <w:spacing w:after="0" w:line="240" w:lineRule="auto"/>
        <w:jc w:val="center"/>
        <w:rPr>
          <w:rFonts w:cstheme="minorHAnsi"/>
          <w:b/>
          <w:color w:val="000000"/>
          <w:sz w:val="56"/>
          <w:szCs w:val="56"/>
        </w:rPr>
      </w:pPr>
      <w:r>
        <w:rPr>
          <w:rFonts w:cstheme="minorHAnsi"/>
          <w:b/>
          <w:color w:val="000000"/>
          <w:sz w:val="56"/>
          <w:szCs w:val="56"/>
        </w:rPr>
        <w:t>Cumbria and North East</w:t>
      </w:r>
    </w:p>
    <w:p w:rsidR="00630E06" w:rsidRPr="00D95205" w:rsidRDefault="00630E06" w:rsidP="00971087">
      <w:pPr>
        <w:autoSpaceDE w:val="0"/>
        <w:autoSpaceDN w:val="0"/>
        <w:adjustRightInd w:val="0"/>
        <w:spacing w:after="0" w:line="240" w:lineRule="auto"/>
        <w:jc w:val="center"/>
        <w:rPr>
          <w:rFonts w:cstheme="minorHAnsi"/>
          <w:b/>
          <w:color w:val="000000"/>
          <w:sz w:val="56"/>
          <w:szCs w:val="56"/>
        </w:rPr>
      </w:pPr>
    </w:p>
    <w:p w:rsidR="00630E06" w:rsidRPr="00D95205" w:rsidRDefault="00630E06" w:rsidP="00971087">
      <w:pPr>
        <w:autoSpaceDE w:val="0"/>
        <w:autoSpaceDN w:val="0"/>
        <w:adjustRightInd w:val="0"/>
        <w:spacing w:after="0" w:line="240" w:lineRule="auto"/>
        <w:jc w:val="center"/>
        <w:rPr>
          <w:rFonts w:cstheme="minorHAnsi"/>
          <w:b/>
          <w:color w:val="000000"/>
          <w:sz w:val="56"/>
          <w:szCs w:val="56"/>
        </w:rPr>
      </w:pPr>
      <w:r w:rsidRPr="00D95205">
        <w:rPr>
          <w:rFonts w:cstheme="minorHAnsi"/>
          <w:b/>
          <w:color w:val="000000"/>
          <w:sz w:val="56"/>
          <w:szCs w:val="56"/>
        </w:rPr>
        <w:t>Health and Justice Commissioning</w:t>
      </w:r>
    </w:p>
    <w:p w:rsidR="00630E06" w:rsidRPr="00D95205" w:rsidRDefault="00630E06" w:rsidP="00971087">
      <w:pPr>
        <w:autoSpaceDE w:val="0"/>
        <w:autoSpaceDN w:val="0"/>
        <w:adjustRightInd w:val="0"/>
        <w:spacing w:after="0" w:line="240" w:lineRule="auto"/>
        <w:jc w:val="center"/>
        <w:rPr>
          <w:rFonts w:cstheme="minorHAnsi"/>
          <w:b/>
          <w:color w:val="000000"/>
          <w:sz w:val="56"/>
          <w:szCs w:val="56"/>
        </w:rPr>
      </w:pPr>
    </w:p>
    <w:p w:rsidR="00194788" w:rsidRPr="00D95205" w:rsidRDefault="00300CDA" w:rsidP="00971087">
      <w:pPr>
        <w:autoSpaceDE w:val="0"/>
        <w:autoSpaceDN w:val="0"/>
        <w:adjustRightInd w:val="0"/>
        <w:spacing w:after="0" w:line="240" w:lineRule="auto"/>
        <w:jc w:val="center"/>
        <w:rPr>
          <w:rFonts w:cstheme="minorHAnsi"/>
          <w:b/>
          <w:color w:val="000000"/>
          <w:sz w:val="56"/>
          <w:szCs w:val="56"/>
        </w:rPr>
      </w:pPr>
      <w:r>
        <w:rPr>
          <w:rFonts w:cstheme="minorHAnsi"/>
          <w:b/>
          <w:color w:val="000000"/>
          <w:sz w:val="56"/>
          <w:szCs w:val="56"/>
        </w:rPr>
        <w:t xml:space="preserve">2 stage </w:t>
      </w:r>
      <w:r w:rsidR="00CC120E" w:rsidRPr="00D95205">
        <w:rPr>
          <w:rFonts w:cstheme="minorHAnsi"/>
          <w:b/>
          <w:color w:val="000000"/>
          <w:sz w:val="56"/>
          <w:szCs w:val="56"/>
        </w:rPr>
        <w:t>Health Needs Assessment</w:t>
      </w:r>
      <w:r w:rsidR="00800746" w:rsidRPr="00D95205">
        <w:rPr>
          <w:rFonts w:cstheme="minorHAnsi"/>
          <w:b/>
          <w:color w:val="000000"/>
          <w:sz w:val="56"/>
          <w:szCs w:val="56"/>
        </w:rPr>
        <w:t xml:space="preserve"> Specification</w:t>
      </w:r>
    </w:p>
    <w:p w:rsidR="00194788" w:rsidRPr="00D95205" w:rsidRDefault="00194788" w:rsidP="00971087">
      <w:pPr>
        <w:autoSpaceDE w:val="0"/>
        <w:autoSpaceDN w:val="0"/>
        <w:adjustRightInd w:val="0"/>
        <w:spacing w:after="0" w:line="240" w:lineRule="auto"/>
        <w:rPr>
          <w:rFonts w:cstheme="minorHAnsi"/>
          <w:color w:val="000000"/>
          <w:sz w:val="56"/>
          <w:szCs w:val="56"/>
        </w:rPr>
      </w:pPr>
    </w:p>
    <w:p w:rsidR="00630E06" w:rsidRPr="00D95205" w:rsidRDefault="00630E06" w:rsidP="00971087">
      <w:pPr>
        <w:autoSpaceDE w:val="0"/>
        <w:autoSpaceDN w:val="0"/>
        <w:adjustRightInd w:val="0"/>
        <w:spacing w:after="0" w:line="240" w:lineRule="auto"/>
        <w:jc w:val="both"/>
        <w:rPr>
          <w:rFonts w:cstheme="minorHAnsi"/>
          <w:b/>
          <w:color w:val="000000"/>
          <w:u w:val="single"/>
        </w:rPr>
      </w:pPr>
    </w:p>
    <w:sdt>
      <w:sdtPr>
        <w:rPr>
          <w:rFonts w:asciiTheme="minorHAnsi" w:eastAsiaTheme="minorHAnsi" w:hAnsiTheme="minorHAnsi" w:cstheme="minorHAnsi"/>
          <w:b w:val="0"/>
          <w:bCs w:val="0"/>
          <w:color w:val="auto"/>
          <w:sz w:val="22"/>
          <w:szCs w:val="22"/>
          <w:lang w:val="en-GB" w:eastAsia="en-US"/>
        </w:rPr>
        <w:id w:val="-1876992450"/>
        <w:docPartObj>
          <w:docPartGallery w:val="Table of Contents"/>
          <w:docPartUnique/>
        </w:docPartObj>
      </w:sdtPr>
      <w:sdtEndPr>
        <w:rPr>
          <w:noProof/>
        </w:rPr>
      </w:sdtEndPr>
      <w:sdtContent>
        <w:p w:rsidR="00FC0C7C" w:rsidRDefault="00FC0C7C" w:rsidP="00FC0C7C">
          <w:pPr>
            <w:pStyle w:val="TOCHeading"/>
            <w:spacing w:before="0" w:line="240" w:lineRule="auto"/>
          </w:pPr>
        </w:p>
        <w:p w:rsidR="00EB15DE" w:rsidRPr="00D95205" w:rsidRDefault="00FC0C7C" w:rsidP="00971087">
          <w:pPr>
            <w:spacing w:after="0" w:line="240" w:lineRule="auto"/>
            <w:rPr>
              <w:rFonts w:cstheme="minorHAnsi"/>
            </w:rPr>
          </w:pPr>
        </w:p>
      </w:sdtContent>
    </w:sdt>
    <w:p w:rsidR="00630E06" w:rsidRPr="00D95205" w:rsidRDefault="00630E06" w:rsidP="00971087">
      <w:pPr>
        <w:autoSpaceDE w:val="0"/>
        <w:autoSpaceDN w:val="0"/>
        <w:adjustRightInd w:val="0"/>
        <w:spacing w:after="0" w:line="240" w:lineRule="auto"/>
        <w:jc w:val="both"/>
        <w:rPr>
          <w:rFonts w:cstheme="minorHAnsi"/>
          <w:b/>
          <w:color w:val="000000"/>
          <w:u w:val="single"/>
        </w:rPr>
      </w:pPr>
    </w:p>
    <w:p w:rsidR="00630E06" w:rsidRPr="00D95205" w:rsidRDefault="00630E06" w:rsidP="00971087">
      <w:pPr>
        <w:autoSpaceDE w:val="0"/>
        <w:autoSpaceDN w:val="0"/>
        <w:adjustRightInd w:val="0"/>
        <w:spacing w:after="0" w:line="240" w:lineRule="auto"/>
        <w:jc w:val="both"/>
        <w:rPr>
          <w:rFonts w:cstheme="minorHAnsi"/>
          <w:b/>
          <w:color w:val="000000"/>
          <w:u w:val="single"/>
        </w:rPr>
      </w:pPr>
    </w:p>
    <w:p w:rsidR="00800746" w:rsidRPr="00D95205" w:rsidRDefault="00800746" w:rsidP="00971087">
      <w:pPr>
        <w:autoSpaceDE w:val="0"/>
        <w:autoSpaceDN w:val="0"/>
        <w:adjustRightInd w:val="0"/>
        <w:spacing w:after="0" w:line="240" w:lineRule="auto"/>
        <w:jc w:val="both"/>
        <w:rPr>
          <w:rFonts w:cstheme="minorHAnsi"/>
          <w:b/>
          <w:color w:val="000000"/>
          <w:u w:val="single"/>
        </w:rPr>
      </w:pPr>
    </w:p>
    <w:p w:rsidR="00800746" w:rsidRPr="00D95205" w:rsidRDefault="00800746" w:rsidP="00971087">
      <w:pPr>
        <w:autoSpaceDE w:val="0"/>
        <w:autoSpaceDN w:val="0"/>
        <w:adjustRightInd w:val="0"/>
        <w:spacing w:after="0" w:line="240" w:lineRule="auto"/>
        <w:jc w:val="both"/>
        <w:rPr>
          <w:rFonts w:cstheme="minorHAnsi"/>
          <w:b/>
          <w:color w:val="000000"/>
          <w:u w:val="single"/>
        </w:rPr>
      </w:pPr>
    </w:p>
    <w:p w:rsidR="00800746" w:rsidRPr="00D95205" w:rsidRDefault="00800746" w:rsidP="00971087">
      <w:pPr>
        <w:autoSpaceDE w:val="0"/>
        <w:autoSpaceDN w:val="0"/>
        <w:adjustRightInd w:val="0"/>
        <w:spacing w:after="0" w:line="240" w:lineRule="auto"/>
        <w:jc w:val="both"/>
        <w:rPr>
          <w:rFonts w:cstheme="minorHAnsi"/>
          <w:b/>
          <w:color w:val="000000"/>
          <w:u w:val="single"/>
        </w:rPr>
      </w:pPr>
    </w:p>
    <w:p w:rsidR="00800746" w:rsidRPr="00D95205" w:rsidRDefault="00800746" w:rsidP="00971087">
      <w:pPr>
        <w:autoSpaceDE w:val="0"/>
        <w:autoSpaceDN w:val="0"/>
        <w:adjustRightInd w:val="0"/>
        <w:spacing w:after="0" w:line="240" w:lineRule="auto"/>
        <w:jc w:val="both"/>
        <w:rPr>
          <w:rFonts w:cstheme="minorHAnsi"/>
          <w:b/>
          <w:color w:val="000000"/>
          <w:u w:val="single"/>
        </w:rPr>
      </w:pPr>
    </w:p>
    <w:p w:rsidR="00800746" w:rsidRDefault="00800746" w:rsidP="00971087">
      <w:pPr>
        <w:autoSpaceDE w:val="0"/>
        <w:autoSpaceDN w:val="0"/>
        <w:adjustRightInd w:val="0"/>
        <w:spacing w:after="0" w:line="240" w:lineRule="auto"/>
        <w:jc w:val="both"/>
        <w:rPr>
          <w:rFonts w:cstheme="minorHAnsi"/>
          <w:b/>
          <w:color w:val="000000"/>
          <w:u w:val="single"/>
        </w:rPr>
      </w:pPr>
    </w:p>
    <w:p w:rsidR="00971087" w:rsidRDefault="00971087" w:rsidP="00971087">
      <w:pPr>
        <w:autoSpaceDE w:val="0"/>
        <w:autoSpaceDN w:val="0"/>
        <w:adjustRightInd w:val="0"/>
        <w:spacing w:after="0" w:line="240" w:lineRule="auto"/>
        <w:jc w:val="both"/>
        <w:rPr>
          <w:rFonts w:cstheme="minorHAnsi"/>
          <w:b/>
          <w:color w:val="000000"/>
          <w:u w:val="single"/>
        </w:rPr>
      </w:pPr>
    </w:p>
    <w:p w:rsidR="00971087" w:rsidRDefault="00971087" w:rsidP="00971087">
      <w:pPr>
        <w:autoSpaceDE w:val="0"/>
        <w:autoSpaceDN w:val="0"/>
        <w:adjustRightInd w:val="0"/>
        <w:spacing w:after="0" w:line="240" w:lineRule="auto"/>
        <w:jc w:val="both"/>
        <w:rPr>
          <w:rFonts w:cstheme="minorHAnsi"/>
          <w:b/>
          <w:color w:val="000000"/>
          <w:u w:val="single"/>
        </w:rPr>
      </w:pPr>
    </w:p>
    <w:p w:rsidR="00971087" w:rsidRDefault="00971087" w:rsidP="00971087">
      <w:pPr>
        <w:autoSpaceDE w:val="0"/>
        <w:autoSpaceDN w:val="0"/>
        <w:adjustRightInd w:val="0"/>
        <w:spacing w:after="0" w:line="240" w:lineRule="auto"/>
        <w:jc w:val="both"/>
        <w:rPr>
          <w:rFonts w:cstheme="minorHAnsi"/>
          <w:b/>
          <w:color w:val="000000"/>
          <w:u w:val="single"/>
        </w:rPr>
      </w:pPr>
    </w:p>
    <w:p w:rsidR="00971087" w:rsidRDefault="00971087" w:rsidP="00971087">
      <w:pPr>
        <w:autoSpaceDE w:val="0"/>
        <w:autoSpaceDN w:val="0"/>
        <w:adjustRightInd w:val="0"/>
        <w:spacing w:after="0" w:line="240" w:lineRule="auto"/>
        <w:jc w:val="both"/>
        <w:rPr>
          <w:rFonts w:cstheme="minorHAnsi"/>
          <w:b/>
          <w:color w:val="000000"/>
          <w:u w:val="single"/>
        </w:rPr>
      </w:pPr>
    </w:p>
    <w:p w:rsidR="00971087" w:rsidRDefault="00971087" w:rsidP="00971087">
      <w:pPr>
        <w:autoSpaceDE w:val="0"/>
        <w:autoSpaceDN w:val="0"/>
        <w:adjustRightInd w:val="0"/>
        <w:spacing w:after="0" w:line="240" w:lineRule="auto"/>
        <w:jc w:val="both"/>
        <w:rPr>
          <w:rFonts w:cstheme="minorHAnsi"/>
          <w:b/>
          <w:color w:val="000000"/>
          <w:u w:val="single"/>
        </w:rPr>
      </w:pPr>
    </w:p>
    <w:p w:rsidR="00971087" w:rsidRPr="00D95205" w:rsidRDefault="00971087" w:rsidP="00971087">
      <w:pPr>
        <w:autoSpaceDE w:val="0"/>
        <w:autoSpaceDN w:val="0"/>
        <w:adjustRightInd w:val="0"/>
        <w:spacing w:after="0" w:line="240" w:lineRule="auto"/>
        <w:jc w:val="both"/>
        <w:rPr>
          <w:rFonts w:cstheme="minorHAnsi"/>
          <w:b/>
          <w:color w:val="000000"/>
          <w:u w:val="single"/>
        </w:rPr>
      </w:pPr>
    </w:p>
    <w:p w:rsidR="00800746" w:rsidRPr="00D95205" w:rsidRDefault="00800746" w:rsidP="00971087">
      <w:pPr>
        <w:autoSpaceDE w:val="0"/>
        <w:autoSpaceDN w:val="0"/>
        <w:adjustRightInd w:val="0"/>
        <w:spacing w:after="0" w:line="240" w:lineRule="auto"/>
        <w:jc w:val="both"/>
        <w:rPr>
          <w:rFonts w:cstheme="minorHAnsi"/>
          <w:b/>
          <w:color w:val="000000"/>
          <w:u w:val="single"/>
        </w:rPr>
      </w:pPr>
    </w:p>
    <w:p w:rsidR="00FC0C7C" w:rsidRDefault="00FC0C7C" w:rsidP="00971087">
      <w:pPr>
        <w:pStyle w:val="Heading1"/>
        <w:spacing w:before="0" w:line="240" w:lineRule="auto"/>
        <w:rPr>
          <w:rFonts w:asciiTheme="minorHAnsi" w:hAnsiTheme="minorHAnsi" w:cstheme="minorHAnsi"/>
          <w:sz w:val="24"/>
          <w:szCs w:val="24"/>
        </w:rPr>
      </w:pPr>
      <w:bookmarkStart w:id="0" w:name="_Toc392156210"/>
    </w:p>
    <w:p w:rsidR="00FC0C7C" w:rsidRDefault="00FC0C7C" w:rsidP="00971087">
      <w:pPr>
        <w:pStyle w:val="Heading1"/>
        <w:spacing w:before="0" w:line="240" w:lineRule="auto"/>
        <w:rPr>
          <w:rFonts w:asciiTheme="minorHAnsi" w:hAnsiTheme="minorHAnsi" w:cstheme="minorHAnsi"/>
          <w:sz w:val="24"/>
          <w:szCs w:val="24"/>
        </w:rPr>
      </w:pPr>
    </w:p>
    <w:p w:rsidR="00FC0C7C" w:rsidRPr="00FC0C7C" w:rsidRDefault="00FC0C7C" w:rsidP="00FC0C7C">
      <w:bookmarkStart w:id="1" w:name="_GoBack"/>
      <w:bookmarkEnd w:id="1"/>
    </w:p>
    <w:p w:rsidR="00FC0C7C" w:rsidRDefault="00FC0C7C" w:rsidP="00971087">
      <w:pPr>
        <w:pStyle w:val="Heading1"/>
        <w:spacing w:before="0" w:line="240" w:lineRule="auto"/>
        <w:rPr>
          <w:rFonts w:asciiTheme="minorHAnsi" w:hAnsiTheme="minorHAnsi" w:cstheme="minorHAnsi"/>
          <w:sz w:val="24"/>
          <w:szCs w:val="24"/>
        </w:rPr>
      </w:pPr>
    </w:p>
    <w:p w:rsidR="00FC0C7C" w:rsidRDefault="00FC0C7C" w:rsidP="00971087">
      <w:pPr>
        <w:pStyle w:val="Heading1"/>
        <w:spacing w:before="0" w:line="240" w:lineRule="auto"/>
        <w:rPr>
          <w:rFonts w:asciiTheme="minorHAnsi" w:hAnsiTheme="minorHAnsi" w:cstheme="minorHAnsi"/>
          <w:sz w:val="24"/>
          <w:szCs w:val="24"/>
        </w:rPr>
      </w:pPr>
    </w:p>
    <w:p w:rsidR="00D46179" w:rsidRPr="00D95205" w:rsidRDefault="00EB15DE" w:rsidP="00971087">
      <w:pPr>
        <w:pStyle w:val="Heading1"/>
        <w:spacing w:before="0" w:line="240" w:lineRule="auto"/>
        <w:rPr>
          <w:rFonts w:asciiTheme="minorHAnsi" w:hAnsiTheme="minorHAnsi" w:cstheme="minorHAnsi"/>
          <w:sz w:val="24"/>
          <w:szCs w:val="24"/>
        </w:rPr>
      </w:pPr>
      <w:r w:rsidRPr="00D95205">
        <w:rPr>
          <w:rFonts w:asciiTheme="minorHAnsi" w:hAnsiTheme="minorHAnsi" w:cstheme="minorHAnsi"/>
          <w:sz w:val="24"/>
          <w:szCs w:val="24"/>
        </w:rPr>
        <w:t>I</w:t>
      </w:r>
      <w:r w:rsidR="00D46179" w:rsidRPr="00D95205">
        <w:rPr>
          <w:rFonts w:asciiTheme="minorHAnsi" w:hAnsiTheme="minorHAnsi" w:cstheme="minorHAnsi"/>
          <w:sz w:val="24"/>
          <w:szCs w:val="24"/>
        </w:rPr>
        <w:t>ntroduction</w:t>
      </w:r>
      <w:bookmarkEnd w:id="0"/>
    </w:p>
    <w:p w:rsidR="00D46179" w:rsidRPr="00D95205" w:rsidRDefault="00D46179" w:rsidP="00971087">
      <w:pPr>
        <w:autoSpaceDE w:val="0"/>
        <w:autoSpaceDN w:val="0"/>
        <w:adjustRightInd w:val="0"/>
        <w:spacing w:after="0" w:line="240" w:lineRule="auto"/>
        <w:jc w:val="both"/>
        <w:rPr>
          <w:rFonts w:cstheme="minorHAnsi"/>
          <w:color w:val="000000"/>
        </w:rPr>
      </w:pPr>
    </w:p>
    <w:p w:rsidR="00D46179" w:rsidRPr="00D95205" w:rsidRDefault="00D46179" w:rsidP="00971087">
      <w:pPr>
        <w:autoSpaceDE w:val="0"/>
        <w:autoSpaceDN w:val="0"/>
        <w:adjustRightInd w:val="0"/>
        <w:spacing w:after="0" w:line="240" w:lineRule="auto"/>
        <w:jc w:val="both"/>
        <w:rPr>
          <w:rFonts w:cstheme="minorHAnsi"/>
          <w:color w:val="000000"/>
        </w:rPr>
      </w:pPr>
      <w:r w:rsidRPr="00D95205">
        <w:rPr>
          <w:rFonts w:cstheme="minorHAnsi"/>
          <w:color w:val="000000"/>
        </w:rPr>
        <w:t xml:space="preserve">NHS England wishes to commission </w:t>
      </w:r>
      <w:r w:rsidR="000231E6" w:rsidRPr="00D95205">
        <w:rPr>
          <w:rFonts w:cstheme="minorHAnsi"/>
          <w:color w:val="000000"/>
        </w:rPr>
        <w:t>health needs assessments for the healthcare service</w:t>
      </w:r>
      <w:r w:rsidR="0058217D">
        <w:rPr>
          <w:rFonts w:cstheme="minorHAnsi"/>
          <w:color w:val="000000"/>
        </w:rPr>
        <w:t>s</w:t>
      </w:r>
      <w:r w:rsidR="000231E6" w:rsidRPr="00D95205">
        <w:rPr>
          <w:rFonts w:cstheme="minorHAnsi"/>
          <w:color w:val="000000"/>
        </w:rPr>
        <w:t xml:space="preserve"> for </w:t>
      </w:r>
      <w:r w:rsidR="0058217D">
        <w:rPr>
          <w:rFonts w:cstheme="minorHAnsi"/>
          <w:color w:val="000000"/>
        </w:rPr>
        <w:t>8 prisons within Cumbria and the North East.</w:t>
      </w:r>
    </w:p>
    <w:p w:rsidR="00971087" w:rsidRDefault="00971087" w:rsidP="00971087">
      <w:pPr>
        <w:pStyle w:val="Heading1"/>
        <w:spacing w:before="0" w:line="240" w:lineRule="auto"/>
        <w:rPr>
          <w:rFonts w:asciiTheme="minorHAnsi" w:hAnsiTheme="minorHAnsi" w:cstheme="minorHAnsi"/>
          <w:sz w:val="24"/>
          <w:szCs w:val="24"/>
        </w:rPr>
      </w:pPr>
      <w:bookmarkStart w:id="2" w:name="_Toc392156211"/>
    </w:p>
    <w:p w:rsidR="00D46179" w:rsidRPr="00D95205" w:rsidRDefault="00630E06" w:rsidP="00971087">
      <w:pPr>
        <w:pStyle w:val="Heading1"/>
        <w:spacing w:before="0" w:line="240" w:lineRule="auto"/>
        <w:rPr>
          <w:rFonts w:asciiTheme="minorHAnsi" w:hAnsiTheme="minorHAnsi" w:cstheme="minorHAnsi"/>
          <w:sz w:val="24"/>
          <w:szCs w:val="24"/>
        </w:rPr>
      </w:pPr>
      <w:r w:rsidRPr="00D95205">
        <w:rPr>
          <w:rFonts w:asciiTheme="minorHAnsi" w:hAnsiTheme="minorHAnsi" w:cstheme="minorHAnsi"/>
          <w:sz w:val="24"/>
          <w:szCs w:val="24"/>
        </w:rPr>
        <w:t>Background</w:t>
      </w:r>
      <w:bookmarkEnd w:id="2"/>
    </w:p>
    <w:p w:rsidR="00630E06" w:rsidRPr="00D95205" w:rsidRDefault="00630E06" w:rsidP="00971087">
      <w:pPr>
        <w:autoSpaceDE w:val="0"/>
        <w:autoSpaceDN w:val="0"/>
        <w:adjustRightInd w:val="0"/>
        <w:spacing w:after="0" w:line="240" w:lineRule="auto"/>
        <w:jc w:val="both"/>
        <w:rPr>
          <w:rFonts w:cstheme="minorHAnsi"/>
          <w:color w:val="000000"/>
        </w:rPr>
      </w:pPr>
    </w:p>
    <w:p w:rsidR="00D95205" w:rsidRPr="00D95205" w:rsidRDefault="000231E6" w:rsidP="00971087">
      <w:pPr>
        <w:autoSpaceDE w:val="0"/>
        <w:autoSpaceDN w:val="0"/>
        <w:adjustRightInd w:val="0"/>
        <w:spacing w:after="0" w:line="240" w:lineRule="auto"/>
        <w:rPr>
          <w:rFonts w:cstheme="minorHAnsi"/>
          <w:color w:val="000000"/>
        </w:rPr>
      </w:pPr>
      <w:r w:rsidRPr="00D95205">
        <w:rPr>
          <w:rFonts w:cstheme="minorHAnsi"/>
          <w:color w:val="000000"/>
        </w:rPr>
        <w:t>To commission effectively, it is essential that the commissioning cycle begins with a health needs assessment which examines the health needs of the establishment(s)</w:t>
      </w:r>
      <w:r w:rsidR="00C01516" w:rsidRPr="00D95205">
        <w:rPr>
          <w:rFonts w:cstheme="minorHAnsi"/>
          <w:color w:val="000000"/>
        </w:rPr>
        <w:t>.  T</w:t>
      </w:r>
      <w:r w:rsidRPr="00D95205">
        <w:rPr>
          <w:rFonts w:cstheme="minorHAnsi"/>
          <w:color w:val="000000"/>
        </w:rPr>
        <w:t xml:space="preserve">his enables the commissioning team to understand disease prevalence, </w:t>
      </w:r>
      <w:r w:rsidR="00E732EE">
        <w:rPr>
          <w:rFonts w:cstheme="minorHAnsi"/>
          <w:color w:val="000000"/>
        </w:rPr>
        <w:t xml:space="preserve">commission </w:t>
      </w:r>
      <w:r w:rsidRPr="00D95205">
        <w:rPr>
          <w:rFonts w:cstheme="minorHAnsi"/>
          <w:color w:val="000000"/>
        </w:rPr>
        <w:t>services which respond to the health needs</w:t>
      </w:r>
      <w:r w:rsidR="00E732EE">
        <w:rPr>
          <w:rFonts w:cstheme="minorHAnsi"/>
          <w:color w:val="000000"/>
        </w:rPr>
        <w:t xml:space="preserve"> of the population</w:t>
      </w:r>
      <w:r w:rsidRPr="00D95205">
        <w:rPr>
          <w:rFonts w:cstheme="minorHAnsi"/>
          <w:color w:val="000000"/>
        </w:rPr>
        <w:t xml:space="preserve"> and </w:t>
      </w:r>
      <w:r w:rsidR="00CC120E" w:rsidRPr="00D95205">
        <w:rPr>
          <w:rFonts w:cstheme="minorHAnsi"/>
          <w:color w:val="000000"/>
        </w:rPr>
        <w:t>to receive evidence-based recommendations for the services.</w:t>
      </w:r>
      <w:r w:rsidR="00D95205" w:rsidRPr="00D95205">
        <w:rPr>
          <w:rFonts w:cstheme="minorHAnsi"/>
          <w:color w:val="000000"/>
        </w:rPr>
        <w:t xml:space="preserve"> The requirement is best practice in relation to commissioning, but is also mentioned in ‘Expectations’ (HMIP) in the section on governance:</w:t>
      </w:r>
    </w:p>
    <w:p w:rsidR="00D95205" w:rsidRPr="00D95205" w:rsidRDefault="00D95205" w:rsidP="00971087">
      <w:pPr>
        <w:autoSpaceDE w:val="0"/>
        <w:autoSpaceDN w:val="0"/>
        <w:adjustRightInd w:val="0"/>
        <w:spacing w:after="0" w:line="240" w:lineRule="auto"/>
        <w:rPr>
          <w:rFonts w:cstheme="minorHAnsi"/>
          <w:color w:val="000000"/>
        </w:rPr>
      </w:pPr>
    </w:p>
    <w:p w:rsidR="00D95205" w:rsidRPr="00D95205" w:rsidRDefault="00D95205" w:rsidP="00971087">
      <w:pPr>
        <w:autoSpaceDE w:val="0"/>
        <w:autoSpaceDN w:val="0"/>
        <w:adjustRightInd w:val="0"/>
        <w:spacing w:after="0" w:line="240" w:lineRule="auto"/>
        <w:rPr>
          <w:rFonts w:cstheme="minorHAnsi"/>
          <w:b/>
          <w:bCs/>
          <w:i/>
          <w:sz w:val="20"/>
          <w:szCs w:val="20"/>
        </w:rPr>
      </w:pPr>
      <w:r w:rsidRPr="00D95205">
        <w:rPr>
          <w:rFonts w:cstheme="minorHAnsi"/>
          <w:i/>
          <w:color w:val="000000"/>
          <w:sz w:val="20"/>
          <w:szCs w:val="20"/>
        </w:rPr>
        <w:t xml:space="preserve"> ‘</w:t>
      </w:r>
      <w:r w:rsidRPr="00D95205">
        <w:rPr>
          <w:rFonts w:cstheme="minorHAnsi"/>
          <w:b/>
          <w:bCs/>
          <w:i/>
          <w:sz w:val="20"/>
          <w:szCs w:val="20"/>
        </w:rPr>
        <w:t>32. Prisoners are cared for by a health service that accurately assesses and meets</w:t>
      </w:r>
      <w:r w:rsidR="00907148">
        <w:rPr>
          <w:rFonts w:cstheme="minorHAnsi"/>
          <w:b/>
          <w:bCs/>
          <w:i/>
          <w:sz w:val="20"/>
          <w:szCs w:val="20"/>
        </w:rPr>
        <w:t xml:space="preserve"> </w:t>
      </w:r>
      <w:r w:rsidRPr="00D95205">
        <w:rPr>
          <w:rFonts w:cstheme="minorHAnsi"/>
          <w:b/>
          <w:bCs/>
          <w:i/>
          <w:sz w:val="20"/>
          <w:szCs w:val="20"/>
        </w:rPr>
        <w:t>their health needs while in prison and which promotes continuity of health and</w:t>
      </w:r>
      <w:r w:rsidR="00907148">
        <w:rPr>
          <w:rFonts w:cstheme="minorHAnsi"/>
          <w:b/>
          <w:bCs/>
          <w:i/>
          <w:sz w:val="20"/>
          <w:szCs w:val="20"/>
        </w:rPr>
        <w:t xml:space="preserve"> </w:t>
      </w:r>
      <w:r w:rsidRPr="00D95205">
        <w:rPr>
          <w:rFonts w:cstheme="minorHAnsi"/>
          <w:b/>
          <w:bCs/>
          <w:i/>
          <w:sz w:val="20"/>
          <w:szCs w:val="20"/>
        </w:rPr>
        <w:t>social care on release.</w:t>
      </w:r>
    </w:p>
    <w:p w:rsidR="00D95205" w:rsidRPr="00D95205" w:rsidRDefault="00D95205" w:rsidP="00971087">
      <w:pPr>
        <w:autoSpaceDE w:val="0"/>
        <w:autoSpaceDN w:val="0"/>
        <w:adjustRightInd w:val="0"/>
        <w:spacing w:after="0" w:line="240" w:lineRule="auto"/>
        <w:rPr>
          <w:rFonts w:cstheme="minorHAnsi"/>
          <w:b/>
          <w:bCs/>
          <w:i/>
          <w:sz w:val="20"/>
          <w:szCs w:val="20"/>
        </w:rPr>
      </w:pPr>
    </w:p>
    <w:p w:rsidR="00D95205" w:rsidRPr="00D95205" w:rsidRDefault="00D95205" w:rsidP="00971087">
      <w:pPr>
        <w:autoSpaceDE w:val="0"/>
        <w:autoSpaceDN w:val="0"/>
        <w:adjustRightInd w:val="0"/>
        <w:spacing w:after="0" w:line="240" w:lineRule="auto"/>
        <w:rPr>
          <w:rFonts w:cstheme="minorHAnsi"/>
          <w:b/>
          <w:bCs/>
          <w:i/>
          <w:sz w:val="20"/>
          <w:szCs w:val="20"/>
        </w:rPr>
      </w:pPr>
      <w:r w:rsidRPr="00D95205">
        <w:rPr>
          <w:rFonts w:cstheme="minorHAnsi"/>
          <w:b/>
          <w:bCs/>
          <w:i/>
          <w:sz w:val="20"/>
          <w:szCs w:val="20"/>
        </w:rPr>
        <w:t>Indicators References</w:t>
      </w:r>
    </w:p>
    <w:p w:rsidR="00D95205" w:rsidRPr="00D95205" w:rsidRDefault="00D95205" w:rsidP="00971087">
      <w:pPr>
        <w:autoSpaceDE w:val="0"/>
        <w:autoSpaceDN w:val="0"/>
        <w:adjustRightInd w:val="0"/>
        <w:spacing w:after="0" w:line="240" w:lineRule="auto"/>
        <w:rPr>
          <w:rFonts w:cstheme="minorHAnsi"/>
          <w:b/>
          <w:bCs/>
          <w:i/>
          <w:sz w:val="20"/>
          <w:szCs w:val="20"/>
        </w:rPr>
      </w:pPr>
    </w:p>
    <w:p w:rsidR="00194788" w:rsidRPr="00D95205" w:rsidRDefault="00D95205" w:rsidP="00971087">
      <w:pPr>
        <w:autoSpaceDE w:val="0"/>
        <w:autoSpaceDN w:val="0"/>
        <w:adjustRightInd w:val="0"/>
        <w:spacing w:after="0" w:line="240" w:lineRule="auto"/>
        <w:rPr>
          <w:rFonts w:cstheme="minorHAnsi"/>
          <w:i/>
          <w:color w:val="000000"/>
          <w:sz w:val="20"/>
          <w:szCs w:val="20"/>
        </w:rPr>
      </w:pPr>
      <w:r w:rsidRPr="00D95205">
        <w:rPr>
          <w:rFonts w:cstheme="minorHAnsi"/>
          <w:i/>
          <w:sz w:val="20"/>
          <w:szCs w:val="20"/>
        </w:rPr>
        <w:t>• Health services are informed by the assessed needs of the prison population and are planned, provided and quality</w:t>
      </w:r>
      <w:r w:rsidR="00865422">
        <w:rPr>
          <w:rFonts w:cstheme="minorHAnsi"/>
          <w:i/>
          <w:sz w:val="20"/>
          <w:szCs w:val="20"/>
        </w:rPr>
        <w:t xml:space="preserve"> </w:t>
      </w:r>
      <w:r w:rsidRPr="00D95205">
        <w:rPr>
          <w:rFonts w:cstheme="minorHAnsi"/>
          <w:i/>
          <w:sz w:val="20"/>
          <w:szCs w:val="20"/>
        </w:rPr>
        <w:t>assured through integrated working between the prison and its local health economy.’</w:t>
      </w:r>
    </w:p>
    <w:p w:rsidR="00CC120E" w:rsidRPr="00D95205" w:rsidRDefault="00CC120E" w:rsidP="00971087">
      <w:pPr>
        <w:autoSpaceDE w:val="0"/>
        <w:autoSpaceDN w:val="0"/>
        <w:adjustRightInd w:val="0"/>
        <w:spacing w:after="0" w:line="240" w:lineRule="auto"/>
        <w:jc w:val="both"/>
        <w:rPr>
          <w:rFonts w:cstheme="minorHAnsi"/>
          <w:color w:val="000000"/>
        </w:rPr>
      </w:pPr>
    </w:p>
    <w:p w:rsidR="00CC120E" w:rsidRPr="00D95205" w:rsidRDefault="00E4032D" w:rsidP="00971087">
      <w:pPr>
        <w:autoSpaceDE w:val="0"/>
        <w:autoSpaceDN w:val="0"/>
        <w:adjustRightInd w:val="0"/>
        <w:spacing w:after="0" w:line="240" w:lineRule="auto"/>
        <w:jc w:val="both"/>
        <w:rPr>
          <w:rFonts w:cstheme="minorHAnsi"/>
          <w:color w:val="000000"/>
        </w:rPr>
      </w:pPr>
      <w:r>
        <w:rPr>
          <w:rFonts w:cstheme="minorHAnsi"/>
          <w:color w:val="000000"/>
        </w:rPr>
        <w:t>The HNA</w:t>
      </w:r>
      <w:r w:rsidR="0058217D">
        <w:rPr>
          <w:rFonts w:cstheme="minorHAnsi"/>
          <w:color w:val="000000"/>
        </w:rPr>
        <w:t>’s required are</w:t>
      </w:r>
      <w:r w:rsidR="00CC120E" w:rsidRPr="00D95205">
        <w:rPr>
          <w:rFonts w:cstheme="minorHAnsi"/>
          <w:color w:val="000000"/>
        </w:rPr>
        <w:t xml:space="preserve"> as follows:</w:t>
      </w:r>
    </w:p>
    <w:p w:rsidR="00CC120E" w:rsidRPr="00D95205" w:rsidRDefault="00CC120E" w:rsidP="00971087">
      <w:pPr>
        <w:autoSpaceDE w:val="0"/>
        <w:autoSpaceDN w:val="0"/>
        <w:adjustRightInd w:val="0"/>
        <w:spacing w:after="0" w:line="240" w:lineRule="auto"/>
        <w:jc w:val="both"/>
        <w:rPr>
          <w:rFonts w:cstheme="minorHAnsi"/>
          <w:color w:val="000000"/>
        </w:rPr>
      </w:pPr>
    </w:p>
    <w:p w:rsidR="0058217D" w:rsidRPr="00BF5461" w:rsidRDefault="0058217D" w:rsidP="0058217D">
      <w:pPr>
        <w:pStyle w:val="Heading1"/>
        <w:numPr>
          <w:ilvl w:val="0"/>
          <w:numId w:val="8"/>
        </w:numPr>
        <w:spacing w:before="0" w:line="240" w:lineRule="auto"/>
        <w:rPr>
          <w:rFonts w:asciiTheme="minorHAnsi" w:hAnsiTheme="minorHAnsi" w:cstheme="minorHAnsi"/>
          <w:color w:val="0070C0"/>
          <w:sz w:val="24"/>
          <w:szCs w:val="24"/>
        </w:rPr>
      </w:pPr>
      <w:r w:rsidRPr="00BF5461">
        <w:rPr>
          <w:rFonts w:asciiTheme="minorHAnsi" w:hAnsiTheme="minorHAnsi" w:cstheme="minorHAnsi"/>
          <w:color w:val="0070C0"/>
          <w:sz w:val="24"/>
          <w:szCs w:val="24"/>
        </w:rPr>
        <w:t>Prison reform and reconfiguration 1</w:t>
      </w:r>
      <w:r w:rsidRPr="00BF5461">
        <w:rPr>
          <w:rFonts w:asciiTheme="minorHAnsi" w:hAnsiTheme="minorHAnsi" w:cstheme="minorHAnsi"/>
          <w:color w:val="0070C0"/>
          <w:sz w:val="24"/>
          <w:szCs w:val="24"/>
          <w:vertAlign w:val="superscript"/>
        </w:rPr>
        <w:t>st</w:t>
      </w:r>
      <w:r w:rsidRPr="00BF5461">
        <w:rPr>
          <w:rFonts w:asciiTheme="minorHAnsi" w:hAnsiTheme="minorHAnsi" w:cstheme="minorHAnsi"/>
          <w:color w:val="0070C0"/>
          <w:sz w:val="24"/>
          <w:szCs w:val="24"/>
        </w:rPr>
        <w:t xml:space="preserve"> </w:t>
      </w:r>
      <w:r w:rsidR="00BF5461">
        <w:rPr>
          <w:rFonts w:asciiTheme="minorHAnsi" w:hAnsiTheme="minorHAnsi" w:cstheme="minorHAnsi"/>
          <w:color w:val="0070C0"/>
          <w:sz w:val="24"/>
          <w:szCs w:val="24"/>
        </w:rPr>
        <w:t>stage review – November 2016 – January 2017</w:t>
      </w:r>
    </w:p>
    <w:p w:rsidR="0058217D" w:rsidRDefault="0058217D" w:rsidP="0058217D">
      <w:pPr>
        <w:pStyle w:val="Heading1"/>
        <w:spacing w:before="0" w:line="240" w:lineRule="auto"/>
        <w:ind w:left="360"/>
        <w:rPr>
          <w:rFonts w:asciiTheme="minorHAnsi" w:hAnsiTheme="minorHAnsi" w:cstheme="minorHAnsi"/>
          <w:sz w:val="24"/>
          <w:szCs w:val="24"/>
        </w:rPr>
      </w:pPr>
    </w:p>
    <w:p w:rsidR="00971087" w:rsidRPr="00300CDA" w:rsidRDefault="0058217D" w:rsidP="0058217D">
      <w:pPr>
        <w:pStyle w:val="Heading1"/>
        <w:spacing w:before="0" w:line="240" w:lineRule="auto"/>
        <w:ind w:left="360"/>
        <w:rPr>
          <w:rFonts w:asciiTheme="minorHAnsi" w:hAnsiTheme="minorHAnsi" w:cstheme="minorHAnsi"/>
          <w:b w:val="0"/>
          <w:color w:val="auto"/>
          <w:sz w:val="22"/>
          <w:szCs w:val="22"/>
        </w:rPr>
      </w:pPr>
      <w:r w:rsidRPr="00300CDA">
        <w:rPr>
          <w:rFonts w:asciiTheme="minorHAnsi" w:hAnsiTheme="minorHAnsi" w:cstheme="minorHAnsi"/>
          <w:b w:val="0"/>
          <w:color w:val="auto"/>
          <w:sz w:val="22"/>
          <w:szCs w:val="22"/>
        </w:rPr>
        <w:t>This will be predominantly a desk top review of proposed population with reference to existing Health Needs Assessments. The following prisons are within scope; HMP Holme House, HMP Kirklevington Grange</w:t>
      </w:r>
      <w:r w:rsidR="00E732EE">
        <w:rPr>
          <w:rFonts w:asciiTheme="minorHAnsi" w:hAnsiTheme="minorHAnsi" w:cstheme="minorHAnsi"/>
          <w:b w:val="0"/>
          <w:color w:val="auto"/>
          <w:sz w:val="22"/>
          <w:szCs w:val="22"/>
        </w:rPr>
        <w:t>, HMP Haverigg</w:t>
      </w:r>
      <w:r w:rsidRPr="00300CDA">
        <w:rPr>
          <w:rFonts w:asciiTheme="minorHAnsi" w:hAnsiTheme="minorHAnsi" w:cstheme="minorHAnsi"/>
          <w:b w:val="0"/>
          <w:color w:val="auto"/>
          <w:sz w:val="22"/>
          <w:szCs w:val="22"/>
        </w:rPr>
        <w:t xml:space="preserve"> and HMP Durham. This review will also consider impact upon the health and social care services of HMP Northumberland and HMYOI </w:t>
      </w:r>
      <w:proofErr w:type="spellStart"/>
      <w:r w:rsidRPr="00300CDA">
        <w:rPr>
          <w:rFonts w:asciiTheme="minorHAnsi" w:hAnsiTheme="minorHAnsi" w:cstheme="minorHAnsi"/>
          <w:b w:val="0"/>
          <w:color w:val="auto"/>
          <w:sz w:val="22"/>
          <w:szCs w:val="22"/>
        </w:rPr>
        <w:t>Deerbolt</w:t>
      </w:r>
      <w:proofErr w:type="spellEnd"/>
      <w:r w:rsidRPr="00300CDA">
        <w:rPr>
          <w:rFonts w:asciiTheme="minorHAnsi" w:hAnsiTheme="minorHAnsi" w:cstheme="minorHAnsi"/>
          <w:b w:val="0"/>
          <w:color w:val="auto"/>
          <w:sz w:val="22"/>
          <w:szCs w:val="22"/>
        </w:rPr>
        <w:t>. There will be links into the Prison Reform work streams underway to consider the impact of the reforms and reconfiguration especially in relation to the additional receptions at HMP Durham and service requirements at HMP Holme House and HMP Kirklevington Grange for those prisoners with disabilities, social care needs and physical health requirements</w:t>
      </w:r>
      <w:r w:rsidR="00BF5461" w:rsidRPr="00300CDA">
        <w:rPr>
          <w:rFonts w:asciiTheme="minorHAnsi" w:hAnsiTheme="minorHAnsi" w:cstheme="minorHAnsi"/>
          <w:b w:val="0"/>
          <w:color w:val="auto"/>
          <w:sz w:val="22"/>
          <w:szCs w:val="22"/>
        </w:rPr>
        <w:t>.</w:t>
      </w:r>
    </w:p>
    <w:p w:rsidR="00BF5461" w:rsidRDefault="00BF5461" w:rsidP="00BF5461"/>
    <w:p w:rsidR="00BF5461" w:rsidRDefault="00BF5461" w:rsidP="00BF5461">
      <w:pPr>
        <w:pStyle w:val="ListParagraph"/>
        <w:numPr>
          <w:ilvl w:val="0"/>
          <w:numId w:val="8"/>
        </w:numPr>
        <w:rPr>
          <w:b/>
          <w:color w:val="0070C0"/>
          <w:sz w:val="24"/>
          <w:szCs w:val="24"/>
        </w:rPr>
      </w:pPr>
      <w:r>
        <w:rPr>
          <w:b/>
          <w:color w:val="0070C0"/>
          <w:sz w:val="24"/>
          <w:szCs w:val="24"/>
        </w:rPr>
        <w:t>Full Health Needs Assessment – April 2017 – July 2017 (these dates may change depending upon pace of change in relation to prison reform)</w:t>
      </w:r>
    </w:p>
    <w:p w:rsidR="00BF5461" w:rsidRDefault="00BF5461" w:rsidP="00BF5461">
      <w:pPr>
        <w:ind w:left="360"/>
      </w:pPr>
      <w:r>
        <w:t>All Cumbria and North East prisons are within scope;</w:t>
      </w:r>
    </w:p>
    <w:p w:rsidR="00BF5461" w:rsidRDefault="00BF5461" w:rsidP="00BF5461">
      <w:pPr>
        <w:pStyle w:val="ListParagraph"/>
        <w:numPr>
          <w:ilvl w:val="0"/>
          <w:numId w:val="9"/>
        </w:numPr>
      </w:pPr>
      <w:r>
        <w:t>HMP Haverigg</w:t>
      </w:r>
    </w:p>
    <w:p w:rsidR="00BF5461" w:rsidRDefault="00BF5461" w:rsidP="00BF5461">
      <w:pPr>
        <w:pStyle w:val="ListParagraph"/>
        <w:numPr>
          <w:ilvl w:val="0"/>
          <w:numId w:val="9"/>
        </w:numPr>
      </w:pPr>
      <w:r>
        <w:t>HMP Northumberland</w:t>
      </w:r>
    </w:p>
    <w:p w:rsidR="00BF5461" w:rsidRDefault="00BF5461" w:rsidP="00BF5461">
      <w:pPr>
        <w:pStyle w:val="ListParagraph"/>
        <w:numPr>
          <w:ilvl w:val="0"/>
          <w:numId w:val="9"/>
        </w:numPr>
      </w:pPr>
      <w:r>
        <w:t>HMP Durham</w:t>
      </w:r>
    </w:p>
    <w:p w:rsidR="00BF5461" w:rsidRDefault="00BF5461" w:rsidP="00BF5461">
      <w:pPr>
        <w:pStyle w:val="ListParagraph"/>
        <w:numPr>
          <w:ilvl w:val="0"/>
          <w:numId w:val="9"/>
        </w:numPr>
      </w:pPr>
      <w:r>
        <w:t>HMP Frankland</w:t>
      </w:r>
    </w:p>
    <w:p w:rsidR="00BF5461" w:rsidRDefault="00BF5461" w:rsidP="00BF5461">
      <w:pPr>
        <w:pStyle w:val="ListParagraph"/>
        <w:numPr>
          <w:ilvl w:val="0"/>
          <w:numId w:val="9"/>
        </w:numPr>
      </w:pPr>
      <w:r>
        <w:t>HMP Holme House</w:t>
      </w:r>
    </w:p>
    <w:p w:rsidR="00BF5461" w:rsidRDefault="00BF5461" w:rsidP="00BF5461">
      <w:pPr>
        <w:pStyle w:val="ListParagraph"/>
        <w:numPr>
          <w:ilvl w:val="0"/>
          <w:numId w:val="9"/>
        </w:numPr>
      </w:pPr>
      <w:r>
        <w:t>HMP Kirklevington Grange</w:t>
      </w:r>
    </w:p>
    <w:p w:rsidR="00BF5461" w:rsidRDefault="00BF5461" w:rsidP="00BF5461">
      <w:pPr>
        <w:pStyle w:val="ListParagraph"/>
        <w:numPr>
          <w:ilvl w:val="0"/>
          <w:numId w:val="9"/>
        </w:numPr>
      </w:pPr>
      <w:r>
        <w:t xml:space="preserve">HMYOI </w:t>
      </w:r>
      <w:proofErr w:type="spellStart"/>
      <w:r>
        <w:t>Deerbolt</w:t>
      </w:r>
      <w:proofErr w:type="spellEnd"/>
    </w:p>
    <w:p w:rsidR="00BF5461" w:rsidRPr="00BF5461" w:rsidRDefault="00BF5461" w:rsidP="00BF5461">
      <w:pPr>
        <w:pStyle w:val="ListParagraph"/>
        <w:numPr>
          <w:ilvl w:val="0"/>
          <w:numId w:val="9"/>
        </w:numPr>
      </w:pPr>
      <w:r>
        <w:t>HMP YOI Low Newton</w:t>
      </w:r>
    </w:p>
    <w:p w:rsidR="00194788" w:rsidRPr="00D95205" w:rsidRDefault="00584175" w:rsidP="00971087">
      <w:pPr>
        <w:pStyle w:val="Heading1"/>
        <w:spacing w:before="0" w:line="240" w:lineRule="auto"/>
        <w:rPr>
          <w:rFonts w:asciiTheme="minorHAnsi" w:hAnsiTheme="minorHAnsi" w:cstheme="minorHAnsi"/>
          <w:sz w:val="24"/>
          <w:szCs w:val="24"/>
        </w:rPr>
      </w:pPr>
      <w:r w:rsidRPr="00D95205">
        <w:rPr>
          <w:rFonts w:asciiTheme="minorHAnsi" w:hAnsiTheme="minorHAnsi" w:cstheme="minorHAnsi"/>
          <w:sz w:val="24"/>
          <w:szCs w:val="24"/>
        </w:rPr>
        <w:t>Content and scope of reports</w:t>
      </w:r>
    </w:p>
    <w:p w:rsidR="00907148" w:rsidRDefault="00907148" w:rsidP="00971087">
      <w:pPr>
        <w:spacing w:after="0" w:line="240" w:lineRule="auto"/>
        <w:rPr>
          <w:rFonts w:cstheme="minorHAnsi"/>
        </w:rPr>
      </w:pPr>
    </w:p>
    <w:p w:rsidR="00584175" w:rsidRDefault="00971087" w:rsidP="00971087">
      <w:pPr>
        <w:spacing w:after="0" w:line="240" w:lineRule="auto"/>
        <w:rPr>
          <w:rStyle w:val="Hyperlink"/>
          <w:rFonts w:cstheme="minorHAnsi"/>
        </w:rPr>
      </w:pPr>
      <w:r>
        <w:rPr>
          <w:rFonts w:cstheme="minorHAnsi"/>
        </w:rPr>
        <w:t xml:space="preserve">Together with NHS </w:t>
      </w:r>
      <w:r w:rsidR="00B332F6">
        <w:rPr>
          <w:rFonts w:cstheme="minorHAnsi"/>
        </w:rPr>
        <w:t xml:space="preserve">England, Public Health England </w:t>
      </w:r>
      <w:r>
        <w:rPr>
          <w:rFonts w:cstheme="minorHAnsi"/>
        </w:rPr>
        <w:t>has</w:t>
      </w:r>
      <w:r w:rsidR="00584175" w:rsidRPr="00D95205">
        <w:rPr>
          <w:rFonts w:cstheme="minorHAnsi"/>
        </w:rPr>
        <w:t xml:space="preserve"> developed a template </w:t>
      </w:r>
      <w:r w:rsidR="00C963DB" w:rsidRPr="00D95205">
        <w:rPr>
          <w:rFonts w:cstheme="minorHAnsi"/>
        </w:rPr>
        <w:t>for health needs assessment</w:t>
      </w:r>
      <w:r w:rsidR="00584175" w:rsidRPr="00D95205">
        <w:rPr>
          <w:rFonts w:cstheme="minorHAnsi"/>
        </w:rPr>
        <w:t>s</w:t>
      </w:r>
      <w:r w:rsidR="00D95205" w:rsidRPr="00D95205">
        <w:rPr>
          <w:rFonts w:cstheme="minorHAnsi"/>
        </w:rPr>
        <w:t>, which must be used for these reports</w:t>
      </w:r>
      <w:r w:rsidR="004A0461">
        <w:rPr>
          <w:rFonts w:cstheme="minorHAnsi"/>
        </w:rPr>
        <w:t xml:space="preserve"> including the immigration removal centre</w:t>
      </w:r>
      <w:r w:rsidR="00D95205" w:rsidRPr="00D95205">
        <w:rPr>
          <w:rFonts w:cstheme="minorHAnsi"/>
        </w:rPr>
        <w:t xml:space="preserve">.  </w:t>
      </w:r>
      <w:r>
        <w:rPr>
          <w:rFonts w:cstheme="minorHAnsi"/>
        </w:rPr>
        <w:t xml:space="preserve"> The adult prison template can be found at </w:t>
      </w:r>
      <w:hyperlink r:id="rId9" w:history="1">
        <w:r w:rsidRPr="00DB489A">
          <w:rPr>
            <w:rStyle w:val="Hyperlink"/>
            <w:rFonts w:cstheme="minorHAnsi"/>
          </w:rPr>
          <w:t>https://www.gov.uk/government/uploads/system/uploads/attachment_data/file/331628/Health_Needs_Assessment_Toolkit_for_Prescribed_Places_of_Detention_Part_2.pdf</w:t>
        </w:r>
      </w:hyperlink>
    </w:p>
    <w:p w:rsidR="00E4032D" w:rsidRDefault="00E4032D" w:rsidP="00971087">
      <w:pPr>
        <w:spacing w:after="0" w:line="240" w:lineRule="auto"/>
        <w:rPr>
          <w:rStyle w:val="Hyperlink"/>
          <w:rFonts w:cstheme="minorHAnsi"/>
        </w:rPr>
      </w:pPr>
    </w:p>
    <w:p w:rsidR="00E4032D" w:rsidRPr="00E4032D" w:rsidRDefault="00E4032D" w:rsidP="00971087">
      <w:pPr>
        <w:spacing w:after="0" w:line="240" w:lineRule="auto"/>
        <w:rPr>
          <w:rStyle w:val="Hyperlink"/>
          <w:rFonts w:cstheme="minorHAnsi"/>
          <w:color w:val="auto"/>
          <w:u w:val="none"/>
        </w:rPr>
      </w:pPr>
      <w:r w:rsidRPr="00E4032D">
        <w:rPr>
          <w:rStyle w:val="Hyperlink"/>
          <w:rFonts w:cstheme="minorHAnsi"/>
          <w:color w:val="auto"/>
          <w:u w:val="none"/>
        </w:rPr>
        <w:t>Bidders should consider</w:t>
      </w:r>
      <w:r>
        <w:rPr>
          <w:rStyle w:val="Hyperlink"/>
          <w:rFonts w:cstheme="minorHAnsi"/>
          <w:color w:val="auto"/>
          <w:u w:val="none"/>
        </w:rPr>
        <w:t xml:space="preserve"> this</w:t>
      </w:r>
      <w:r w:rsidRPr="00E4032D">
        <w:rPr>
          <w:rStyle w:val="Hyperlink"/>
          <w:rFonts w:cstheme="minorHAnsi"/>
          <w:color w:val="auto"/>
          <w:u w:val="none"/>
        </w:rPr>
        <w:t xml:space="preserve"> template and any areas in which they will need to deviate from it to produce an effective and valuable health needs assessment. </w:t>
      </w:r>
    </w:p>
    <w:p w:rsidR="00B332F6" w:rsidRDefault="00B332F6" w:rsidP="00971087">
      <w:pPr>
        <w:spacing w:after="0" w:line="240" w:lineRule="auto"/>
        <w:rPr>
          <w:rStyle w:val="Hyperlink"/>
          <w:rFonts w:cstheme="minorHAnsi"/>
        </w:rPr>
      </w:pPr>
    </w:p>
    <w:p w:rsidR="008D6297" w:rsidRPr="00D95205" w:rsidRDefault="008D6297" w:rsidP="00971087">
      <w:pPr>
        <w:pStyle w:val="Heading1"/>
        <w:spacing w:before="0" w:line="240" w:lineRule="auto"/>
        <w:rPr>
          <w:rFonts w:asciiTheme="minorHAnsi" w:hAnsiTheme="minorHAnsi" w:cstheme="minorHAnsi"/>
          <w:sz w:val="24"/>
          <w:szCs w:val="24"/>
        </w:rPr>
      </w:pPr>
      <w:bookmarkStart w:id="3" w:name="_Toc392156214"/>
      <w:r w:rsidRPr="00D95205">
        <w:rPr>
          <w:rFonts w:asciiTheme="minorHAnsi" w:hAnsiTheme="minorHAnsi" w:cstheme="minorHAnsi"/>
          <w:sz w:val="24"/>
          <w:szCs w:val="24"/>
        </w:rPr>
        <w:t>Timetable</w:t>
      </w:r>
      <w:bookmarkEnd w:id="3"/>
    </w:p>
    <w:p w:rsidR="0052503E" w:rsidRPr="00D95205" w:rsidRDefault="0052503E" w:rsidP="00971087">
      <w:pPr>
        <w:autoSpaceDE w:val="0"/>
        <w:autoSpaceDN w:val="0"/>
        <w:adjustRightInd w:val="0"/>
        <w:spacing w:after="0" w:line="240" w:lineRule="auto"/>
        <w:jc w:val="both"/>
        <w:rPr>
          <w:rFonts w:cstheme="minorHAnsi"/>
          <w:b/>
          <w:color w:val="000000"/>
          <w:u w:val="single"/>
        </w:rPr>
      </w:pPr>
    </w:p>
    <w:p w:rsidR="0052503E" w:rsidRDefault="0052503E" w:rsidP="00971087">
      <w:pPr>
        <w:autoSpaceDE w:val="0"/>
        <w:autoSpaceDN w:val="0"/>
        <w:adjustRightInd w:val="0"/>
        <w:spacing w:after="0" w:line="240" w:lineRule="auto"/>
        <w:jc w:val="both"/>
      </w:pPr>
      <w:r w:rsidRPr="00D95205">
        <w:rPr>
          <w:rFonts w:cstheme="minorHAnsi"/>
          <w:color w:val="000000"/>
        </w:rPr>
        <w:t xml:space="preserve">The bidder </w:t>
      </w:r>
      <w:r w:rsidR="00CC120E" w:rsidRPr="00D95205">
        <w:rPr>
          <w:rFonts w:cstheme="minorHAnsi"/>
          <w:color w:val="000000"/>
        </w:rPr>
        <w:t>must be in a positi</w:t>
      </w:r>
      <w:r w:rsidR="00BF51C3" w:rsidRPr="00D95205">
        <w:rPr>
          <w:rFonts w:cstheme="minorHAnsi"/>
          <w:color w:val="000000"/>
        </w:rPr>
        <w:t xml:space="preserve">on to provide a draft of the </w:t>
      </w:r>
      <w:r w:rsidR="008010B9">
        <w:rPr>
          <w:rFonts w:cstheme="minorHAnsi"/>
          <w:color w:val="000000"/>
        </w:rPr>
        <w:t>1</w:t>
      </w:r>
      <w:r w:rsidR="008010B9" w:rsidRPr="008010B9">
        <w:rPr>
          <w:rFonts w:cstheme="minorHAnsi"/>
          <w:color w:val="000000"/>
          <w:vertAlign w:val="superscript"/>
        </w:rPr>
        <w:t>st</w:t>
      </w:r>
      <w:r w:rsidR="008010B9">
        <w:rPr>
          <w:rFonts w:cstheme="minorHAnsi"/>
          <w:color w:val="000000"/>
        </w:rPr>
        <w:t xml:space="preserve"> stage report by January 2017 and the full HNA draft </w:t>
      </w:r>
      <w:r w:rsidR="00BF51C3" w:rsidRPr="00D95205">
        <w:rPr>
          <w:rFonts w:cstheme="minorHAnsi"/>
          <w:color w:val="000000"/>
        </w:rPr>
        <w:t>report</w:t>
      </w:r>
      <w:r w:rsidR="00D95205" w:rsidRPr="00D95205">
        <w:rPr>
          <w:rFonts w:cstheme="minorHAnsi"/>
          <w:color w:val="000000"/>
        </w:rPr>
        <w:t xml:space="preserve"> </w:t>
      </w:r>
      <w:r w:rsidR="008010B9">
        <w:rPr>
          <w:rFonts w:cstheme="minorHAnsi"/>
          <w:color w:val="000000"/>
        </w:rPr>
        <w:t>by 31 July 2017,</w:t>
      </w:r>
      <w:r w:rsidR="00300CDA">
        <w:rPr>
          <w:rFonts w:cstheme="minorHAnsi"/>
          <w:color w:val="000000"/>
        </w:rPr>
        <w:t xml:space="preserve"> </w:t>
      </w:r>
      <w:r w:rsidR="00865422">
        <w:rPr>
          <w:rFonts w:cstheme="minorHAnsi"/>
          <w:b/>
          <w:color w:val="000000"/>
        </w:rPr>
        <w:t>or an interim report by agreement with NHS England regarding the delivery of the full and final draft after this date</w:t>
      </w:r>
      <w:r w:rsidR="00CC120E" w:rsidRPr="00D95205">
        <w:rPr>
          <w:rFonts w:cstheme="minorHAnsi"/>
          <w:color w:val="000000"/>
        </w:rPr>
        <w:t>.</w:t>
      </w:r>
      <w:r w:rsidR="00971087">
        <w:rPr>
          <w:rFonts w:cstheme="minorHAnsi"/>
          <w:color w:val="000000"/>
        </w:rPr>
        <w:t xml:space="preserve"> T</w:t>
      </w:r>
      <w:r w:rsidR="00B332F6">
        <w:rPr>
          <w:rFonts w:cstheme="minorHAnsi"/>
          <w:color w:val="000000"/>
        </w:rPr>
        <w:t xml:space="preserve">he report(s) must be delivered </w:t>
      </w:r>
      <w:r w:rsidR="00FD41C7">
        <w:rPr>
          <w:rFonts w:cstheme="minorHAnsi"/>
          <w:color w:val="000000"/>
        </w:rPr>
        <w:t xml:space="preserve">as a </w:t>
      </w:r>
      <w:r w:rsidR="00971087">
        <w:rPr>
          <w:rFonts w:cstheme="minorHAnsi"/>
          <w:color w:val="000000"/>
        </w:rPr>
        <w:t xml:space="preserve">Word document to </w:t>
      </w:r>
      <w:hyperlink r:id="rId10" w:history="1">
        <w:r w:rsidR="008010B9" w:rsidRPr="0054535D">
          <w:rPr>
            <w:rStyle w:val="Hyperlink"/>
          </w:rPr>
          <w:t>jdhuny@nhs.net</w:t>
        </w:r>
      </w:hyperlink>
    </w:p>
    <w:p w:rsidR="008010B9" w:rsidRPr="00D95205" w:rsidRDefault="008010B9" w:rsidP="00971087">
      <w:pPr>
        <w:autoSpaceDE w:val="0"/>
        <w:autoSpaceDN w:val="0"/>
        <w:adjustRightInd w:val="0"/>
        <w:spacing w:after="0" w:line="240" w:lineRule="auto"/>
        <w:jc w:val="both"/>
        <w:rPr>
          <w:rFonts w:cstheme="minorHAnsi"/>
          <w:color w:val="000000"/>
        </w:rPr>
      </w:pPr>
    </w:p>
    <w:p w:rsidR="00800746" w:rsidRDefault="00971087" w:rsidP="00971087">
      <w:pPr>
        <w:keepNext/>
        <w:keepLines/>
        <w:spacing w:after="0" w:line="240" w:lineRule="auto"/>
        <w:outlineLvl w:val="0"/>
        <w:rPr>
          <w:rFonts w:eastAsiaTheme="majorEastAsia" w:cstheme="minorHAnsi"/>
          <w:b/>
          <w:bCs/>
          <w:color w:val="365F91" w:themeColor="accent1" w:themeShade="BF"/>
          <w:sz w:val="24"/>
          <w:szCs w:val="24"/>
          <w:lang w:eastAsia="en-GB"/>
        </w:rPr>
      </w:pPr>
      <w:bookmarkStart w:id="4" w:name="_Toc392156215"/>
      <w:r>
        <w:rPr>
          <w:rFonts w:eastAsiaTheme="majorEastAsia" w:cstheme="minorHAnsi"/>
          <w:b/>
          <w:bCs/>
          <w:color w:val="365F91" w:themeColor="accent1" w:themeShade="BF"/>
          <w:sz w:val="24"/>
          <w:szCs w:val="24"/>
          <w:lang w:eastAsia="en-GB"/>
        </w:rPr>
        <w:t>Price</w:t>
      </w:r>
      <w:r w:rsidR="000713DE" w:rsidRPr="00D95205">
        <w:rPr>
          <w:rFonts w:eastAsiaTheme="majorEastAsia" w:cstheme="minorHAnsi"/>
          <w:b/>
          <w:bCs/>
          <w:color w:val="365F91" w:themeColor="accent1" w:themeShade="BF"/>
          <w:sz w:val="24"/>
          <w:szCs w:val="24"/>
          <w:lang w:eastAsia="en-GB"/>
        </w:rPr>
        <w:t xml:space="preserve"> and Payment Terms</w:t>
      </w:r>
      <w:bookmarkEnd w:id="4"/>
    </w:p>
    <w:p w:rsidR="00971087" w:rsidRPr="00D95205" w:rsidRDefault="00971087" w:rsidP="00971087">
      <w:pPr>
        <w:keepNext/>
        <w:keepLines/>
        <w:spacing w:after="0" w:line="240" w:lineRule="auto"/>
        <w:outlineLvl w:val="0"/>
        <w:rPr>
          <w:rFonts w:eastAsiaTheme="majorEastAsia" w:cstheme="minorHAnsi"/>
          <w:b/>
          <w:bCs/>
          <w:color w:val="365F91" w:themeColor="accent1" w:themeShade="BF"/>
          <w:sz w:val="24"/>
          <w:szCs w:val="24"/>
          <w:lang w:eastAsia="en-GB"/>
        </w:rPr>
      </w:pPr>
    </w:p>
    <w:p w:rsidR="000713DE" w:rsidRDefault="000713DE" w:rsidP="00971087">
      <w:pPr>
        <w:spacing w:after="0" w:line="240" w:lineRule="auto"/>
        <w:jc w:val="both"/>
        <w:rPr>
          <w:rFonts w:eastAsia="Times New Roman" w:cstheme="minorHAnsi"/>
        </w:rPr>
      </w:pPr>
      <w:r w:rsidRPr="00D95205">
        <w:rPr>
          <w:rFonts w:eastAsia="Times New Roman" w:cstheme="minorHAnsi"/>
        </w:rPr>
        <w:t xml:space="preserve">Interested parties are requested to advise </w:t>
      </w:r>
      <w:r w:rsidR="00971087">
        <w:rPr>
          <w:rFonts w:eastAsia="Times New Roman" w:cstheme="minorHAnsi"/>
        </w:rPr>
        <w:t xml:space="preserve">Commissioners of their fully inclusive price </w:t>
      </w:r>
      <w:r w:rsidRPr="00D95205">
        <w:rPr>
          <w:rFonts w:eastAsia="Times New Roman" w:cstheme="minorHAnsi"/>
        </w:rPr>
        <w:t>for undertaking the review to the specification set</w:t>
      </w:r>
      <w:r w:rsidR="00CC120E" w:rsidRPr="00D95205">
        <w:rPr>
          <w:rFonts w:eastAsia="Times New Roman" w:cstheme="minorHAnsi"/>
        </w:rPr>
        <w:t xml:space="preserve"> out in this document.  Up to </w:t>
      </w:r>
      <w:r w:rsidR="008010B9">
        <w:rPr>
          <w:rFonts w:eastAsia="Times New Roman" w:cstheme="minorHAnsi"/>
        </w:rPr>
        <w:t>20</w:t>
      </w:r>
      <w:r w:rsidRPr="00D95205">
        <w:rPr>
          <w:rFonts w:eastAsia="Times New Roman" w:cstheme="minorHAnsi"/>
        </w:rPr>
        <w:t>% of the project costs will be paid at the start of the project to support impl</w:t>
      </w:r>
      <w:r w:rsidR="00CC120E" w:rsidRPr="00D95205">
        <w:rPr>
          <w:rFonts w:eastAsia="Times New Roman" w:cstheme="minorHAnsi"/>
        </w:rPr>
        <w:t xml:space="preserve">ementation.   The final </w:t>
      </w:r>
      <w:r w:rsidR="008010B9">
        <w:rPr>
          <w:rFonts w:eastAsia="Times New Roman" w:cstheme="minorHAnsi"/>
        </w:rPr>
        <w:t>8</w:t>
      </w:r>
      <w:r w:rsidR="00D95205" w:rsidRPr="00D95205">
        <w:rPr>
          <w:rFonts w:eastAsia="Times New Roman" w:cstheme="minorHAnsi"/>
        </w:rPr>
        <w:t>0</w:t>
      </w:r>
      <w:r w:rsidRPr="00D95205">
        <w:rPr>
          <w:rFonts w:eastAsia="Times New Roman" w:cstheme="minorHAnsi"/>
        </w:rPr>
        <w:t>% will be paid only on completion of the project</w:t>
      </w:r>
      <w:r w:rsidR="008010B9">
        <w:rPr>
          <w:rFonts w:eastAsia="Times New Roman" w:cstheme="minorHAnsi"/>
        </w:rPr>
        <w:t>s</w:t>
      </w:r>
      <w:r w:rsidRPr="00D95205">
        <w:rPr>
          <w:rFonts w:eastAsia="Times New Roman" w:cstheme="minorHAnsi"/>
        </w:rPr>
        <w:t xml:space="preserve">. Should the review fail to fully meet the requirements of the service specification or deadline (unless due to factors outside of the Provider’s control) NHS England reserves the right to withhold up to 10% of the total contract value. </w:t>
      </w:r>
    </w:p>
    <w:p w:rsidR="00B1186D" w:rsidRDefault="00B1186D" w:rsidP="00971087">
      <w:pPr>
        <w:spacing w:after="0" w:line="240" w:lineRule="auto"/>
        <w:jc w:val="both"/>
        <w:rPr>
          <w:rFonts w:eastAsia="Times New Roman" w:cstheme="minorHAnsi"/>
        </w:rPr>
      </w:pPr>
    </w:p>
    <w:p w:rsidR="00B1186D" w:rsidRPr="00731105" w:rsidRDefault="00B1186D" w:rsidP="00B1186D">
      <w:pPr>
        <w:keepNext/>
        <w:keepLines/>
        <w:spacing w:before="200" w:after="0"/>
        <w:outlineLvl w:val="1"/>
        <w:rPr>
          <w:rFonts w:ascii="Arial" w:eastAsia="Times New Roman" w:hAnsi="Arial" w:cs="Arial"/>
          <w:b/>
          <w:bCs/>
          <w:color w:val="4F81BD" w:themeColor="accent1"/>
          <w:sz w:val="24"/>
          <w:szCs w:val="24"/>
          <w:lang w:eastAsia="en-GB"/>
        </w:rPr>
      </w:pPr>
      <w:r w:rsidRPr="00731105">
        <w:rPr>
          <w:rFonts w:ascii="Arial" w:eastAsia="Times New Roman" w:hAnsi="Arial" w:cs="Arial"/>
          <w:b/>
          <w:bCs/>
          <w:color w:val="4F81BD" w:themeColor="accent1"/>
          <w:sz w:val="24"/>
          <w:szCs w:val="24"/>
          <w:lang w:eastAsia="en-GB"/>
        </w:rPr>
        <w:t>Evaluation and Scoring</w:t>
      </w:r>
    </w:p>
    <w:p w:rsidR="00B1186D" w:rsidRPr="00731105" w:rsidRDefault="00B1186D" w:rsidP="00B1186D">
      <w:pPr>
        <w:spacing w:after="0" w:line="240" w:lineRule="auto"/>
        <w:rPr>
          <w:rFonts w:ascii="Arial" w:eastAsia="Times New Roman" w:hAnsi="Arial" w:cs="Arial"/>
          <w:sz w:val="24"/>
          <w:szCs w:val="24"/>
          <w:lang w:eastAsia="en-GB"/>
        </w:rPr>
      </w:pPr>
    </w:p>
    <w:p w:rsidR="00B1186D" w:rsidRPr="00B1186D" w:rsidRDefault="00B1186D" w:rsidP="00B1186D">
      <w:pPr>
        <w:spacing w:after="0" w:line="240" w:lineRule="auto"/>
        <w:rPr>
          <w:rFonts w:eastAsia="Times New Roman" w:cstheme="minorHAnsi"/>
          <w:lang w:eastAsia="en-GB"/>
        </w:rPr>
      </w:pPr>
      <w:r w:rsidRPr="00B1186D">
        <w:rPr>
          <w:rFonts w:eastAsia="Times New Roman" w:cstheme="minorHAnsi"/>
          <w:lang w:eastAsia="en-GB"/>
        </w:rPr>
        <w:t xml:space="preserve">Applications will </w:t>
      </w:r>
      <w:r w:rsidR="00E732EE">
        <w:rPr>
          <w:rFonts w:eastAsia="Times New Roman" w:cstheme="minorHAnsi"/>
          <w:lang w:eastAsia="en-GB"/>
        </w:rPr>
        <w:t xml:space="preserve">be </w:t>
      </w:r>
      <w:r w:rsidRPr="00B1186D">
        <w:rPr>
          <w:rFonts w:eastAsia="Times New Roman" w:cstheme="minorHAnsi"/>
          <w:lang w:eastAsia="en-GB"/>
        </w:rPr>
        <w:t>evaluated and scored as follows:</w:t>
      </w:r>
    </w:p>
    <w:p w:rsidR="00B1186D" w:rsidRPr="00731105" w:rsidRDefault="00B1186D" w:rsidP="00B1186D">
      <w:pPr>
        <w:spacing w:after="0" w:line="240" w:lineRule="auto"/>
        <w:rPr>
          <w:rFonts w:ascii="Arial" w:eastAsia="Times New Roman" w:hAnsi="Arial" w:cs="Arial"/>
          <w:sz w:val="24"/>
          <w:szCs w:val="24"/>
          <w:lang w:eastAsia="en-GB"/>
        </w:rPr>
      </w:pPr>
    </w:p>
    <w:p w:rsidR="00300CDA" w:rsidRDefault="00FC0C7C" w:rsidP="00B1186D">
      <w:pPr>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Scoring Methodology</w:t>
      </w:r>
    </w:p>
    <w:p w:rsidR="00FC0C7C" w:rsidRPr="00731105" w:rsidRDefault="00FC0C7C" w:rsidP="00B1186D">
      <w:pPr>
        <w:spacing w:after="0" w:line="240" w:lineRule="auto"/>
        <w:rPr>
          <w:rFonts w:ascii="Arial" w:eastAsia="Times New Roman" w:hAnsi="Arial" w:cs="Arial"/>
          <w:b/>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8592"/>
      </w:tblGrid>
      <w:tr w:rsidR="00FC0C7C" w:rsidRPr="00731105" w:rsidTr="00DB6303">
        <w:tc>
          <w:tcPr>
            <w:tcW w:w="675" w:type="dxa"/>
            <w:shd w:val="clear" w:color="auto" w:fill="auto"/>
          </w:tcPr>
          <w:p w:rsidR="00FC0C7C" w:rsidRPr="00731105" w:rsidRDefault="00FC0C7C" w:rsidP="00DB6303">
            <w:pPr>
              <w:spacing w:after="0" w:line="240" w:lineRule="auto"/>
              <w:rPr>
                <w:rFonts w:ascii="Arial" w:eastAsia="Times New Roman" w:hAnsi="Arial" w:cs="Arial"/>
                <w:lang w:eastAsia="en-GB"/>
              </w:rPr>
            </w:pPr>
            <w:r w:rsidRPr="00731105">
              <w:rPr>
                <w:rFonts w:ascii="Arial" w:eastAsia="Times New Roman" w:hAnsi="Arial" w:cs="Arial"/>
                <w:lang w:eastAsia="en-GB"/>
              </w:rPr>
              <w:t xml:space="preserve">0 </w:t>
            </w:r>
          </w:p>
        </w:tc>
        <w:tc>
          <w:tcPr>
            <w:tcW w:w="9179" w:type="dxa"/>
            <w:shd w:val="clear" w:color="auto" w:fill="auto"/>
          </w:tcPr>
          <w:p w:rsidR="00FC0C7C" w:rsidRPr="00731105" w:rsidRDefault="00FC0C7C" w:rsidP="00DB6303">
            <w:pPr>
              <w:spacing w:after="0" w:line="240" w:lineRule="auto"/>
              <w:rPr>
                <w:rFonts w:ascii="Arial" w:eastAsia="Times New Roman" w:hAnsi="Arial" w:cs="Arial"/>
                <w:lang w:eastAsia="en-GB"/>
              </w:rPr>
            </w:pPr>
            <w:r w:rsidRPr="00731105">
              <w:rPr>
                <w:rFonts w:ascii="Arial" w:eastAsia="Times New Roman" w:hAnsi="Arial" w:cs="Arial"/>
                <w:lang w:eastAsia="en-GB"/>
              </w:rPr>
              <w:t>The Provider is unable to fulfil the requirement or no response is received</w:t>
            </w:r>
          </w:p>
        </w:tc>
      </w:tr>
      <w:tr w:rsidR="00FC0C7C" w:rsidRPr="00731105" w:rsidTr="00DB6303">
        <w:tc>
          <w:tcPr>
            <w:tcW w:w="675" w:type="dxa"/>
            <w:shd w:val="clear" w:color="auto" w:fill="auto"/>
          </w:tcPr>
          <w:p w:rsidR="00FC0C7C" w:rsidRPr="00731105" w:rsidRDefault="00FC0C7C" w:rsidP="00DB6303">
            <w:pPr>
              <w:spacing w:after="0" w:line="240" w:lineRule="auto"/>
              <w:rPr>
                <w:rFonts w:ascii="Arial" w:eastAsia="Times New Roman" w:hAnsi="Arial" w:cs="Arial"/>
                <w:lang w:eastAsia="en-GB"/>
              </w:rPr>
            </w:pPr>
            <w:r w:rsidRPr="00244D62">
              <w:rPr>
                <w:rFonts w:ascii="Arial" w:eastAsia="Times New Roman" w:hAnsi="Arial" w:cs="Arial"/>
                <w:lang w:eastAsia="en-GB"/>
              </w:rPr>
              <w:t>1</w:t>
            </w:r>
          </w:p>
        </w:tc>
        <w:tc>
          <w:tcPr>
            <w:tcW w:w="9179" w:type="dxa"/>
            <w:shd w:val="clear" w:color="auto" w:fill="auto"/>
          </w:tcPr>
          <w:p w:rsidR="00FC0C7C" w:rsidRPr="00731105" w:rsidRDefault="00FC0C7C" w:rsidP="00DB6303">
            <w:pPr>
              <w:spacing w:after="0" w:line="240" w:lineRule="auto"/>
              <w:rPr>
                <w:rFonts w:ascii="Arial" w:eastAsia="Times New Roman" w:hAnsi="Arial" w:cs="Arial"/>
                <w:lang w:eastAsia="en-GB"/>
              </w:rPr>
            </w:pPr>
            <w:r w:rsidRPr="00731105">
              <w:rPr>
                <w:rFonts w:ascii="Arial" w:eastAsia="Times New Roman" w:hAnsi="Arial" w:cs="Arial"/>
                <w:lang w:eastAsia="en-GB"/>
              </w:rPr>
              <w:t>The Provider is only able to partly fulfil the requirement</w:t>
            </w:r>
          </w:p>
        </w:tc>
      </w:tr>
      <w:tr w:rsidR="00FC0C7C" w:rsidRPr="00731105" w:rsidTr="00DB6303">
        <w:tc>
          <w:tcPr>
            <w:tcW w:w="675" w:type="dxa"/>
            <w:shd w:val="clear" w:color="auto" w:fill="auto"/>
          </w:tcPr>
          <w:p w:rsidR="00FC0C7C" w:rsidRPr="00731105" w:rsidRDefault="00FC0C7C" w:rsidP="00DB6303">
            <w:pPr>
              <w:spacing w:after="0" w:line="240" w:lineRule="auto"/>
              <w:rPr>
                <w:rFonts w:ascii="Arial" w:eastAsia="Times New Roman" w:hAnsi="Arial" w:cs="Arial"/>
                <w:lang w:eastAsia="en-GB"/>
              </w:rPr>
            </w:pPr>
            <w:r w:rsidRPr="00244D62">
              <w:rPr>
                <w:rFonts w:ascii="Arial" w:eastAsia="Times New Roman" w:hAnsi="Arial" w:cs="Arial"/>
                <w:lang w:eastAsia="en-GB"/>
              </w:rPr>
              <w:t>2</w:t>
            </w:r>
          </w:p>
        </w:tc>
        <w:tc>
          <w:tcPr>
            <w:tcW w:w="9179" w:type="dxa"/>
            <w:shd w:val="clear" w:color="auto" w:fill="auto"/>
          </w:tcPr>
          <w:p w:rsidR="00FC0C7C" w:rsidRPr="00731105" w:rsidRDefault="00FC0C7C" w:rsidP="00DB6303">
            <w:pPr>
              <w:spacing w:after="0" w:line="240" w:lineRule="auto"/>
              <w:rPr>
                <w:rFonts w:ascii="Arial" w:eastAsia="Times New Roman" w:hAnsi="Arial" w:cs="Arial"/>
                <w:lang w:eastAsia="en-GB"/>
              </w:rPr>
            </w:pPr>
            <w:r w:rsidRPr="00731105">
              <w:rPr>
                <w:rFonts w:ascii="Arial" w:eastAsia="Times New Roman" w:hAnsi="Arial" w:cs="Arial"/>
                <w:lang w:eastAsia="en-GB"/>
              </w:rPr>
              <w:t>The Provider is able to fulfil the requirement</w:t>
            </w:r>
          </w:p>
        </w:tc>
      </w:tr>
      <w:tr w:rsidR="00FC0C7C" w:rsidRPr="00731105" w:rsidTr="00DB6303">
        <w:tc>
          <w:tcPr>
            <w:tcW w:w="675" w:type="dxa"/>
            <w:shd w:val="clear" w:color="auto" w:fill="auto"/>
          </w:tcPr>
          <w:p w:rsidR="00FC0C7C" w:rsidRPr="00731105" w:rsidRDefault="00FC0C7C" w:rsidP="00DB6303">
            <w:pPr>
              <w:spacing w:after="0" w:line="240" w:lineRule="auto"/>
              <w:rPr>
                <w:rFonts w:ascii="Arial" w:eastAsia="Times New Roman" w:hAnsi="Arial" w:cs="Arial"/>
                <w:lang w:eastAsia="en-GB"/>
              </w:rPr>
            </w:pPr>
            <w:r w:rsidRPr="00244D62">
              <w:rPr>
                <w:rFonts w:ascii="Arial" w:eastAsia="Times New Roman" w:hAnsi="Arial" w:cs="Arial"/>
                <w:lang w:eastAsia="en-GB"/>
              </w:rPr>
              <w:t>3</w:t>
            </w:r>
          </w:p>
        </w:tc>
        <w:tc>
          <w:tcPr>
            <w:tcW w:w="9179" w:type="dxa"/>
            <w:shd w:val="clear" w:color="auto" w:fill="auto"/>
          </w:tcPr>
          <w:p w:rsidR="00FC0C7C" w:rsidRPr="00731105" w:rsidRDefault="00FC0C7C" w:rsidP="00DB6303">
            <w:pPr>
              <w:spacing w:after="0" w:line="240" w:lineRule="auto"/>
              <w:rPr>
                <w:rFonts w:ascii="Arial" w:eastAsia="Times New Roman" w:hAnsi="Arial" w:cs="Arial"/>
                <w:lang w:eastAsia="en-GB"/>
              </w:rPr>
            </w:pPr>
            <w:r w:rsidRPr="00731105">
              <w:rPr>
                <w:rFonts w:ascii="Arial" w:eastAsia="Times New Roman" w:hAnsi="Arial" w:cs="Arial"/>
                <w:lang w:eastAsia="en-GB"/>
              </w:rPr>
              <w:t>The Provider exceeds fulfilment of the requirement</w:t>
            </w:r>
          </w:p>
        </w:tc>
      </w:tr>
      <w:tr w:rsidR="00FC0C7C" w:rsidRPr="00731105" w:rsidTr="00DB6303">
        <w:tc>
          <w:tcPr>
            <w:tcW w:w="675" w:type="dxa"/>
            <w:shd w:val="clear" w:color="auto" w:fill="auto"/>
          </w:tcPr>
          <w:p w:rsidR="00FC0C7C" w:rsidRPr="00731105" w:rsidRDefault="00FC0C7C" w:rsidP="00DB6303">
            <w:pPr>
              <w:spacing w:after="0" w:line="240" w:lineRule="auto"/>
              <w:rPr>
                <w:rFonts w:ascii="Arial" w:eastAsia="Times New Roman" w:hAnsi="Arial" w:cs="Arial"/>
                <w:lang w:eastAsia="en-GB"/>
              </w:rPr>
            </w:pPr>
            <w:r w:rsidRPr="00244D62">
              <w:rPr>
                <w:rFonts w:ascii="Arial" w:eastAsia="Times New Roman" w:hAnsi="Arial" w:cs="Arial"/>
                <w:lang w:eastAsia="en-GB"/>
              </w:rPr>
              <w:t>4</w:t>
            </w:r>
          </w:p>
        </w:tc>
        <w:tc>
          <w:tcPr>
            <w:tcW w:w="9179" w:type="dxa"/>
            <w:shd w:val="clear" w:color="auto" w:fill="auto"/>
          </w:tcPr>
          <w:p w:rsidR="00FC0C7C" w:rsidRPr="00731105" w:rsidRDefault="00FC0C7C" w:rsidP="00DB6303">
            <w:pPr>
              <w:spacing w:after="0" w:line="240" w:lineRule="auto"/>
              <w:rPr>
                <w:rFonts w:ascii="Arial" w:eastAsia="Times New Roman" w:hAnsi="Arial" w:cs="Arial"/>
                <w:lang w:eastAsia="en-GB"/>
              </w:rPr>
            </w:pPr>
            <w:r w:rsidRPr="00731105">
              <w:rPr>
                <w:rFonts w:ascii="Arial" w:eastAsia="Times New Roman" w:hAnsi="Arial" w:cs="Arial"/>
                <w:lang w:eastAsia="en-GB"/>
              </w:rPr>
              <w:t>The Provider excels in the fulfilment of the requirement</w:t>
            </w:r>
          </w:p>
        </w:tc>
      </w:tr>
    </w:tbl>
    <w:p w:rsidR="00B1186D" w:rsidRDefault="00B1186D" w:rsidP="00B1186D">
      <w:pPr>
        <w:spacing w:after="0" w:line="240" w:lineRule="auto"/>
        <w:rPr>
          <w:rFonts w:ascii="Arial" w:eastAsia="Times New Roman" w:hAnsi="Arial" w:cs="Arial"/>
          <w:sz w:val="24"/>
          <w:szCs w:val="24"/>
          <w:lang w:eastAsia="en-GB"/>
        </w:rPr>
      </w:pPr>
    </w:p>
    <w:p w:rsidR="00B1186D" w:rsidRPr="00731105" w:rsidRDefault="00B1186D" w:rsidP="00B1186D">
      <w:pPr>
        <w:spacing w:after="0" w:line="240" w:lineRule="auto"/>
        <w:rPr>
          <w:rFonts w:ascii="Arial" w:eastAsia="Times New Roman" w:hAnsi="Arial" w:cs="Arial"/>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7"/>
        <w:gridCol w:w="650"/>
        <w:gridCol w:w="7165"/>
      </w:tblGrid>
      <w:tr w:rsidR="00B1186D" w:rsidRPr="00731105" w:rsidTr="00C724C0">
        <w:tc>
          <w:tcPr>
            <w:tcW w:w="9242" w:type="dxa"/>
            <w:gridSpan w:val="3"/>
            <w:shd w:val="clear" w:color="auto" w:fill="auto"/>
          </w:tcPr>
          <w:p w:rsidR="00B1186D" w:rsidRPr="00731105" w:rsidRDefault="00FC0C7C" w:rsidP="00C724C0">
            <w:pPr>
              <w:spacing w:after="0" w:line="240" w:lineRule="auto"/>
              <w:rPr>
                <w:rFonts w:ascii="Arial" w:eastAsia="Times New Roman" w:hAnsi="Arial" w:cs="Arial"/>
                <w:b/>
                <w:lang w:eastAsia="en-GB"/>
              </w:rPr>
            </w:pPr>
            <w:r>
              <w:rPr>
                <w:rFonts w:ascii="Arial" w:eastAsia="Times New Roman" w:hAnsi="Arial" w:cs="Arial"/>
                <w:b/>
                <w:lang w:eastAsia="en-GB"/>
              </w:rPr>
              <w:t>Quality – weighted at 8</w:t>
            </w:r>
            <w:r w:rsidR="00B1186D" w:rsidRPr="00731105">
              <w:rPr>
                <w:rFonts w:ascii="Arial" w:eastAsia="Times New Roman" w:hAnsi="Arial" w:cs="Arial"/>
                <w:b/>
                <w:lang w:eastAsia="en-GB"/>
              </w:rPr>
              <w:t>0% of total score</w:t>
            </w:r>
          </w:p>
          <w:p w:rsidR="00B1186D" w:rsidRPr="00731105" w:rsidRDefault="00B1186D" w:rsidP="00C724C0">
            <w:pPr>
              <w:spacing w:after="0" w:line="240" w:lineRule="auto"/>
              <w:rPr>
                <w:rFonts w:ascii="Arial" w:eastAsia="Times New Roman" w:hAnsi="Arial" w:cs="Arial"/>
                <w:b/>
                <w:lang w:eastAsia="en-GB"/>
              </w:rPr>
            </w:pPr>
          </w:p>
        </w:tc>
      </w:tr>
      <w:tr w:rsidR="00B1186D" w:rsidRPr="00731105" w:rsidTr="00C724C0">
        <w:tc>
          <w:tcPr>
            <w:tcW w:w="9242" w:type="dxa"/>
            <w:gridSpan w:val="3"/>
            <w:shd w:val="clear" w:color="auto" w:fill="auto"/>
          </w:tcPr>
          <w:p w:rsidR="00B1186D" w:rsidRPr="00731105" w:rsidRDefault="00B1186D" w:rsidP="00C724C0">
            <w:pPr>
              <w:spacing w:after="0" w:line="240" w:lineRule="auto"/>
              <w:rPr>
                <w:rFonts w:ascii="Arial" w:eastAsia="Times New Roman" w:hAnsi="Arial" w:cs="Arial"/>
                <w:lang w:eastAsia="en-GB"/>
              </w:rPr>
            </w:pPr>
            <w:r w:rsidRPr="00731105">
              <w:rPr>
                <w:rFonts w:ascii="Arial" w:eastAsia="Times New Roman" w:hAnsi="Arial" w:cs="Arial"/>
                <w:lang w:eastAsia="en-GB"/>
              </w:rPr>
              <w:t>The Provider has demonstrated that:</w:t>
            </w:r>
          </w:p>
        </w:tc>
      </w:tr>
      <w:tr w:rsidR="00B1186D" w:rsidRPr="00731105" w:rsidTr="00C724C0">
        <w:trPr>
          <w:trHeight w:val="521"/>
        </w:trPr>
        <w:tc>
          <w:tcPr>
            <w:tcW w:w="1427" w:type="dxa"/>
            <w:vMerge w:val="restart"/>
            <w:shd w:val="clear" w:color="auto" w:fill="auto"/>
          </w:tcPr>
          <w:p w:rsidR="00B1186D" w:rsidRPr="00731105" w:rsidRDefault="00B1186D" w:rsidP="00C724C0">
            <w:pPr>
              <w:spacing w:after="0" w:line="240" w:lineRule="auto"/>
              <w:rPr>
                <w:rFonts w:ascii="Arial" w:eastAsia="Times New Roman" w:hAnsi="Arial" w:cs="Arial"/>
                <w:lang w:eastAsia="en-GB"/>
              </w:rPr>
            </w:pPr>
            <w:r w:rsidRPr="00731105">
              <w:rPr>
                <w:rFonts w:ascii="Arial" w:eastAsia="Times New Roman" w:hAnsi="Arial" w:cs="Arial"/>
                <w:lang w:eastAsia="en-GB"/>
              </w:rPr>
              <w:t>Review Deliverables</w:t>
            </w:r>
          </w:p>
        </w:tc>
        <w:tc>
          <w:tcPr>
            <w:tcW w:w="7815" w:type="dxa"/>
            <w:gridSpan w:val="2"/>
            <w:shd w:val="clear" w:color="auto" w:fill="auto"/>
          </w:tcPr>
          <w:p w:rsidR="00B1186D" w:rsidRDefault="00B1186D" w:rsidP="00B1186D">
            <w:pPr>
              <w:numPr>
                <w:ilvl w:val="0"/>
                <w:numId w:val="4"/>
              </w:numPr>
              <w:spacing w:after="0" w:line="240" w:lineRule="auto"/>
              <w:rPr>
                <w:rFonts w:ascii="Arial" w:eastAsia="Times New Roman" w:hAnsi="Arial" w:cs="Arial"/>
                <w:lang w:eastAsia="en-GB"/>
              </w:rPr>
            </w:pPr>
            <w:r w:rsidRPr="00731105">
              <w:rPr>
                <w:rFonts w:ascii="Arial" w:eastAsia="Times New Roman" w:hAnsi="Arial" w:cs="Arial"/>
                <w:lang w:eastAsia="en-GB"/>
              </w:rPr>
              <w:t>All the objectives and products contained within the specification will be delivered.</w:t>
            </w:r>
          </w:p>
          <w:p w:rsidR="00CA2DA3" w:rsidRDefault="00CA2DA3" w:rsidP="00CA2DA3">
            <w:pPr>
              <w:spacing w:after="0" w:line="240" w:lineRule="auto"/>
              <w:ind w:left="720"/>
              <w:rPr>
                <w:rFonts w:ascii="Arial" w:eastAsia="Times New Roman" w:hAnsi="Arial" w:cs="Arial"/>
                <w:b/>
                <w:lang w:eastAsia="en-GB"/>
              </w:rPr>
            </w:pPr>
            <w:r w:rsidRPr="00CA2DA3">
              <w:rPr>
                <w:rFonts w:ascii="Arial" w:eastAsia="Times New Roman" w:hAnsi="Arial" w:cs="Arial"/>
                <w:b/>
                <w:lang w:eastAsia="en-GB"/>
              </w:rPr>
              <w:t>5% weighting</w:t>
            </w:r>
          </w:p>
          <w:p w:rsidR="00CA2DA3" w:rsidRPr="00CA2DA3" w:rsidRDefault="00CA2DA3" w:rsidP="00CA2DA3">
            <w:pPr>
              <w:spacing w:after="0" w:line="240" w:lineRule="auto"/>
              <w:ind w:left="720"/>
              <w:rPr>
                <w:rFonts w:ascii="Arial" w:eastAsia="Times New Roman" w:hAnsi="Arial" w:cs="Arial"/>
                <w:b/>
                <w:lang w:eastAsia="en-GB"/>
              </w:rPr>
            </w:pPr>
          </w:p>
        </w:tc>
      </w:tr>
      <w:tr w:rsidR="00B1186D" w:rsidRPr="00731105" w:rsidTr="00C724C0">
        <w:trPr>
          <w:trHeight w:val="854"/>
        </w:trPr>
        <w:tc>
          <w:tcPr>
            <w:tcW w:w="1427" w:type="dxa"/>
            <w:vMerge/>
            <w:shd w:val="clear" w:color="auto" w:fill="auto"/>
          </w:tcPr>
          <w:p w:rsidR="00B1186D" w:rsidRPr="00731105" w:rsidRDefault="00B1186D" w:rsidP="00C724C0">
            <w:pPr>
              <w:spacing w:after="0" w:line="240" w:lineRule="auto"/>
              <w:rPr>
                <w:rFonts w:ascii="Arial" w:eastAsia="Times New Roman" w:hAnsi="Arial" w:cs="Arial"/>
                <w:lang w:eastAsia="en-GB"/>
              </w:rPr>
            </w:pPr>
          </w:p>
        </w:tc>
        <w:tc>
          <w:tcPr>
            <w:tcW w:w="7815" w:type="dxa"/>
            <w:gridSpan w:val="2"/>
            <w:shd w:val="clear" w:color="auto" w:fill="auto"/>
          </w:tcPr>
          <w:p w:rsidR="00B1186D" w:rsidRDefault="00B1186D" w:rsidP="00E4032D">
            <w:pPr>
              <w:numPr>
                <w:ilvl w:val="0"/>
                <w:numId w:val="4"/>
              </w:numPr>
              <w:spacing w:after="0" w:line="240" w:lineRule="auto"/>
              <w:rPr>
                <w:rFonts w:ascii="Arial" w:eastAsia="Times New Roman" w:hAnsi="Arial" w:cs="Arial"/>
                <w:lang w:eastAsia="en-GB"/>
              </w:rPr>
            </w:pPr>
            <w:r w:rsidRPr="00731105">
              <w:rPr>
                <w:rFonts w:ascii="Arial" w:eastAsia="Times New Roman" w:hAnsi="Arial" w:cs="Arial"/>
                <w:lang w:eastAsia="en-GB"/>
              </w:rPr>
              <w:t>A comprehensive and suitable methodology will be used to co</w:t>
            </w:r>
            <w:r w:rsidR="00E4032D">
              <w:rPr>
                <w:rFonts w:ascii="Arial" w:eastAsia="Times New Roman" w:hAnsi="Arial" w:cs="Arial"/>
                <w:lang w:eastAsia="en-GB"/>
              </w:rPr>
              <w:t>llect/obtain the data required and appropriate arrangements will be made for obtaining data from hard copy records.</w:t>
            </w:r>
          </w:p>
          <w:p w:rsidR="00CA2DA3" w:rsidRPr="00CA2DA3" w:rsidRDefault="00CA2DA3" w:rsidP="00CA2DA3">
            <w:pPr>
              <w:spacing w:after="0" w:line="240" w:lineRule="auto"/>
              <w:ind w:left="720"/>
              <w:rPr>
                <w:rFonts w:ascii="Arial" w:eastAsia="Times New Roman" w:hAnsi="Arial" w:cs="Arial"/>
                <w:b/>
                <w:lang w:eastAsia="en-GB"/>
              </w:rPr>
            </w:pPr>
            <w:r w:rsidRPr="00CA2DA3">
              <w:rPr>
                <w:rFonts w:ascii="Arial" w:eastAsia="Times New Roman" w:hAnsi="Arial" w:cs="Arial"/>
                <w:b/>
                <w:lang w:eastAsia="en-GB"/>
              </w:rPr>
              <w:t>15% weighting</w:t>
            </w:r>
          </w:p>
          <w:p w:rsidR="00CA2DA3" w:rsidRPr="00731105" w:rsidRDefault="00CA2DA3" w:rsidP="00CA2DA3">
            <w:pPr>
              <w:spacing w:after="0" w:line="240" w:lineRule="auto"/>
              <w:ind w:left="720"/>
              <w:rPr>
                <w:rFonts w:ascii="Arial" w:eastAsia="Times New Roman" w:hAnsi="Arial" w:cs="Arial"/>
                <w:lang w:eastAsia="en-GB"/>
              </w:rPr>
            </w:pPr>
          </w:p>
        </w:tc>
      </w:tr>
      <w:tr w:rsidR="00B1186D" w:rsidRPr="00731105" w:rsidTr="00C724C0">
        <w:trPr>
          <w:trHeight w:val="645"/>
        </w:trPr>
        <w:tc>
          <w:tcPr>
            <w:tcW w:w="1427" w:type="dxa"/>
            <w:vMerge/>
            <w:shd w:val="clear" w:color="auto" w:fill="auto"/>
          </w:tcPr>
          <w:p w:rsidR="00B1186D" w:rsidRPr="00731105" w:rsidRDefault="00B1186D" w:rsidP="00C724C0">
            <w:pPr>
              <w:spacing w:after="0" w:line="240" w:lineRule="auto"/>
              <w:rPr>
                <w:rFonts w:ascii="Arial" w:eastAsia="Times New Roman" w:hAnsi="Arial" w:cs="Arial"/>
                <w:lang w:eastAsia="en-GB"/>
              </w:rPr>
            </w:pPr>
          </w:p>
        </w:tc>
        <w:tc>
          <w:tcPr>
            <w:tcW w:w="7815" w:type="dxa"/>
            <w:gridSpan w:val="2"/>
            <w:shd w:val="clear" w:color="auto" w:fill="auto"/>
          </w:tcPr>
          <w:p w:rsidR="00B1186D" w:rsidRDefault="00B1186D" w:rsidP="00B1186D">
            <w:pPr>
              <w:numPr>
                <w:ilvl w:val="0"/>
                <w:numId w:val="4"/>
              </w:numPr>
              <w:spacing w:after="0" w:line="240" w:lineRule="auto"/>
              <w:rPr>
                <w:rFonts w:ascii="Arial" w:eastAsia="Times New Roman" w:hAnsi="Arial" w:cs="Arial"/>
                <w:lang w:eastAsia="en-GB"/>
              </w:rPr>
            </w:pPr>
            <w:r w:rsidRPr="00731105">
              <w:rPr>
                <w:rFonts w:ascii="Arial" w:eastAsia="Times New Roman" w:hAnsi="Arial" w:cs="Arial"/>
                <w:lang w:eastAsia="en-GB"/>
              </w:rPr>
              <w:t xml:space="preserve">A suitable methodology and rationale will be adopted to collect the full range of </w:t>
            </w:r>
            <w:r w:rsidR="00300CDA">
              <w:rPr>
                <w:rFonts w:ascii="Arial" w:eastAsia="Times New Roman" w:hAnsi="Arial" w:cs="Arial"/>
                <w:lang w:eastAsia="en-GB"/>
              </w:rPr>
              <w:t xml:space="preserve">service user and </w:t>
            </w:r>
            <w:r w:rsidRPr="00731105">
              <w:rPr>
                <w:rFonts w:ascii="Arial" w:eastAsia="Times New Roman" w:hAnsi="Arial" w:cs="Arial"/>
                <w:lang w:eastAsia="en-GB"/>
              </w:rPr>
              <w:t>stakeholder feedback.</w:t>
            </w:r>
          </w:p>
          <w:p w:rsidR="00CA2DA3" w:rsidRPr="00CA2DA3" w:rsidRDefault="00CA2DA3" w:rsidP="00CA2DA3">
            <w:pPr>
              <w:spacing w:after="0" w:line="240" w:lineRule="auto"/>
              <w:ind w:left="720"/>
              <w:rPr>
                <w:rFonts w:ascii="Arial" w:eastAsia="Times New Roman" w:hAnsi="Arial" w:cs="Arial"/>
                <w:b/>
                <w:lang w:eastAsia="en-GB"/>
              </w:rPr>
            </w:pPr>
            <w:r w:rsidRPr="00CA2DA3">
              <w:rPr>
                <w:rFonts w:ascii="Arial" w:eastAsia="Times New Roman" w:hAnsi="Arial" w:cs="Arial"/>
                <w:b/>
                <w:lang w:eastAsia="en-GB"/>
              </w:rPr>
              <w:t>15% weighting</w:t>
            </w:r>
          </w:p>
          <w:p w:rsidR="00B1186D" w:rsidRPr="00731105" w:rsidRDefault="00B1186D" w:rsidP="00C724C0">
            <w:pPr>
              <w:spacing w:after="0" w:line="240" w:lineRule="auto"/>
              <w:ind w:left="720"/>
              <w:rPr>
                <w:rFonts w:ascii="Arial" w:eastAsia="Times New Roman" w:hAnsi="Arial" w:cs="Arial"/>
                <w:lang w:eastAsia="en-GB"/>
              </w:rPr>
            </w:pPr>
          </w:p>
        </w:tc>
      </w:tr>
      <w:tr w:rsidR="00B1186D" w:rsidRPr="00731105" w:rsidTr="00C724C0">
        <w:trPr>
          <w:trHeight w:val="645"/>
        </w:trPr>
        <w:tc>
          <w:tcPr>
            <w:tcW w:w="1427" w:type="dxa"/>
            <w:shd w:val="clear" w:color="auto" w:fill="auto"/>
          </w:tcPr>
          <w:p w:rsidR="00B1186D" w:rsidRPr="00731105" w:rsidRDefault="00B1186D" w:rsidP="00C724C0">
            <w:pPr>
              <w:spacing w:after="0" w:line="240" w:lineRule="auto"/>
              <w:rPr>
                <w:rFonts w:ascii="Arial" w:eastAsia="Times New Roman" w:hAnsi="Arial" w:cs="Arial"/>
                <w:lang w:eastAsia="en-GB"/>
              </w:rPr>
            </w:pPr>
          </w:p>
        </w:tc>
        <w:tc>
          <w:tcPr>
            <w:tcW w:w="7815" w:type="dxa"/>
            <w:gridSpan w:val="2"/>
            <w:shd w:val="clear" w:color="auto" w:fill="auto"/>
          </w:tcPr>
          <w:p w:rsidR="00B1186D" w:rsidRDefault="00B1186D" w:rsidP="00B1186D">
            <w:pPr>
              <w:numPr>
                <w:ilvl w:val="0"/>
                <w:numId w:val="4"/>
              </w:numPr>
              <w:spacing w:after="0" w:line="240" w:lineRule="auto"/>
              <w:rPr>
                <w:rFonts w:ascii="Arial" w:eastAsia="Times New Roman" w:hAnsi="Arial" w:cs="Arial"/>
                <w:lang w:eastAsia="en-GB"/>
              </w:rPr>
            </w:pPr>
            <w:r>
              <w:rPr>
                <w:rFonts w:ascii="Arial" w:eastAsia="Times New Roman" w:hAnsi="Arial" w:cs="Arial"/>
                <w:lang w:eastAsia="en-GB"/>
              </w:rPr>
              <w:t>Project challenges have been identified and suitable mitigation action proposed.</w:t>
            </w:r>
          </w:p>
          <w:p w:rsidR="00CA2DA3" w:rsidRPr="00CA2DA3" w:rsidRDefault="00CA2DA3" w:rsidP="00CA2DA3">
            <w:pPr>
              <w:spacing w:after="0" w:line="240" w:lineRule="auto"/>
              <w:ind w:left="720"/>
              <w:rPr>
                <w:rFonts w:ascii="Arial" w:eastAsia="Times New Roman" w:hAnsi="Arial" w:cs="Arial"/>
                <w:b/>
                <w:lang w:eastAsia="en-GB"/>
              </w:rPr>
            </w:pPr>
            <w:r w:rsidRPr="00CA2DA3">
              <w:rPr>
                <w:rFonts w:ascii="Arial" w:eastAsia="Times New Roman" w:hAnsi="Arial" w:cs="Arial"/>
                <w:b/>
                <w:lang w:eastAsia="en-GB"/>
              </w:rPr>
              <w:t>5% weighting</w:t>
            </w:r>
          </w:p>
          <w:p w:rsidR="00CA2DA3" w:rsidRPr="00731105" w:rsidRDefault="00CA2DA3" w:rsidP="00CA2DA3">
            <w:pPr>
              <w:spacing w:after="0" w:line="240" w:lineRule="auto"/>
              <w:ind w:left="720"/>
              <w:rPr>
                <w:rFonts w:ascii="Arial" w:eastAsia="Times New Roman" w:hAnsi="Arial" w:cs="Arial"/>
                <w:lang w:eastAsia="en-GB"/>
              </w:rPr>
            </w:pPr>
          </w:p>
        </w:tc>
      </w:tr>
      <w:tr w:rsidR="00B1186D" w:rsidRPr="00731105" w:rsidTr="00C724C0">
        <w:trPr>
          <w:trHeight w:val="445"/>
        </w:trPr>
        <w:tc>
          <w:tcPr>
            <w:tcW w:w="1427" w:type="dxa"/>
            <w:vMerge w:val="restart"/>
            <w:shd w:val="clear" w:color="auto" w:fill="auto"/>
          </w:tcPr>
          <w:p w:rsidR="00B1186D" w:rsidRPr="00731105" w:rsidRDefault="00B1186D" w:rsidP="00C724C0">
            <w:pPr>
              <w:spacing w:after="0" w:line="240" w:lineRule="auto"/>
              <w:rPr>
                <w:rFonts w:ascii="Arial" w:eastAsia="Times New Roman" w:hAnsi="Arial" w:cs="Arial"/>
                <w:lang w:eastAsia="en-GB"/>
              </w:rPr>
            </w:pPr>
            <w:r w:rsidRPr="00731105">
              <w:rPr>
                <w:rFonts w:ascii="Arial" w:eastAsia="Times New Roman" w:hAnsi="Arial" w:cs="Arial"/>
                <w:lang w:eastAsia="en-GB"/>
              </w:rPr>
              <w:t>Capability</w:t>
            </w:r>
          </w:p>
        </w:tc>
        <w:tc>
          <w:tcPr>
            <w:tcW w:w="7815" w:type="dxa"/>
            <w:gridSpan w:val="2"/>
            <w:shd w:val="clear" w:color="auto" w:fill="auto"/>
          </w:tcPr>
          <w:p w:rsidR="00B1186D" w:rsidRDefault="00B1186D" w:rsidP="00E4032D">
            <w:pPr>
              <w:numPr>
                <w:ilvl w:val="0"/>
                <w:numId w:val="4"/>
              </w:numPr>
              <w:spacing w:after="0" w:line="240" w:lineRule="auto"/>
              <w:rPr>
                <w:rFonts w:ascii="Arial" w:eastAsia="Times New Roman" w:hAnsi="Arial" w:cs="Arial"/>
                <w:lang w:eastAsia="en-GB"/>
              </w:rPr>
            </w:pPr>
            <w:r w:rsidRPr="00731105">
              <w:rPr>
                <w:rFonts w:ascii="Arial" w:eastAsia="Times New Roman" w:hAnsi="Arial" w:cs="Arial"/>
                <w:lang w:eastAsia="en-GB"/>
              </w:rPr>
              <w:t>Experience of undertaking a similar piece of work, delivered to timescale.</w:t>
            </w:r>
            <w:r w:rsidR="00E4032D">
              <w:rPr>
                <w:rFonts w:ascii="Arial" w:eastAsia="Times New Roman" w:hAnsi="Arial" w:cs="Arial"/>
                <w:lang w:eastAsia="en-GB"/>
              </w:rPr>
              <w:t xml:space="preserve"> The bidder must provide a copy of any similar piece of work which they cite in support of their bid. The similar piece of work must have been undertaken since January 2014.</w:t>
            </w:r>
          </w:p>
          <w:p w:rsidR="00CA2DA3" w:rsidRPr="00CA2DA3" w:rsidRDefault="00CA2DA3" w:rsidP="00CA2DA3">
            <w:pPr>
              <w:spacing w:after="0" w:line="240" w:lineRule="auto"/>
              <w:ind w:left="720"/>
              <w:rPr>
                <w:rFonts w:ascii="Arial" w:eastAsia="Times New Roman" w:hAnsi="Arial" w:cs="Arial"/>
                <w:b/>
                <w:lang w:eastAsia="en-GB"/>
              </w:rPr>
            </w:pPr>
            <w:r w:rsidRPr="00CA2DA3">
              <w:rPr>
                <w:rFonts w:ascii="Arial" w:eastAsia="Times New Roman" w:hAnsi="Arial" w:cs="Arial"/>
                <w:b/>
                <w:lang w:eastAsia="en-GB"/>
              </w:rPr>
              <w:t>10% weighting</w:t>
            </w:r>
          </w:p>
          <w:p w:rsidR="00CA2DA3" w:rsidRPr="00731105" w:rsidRDefault="00CA2DA3" w:rsidP="00CA2DA3">
            <w:pPr>
              <w:spacing w:after="0" w:line="240" w:lineRule="auto"/>
              <w:ind w:left="720"/>
              <w:rPr>
                <w:rFonts w:ascii="Arial" w:eastAsia="Times New Roman" w:hAnsi="Arial" w:cs="Arial"/>
                <w:lang w:eastAsia="en-GB"/>
              </w:rPr>
            </w:pPr>
          </w:p>
        </w:tc>
      </w:tr>
      <w:tr w:rsidR="00B1186D" w:rsidRPr="00731105" w:rsidTr="00C724C0">
        <w:tc>
          <w:tcPr>
            <w:tcW w:w="1427" w:type="dxa"/>
            <w:vMerge/>
            <w:shd w:val="clear" w:color="auto" w:fill="auto"/>
          </w:tcPr>
          <w:p w:rsidR="00B1186D" w:rsidRPr="00731105" w:rsidRDefault="00B1186D" w:rsidP="00C724C0">
            <w:pPr>
              <w:spacing w:after="0" w:line="240" w:lineRule="auto"/>
              <w:rPr>
                <w:rFonts w:ascii="Arial" w:eastAsia="Times New Roman" w:hAnsi="Arial" w:cs="Arial"/>
                <w:lang w:eastAsia="en-GB"/>
              </w:rPr>
            </w:pPr>
          </w:p>
        </w:tc>
        <w:tc>
          <w:tcPr>
            <w:tcW w:w="7815" w:type="dxa"/>
            <w:gridSpan w:val="2"/>
            <w:shd w:val="clear" w:color="auto" w:fill="auto"/>
          </w:tcPr>
          <w:p w:rsidR="00B1186D" w:rsidRDefault="00B1186D" w:rsidP="00E4032D">
            <w:pPr>
              <w:numPr>
                <w:ilvl w:val="0"/>
                <w:numId w:val="4"/>
              </w:numPr>
              <w:spacing w:after="0" w:line="240" w:lineRule="auto"/>
              <w:rPr>
                <w:rFonts w:ascii="Arial" w:eastAsia="Times New Roman" w:hAnsi="Arial" w:cs="Arial"/>
                <w:lang w:eastAsia="en-GB"/>
              </w:rPr>
            </w:pPr>
            <w:r w:rsidRPr="00731105">
              <w:rPr>
                <w:rFonts w:ascii="Arial" w:eastAsia="Times New Roman" w:hAnsi="Arial" w:cs="Arial"/>
                <w:lang w:eastAsia="en-GB"/>
              </w:rPr>
              <w:t>The availability of ex</w:t>
            </w:r>
            <w:r>
              <w:rPr>
                <w:rFonts w:ascii="Arial" w:eastAsia="Times New Roman" w:hAnsi="Arial" w:cs="Arial"/>
                <w:lang w:eastAsia="en-GB"/>
              </w:rPr>
              <w:t>perienced and suitably competent</w:t>
            </w:r>
            <w:r w:rsidRPr="00731105">
              <w:rPr>
                <w:rFonts w:ascii="Arial" w:eastAsia="Times New Roman" w:hAnsi="Arial" w:cs="Arial"/>
                <w:lang w:eastAsia="en-GB"/>
              </w:rPr>
              <w:t xml:space="preserve"> staff.</w:t>
            </w:r>
            <w:r w:rsidR="00E4032D">
              <w:rPr>
                <w:rFonts w:ascii="Arial" w:eastAsia="Times New Roman" w:hAnsi="Arial" w:cs="Arial"/>
                <w:lang w:eastAsia="en-GB"/>
              </w:rPr>
              <w:t xml:space="preserve"> Staff will be considered to be suitably competent if they were authors of the similar piece of work mentioned in point 5 above. This will be demonstrated by providing copies of the reports undertaken, detailing the authors and their qualifications.</w:t>
            </w:r>
          </w:p>
          <w:p w:rsidR="00CA2DA3" w:rsidRPr="00CA2DA3" w:rsidRDefault="00CA2DA3" w:rsidP="00CA2DA3">
            <w:pPr>
              <w:spacing w:after="0" w:line="240" w:lineRule="auto"/>
              <w:ind w:left="720"/>
              <w:rPr>
                <w:rFonts w:ascii="Arial" w:eastAsia="Times New Roman" w:hAnsi="Arial" w:cs="Arial"/>
                <w:b/>
                <w:lang w:eastAsia="en-GB"/>
              </w:rPr>
            </w:pPr>
            <w:r w:rsidRPr="00CA2DA3">
              <w:rPr>
                <w:rFonts w:ascii="Arial" w:eastAsia="Times New Roman" w:hAnsi="Arial" w:cs="Arial"/>
                <w:b/>
                <w:lang w:eastAsia="en-GB"/>
              </w:rPr>
              <w:t>10% weighting</w:t>
            </w:r>
          </w:p>
          <w:p w:rsidR="00CA2DA3" w:rsidRPr="00731105" w:rsidRDefault="00CA2DA3" w:rsidP="00CA2DA3">
            <w:pPr>
              <w:spacing w:after="0" w:line="240" w:lineRule="auto"/>
              <w:ind w:left="720"/>
              <w:rPr>
                <w:rFonts w:ascii="Arial" w:eastAsia="Times New Roman" w:hAnsi="Arial" w:cs="Arial"/>
                <w:lang w:eastAsia="en-GB"/>
              </w:rPr>
            </w:pPr>
          </w:p>
        </w:tc>
      </w:tr>
      <w:tr w:rsidR="00B1186D" w:rsidRPr="00731105" w:rsidTr="00C724C0">
        <w:tc>
          <w:tcPr>
            <w:tcW w:w="1427" w:type="dxa"/>
            <w:vMerge/>
            <w:shd w:val="clear" w:color="auto" w:fill="auto"/>
          </w:tcPr>
          <w:p w:rsidR="00B1186D" w:rsidRPr="00731105" w:rsidRDefault="00B1186D" w:rsidP="00C724C0">
            <w:pPr>
              <w:spacing w:after="0" w:line="240" w:lineRule="auto"/>
              <w:rPr>
                <w:rFonts w:ascii="Arial" w:eastAsia="Times New Roman" w:hAnsi="Arial" w:cs="Arial"/>
                <w:lang w:eastAsia="en-GB"/>
              </w:rPr>
            </w:pPr>
          </w:p>
        </w:tc>
        <w:tc>
          <w:tcPr>
            <w:tcW w:w="7815" w:type="dxa"/>
            <w:gridSpan w:val="2"/>
            <w:shd w:val="clear" w:color="auto" w:fill="auto"/>
          </w:tcPr>
          <w:p w:rsidR="00B1186D" w:rsidRDefault="00B1186D" w:rsidP="00B1186D">
            <w:pPr>
              <w:numPr>
                <w:ilvl w:val="0"/>
                <w:numId w:val="4"/>
              </w:numPr>
              <w:spacing w:after="0" w:line="240" w:lineRule="auto"/>
              <w:rPr>
                <w:rFonts w:ascii="Arial" w:eastAsia="Times New Roman" w:hAnsi="Arial" w:cs="Arial"/>
                <w:lang w:eastAsia="en-GB"/>
              </w:rPr>
            </w:pPr>
            <w:r w:rsidRPr="00731105">
              <w:rPr>
                <w:rFonts w:ascii="Arial" w:eastAsia="Times New Roman" w:hAnsi="Arial" w:cs="Arial"/>
                <w:lang w:eastAsia="en-GB"/>
              </w:rPr>
              <w:t>An understanding and application of, data confidentiality and information governance issues.</w:t>
            </w:r>
          </w:p>
          <w:p w:rsidR="00CA2DA3" w:rsidRPr="00CA2DA3" w:rsidRDefault="00CA2DA3" w:rsidP="00CA2DA3">
            <w:pPr>
              <w:spacing w:after="0" w:line="240" w:lineRule="auto"/>
              <w:ind w:left="720"/>
              <w:rPr>
                <w:rFonts w:ascii="Arial" w:eastAsia="Times New Roman" w:hAnsi="Arial" w:cs="Arial"/>
                <w:b/>
                <w:lang w:eastAsia="en-GB"/>
              </w:rPr>
            </w:pPr>
            <w:r w:rsidRPr="00CA2DA3">
              <w:rPr>
                <w:rFonts w:ascii="Arial" w:eastAsia="Times New Roman" w:hAnsi="Arial" w:cs="Arial"/>
                <w:b/>
                <w:lang w:eastAsia="en-GB"/>
              </w:rPr>
              <w:t>5% weighting</w:t>
            </w:r>
          </w:p>
          <w:p w:rsidR="00B1186D" w:rsidRPr="00731105" w:rsidRDefault="00B1186D" w:rsidP="00C724C0">
            <w:pPr>
              <w:spacing w:after="0" w:line="240" w:lineRule="auto"/>
              <w:rPr>
                <w:rFonts w:ascii="Arial" w:eastAsia="Times New Roman" w:hAnsi="Arial" w:cs="Arial"/>
                <w:lang w:eastAsia="en-GB"/>
              </w:rPr>
            </w:pPr>
          </w:p>
        </w:tc>
      </w:tr>
      <w:tr w:rsidR="00B1186D" w:rsidRPr="00731105" w:rsidTr="00C724C0">
        <w:tc>
          <w:tcPr>
            <w:tcW w:w="1427" w:type="dxa"/>
            <w:vMerge/>
            <w:shd w:val="clear" w:color="auto" w:fill="auto"/>
          </w:tcPr>
          <w:p w:rsidR="00B1186D" w:rsidRPr="00731105" w:rsidRDefault="00B1186D" w:rsidP="00C724C0">
            <w:pPr>
              <w:spacing w:after="0" w:line="240" w:lineRule="auto"/>
              <w:rPr>
                <w:rFonts w:ascii="Arial" w:eastAsia="Times New Roman" w:hAnsi="Arial" w:cs="Arial"/>
                <w:lang w:eastAsia="en-GB"/>
              </w:rPr>
            </w:pPr>
          </w:p>
        </w:tc>
        <w:tc>
          <w:tcPr>
            <w:tcW w:w="7815" w:type="dxa"/>
            <w:gridSpan w:val="2"/>
            <w:shd w:val="clear" w:color="auto" w:fill="auto"/>
          </w:tcPr>
          <w:p w:rsidR="00B1186D" w:rsidRDefault="00B1186D" w:rsidP="00E4032D">
            <w:pPr>
              <w:numPr>
                <w:ilvl w:val="0"/>
                <w:numId w:val="4"/>
              </w:numPr>
              <w:spacing w:after="0" w:line="240" w:lineRule="auto"/>
              <w:rPr>
                <w:rFonts w:ascii="Arial" w:eastAsia="Times New Roman" w:hAnsi="Arial" w:cs="Arial"/>
                <w:lang w:eastAsia="en-GB"/>
              </w:rPr>
            </w:pPr>
            <w:r>
              <w:rPr>
                <w:rFonts w:ascii="Arial" w:eastAsia="Times New Roman" w:hAnsi="Arial" w:cs="Arial"/>
                <w:lang w:eastAsia="en-GB"/>
              </w:rPr>
              <w:t>They can deliver the report</w:t>
            </w:r>
            <w:r w:rsidRPr="00731105">
              <w:rPr>
                <w:rFonts w:ascii="Arial" w:eastAsia="Times New Roman" w:hAnsi="Arial" w:cs="Arial"/>
                <w:lang w:eastAsia="en-GB"/>
              </w:rPr>
              <w:t xml:space="preserve"> within the project dead</w:t>
            </w:r>
            <w:r w:rsidR="00CA2DA3">
              <w:rPr>
                <w:rFonts w:ascii="Arial" w:eastAsia="Times New Roman" w:hAnsi="Arial" w:cs="Arial"/>
                <w:lang w:eastAsia="en-GB"/>
              </w:rPr>
              <w:t>line with a realistic timetable.</w:t>
            </w:r>
          </w:p>
          <w:p w:rsidR="00CA2DA3" w:rsidRPr="00CA2DA3" w:rsidRDefault="00CA2DA3" w:rsidP="00CA2DA3">
            <w:pPr>
              <w:spacing w:after="0" w:line="240" w:lineRule="auto"/>
              <w:ind w:left="720"/>
              <w:rPr>
                <w:rFonts w:ascii="Arial" w:eastAsia="Times New Roman" w:hAnsi="Arial" w:cs="Arial"/>
                <w:b/>
                <w:lang w:eastAsia="en-GB"/>
              </w:rPr>
            </w:pPr>
            <w:r w:rsidRPr="00CA2DA3">
              <w:rPr>
                <w:rFonts w:ascii="Arial" w:eastAsia="Times New Roman" w:hAnsi="Arial" w:cs="Arial"/>
                <w:b/>
                <w:lang w:eastAsia="en-GB"/>
              </w:rPr>
              <w:t>5% weighting</w:t>
            </w:r>
          </w:p>
          <w:p w:rsidR="00CA2DA3" w:rsidRPr="00731105" w:rsidRDefault="00CA2DA3" w:rsidP="00CA2DA3">
            <w:pPr>
              <w:spacing w:after="0" w:line="240" w:lineRule="auto"/>
              <w:ind w:left="720"/>
              <w:rPr>
                <w:rFonts w:ascii="Arial" w:eastAsia="Times New Roman" w:hAnsi="Arial" w:cs="Arial"/>
                <w:lang w:eastAsia="en-GB"/>
              </w:rPr>
            </w:pPr>
          </w:p>
        </w:tc>
      </w:tr>
      <w:tr w:rsidR="00300CDA" w:rsidRPr="00731105" w:rsidTr="00C724C0">
        <w:tc>
          <w:tcPr>
            <w:tcW w:w="1427" w:type="dxa"/>
            <w:shd w:val="clear" w:color="auto" w:fill="auto"/>
          </w:tcPr>
          <w:p w:rsidR="00300CDA" w:rsidRPr="00731105" w:rsidRDefault="00300CDA" w:rsidP="00C724C0">
            <w:pPr>
              <w:spacing w:after="0" w:line="240" w:lineRule="auto"/>
              <w:rPr>
                <w:rFonts w:ascii="Arial" w:eastAsia="Times New Roman" w:hAnsi="Arial" w:cs="Arial"/>
                <w:lang w:eastAsia="en-GB"/>
              </w:rPr>
            </w:pPr>
          </w:p>
        </w:tc>
        <w:tc>
          <w:tcPr>
            <w:tcW w:w="7815" w:type="dxa"/>
            <w:gridSpan w:val="2"/>
            <w:shd w:val="clear" w:color="auto" w:fill="auto"/>
          </w:tcPr>
          <w:p w:rsidR="00300CDA" w:rsidRDefault="00300CDA" w:rsidP="00E4032D">
            <w:pPr>
              <w:numPr>
                <w:ilvl w:val="0"/>
                <w:numId w:val="4"/>
              </w:numPr>
              <w:spacing w:after="0" w:line="240" w:lineRule="auto"/>
              <w:rPr>
                <w:rFonts w:ascii="Arial" w:eastAsia="Times New Roman" w:hAnsi="Arial" w:cs="Arial"/>
                <w:lang w:eastAsia="en-GB"/>
              </w:rPr>
            </w:pPr>
            <w:r>
              <w:rPr>
                <w:rFonts w:ascii="Arial" w:eastAsia="Times New Roman" w:hAnsi="Arial" w:cs="Arial"/>
                <w:lang w:eastAsia="en-GB"/>
              </w:rPr>
              <w:t>All staff are security cleared to a satisfactory level to gain access to all prisons</w:t>
            </w:r>
          </w:p>
          <w:p w:rsidR="00CA2DA3" w:rsidRPr="00CA2DA3" w:rsidRDefault="00CA2DA3" w:rsidP="00CA2DA3">
            <w:pPr>
              <w:spacing w:after="0" w:line="240" w:lineRule="auto"/>
              <w:ind w:left="720"/>
              <w:rPr>
                <w:rFonts w:ascii="Arial" w:eastAsia="Times New Roman" w:hAnsi="Arial" w:cs="Arial"/>
                <w:b/>
                <w:lang w:eastAsia="en-GB"/>
              </w:rPr>
            </w:pPr>
            <w:r w:rsidRPr="00CA2DA3">
              <w:rPr>
                <w:rFonts w:ascii="Arial" w:eastAsia="Times New Roman" w:hAnsi="Arial" w:cs="Arial"/>
                <w:b/>
                <w:lang w:eastAsia="en-GB"/>
              </w:rPr>
              <w:t>5% weighting</w:t>
            </w:r>
          </w:p>
          <w:p w:rsidR="00CA2DA3" w:rsidRDefault="00CA2DA3" w:rsidP="00CA2DA3">
            <w:pPr>
              <w:spacing w:after="0" w:line="240" w:lineRule="auto"/>
              <w:ind w:left="720"/>
              <w:rPr>
                <w:rFonts w:ascii="Arial" w:eastAsia="Times New Roman" w:hAnsi="Arial" w:cs="Arial"/>
                <w:lang w:eastAsia="en-GB"/>
              </w:rPr>
            </w:pPr>
          </w:p>
        </w:tc>
      </w:tr>
      <w:tr w:rsidR="00300CDA" w:rsidRPr="00731105" w:rsidTr="00C724C0">
        <w:tc>
          <w:tcPr>
            <w:tcW w:w="1427" w:type="dxa"/>
            <w:shd w:val="clear" w:color="auto" w:fill="auto"/>
          </w:tcPr>
          <w:p w:rsidR="00300CDA" w:rsidRPr="00731105" w:rsidRDefault="00300CDA" w:rsidP="00C724C0">
            <w:pPr>
              <w:spacing w:after="0" w:line="240" w:lineRule="auto"/>
              <w:rPr>
                <w:rFonts w:ascii="Arial" w:eastAsia="Times New Roman" w:hAnsi="Arial" w:cs="Arial"/>
                <w:lang w:eastAsia="en-GB"/>
              </w:rPr>
            </w:pPr>
          </w:p>
        </w:tc>
        <w:tc>
          <w:tcPr>
            <w:tcW w:w="7815" w:type="dxa"/>
            <w:gridSpan w:val="2"/>
            <w:shd w:val="clear" w:color="auto" w:fill="auto"/>
          </w:tcPr>
          <w:p w:rsidR="00300CDA" w:rsidRDefault="00300CDA" w:rsidP="00E4032D">
            <w:pPr>
              <w:numPr>
                <w:ilvl w:val="0"/>
                <w:numId w:val="4"/>
              </w:numPr>
              <w:spacing w:after="0" w:line="240" w:lineRule="auto"/>
              <w:rPr>
                <w:rFonts w:ascii="Arial" w:eastAsia="Times New Roman" w:hAnsi="Arial" w:cs="Arial"/>
                <w:lang w:eastAsia="en-GB"/>
              </w:rPr>
            </w:pPr>
            <w:r>
              <w:rPr>
                <w:rFonts w:ascii="Arial" w:eastAsia="Times New Roman" w:hAnsi="Arial" w:cs="Arial"/>
                <w:lang w:eastAsia="en-GB"/>
              </w:rPr>
              <w:t>Service users views will be reflected throughout the needs assessments</w:t>
            </w:r>
          </w:p>
          <w:p w:rsidR="00CA2DA3" w:rsidRPr="00CA2DA3" w:rsidRDefault="00CA2DA3" w:rsidP="00CA2DA3">
            <w:pPr>
              <w:spacing w:after="0" w:line="240" w:lineRule="auto"/>
              <w:ind w:left="720"/>
              <w:rPr>
                <w:rFonts w:ascii="Arial" w:eastAsia="Times New Roman" w:hAnsi="Arial" w:cs="Arial"/>
                <w:b/>
                <w:lang w:eastAsia="en-GB"/>
              </w:rPr>
            </w:pPr>
            <w:r w:rsidRPr="00CA2DA3">
              <w:rPr>
                <w:rFonts w:ascii="Arial" w:eastAsia="Times New Roman" w:hAnsi="Arial" w:cs="Arial"/>
                <w:b/>
                <w:lang w:eastAsia="en-GB"/>
              </w:rPr>
              <w:t>5% weighting</w:t>
            </w:r>
          </w:p>
          <w:p w:rsidR="00CA2DA3" w:rsidRDefault="00CA2DA3" w:rsidP="00CA2DA3">
            <w:pPr>
              <w:spacing w:after="0" w:line="240" w:lineRule="auto"/>
              <w:ind w:left="720"/>
              <w:rPr>
                <w:rFonts w:ascii="Arial" w:eastAsia="Times New Roman" w:hAnsi="Arial" w:cs="Arial"/>
                <w:lang w:eastAsia="en-GB"/>
              </w:rPr>
            </w:pPr>
          </w:p>
        </w:tc>
      </w:tr>
      <w:tr w:rsidR="00B1186D" w:rsidRPr="00731105" w:rsidTr="00C724C0">
        <w:tc>
          <w:tcPr>
            <w:tcW w:w="9242" w:type="dxa"/>
            <w:gridSpan w:val="3"/>
            <w:shd w:val="clear" w:color="auto" w:fill="auto"/>
          </w:tcPr>
          <w:p w:rsidR="00B1186D" w:rsidRPr="00731105" w:rsidRDefault="00FC0C7C" w:rsidP="00E4032D">
            <w:pPr>
              <w:spacing w:after="0" w:line="240" w:lineRule="auto"/>
              <w:rPr>
                <w:rFonts w:ascii="Arial" w:eastAsia="Times New Roman" w:hAnsi="Arial" w:cs="Arial"/>
                <w:b/>
                <w:lang w:eastAsia="en-GB"/>
              </w:rPr>
            </w:pPr>
            <w:r>
              <w:rPr>
                <w:rFonts w:ascii="Arial" w:eastAsia="Times New Roman" w:hAnsi="Arial" w:cs="Arial"/>
                <w:b/>
                <w:lang w:eastAsia="en-GB"/>
              </w:rPr>
              <w:t>Cost – Weighted at 2</w:t>
            </w:r>
            <w:r w:rsidR="00B1186D" w:rsidRPr="00731105">
              <w:rPr>
                <w:rFonts w:ascii="Arial" w:eastAsia="Times New Roman" w:hAnsi="Arial" w:cs="Arial"/>
                <w:b/>
                <w:lang w:eastAsia="en-GB"/>
              </w:rPr>
              <w:t>0% of total score</w:t>
            </w:r>
          </w:p>
        </w:tc>
      </w:tr>
      <w:tr w:rsidR="00B1186D" w:rsidRPr="00731105" w:rsidTr="00C724C0">
        <w:tc>
          <w:tcPr>
            <w:tcW w:w="2077" w:type="dxa"/>
            <w:gridSpan w:val="2"/>
            <w:shd w:val="clear" w:color="auto" w:fill="auto"/>
          </w:tcPr>
          <w:p w:rsidR="00B1186D" w:rsidRPr="00731105" w:rsidRDefault="00B1186D" w:rsidP="00C724C0">
            <w:pPr>
              <w:spacing w:after="0" w:line="240" w:lineRule="auto"/>
              <w:rPr>
                <w:rFonts w:ascii="Arial" w:eastAsia="Times New Roman" w:hAnsi="Arial" w:cs="Arial"/>
                <w:lang w:eastAsia="en-GB"/>
              </w:rPr>
            </w:pPr>
            <w:r w:rsidRPr="00731105">
              <w:rPr>
                <w:rFonts w:ascii="Arial" w:eastAsia="Times New Roman" w:hAnsi="Arial" w:cs="Arial"/>
                <w:lang w:eastAsia="en-GB"/>
              </w:rPr>
              <w:t>Cost</w:t>
            </w:r>
          </w:p>
        </w:tc>
        <w:tc>
          <w:tcPr>
            <w:tcW w:w="7165" w:type="dxa"/>
            <w:shd w:val="clear" w:color="auto" w:fill="auto"/>
          </w:tcPr>
          <w:p w:rsidR="00B1186D" w:rsidRPr="00731105" w:rsidRDefault="00B1186D" w:rsidP="00C724C0">
            <w:pPr>
              <w:spacing w:after="0" w:line="240" w:lineRule="auto"/>
              <w:rPr>
                <w:rFonts w:ascii="Arial" w:eastAsia="Times New Roman" w:hAnsi="Arial" w:cs="Arial"/>
                <w:lang w:eastAsia="en-GB"/>
              </w:rPr>
            </w:pPr>
            <w:r w:rsidRPr="00731105">
              <w:rPr>
                <w:rFonts w:ascii="Arial" w:eastAsia="Times New Roman" w:hAnsi="Arial" w:cs="Arial"/>
                <w:lang w:eastAsia="en-GB"/>
              </w:rPr>
              <w:t>Cost will be evaluated by the bid with the lowest score scoring 100 and all other bidder prices being expressed as an inverse proportion.</w:t>
            </w:r>
          </w:p>
          <w:p w:rsidR="00B1186D" w:rsidRDefault="00B1186D" w:rsidP="00C724C0">
            <w:pPr>
              <w:spacing w:after="0" w:line="240" w:lineRule="auto"/>
              <w:rPr>
                <w:rFonts w:ascii="Arial" w:eastAsia="Times New Roman" w:hAnsi="Arial" w:cs="Arial"/>
                <w:lang w:eastAsia="en-GB"/>
              </w:rPr>
            </w:pPr>
          </w:p>
          <w:p w:rsidR="00CA2DA3" w:rsidRPr="00CA2DA3" w:rsidRDefault="00CA2DA3" w:rsidP="00CA2DA3">
            <w:pPr>
              <w:spacing w:after="0" w:line="240" w:lineRule="auto"/>
              <w:rPr>
                <w:rFonts w:ascii="Arial" w:eastAsia="Times New Roman" w:hAnsi="Arial" w:cs="Arial"/>
                <w:i/>
                <w:lang w:eastAsia="en-GB"/>
              </w:rPr>
            </w:pPr>
            <w:r w:rsidRPr="00CA2DA3">
              <w:rPr>
                <w:rFonts w:ascii="Arial" w:eastAsia="Times New Roman" w:hAnsi="Arial" w:cs="Arial"/>
                <w:i/>
                <w:lang w:eastAsia="en-GB"/>
              </w:rPr>
              <w:t>For example.</w:t>
            </w:r>
          </w:p>
          <w:p w:rsidR="00CA2DA3" w:rsidRPr="00CA2DA3" w:rsidRDefault="00CA2DA3" w:rsidP="00CA2DA3">
            <w:pPr>
              <w:spacing w:after="0" w:line="240" w:lineRule="auto"/>
              <w:rPr>
                <w:rFonts w:ascii="Arial" w:eastAsia="Times New Roman" w:hAnsi="Arial" w:cs="Arial"/>
                <w:i/>
                <w:lang w:eastAsia="en-GB"/>
              </w:rPr>
            </w:pPr>
            <w:r w:rsidRPr="00CA2DA3">
              <w:rPr>
                <w:rFonts w:ascii="Arial" w:eastAsia="Times New Roman" w:hAnsi="Arial" w:cs="Arial"/>
                <w:i/>
                <w:lang w:eastAsia="en-GB"/>
              </w:rPr>
              <w:t>Lowest Price = scores 4</w:t>
            </w:r>
          </w:p>
          <w:p w:rsidR="00CA2DA3" w:rsidRPr="00CA2DA3" w:rsidRDefault="00CA2DA3" w:rsidP="00CA2DA3">
            <w:pPr>
              <w:spacing w:after="0" w:line="240" w:lineRule="auto"/>
              <w:rPr>
                <w:rFonts w:ascii="Arial" w:eastAsia="Times New Roman" w:hAnsi="Arial" w:cs="Arial"/>
                <w:i/>
                <w:lang w:eastAsia="en-GB"/>
              </w:rPr>
            </w:pPr>
            <w:r w:rsidRPr="00CA2DA3">
              <w:rPr>
                <w:rFonts w:ascii="Arial" w:eastAsia="Times New Roman" w:hAnsi="Arial" w:cs="Arial"/>
                <w:i/>
                <w:lang w:eastAsia="en-GB"/>
              </w:rPr>
              <w:t>Second lowest = scores 3</w:t>
            </w:r>
          </w:p>
          <w:p w:rsidR="00CA2DA3" w:rsidRPr="00CA2DA3" w:rsidRDefault="00CA2DA3" w:rsidP="00CA2DA3">
            <w:pPr>
              <w:spacing w:after="0" w:line="240" w:lineRule="auto"/>
              <w:rPr>
                <w:rFonts w:ascii="Arial" w:eastAsia="Times New Roman" w:hAnsi="Arial" w:cs="Arial"/>
                <w:i/>
                <w:lang w:eastAsia="en-GB"/>
              </w:rPr>
            </w:pPr>
            <w:r w:rsidRPr="00CA2DA3">
              <w:rPr>
                <w:rFonts w:ascii="Arial" w:eastAsia="Times New Roman" w:hAnsi="Arial" w:cs="Arial"/>
                <w:i/>
                <w:lang w:eastAsia="en-GB"/>
              </w:rPr>
              <w:t>Third Lowest = scores 2</w:t>
            </w:r>
          </w:p>
          <w:p w:rsidR="00CA2DA3" w:rsidRPr="00CA2DA3" w:rsidRDefault="00CA2DA3" w:rsidP="00CA2DA3">
            <w:pPr>
              <w:spacing w:after="0" w:line="240" w:lineRule="auto"/>
              <w:rPr>
                <w:rFonts w:ascii="Arial" w:eastAsia="Times New Roman" w:hAnsi="Arial" w:cs="Arial"/>
                <w:i/>
                <w:lang w:eastAsia="en-GB"/>
              </w:rPr>
            </w:pPr>
            <w:r w:rsidRPr="00CA2DA3">
              <w:rPr>
                <w:rFonts w:ascii="Arial" w:eastAsia="Times New Roman" w:hAnsi="Arial" w:cs="Arial"/>
                <w:i/>
                <w:lang w:eastAsia="en-GB"/>
              </w:rPr>
              <w:t>All remaining prices within envelope = scores 1</w:t>
            </w:r>
          </w:p>
          <w:p w:rsidR="00300CDA" w:rsidRPr="00731105" w:rsidRDefault="00CA2DA3" w:rsidP="00C724C0">
            <w:pPr>
              <w:spacing w:after="0" w:line="240" w:lineRule="auto"/>
              <w:rPr>
                <w:rFonts w:ascii="Arial" w:eastAsia="Times New Roman" w:hAnsi="Arial" w:cs="Arial"/>
                <w:lang w:eastAsia="en-GB"/>
              </w:rPr>
            </w:pPr>
            <w:r w:rsidRPr="00CA2DA3">
              <w:rPr>
                <w:rFonts w:ascii="Arial" w:eastAsia="Times New Roman" w:hAnsi="Arial" w:cs="Arial"/>
                <w:i/>
                <w:lang w:eastAsia="en-GB"/>
              </w:rPr>
              <w:t>Bids breaching envelope score 0 and will not be taken forward</w:t>
            </w:r>
          </w:p>
        </w:tc>
      </w:tr>
    </w:tbl>
    <w:p w:rsidR="00B1186D" w:rsidRDefault="00B1186D" w:rsidP="00971087">
      <w:pPr>
        <w:spacing w:after="0" w:line="240" w:lineRule="auto"/>
        <w:jc w:val="both"/>
        <w:rPr>
          <w:rFonts w:eastAsia="Times New Roman" w:cstheme="minorHAnsi"/>
        </w:rPr>
      </w:pPr>
    </w:p>
    <w:sectPr w:rsidR="00B1186D">
      <w:headerReference w:type="even" r:id="rId11"/>
      <w:headerReference w:type="default" r:id="rId12"/>
      <w:footerReference w:type="default" r:id="rId13"/>
      <w:head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5998" w:rsidRDefault="005A5998" w:rsidP="00E1169C">
      <w:pPr>
        <w:spacing w:after="0" w:line="240" w:lineRule="auto"/>
      </w:pPr>
      <w:r>
        <w:separator/>
      </w:r>
    </w:p>
  </w:endnote>
  <w:endnote w:type="continuationSeparator" w:id="0">
    <w:p w:rsidR="005A5998" w:rsidRDefault="005A5998" w:rsidP="00E11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5120227"/>
      <w:docPartObj>
        <w:docPartGallery w:val="Page Numbers (Bottom of Page)"/>
        <w:docPartUnique/>
      </w:docPartObj>
    </w:sdtPr>
    <w:sdtEndPr>
      <w:rPr>
        <w:noProof/>
      </w:rPr>
    </w:sdtEndPr>
    <w:sdtContent>
      <w:p w:rsidR="00C724C0" w:rsidRDefault="00C724C0">
        <w:pPr>
          <w:pStyle w:val="Footer"/>
          <w:jc w:val="right"/>
        </w:pPr>
        <w:r>
          <w:fldChar w:fldCharType="begin"/>
        </w:r>
        <w:r>
          <w:instrText xml:space="preserve"> PAGE   \* MERGEFORMAT </w:instrText>
        </w:r>
        <w:r>
          <w:fldChar w:fldCharType="separate"/>
        </w:r>
        <w:r w:rsidR="00FC0C7C">
          <w:rPr>
            <w:noProof/>
          </w:rPr>
          <w:t>1</w:t>
        </w:r>
        <w:r>
          <w:rPr>
            <w:noProof/>
          </w:rPr>
          <w:fldChar w:fldCharType="end"/>
        </w:r>
      </w:p>
    </w:sdtContent>
  </w:sdt>
  <w:p w:rsidR="00C724C0" w:rsidRDefault="00C724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5998" w:rsidRDefault="005A5998" w:rsidP="00E1169C">
      <w:pPr>
        <w:spacing w:after="0" w:line="240" w:lineRule="auto"/>
      </w:pPr>
      <w:r>
        <w:separator/>
      </w:r>
    </w:p>
  </w:footnote>
  <w:footnote w:type="continuationSeparator" w:id="0">
    <w:p w:rsidR="005A5998" w:rsidRDefault="005A5998" w:rsidP="00E116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4C0" w:rsidRDefault="00FC0C7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57362" o:spid="_x0000_s2050" type="#_x0000_t136" style="position:absolute;margin-left:0;margin-top:0;width:445.4pt;height:190.85pt;rotation:315;z-index:-251655168;mso-position-horizontal:center;mso-position-horizontal-relative:margin;mso-position-vertical:center;mso-position-vertical-relative:margin" o:allowincell="f" fillcolor="silver" stroked="f">
          <v:fill opacity=".5"/>
          <v:textpath style="font-family:&quot;Calibri&quot;;font-size:1pt" string="DRAFT v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4C0" w:rsidRDefault="00C724C0">
    <w:pPr>
      <w:pStyle w:val="Header"/>
    </w:pPr>
    <w:r>
      <w:rPr>
        <w:noProof/>
        <w:lang w:eastAsia="en-GB"/>
      </w:rPr>
      <w:drawing>
        <wp:anchor distT="0" distB="0" distL="114300" distR="114300" simplePos="0" relativeHeight="251662336" behindDoc="1" locked="0" layoutInCell="1" allowOverlap="1" wp14:anchorId="1580D442" wp14:editId="0A5BB109">
          <wp:simplePos x="0" y="0"/>
          <wp:positionH relativeFrom="column">
            <wp:posOffset>4814570</wp:posOffset>
          </wp:positionH>
          <wp:positionV relativeFrom="paragraph">
            <wp:posOffset>-272415</wp:posOffset>
          </wp:positionV>
          <wp:extent cx="916940" cy="569595"/>
          <wp:effectExtent l="0" t="0" r="0" b="1905"/>
          <wp:wrapTight wrapText="bothSides">
            <wp:wrapPolygon edited="0">
              <wp:start x="0" y="0"/>
              <wp:lineTo x="0" y="20950"/>
              <wp:lineTo x="21091" y="20950"/>
              <wp:lineTo x="21091" y="0"/>
              <wp:lineTo x="0" y="0"/>
            </wp:wrapPolygon>
          </wp:wrapTight>
          <wp:docPr id="1" name="Picture 1" descr="NHS England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HS England c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6940" cy="5695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4C0" w:rsidRDefault="00FC0C7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57361" o:spid="_x0000_s2049" type="#_x0000_t136" style="position:absolute;margin-left:0;margin-top:0;width:445.4pt;height:190.85pt;rotation:315;z-index:-251657216;mso-position-horizontal:center;mso-position-horizontal-relative:margin;mso-position-vertical:center;mso-position-vertical-relative:margin" o:allowincell="f" fillcolor="silver" stroked="f">
          <v:fill opacity=".5"/>
          <v:textpath style="font-family:&quot;Calibri&quot;;font-size:1pt" string="DRAFT v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4544E"/>
    <w:multiLevelType w:val="hybridMultilevel"/>
    <w:tmpl w:val="9A3A1B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C7551FC"/>
    <w:multiLevelType w:val="hybridMultilevel"/>
    <w:tmpl w:val="DBCCA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A282921"/>
    <w:multiLevelType w:val="hybridMultilevel"/>
    <w:tmpl w:val="0764E0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CF32973"/>
    <w:multiLevelType w:val="hybridMultilevel"/>
    <w:tmpl w:val="C1AC9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EE66AB3"/>
    <w:multiLevelType w:val="hybridMultilevel"/>
    <w:tmpl w:val="5C2C9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5431AA4"/>
    <w:multiLevelType w:val="hybridMultilevel"/>
    <w:tmpl w:val="625615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65D146BB"/>
    <w:multiLevelType w:val="hybridMultilevel"/>
    <w:tmpl w:val="5AA6F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B962EBE"/>
    <w:multiLevelType w:val="hybridMultilevel"/>
    <w:tmpl w:val="79C04E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C0B3ABC"/>
    <w:multiLevelType w:val="hybridMultilevel"/>
    <w:tmpl w:val="1D2804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2"/>
  </w:num>
  <w:num w:numId="3">
    <w:abstractNumId w:val="6"/>
  </w:num>
  <w:num w:numId="4">
    <w:abstractNumId w:val="8"/>
  </w:num>
  <w:num w:numId="5">
    <w:abstractNumId w:val="3"/>
  </w:num>
  <w:num w:numId="6">
    <w:abstractNumId w:val="7"/>
  </w:num>
  <w:num w:numId="7">
    <w:abstractNumId w:val="1"/>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788"/>
    <w:rsid w:val="000231E6"/>
    <w:rsid w:val="0002635B"/>
    <w:rsid w:val="000713DE"/>
    <w:rsid w:val="00177294"/>
    <w:rsid w:val="00194788"/>
    <w:rsid w:val="002100C9"/>
    <w:rsid w:val="00230EDE"/>
    <w:rsid w:val="00237DFD"/>
    <w:rsid w:val="00250D9B"/>
    <w:rsid w:val="002968CD"/>
    <w:rsid w:val="002C2B49"/>
    <w:rsid w:val="002C53CA"/>
    <w:rsid w:val="002E5045"/>
    <w:rsid w:val="00300CDA"/>
    <w:rsid w:val="003B5885"/>
    <w:rsid w:val="003F2BAC"/>
    <w:rsid w:val="004367DA"/>
    <w:rsid w:val="00451E47"/>
    <w:rsid w:val="004A0461"/>
    <w:rsid w:val="0052503E"/>
    <w:rsid w:val="0058217D"/>
    <w:rsid w:val="00584175"/>
    <w:rsid w:val="005A5998"/>
    <w:rsid w:val="00630E06"/>
    <w:rsid w:val="00637FC0"/>
    <w:rsid w:val="007463E1"/>
    <w:rsid w:val="00791CB5"/>
    <w:rsid w:val="007A56C1"/>
    <w:rsid w:val="00800746"/>
    <w:rsid w:val="008010B9"/>
    <w:rsid w:val="008562DF"/>
    <w:rsid w:val="00865422"/>
    <w:rsid w:val="008D6297"/>
    <w:rsid w:val="00907148"/>
    <w:rsid w:val="00971087"/>
    <w:rsid w:val="00971904"/>
    <w:rsid w:val="00A804A5"/>
    <w:rsid w:val="00AD24FA"/>
    <w:rsid w:val="00B1186D"/>
    <w:rsid w:val="00B332F6"/>
    <w:rsid w:val="00B45612"/>
    <w:rsid w:val="00BF51C3"/>
    <w:rsid w:val="00BF5461"/>
    <w:rsid w:val="00C01516"/>
    <w:rsid w:val="00C07EA1"/>
    <w:rsid w:val="00C3422F"/>
    <w:rsid w:val="00C724C0"/>
    <w:rsid w:val="00C8492F"/>
    <w:rsid w:val="00C963DB"/>
    <w:rsid w:val="00C967D5"/>
    <w:rsid w:val="00CA2DA3"/>
    <w:rsid w:val="00CC120E"/>
    <w:rsid w:val="00CC3015"/>
    <w:rsid w:val="00D46179"/>
    <w:rsid w:val="00D70C5F"/>
    <w:rsid w:val="00D95205"/>
    <w:rsid w:val="00E00EAE"/>
    <w:rsid w:val="00E1169C"/>
    <w:rsid w:val="00E4032D"/>
    <w:rsid w:val="00E42F28"/>
    <w:rsid w:val="00E55E23"/>
    <w:rsid w:val="00E64AFF"/>
    <w:rsid w:val="00E71F67"/>
    <w:rsid w:val="00E732EE"/>
    <w:rsid w:val="00E75366"/>
    <w:rsid w:val="00E91152"/>
    <w:rsid w:val="00EB15DE"/>
    <w:rsid w:val="00EC44D3"/>
    <w:rsid w:val="00EC7572"/>
    <w:rsid w:val="00F62C56"/>
    <w:rsid w:val="00FC0C7C"/>
    <w:rsid w:val="00FD41C7"/>
    <w:rsid w:val="00FE0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30E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15D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4788"/>
    <w:pPr>
      <w:ind w:left="720"/>
      <w:contextualSpacing/>
    </w:pPr>
  </w:style>
  <w:style w:type="table" w:styleId="TableGrid">
    <w:name w:val="Table Grid"/>
    <w:basedOn w:val="TableNormal"/>
    <w:uiPriority w:val="59"/>
    <w:rsid w:val="00250D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116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169C"/>
  </w:style>
  <w:style w:type="paragraph" w:styleId="Footer">
    <w:name w:val="footer"/>
    <w:basedOn w:val="Normal"/>
    <w:link w:val="FooterChar"/>
    <w:uiPriority w:val="99"/>
    <w:unhideWhenUsed/>
    <w:rsid w:val="00E116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169C"/>
  </w:style>
  <w:style w:type="character" w:styleId="CommentReference">
    <w:name w:val="annotation reference"/>
    <w:basedOn w:val="DefaultParagraphFont"/>
    <w:uiPriority w:val="99"/>
    <w:semiHidden/>
    <w:unhideWhenUsed/>
    <w:rsid w:val="004367DA"/>
    <w:rPr>
      <w:sz w:val="16"/>
      <w:szCs w:val="16"/>
    </w:rPr>
  </w:style>
  <w:style w:type="paragraph" w:styleId="CommentText">
    <w:name w:val="annotation text"/>
    <w:basedOn w:val="Normal"/>
    <w:link w:val="CommentTextChar"/>
    <w:uiPriority w:val="99"/>
    <w:semiHidden/>
    <w:unhideWhenUsed/>
    <w:rsid w:val="004367DA"/>
    <w:pPr>
      <w:spacing w:line="240" w:lineRule="auto"/>
    </w:pPr>
    <w:rPr>
      <w:sz w:val="20"/>
      <w:szCs w:val="20"/>
    </w:rPr>
  </w:style>
  <w:style w:type="character" w:customStyle="1" w:styleId="CommentTextChar">
    <w:name w:val="Comment Text Char"/>
    <w:basedOn w:val="DefaultParagraphFont"/>
    <w:link w:val="CommentText"/>
    <w:uiPriority w:val="99"/>
    <w:semiHidden/>
    <w:rsid w:val="004367DA"/>
    <w:rPr>
      <w:sz w:val="20"/>
      <w:szCs w:val="20"/>
    </w:rPr>
  </w:style>
  <w:style w:type="paragraph" w:styleId="CommentSubject">
    <w:name w:val="annotation subject"/>
    <w:basedOn w:val="CommentText"/>
    <w:next w:val="CommentText"/>
    <w:link w:val="CommentSubjectChar"/>
    <w:uiPriority w:val="99"/>
    <w:semiHidden/>
    <w:unhideWhenUsed/>
    <w:rsid w:val="004367DA"/>
    <w:rPr>
      <w:b/>
      <w:bCs/>
    </w:rPr>
  </w:style>
  <w:style w:type="character" w:customStyle="1" w:styleId="CommentSubjectChar">
    <w:name w:val="Comment Subject Char"/>
    <w:basedOn w:val="CommentTextChar"/>
    <w:link w:val="CommentSubject"/>
    <w:uiPriority w:val="99"/>
    <w:semiHidden/>
    <w:rsid w:val="004367DA"/>
    <w:rPr>
      <w:b/>
      <w:bCs/>
      <w:sz w:val="20"/>
      <w:szCs w:val="20"/>
    </w:rPr>
  </w:style>
  <w:style w:type="paragraph" w:styleId="BalloonText">
    <w:name w:val="Balloon Text"/>
    <w:basedOn w:val="Normal"/>
    <w:link w:val="BalloonTextChar"/>
    <w:uiPriority w:val="99"/>
    <w:semiHidden/>
    <w:unhideWhenUsed/>
    <w:rsid w:val="004367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67DA"/>
    <w:rPr>
      <w:rFonts w:ascii="Tahoma" w:hAnsi="Tahoma" w:cs="Tahoma"/>
      <w:sz w:val="16"/>
      <w:szCs w:val="16"/>
    </w:rPr>
  </w:style>
  <w:style w:type="character" w:customStyle="1" w:styleId="Heading1Char">
    <w:name w:val="Heading 1 Char"/>
    <w:basedOn w:val="DefaultParagraphFont"/>
    <w:link w:val="Heading1"/>
    <w:uiPriority w:val="9"/>
    <w:rsid w:val="00630E0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B15DE"/>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unhideWhenUsed/>
    <w:qFormat/>
    <w:rsid w:val="00EB15DE"/>
    <w:pPr>
      <w:outlineLvl w:val="9"/>
    </w:pPr>
    <w:rPr>
      <w:lang w:val="en-US" w:eastAsia="ja-JP"/>
    </w:rPr>
  </w:style>
  <w:style w:type="paragraph" w:styleId="TOC1">
    <w:name w:val="toc 1"/>
    <w:basedOn w:val="Normal"/>
    <w:next w:val="Normal"/>
    <w:autoRedefine/>
    <w:uiPriority w:val="39"/>
    <w:unhideWhenUsed/>
    <w:rsid w:val="00EB15DE"/>
    <w:pPr>
      <w:spacing w:after="100"/>
    </w:pPr>
  </w:style>
  <w:style w:type="paragraph" w:styleId="TOC2">
    <w:name w:val="toc 2"/>
    <w:basedOn w:val="Normal"/>
    <w:next w:val="Normal"/>
    <w:autoRedefine/>
    <w:uiPriority w:val="39"/>
    <w:unhideWhenUsed/>
    <w:rsid w:val="00EB15DE"/>
    <w:pPr>
      <w:spacing w:after="100"/>
      <w:ind w:left="220"/>
    </w:pPr>
  </w:style>
  <w:style w:type="character" w:styleId="Hyperlink">
    <w:name w:val="Hyperlink"/>
    <w:basedOn w:val="DefaultParagraphFont"/>
    <w:uiPriority w:val="99"/>
    <w:unhideWhenUsed/>
    <w:rsid w:val="00EB15DE"/>
    <w:rPr>
      <w:color w:val="0000FF" w:themeColor="hyperlink"/>
      <w:u w:val="single"/>
    </w:rPr>
  </w:style>
  <w:style w:type="character" w:styleId="FollowedHyperlink">
    <w:name w:val="FollowedHyperlink"/>
    <w:basedOn w:val="DefaultParagraphFont"/>
    <w:uiPriority w:val="99"/>
    <w:semiHidden/>
    <w:unhideWhenUsed/>
    <w:rsid w:val="00BF546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30E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15D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4788"/>
    <w:pPr>
      <w:ind w:left="720"/>
      <w:contextualSpacing/>
    </w:pPr>
  </w:style>
  <w:style w:type="table" w:styleId="TableGrid">
    <w:name w:val="Table Grid"/>
    <w:basedOn w:val="TableNormal"/>
    <w:uiPriority w:val="59"/>
    <w:rsid w:val="00250D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116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169C"/>
  </w:style>
  <w:style w:type="paragraph" w:styleId="Footer">
    <w:name w:val="footer"/>
    <w:basedOn w:val="Normal"/>
    <w:link w:val="FooterChar"/>
    <w:uiPriority w:val="99"/>
    <w:unhideWhenUsed/>
    <w:rsid w:val="00E116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169C"/>
  </w:style>
  <w:style w:type="character" w:styleId="CommentReference">
    <w:name w:val="annotation reference"/>
    <w:basedOn w:val="DefaultParagraphFont"/>
    <w:uiPriority w:val="99"/>
    <w:semiHidden/>
    <w:unhideWhenUsed/>
    <w:rsid w:val="004367DA"/>
    <w:rPr>
      <w:sz w:val="16"/>
      <w:szCs w:val="16"/>
    </w:rPr>
  </w:style>
  <w:style w:type="paragraph" w:styleId="CommentText">
    <w:name w:val="annotation text"/>
    <w:basedOn w:val="Normal"/>
    <w:link w:val="CommentTextChar"/>
    <w:uiPriority w:val="99"/>
    <w:semiHidden/>
    <w:unhideWhenUsed/>
    <w:rsid w:val="004367DA"/>
    <w:pPr>
      <w:spacing w:line="240" w:lineRule="auto"/>
    </w:pPr>
    <w:rPr>
      <w:sz w:val="20"/>
      <w:szCs w:val="20"/>
    </w:rPr>
  </w:style>
  <w:style w:type="character" w:customStyle="1" w:styleId="CommentTextChar">
    <w:name w:val="Comment Text Char"/>
    <w:basedOn w:val="DefaultParagraphFont"/>
    <w:link w:val="CommentText"/>
    <w:uiPriority w:val="99"/>
    <w:semiHidden/>
    <w:rsid w:val="004367DA"/>
    <w:rPr>
      <w:sz w:val="20"/>
      <w:szCs w:val="20"/>
    </w:rPr>
  </w:style>
  <w:style w:type="paragraph" w:styleId="CommentSubject">
    <w:name w:val="annotation subject"/>
    <w:basedOn w:val="CommentText"/>
    <w:next w:val="CommentText"/>
    <w:link w:val="CommentSubjectChar"/>
    <w:uiPriority w:val="99"/>
    <w:semiHidden/>
    <w:unhideWhenUsed/>
    <w:rsid w:val="004367DA"/>
    <w:rPr>
      <w:b/>
      <w:bCs/>
    </w:rPr>
  </w:style>
  <w:style w:type="character" w:customStyle="1" w:styleId="CommentSubjectChar">
    <w:name w:val="Comment Subject Char"/>
    <w:basedOn w:val="CommentTextChar"/>
    <w:link w:val="CommentSubject"/>
    <w:uiPriority w:val="99"/>
    <w:semiHidden/>
    <w:rsid w:val="004367DA"/>
    <w:rPr>
      <w:b/>
      <w:bCs/>
      <w:sz w:val="20"/>
      <w:szCs w:val="20"/>
    </w:rPr>
  </w:style>
  <w:style w:type="paragraph" w:styleId="BalloonText">
    <w:name w:val="Balloon Text"/>
    <w:basedOn w:val="Normal"/>
    <w:link w:val="BalloonTextChar"/>
    <w:uiPriority w:val="99"/>
    <w:semiHidden/>
    <w:unhideWhenUsed/>
    <w:rsid w:val="004367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67DA"/>
    <w:rPr>
      <w:rFonts w:ascii="Tahoma" w:hAnsi="Tahoma" w:cs="Tahoma"/>
      <w:sz w:val="16"/>
      <w:szCs w:val="16"/>
    </w:rPr>
  </w:style>
  <w:style w:type="character" w:customStyle="1" w:styleId="Heading1Char">
    <w:name w:val="Heading 1 Char"/>
    <w:basedOn w:val="DefaultParagraphFont"/>
    <w:link w:val="Heading1"/>
    <w:uiPriority w:val="9"/>
    <w:rsid w:val="00630E0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B15DE"/>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unhideWhenUsed/>
    <w:qFormat/>
    <w:rsid w:val="00EB15DE"/>
    <w:pPr>
      <w:outlineLvl w:val="9"/>
    </w:pPr>
    <w:rPr>
      <w:lang w:val="en-US" w:eastAsia="ja-JP"/>
    </w:rPr>
  </w:style>
  <w:style w:type="paragraph" w:styleId="TOC1">
    <w:name w:val="toc 1"/>
    <w:basedOn w:val="Normal"/>
    <w:next w:val="Normal"/>
    <w:autoRedefine/>
    <w:uiPriority w:val="39"/>
    <w:unhideWhenUsed/>
    <w:rsid w:val="00EB15DE"/>
    <w:pPr>
      <w:spacing w:after="100"/>
    </w:pPr>
  </w:style>
  <w:style w:type="paragraph" w:styleId="TOC2">
    <w:name w:val="toc 2"/>
    <w:basedOn w:val="Normal"/>
    <w:next w:val="Normal"/>
    <w:autoRedefine/>
    <w:uiPriority w:val="39"/>
    <w:unhideWhenUsed/>
    <w:rsid w:val="00EB15DE"/>
    <w:pPr>
      <w:spacing w:after="100"/>
      <w:ind w:left="220"/>
    </w:pPr>
  </w:style>
  <w:style w:type="character" w:styleId="Hyperlink">
    <w:name w:val="Hyperlink"/>
    <w:basedOn w:val="DefaultParagraphFont"/>
    <w:uiPriority w:val="99"/>
    <w:unhideWhenUsed/>
    <w:rsid w:val="00EB15DE"/>
    <w:rPr>
      <w:color w:val="0000FF" w:themeColor="hyperlink"/>
      <w:u w:val="single"/>
    </w:rPr>
  </w:style>
  <w:style w:type="character" w:styleId="FollowedHyperlink">
    <w:name w:val="FollowedHyperlink"/>
    <w:basedOn w:val="DefaultParagraphFont"/>
    <w:uiPriority w:val="99"/>
    <w:semiHidden/>
    <w:unhideWhenUsed/>
    <w:rsid w:val="00BF54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jdhuny@nhs.net" TargetMode="External"/><Relationship Id="rId4" Type="http://schemas.microsoft.com/office/2007/relationships/stylesWithEffects" Target="stylesWithEffects.xml"/><Relationship Id="rId9" Type="http://schemas.openxmlformats.org/officeDocument/2006/relationships/hyperlink" Target="https://www.gov.uk/government/uploads/system/uploads/attachment_data/file/331628/Health_Needs_Assessment_Toolkit_for_Prescribed_Places_of_Detention_Part_2.pdf"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F95905-B84D-49BA-855F-ED51654A1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971</Words>
  <Characters>5537</Characters>
  <Application>Microsoft Office Word</Application>
  <DocSecurity>4</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6496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Forrest</dc:creator>
  <cp:lastModifiedBy>Dave King</cp:lastModifiedBy>
  <cp:revision>2</cp:revision>
  <cp:lastPrinted>2014-11-24T14:25:00Z</cp:lastPrinted>
  <dcterms:created xsi:type="dcterms:W3CDTF">2016-09-20T12:33:00Z</dcterms:created>
  <dcterms:modified xsi:type="dcterms:W3CDTF">2016-09-20T12:33:00Z</dcterms:modified>
</cp:coreProperties>
</file>